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1" w:rightFromText="181" w:bottomFromText="567" w:vertAnchor="text" w:tblpXSpec="right" w:tblpY="1"/>
        <w:tblOverlap w:val="never"/>
        <w:tblW w:w="5000" w:type="pct"/>
        <w:tblBorders>
          <w:top w:val="none" w:sz="0" w:space="0" w:color="auto"/>
          <w:left w:val="none" w:sz="0" w:space="0" w:color="auto"/>
          <w:bottom w:val="single" w:sz="24" w:space="0" w:color="002F6C" w:themeColor="text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669"/>
        <w:gridCol w:w="3797"/>
      </w:tblGrid>
      <w:tr w:rsidR="00B0244B" w:rsidRPr="007E18C7" w14:paraId="1751A599" w14:textId="77777777" w:rsidTr="00B0244B">
        <w:trPr>
          <w:trHeight w:val="711"/>
        </w:trPr>
        <w:tc>
          <w:tcPr>
            <w:tcW w:w="6669" w:type="dxa"/>
          </w:tcPr>
          <w:p w14:paraId="7943D117" w14:textId="77777777" w:rsidR="00B0244B" w:rsidRPr="007E18C7" w:rsidRDefault="00B0244B" w:rsidP="00B0244B">
            <w:pPr>
              <w:rPr>
                <w:sz w:val="32"/>
                <w:szCs w:val="32"/>
              </w:rPr>
            </w:pPr>
          </w:p>
        </w:tc>
        <w:tc>
          <w:tcPr>
            <w:tcW w:w="3797" w:type="dxa"/>
            <w:vAlign w:val="center"/>
            <w:hideMark/>
          </w:tcPr>
          <w:p w14:paraId="39B95DD6" w14:textId="77777777" w:rsidR="00B0244B" w:rsidRPr="007E18C7" w:rsidRDefault="00B0244B" w:rsidP="00B0244B">
            <w:pPr>
              <w:jc w:val="right"/>
              <w:rPr>
                <w:sz w:val="32"/>
                <w:szCs w:val="32"/>
              </w:rPr>
            </w:pPr>
            <w:r w:rsidRPr="007E18C7">
              <w:rPr>
                <w:noProof/>
                <w:sz w:val="32"/>
                <w:szCs w:val="32"/>
                <w:lang w:eastAsia="en-GB"/>
              </w:rPr>
              <w:drawing>
                <wp:inline distT="0" distB="0" distL="0" distR="0" wp14:anchorId="708DBE69" wp14:editId="68FE6632">
                  <wp:extent cx="2137841" cy="296545"/>
                  <wp:effectExtent l="0" t="0" r="0" b="8255"/>
                  <wp:docPr id="5" name="Picture 5"/>
                  <wp:cNvGraphicFramePr/>
                  <a:graphic xmlns:a="http://schemas.openxmlformats.org/drawingml/2006/main">
                    <a:graphicData uri="http://schemas.openxmlformats.org/drawingml/2006/picture">
                      <pic:pic xmlns:pic="http://schemas.openxmlformats.org/drawingml/2006/picture">
                        <pic:nvPicPr>
                          <pic:cNvPr id="5" name="Picture 5" title="torbay council logo"/>
                          <pic:cNvPicPr/>
                        </pic:nvPicPr>
                        <pic:blipFill>
                          <a:blip r:embed="rId11">
                            <a:extLst>
                              <a:ext uri="{28A0092B-C50C-407E-A947-70E740481C1C}">
                                <a14:useLocalDpi xmlns:a14="http://schemas.microsoft.com/office/drawing/2010/main" val="0"/>
                              </a:ext>
                            </a:extLst>
                          </a:blip>
                          <a:stretch>
                            <a:fillRect/>
                          </a:stretch>
                        </pic:blipFill>
                        <pic:spPr>
                          <a:xfrm>
                            <a:off x="0" y="0"/>
                            <a:ext cx="2149684" cy="298188"/>
                          </a:xfrm>
                          <a:prstGeom prst="rect">
                            <a:avLst/>
                          </a:prstGeom>
                        </pic:spPr>
                      </pic:pic>
                    </a:graphicData>
                  </a:graphic>
                </wp:inline>
              </w:drawing>
            </w:r>
          </w:p>
        </w:tc>
      </w:tr>
    </w:tbl>
    <w:p w14:paraId="649AF488" w14:textId="77777777" w:rsidR="00771C63" w:rsidRDefault="00771C63" w:rsidP="00CE70FC">
      <w:pPr>
        <w:pStyle w:val="formfieldtext"/>
        <w:spacing w:after="240"/>
        <w:rPr>
          <w:rStyle w:val="boldbluetitle"/>
        </w:rPr>
      </w:pPr>
    </w:p>
    <w:p w14:paraId="561EF166" w14:textId="77777777" w:rsidR="003A25ED" w:rsidRDefault="003A25ED" w:rsidP="00771C63">
      <w:pPr>
        <w:spacing w:line="264" w:lineRule="auto"/>
        <w:jc w:val="center"/>
        <w:rPr>
          <w:rStyle w:val="boldbluetitle"/>
          <w:sz w:val="44"/>
          <w:szCs w:val="36"/>
        </w:rPr>
      </w:pPr>
    </w:p>
    <w:p w14:paraId="68359B25" w14:textId="77777777" w:rsidR="003A25ED" w:rsidRDefault="003A25ED" w:rsidP="00771C63">
      <w:pPr>
        <w:spacing w:line="264" w:lineRule="auto"/>
        <w:jc w:val="center"/>
        <w:rPr>
          <w:rStyle w:val="boldbluetitle"/>
          <w:sz w:val="44"/>
          <w:szCs w:val="36"/>
        </w:rPr>
      </w:pPr>
    </w:p>
    <w:p w14:paraId="3C433B07" w14:textId="77777777" w:rsidR="003A25ED" w:rsidRDefault="003A25ED" w:rsidP="00771C63">
      <w:pPr>
        <w:spacing w:line="264" w:lineRule="auto"/>
        <w:jc w:val="center"/>
        <w:rPr>
          <w:rStyle w:val="boldbluetitle"/>
          <w:sz w:val="44"/>
          <w:szCs w:val="36"/>
        </w:rPr>
      </w:pPr>
    </w:p>
    <w:p w14:paraId="76BE6C9E" w14:textId="77777777" w:rsidR="003A25ED" w:rsidRDefault="003A25ED" w:rsidP="00771C63">
      <w:pPr>
        <w:spacing w:line="264" w:lineRule="auto"/>
        <w:jc w:val="center"/>
        <w:rPr>
          <w:rStyle w:val="boldbluetitle"/>
          <w:sz w:val="44"/>
          <w:szCs w:val="36"/>
        </w:rPr>
      </w:pPr>
    </w:p>
    <w:p w14:paraId="4C02261C" w14:textId="77777777" w:rsidR="003A25ED" w:rsidRDefault="003A25ED" w:rsidP="00771C63">
      <w:pPr>
        <w:spacing w:line="264" w:lineRule="auto"/>
        <w:jc w:val="center"/>
        <w:rPr>
          <w:rStyle w:val="boldbluetitle"/>
          <w:sz w:val="44"/>
          <w:szCs w:val="36"/>
        </w:rPr>
      </w:pPr>
    </w:p>
    <w:p w14:paraId="677D9F67" w14:textId="3011254F" w:rsidR="00771C63" w:rsidRPr="003A25ED" w:rsidRDefault="00771C63" w:rsidP="00771C63">
      <w:pPr>
        <w:spacing w:line="264" w:lineRule="auto"/>
        <w:jc w:val="center"/>
        <w:rPr>
          <w:rStyle w:val="boldbluetitle"/>
          <w:sz w:val="44"/>
          <w:szCs w:val="44"/>
        </w:rPr>
      </w:pPr>
      <w:r w:rsidRPr="4CEB06E8">
        <w:rPr>
          <w:rStyle w:val="boldbluetitle"/>
          <w:sz w:val="44"/>
          <w:szCs w:val="44"/>
        </w:rPr>
        <w:t xml:space="preserve">Revenue Reserves </w:t>
      </w:r>
      <w:r w:rsidR="544EBE15" w:rsidRPr="4CEB06E8">
        <w:rPr>
          <w:rStyle w:val="boldbluetitle"/>
          <w:sz w:val="44"/>
          <w:szCs w:val="44"/>
        </w:rPr>
        <w:t>Policy</w:t>
      </w:r>
      <w:r w:rsidR="003D5E35" w:rsidRPr="4CEB06E8">
        <w:rPr>
          <w:rStyle w:val="boldbluetitle"/>
          <w:sz w:val="44"/>
          <w:szCs w:val="44"/>
        </w:rPr>
        <w:t xml:space="preserve"> </w:t>
      </w:r>
    </w:p>
    <w:p w14:paraId="58615B66" w14:textId="09690D93" w:rsidR="00771C63" w:rsidRDefault="35F9D6E8" w:rsidP="00771C63">
      <w:pPr>
        <w:spacing w:line="264" w:lineRule="auto"/>
        <w:jc w:val="center"/>
        <w:rPr>
          <w:rStyle w:val="boldbluetitle"/>
        </w:rPr>
      </w:pPr>
      <w:r w:rsidRPr="3FA7D7B8">
        <w:rPr>
          <w:rStyle w:val="boldbluetitle"/>
          <w:sz w:val="36"/>
          <w:szCs w:val="36"/>
        </w:rPr>
        <w:t>Nov</w:t>
      </w:r>
      <w:r w:rsidR="006E5936" w:rsidRPr="3FA7D7B8">
        <w:rPr>
          <w:rStyle w:val="boldbluetitle"/>
          <w:sz w:val="36"/>
          <w:szCs w:val="36"/>
        </w:rPr>
        <w:t xml:space="preserve">ember </w:t>
      </w:r>
      <w:r w:rsidR="003A25ED" w:rsidRPr="3FA7D7B8">
        <w:rPr>
          <w:rStyle w:val="boldbluetitle"/>
          <w:sz w:val="36"/>
          <w:szCs w:val="36"/>
        </w:rPr>
        <w:t>202</w:t>
      </w:r>
      <w:r w:rsidR="00AE47E3">
        <w:rPr>
          <w:rStyle w:val="boldbluetitle"/>
          <w:sz w:val="36"/>
          <w:szCs w:val="36"/>
        </w:rPr>
        <w:t>5</w:t>
      </w:r>
      <w:r w:rsidR="003D5E35">
        <w:rPr>
          <w:rStyle w:val="boldbluetitle"/>
          <w:sz w:val="36"/>
          <w:szCs w:val="36"/>
        </w:rPr>
        <w:t xml:space="preserve"> Review and Update</w:t>
      </w:r>
      <w:r w:rsidR="006E5936" w:rsidRPr="3FA7D7B8">
        <w:rPr>
          <w:rStyle w:val="boldbluetitle"/>
        </w:rPr>
        <w:br w:type="page"/>
      </w:r>
    </w:p>
    <w:p w14:paraId="4E98AAEA" w14:textId="77777777" w:rsidR="00495269" w:rsidRPr="00495269" w:rsidRDefault="00495269" w:rsidP="00495269"/>
    <w:p w14:paraId="51E1A2CE" w14:textId="63312B3F" w:rsidR="00B0244B" w:rsidRDefault="000C6E08" w:rsidP="00CE70FC">
      <w:pPr>
        <w:pStyle w:val="Heading1"/>
      </w:pPr>
      <w:r>
        <w:t>1.</w:t>
      </w:r>
      <w:r>
        <w:tab/>
      </w:r>
      <w:r w:rsidR="00B0244B">
        <w:t xml:space="preserve">Purpose of </w:t>
      </w:r>
      <w:r w:rsidR="00A54B52">
        <w:t xml:space="preserve">this </w:t>
      </w:r>
      <w:r w:rsidR="7A192A41">
        <w:t>Policy</w:t>
      </w:r>
    </w:p>
    <w:p w14:paraId="087294AA" w14:textId="52F2C8BE" w:rsidR="00380C90" w:rsidRDefault="008C04D8" w:rsidP="3DC7D0E8">
      <w:pPr>
        <w:ind w:left="720" w:hanging="720"/>
        <w:jc w:val="both"/>
      </w:pPr>
      <w:r>
        <w:t>1.1</w:t>
      </w:r>
      <w:r>
        <w:tab/>
      </w:r>
      <w:r w:rsidR="00380C90">
        <w:t>The requirement for financial reserves is acknowledged in statute. Sections 31A, 32, 42A and 43 of the Local Government Finance Act 1992 require billing and precepting authorities in England and Wales to have regard to the level of reserves needed for meeting estimated future expenditure</w:t>
      </w:r>
      <w:r w:rsidR="00E82C1F">
        <w:t>.</w:t>
      </w:r>
    </w:p>
    <w:p w14:paraId="433B2CCE" w14:textId="3B9B1F4D" w:rsidR="00251A32" w:rsidRDefault="00B1381F" w:rsidP="3DC7D0E8">
      <w:pPr>
        <w:shd w:val="clear" w:color="auto" w:fill="FFFFFF" w:themeFill="background1"/>
        <w:spacing w:beforeAutospacing="1" w:after="0" w:afterAutospacing="1" w:line="276" w:lineRule="auto"/>
        <w:ind w:left="720" w:hanging="720"/>
        <w:jc w:val="both"/>
      </w:pPr>
      <w:r>
        <w:t xml:space="preserve">1.2 </w:t>
      </w:r>
      <w:r>
        <w:tab/>
        <w:t>It is the ‘</w:t>
      </w:r>
      <w:r w:rsidR="00E778D7">
        <w:t>C</w:t>
      </w:r>
      <w:r w:rsidR="00251A32">
        <w:t xml:space="preserve">hief </w:t>
      </w:r>
      <w:r w:rsidR="00E778D7">
        <w:t>F</w:t>
      </w:r>
      <w:r w:rsidR="00251A32">
        <w:t xml:space="preserve">inance </w:t>
      </w:r>
      <w:r w:rsidR="00E778D7">
        <w:t>O</w:t>
      </w:r>
      <w:r w:rsidR="00251A32">
        <w:t>fficer</w:t>
      </w:r>
      <w:r w:rsidR="005C4776">
        <w:t>’</w:t>
      </w:r>
      <w:r w:rsidR="00251A32">
        <w:t>s</w:t>
      </w:r>
      <w:r w:rsidR="00C646E8">
        <w:t>’</w:t>
      </w:r>
      <w:r w:rsidR="005C4776">
        <w:t xml:space="preserve">, (Finance </w:t>
      </w:r>
      <w:r w:rsidR="00411E9F">
        <w:t>Director),</w:t>
      </w:r>
      <w:r w:rsidR="00251A32">
        <w:t xml:space="preserve"> duty to report on robustness of estimates and adequacy of reserves (under Section 25 of the Local Government Act 2003) when the authority is considering its budget requirement</w:t>
      </w:r>
      <w:r w:rsidR="004B7708">
        <w:t>.</w:t>
      </w:r>
      <w:r w:rsidR="00251A32">
        <w:t xml:space="preserve"> </w:t>
      </w:r>
    </w:p>
    <w:p w14:paraId="15346FE9" w14:textId="471CFB2E" w:rsidR="00501D73" w:rsidRPr="005A1282" w:rsidRDefault="006C7B74" w:rsidP="3DC7D0E8">
      <w:pPr>
        <w:ind w:left="720" w:hanging="720"/>
        <w:jc w:val="both"/>
        <w:rPr>
          <w:rFonts w:eastAsia="Times New Roman"/>
          <w:bdr w:val="none" w:sz="0" w:space="0" w:color="auto" w:frame="1"/>
          <w:lang w:eastAsia="en-GB"/>
        </w:rPr>
      </w:pPr>
      <w:r w:rsidRPr="005A1282">
        <w:t>1.</w:t>
      </w:r>
      <w:r w:rsidR="00E778D7" w:rsidRPr="005A1282">
        <w:t>3</w:t>
      </w:r>
      <w:r w:rsidRPr="005A1282">
        <w:t xml:space="preserve"> </w:t>
      </w:r>
      <w:r w:rsidRPr="005A1282">
        <w:tab/>
      </w:r>
      <w:r w:rsidR="00501D73" w:rsidRPr="3DC7D0E8">
        <w:rPr>
          <w:rFonts w:eastAsia="Times New Roman"/>
          <w:bdr w:val="none" w:sz="0" w:space="0" w:color="auto" w:frame="1"/>
          <w:lang w:eastAsia="en-GB"/>
        </w:rPr>
        <w:t xml:space="preserve">However, there is no specified minimum level of reserves that an authority should hold and it is the responsibility of the </w:t>
      </w:r>
      <w:r w:rsidR="00F35F04" w:rsidRPr="3DC7D0E8">
        <w:rPr>
          <w:rFonts w:eastAsia="Times New Roman"/>
          <w:bdr w:val="none" w:sz="0" w:space="0" w:color="auto" w:frame="1"/>
          <w:lang w:eastAsia="en-GB"/>
        </w:rPr>
        <w:t xml:space="preserve">Chief </w:t>
      </w:r>
      <w:r w:rsidR="00501D73" w:rsidRPr="3DC7D0E8">
        <w:rPr>
          <w:rFonts w:eastAsia="Times New Roman"/>
          <w:bdr w:val="none" w:sz="0" w:space="0" w:color="auto" w:frame="1"/>
          <w:lang w:eastAsia="en-GB"/>
        </w:rPr>
        <w:t>Financial Officer (</w:t>
      </w:r>
      <w:r w:rsidR="00F35F04" w:rsidRPr="3DC7D0E8">
        <w:rPr>
          <w:rFonts w:eastAsia="Times New Roman"/>
          <w:bdr w:val="none" w:sz="0" w:space="0" w:color="auto" w:frame="1"/>
          <w:lang w:eastAsia="en-GB"/>
        </w:rPr>
        <w:t>C</w:t>
      </w:r>
      <w:r w:rsidR="00501D73" w:rsidRPr="3DC7D0E8">
        <w:rPr>
          <w:rFonts w:eastAsia="Times New Roman"/>
          <w:bdr w:val="none" w:sz="0" w:space="0" w:color="auto" w:frame="1"/>
          <w:lang w:eastAsia="en-GB"/>
        </w:rPr>
        <w:t xml:space="preserve">FO) to advise the Council about the level of reserves and to ensure that there are procedures for their </w:t>
      </w:r>
      <w:r w:rsidR="008847A9" w:rsidRPr="3DC7D0E8">
        <w:rPr>
          <w:rFonts w:eastAsia="Times New Roman"/>
          <w:bdr w:val="none" w:sz="0" w:space="0" w:color="auto" w:frame="1"/>
          <w:lang w:eastAsia="en-GB"/>
        </w:rPr>
        <w:t>creation, maintenance</w:t>
      </w:r>
      <w:r w:rsidR="00501D73" w:rsidRPr="3DC7D0E8">
        <w:rPr>
          <w:rFonts w:eastAsia="Times New Roman"/>
          <w:bdr w:val="none" w:sz="0" w:space="0" w:color="auto" w:frame="1"/>
          <w:lang w:eastAsia="en-GB"/>
        </w:rPr>
        <w:t xml:space="preserve"> and use.</w:t>
      </w:r>
    </w:p>
    <w:p w14:paraId="17B5F10C" w14:textId="18604A1A" w:rsidR="00501D73" w:rsidRPr="005A1282" w:rsidRDefault="00F35F04" w:rsidP="3DC7D0E8">
      <w:pPr>
        <w:ind w:left="720" w:hanging="720"/>
        <w:rPr>
          <w:rFonts w:eastAsia="Times New Roman"/>
          <w:bdr w:val="none" w:sz="0" w:space="0" w:color="auto" w:frame="1"/>
          <w:lang w:eastAsia="en-GB"/>
        </w:rPr>
      </w:pPr>
      <w:r w:rsidRPr="005A1282">
        <w:t>1.</w:t>
      </w:r>
      <w:r w:rsidR="00E778D7" w:rsidRPr="005A1282">
        <w:t>4</w:t>
      </w:r>
      <w:r w:rsidRPr="005A1282">
        <w:tab/>
      </w:r>
      <w:r w:rsidR="00501D73" w:rsidRPr="3DC7D0E8">
        <w:rPr>
          <w:rFonts w:eastAsia="Times New Roman"/>
          <w:bdr w:val="none" w:sz="0" w:space="0" w:color="auto" w:frame="1"/>
          <w:lang w:eastAsia="en-GB"/>
        </w:rPr>
        <w:t>T</w:t>
      </w:r>
      <w:r w:rsidR="3DAD3A94" w:rsidRPr="3DC7D0E8">
        <w:rPr>
          <w:rFonts w:eastAsia="Times New Roman"/>
          <w:bdr w:val="none" w:sz="0" w:space="0" w:color="auto" w:frame="1"/>
          <w:lang w:eastAsia="en-GB"/>
        </w:rPr>
        <w:t>orbay Council</w:t>
      </w:r>
      <w:r w:rsidR="00501D73" w:rsidRPr="3DC7D0E8">
        <w:rPr>
          <w:rFonts w:eastAsia="Times New Roman"/>
          <w:bdr w:val="none" w:sz="0" w:space="0" w:color="auto" w:frame="1"/>
          <w:lang w:eastAsia="en-GB"/>
        </w:rPr>
        <w:t xml:space="preserve"> will hold reserves for the following main purposes:</w:t>
      </w:r>
    </w:p>
    <w:p w14:paraId="3C9B4CBC" w14:textId="0BD235E7" w:rsidR="00770131" w:rsidRPr="005A1282" w:rsidRDefault="004D494E" w:rsidP="000D07E3">
      <w:pPr>
        <w:pStyle w:val="ListParagraph"/>
        <w:numPr>
          <w:ilvl w:val="0"/>
          <w:numId w:val="27"/>
        </w:numPr>
        <w:ind w:left="1276" w:hanging="567"/>
        <w:rPr>
          <w:rFonts w:eastAsia="Times New Roman" w:cstheme="minorHAnsi"/>
          <w:szCs w:val="24"/>
          <w:bdr w:val="none" w:sz="0" w:space="0" w:color="auto" w:frame="1"/>
          <w:lang w:eastAsia="en-GB"/>
        </w:rPr>
      </w:pPr>
      <w:r w:rsidRPr="005A1282">
        <w:rPr>
          <w:rFonts w:eastAsia="Times New Roman" w:cstheme="minorHAnsi"/>
          <w:szCs w:val="24"/>
          <w:bdr w:val="none" w:sz="0" w:space="0" w:color="auto" w:frame="1"/>
          <w:lang w:eastAsia="en-GB"/>
        </w:rPr>
        <w:t xml:space="preserve">Earmarked funds to meet known or predicted </w:t>
      </w:r>
      <w:r w:rsidR="006D07DE" w:rsidRPr="005A1282">
        <w:rPr>
          <w:rFonts w:eastAsia="Times New Roman" w:cstheme="minorHAnsi"/>
          <w:szCs w:val="24"/>
          <w:bdr w:val="none" w:sz="0" w:space="0" w:color="auto" w:frame="1"/>
          <w:lang w:eastAsia="en-GB"/>
        </w:rPr>
        <w:t xml:space="preserve">time limited </w:t>
      </w:r>
      <w:r w:rsidRPr="005A1282">
        <w:rPr>
          <w:rFonts w:eastAsia="Times New Roman" w:cstheme="minorHAnsi"/>
          <w:szCs w:val="24"/>
          <w:bdr w:val="none" w:sz="0" w:space="0" w:color="auto" w:frame="1"/>
          <w:lang w:eastAsia="en-GB"/>
        </w:rPr>
        <w:t>sp</w:t>
      </w:r>
      <w:r w:rsidR="00FB1FD9" w:rsidRPr="005A1282">
        <w:rPr>
          <w:rFonts w:eastAsia="Times New Roman" w:cstheme="minorHAnsi"/>
          <w:szCs w:val="24"/>
          <w:bdr w:val="none" w:sz="0" w:space="0" w:color="auto" w:frame="1"/>
          <w:lang w:eastAsia="en-GB"/>
        </w:rPr>
        <w:t xml:space="preserve">end </w:t>
      </w:r>
      <w:r w:rsidRPr="005A1282">
        <w:rPr>
          <w:rFonts w:eastAsia="Times New Roman" w:cstheme="minorHAnsi"/>
          <w:szCs w:val="24"/>
          <w:bdr w:val="none" w:sz="0" w:space="0" w:color="auto" w:frame="1"/>
          <w:lang w:eastAsia="en-GB"/>
        </w:rPr>
        <w:t>or improvement projects</w:t>
      </w:r>
      <w:r w:rsidR="00770131" w:rsidRPr="005A1282">
        <w:rPr>
          <w:rFonts w:eastAsia="Times New Roman" w:cstheme="minorHAnsi"/>
          <w:szCs w:val="24"/>
          <w:bdr w:val="none" w:sz="0" w:space="0" w:color="auto" w:frame="1"/>
          <w:lang w:eastAsia="en-GB"/>
        </w:rPr>
        <w:t>;</w:t>
      </w:r>
    </w:p>
    <w:p w14:paraId="5378EF53" w14:textId="22B753C3" w:rsidR="00C71B73" w:rsidRPr="005A1282" w:rsidRDefault="00770131" w:rsidP="3DC7D0E8">
      <w:pPr>
        <w:pStyle w:val="ListParagraph"/>
        <w:numPr>
          <w:ilvl w:val="0"/>
          <w:numId w:val="27"/>
        </w:numPr>
        <w:ind w:left="1276" w:hanging="567"/>
        <w:rPr>
          <w:rFonts w:eastAsia="Times New Roman"/>
          <w:bdr w:val="none" w:sz="0" w:space="0" w:color="auto" w:frame="1"/>
          <w:lang w:eastAsia="en-GB"/>
        </w:rPr>
      </w:pPr>
      <w:r w:rsidRPr="3DC7D0E8">
        <w:rPr>
          <w:rFonts w:eastAsia="Times New Roman"/>
          <w:bdr w:val="none" w:sz="0" w:space="0" w:color="auto" w:frame="1"/>
          <w:lang w:eastAsia="en-GB"/>
        </w:rPr>
        <w:t>F</w:t>
      </w:r>
      <w:r w:rsidR="004D494E" w:rsidRPr="3DC7D0E8">
        <w:rPr>
          <w:rFonts w:eastAsia="Times New Roman"/>
          <w:bdr w:val="none" w:sz="0" w:space="0" w:color="auto" w:frame="1"/>
          <w:lang w:eastAsia="en-GB"/>
        </w:rPr>
        <w:t>unds earmarked for statutory reasons</w:t>
      </w:r>
      <w:r w:rsidR="007E605F" w:rsidRPr="3DC7D0E8">
        <w:rPr>
          <w:rFonts w:eastAsia="Times New Roman"/>
          <w:bdr w:val="none" w:sz="0" w:space="0" w:color="auto" w:frame="1"/>
          <w:lang w:eastAsia="en-GB"/>
        </w:rPr>
        <w:t xml:space="preserve"> (e.g. </w:t>
      </w:r>
      <w:r w:rsidR="000E2E55" w:rsidRPr="3DC7D0E8">
        <w:rPr>
          <w:rFonts w:eastAsia="Times New Roman"/>
          <w:bdr w:val="none" w:sz="0" w:space="0" w:color="auto" w:frame="1"/>
          <w:lang w:eastAsia="en-GB"/>
        </w:rPr>
        <w:t>Elections</w:t>
      </w:r>
      <w:r w:rsidR="3B05AE83" w:rsidRPr="3DC7D0E8">
        <w:rPr>
          <w:rFonts w:eastAsia="Times New Roman"/>
          <w:bdr w:val="none" w:sz="0" w:space="0" w:color="auto" w:frame="1"/>
          <w:lang w:eastAsia="en-GB"/>
        </w:rPr>
        <w:t xml:space="preserve"> and </w:t>
      </w:r>
      <w:r w:rsidR="000E2E55" w:rsidRPr="3DC7D0E8">
        <w:rPr>
          <w:rFonts w:eastAsia="Times New Roman"/>
          <w:bdr w:val="none" w:sz="0" w:space="0" w:color="auto" w:frame="1"/>
          <w:lang w:eastAsia="en-GB"/>
        </w:rPr>
        <w:t>Insurance</w:t>
      </w:r>
      <w:r w:rsidR="0A5E553D" w:rsidRPr="3DC7D0E8">
        <w:rPr>
          <w:rFonts w:eastAsia="Times New Roman"/>
          <w:bdr w:val="none" w:sz="0" w:space="0" w:color="auto" w:frame="1"/>
          <w:lang w:eastAsia="en-GB"/>
        </w:rPr>
        <w:t>);</w:t>
      </w:r>
    </w:p>
    <w:p w14:paraId="30CCAF87" w14:textId="687B9A44" w:rsidR="00C71B73" w:rsidRPr="005A1282" w:rsidRDefault="0A5E553D" w:rsidP="3DC7D0E8">
      <w:pPr>
        <w:pStyle w:val="ListParagraph"/>
        <w:numPr>
          <w:ilvl w:val="0"/>
          <w:numId w:val="27"/>
        </w:numPr>
        <w:ind w:left="1276" w:hanging="567"/>
        <w:rPr>
          <w:rFonts w:eastAsia="Times New Roman"/>
          <w:bdr w:val="none" w:sz="0" w:space="0" w:color="auto" w:frame="1"/>
          <w:lang w:eastAsia="en-GB"/>
        </w:rPr>
      </w:pPr>
      <w:r w:rsidRPr="3DC7D0E8">
        <w:rPr>
          <w:rFonts w:eastAsia="Times New Roman"/>
          <w:bdr w:val="none" w:sz="0" w:space="0" w:color="auto" w:frame="1"/>
          <w:lang w:eastAsia="en-GB"/>
        </w:rPr>
        <w:t>Funds being held on behalf of partner organisations and/or ring-fenced activity (e.g. Public Health, Harb</w:t>
      </w:r>
      <w:r w:rsidR="61952FBA" w:rsidRPr="3DC7D0E8">
        <w:rPr>
          <w:rFonts w:eastAsia="Times New Roman"/>
          <w:bdr w:val="none" w:sz="0" w:space="0" w:color="auto" w:frame="1"/>
          <w:lang w:eastAsia="en-GB"/>
        </w:rPr>
        <w:t xml:space="preserve">ours </w:t>
      </w:r>
      <w:r w:rsidR="007E605F" w:rsidRPr="3DC7D0E8">
        <w:rPr>
          <w:rFonts w:eastAsia="Times New Roman"/>
          <w:bdr w:val="none" w:sz="0" w:space="0" w:color="auto" w:frame="1"/>
          <w:lang w:eastAsia="en-GB"/>
        </w:rPr>
        <w:t xml:space="preserve">and </w:t>
      </w:r>
      <w:r w:rsidR="2519F485" w:rsidRPr="3DC7D0E8">
        <w:rPr>
          <w:rFonts w:eastAsia="Times New Roman"/>
          <w:bdr w:val="none" w:sz="0" w:space="0" w:color="auto" w:frame="1"/>
          <w:lang w:eastAsia="en-GB"/>
        </w:rPr>
        <w:t>Adult Social Care</w:t>
      </w:r>
      <w:r w:rsidR="007E605F" w:rsidRPr="3DC7D0E8">
        <w:rPr>
          <w:rFonts w:eastAsia="Times New Roman"/>
          <w:bdr w:val="none" w:sz="0" w:space="0" w:color="auto" w:frame="1"/>
          <w:lang w:eastAsia="en-GB"/>
        </w:rPr>
        <w:t>)</w:t>
      </w:r>
      <w:r w:rsidR="00C71B73" w:rsidRPr="3DC7D0E8">
        <w:rPr>
          <w:rFonts w:eastAsia="Times New Roman"/>
          <w:bdr w:val="none" w:sz="0" w:space="0" w:color="auto" w:frame="1"/>
          <w:lang w:eastAsia="en-GB"/>
        </w:rPr>
        <w:t>;</w:t>
      </w:r>
    </w:p>
    <w:p w14:paraId="23BADD6F" w14:textId="5868672C" w:rsidR="00AA731D" w:rsidRPr="005A1282" w:rsidRDefault="008E4BF1" w:rsidP="000D07E3">
      <w:pPr>
        <w:pStyle w:val="ListParagraph"/>
        <w:numPr>
          <w:ilvl w:val="0"/>
          <w:numId w:val="27"/>
        </w:numPr>
        <w:ind w:left="1276" w:hanging="567"/>
        <w:rPr>
          <w:rFonts w:eastAsia="Times New Roman" w:cstheme="minorHAnsi"/>
          <w:szCs w:val="24"/>
          <w:bdr w:val="none" w:sz="0" w:space="0" w:color="auto" w:frame="1"/>
          <w:lang w:eastAsia="en-GB"/>
        </w:rPr>
      </w:pPr>
      <w:r w:rsidRPr="3DC7D0E8">
        <w:rPr>
          <w:rFonts w:eastAsia="Times New Roman"/>
          <w:bdr w:val="none" w:sz="0" w:space="0" w:color="auto" w:frame="1"/>
          <w:lang w:eastAsia="en-GB"/>
        </w:rPr>
        <w:t>Holding of specific grant funding in advance of draw</w:t>
      </w:r>
      <w:r w:rsidR="00F530DD" w:rsidRPr="3DC7D0E8">
        <w:rPr>
          <w:rFonts w:eastAsia="Times New Roman"/>
          <w:bdr w:val="none" w:sz="0" w:space="0" w:color="auto" w:frame="1"/>
          <w:lang w:eastAsia="en-GB"/>
        </w:rPr>
        <w:t>ing down</w:t>
      </w:r>
      <w:r w:rsidRPr="3DC7D0E8">
        <w:rPr>
          <w:rFonts w:eastAsia="Times New Roman"/>
          <w:bdr w:val="none" w:sz="0" w:space="0" w:color="auto" w:frame="1"/>
          <w:lang w:eastAsia="en-GB"/>
        </w:rPr>
        <w:t xml:space="preserve"> spend</w:t>
      </w:r>
      <w:r w:rsidR="00AA731D" w:rsidRPr="3DC7D0E8">
        <w:rPr>
          <w:rFonts w:eastAsia="Times New Roman"/>
          <w:bdr w:val="none" w:sz="0" w:space="0" w:color="auto" w:frame="1"/>
          <w:lang w:eastAsia="en-GB"/>
        </w:rPr>
        <w:t>;</w:t>
      </w:r>
    </w:p>
    <w:p w14:paraId="39ED2410" w14:textId="1808EA56" w:rsidR="00501D73" w:rsidRPr="005A1282" w:rsidRDefault="00501D73" w:rsidP="000D07E3">
      <w:pPr>
        <w:pStyle w:val="ListParagraph"/>
        <w:numPr>
          <w:ilvl w:val="0"/>
          <w:numId w:val="27"/>
        </w:numPr>
        <w:ind w:left="1276" w:hanging="567"/>
        <w:rPr>
          <w:rFonts w:eastAsia="Times New Roman" w:cstheme="minorHAnsi"/>
          <w:szCs w:val="24"/>
          <w:bdr w:val="none" w:sz="0" w:space="0" w:color="auto" w:frame="1"/>
          <w:lang w:eastAsia="en-GB"/>
        </w:rPr>
      </w:pPr>
      <w:r w:rsidRPr="3DC7D0E8">
        <w:rPr>
          <w:rFonts w:eastAsia="Times New Roman"/>
          <w:bdr w:val="none" w:sz="0" w:space="0" w:color="auto" w:frame="1"/>
          <w:lang w:eastAsia="en-GB"/>
        </w:rPr>
        <w:t xml:space="preserve">A </w:t>
      </w:r>
      <w:r w:rsidR="001469E3" w:rsidRPr="3DC7D0E8">
        <w:rPr>
          <w:rFonts w:eastAsia="Times New Roman"/>
          <w:bdr w:val="none" w:sz="0" w:space="0" w:color="auto" w:frame="1"/>
          <w:lang w:eastAsia="en-GB"/>
        </w:rPr>
        <w:t xml:space="preserve">General Reserve, (or </w:t>
      </w:r>
      <w:r w:rsidR="00C436A1">
        <w:rPr>
          <w:rFonts w:eastAsia="Times New Roman"/>
          <w:bdr w:val="none" w:sz="0" w:space="0" w:color="auto" w:frame="1"/>
          <w:lang w:eastAsia="en-GB"/>
        </w:rPr>
        <w:t>W</w:t>
      </w:r>
      <w:r w:rsidRPr="3DC7D0E8">
        <w:rPr>
          <w:rFonts w:eastAsia="Times New Roman"/>
          <w:bdr w:val="none" w:sz="0" w:space="0" w:color="auto" w:frame="1"/>
          <w:lang w:eastAsia="en-GB"/>
        </w:rPr>
        <w:t xml:space="preserve">orking </w:t>
      </w:r>
      <w:r w:rsidR="00C436A1">
        <w:rPr>
          <w:rFonts w:eastAsia="Times New Roman"/>
          <w:bdr w:val="none" w:sz="0" w:space="0" w:color="auto" w:frame="1"/>
          <w:lang w:eastAsia="en-GB"/>
        </w:rPr>
        <w:t>B</w:t>
      </w:r>
      <w:r w:rsidRPr="3DC7D0E8">
        <w:rPr>
          <w:rFonts w:eastAsia="Times New Roman"/>
          <w:bdr w:val="none" w:sz="0" w:space="0" w:color="auto" w:frame="1"/>
          <w:lang w:eastAsia="en-GB"/>
        </w:rPr>
        <w:t>alance</w:t>
      </w:r>
      <w:r w:rsidR="001469E3" w:rsidRPr="3DC7D0E8">
        <w:rPr>
          <w:rFonts w:eastAsia="Times New Roman"/>
          <w:bdr w:val="none" w:sz="0" w:space="0" w:color="auto" w:frame="1"/>
          <w:lang w:eastAsia="en-GB"/>
        </w:rPr>
        <w:t>),</w:t>
      </w:r>
      <w:r w:rsidRPr="3DC7D0E8">
        <w:rPr>
          <w:rFonts w:eastAsia="Times New Roman"/>
          <w:bdr w:val="none" w:sz="0" w:space="0" w:color="auto" w:frame="1"/>
          <w:lang w:eastAsia="en-GB"/>
        </w:rPr>
        <w:t xml:space="preserve"> to help cushion the impact of uneven cash flows, provide contingency, and avoid </w:t>
      </w:r>
      <w:r w:rsidR="00640D9F" w:rsidRPr="3DC7D0E8">
        <w:rPr>
          <w:rFonts w:eastAsia="Times New Roman"/>
          <w:bdr w:val="none" w:sz="0" w:space="0" w:color="auto" w:frame="1"/>
          <w:lang w:eastAsia="en-GB"/>
        </w:rPr>
        <w:t xml:space="preserve">any </w:t>
      </w:r>
      <w:r w:rsidRPr="3DC7D0E8">
        <w:rPr>
          <w:rFonts w:eastAsia="Times New Roman"/>
          <w:bdr w:val="none" w:sz="0" w:space="0" w:color="auto" w:frame="1"/>
          <w:lang w:eastAsia="en-GB"/>
        </w:rPr>
        <w:t>unnecessary temporary borrowing</w:t>
      </w:r>
      <w:r w:rsidR="006F253E" w:rsidRPr="3DC7D0E8">
        <w:rPr>
          <w:rFonts w:eastAsia="Times New Roman"/>
          <w:bdr w:val="none" w:sz="0" w:space="0" w:color="auto" w:frame="1"/>
          <w:lang w:eastAsia="en-GB"/>
        </w:rPr>
        <w:t xml:space="preserve">. </w:t>
      </w:r>
    </w:p>
    <w:p w14:paraId="1E5BD901" w14:textId="49AFB3A5" w:rsidR="00501D73" w:rsidRPr="005A1282" w:rsidRDefault="00AD3AAB" w:rsidP="00AD3AAB">
      <w:pPr>
        <w:shd w:val="clear" w:color="auto" w:fill="FFFFFF"/>
        <w:spacing w:after="0" w:line="240" w:lineRule="auto"/>
        <w:ind w:left="720" w:hanging="720"/>
        <w:textAlignment w:val="baseline"/>
        <w:rPr>
          <w:rFonts w:eastAsia="Times New Roman" w:cstheme="minorHAnsi"/>
          <w:szCs w:val="24"/>
          <w:lang w:eastAsia="en-GB"/>
        </w:rPr>
      </w:pPr>
      <w:r w:rsidRPr="005A1282">
        <w:rPr>
          <w:rFonts w:eastAsia="Times New Roman" w:cstheme="minorHAnsi"/>
          <w:szCs w:val="24"/>
          <w:bdr w:val="none" w:sz="0" w:space="0" w:color="auto" w:frame="1"/>
          <w:lang w:eastAsia="en-GB"/>
        </w:rPr>
        <w:t>1.</w:t>
      </w:r>
      <w:r w:rsidR="00E778D7" w:rsidRPr="005A1282">
        <w:rPr>
          <w:rFonts w:eastAsia="Times New Roman" w:cstheme="minorHAnsi"/>
          <w:szCs w:val="24"/>
          <w:bdr w:val="none" w:sz="0" w:space="0" w:color="auto" w:frame="1"/>
          <w:lang w:eastAsia="en-GB"/>
        </w:rPr>
        <w:t>5</w:t>
      </w:r>
      <w:r w:rsidRPr="005A1282">
        <w:rPr>
          <w:rFonts w:eastAsia="Times New Roman" w:cstheme="minorHAnsi"/>
          <w:szCs w:val="24"/>
          <w:bdr w:val="none" w:sz="0" w:space="0" w:color="auto" w:frame="1"/>
          <w:lang w:eastAsia="en-GB"/>
        </w:rPr>
        <w:tab/>
      </w:r>
      <w:r w:rsidR="00501D73" w:rsidRPr="005A1282">
        <w:rPr>
          <w:rFonts w:eastAsia="Times New Roman" w:cstheme="minorHAnsi"/>
          <w:szCs w:val="24"/>
          <w:bdr w:val="none" w:sz="0" w:space="0" w:color="auto" w:frame="1"/>
          <w:lang w:eastAsia="en-GB"/>
        </w:rPr>
        <w:t xml:space="preserve">This policy on the establishment, maintenance and adequacy of reserves and balances </w:t>
      </w:r>
      <w:r w:rsidR="00FB3A39">
        <w:rPr>
          <w:rFonts w:eastAsia="Times New Roman" w:cstheme="minorHAnsi"/>
          <w:szCs w:val="24"/>
          <w:bdr w:val="none" w:sz="0" w:space="0" w:color="auto" w:frame="1"/>
          <w:lang w:eastAsia="en-GB"/>
        </w:rPr>
        <w:t>is</w:t>
      </w:r>
      <w:r w:rsidR="00501D73" w:rsidRPr="005A1282">
        <w:rPr>
          <w:rFonts w:eastAsia="Times New Roman" w:cstheme="minorHAnsi"/>
          <w:szCs w:val="24"/>
          <w:bdr w:val="none" w:sz="0" w:space="0" w:color="auto" w:frame="1"/>
          <w:lang w:eastAsia="en-GB"/>
        </w:rPr>
        <w:t xml:space="preserve"> reviewed annually.</w:t>
      </w:r>
    </w:p>
    <w:p w14:paraId="6FFBFE96" w14:textId="77777777" w:rsidR="00501D73" w:rsidRDefault="00501D73" w:rsidP="00B458C1">
      <w:pPr>
        <w:ind w:left="720" w:hanging="720"/>
      </w:pPr>
    </w:p>
    <w:p w14:paraId="643C9404" w14:textId="3FBF7CCC" w:rsidR="00B0244B" w:rsidRDefault="00B0244B" w:rsidP="00CE70FC">
      <w:pPr>
        <w:pStyle w:val="Heading1"/>
      </w:pPr>
      <w:r>
        <w:t>2.</w:t>
      </w:r>
      <w:r>
        <w:tab/>
      </w:r>
      <w:r w:rsidR="001469E3">
        <w:t xml:space="preserve">General </w:t>
      </w:r>
      <w:r w:rsidR="009D034D">
        <w:t xml:space="preserve">Fund </w:t>
      </w:r>
      <w:r w:rsidR="001469E3">
        <w:t>Reserves</w:t>
      </w:r>
    </w:p>
    <w:p w14:paraId="227B3F12" w14:textId="1C5EB0AD" w:rsidR="00CA6958" w:rsidRDefault="00B0244B" w:rsidP="3DC7D0E8">
      <w:pPr>
        <w:ind w:left="720" w:hanging="720"/>
        <w:jc w:val="both"/>
      </w:pPr>
      <w:r>
        <w:t>2.1</w:t>
      </w:r>
      <w:r>
        <w:tab/>
      </w:r>
      <w:r w:rsidR="001469E3">
        <w:t xml:space="preserve">The use of general </w:t>
      </w:r>
      <w:r w:rsidR="009D034D">
        <w:t xml:space="preserve">fund </w:t>
      </w:r>
      <w:r w:rsidR="001469E3">
        <w:t xml:space="preserve">reserves </w:t>
      </w:r>
      <w:r w:rsidR="054F3F63">
        <w:t>is</w:t>
      </w:r>
      <w:r w:rsidR="001469E3">
        <w:t xml:space="preserve"> not restricted. They can be used to smooth the impact of uneven cash flows, offset the budget requirement, or can be used to </w:t>
      </w:r>
      <w:r w:rsidR="00D04DE1">
        <w:t>respond to</w:t>
      </w:r>
      <w:r w:rsidR="001469E3">
        <w:t xml:space="preserve"> unexpected events or emergencies.</w:t>
      </w:r>
    </w:p>
    <w:p w14:paraId="6BF7FD0F" w14:textId="7C03A0AC" w:rsidR="001469E3" w:rsidRDefault="00CA6958" w:rsidP="3DC7D0E8">
      <w:pPr>
        <w:ind w:left="720" w:hanging="720"/>
        <w:jc w:val="both"/>
      </w:pPr>
      <w:r>
        <w:t xml:space="preserve">2.2 </w:t>
      </w:r>
      <w:r>
        <w:tab/>
      </w:r>
      <w:r w:rsidR="001469E3">
        <w:t>I</w:t>
      </w:r>
      <w:r w:rsidR="37CAD652">
        <w:t>n</w:t>
      </w:r>
      <w:r w:rsidR="46AC7C64" w:rsidRPr="3DC7D0E8">
        <w:rPr>
          <w:rFonts w:ascii="Arial" w:eastAsia="Arial" w:hAnsi="Arial" w:cs="Arial"/>
          <w:szCs w:val="24"/>
        </w:rPr>
        <w:t xml:space="preserve"> line with CIPFA advice</w:t>
      </w:r>
      <w:r w:rsidR="171D48EB" w:rsidRPr="3DC7D0E8">
        <w:rPr>
          <w:rFonts w:ascii="Arial" w:eastAsia="Arial" w:hAnsi="Arial" w:cs="Arial"/>
          <w:szCs w:val="24"/>
        </w:rPr>
        <w:t>,</w:t>
      </w:r>
      <w:r w:rsidR="46AC7C64" w:rsidRPr="3DC7D0E8">
        <w:rPr>
          <w:rFonts w:ascii="Arial" w:eastAsia="Arial" w:hAnsi="Arial" w:cs="Arial"/>
          <w:szCs w:val="24"/>
        </w:rPr>
        <w:t xml:space="preserve"> it is recommended that the Council maintains its General Fund Reserve</w:t>
      </w:r>
      <w:r w:rsidR="092F5D5C" w:rsidRPr="3DC7D0E8">
        <w:rPr>
          <w:rFonts w:ascii="Arial" w:eastAsia="Arial" w:hAnsi="Arial" w:cs="Arial"/>
          <w:szCs w:val="24"/>
        </w:rPr>
        <w:t>,</w:t>
      </w:r>
      <w:r w:rsidR="46AC7C64" w:rsidRPr="3DC7D0E8">
        <w:rPr>
          <w:rFonts w:ascii="Arial" w:eastAsia="Arial" w:hAnsi="Arial" w:cs="Arial"/>
          <w:szCs w:val="24"/>
        </w:rPr>
        <w:t xml:space="preserve"> (or ‘Working Balance’), at 5% of the net revenue budget at the commencement of any given financial year. If any of the General Fund reserve is drawn down in a</w:t>
      </w:r>
      <w:r w:rsidR="00324508">
        <w:rPr>
          <w:rFonts w:ascii="Arial" w:eastAsia="Arial" w:hAnsi="Arial" w:cs="Arial"/>
          <w:szCs w:val="24"/>
        </w:rPr>
        <w:t xml:space="preserve"> </w:t>
      </w:r>
      <w:r w:rsidR="46AC7C64" w:rsidRPr="3DC7D0E8">
        <w:rPr>
          <w:rFonts w:ascii="Arial" w:eastAsia="Arial" w:hAnsi="Arial" w:cs="Arial"/>
          <w:szCs w:val="24"/>
        </w:rPr>
        <w:t>given year, replenishment should be provided for in the next annual budget setting process</w:t>
      </w:r>
      <w:r w:rsidR="001469E3">
        <w:t>.</w:t>
      </w:r>
    </w:p>
    <w:p w14:paraId="190CA8D2" w14:textId="4CF75E5E" w:rsidR="002C23F8" w:rsidRDefault="00322476" w:rsidP="3DC7D0E8">
      <w:pPr>
        <w:ind w:left="720" w:hanging="720"/>
        <w:jc w:val="both"/>
      </w:pPr>
      <w:r>
        <w:t>2.3</w:t>
      </w:r>
      <w:r>
        <w:tab/>
      </w:r>
      <w:r w:rsidR="00850E13">
        <w:t>As the Council budget increase</w:t>
      </w:r>
      <w:r w:rsidR="0099595B">
        <w:t>s</w:t>
      </w:r>
      <w:r w:rsidR="00850E13">
        <w:t xml:space="preserve"> year on year, the </w:t>
      </w:r>
      <w:r w:rsidR="00C23357">
        <w:t xml:space="preserve">objective is that the </w:t>
      </w:r>
      <w:r w:rsidR="00850E13">
        <w:t xml:space="preserve">General </w:t>
      </w:r>
      <w:r w:rsidR="003756C0">
        <w:t xml:space="preserve">Fund </w:t>
      </w:r>
      <w:r w:rsidR="00850E13">
        <w:t xml:space="preserve">Reserve should </w:t>
      </w:r>
      <w:r w:rsidR="00C23357">
        <w:t>also grow on a proportionate basis to remain at the desired level</w:t>
      </w:r>
      <w:r w:rsidR="326A8558">
        <w:t xml:space="preserve"> of at least 5%</w:t>
      </w:r>
      <w:r w:rsidR="00C23357">
        <w:t>.</w:t>
      </w:r>
    </w:p>
    <w:p w14:paraId="18D4B725" w14:textId="77777777" w:rsidR="003756C0" w:rsidRDefault="003756C0" w:rsidP="004864B7">
      <w:pPr>
        <w:ind w:left="720"/>
        <w:rPr>
          <w:b/>
          <w:bCs/>
        </w:rPr>
      </w:pPr>
    </w:p>
    <w:p w14:paraId="01FB4087" w14:textId="4F76BA45" w:rsidR="00D84EB5" w:rsidRPr="003756C0" w:rsidRDefault="00D84EB5" w:rsidP="004864B7">
      <w:pPr>
        <w:ind w:left="720"/>
        <w:rPr>
          <w:b/>
          <w:bCs/>
        </w:rPr>
      </w:pPr>
      <w:r w:rsidRPr="003756C0">
        <w:rPr>
          <w:b/>
          <w:bCs/>
        </w:rPr>
        <w:t>Comprehensive Spending Review Reserve</w:t>
      </w:r>
    </w:p>
    <w:p w14:paraId="0C9C8641" w14:textId="2CE86ED2" w:rsidR="004864B7" w:rsidRDefault="004864B7" w:rsidP="3DC7D0E8">
      <w:pPr>
        <w:ind w:left="720" w:hanging="720"/>
        <w:jc w:val="both"/>
      </w:pPr>
      <w:r>
        <w:t>2.4</w:t>
      </w:r>
      <w:r>
        <w:tab/>
        <w:t xml:space="preserve">In </w:t>
      </w:r>
      <w:r w:rsidR="203F2670" w:rsidRPr="3DC7D0E8">
        <w:rPr>
          <w:rFonts w:ascii="Arial" w:eastAsia="Arial" w:hAnsi="Arial" w:cs="Arial"/>
          <w:szCs w:val="24"/>
        </w:rPr>
        <w:t xml:space="preserve">addition to the General Fund Reserve the Council, for a number of years, has maintained a Comprehensive Spending Review (CSR) Reserve. </w:t>
      </w:r>
      <w:r w:rsidR="00F61C2F">
        <w:rPr>
          <w:rFonts w:ascii="Arial" w:eastAsia="Arial" w:hAnsi="Arial" w:cs="Arial"/>
          <w:szCs w:val="24"/>
        </w:rPr>
        <w:t>Whereas t</w:t>
      </w:r>
      <w:r w:rsidR="203F2670" w:rsidRPr="3DC7D0E8">
        <w:rPr>
          <w:rFonts w:ascii="Arial" w:eastAsia="Arial" w:hAnsi="Arial" w:cs="Arial"/>
          <w:szCs w:val="24"/>
        </w:rPr>
        <w:t>his reserve acts as a ‘buffer’ for the General Fund</w:t>
      </w:r>
      <w:r w:rsidR="004B16F1">
        <w:rPr>
          <w:rFonts w:ascii="Arial" w:eastAsia="Arial" w:hAnsi="Arial" w:cs="Arial"/>
          <w:szCs w:val="24"/>
        </w:rPr>
        <w:t>, the CSR</w:t>
      </w:r>
      <w:r w:rsidR="203F2670" w:rsidRPr="3DC7D0E8">
        <w:rPr>
          <w:rFonts w:ascii="Arial" w:eastAsia="Arial" w:hAnsi="Arial" w:cs="Arial"/>
          <w:szCs w:val="24"/>
        </w:rPr>
        <w:t xml:space="preserve"> is </w:t>
      </w:r>
      <w:r w:rsidR="00F31ABB">
        <w:rPr>
          <w:rFonts w:ascii="Arial" w:eastAsia="Arial" w:hAnsi="Arial" w:cs="Arial"/>
          <w:szCs w:val="24"/>
        </w:rPr>
        <w:t xml:space="preserve">also </w:t>
      </w:r>
      <w:r w:rsidR="203F2670" w:rsidRPr="3DC7D0E8">
        <w:rPr>
          <w:rFonts w:ascii="Arial" w:eastAsia="Arial" w:hAnsi="Arial" w:cs="Arial"/>
          <w:szCs w:val="24"/>
        </w:rPr>
        <w:t xml:space="preserve">utilised </w:t>
      </w:r>
      <w:r w:rsidR="009D6582">
        <w:rPr>
          <w:rFonts w:ascii="Arial" w:eastAsia="Arial" w:hAnsi="Arial" w:cs="Arial"/>
          <w:szCs w:val="24"/>
        </w:rPr>
        <w:t xml:space="preserve">as an ‘invest to save’ reserve </w:t>
      </w:r>
      <w:r w:rsidR="00B862DB">
        <w:rPr>
          <w:rFonts w:ascii="Arial" w:eastAsia="Arial" w:hAnsi="Arial" w:cs="Arial"/>
          <w:szCs w:val="24"/>
        </w:rPr>
        <w:t xml:space="preserve">committing one off </w:t>
      </w:r>
      <w:r w:rsidR="00117091">
        <w:rPr>
          <w:rFonts w:ascii="Arial" w:eastAsia="Arial" w:hAnsi="Arial" w:cs="Arial"/>
          <w:szCs w:val="24"/>
        </w:rPr>
        <w:t>re</w:t>
      </w:r>
      <w:r w:rsidR="00B862DB">
        <w:rPr>
          <w:rFonts w:ascii="Arial" w:eastAsia="Arial" w:hAnsi="Arial" w:cs="Arial"/>
          <w:szCs w:val="24"/>
        </w:rPr>
        <w:t xml:space="preserve">sources, based on </w:t>
      </w:r>
      <w:r w:rsidR="00553231">
        <w:rPr>
          <w:rFonts w:ascii="Arial" w:eastAsia="Arial" w:hAnsi="Arial" w:cs="Arial"/>
          <w:szCs w:val="24"/>
        </w:rPr>
        <w:t>clear business cases, to deliver on-going, sustainable financial savings</w:t>
      </w:r>
      <w:r w:rsidR="00AC380F">
        <w:rPr>
          <w:rFonts w:ascii="Arial" w:eastAsia="Arial" w:hAnsi="Arial" w:cs="Arial"/>
          <w:szCs w:val="24"/>
        </w:rPr>
        <w:t xml:space="preserve"> (for example, </w:t>
      </w:r>
      <w:r w:rsidR="203F2670" w:rsidRPr="3DC7D0E8">
        <w:rPr>
          <w:rFonts w:ascii="Arial" w:eastAsia="Arial" w:hAnsi="Arial" w:cs="Arial"/>
          <w:szCs w:val="24"/>
        </w:rPr>
        <w:t xml:space="preserve">transformational activities </w:t>
      </w:r>
      <w:r w:rsidR="00AC380F">
        <w:rPr>
          <w:rFonts w:ascii="Arial" w:eastAsia="Arial" w:hAnsi="Arial" w:cs="Arial"/>
          <w:szCs w:val="24"/>
        </w:rPr>
        <w:t xml:space="preserve">such as the automation of processes). </w:t>
      </w:r>
      <w:r w:rsidR="004C5311">
        <w:t xml:space="preserve">  </w:t>
      </w:r>
    </w:p>
    <w:p w14:paraId="7F6CE17C" w14:textId="57FB369E" w:rsidR="00737E39" w:rsidRDefault="00737E39" w:rsidP="3DC7D0E8">
      <w:pPr>
        <w:ind w:left="720" w:hanging="720"/>
        <w:jc w:val="both"/>
      </w:pPr>
      <w:r>
        <w:t>2.5</w:t>
      </w:r>
      <w:r>
        <w:tab/>
        <w:t xml:space="preserve">Wherever possible, the Council will strive to maintain a </w:t>
      </w:r>
      <w:r w:rsidR="00742EAD">
        <w:t xml:space="preserve">CSR Reserve of </w:t>
      </w:r>
      <w:r w:rsidR="0098337A">
        <w:t xml:space="preserve">circa </w:t>
      </w:r>
      <w:r w:rsidR="00742EAD">
        <w:t xml:space="preserve">£3m at the commencement of each financial year in order to </w:t>
      </w:r>
      <w:r w:rsidR="008C135C">
        <w:t xml:space="preserve">consider one-off investment plans </w:t>
      </w:r>
      <w:r w:rsidR="003A3CF5">
        <w:t xml:space="preserve">which can </w:t>
      </w:r>
      <w:r w:rsidR="00742EAD">
        <w:t>‘smooth’ and manage the Council’s revenue budget</w:t>
      </w:r>
      <w:r w:rsidR="003A3CF5">
        <w:t xml:space="preserve"> over the medium to long term</w:t>
      </w:r>
      <w:r w:rsidR="00243E6B">
        <w:t>.</w:t>
      </w:r>
    </w:p>
    <w:p w14:paraId="557B1035" w14:textId="77777777" w:rsidR="00243E6B" w:rsidRDefault="00243E6B" w:rsidP="009D034D">
      <w:pPr>
        <w:ind w:left="720" w:hanging="720"/>
      </w:pPr>
    </w:p>
    <w:p w14:paraId="1DA06575" w14:textId="467DEF89" w:rsidR="00D84EB5" w:rsidRPr="00243E6B" w:rsidRDefault="00D84EB5" w:rsidP="004864B7">
      <w:pPr>
        <w:ind w:left="720"/>
        <w:rPr>
          <w:b/>
          <w:bCs/>
        </w:rPr>
      </w:pPr>
      <w:r w:rsidRPr="00243E6B">
        <w:rPr>
          <w:b/>
          <w:bCs/>
        </w:rPr>
        <w:t>Financial Risks</w:t>
      </w:r>
      <w:r w:rsidR="004864B7" w:rsidRPr="00243E6B">
        <w:rPr>
          <w:b/>
          <w:bCs/>
        </w:rPr>
        <w:t xml:space="preserve"> faced by the Council</w:t>
      </w:r>
      <w:r w:rsidRPr="00243E6B">
        <w:rPr>
          <w:b/>
          <w:bCs/>
        </w:rPr>
        <w:t xml:space="preserve"> </w:t>
      </w:r>
    </w:p>
    <w:p w14:paraId="078C72DA" w14:textId="77E054F2" w:rsidR="00A16699" w:rsidRDefault="00243E6B" w:rsidP="3DC7D0E8">
      <w:pPr>
        <w:ind w:left="720" w:hanging="720"/>
        <w:jc w:val="both"/>
      </w:pPr>
      <w:r>
        <w:t>2.6</w:t>
      </w:r>
      <w:r>
        <w:tab/>
        <w:t xml:space="preserve">Revenue budgets are set to reflect </w:t>
      </w:r>
      <w:r w:rsidR="009A4A48">
        <w:t xml:space="preserve">known and anticipated service demands and costs. </w:t>
      </w:r>
      <w:r w:rsidR="0044260F">
        <w:t xml:space="preserve">However, there are </w:t>
      </w:r>
      <w:r w:rsidR="001919B0">
        <w:t xml:space="preserve">a </w:t>
      </w:r>
      <w:r w:rsidR="0044260F">
        <w:t>number of financial risks that the Council do not ‘budg</w:t>
      </w:r>
      <w:r w:rsidR="000D30FF">
        <w:t xml:space="preserve">et’ </w:t>
      </w:r>
      <w:r w:rsidR="000F7461">
        <w:t>for but</w:t>
      </w:r>
      <w:r w:rsidR="000D30FF">
        <w:t xml:space="preserve"> keep under constant review and scrutiny.  </w:t>
      </w:r>
    </w:p>
    <w:p w14:paraId="35865788" w14:textId="47E8F259" w:rsidR="00581FCE" w:rsidRDefault="00581FCE" w:rsidP="00EB48B3">
      <w:pPr>
        <w:ind w:left="720" w:hanging="720"/>
      </w:pPr>
      <w:r>
        <w:t>2.7</w:t>
      </w:r>
      <w:r>
        <w:tab/>
        <w:t xml:space="preserve">The major financial risks faced by the Council as at </w:t>
      </w:r>
      <w:r w:rsidR="001919B0">
        <w:t>December</w:t>
      </w:r>
      <w:r>
        <w:t xml:space="preserve"> 202</w:t>
      </w:r>
      <w:r w:rsidR="00122A65">
        <w:t>5</w:t>
      </w:r>
      <w:r>
        <w:t xml:space="preserve"> include:</w:t>
      </w:r>
    </w:p>
    <w:p w14:paraId="2ED42DE1" w14:textId="3C2810C3" w:rsidR="00581FCE" w:rsidRDefault="00436DFD" w:rsidP="3DC7D0E8">
      <w:pPr>
        <w:pStyle w:val="ListParagraph"/>
        <w:numPr>
          <w:ilvl w:val="0"/>
          <w:numId w:val="34"/>
        </w:numPr>
        <w:spacing w:after="0"/>
        <w:jc w:val="both"/>
      </w:pPr>
      <w:r>
        <w:t xml:space="preserve">Delivery of the Dedicated School Grant (DSG) ‘Safety Valve’ Improvement Plan </w:t>
      </w:r>
      <w:r w:rsidR="003D2448">
        <w:t xml:space="preserve">(addressing </w:t>
      </w:r>
      <w:r w:rsidR="002B41F8">
        <w:t xml:space="preserve">a </w:t>
      </w:r>
      <w:r w:rsidR="003D2448">
        <w:t>£12m legacy DSG deficit)</w:t>
      </w:r>
      <w:r w:rsidR="00BC0781">
        <w:t xml:space="preserve">. Despite achieving </w:t>
      </w:r>
      <w:r w:rsidR="00AD7864">
        <w:t xml:space="preserve">the </w:t>
      </w:r>
      <w:r w:rsidR="00BC0781">
        <w:t xml:space="preserve">initial targets </w:t>
      </w:r>
      <w:r w:rsidR="00AD7864">
        <w:t xml:space="preserve">as </w:t>
      </w:r>
      <w:r w:rsidR="00BC0781">
        <w:t xml:space="preserve">agreed with government, </w:t>
      </w:r>
      <w:r w:rsidR="00AD7864">
        <w:t>recent progress has been challenging with an end of year deficit forecast for 2025/26</w:t>
      </w:r>
      <w:r w:rsidR="003D2448">
        <w:t>;</w:t>
      </w:r>
    </w:p>
    <w:p w14:paraId="5D9E522C" w14:textId="77777777" w:rsidR="007C76FD" w:rsidRDefault="007C76FD" w:rsidP="3DC7D0E8">
      <w:pPr>
        <w:pStyle w:val="ListParagraph"/>
        <w:spacing w:after="0"/>
        <w:ind w:left="1440"/>
        <w:jc w:val="both"/>
      </w:pPr>
    </w:p>
    <w:p w14:paraId="59E6625D" w14:textId="6136CD44" w:rsidR="003D2448" w:rsidRDefault="002A22C4" w:rsidP="3DC7D0E8">
      <w:pPr>
        <w:pStyle w:val="ListParagraph"/>
        <w:numPr>
          <w:ilvl w:val="0"/>
          <w:numId w:val="34"/>
        </w:numPr>
        <w:spacing w:after="0"/>
        <w:jc w:val="both"/>
        <w:rPr>
          <w:szCs w:val="24"/>
        </w:rPr>
      </w:pPr>
      <w:r>
        <w:t>D</w:t>
      </w:r>
      <w:r w:rsidR="00F83203">
        <w:t xml:space="preserve">elivering the required transformation programme for </w:t>
      </w:r>
      <w:r w:rsidR="0BDA93AF" w:rsidRPr="3DC7D0E8">
        <w:rPr>
          <w:rFonts w:ascii="Arial" w:eastAsia="Arial" w:hAnsi="Arial" w:cs="Arial"/>
          <w:szCs w:val="24"/>
        </w:rPr>
        <w:t xml:space="preserve">Adult Social Care </w:t>
      </w:r>
      <w:r w:rsidR="00EC3C3B">
        <w:rPr>
          <w:rFonts w:ascii="Arial" w:eastAsia="Arial" w:hAnsi="Arial" w:cs="Arial"/>
          <w:szCs w:val="24"/>
        </w:rPr>
        <w:t xml:space="preserve">which is </w:t>
      </w:r>
      <w:r w:rsidR="002B6262">
        <w:rPr>
          <w:rFonts w:ascii="Arial" w:eastAsia="Arial" w:hAnsi="Arial" w:cs="Arial"/>
          <w:szCs w:val="24"/>
        </w:rPr>
        <w:t xml:space="preserve">aimed at reducing annual spend by at least </w:t>
      </w:r>
      <w:r w:rsidR="0BDA93AF" w:rsidRPr="3DC7D0E8">
        <w:rPr>
          <w:rFonts w:ascii="Arial" w:eastAsia="Arial" w:hAnsi="Arial" w:cs="Arial"/>
          <w:szCs w:val="24"/>
        </w:rPr>
        <w:t>£15m</w:t>
      </w:r>
      <w:r w:rsidR="00D2428F">
        <w:rPr>
          <w:rFonts w:ascii="Arial" w:eastAsia="Arial" w:hAnsi="Arial" w:cs="Arial"/>
          <w:szCs w:val="24"/>
        </w:rPr>
        <w:t xml:space="preserve">. </w:t>
      </w:r>
      <w:r w:rsidR="003566F4">
        <w:rPr>
          <w:rFonts w:ascii="Arial" w:eastAsia="Arial" w:hAnsi="Arial" w:cs="Arial"/>
          <w:szCs w:val="24"/>
        </w:rPr>
        <w:t>T</w:t>
      </w:r>
      <w:r w:rsidR="00D2428F">
        <w:rPr>
          <w:rFonts w:ascii="Arial" w:eastAsia="Arial" w:hAnsi="Arial" w:cs="Arial"/>
          <w:szCs w:val="24"/>
        </w:rPr>
        <w:t>he Council entered a new, five year contract with the Integrated Care Organisation</w:t>
      </w:r>
      <w:r w:rsidR="00EB18A9">
        <w:rPr>
          <w:rFonts w:ascii="Arial" w:eastAsia="Arial" w:hAnsi="Arial" w:cs="Arial"/>
          <w:szCs w:val="24"/>
        </w:rPr>
        <w:t>, for the provision of statutory social care services,</w:t>
      </w:r>
      <w:r w:rsidR="00D2428F">
        <w:rPr>
          <w:rFonts w:ascii="Arial" w:eastAsia="Arial" w:hAnsi="Arial" w:cs="Arial"/>
          <w:szCs w:val="24"/>
        </w:rPr>
        <w:t xml:space="preserve"> which </w:t>
      </w:r>
      <w:r w:rsidR="003566F4">
        <w:rPr>
          <w:rFonts w:ascii="Arial" w:eastAsia="Arial" w:hAnsi="Arial" w:cs="Arial"/>
          <w:szCs w:val="24"/>
        </w:rPr>
        <w:t xml:space="preserve">commenced in </w:t>
      </w:r>
      <w:r w:rsidR="00D2428F">
        <w:rPr>
          <w:rFonts w:ascii="Arial" w:eastAsia="Arial" w:hAnsi="Arial" w:cs="Arial"/>
          <w:szCs w:val="24"/>
        </w:rPr>
        <w:t>March 2025</w:t>
      </w:r>
      <w:r w:rsidR="00284D47">
        <w:rPr>
          <w:rFonts w:ascii="Arial" w:eastAsia="Arial" w:hAnsi="Arial" w:cs="Arial"/>
          <w:szCs w:val="24"/>
        </w:rPr>
        <w:t xml:space="preserve">. </w:t>
      </w:r>
      <w:r w:rsidR="002C6C3D">
        <w:rPr>
          <w:rFonts w:ascii="Arial" w:eastAsia="Arial" w:hAnsi="Arial" w:cs="Arial"/>
          <w:szCs w:val="24"/>
        </w:rPr>
        <w:t xml:space="preserve">However, with </w:t>
      </w:r>
      <w:r w:rsidR="00AD24B1">
        <w:rPr>
          <w:rFonts w:ascii="Arial" w:eastAsia="Arial" w:hAnsi="Arial" w:cs="Arial"/>
          <w:szCs w:val="24"/>
        </w:rPr>
        <w:t xml:space="preserve">the local health sector facing significant </w:t>
      </w:r>
      <w:r w:rsidR="002C6C3D">
        <w:rPr>
          <w:rFonts w:ascii="Arial" w:eastAsia="Arial" w:hAnsi="Arial" w:cs="Arial"/>
          <w:szCs w:val="24"/>
        </w:rPr>
        <w:t>financial challenges</w:t>
      </w:r>
      <w:r w:rsidR="00AD24B1">
        <w:rPr>
          <w:rFonts w:ascii="Arial" w:eastAsia="Arial" w:hAnsi="Arial" w:cs="Arial"/>
          <w:szCs w:val="24"/>
        </w:rPr>
        <w:t xml:space="preserve">, coupled with the existing </w:t>
      </w:r>
      <w:r w:rsidR="00284D47">
        <w:rPr>
          <w:rFonts w:ascii="Arial" w:eastAsia="Arial" w:hAnsi="Arial" w:cs="Arial"/>
          <w:szCs w:val="24"/>
        </w:rPr>
        <w:t xml:space="preserve">annual spend against </w:t>
      </w:r>
      <w:r w:rsidR="00306804">
        <w:rPr>
          <w:rFonts w:ascii="Arial" w:eastAsia="Arial" w:hAnsi="Arial" w:cs="Arial"/>
          <w:szCs w:val="24"/>
        </w:rPr>
        <w:t xml:space="preserve">the Torbay </w:t>
      </w:r>
      <w:r w:rsidR="00284D47">
        <w:rPr>
          <w:rFonts w:ascii="Arial" w:eastAsia="Arial" w:hAnsi="Arial" w:cs="Arial"/>
          <w:szCs w:val="24"/>
        </w:rPr>
        <w:t xml:space="preserve">contract </w:t>
      </w:r>
      <w:r w:rsidR="00306804">
        <w:rPr>
          <w:rFonts w:ascii="Arial" w:eastAsia="Arial" w:hAnsi="Arial" w:cs="Arial"/>
          <w:szCs w:val="24"/>
        </w:rPr>
        <w:t>being</w:t>
      </w:r>
      <w:r w:rsidR="00284D47">
        <w:rPr>
          <w:rFonts w:ascii="Arial" w:eastAsia="Arial" w:hAnsi="Arial" w:cs="Arial"/>
          <w:szCs w:val="24"/>
        </w:rPr>
        <w:t xml:space="preserve"> significantly more than the budget available</w:t>
      </w:r>
      <w:r w:rsidR="00306804">
        <w:rPr>
          <w:rFonts w:ascii="Arial" w:eastAsia="Arial" w:hAnsi="Arial" w:cs="Arial"/>
          <w:szCs w:val="24"/>
        </w:rPr>
        <w:t>, the Council faces a material financial liability risk</w:t>
      </w:r>
      <w:r w:rsidR="001D6953">
        <w:rPr>
          <w:rFonts w:ascii="Arial" w:eastAsia="Arial" w:hAnsi="Arial" w:cs="Arial"/>
          <w:szCs w:val="24"/>
        </w:rPr>
        <w:t xml:space="preserve"> should the</w:t>
      </w:r>
      <w:r w:rsidR="00182615">
        <w:rPr>
          <w:rFonts w:ascii="Arial" w:eastAsia="Arial" w:hAnsi="Arial" w:cs="Arial"/>
          <w:szCs w:val="24"/>
        </w:rPr>
        <w:t xml:space="preserve"> current arrangements cease</w:t>
      </w:r>
      <w:r w:rsidR="00780552">
        <w:t>;</w:t>
      </w:r>
    </w:p>
    <w:p w14:paraId="664DDA26" w14:textId="77777777" w:rsidR="007C76FD" w:rsidRDefault="007C76FD" w:rsidP="3DC7D0E8">
      <w:pPr>
        <w:spacing w:after="0"/>
        <w:jc w:val="both"/>
      </w:pPr>
    </w:p>
    <w:p w14:paraId="50E88BE3" w14:textId="331D969E" w:rsidR="00EC4340" w:rsidRDefault="004D5EDF" w:rsidP="3DC7D0E8">
      <w:pPr>
        <w:pStyle w:val="ListParagraph"/>
        <w:numPr>
          <w:ilvl w:val="0"/>
          <w:numId w:val="34"/>
        </w:numPr>
        <w:spacing w:after="0"/>
        <w:jc w:val="both"/>
      </w:pPr>
      <w:r>
        <w:t>High</w:t>
      </w:r>
      <w:r w:rsidR="00D27D77">
        <w:t>, and escalating,</w:t>
      </w:r>
      <w:r>
        <w:t xml:space="preserve"> cost of</w:t>
      </w:r>
      <w:r w:rsidR="00D27D77">
        <w:t xml:space="preserve"> Children Social Care placements and the potential impact of legislation that </w:t>
      </w:r>
      <w:r w:rsidR="002A51E5">
        <w:t xml:space="preserve">will require </w:t>
      </w:r>
      <w:r w:rsidR="00CD7A6E">
        <w:t>t</w:t>
      </w:r>
      <w:r w:rsidR="002A51E5">
        <w:t>he Council to subscribe to a ‘Regional Care Co-operative’</w:t>
      </w:r>
      <w:r w:rsidR="00EC4340">
        <w:t>;</w:t>
      </w:r>
    </w:p>
    <w:p w14:paraId="5E6DC1E5" w14:textId="77777777" w:rsidR="007C76FD" w:rsidRDefault="007C76FD" w:rsidP="3DC7D0E8">
      <w:pPr>
        <w:spacing w:after="0"/>
        <w:jc w:val="both"/>
      </w:pPr>
    </w:p>
    <w:p w14:paraId="2A9DD2E1" w14:textId="04445CAE" w:rsidR="00780552" w:rsidRDefault="00EC4340" w:rsidP="3DC7D0E8">
      <w:pPr>
        <w:pStyle w:val="ListParagraph"/>
        <w:numPr>
          <w:ilvl w:val="0"/>
          <w:numId w:val="34"/>
        </w:numPr>
        <w:spacing w:after="0"/>
        <w:jc w:val="both"/>
      </w:pPr>
      <w:r>
        <w:t xml:space="preserve">The high and rising costs, over and above budget levels, of tackling the housing crisis – </w:t>
      </w:r>
      <w:r w:rsidR="00C617C4">
        <w:t xml:space="preserve">continuing to </w:t>
      </w:r>
      <w:r>
        <w:t xml:space="preserve">support </w:t>
      </w:r>
      <w:r w:rsidR="00E8788F">
        <w:t xml:space="preserve">local residents through the </w:t>
      </w:r>
      <w:r w:rsidR="00377997">
        <w:t>‘</w:t>
      </w:r>
      <w:r w:rsidR="00E8788F">
        <w:t>cost of living crisis</w:t>
      </w:r>
      <w:r w:rsidR="00377997">
        <w:t>’</w:t>
      </w:r>
      <w:r w:rsidR="00E8788F">
        <w:t xml:space="preserve"> and addressing homelessness across the Bay;</w:t>
      </w:r>
      <w:r w:rsidR="004D5EDF">
        <w:t xml:space="preserve"> </w:t>
      </w:r>
      <w:r w:rsidR="5FC37262">
        <w:t xml:space="preserve"> </w:t>
      </w:r>
    </w:p>
    <w:p w14:paraId="5945DB38" w14:textId="77777777" w:rsidR="007C76FD" w:rsidRDefault="007C76FD" w:rsidP="3DC7D0E8">
      <w:pPr>
        <w:spacing w:after="0"/>
        <w:jc w:val="both"/>
      </w:pPr>
    </w:p>
    <w:p w14:paraId="6CDFAA8C" w14:textId="32D7766B" w:rsidR="007C76FD" w:rsidRDefault="00E20885" w:rsidP="3DC7D0E8">
      <w:pPr>
        <w:pStyle w:val="ListParagraph"/>
        <w:numPr>
          <w:ilvl w:val="0"/>
          <w:numId w:val="34"/>
        </w:numPr>
        <w:spacing w:after="0"/>
        <w:jc w:val="both"/>
      </w:pPr>
      <w:r>
        <w:t xml:space="preserve">The viability and volatility of </w:t>
      </w:r>
      <w:r w:rsidR="00D01906">
        <w:t xml:space="preserve">numerous capital investment projects that the Council is striving to deliver and the associated </w:t>
      </w:r>
      <w:r w:rsidR="007C76FD">
        <w:t xml:space="preserve">risk of </w:t>
      </w:r>
      <w:r w:rsidR="00D01906">
        <w:t>abortive</w:t>
      </w:r>
      <w:r w:rsidR="007C76FD">
        <w:t xml:space="preserve"> revenue costs for any </w:t>
      </w:r>
      <w:r w:rsidR="000C3B09">
        <w:t xml:space="preserve">schemes that ultimately prove to be </w:t>
      </w:r>
      <w:r w:rsidR="007C76FD">
        <w:t>undeliverable</w:t>
      </w:r>
      <w:r w:rsidR="00CD7A6E">
        <w:t>;</w:t>
      </w:r>
    </w:p>
    <w:p w14:paraId="76A1549A" w14:textId="77777777" w:rsidR="00CD7A6E" w:rsidRDefault="00CD7A6E" w:rsidP="00CD7A6E">
      <w:pPr>
        <w:pStyle w:val="ListParagraph"/>
      </w:pPr>
    </w:p>
    <w:p w14:paraId="3E7A587C" w14:textId="1CC8E82B" w:rsidR="00CD7A6E" w:rsidRDefault="00CD7A6E" w:rsidP="3DC7D0E8">
      <w:pPr>
        <w:pStyle w:val="ListParagraph"/>
        <w:numPr>
          <w:ilvl w:val="0"/>
          <w:numId w:val="34"/>
        </w:numPr>
        <w:spacing w:after="0"/>
        <w:jc w:val="both"/>
      </w:pPr>
      <w:r>
        <w:t xml:space="preserve">Security and uncertainty </w:t>
      </w:r>
      <w:r w:rsidR="000E0B34">
        <w:t>regarding</w:t>
      </w:r>
      <w:r w:rsidR="00CF6353">
        <w:t xml:space="preserve"> future revenue income streams.  With</w:t>
      </w:r>
      <w:r w:rsidR="656F1867">
        <w:t xml:space="preserve"> </w:t>
      </w:r>
      <w:r w:rsidR="00C92C78">
        <w:t xml:space="preserve">the detailed </w:t>
      </w:r>
      <w:r w:rsidR="0096207B">
        <w:t xml:space="preserve">three year </w:t>
      </w:r>
      <w:r w:rsidR="00C92C78">
        <w:t xml:space="preserve">budget for </w:t>
      </w:r>
      <w:r w:rsidR="00E2668E">
        <w:t>the</w:t>
      </w:r>
      <w:r w:rsidR="00C92C78">
        <w:t xml:space="preserve"> Council</w:t>
      </w:r>
      <w:r w:rsidR="00E2668E">
        <w:t>,</w:t>
      </w:r>
      <w:r w:rsidR="00C92C78">
        <w:t xml:space="preserve"> resulting from the Government’s Fair Funding Review</w:t>
      </w:r>
      <w:r w:rsidR="0096207B">
        <w:t>,</w:t>
      </w:r>
      <w:r w:rsidR="00C92C78">
        <w:t xml:space="preserve"> not being known until </w:t>
      </w:r>
      <w:r w:rsidR="0098337A">
        <w:t>mid-</w:t>
      </w:r>
      <w:r w:rsidR="00C92C78">
        <w:t xml:space="preserve">December 2025, </w:t>
      </w:r>
      <w:r w:rsidR="00E2668E">
        <w:t xml:space="preserve">independent financial modelling, (undertaken by LGFutures), indicates that </w:t>
      </w:r>
      <w:r w:rsidR="00221527">
        <w:t>Torbay could lose circa £5.8m of revenue funding from its base over the next three financial years</w:t>
      </w:r>
      <w:r w:rsidR="009E3ED8">
        <w:t>;</w:t>
      </w:r>
    </w:p>
    <w:p w14:paraId="2A870270" w14:textId="77777777" w:rsidR="009E3ED8" w:rsidRDefault="009E3ED8" w:rsidP="009E3ED8">
      <w:pPr>
        <w:pStyle w:val="ListParagraph"/>
      </w:pPr>
    </w:p>
    <w:p w14:paraId="25362DC7" w14:textId="2144F237" w:rsidR="009E3ED8" w:rsidRDefault="009E3ED8" w:rsidP="3DC7D0E8">
      <w:pPr>
        <w:pStyle w:val="ListParagraph"/>
        <w:numPr>
          <w:ilvl w:val="0"/>
          <w:numId w:val="34"/>
        </w:numPr>
        <w:spacing w:after="0"/>
        <w:jc w:val="both"/>
      </w:pPr>
      <w:r>
        <w:t xml:space="preserve">Transition costs associated with the preparation </w:t>
      </w:r>
      <w:r w:rsidR="009E4C57">
        <w:t xml:space="preserve">for Local Government Re-Organisation (LGR). </w:t>
      </w:r>
      <w:r w:rsidR="00506336">
        <w:t>Along with other South West Councils, Torbay</w:t>
      </w:r>
      <w:r w:rsidR="009E4C57">
        <w:t xml:space="preserve"> ha</w:t>
      </w:r>
      <w:r w:rsidR="00506336">
        <w:t>ve</w:t>
      </w:r>
      <w:r w:rsidR="009E4C57">
        <w:t xml:space="preserve"> submitted a preferred LGR option to Government a</w:t>
      </w:r>
      <w:r w:rsidR="00506336">
        <w:t xml:space="preserve">nd await the outcome which is anticipated in May 2026. Depending on the </w:t>
      </w:r>
      <w:r w:rsidR="00FA4BDA">
        <w:t>direction given by Government, the transitional costs associated with preparing for a potential new, larger Unitary Council could be significant.</w:t>
      </w:r>
      <w:r w:rsidR="00506336">
        <w:t xml:space="preserve"> </w:t>
      </w:r>
      <w:r w:rsidR="009E4C57">
        <w:t xml:space="preserve"> </w:t>
      </w:r>
    </w:p>
    <w:p w14:paraId="1F4F4739" w14:textId="64DE260C" w:rsidR="1D91C4D7" w:rsidRDefault="1D91C4D7" w:rsidP="1D91C4D7">
      <w:pPr>
        <w:pStyle w:val="ListParagraph"/>
        <w:spacing w:after="0"/>
        <w:ind w:left="1440"/>
        <w:jc w:val="both"/>
        <w:rPr>
          <w:sz w:val="12"/>
          <w:szCs w:val="12"/>
        </w:rPr>
      </w:pPr>
    </w:p>
    <w:p w14:paraId="383529EE" w14:textId="466F4A36" w:rsidR="23840842" w:rsidRDefault="23840842" w:rsidP="5CFE2B1A">
      <w:pPr>
        <w:pStyle w:val="ListParagraph"/>
        <w:numPr>
          <w:ilvl w:val="0"/>
          <w:numId w:val="34"/>
        </w:numPr>
        <w:spacing w:after="0"/>
        <w:jc w:val="both"/>
      </w:pPr>
      <w:r>
        <w:t>A recent condition survey of the numerous assets owned by the Council identified a significant backlog maintenance requirement to bring the stock up to a reaso</w:t>
      </w:r>
      <w:r w:rsidR="5861841D">
        <w:t xml:space="preserve">nable state of repair.  Although maintenance budgets have been increased over the last couple of years, there remains a risk that they might not be sufficient in the event of </w:t>
      </w:r>
      <w:r w:rsidR="2B6BB3C7">
        <w:t xml:space="preserve">any </w:t>
      </w:r>
      <w:r w:rsidR="5861841D">
        <w:t>unforeseen circumstances</w:t>
      </w:r>
      <w:r w:rsidR="50BE65BE">
        <w:t>.</w:t>
      </w:r>
    </w:p>
    <w:p w14:paraId="542CD10E" w14:textId="6254DE43" w:rsidR="00E20885" w:rsidRDefault="00D01906" w:rsidP="007C76FD">
      <w:pPr>
        <w:spacing w:after="0"/>
      </w:pPr>
      <w:r>
        <w:t xml:space="preserve"> </w:t>
      </w:r>
    </w:p>
    <w:p w14:paraId="66A6344F" w14:textId="3981A895" w:rsidR="002C23F8" w:rsidRDefault="00A16699" w:rsidP="3DC7D0E8">
      <w:pPr>
        <w:ind w:left="720" w:hanging="720"/>
        <w:jc w:val="both"/>
      </w:pPr>
      <w:r>
        <w:t>2.</w:t>
      </w:r>
      <w:r w:rsidR="00581FCE">
        <w:t>8</w:t>
      </w:r>
      <w:r>
        <w:t xml:space="preserve"> </w:t>
      </w:r>
      <w:r>
        <w:tab/>
      </w:r>
      <w:r w:rsidR="000D30FF">
        <w:t>At any point of time, any such risk could materialise which would significantly impact on the Council’s ability to maintain a balanced reve</w:t>
      </w:r>
      <w:r>
        <w:t>nue budget hence the requirement to maintain adequate a</w:t>
      </w:r>
      <w:r w:rsidR="005135DD">
        <w:t xml:space="preserve">nd reasonable General Fund and CSR Reserves. </w:t>
      </w:r>
    </w:p>
    <w:p w14:paraId="478CFFD7" w14:textId="77777777" w:rsidR="002C23F8" w:rsidRPr="002C23F8" w:rsidRDefault="002C23F8" w:rsidP="002C23F8">
      <w:pPr>
        <w:shd w:val="clear" w:color="auto" w:fill="FFFFFF"/>
        <w:spacing w:before="120" w:line="240" w:lineRule="auto"/>
        <w:textAlignment w:val="baseline"/>
        <w:rPr>
          <w:rFonts w:ascii="Verdana" w:eastAsia="Times New Roman" w:hAnsi="Verdana" w:cs="Times New Roman"/>
          <w:color w:val="333333"/>
          <w:sz w:val="18"/>
          <w:szCs w:val="18"/>
          <w:lang w:eastAsia="en-GB"/>
        </w:rPr>
      </w:pPr>
      <w:r w:rsidRPr="002C23F8">
        <w:rPr>
          <w:rFonts w:ascii="Verdana" w:eastAsia="Times New Roman" w:hAnsi="Verdana" w:cs="Times New Roman"/>
          <w:color w:val="333333"/>
          <w:sz w:val="18"/>
          <w:szCs w:val="18"/>
          <w:lang w:eastAsia="en-GB"/>
        </w:rPr>
        <w:t> </w:t>
      </w:r>
    </w:p>
    <w:p w14:paraId="2C613B61" w14:textId="3B0D4A50" w:rsidR="00B0244B" w:rsidRDefault="00B0244B" w:rsidP="00CE70FC">
      <w:pPr>
        <w:pStyle w:val="Heading1"/>
      </w:pPr>
      <w:r>
        <w:t>3.</w:t>
      </w:r>
      <w:r>
        <w:tab/>
      </w:r>
      <w:r w:rsidR="002C23F8">
        <w:t>Procedure</w:t>
      </w:r>
      <w:r w:rsidR="00030797">
        <w:t xml:space="preserve"> and Governance</w:t>
      </w:r>
    </w:p>
    <w:p w14:paraId="359434B1" w14:textId="327C3E2F" w:rsidR="00B0244B" w:rsidRDefault="00B458C1" w:rsidP="3DC7D0E8">
      <w:pPr>
        <w:pStyle w:val="Indentedtextfornumberedlists"/>
        <w:spacing w:after="240"/>
        <w:jc w:val="both"/>
      </w:pPr>
      <w:r>
        <w:t>3.</w:t>
      </w:r>
      <w:r w:rsidR="008C04D8">
        <w:t>1</w:t>
      </w:r>
      <w:r>
        <w:tab/>
      </w:r>
      <w:r w:rsidR="002C23F8">
        <w:t>The Co</w:t>
      </w:r>
      <w:r w:rsidR="001A69F6">
        <w:t xml:space="preserve">uncil’s </w:t>
      </w:r>
      <w:r w:rsidR="29F661DB">
        <w:t>Chief Finance Officer</w:t>
      </w:r>
      <w:r w:rsidR="001A69F6">
        <w:t xml:space="preserve">, (Section 151 Officer), holds responsibility for creating and reviewing </w:t>
      </w:r>
      <w:r w:rsidR="006A0A15">
        <w:t xml:space="preserve">a reserve with a requirement for </w:t>
      </w:r>
      <w:r w:rsidR="007D53E0">
        <w:t xml:space="preserve">regular reporting (at least annually) to Cabinet and Council. </w:t>
      </w:r>
      <w:r w:rsidR="004720FB">
        <w:t xml:space="preserve">When instigating a new reserve, the following </w:t>
      </w:r>
      <w:r w:rsidR="2912A458">
        <w:t xml:space="preserve">will always </w:t>
      </w:r>
      <w:r w:rsidR="004720FB">
        <w:t>be considered:</w:t>
      </w:r>
    </w:p>
    <w:p w14:paraId="22854EAE" w14:textId="30B36B04" w:rsidR="004720FB" w:rsidRPr="00886C41" w:rsidRDefault="00C62240" w:rsidP="00CD2F07">
      <w:pPr>
        <w:pStyle w:val="ListParagraph"/>
        <w:numPr>
          <w:ilvl w:val="0"/>
          <w:numId w:val="27"/>
        </w:numPr>
        <w:ind w:left="1276" w:hanging="567"/>
        <w:rPr>
          <w:rFonts w:eastAsia="Times New Roman" w:cstheme="minorHAnsi"/>
          <w:szCs w:val="24"/>
          <w:bdr w:val="none" w:sz="0" w:space="0" w:color="auto" w:frame="1"/>
          <w:lang w:eastAsia="en-GB"/>
        </w:rPr>
      </w:pPr>
      <w:r w:rsidRPr="3DC7D0E8">
        <w:rPr>
          <w:rFonts w:eastAsia="Times New Roman"/>
          <w:bdr w:val="none" w:sz="0" w:space="0" w:color="auto" w:frame="1"/>
          <w:lang w:eastAsia="en-GB"/>
        </w:rPr>
        <w:t xml:space="preserve">The reason for / purpose of the </w:t>
      </w:r>
      <w:r w:rsidR="00831A26" w:rsidRPr="3DC7D0E8">
        <w:rPr>
          <w:rFonts w:eastAsia="Times New Roman"/>
          <w:bdr w:val="none" w:sz="0" w:space="0" w:color="auto" w:frame="1"/>
          <w:lang w:eastAsia="en-GB"/>
        </w:rPr>
        <w:t>r</w:t>
      </w:r>
      <w:r w:rsidRPr="3DC7D0E8">
        <w:rPr>
          <w:rFonts w:eastAsia="Times New Roman"/>
          <w:bdr w:val="none" w:sz="0" w:space="0" w:color="auto" w:frame="1"/>
          <w:lang w:eastAsia="en-GB"/>
        </w:rPr>
        <w:t>eserve;</w:t>
      </w:r>
    </w:p>
    <w:p w14:paraId="72DFB6C0" w14:textId="16699EBB" w:rsidR="00C62240" w:rsidRPr="00886C41" w:rsidRDefault="00C62240" w:rsidP="00CD2F07">
      <w:pPr>
        <w:pStyle w:val="ListParagraph"/>
        <w:numPr>
          <w:ilvl w:val="0"/>
          <w:numId w:val="27"/>
        </w:numPr>
        <w:ind w:left="1276" w:hanging="567"/>
        <w:rPr>
          <w:rFonts w:eastAsia="Times New Roman" w:cstheme="minorHAnsi"/>
          <w:szCs w:val="24"/>
          <w:bdr w:val="none" w:sz="0" w:space="0" w:color="auto" w:frame="1"/>
          <w:lang w:eastAsia="en-GB"/>
        </w:rPr>
      </w:pPr>
      <w:r w:rsidRPr="3DC7D0E8">
        <w:rPr>
          <w:rFonts w:eastAsia="Times New Roman"/>
          <w:bdr w:val="none" w:sz="0" w:space="0" w:color="auto" w:frame="1"/>
          <w:lang w:eastAsia="en-GB"/>
        </w:rPr>
        <w:t>How and when the reserve can be used;</w:t>
      </w:r>
    </w:p>
    <w:p w14:paraId="6EBAD2D5" w14:textId="641A9426" w:rsidR="00831A26" w:rsidRPr="00886C41" w:rsidRDefault="00831A26" w:rsidP="00CD2F07">
      <w:pPr>
        <w:pStyle w:val="ListParagraph"/>
        <w:numPr>
          <w:ilvl w:val="0"/>
          <w:numId w:val="27"/>
        </w:numPr>
        <w:ind w:left="1276" w:hanging="567"/>
        <w:rPr>
          <w:rFonts w:eastAsia="Times New Roman" w:cstheme="minorHAnsi"/>
          <w:szCs w:val="24"/>
          <w:bdr w:val="none" w:sz="0" w:space="0" w:color="auto" w:frame="1"/>
          <w:lang w:eastAsia="en-GB"/>
        </w:rPr>
      </w:pPr>
      <w:r w:rsidRPr="3DC7D0E8">
        <w:rPr>
          <w:rFonts w:eastAsia="Times New Roman"/>
          <w:bdr w:val="none" w:sz="0" w:space="0" w:color="auto" w:frame="1"/>
          <w:lang w:eastAsia="en-GB"/>
        </w:rPr>
        <w:t>Procedures for the reserve’s management and control;</w:t>
      </w:r>
    </w:p>
    <w:p w14:paraId="70DE8D94" w14:textId="77777777" w:rsidR="00605630" w:rsidRPr="00886C41" w:rsidRDefault="00831A26" w:rsidP="00CD2F07">
      <w:pPr>
        <w:pStyle w:val="ListParagraph"/>
        <w:numPr>
          <w:ilvl w:val="0"/>
          <w:numId w:val="27"/>
        </w:numPr>
        <w:ind w:left="1276" w:hanging="567"/>
        <w:rPr>
          <w:rFonts w:eastAsia="Times New Roman" w:cstheme="minorHAnsi"/>
          <w:szCs w:val="24"/>
          <w:bdr w:val="none" w:sz="0" w:space="0" w:color="auto" w:frame="1"/>
          <w:lang w:eastAsia="en-GB"/>
        </w:rPr>
      </w:pPr>
      <w:r w:rsidRPr="3DC7D0E8">
        <w:rPr>
          <w:rFonts w:eastAsia="Times New Roman"/>
          <w:bdr w:val="none" w:sz="0" w:space="0" w:color="auto" w:frame="1"/>
          <w:lang w:eastAsia="en-GB"/>
        </w:rPr>
        <w:t xml:space="preserve">A process and timetable for a review </w:t>
      </w:r>
      <w:r w:rsidR="00896883" w:rsidRPr="3DC7D0E8">
        <w:rPr>
          <w:rFonts w:eastAsia="Times New Roman"/>
          <w:bdr w:val="none" w:sz="0" w:space="0" w:color="auto" w:frame="1"/>
          <w:lang w:eastAsia="en-GB"/>
        </w:rPr>
        <w:t xml:space="preserve">of the reserve </w:t>
      </w:r>
      <w:r w:rsidRPr="3DC7D0E8">
        <w:rPr>
          <w:rFonts w:eastAsia="Times New Roman"/>
          <w:bdr w:val="none" w:sz="0" w:space="0" w:color="auto" w:frame="1"/>
          <w:lang w:eastAsia="en-GB"/>
        </w:rPr>
        <w:t>to ensure continuing relevance and adequacy</w:t>
      </w:r>
      <w:r w:rsidR="00896883" w:rsidRPr="3DC7D0E8">
        <w:rPr>
          <w:rFonts w:eastAsia="Times New Roman"/>
          <w:bdr w:val="none" w:sz="0" w:space="0" w:color="auto" w:frame="1"/>
          <w:lang w:eastAsia="en-GB"/>
        </w:rPr>
        <w:t>.</w:t>
      </w:r>
    </w:p>
    <w:p w14:paraId="085A6EEA" w14:textId="0399CAAE" w:rsidR="00A560AD" w:rsidRDefault="04A2ADD9" w:rsidP="3DC7D0E8">
      <w:pPr>
        <w:pStyle w:val="Indentedtextfornumberedlists"/>
        <w:spacing w:after="240"/>
        <w:jc w:val="both"/>
      </w:pPr>
      <w:r>
        <w:t xml:space="preserve">3.2 </w:t>
      </w:r>
      <w:r w:rsidR="000622D1">
        <w:tab/>
        <w:t xml:space="preserve">A statement of all </w:t>
      </w:r>
      <w:r w:rsidR="00DA5757">
        <w:t xml:space="preserve">significant </w:t>
      </w:r>
      <w:r w:rsidR="000622D1">
        <w:t xml:space="preserve">reserves held, with their </w:t>
      </w:r>
      <w:r w:rsidR="00D8461A">
        <w:t xml:space="preserve">anticipated balance at financial year end will be produced </w:t>
      </w:r>
      <w:r w:rsidR="00F904A6">
        <w:t>annually as part of the Council’s budget setting papers.</w:t>
      </w:r>
      <w:r w:rsidR="004C3299">
        <w:t xml:space="preserve"> This statement will </w:t>
      </w:r>
      <w:r w:rsidR="000C6AC0">
        <w:t>represent</w:t>
      </w:r>
      <w:r w:rsidR="004C3299">
        <w:t xml:space="preserve"> formal sign off from the Council’s S</w:t>
      </w:r>
      <w:r w:rsidR="00A46417">
        <w:t xml:space="preserve">ection </w:t>
      </w:r>
      <w:r w:rsidR="004C3299">
        <w:t xml:space="preserve">151 Officer </w:t>
      </w:r>
      <w:r w:rsidR="0044086A">
        <w:t xml:space="preserve">regarding </w:t>
      </w:r>
      <w:r w:rsidR="008165FE">
        <w:t>the adequacy of reserve</w:t>
      </w:r>
      <w:r w:rsidR="00FF1A6F">
        <w:t>s held</w:t>
      </w:r>
      <w:r w:rsidR="008165FE">
        <w:t xml:space="preserve"> and </w:t>
      </w:r>
      <w:r w:rsidR="0044086A">
        <w:t xml:space="preserve">confirming </w:t>
      </w:r>
      <w:r w:rsidR="004C3299">
        <w:t xml:space="preserve">that </w:t>
      </w:r>
      <w:r w:rsidR="0044086A">
        <w:t>all</w:t>
      </w:r>
      <w:r w:rsidR="004C3299">
        <w:t xml:space="preserve"> reserves have </w:t>
      </w:r>
      <w:r w:rsidR="008165FE">
        <w:t>been reviewed</w:t>
      </w:r>
      <w:r w:rsidR="00A46417">
        <w:t>.</w:t>
      </w:r>
    </w:p>
    <w:p w14:paraId="0DD86D88" w14:textId="4F6B38E3" w:rsidR="003D5E64" w:rsidRDefault="1C336F3F" w:rsidP="3DC7D0E8">
      <w:pPr>
        <w:pStyle w:val="Indentedtextfornumberedlists"/>
        <w:spacing w:after="240"/>
        <w:jc w:val="both"/>
      </w:pPr>
      <w:r w:rsidRPr="000F570D">
        <w:t xml:space="preserve">3.3 </w:t>
      </w:r>
      <w:r w:rsidR="006A6C7E">
        <w:tab/>
      </w:r>
      <w:r w:rsidR="006A6C7E" w:rsidRPr="000F570D">
        <w:t>Any drawdown</w:t>
      </w:r>
      <w:r w:rsidR="003E71C5">
        <w:t xml:space="preserve"> exceeding £100k</w:t>
      </w:r>
      <w:r w:rsidR="00E6354A">
        <w:t>,</w:t>
      </w:r>
      <w:r w:rsidR="006A6C7E" w:rsidRPr="000F570D">
        <w:t xml:space="preserve"> </w:t>
      </w:r>
      <w:r w:rsidR="00E6354A">
        <w:t xml:space="preserve">within year, </w:t>
      </w:r>
      <w:r w:rsidR="00922E8B" w:rsidRPr="000F570D">
        <w:t xml:space="preserve">from an earmarked reserve, or General Fund reserve, </w:t>
      </w:r>
      <w:r w:rsidR="003E71C5">
        <w:t xml:space="preserve">will require the Section 151 Officer to issue a formal ‘Record of Decision’ </w:t>
      </w:r>
      <w:r w:rsidR="00CE26D7">
        <w:t xml:space="preserve">with the drawdown subsequently reported within the next scheduled </w:t>
      </w:r>
      <w:r w:rsidR="003D5E64">
        <w:t>budget monitoring report presented to Cabinet (and Council).</w:t>
      </w:r>
    </w:p>
    <w:p w14:paraId="03B28CDE" w14:textId="4EDC4F8C" w:rsidR="002068D4" w:rsidRDefault="53E39B08" w:rsidP="3DC7D0E8">
      <w:pPr>
        <w:pStyle w:val="Indentedtextfornumberedlists"/>
        <w:spacing w:after="240"/>
        <w:jc w:val="both"/>
      </w:pPr>
      <w:r>
        <w:t xml:space="preserve">3.4 </w:t>
      </w:r>
      <w:r w:rsidR="00EE2163">
        <w:tab/>
        <w:t>Any new reserve</w:t>
      </w:r>
      <w:r w:rsidR="00896128">
        <w:t>(</w:t>
      </w:r>
      <w:r w:rsidR="00EE2163">
        <w:t>s</w:t>
      </w:r>
      <w:r w:rsidR="00896128">
        <w:t>)</w:t>
      </w:r>
      <w:r w:rsidR="00EE2163">
        <w:t xml:space="preserve"> </w:t>
      </w:r>
      <w:r w:rsidR="00922E8B">
        <w:t>exceeding £100k</w:t>
      </w:r>
      <w:r w:rsidR="004A480F">
        <w:t xml:space="preserve">, created from approved </w:t>
      </w:r>
      <w:r w:rsidR="00011F04">
        <w:t>budgeted funds</w:t>
      </w:r>
      <w:r w:rsidR="00896128">
        <w:t>,</w:t>
      </w:r>
      <w:r w:rsidR="00011F04">
        <w:t xml:space="preserve"> also require</w:t>
      </w:r>
      <w:r w:rsidR="00896128">
        <w:t>s</w:t>
      </w:r>
      <w:r w:rsidR="00011F04">
        <w:t xml:space="preserve"> the Section 151 Officer to issue a formal ‘Record of Decision’</w:t>
      </w:r>
      <w:r w:rsidR="00876400">
        <w:t xml:space="preserve"> (ROD)</w:t>
      </w:r>
      <w:r w:rsidR="00011F04">
        <w:t xml:space="preserve">. </w:t>
      </w:r>
      <w:r w:rsidR="00BB475D">
        <w:t xml:space="preserve">However, </w:t>
      </w:r>
      <w:r w:rsidR="00BD0C93">
        <w:t>any  r</w:t>
      </w:r>
      <w:r w:rsidR="00D97798">
        <w:t>eserve</w:t>
      </w:r>
      <w:r w:rsidR="00BD0C93">
        <w:t>(</w:t>
      </w:r>
      <w:r w:rsidR="00D97798">
        <w:t>s</w:t>
      </w:r>
      <w:r w:rsidR="00BD0C93">
        <w:t>)</w:t>
      </w:r>
      <w:r w:rsidR="00D97798">
        <w:t xml:space="preserve"> created in year as </w:t>
      </w:r>
      <w:r w:rsidR="004A480F">
        <w:t xml:space="preserve">a result of receiving </w:t>
      </w:r>
      <w:r w:rsidR="00147DF8">
        <w:t>new</w:t>
      </w:r>
      <w:r w:rsidR="004A480F">
        <w:t xml:space="preserve"> grant </w:t>
      </w:r>
      <w:r w:rsidR="00D97798">
        <w:t xml:space="preserve">funding </w:t>
      </w:r>
      <w:r w:rsidR="002068D4">
        <w:t>will be incorporated and reported in the next scheduled monitoring report to Committee</w:t>
      </w:r>
      <w:r w:rsidR="00DE72AA">
        <w:t xml:space="preserve"> without the need for a ROD</w:t>
      </w:r>
      <w:r w:rsidR="002068D4">
        <w:t>.</w:t>
      </w:r>
    </w:p>
    <w:p w14:paraId="291E06D3" w14:textId="1D8B95B7" w:rsidR="00122D6B" w:rsidRPr="00B04C26" w:rsidRDefault="400D2B4B" w:rsidP="3DC7D0E8">
      <w:pPr>
        <w:pStyle w:val="Indentedtextfornumberedlists"/>
        <w:spacing w:after="240"/>
        <w:jc w:val="both"/>
      </w:pPr>
      <w:r>
        <w:t xml:space="preserve">3.5 </w:t>
      </w:r>
      <w:r w:rsidR="00B04C26">
        <w:tab/>
        <w:t>The Section 151 Officer</w:t>
      </w:r>
      <w:r w:rsidR="00122D6B">
        <w:t xml:space="preserve"> will maintain a detailed schedule of all reserves</w:t>
      </w:r>
      <w:r w:rsidR="00030797">
        <w:t xml:space="preserve">, as required, </w:t>
      </w:r>
      <w:r w:rsidR="00122D6B">
        <w:t>form</w:t>
      </w:r>
      <w:r w:rsidR="00030797">
        <w:t xml:space="preserve">ing </w:t>
      </w:r>
      <w:r w:rsidR="00122D6B">
        <w:t xml:space="preserve">part of the </w:t>
      </w:r>
      <w:r w:rsidR="00030797">
        <w:t xml:space="preserve">statutory </w:t>
      </w:r>
      <w:r w:rsidR="00122D6B">
        <w:t>accounts process.</w:t>
      </w:r>
    </w:p>
    <w:p w14:paraId="1B1FAB41" w14:textId="77777777" w:rsidR="00814117" w:rsidRDefault="00814117" w:rsidP="3DC7D0E8">
      <w:pPr>
        <w:spacing w:line="264" w:lineRule="auto"/>
        <w:ind w:left="709"/>
        <w:jc w:val="both"/>
      </w:pPr>
    </w:p>
    <w:p w14:paraId="297CC24B" w14:textId="3E67471B" w:rsidR="006C30BC" w:rsidRPr="00814117" w:rsidRDefault="00814117" w:rsidP="00814117">
      <w:pPr>
        <w:spacing w:line="264" w:lineRule="auto"/>
        <w:ind w:left="709"/>
        <w:rPr>
          <w:b/>
          <w:bCs/>
        </w:rPr>
      </w:pPr>
      <w:r w:rsidRPr="00814117">
        <w:rPr>
          <w:b/>
          <w:bCs/>
        </w:rPr>
        <w:t>Principles applied to the holding of Reserves</w:t>
      </w:r>
    </w:p>
    <w:p w14:paraId="14D980C2" w14:textId="132B760B" w:rsidR="008B601B" w:rsidRDefault="4605F8A3" w:rsidP="3DC7D0E8">
      <w:pPr>
        <w:pStyle w:val="Indentedtextfornumberedlists"/>
        <w:spacing w:after="240"/>
      </w:pPr>
      <w:r>
        <w:t xml:space="preserve">3.6 </w:t>
      </w:r>
      <w:r w:rsidR="00623241">
        <w:tab/>
        <w:t>The Council will adopt the following principles with regards to the holding of reserves</w:t>
      </w:r>
      <w:r w:rsidR="008B601B">
        <w:t>:</w:t>
      </w:r>
    </w:p>
    <w:p w14:paraId="0A6F4049" w14:textId="67A8B96B" w:rsidR="00DA21CD" w:rsidRDefault="00A5508F" w:rsidP="3DC7D0E8">
      <w:pPr>
        <w:pStyle w:val="Indentedtextfornumberedlists"/>
        <w:numPr>
          <w:ilvl w:val="0"/>
          <w:numId w:val="35"/>
        </w:numPr>
        <w:spacing w:after="240"/>
        <w:jc w:val="both"/>
      </w:pPr>
      <w:r>
        <w:t>All</w:t>
      </w:r>
      <w:r w:rsidR="008B601B">
        <w:t xml:space="preserve"> Reserve</w:t>
      </w:r>
      <w:r>
        <w:t>s</w:t>
      </w:r>
      <w:r w:rsidR="008B601B">
        <w:t xml:space="preserve"> must have a clearly defined purpose </w:t>
      </w:r>
      <w:r w:rsidR="00DA21CD">
        <w:t>with evidence supporting it</w:t>
      </w:r>
      <w:r w:rsidR="0091614C">
        <w:t xml:space="preserve">s requirement and </w:t>
      </w:r>
      <w:r w:rsidR="00CD149D">
        <w:t xml:space="preserve">desired </w:t>
      </w:r>
      <w:r w:rsidR="0091614C">
        <w:t>value</w:t>
      </w:r>
      <w:r w:rsidR="00CD149D">
        <w:t xml:space="preserve"> of holding</w:t>
      </w:r>
      <w:r w:rsidR="0091614C">
        <w:t>;</w:t>
      </w:r>
    </w:p>
    <w:p w14:paraId="7FDC1919" w14:textId="4436BB35" w:rsidR="00766063" w:rsidRDefault="0091614C" w:rsidP="3DC7D0E8">
      <w:pPr>
        <w:pStyle w:val="Indentedtextfornumberedlists"/>
        <w:numPr>
          <w:ilvl w:val="0"/>
          <w:numId w:val="35"/>
        </w:numPr>
        <w:spacing w:after="240"/>
        <w:jc w:val="both"/>
      </w:pPr>
      <w:r>
        <w:t>The Council</w:t>
      </w:r>
      <w:r w:rsidR="635863B8">
        <w:t xml:space="preserve">’s </w:t>
      </w:r>
      <w:r>
        <w:t xml:space="preserve">Section 151 Officer maintains overall responsibility and management of the Council’s reserves </w:t>
      </w:r>
      <w:r w:rsidR="006C6EF9">
        <w:t>– but each specific earmarked reserve must have</w:t>
      </w:r>
      <w:r w:rsidR="008B601B">
        <w:t xml:space="preserve"> a designated </w:t>
      </w:r>
      <w:r w:rsidR="00223DA8">
        <w:t>S</w:t>
      </w:r>
      <w:r w:rsidR="00DA21CD">
        <w:t xml:space="preserve">enior </w:t>
      </w:r>
      <w:r w:rsidR="00223DA8">
        <w:t>O</w:t>
      </w:r>
      <w:r w:rsidR="00DA21CD">
        <w:t xml:space="preserve">fficer who </w:t>
      </w:r>
      <w:r w:rsidR="00551634">
        <w:t xml:space="preserve">will maintain regular overview </w:t>
      </w:r>
      <w:r w:rsidR="00766063">
        <w:t xml:space="preserve">of the reserve’s required drawdown and </w:t>
      </w:r>
      <w:r w:rsidR="00223DA8">
        <w:t xml:space="preserve">on-going </w:t>
      </w:r>
      <w:r w:rsidR="00766063">
        <w:t>adequacy;</w:t>
      </w:r>
    </w:p>
    <w:p w14:paraId="5AF209D0" w14:textId="77777777" w:rsidR="00D15972" w:rsidRDefault="00223DA8" w:rsidP="3DC7D0E8">
      <w:pPr>
        <w:pStyle w:val="Indentedtextfornumberedlists"/>
        <w:numPr>
          <w:ilvl w:val="0"/>
          <w:numId w:val="35"/>
        </w:numPr>
        <w:spacing w:after="240"/>
        <w:jc w:val="both"/>
      </w:pPr>
      <w:r>
        <w:t>Where possible, the Council will rationalise and simplify the holding of Reserves</w:t>
      </w:r>
      <w:r w:rsidR="009A0BAC">
        <w:t xml:space="preserve">, holding a fewer number of strategic reserves </w:t>
      </w:r>
      <w:r w:rsidR="00D15972">
        <w:t>supported by a clear rationale and purpose;</w:t>
      </w:r>
    </w:p>
    <w:p w14:paraId="577EBA91" w14:textId="2C22B055" w:rsidR="00F6443A" w:rsidRDefault="00FB2F67" w:rsidP="3DC7D0E8">
      <w:pPr>
        <w:pStyle w:val="Indentedtextfornumberedlists"/>
        <w:numPr>
          <w:ilvl w:val="0"/>
          <w:numId w:val="35"/>
        </w:numPr>
        <w:spacing w:after="240"/>
        <w:jc w:val="both"/>
      </w:pPr>
      <w:r>
        <w:t xml:space="preserve">Reserves will be reviewed annually as part of the budget setting </w:t>
      </w:r>
      <w:r w:rsidR="004A0180">
        <w:t>process</w:t>
      </w:r>
      <w:r w:rsidR="001137F4">
        <w:t xml:space="preserve">. </w:t>
      </w:r>
      <w:r w:rsidR="004A0180">
        <w:t>There will be s</w:t>
      </w:r>
      <w:r w:rsidR="001137F4">
        <w:t xml:space="preserve">pecific challenge of </w:t>
      </w:r>
      <w:r w:rsidR="004A0180">
        <w:t xml:space="preserve">the </w:t>
      </w:r>
      <w:r w:rsidR="001137F4">
        <w:t xml:space="preserve">on-going need </w:t>
      </w:r>
      <w:r w:rsidR="00815547">
        <w:t>for a</w:t>
      </w:r>
      <w:r w:rsidR="000237D0">
        <w:t xml:space="preserve">ny </w:t>
      </w:r>
      <w:r w:rsidR="001137F4">
        <w:t>reserve</w:t>
      </w:r>
      <w:r w:rsidR="000237D0">
        <w:t xml:space="preserve"> that has not had</w:t>
      </w:r>
      <w:r w:rsidR="00F6443A">
        <w:t xml:space="preserve"> financial movement in excess of two consecutive financial years;</w:t>
      </w:r>
    </w:p>
    <w:p w14:paraId="02206E10" w14:textId="5FBEA466" w:rsidR="00647AA2" w:rsidRDefault="00F46A8F" w:rsidP="3DC7D0E8">
      <w:pPr>
        <w:pStyle w:val="Indentedtextfornumberedlists"/>
        <w:numPr>
          <w:ilvl w:val="0"/>
          <w:numId w:val="35"/>
        </w:numPr>
        <w:spacing w:after="240"/>
        <w:jc w:val="both"/>
      </w:pPr>
      <w:r>
        <w:t>Where reserves are identified as no longer needed, if feasible and allowable</w:t>
      </w:r>
      <w:r w:rsidR="007867D9">
        <w:t>,</w:t>
      </w:r>
      <w:r>
        <w:t xml:space="preserve"> (</w:t>
      </w:r>
      <w:r w:rsidR="007867D9">
        <w:t>e.g.</w:t>
      </w:r>
      <w:r>
        <w:t xml:space="preserve">  specific </w:t>
      </w:r>
      <w:r w:rsidR="007867D9">
        <w:t>grant requirement</w:t>
      </w:r>
      <w:r w:rsidR="00C17593">
        <w:t>s</w:t>
      </w:r>
      <w:r w:rsidR="007867D9">
        <w:t>), remaining funds</w:t>
      </w:r>
      <w:r w:rsidR="00FB2F67">
        <w:t xml:space="preserve"> </w:t>
      </w:r>
      <w:r w:rsidR="007867D9">
        <w:t xml:space="preserve">will be </w:t>
      </w:r>
      <w:r w:rsidR="00647AA2">
        <w:t>absorbed back within the Council’s General Fund and/or CSR Reserve;</w:t>
      </w:r>
    </w:p>
    <w:p w14:paraId="5D634E00" w14:textId="674152B9" w:rsidR="00F329DA" w:rsidRDefault="00AA44AB" w:rsidP="3DC7D0E8">
      <w:pPr>
        <w:pStyle w:val="Indentedtextfornumberedlists"/>
        <w:numPr>
          <w:ilvl w:val="0"/>
          <w:numId w:val="35"/>
        </w:numPr>
        <w:spacing w:after="240"/>
        <w:jc w:val="both"/>
      </w:pPr>
      <w:r>
        <w:t>Reserves can only be used to fund ‘one-off’</w:t>
      </w:r>
      <w:r w:rsidR="51B8FA6D">
        <w:t>, unforeseen,</w:t>
      </w:r>
      <w:r>
        <w:t xml:space="preserve"> costs and not offset, or underpin</w:t>
      </w:r>
      <w:r w:rsidR="00F329DA">
        <w:t>, any on-going revenue service delivery or pressure;</w:t>
      </w:r>
    </w:p>
    <w:p w14:paraId="2DF27566" w14:textId="4032270F" w:rsidR="00E863FD" w:rsidRDefault="00F329DA" w:rsidP="3DC7D0E8">
      <w:pPr>
        <w:pStyle w:val="Indentedtextfornumberedlists"/>
        <w:numPr>
          <w:ilvl w:val="0"/>
          <w:numId w:val="35"/>
        </w:numPr>
        <w:spacing w:after="240"/>
        <w:jc w:val="both"/>
      </w:pPr>
      <w:r>
        <w:t>Simil</w:t>
      </w:r>
      <w:r w:rsidR="006875D6">
        <w:t xml:space="preserve">arly, reserves </w:t>
      </w:r>
      <w:r w:rsidR="344862C7">
        <w:t>will</w:t>
      </w:r>
      <w:r w:rsidR="006875D6">
        <w:t xml:space="preserve"> not be used to offset any future year Medium Term Resource Plan </w:t>
      </w:r>
      <w:r w:rsidR="00E868B3">
        <w:t>pressures (unless there are clear action plans to address any funding gap</w:t>
      </w:r>
      <w:r w:rsidR="00E863FD">
        <w:t>s</w:t>
      </w:r>
      <w:r w:rsidR="00E868B3">
        <w:t xml:space="preserve"> and the reserve </w:t>
      </w:r>
      <w:r w:rsidR="00E863FD">
        <w:t>is used to smooth any implementation of such plans)</w:t>
      </w:r>
    </w:p>
    <w:p w14:paraId="1FEFA728" w14:textId="407FA139" w:rsidR="008B601B" w:rsidRPr="00E375B8" w:rsidRDefault="008B601B" w:rsidP="0024385E">
      <w:pPr>
        <w:pStyle w:val="Indentedtextfornumberedlists"/>
        <w:spacing w:after="240"/>
        <w:ind w:left="1429" w:firstLine="0"/>
        <w:rPr>
          <w:sz w:val="4"/>
          <w:szCs w:val="4"/>
        </w:rPr>
      </w:pPr>
    </w:p>
    <w:p w14:paraId="3CD598D0" w14:textId="70F13012" w:rsidR="00623241" w:rsidRPr="00B04C26" w:rsidRDefault="613EEAD4" w:rsidP="3DC7D0E8">
      <w:pPr>
        <w:pStyle w:val="Indentedtextfornumberedlists"/>
        <w:spacing w:after="240"/>
        <w:jc w:val="both"/>
      </w:pPr>
      <w:r>
        <w:t xml:space="preserve">3.7 </w:t>
      </w:r>
      <w:r w:rsidR="0024385E">
        <w:tab/>
        <w:t xml:space="preserve">Reserves can be used to </w:t>
      </w:r>
      <w:r w:rsidR="00E638B4">
        <w:t>‘pump prime’ and/or provide limited capacity to deliver future year efficiencies (invest to save) subject to the approval</w:t>
      </w:r>
      <w:r w:rsidR="009B4EB6">
        <w:t>,</w:t>
      </w:r>
      <w:r w:rsidR="005F21BF">
        <w:t xml:space="preserve"> (from the Section 151 Officer),</w:t>
      </w:r>
      <w:r w:rsidR="00E638B4">
        <w:t xml:space="preserve"> of a supporting business case.</w:t>
      </w:r>
    </w:p>
    <w:p w14:paraId="390D7BA0" w14:textId="77777777" w:rsidR="0087750E" w:rsidRDefault="0087750E" w:rsidP="0087750E">
      <w:pPr>
        <w:pStyle w:val="ListParagraph"/>
        <w:ind w:left="360"/>
      </w:pPr>
    </w:p>
    <w:p w14:paraId="554C6BBD" w14:textId="51253BE3" w:rsidR="0087750E" w:rsidRDefault="6A5FB8EC" w:rsidP="00550A1F">
      <w:pPr>
        <w:pStyle w:val="Heading1"/>
      </w:pPr>
      <w:r>
        <w:t>4.</w:t>
      </w:r>
      <w:r w:rsidR="0087750E">
        <w:tab/>
      </w:r>
      <w:r w:rsidR="00C11DBE">
        <w:t>Earmarked (Specific)</w:t>
      </w:r>
      <w:r w:rsidR="0087750E">
        <w:t xml:space="preserve"> Reserves</w:t>
      </w:r>
    </w:p>
    <w:p w14:paraId="76CDE51B" w14:textId="24D28C53" w:rsidR="004E7B7C" w:rsidRDefault="004E7B7C" w:rsidP="3DC7D0E8">
      <w:pPr>
        <w:pStyle w:val="Indentedtextfornumberedlists"/>
        <w:numPr>
          <w:ilvl w:val="1"/>
          <w:numId w:val="36"/>
        </w:numPr>
        <w:spacing w:after="240"/>
        <w:ind w:left="709" w:hanging="709"/>
        <w:jc w:val="both"/>
      </w:pPr>
      <w:r>
        <w:t>For statutory purposes, there is</w:t>
      </w:r>
      <w:r w:rsidR="006C40E5">
        <w:t xml:space="preserve"> only the need to maintain</w:t>
      </w:r>
      <w:r>
        <w:t xml:space="preserve"> a single revenue reserve, the </w:t>
      </w:r>
      <w:r w:rsidR="000B399C">
        <w:t>‘</w:t>
      </w:r>
      <w:r>
        <w:t>General Fund</w:t>
      </w:r>
      <w:r w:rsidR="000B399C">
        <w:t>’ Reserve</w:t>
      </w:r>
      <w:r>
        <w:t xml:space="preserve">. </w:t>
      </w:r>
      <w:r w:rsidR="00516B24">
        <w:t xml:space="preserve">However, </w:t>
      </w:r>
      <w:r w:rsidR="00700DD6">
        <w:t xml:space="preserve">the Chartered Institute of Public Finance </w:t>
      </w:r>
      <w:r w:rsidR="00FC178C">
        <w:t xml:space="preserve">and </w:t>
      </w:r>
      <w:r w:rsidR="00700DD6">
        <w:t>Accounta</w:t>
      </w:r>
      <w:r w:rsidR="00FC178C">
        <w:t>ncy, (</w:t>
      </w:r>
      <w:r w:rsidR="00516B24">
        <w:t>CIPFA</w:t>
      </w:r>
      <w:r w:rsidR="00FC178C">
        <w:t>)</w:t>
      </w:r>
      <w:r w:rsidR="00516B24">
        <w:t xml:space="preserve"> </w:t>
      </w:r>
      <w:r w:rsidR="00425446">
        <w:t xml:space="preserve">Code of Practice </w:t>
      </w:r>
      <w:r w:rsidR="00FC178C">
        <w:t>states that w</w:t>
      </w:r>
      <w:r>
        <w:t>hen reviewing medium-term financial plans and preparing annual budgets</w:t>
      </w:r>
      <w:r w:rsidR="00FC178C">
        <w:t>,</w:t>
      </w:r>
      <w:r>
        <w:t xml:space="preserve"> local authorities should consider the establishment of sub reserves (known as earmarked reserves)</w:t>
      </w:r>
      <w:r w:rsidR="00013E6A">
        <w:t>.</w:t>
      </w:r>
    </w:p>
    <w:p w14:paraId="53DB23AF" w14:textId="77777777" w:rsidR="004E7B7C" w:rsidRDefault="004E7B7C" w:rsidP="3DC7D0E8">
      <w:pPr>
        <w:pStyle w:val="Indentedtextfornumberedlists"/>
        <w:numPr>
          <w:ilvl w:val="1"/>
          <w:numId w:val="36"/>
        </w:numPr>
        <w:spacing w:after="240"/>
        <w:ind w:left="709" w:hanging="709"/>
        <w:jc w:val="both"/>
      </w:pPr>
      <w:r>
        <w:t xml:space="preserve">Earmarked reserves may be reported separately but remain legally part of the General Fund. Separate reporting of earmarked reserves has no financial reporting or legislative necessity though they are used extensively by local authorities and as such the Code requires separate disclosure of material earmarked reserves. </w:t>
      </w:r>
    </w:p>
    <w:p w14:paraId="7FC25706" w14:textId="08A5ABED" w:rsidR="00013E6A" w:rsidRDefault="00013E6A" w:rsidP="000910B1">
      <w:pPr>
        <w:pStyle w:val="Indentedtextfornumberedlists"/>
        <w:keepNext/>
        <w:numPr>
          <w:ilvl w:val="1"/>
          <w:numId w:val="36"/>
        </w:numPr>
        <w:spacing w:after="240"/>
        <w:ind w:left="709" w:hanging="709"/>
      </w:pPr>
      <w:r>
        <w:t>The main ‘earmarked reserv</w:t>
      </w:r>
      <w:r w:rsidR="005D3066">
        <w:t>es' that are held by the Council are detailed below:</w:t>
      </w:r>
    </w:p>
    <w:p w14:paraId="105FF0C3" w14:textId="77777777" w:rsidR="005F112E" w:rsidRDefault="005F112E" w:rsidP="005D3066">
      <w:pPr>
        <w:pStyle w:val="Indentedtextfornumberedlists"/>
        <w:numPr>
          <w:ilvl w:val="0"/>
          <w:numId w:val="37"/>
        </w:numPr>
        <w:spacing w:after="240"/>
      </w:pPr>
      <w:r>
        <w:t>Collection Fund</w:t>
      </w:r>
    </w:p>
    <w:p w14:paraId="08D32386" w14:textId="74A73D9D" w:rsidR="00894C61" w:rsidRPr="00B2223A" w:rsidRDefault="00894C61" w:rsidP="3DC7D0E8">
      <w:pPr>
        <w:pStyle w:val="Header"/>
        <w:spacing w:line="312" w:lineRule="auto"/>
        <w:ind w:left="1072"/>
        <w:rPr>
          <w:rStyle w:val="None"/>
          <w:rFonts w:ascii="Arial" w:hAnsi="Arial"/>
        </w:rPr>
      </w:pPr>
      <w:r w:rsidRPr="3DC7D0E8">
        <w:rPr>
          <w:rStyle w:val="None"/>
          <w:rFonts w:ascii="Arial" w:hAnsi="Arial"/>
        </w:rPr>
        <w:t xml:space="preserve">For NNDR the Council bears a 49% share of the risk and reward of changes in the level of National Non-Domestic Rate income.  </w:t>
      </w:r>
      <w:r w:rsidR="004F4F33" w:rsidRPr="3DC7D0E8">
        <w:rPr>
          <w:rStyle w:val="None"/>
          <w:rFonts w:ascii="Arial" w:hAnsi="Arial"/>
        </w:rPr>
        <w:t>In year c</w:t>
      </w:r>
      <w:r w:rsidRPr="3DC7D0E8">
        <w:rPr>
          <w:rStyle w:val="None"/>
          <w:rFonts w:ascii="Arial" w:hAnsi="Arial"/>
        </w:rPr>
        <w:t xml:space="preserve">hanges in yield and collection </w:t>
      </w:r>
      <w:r w:rsidR="006D5106" w:rsidRPr="3DC7D0E8">
        <w:rPr>
          <w:rStyle w:val="None"/>
          <w:rFonts w:ascii="Arial" w:hAnsi="Arial"/>
        </w:rPr>
        <w:t xml:space="preserve">of </w:t>
      </w:r>
      <w:r w:rsidR="00E92801" w:rsidRPr="3DC7D0E8">
        <w:rPr>
          <w:rStyle w:val="None"/>
          <w:rFonts w:ascii="Arial" w:hAnsi="Arial"/>
        </w:rPr>
        <w:t>National Non-Domestic Rate</w:t>
      </w:r>
      <w:r w:rsidR="00A57CA4">
        <w:rPr>
          <w:rStyle w:val="None"/>
          <w:rFonts w:ascii="Arial" w:hAnsi="Arial"/>
        </w:rPr>
        <w:t>s</w:t>
      </w:r>
      <w:r w:rsidR="00E92801" w:rsidRPr="3DC7D0E8">
        <w:rPr>
          <w:rStyle w:val="None"/>
          <w:rFonts w:ascii="Arial" w:hAnsi="Arial"/>
        </w:rPr>
        <w:t xml:space="preserve"> </w:t>
      </w:r>
      <w:r w:rsidRPr="3DC7D0E8">
        <w:rPr>
          <w:rStyle w:val="None"/>
          <w:rFonts w:ascii="Arial" w:hAnsi="Arial"/>
        </w:rPr>
        <w:t>will result in a Collection Fund surplus or deficit</w:t>
      </w:r>
      <w:r w:rsidR="0064542D" w:rsidRPr="3DC7D0E8">
        <w:rPr>
          <w:rStyle w:val="None"/>
          <w:rFonts w:ascii="Arial" w:hAnsi="Arial"/>
        </w:rPr>
        <w:t xml:space="preserve"> which will </w:t>
      </w:r>
      <w:r w:rsidRPr="3DC7D0E8">
        <w:rPr>
          <w:rStyle w:val="None"/>
          <w:rFonts w:ascii="Arial" w:hAnsi="Arial"/>
        </w:rPr>
        <w:t>impact on the fo</w:t>
      </w:r>
      <w:r w:rsidR="00F60D90" w:rsidRPr="3DC7D0E8">
        <w:rPr>
          <w:rStyle w:val="None"/>
          <w:rFonts w:ascii="Arial" w:hAnsi="Arial"/>
        </w:rPr>
        <w:t>llowing financial</w:t>
      </w:r>
      <w:r w:rsidRPr="3DC7D0E8">
        <w:rPr>
          <w:rStyle w:val="None"/>
          <w:rFonts w:ascii="Arial" w:hAnsi="Arial"/>
        </w:rPr>
        <w:t xml:space="preserve"> year. The Council holds a </w:t>
      </w:r>
      <w:r w:rsidR="00705E07" w:rsidRPr="3DC7D0E8">
        <w:rPr>
          <w:rStyle w:val="None"/>
          <w:rFonts w:ascii="Arial" w:hAnsi="Arial"/>
        </w:rPr>
        <w:t>C</w:t>
      </w:r>
      <w:r w:rsidRPr="3DC7D0E8">
        <w:rPr>
          <w:rStyle w:val="None"/>
          <w:rFonts w:ascii="Arial" w:hAnsi="Arial"/>
        </w:rPr>
        <w:t xml:space="preserve">ollection </w:t>
      </w:r>
      <w:r w:rsidR="00705E07" w:rsidRPr="3DC7D0E8">
        <w:rPr>
          <w:rStyle w:val="None"/>
          <w:rFonts w:ascii="Arial" w:hAnsi="Arial"/>
        </w:rPr>
        <w:t>F</w:t>
      </w:r>
      <w:r w:rsidRPr="3DC7D0E8">
        <w:rPr>
          <w:rStyle w:val="None"/>
          <w:rFonts w:ascii="Arial" w:hAnsi="Arial"/>
        </w:rPr>
        <w:t xml:space="preserve">und </w:t>
      </w:r>
      <w:r w:rsidR="00C81471">
        <w:rPr>
          <w:rStyle w:val="None"/>
          <w:rFonts w:ascii="Arial" w:hAnsi="Arial"/>
        </w:rPr>
        <w:t>R</w:t>
      </w:r>
      <w:r w:rsidRPr="3DC7D0E8">
        <w:rPr>
          <w:rStyle w:val="None"/>
          <w:rFonts w:ascii="Arial" w:hAnsi="Arial"/>
        </w:rPr>
        <w:t>eserve to help smooth the volatility of income. Estimates of future year surpluses or deficits are included in the Budget Setting process and reflected in the Medium-Term Resource Plan.</w:t>
      </w:r>
      <w:r w:rsidR="3D5467AC" w:rsidRPr="3DC7D0E8">
        <w:rPr>
          <w:rStyle w:val="None"/>
          <w:rFonts w:ascii="Arial" w:hAnsi="Arial"/>
        </w:rPr>
        <w:t xml:space="preserve"> Any shortfall incurred in a given year is made good through the Collection Fund Reserve with a corresponding adjustment made to the budge</w:t>
      </w:r>
      <w:r w:rsidR="008430CA">
        <w:rPr>
          <w:rStyle w:val="None"/>
          <w:rFonts w:ascii="Arial" w:hAnsi="Arial"/>
        </w:rPr>
        <w:t>te</w:t>
      </w:r>
      <w:r w:rsidR="3D5467AC" w:rsidRPr="3DC7D0E8">
        <w:rPr>
          <w:rStyle w:val="None"/>
          <w:rFonts w:ascii="Arial" w:hAnsi="Arial"/>
        </w:rPr>
        <w:t xml:space="preserve">d income levels in the following financial </w:t>
      </w:r>
      <w:r w:rsidR="105DDF9F" w:rsidRPr="3DC7D0E8">
        <w:rPr>
          <w:rStyle w:val="None"/>
          <w:rFonts w:ascii="Arial" w:hAnsi="Arial"/>
        </w:rPr>
        <w:t>year.</w:t>
      </w:r>
      <w:r w:rsidRPr="3DC7D0E8">
        <w:rPr>
          <w:rStyle w:val="None"/>
          <w:rFonts w:ascii="Arial" w:hAnsi="Arial"/>
        </w:rPr>
        <w:t xml:space="preserve"> </w:t>
      </w:r>
    </w:p>
    <w:p w14:paraId="28738FCC" w14:textId="2D8F8AF7" w:rsidR="3DC7D0E8" w:rsidRPr="00047785" w:rsidRDefault="3DC7D0E8" w:rsidP="3DC7D0E8">
      <w:pPr>
        <w:pStyle w:val="Header"/>
        <w:spacing w:line="312" w:lineRule="auto"/>
        <w:ind w:left="1072"/>
        <w:rPr>
          <w:rStyle w:val="None"/>
          <w:rFonts w:ascii="Arial" w:hAnsi="Arial"/>
          <w:sz w:val="16"/>
          <w:szCs w:val="16"/>
        </w:rPr>
      </w:pPr>
    </w:p>
    <w:p w14:paraId="40D5A15B" w14:textId="51D87FF9" w:rsidR="00894C61" w:rsidRPr="00B2223A" w:rsidRDefault="00894C61" w:rsidP="3DC7D0E8">
      <w:pPr>
        <w:pStyle w:val="BodyA"/>
        <w:spacing w:line="312" w:lineRule="auto"/>
        <w:ind w:left="1072"/>
        <w:rPr>
          <w:rStyle w:val="None"/>
          <w:rFonts w:ascii="Arial" w:hAnsi="Arial"/>
          <w:color w:val="auto"/>
          <w:lang w:val="en-GB"/>
        </w:rPr>
      </w:pPr>
      <w:r w:rsidRPr="3DC7D0E8">
        <w:rPr>
          <w:rStyle w:val="None"/>
          <w:rFonts w:ascii="Arial" w:hAnsi="Arial"/>
          <w:color w:val="auto"/>
          <w:lang w:val="en-GB"/>
        </w:rPr>
        <w:t>Collection Fund income</w:t>
      </w:r>
      <w:r w:rsidR="002943BC" w:rsidRPr="3DC7D0E8">
        <w:rPr>
          <w:rStyle w:val="None"/>
          <w:rFonts w:ascii="Arial" w:hAnsi="Arial"/>
          <w:color w:val="auto"/>
          <w:lang w:val="en-GB"/>
        </w:rPr>
        <w:t>,</w:t>
      </w:r>
      <w:r w:rsidRPr="3DC7D0E8">
        <w:rPr>
          <w:rStyle w:val="None"/>
          <w:rFonts w:ascii="Arial" w:hAnsi="Arial"/>
          <w:color w:val="auto"/>
          <w:lang w:val="en-GB"/>
        </w:rPr>
        <w:t xml:space="preserve"> (Council Tax and NNDR)</w:t>
      </w:r>
      <w:r w:rsidR="002943BC" w:rsidRPr="3DC7D0E8">
        <w:rPr>
          <w:rStyle w:val="None"/>
          <w:rFonts w:ascii="Arial" w:hAnsi="Arial"/>
          <w:color w:val="auto"/>
          <w:lang w:val="en-GB"/>
        </w:rPr>
        <w:t>,</w:t>
      </w:r>
      <w:r w:rsidRPr="3DC7D0E8">
        <w:rPr>
          <w:rStyle w:val="None"/>
          <w:rFonts w:ascii="Arial" w:hAnsi="Arial"/>
          <w:color w:val="auto"/>
          <w:lang w:val="en-GB"/>
        </w:rPr>
        <w:t xml:space="preserve"> has been volatile in recent years and is likely to continue to be volatile in future years both from </w:t>
      </w:r>
      <w:r w:rsidR="00B36D05">
        <w:rPr>
          <w:rStyle w:val="None"/>
          <w:rFonts w:ascii="Arial" w:hAnsi="Arial"/>
          <w:color w:val="auto"/>
          <w:lang w:val="en-GB"/>
        </w:rPr>
        <w:t xml:space="preserve">changes in </w:t>
      </w:r>
      <w:r w:rsidRPr="3DC7D0E8">
        <w:rPr>
          <w:rStyle w:val="None"/>
          <w:rFonts w:ascii="Arial" w:hAnsi="Arial"/>
          <w:color w:val="auto"/>
          <w:lang w:val="en-GB"/>
        </w:rPr>
        <w:t xml:space="preserve">NNDR reliefs and from the collectability of the taxes </w:t>
      </w:r>
      <w:r w:rsidR="002943BC" w:rsidRPr="3DC7D0E8">
        <w:rPr>
          <w:rStyle w:val="None"/>
          <w:rFonts w:ascii="Arial" w:hAnsi="Arial"/>
          <w:color w:val="auto"/>
          <w:lang w:val="en-GB"/>
        </w:rPr>
        <w:t>due to the cost</w:t>
      </w:r>
      <w:r w:rsidR="00C81471">
        <w:rPr>
          <w:rStyle w:val="None"/>
          <w:rFonts w:ascii="Arial" w:hAnsi="Arial"/>
          <w:color w:val="auto"/>
          <w:lang w:val="en-GB"/>
        </w:rPr>
        <w:t>-</w:t>
      </w:r>
      <w:r w:rsidR="002943BC" w:rsidRPr="3DC7D0E8">
        <w:rPr>
          <w:rStyle w:val="None"/>
          <w:rFonts w:ascii="Arial" w:hAnsi="Arial"/>
          <w:color w:val="auto"/>
          <w:lang w:val="en-GB"/>
        </w:rPr>
        <w:t>of</w:t>
      </w:r>
      <w:r w:rsidR="00C81471">
        <w:rPr>
          <w:rStyle w:val="None"/>
          <w:rFonts w:ascii="Arial" w:hAnsi="Arial"/>
          <w:color w:val="auto"/>
          <w:lang w:val="en-GB"/>
        </w:rPr>
        <w:t>-</w:t>
      </w:r>
      <w:r w:rsidR="002943BC" w:rsidRPr="3DC7D0E8">
        <w:rPr>
          <w:rStyle w:val="None"/>
          <w:rFonts w:ascii="Arial" w:hAnsi="Arial"/>
          <w:color w:val="auto"/>
          <w:lang w:val="en-GB"/>
        </w:rPr>
        <w:t>living crisis and</w:t>
      </w:r>
      <w:r w:rsidRPr="3DC7D0E8">
        <w:rPr>
          <w:rStyle w:val="None"/>
          <w:rFonts w:ascii="Arial" w:hAnsi="Arial"/>
          <w:color w:val="auto"/>
          <w:lang w:val="en-GB"/>
        </w:rPr>
        <w:t xml:space="preserve"> economic circumstances.</w:t>
      </w:r>
      <w:r w:rsidR="000B304B">
        <w:rPr>
          <w:rStyle w:val="None"/>
          <w:rFonts w:ascii="Arial" w:hAnsi="Arial"/>
          <w:color w:val="auto"/>
          <w:lang w:val="en-GB"/>
        </w:rPr>
        <w:t xml:space="preserve"> However</w:t>
      </w:r>
      <w:r w:rsidR="00557672">
        <w:rPr>
          <w:rStyle w:val="None"/>
          <w:rFonts w:ascii="Arial" w:hAnsi="Arial"/>
          <w:color w:val="auto"/>
          <w:lang w:val="en-GB"/>
        </w:rPr>
        <w:t>,</w:t>
      </w:r>
      <w:r w:rsidR="000B304B">
        <w:rPr>
          <w:rStyle w:val="None"/>
          <w:rFonts w:ascii="Arial" w:hAnsi="Arial"/>
          <w:color w:val="auto"/>
          <w:lang w:val="en-GB"/>
        </w:rPr>
        <w:t xml:space="preserve"> it is felt that </w:t>
      </w:r>
      <w:r w:rsidR="00557672">
        <w:rPr>
          <w:rStyle w:val="None"/>
          <w:rFonts w:ascii="Arial" w:hAnsi="Arial"/>
          <w:color w:val="auto"/>
          <w:lang w:val="en-GB"/>
        </w:rPr>
        <w:t xml:space="preserve">the current level </w:t>
      </w:r>
      <w:r w:rsidR="00ED318B">
        <w:rPr>
          <w:rStyle w:val="None"/>
          <w:rFonts w:ascii="Arial" w:hAnsi="Arial"/>
          <w:color w:val="auto"/>
          <w:lang w:val="en-GB"/>
        </w:rPr>
        <w:t xml:space="preserve">exceeds the level of risk and a transfer of £500k is </w:t>
      </w:r>
      <w:r w:rsidR="00E97CB2">
        <w:rPr>
          <w:rStyle w:val="None"/>
          <w:rFonts w:ascii="Arial" w:hAnsi="Arial"/>
          <w:color w:val="auto"/>
          <w:lang w:val="en-GB"/>
        </w:rPr>
        <w:t xml:space="preserve">planned </w:t>
      </w:r>
      <w:r w:rsidR="009C3D46">
        <w:rPr>
          <w:rStyle w:val="None"/>
          <w:rFonts w:ascii="Arial" w:hAnsi="Arial"/>
          <w:color w:val="auto"/>
          <w:lang w:val="en-GB"/>
        </w:rPr>
        <w:t>to increase the Major Repairs and Maintenance reserve. The level will continue to be reviewed against estimated risk levels</w:t>
      </w:r>
      <w:r w:rsidR="00FD14FA">
        <w:rPr>
          <w:rStyle w:val="None"/>
          <w:rFonts w:ascii="Arial" w:hAnsi="Arial"/>
          <w:color w:val="auto"/>
          <w:lang w:val="en-GB"/>
        </w:rPr>
        <w:t>.</w:t>
      </w:r>
    </w:p>
    <w:p w14:paraId="5E9C0031" w14:textId="77777777" w:rsidR="00894C61" w:rsidRPr="00164E5F" w:rsidRDefault="00894C61" w:rsidP="3DC7D0E8">
      <w:pPr>
        <w:pStyle w:val="BodyA"/>
        <w:ind w:left="1069"/>
        <w:rPr>
          <w:rStyle w:val="None"/>
          <w:rFonts w:ascii="Arial" w:hAnsi="Arial"/>
          <w:color w:val="auto"/>
          <w:sz w:val="22"/>
          <w:szCs w:val="22"/>
          <w:lang w:val="en-GB"/>
        </w:rPr>
      </w:pPr>
    </w:p>
    <w:p w14:paraId="2EA38AE8" w14:textId="0CD41558" w:rsidR="005D3066" w:rsidRDefault="005D3066" w:rsidP="3DC7D0E8">
      <w:pPr>
        <w:pStyle w:val="Indentedtextfornumberedlists"/>
        <w:numPr>
          <w:ilvl w:val="0"/>
          <w:numId w:val="37"/>
        </w:numPr>
        <w:spacing w:after="240"/>
      </w:pPr>
      <w:r>
        <w:t>Adult Social Care</w:t>
      </w:r>
      <w:r w:rsidR="002A63C8">
        <w:t xml:space="preserve"> (ASC)</w:t>
      </w:r>
      <w:r>
        <w:t>;</w:t>
      </w:r>
    </w:p>
    <w:p w14:paraId="04093042" w14:textId="7268CF28" w:rsidR="00AA0A10" w:rsidRPr="000910B1" w:rsidRDefault="00AA0A10" w:rsidP="3DC7D0E8">
      <w:pPr>
        <w:pStyle w:val="Header"/>
        <w:spacing w:line="312" w:lineRule="auto"/>
        <w:ind w:left="1072"/>
        <w:jc w:val="both"/>
        <w:rPr>
          <w:rStyle w:val="None"/>
          <w:rFonts w:ascii="Arial" w:hAnsi="Arial"/>
        </w:rPr>
      </w:pPr>
      <w:r w:rsidRPr="3DC7D0E8">
        <w:rPr>
          <w:rStyle w:val="None"/>
          <w:rFonts w:ascii="Arial" w:hAnsi="Arial"/>
        </w:rPr>
        <w:t xml:space="preserve">Under the existing Adult Social Care contract with the Integrated Care Organisation, (ICO), the Council has maintained an element of the Council Tax precept in order to invest in transformation </w:t>
      </w:r>
      <w:r w:rsidR="00FA674B">
        <w:rPr>
          <w:rStyle w:val="None"/>
          <w:rFonts w:ascii="Arial" w:hAnsi="Arial"/>
        </w:rPr>
        <w:t xml:space="preserve">activity </w:t>
      </w:r>
      <w:r w:rsidRPr="3DC7D0E8">
        <w:rPr>
          <w:rStyle w:val="None"/>
          <w:rFonts w:ascii="Arial" w:hAnsi="Arial"/>
        </w:rPr>
        <w:t xml:space="preserve">and </w:t>
      </w:r>
      <w:r w:rsidR="00AD5572" w:rsidRPr="3DC7D0E8">
        <w:rPr>
          <w:rStyle w:val="None"/>
          <w:rFonts w:ascii="Arial" w:hAnsi="Arial"/>
        </w:rPr>
        <w:t>improv</w:t>
      </w:r>
      <w:r w:rsidR="00FA674B">
        <w:rPr>
          <w:rStyle w:val="None"/>
          <w:rFonts w:ascii="Arial" w:hAnsi="Arial"/>
        </w:rPr>
        <w:t>e</w:t>
      </w:r>
      <w:r w:rsidR="00AD5572" w:rsidRPr="3DC7D0E8">
        <w:rPr>
          <w:rStyle w:val="None"/>
          <w:rFonts w:ascii="Arial" w:hAnsi="Arial"/>
        </w:rPr>
        <w:t xml:space="preserve"> </w:t>
      </w:r>
      <w:r w:rsidR="00FA674B">
        <w:rPr>
          <w:rStyle w:val="None"/>
          <w:rFonts w:ascii="Arial" w:hAnsi="Arial"/>
        </w:rPr>
        <w:t xml:space="preserve">future </w:t>
      </w:r>
      <w:r w:rsidR="00AD5572" w:rsidRPr="3DC7D0E8">
        <w:rPr>
          <w:rStyle w:val="None"/>
          <w:rFonts w:ascii="Arial" w:hAnsi="Arial"/>
        </w:rPr>
        <w:t xml:space="preserve">sustainability of the </w:t>
      </w:r>
      <w:r w:rsidR="00E506CB" w:rsidRPr="3DC7D0E8">
        <w:rPr>
          <w:rStyle w:val="None"/>
          <w:rFonts w:ascii="Arial" w:hAnsi="Arial"/>
        </w:rPr>
        <w:t>s</w:t>
      </w:r>
      <w:r w:rsidR="00AD5572" w:rsidRPr="3DC7D0E8">
        <w:rPr>
          <w:rStyle w:val="None"/>
          <w:rFonts w:ascii="Arial" w:hAnsi="Arial"/>
        </w:rPr>
        <w:t xml:space="preserve">ervice. </w:t>
      </w:r>
      <w:r w:rsidR="004B53BF">
        <w:rPr>
          <w:rStyle w:val="None"/>
          <w:rFonts w:ascii="Arial" w:hAnsi="Arial"/>
        </w:rPr>
        <w:t>From April 2025</w:t>
      </w:r>
      <w:r w:rsidR="00A033EC">
        <w:rPr>
          <w:rStyle w:val="None"/>
          <w:rFonts w:ascii="Arial" w:hAnsi="Arial"/>
        </w:rPr>
        <w:t xml:space="preserve">, the ASC precept </w:t>
      </w:r>
      <w:r w:rsidR="007E4BF9">
        <w:rPr>
          <w:rStyle w:val="None"/>
          <w:rFonts w:ascii="Arial" w:hAnsi="Arial"/>
        </w:rPr>
        <w:t xml:space="preserve">has been </w:t>
      </w:r>
      <w:r w:rsidR="00CD58A6">
        <w:rPr>
          <w:rStyle w:val="None"/>
          <w:rFonts w:ascii="Arial" w:hAnsi="Arial"/>
        </w:rPr>
        <w:t xml:space="preserve">used to fund </w:t>
      </w:r>
      <w:r w:rsidR="00B17FA8">
        <w:rPr>
          <w:rStyle w:val="None"/>
          <w:rFonts w:ascii="Arial" w:hAnsi="Arial"/>
        </w:rPr>
        <w:t xml:space="preserve">increases to </w:t>
      </w:r>
      <w:r w:rsidR="00A033EC">
        <w:rPr>
          <w:rStyle w:val="None"/>
          <w:rFonts w:ascii="Arial" w:hAnsi="Arial"/>
        </w:rPr>
        <w:t xml:space="preserve">the </w:t>
      </w:r>
      <w:r w:rsidR="00AD5572" w:rsidRPr="3DC7D0E8">
        <w:rPr>
          <w:rStyle w:val="None"/>
          <w:rFonts w:ascii="Arial" w:hAnsi="Arial"/>
        </w:rPr>
        <w:t xml:space="preserve">ICO </w:t>
      </w:r>
      <w:r w:rsidR="00A033EC">
        <w:rPr>
          <w:rStyle w:val="None"/>
          <w:rFonts w:ascii="Arial" w:hAnsi="Arial"/>
        </w:rPr>
        <w:t xml:space="preserve">in compliance with the new, five year, Section 75 </w:t>
      </w:r>
      <w:r w:rsidR="00AD5572" w:rsidRPr="3DC7D0E8">
        <w:rPr>
          <w:rStyle w:val="None"/>
          <w:rFonts w:ascii="Arial" w:hAnsi="Arial"/>
        </w:rPr>
        <w:t>contract</w:t>
      </w:r>
      <w:r w:rsidR="00A033EC">
        <w:rPr>
          <w:rStyle w:val="None"/>
          <w:rFonts w:ascii="Arial" w:hAnsi="Arial"/>
        </w:rPr>
        <w:t xml:space="preserve">. The ASC reserve will </w:t>
      </w:r>
      <w:r w:rsidR="00B17FA8">
        <w:rPr>
          <w:rStyle w:val="None"/>
          <w:rFonts w:ascii="Arial" w:hAnsi="Arial"/>
        </w:rPr>
        <w:t xml:space="preserve">continue to </w:t>
      </w:r>
      <w:r w:rsidR="00A033EC">
        <w:rPr>
          <w:rStyle w:val="None"/>
          <w:rFonts w:ascii="Arial" w:hAnsi="Arial"/>
        </w:rPr>
        <w:t>be used to fund a n</w:t>
      </w:r>
      <w:r w:rsidR="00AD5572" w:rsidRPr="3DC7D0E8">
        <w:rPr>
          <w:rStyle w:val="None"/>
          <w:rFonts w:ascii="Arial" w:hAnsi="Arial"/>
        </w:rPr>
        <w:t>umber of ‘invest to save’ proposals a</w:t>
      </w:r>
      <w:r w:rsidR="00106A0F">
        <w:rPr>
          <w:rStyle w:val="None"/>
          <w:rFonts w:ascii="Arial" w:hAnsi="Arial"/>
        </w:rPr>
        <w:t>nd</w:t>
      </w:r>
      <w:r w:rsidR="00AD5572" w:rsidRPr="3DC7D0E8">
        <w:rPr>
          <w:rStyle w:val="None"/>
          <w:rFonts w:ascii="Arial" w:hAnsi="Arial"/>
        </w:rPr>
        <w:t xml:space="preserve"> </w:t>
      </w:r>
      <w:r w:rsidR="00FA674B">
        <w:rPr>
          <w:rStyle w:val="None"/>
          <w:rFonts w:ascii="Arial" w:hAnsi="Arial"/>
        </w:rPr>
        <w:t xml:space="preserve">improvement </w:t>
      </w:r>
      <w:r w:rsidR="009210D1">
        <w:rPr>
          <w:rStyle w:val="None"/>
          <w:rFonts w:ascii="Arial" w:hAnsi="Arial"/>
        </w:rPr>
        <w:t>activities</w:t>
      </w:r>
      <w:r w:rsidR="00106A0F">
        <w:rPr>
          <w:rStyle w:val="None"/>
          <w:rFonts w:ascii="Arial" w:hAnsi="Arial"/>
        </w:rPr>
        <w:t>, as agreed with Health,</w:t>
      </w:r>
      <w:r w:rsidR="009210D1">
        <w:rPr>
          <w:rStyle w:val="None"/>
          <w:rFonts w:ascii="Arial" w:hAnsi="Arial"/>
        </w:rPr>
        <w:t xml:space="preserve"> </w:t>
      </w:r>
      <w:r w:rsidR="005544E0">
        <w:rPr>
          <w:rStyle w:val="None"/>
          <w:rFonts w:ascii="Arial" w:hAnsi="Arial"/>
        </w:rPr>
        <w:t xml:space="preserve">including </w:t>
      </w:r>
      <w:r w:rsidR="00197BB7" w:rsidRPr="3DC7D0E8">
        <w:rPr>
          <w:rStyle w:val="None"/>
          <w:rFonts w:ascii="Arial" w:hAnsi="Arial"/>
        </w:rPr>
        <w:t xml:space="preserve">targeted support for learning disabilities, </w:t>
      </w:r>
      <w:r w:rsidR="00B552C5" w:rsidRPr="3DC7D0E8">
        <w:rPr>
          <w:rStyle w:val="None"/>
          <w:rFonts w:ascii="Arial" w:hAnsi="Arial"/>
        </w:rPr>
        <w:t xml:space="preserve">increased capacity </w:t>
      </w:r>
      <w:r w:rsidR="001F021C">
        <w:rPr>
          <w:rStyle w:val="None"/>
          <w:rFonts w:ascii="Arial" w:hAnsi="Arial"/>
        </w:rPr>
        <w:t>for</w:t>
      </w:r>
      <w:r w:rsidR="00197BB7" w:rsidRPr="3DC7D0E8">
        <w:rPr>
          <w:rStyle w:val="None"/>
          <w:rFonts w:ascii="Arial" w:hAnsi="Arial"/>
        </w:rPr>
        <w:t xml:space="preserve"> the</w:t>
      </w:r>
      <w:r w:rsidR="00977748" w:rsidRPr="3DC7D0E8">
        <w:rPr>
          <w:rStyle w:val="None"/>
          <w:rFonts w:ascii="Arial" w:hAnsi="Arial"/>
        </w:rPr>
        <w:t xml:space="preserve"> </w:t>
      </w:r>
      <w:r w:rsidR="00197BB7" w:rsidRPr="3DC7D0E8">
        <w:rPr>
          <w:rStyle w:val="None"/>
          <w:rFonts w:ascii="Arial" w:hAnsi="Arial"/>
        </w:rPr>
        <w:t>reablement service</w:t>
      </w:r>
      <w:r w:rsidR="00770B51" w:rsidRPr="3DC7D0E8">
        <w:rPr>
          <w:rStyle w:val="None"/>
          <w:rFonts w:ascii="Arial" w:hAnsi="Arial"/>
        </w:rPr>
        <w:t xml:space="preserve">, improved governance and commissioning of services and capital investments to enable the building of extra care </w:t>
      </w:r>
      <w:r w:rsidR="00EF4144">
        <w:rPr>
          <w:rStyle w:val="None"/>
          <w:rFonts w:ascii="Arial" w:hAnsi="Arial"/>
        </w:rPr>
        <w:t>units</w:t>
      </w:r>
      <w:r w:rsidR="002A63C8" w:rsidRPr="3DC7D0E8">
        <w:rPr>
          <w:rStyle w:val="None"/>
          <w:rFonts w:ascii="Arial" w:hAnsi="Arial"/>
        </w:rPr>
        <w:t>.</w:t>
      </w:r>
    </w:p>
    <w:p w14:paraId="4EB420BF" w14:textId="77777777" w:rsidR="004445F5" w:rsidRDefault="004445F5" w:rsidP="000910B1">
      <w:pPr>
        <w:pStyle w:val="Header"/>
        <w:spacing w:line="312" w:lineRule="auto"/>
        <w:ind w:left="1072"/>
        <w:rPr>
          <w:rStyle w:val="None"/>
          <w:rFonts w:ascii="Arial" w:hAnsi="Arial"/>
          <w:szCs w:val="24"/>
        </w:rPr>
      </w:pPr>
    </w:p>
    <w:p w14:paraId="3BD9FE21" w14:textId="77777777" w:rsidR="00047785" w:rsidRPr="000910B1" w:rsidRDefault="00047785" w:rsidP="000910B1">
      <w:pPr>
        <w:pStyle w:val="Header"/>
        <w:spacing w:line="312" w:lineRule="auto"/>
        <w:ind w:left="1072"/>
        <w:rPr>
          <w:rStyle w:val="None"/>
          <w:rFonts w:ascii="Arial" w:hAnsi="Arial"/>
          <w:szCs w:val="24"/>
        </w:rPr>
      </w:pPr>
    </w:p>
    <w:p w14:paraId="15B7A536" w14:textId="0566266E" w:rsidR="005D3066" w:rsidRDefault="005D3066" w:rsidP="005D3066">
      <w:pPr>
        <w:pStyle w:val="Indentedtextfornumberedlists"/>
        <w:numPr>
          <w:ilvl w:val="0"/>
          <w:numId w:val="37"/>
        </w:numPr>
        <w:spacing w:after="240"/>
      </w:pPr>
      <w:r>
        <w:t>Children</w:t>
      </w:r>
      <w:r w:rsidR="008D1EA1">
        <w:t>’</w:t>
      </w:r>
      <w:r>
        <w:t>s Social Care</w:t>
      </w:r>
    </w:p>
    <w:p w14:paraId="4A1FEE7C" w14:textId="5B2D77A0" w:rsidR="005D0D8C" w:rsidRPr="000910B1" w:rsidRDefault="002E3519" w:rsidP="3DC7D0E8">
      <w:pPr>
        <w:pStyle w:val="Header"/>
        <w:spacing w:line="312" w:lineRule="auto"/>
        <w:ind w:left="1072"/>
        <w:jc w:val="both"/>
        <w:rPr>
          <w:rStyle w:val="None"/>
          <w:rFonts w:ascii="Arial" w:hAnsi="Arial"/>
        </w:rPr>
      </w:pPr>
      <w:r w:rsidRPr="3DC7D0E8">
        <w:rPr>
          <w:rStyle w:val="None"/>
          <w:rFonts w:ascii="Arial" w:hAnsi="Arial"/>
        </w:rPr>
        <w:t>As part of the 2022/23 budget</w:t>
      </w:r>
      <w:r w:rsidR="00EC54F4" w:rsidRPr="3DC7D0E8">
        <w:rPr>
          <w:rStyle w:val="None"/>
          <w:rFonts w:ascii="Arial" w:hAnsi="Arial"/>
        </w:rPr>
        <w:t>,</w:t>
      </w:r>
      <w:r w:rsidRPr="3DC7D0E8">
        <w:rPr>
          <w:rStyle w:val="None"/>
          <w:rFonts w:ascii="Arial" w:hAnsi="Arial"/>
        </w:rPr>
        <w:t xml:space="preserve"> to mitigate against volatility of cost and demand for placements</w:t>
      </w:r>
      <w:r w:rsidR="00B83F2B" w:rsidRPr="3DC7D0E8">
        <w:rPr>
          <w:rStyle w:val="None"/>
          <w:rFonts w:ascii="Arial" w:hAnsi="Arial"/>
        </w:rPr>
        <w:t>,</w:t>
      </w:r>
      <w:r w:rsidRPr="3DC7D0E8">
        <w:rPr>
          <w:rStyle w:val="None"/>
          <w:rFonts w:ascii="Arial" w:hAnsi="Arial"/>
        </w:rPr>
        <w:t xml:space="preserve"> a</w:t>
      </w:r>
      <w:r w:rsidR="00557F6E">
        <w:rPr>
          <w:rStyle w:val="None"/>
          <w:rFonts w:ascii="Arial" w:hAnsi="Arial"/>
        </w:rPr>
        <w:t>n</w:t>
      </w:r>
      <w:r w:rsidRPr="3DC7D0E8">
        <w:rPr>
          <w:rStyle w:val="None"/>
          <w:rFonts w:ascii="Arial" w:hAnsi="Arial"/>
        </w:rPr>
        <w:t xml:space="preserve"> earmarked reserve was established with an initial level of £1.0m. </w:t>
      </w:r>
      <w:r w:rsidR="007053D6">
        <w:rPr>
          <w:rStyle w:val="None"/>
          <w:rFonts w:ascii="Arial" w:hAnsi="Arial"/>
        </w:rPr>
        <w:t>Additional revenue was added to</w:t>
      </w:r>
      <w:r w:rsidR="007053D6" w:rsidDel="006867B5">
        <w:rPr>
          <w:rStyle w:val="None"/>
          <w:rFonts w:ascii="Arial" w:hAnsi="Arial"/>
        </w:rPr>
        <w:t xml:space="preserve"> </w:t>
      </w:r>
      <w:r w:rsidR="0042225F">
        <w:rPr>
          <w:rStyle w:val="None"/>
          <w:rFonts w:ascii="Arial" w:hAnsi="Arial"/>
        </w:rPr>
        <w:t>base</w:t>
      </w:r>
      <w:r w:rsidR="006867B5">
        <w:rPr>
          <w:rStyle w:val="None"/>
          <w:rFonts w:ascii="Arial" w:hAnsi="Arial"/>
        </w:rPr>
        <w:t xml:space="preserve"> budgets</w:t>
      </w:r>
      <w:r w:rsidR="0042225F">
        <w:rPr>
          <w:rStyle w:val="None"/>
          <w:rFonts w:ascii="Arial" w:hAnsi="Arial"/>
        </w:rPr>
        <w:t xml:space="preserve"> in </w:t>
      </w:r>
      <w:r w:rsidR="006867B5">
        <w:rPr>
          <w:rStyle w:val="None"/>
          <w:rFonts w:ascii="Arial" w:hAnsi="Arial"/>
        </w:rPr>
        <w:t xml:space="preserve">recent </w:t>
      </w:r>
      <w:r w:rsidR="006867B5" w:rsidRPr="1D91C4D7">
        <w:rPr>
          <w:rStyle w:val="None"/>
          <w:rFonts w:ascii="Arial" w:hAnsi="Arial"/>
        </w:rPr>
        <w:t>years</w:t>
      </w:r>
      <w:r w:rsidR="0024375D">
        <w:rPr>
          <w:rStyle w:val="None"/>
          <w:rFonts w:ascii="Arial" w:hAnsi="Arial"/>
        </w:rPr>
        <w:t>,</w:t>
      </w:r>
      <w:r w:rsidR="0042225F">
        <w:rPr>
          <w:rStyle w:val="None"/>
          <w:rFonts w:ascii="Arial" w:hAnsi="Arial"/>
        </w:rPr>
        <w:t xml:space="preserve"> which has helped </w:t>
      </w:r>
      <w:r w:rsidR="00512A79">
        <w:rPr>
          <w:rStyle w:val="None"/>
          <w:rFonts w:ascii="Arial" w:hAnsi="Arial"/>
        </w:rPr>
        <w:t xml:space="preserve">to partially stabilise </w:t>
      </w:r>
      <w:r w:rsidR="007053D6">
        <w:rPr>
          <w:rStyle w:val="None"/>
          <w:rFonts w:ascii="Arial" w:hAnsi="Arial"/>
        </w:rPr>
        <w:t>budget</w:t>
      </w:r>
      <w:r w:rsidR="006A7FD2">
        <w:rPr>
          <w:rStyle w:val="None"/>
          <w:rFonts w:ascii="Arial" w:hAnsi="Arial"/>
        </w:rPr>
        <w:t>s.</w:t>
      </w:r>
      <w:r w:rsidR="007053D6">
        <w:rPr>
          <w:rStyle w:val="None"/>
          <w:rFonts w:ascii="Arial" w:hAnsi="Arial"/>
        </w:rPr>
        <w:t xml:space="preserve"> </w:t>
      </w:r>
      <w:r w:rsidR="009C5CA5">
        <w:rPr>
          <w:rStyle w:val="None"/>
          <w:rFonts w:ascii="Arial" w:hAnsi="Arial"/>
        </w:rPr>
        <w:t>However, t</w:t>
      </w:r>
      <w:r w:rsidRPr="3DC7D0E8">
        <w:rPr>
          <w:rStyle w:val="None"/>
          <w:rFonts w:ascii="Arial" w:hAnsi="Arial"/>
        </w:rPr>
        <w:t>h</w:t>
      </w:r>
      <w:r w:rsidR="00D86FFC" w:rsidRPr="3DC7D0E8">
        <w:rPr>
          <w:rStyle w:val="None"/>
          <w:rFonts w:ascii="Arial" w:hAnsi="Arial"/>
        </w:rPr>
        <w:t xml:space="preserve">e </w:t>
      </w:r>
      <w:r w:rsidR="005D0D8C" w:rsidRPr="3DC7D0E8">
        <w:rPr>
          <w:rStyle w:val="None"/>
          <w:rFonts w:ascii="Arial" w:hAnsi="Arial"/>
        </w:rPr>
        <w:t>difficult provider market</w:t>
      </w:r>
      <w:r w:rsidR="00EC54F4" w:rsidRPr="3DC7D0E8">
        <w:rPr>
          <w:rStyle w:val="None"/>
          <w:rFonts w:ascii="Arial" w:hAnsi="Arial"/>
        </w:rPr>
        <w:t>,</w:t>
      </w:r>
      <w:r w:rsidR="005D0D8C" w:rsidRPr="3DC7D0E8">
        <w:rPr>
          <w:rStyle w:val="None"/>
          <w:rFonts w:ascii="Arial" w:hAnsi="Arial"/>
        </w:rPr>
        <w:t xml:space="preserve"> with </w:t>
      </w:r>
      <w:r w:rsidR="00EC54F4" w:rsidRPr="3DC7D0E8">
        <w:rPr>
          <w:rStyle w:val="None"/>
          <w:rFonts w:ascii="Arial" w:hAnsi="Arial"/>
        </w:rPr>
        <w:t xml:space="preserve">the </w:t>
      </w:r>
      <w:r w:rsidR="005D0D8C" w:rsidRPr="3DC7D0E8">
        <w:rPr>
          <w:rStyle w:val="None"/>
          <w:rFonts w:ascii="Arial" w:hAnsi="Arial"/>
        </w:rPr>
        <w:t xml:space="preserve">associated </w:t>
      </w:r>
      <w:r w:rsidR="00D86FFC" w:rsidRPr="3DC7D0E8">
        <w:rPr>
          <w:rStyle w:val="None"/>
          <w:rFonts w:ascii="Arial" w:hAnsi="Arial"/>
        </w:rPr>
        <w:t>high cost of placements</w:t>
      </w:r>
      <w:r w:rsidR="00EC54F4" w:rsidRPr="3DC7D0E8">
        <w:rPr>
          <w:rStyle w:val="None"/>
          <w:rFonts w:ascii="Arial" w:hAnsi="Arial"/>
        </w:rPr>
        <w:t>,</w:t>
      </w:r>
      <w:r w:rsidR="00D86FFC" w:rsidRPr="3DC7D0E8">
        <w:rPr>
          <w:rStyle w:val="None"/>
          <w:rFonts w:ascii="Arial" w:hAnsi="Arial"/>
        </w:rPr>
        <w:t xml:space="preserve"> continue</w:t>
      </w:r>
      <w:r w:rsidR="005D0D8C" w:rsidRPr="3DC7D0E8">
        <w:rPr>
          <w:rStyle w:val="None"/>
          <w:rFonts w:ascii="Arial" w:hAnsi="Arial"/>
        </w:rPr>
        <w:t>s</w:t>
      </w:r>
      <w:r w:rsidR="00D86FFC" w:rsidRPr="3DC7D0E8">
        <w:rPr>
          <w:rStyle w:val="None"/>
          <w:rFonts w:ascii="Arial" w:hAnsi="Arial"/>
        </w:rPr>
        <w:t xml:space="preserve"> to be a regional and national issue </w:t>
      </w:r>
      <w:r w:rsidR="005D0D8C" w:rsidRPr="3DC7D0E8">
        <w:rPr>
          <w:rStyle w:val="None"/>
          <w:rFonts w:ascii="Arial" w:hAnsi="Arial"/>
        </w:rPr>
        <w:t>and pending legislation</w:t>
      </w:r>
      <w:r w:rsidR="00AF3E75">
        <w:rPr>
          <w:rStyle w:val="None"/>
          <w:rFonts w:ascii="Arial" w:hAnsi="Arial"/>
        </w:rPr>
        <w:t>,</w:t>
      </w:r>
      <w:r w:rsidR="002A179D" w:rsidRPr="3DC7D0E8">
        <w:rPr>
          <w:rStyle w:val="None"/>
          <w:rFonts w:ascii="Arial" w:hAnsi="Arial"/>
        </w:rPr>
        <w:t xml:space="preserve"> which could lead to a Regional Care Co-operative</w:t>
      </w:r>
      <w:r w:rsidR="00AF3E75">
        <w:rPr>
          <w:rStyle w:val="None"/>
          <w:rFonts w:ascii="Arial" w:hAnsi="Arial"/>
        </w:rPr>
        <w:t>,</w:t>
      </w:r>
      <w:r w:rsidR="002A179D" w:rsidRPr="3DC7D0E8">
        <w:rPr>
          <w:rStyle w:val="None"/>
          <w:rFonts w:ascii="Arial" w:hAnsi="Arial"/>
        </w:rPr>
        <w:t xml:space="preserve"> provides another significant financial risk on the service moving forwards.</w:t>
      </w:r>
    </w:p>
    <w:p w14:paraId="3B377A7A" w14:textId="51ABD277" w:rsidR="005D0D8C" w:rsidRPr="00047785" w:rsidRDefault="005D0D8C" w:rsidP="3DC7D0E8">
      <w:pPr>
        <w:pStyle w:val="Header"/>
        <w:spacing w:line="312" w:lineRule="auto"/>
        <w:ind w:left="1072"/>
        <w:rPr>
          <w:rStyle w:val="None"/>
          <w:rFonts w:ascii="Arial" w:hAnsi="Arial"/>
          <w:sz w:val="16"/>
          <w:szCs w:val="16"/>
        </w:rPr>
      </w:pPr>
    </w:p>
    <w:p w14:paraId="6B1C2B59" w14:textId="1DC3F50D" w:rsidR="005D0D8C" w:rsidRPr="000910B1" w:rsidRDefault="5D39919A" w:rsidP="3DC7D0E8">
      <w:pPr>
        <w:pStyle w:val="Header"/>
        <w:spacing w:line="312" w:lineRule="auto"/>
        <w:ind w:left="1072"/>
        <w:jc w:val="both"/>
        <w:rPr>
          <w:rStyle w:val="None"/>
          <w:rFonts w:ascii="Arial" w:hAnsi="Arial"/>
        </w:rPr>
      </w:pPr>
      <w:r w:rsidRPr="3DC7D0E8">
        <w:rPr>
          <w:rStyle w:val="None"/>
          <w:rFonts w:ascii="Arial" w:hAnsi="Arial"/>
        </w:rPr>
        <w:t xml:space="preserve">The </w:t>
      </w:r>
      <w:r w:rsidR="00AF3E75">
        <w:rPr>
          <w:rStyle w:val="None"/>
          <w:rFonts w:ascii="Arial" w:hAnsi="Arial"/>
        </w:rPr>
        <w:t>main</w:t>
      </w:r>
      <w:r w:rsidRPr="3DC7D0E8">
        <w:rPr>
          <w:rStyle w:val="None"/>
          <w:rFonts w:ascii="Arial" w:hAnsi="Arial"/>
        </w:rPr>
        <w:t xml:space="preserve"> objective of this reserve is to focus on relevant ‘invest to save’ opportunities for the service whereby investment in one-off </w:t>
      </w:r>
      <w:r w:rsidR="1BDE76CC" w:rsidRPr="3DC7D0E8">
        <w:rPr>
          <w:rStyle w:val="None"/>
          <w:rFonts w:ascii="Arial" w:hAnsi="Arial"/>
        </w:rPr>
        <w:t xml:space="preserve">transformational activity can seek to drive efficiencies in relation to future on-going spend. </w:t>
      </w:r>
      <w:r w:rsidR="002A179D" w:rsidRPr="3DC7D0E8">
        <w:rPr>
          <w:rStyle w:val="None"/>
          <w:rFonts w:ascii="Arial" w:hAnsi="Arial"/>
        </w:rPr>
        <w:t xml:space="preserve"> </w:t>
      </w:r>
    </w:p>
    <w:p w14:paraId="11A2AD77" w14:textId="77777777" w:rsidR="00F92D47" w:rsidRPr="00F92D47" w:rsidRDefault="00F92D47" w:rsidP="00F92D47">
      <w:pPr>
        <w:pStyle w:val="BodyA"/>
        <w:ind w:left="1069"/>
        <w:rPr>
          <w:rStyle w:val="None"/>
          <w:rFonts w:ascii="Arial" w:hAnsi="Arial"/>
          <w:color w:val="auto"/>
          <w:lang w:val="en-GB"/>
        </w:rPr>
      </w:pPr>
    </w:p>
    <w:p w14:paraId="6DF846C4" w14:textId="75E3E047" w:rsidR="008337F2" w:rsidRDefault="008337F2" w:rsidP="000910B1">
      <w:pPr>
        <w:pStyle w:val="Indentedtextfornumberedlists"/>
        <w:keepNext/>
        <w:numPr>
          <w:ilvl w:val="0"/>
          <w:numId w:val="37"/>
        </w:numPr>
        <w:spacing w:after="240"/>
        <w:ind w:left="1066" w:hanging="357"/>
      </w:pPr>
      <w:r>
        <w:t xml:space="preserve">Schools </w:t>
      </w:r>
      <w:r w:rsidR="006745AF">
        <w:t>and Private Finance Initiative</w:t>
      </w:r>
    </w:p>
    <w:p w14:paraId="2A946EDD" w14:textId="68BAC8EF" w:rsidR="00C70BD5" w:rsidRPr="000910B1" w:rsidRDefault="00C70BD5" w:rsidP="3DC7D0E8">
      <w:pPr>
        <w:pStyle w:val="Header"/>
        <w:spacing w:line="312" w:lineRule="auto"/>
        <w:ind w:left="1072"/>
        <w:jc w:val="both"/>
        <w:rPr>
          <w:rStyle w:val="None"/>
          <w:rFonts w:ascii="Arial" w:hAnsi="Arial"/>
        </w:rPr>
      </w:pPr>
      <w:r w:rsidRPr="3DC7D0E8">
        <w:rPr>
          <w:rStyle w:val="None"/>
          <w:rFonts w:ascii="Arial" w:hAnsi="Arial"/>
        </w:rPr>
        <w:t xml:space="preserve">The Council </w:t>
      </w:r>
      <w:r w:rsidR="007C52F1" w:rsidRPr="3DC7D0E8">
        <w:rPr>
          <w:rStyle w:val="None"/>
          <w:rFonts w:ascii="Arial" w:hAnsi="Arial"/>
        </w:rPr>
        <w:t xml:space="preserve">holds a revenue reserve which represents the end of year </w:t>
      </w:r>
      <w:r w:rsidR="001F5D1F" w:rsidRPr="3DC7D0E8">
        <w:rPr>
          <w:rStyle w:val="None"/>
          <w:rFonts w:ascii="Arial" w:hAnsi="Arial"/>
        </w:rPr>
        <w:t xml:space="preserve">delegated Schools budget share </w:t>
      </w:r>
      <w:r w:rsidR="00CA5BBE" w:rsidRPr="3DC7D0E8">
        <w:rPr>
          <w:rStyle w:val="None"/>
          <w:rFonts w:ascii="Arial" w:hAnsi="Arial"/>
        </w:rPr>
        <w:t>balances across the Bay’s Schools.  Although this features within the Council’s Reserve</w:t>
      </w:r>
      <w:r w:rsidR="00D66521" w:rsidRPr="3DC7D0E8">
        <w:rPr>
          <w:rStyle w:val="None"/>
          <w:rFonts w:ascii="Arial" w:hAnsi="Arial"/>
        </w:rPr>
        <w:t xml:space="preserve"> analysis, any drawdown</w:t>
      </w:r>
      <w:r w:rsidR="001D4E22" w:rsidRPr="3DC7D0E8">
        <w:rPr>
          <w:rStyle w:val="None"/>
          <w:rFonts w:ascii="Arial" w:hAnsi="Arial"/>
        </w:rPr>
        <w:t>,</w:t>
      </w:r>
      <w:r w:rsidR="00D66521" w:rsidRPr="3DC7D0E8">
        <w:rPr>
          <w:rStyle w:val="None"/>
          <w:rFonts w:ascii="Arial" w:hAnsi="Arial"/>
        </w:rPr>
        <w:t xml:space="preserve"> or top up</w:t>
      </w:r>
      <w:r w:rsidR="001D4E22" w:rsidRPr="3DC7D0E8">
        <w:rPr>
          <w:rStyle w:val="None"/>
          <w:rFonts w:ascii="Arial" w:hAnsi="Arial"/>
        </w:rPr>
        <w:t>,</w:t>
      </w:r>
      <w:r w:rsidR="00D66521" w:rsidRPr="3DC7D0E8">
        <w:rPr>
          <w:rStyle w:val="None"/>
          <w:rFonts w:ascii="Arial" w:hAnsi="Arial"/>
        </w:rPr>
        <w:t xml:space="preserve"> within t</w:t>
      </w:r>
      <w:r w:rsidR="008B7307" w:rsidRPr="3DC7D0E8">
        <w:rPr>
          <w:rStyle w:val="None"/>
          <w:rFonts w:ascii="Arial" w:hAnsi="Arial"/>
        </w:rPr>
        <w:t>his reserve is wholly reliant on, and managed by, the Schools</w:t>
      </w:r>
      <w:r w:rsidR="00FB1C6B" w:rsidRPr="3DC7D0E8">
        <w:rPr>
          <w:rStyle w:val="None"/>
          <w:rFonts w:ascii="Arial" w:hAnsi="Arial"/>
        </w:rPr>
        <w:t>.</w:t>
      </w:r>
    </w:p>
    <w:p w14:paraId="177F7CC2" w14:textId="77777777" w:rsidR="00045D1E" w:rsidRPr="000910B1" w:rsidRDefault="00045D1E" w:rsidP="000910B1">
      <w:pPr>
        <w:pStyle w:val="Header"/>
        <w:spacing w:line="312" w:lineRule="auto"/>
        <w:ind w:left="1072"/>
        <w:rPr>
          <w:rStyle w:val="None"/>
          <w:rFonts w:ascii="Arial" w:hAnsi="Arial"/>
          <w:szCs w:val="24"/>
        </w:rPr>
      </w:pPr>
    </w:p>
    <w:p w14:paraId="26339F5B" w14:textId="0045204C" w:rsidR="00FB1C6B" w:rsidRPr="000910B1" w:rsidRDefault="00FB1C6B" w:rsidP="3DC7D0E8">
      <w:pPr>
        <w:pStyle w:val="Header"/>
        <w:spacing w:line="312" w:lineRule="auto"/>
        <w:ind w:left="1072"/>
        <w:jc w:val="both"/>
        <w:rPr>
          <w:rStyle w:val="None"/>
          <w:rFonts w:ascii="Arial" w:hAnsi="Arial"/>
        </w:rPr>
      </w:pPr>
      <w:r w:rsidRPr="3DC7D0E8">
        <w:rPr>
          <w:rStyle w:val="None"/>
          <w:rFonts w:ascii="Arial" w:hAnsi="Arial"/>
        </w:rPr>
        <w:t xml:space="preserve">In addition, the Council needs to account for the remaining time limited costs that will be incurred (above set revenue budget) for the </w:t>
      </w:r>
      <w:r w:rsidR="00B5622A" w:rsidRPr="3DC7D0E8">
        <w:rPr>
          <w:rStyle w:val="None"/>
          <w:rFonts w:ascii="Arial" w:hAnsi="Arial"/>
        </w:rPr>
        <w:t>Private Finance Initiative</w:t>
      </w:r>
      <w:r w:rsidR="00F30E73" w:rsidRPr="3DC7D0E8">
        <w:rPr>
          <w:rStyle w:val="None"/>
          <w:rFonts w:ascii="Arial" w:hAnsi="Arial"/>
        </w:rPr>
        <w:t>, (PFI),</w:t>
      </w:r>
      <w:r w:rsidR="00B5622A" w:rsidRPr="3DC7D0E8">
        <w:rPr>
          <w:rStyle w:val="None"/>
          <w:rFonts w:ascii="Arial" w:hAnsi="Arial"/>
        </w:rPr>
        <w:t xml:space="preserve"> funding which expires in 2027.</w:t>
      </w:r>
    </w:p>
    <w:p w14:paraId="797FED24" w14:textId="77777777" w:rsidR="000975DC" w:rsidRPr="00045D1E" w:rsidRDefault="000975DC" w:rsidP="00045D1E">
      <w:pPr>
        <w:pStyle w:val="BodyA"/>
        <w:ind w:left="1069"/>
        <w:rPr>
          <w:rStyle w:val="None"/>
          <w:rFonts w:ascii="Arial" w:hAnsi="Arial"/>
          <w:color w:val="auto"/>
          <w:lang w:val="en-GB"/>
        </w:rPr>
      </w:pPr>
    </w:p>
    <w:p w14:paraId="1C81E1D1" w14:textId="77777777" w:rsidR="007E70EF" w:rsidRDefault="007E70EF" w:rsidP="005D3066">
      <w:pPr>
        <w:pStyle w:val="Indentedtextfornumberedlists"/>
        <w:numPr>
          <w:ilvl w:val="0"/>
          <w:numId w:val="37"/>
        </w:numPr>
        <w:spacing w:after="240"/>
      </w:pPr>
      <w:r>
        <w:t>Reserves linked to specific funding streams</w:t>
      </w:r>
    </w:p>
    <w:p w14:paraId="5B778110" w14:textId="02ED4C81" w:rsidR="00E53A22" w:rsidRPr="000910B1" w:rsidRDefault="007E70EF" w:rsidP="3DC7D0E8">
      <w:pPr>
        <w:pStyle w:val="Header"/>
        <w:spacing w:line="312" w:lineRule="auto"/>
        <w:ind w:left="1072"/>
        <w:jc w:val="both"/>
        <w:rPr>
          <w:rStyle w:val="None"/>
          <w:rFonts w:ascii="Arial" w:hAnsi="Arial"/>
        </w:rPr>
      </w:pPr>
      <w:r w:rsidRPr="3DC7D0E8">
        <w:rPr>
          <w:rStyle w:val="None"/>
          <w:rFonts w:ascii="Arial" w:hAnsi="Arial"/>
        </w:rPr>
        <w:t xml:space="preserve">There are a number of reserves whereby the Council is required to hold funding, and account for spend, </w:t>
      </w:r>
      <w:r w:rsidR="00405BD9" w:rsidRPr="3DC7D0E8">
        <w:rPr>
          <w:rStyle w:val="None"/>
          <w:rFonts w:ascii="Arial" w:hAnsi="Arial"/>
        </w:rPr>
        <w:t xml:space="preserve">specific to the funding’s required purpose. Two </w:t>
      </w:r>
      <w:r w:rsidR="00950F85" w:rsidRPr="3DC7D0E8">
        <w:rPr>
          <w:rStyle w:val="None"/>
          <w:rFonts w:ascii="Arial" w:hAnsi="Arial"/>
        </w:rPr>
        <w:t xml:space="preserve">such reserves are the </w:t>
      </w:r>
      <w:r w:rsidR="00950F85" w:rsidRPr="3DC7D0E8">
        <w:rPr>
          <w:rStyle w:val="None"/>
          <w:rFonts w:ascii="Arial" w:hAnsi="Arial"/>
          <w:b/>
          <w:bCs/>
        </w:rPr>
        <w:t>Harbours Reserve</w:t>
      </w:r>
      <w:r w:rsidR="00950F85" w:rsidRPr="3DC7D0E8">
        <w:rPr>
          <w:rStyle w:val="None"/>
          <w:rFonts w:ascii="Arial" w:hAnsi="Arial"/>
        </w:rPr>
        <w:t xml:space="preserve"> wh</w:t>
      </w:r>
      <w:r w:rsidR="20D3C3AE" w:rsidRPr="3DC7D0E8">
        <w:rPr>
          <w:rStyle w:val="None"/>
          <w:rFonts w:ascii="Arial" w:hAnsi="Arial"/>
        </w:rPr>
        <w:t xml:space="preserve">ere </w:t>
      </w:r>
      <w:r w:rsidR="00950F85" w:rsidRPr="3DC7D0E8">
        <w:rPr>
          <w:rStyle w:val="None"/>
          <w:rFonts w:ascii="Arial" w:hAnsi="Arial"/>
        </w:rPr>
        <w:t xml:space="preserve">a </w:t>
      </w:r>
      <w:r w:rsidR="0091605E" w:rsidRPr="3DC7D0E8">
        <w:rPr>
          <w:rStyle w:val="None"/>
          <w:rFonts w:ascii="Arial" w:hAnsi="Arial"/>
        </w:rPr>
        <w:t>separate ring-fenced budget</w:t>
      </w:r>
      <w:r w:rsidR="2C48F0E7" w:rsidRPr="3DC7D0E8">
        <w:rPr>
          <w:rStyle w:val="None"/>
          <w:rFonts w:ascii="Arial" w:hAnsi="Arial"/>
        </w:rPr>
        <w:t xml:space="preserve"> i</w:t>
      </w:r>
      <w:r w:rsidR="005209C1">
        <w:rPr>
          <w:rStyle w:val="None"/>
          <w:rFonts w:ascii="Arial" w:hAnsi="Arial"/>
        </w:rPr>
        <w:t>s</w:t>
      </w:r>
      <w:r w:rsidR="2C48F0E7" w:rsidRPr="3DC7D0E8">
        <w:rPr>
          <w:rStyle w:val="None"/>
          <w:rFonts w:ascii="Arial" w:hAnsi="Arial"/>
        </w:rPr>
        <w:t xml:space="preserve"> maintained</w:t>
      </w:r>
      <w:r w:rsidR="73155149" w:rsidRPr="3DC7D0E8">
        <w:rPr>
          <w:rStyle w:val="None"/>
          <w:rFonts w:ascii="Arial" w:hAnsi="Arial"/>
        </w:rPr>
        <w:t>, reporting into the Harbour Committee</w:t>
      </w:r>
      <w:r w:rsidR="00263647" w:rsidRPr="3DC7D0E8">
        <w:rPr>
          <w:rStyle w:val="None"/>
          <w:rFonts w:ascii="Arial" w:hAnsi="Arial"/>
        </w:rPr>
        <w:t>,</w:t>
      </w:r>
      <w:r w:rsidR="0091605E" w:rsidRPr="3DC7D0E8">
        <w:rPr>
          <w:rStyle w:val="None"/>
          <w:rFonts w:ascii="Arial" w:hAnsi="Arial"/>
        </w:rPr>
        <w:t xml:space="preserve"> and the </w:t>
      </w:r>
      <w:r w:rsidR="0091605E" w:rsidRPr="3DC7D0E8">
        <w:rPr>
          <w:rStyle w:val="None"/>
          <w:rFonts w:ascii="Arial" w:hAnsi="Arial"/>
          <w:b/>
          <w:bCs/>
        </w:rPr>
        <w:t>Public Health Reserve</w:t>
      </w:r>
      <w:r w:rsidR="0091605E" w:rsidRPr="3DC7D0E8">
        <w:rPr>
          <w:rStyle w:val="None"/>
          <w:rFonts w:ascii="Arial" w:hAnsi="Arial"/>
        </w:rPr>
        <w:t xml:space="preserve"> against which the </w:t>
      </w:r>
      <w:r w:rsidR="3BB42F28" w:rsidRPr="3DC7D0E8">
        <w:rPr>
          <w:rStyle w:val="None"/>
          <w:szCs w:val="24"/>
        </w:rPr>
        <w:t>C</w:t>
      </w:r>
      <w:r w:rsidR="0091605E" w:rsidRPr="3DC7D0E8">
        <w:rPr>
          <w:rStyle w:val="None"/>
          <w:szCs w:val="24"/>
        </w:rPr>
        <w:t xml:space="preserve">ouncil has to evidence </w:t>
      </w:r>
      <w:r w:rsidR="00114FE7" w:rsidRPr="3DC7D0E8">
        <w:rPr>
          <w:rStyle w:val="None"/>
          <w:szCs w:val="24"/>
        </w:rPr>
        <w:t>spend linked to identified public health outcomes</w:t>
      </w:r>
      <w:r w:rsidR="4DCA4BBB" w:rsidRPr="3DC7D0E8">
        <w:rPr>
          <w:rStyle w:val="None"/>
          <w:szCs w:val="24"/>
        </w:rPr>
        <w:t>, which has to be evidenced through annual report</w:t>
      </w:r>
      <w:r w:rsidR="00403B92">
        <w:rPr>
          <w:rStyle w:val="None"/>
          <w:szCs w:val="24"/>
        </w:rPr>
        <w:t>ing</w:t>
      </w:r>
      <w:r w:rsidR="00114FE7" w:rsidRPr="3DC7D0E8">
        <w:rPr>
          <w:rStyle w:val="None"/>
          <w:szCs w:val="24"/>
        </w:rPr>
        <w:t>.</w:t>
      </w:r>
    </w:p>
    <w:p w14:paraId="55385A97" w14:textId="57EA8830" w:rsidR="008337F2" w:rsidRPr="00E53A22" w:rsidRDefault="0091605E" w:rsidP="00E53A22">
      <w:pPr>
        <w:pStyle w:val="BodyA"/>
        <w:ind w:left="1069"/>
        <w:rPr>
          <w:rStyle w:val="None"/>
          <w:rFonts w:ascii="Arial" w:hAnsi="Arial"/>
          <w:color w:val="auto"/>
          <w:lang w:val="en-GB"/>
        </w:rPr>
      </w:pPr>
      <w:r w:rsidRPr="00E53A22">
        <w:rPr>
          <w:rStyle w:val="None"/>
          <w:rFonts w:ascii="Arial" w:hAnsi="Arial"/>
          <w:color w:val="auto"/>
          <w:lang w:val="en-GB"/>
        </w:rPr>
        <w:t xml:space="preserve"> </w:t>
      </w:r>
      <w:r w:rsidR="00950F85" w:rsidRPr="00E53A22">
        <w:rPr>
          <w:rStyle w:val="None"/>
          <w:rFonts w:ascii="Arial" w:hAnsi="Arial"/>
          <w:color w:val="auto"/>
          <w:lang w:val="en-GB"/>
        </w:rPr>
        <w:t xml:space="preserve"> </w:t>
      </w:r>
      <w:r w:rsidR="00405BD9" w:rsidRPr="00E53A22">
        <w:rPr>
          <w:rStyle w:val="None"/>
          <w:rFonts w:ascii="Arial" w:hAnsi="Arial"/>
          <w:color w:val="auto"/>
          <w:lang w:val="en-GB"/>
        </w:rPr>
        <w:t xml:space="preserve"> </w:t>
      </w:r>
      <w:r w:rsidR="007E70EF" w:rsidRPr="00E53A22">
        <w:rPr>
          <w:rStyle w:val="None"/>
          <w:rFonts w:ascii="Arial" w:hAnsi="Arial"/>
          <w:color w:val="auto"/>
          <w:lang w:val="en-GB"/>
        </w:rPr>
        <w:t xml:space="preserve"> </w:t>
      </w:r>
    </w:p>
    <w:p w14:paraId="3C4B54AD" w14:textId="4AC71C87" w:rsidR="00D5685A" w:rsidRDefault="00D5685A" w:rsidP="005D3066">
      <w:pPr>
        <w:pStyle w:val="Indentedtextfornumberedlists"/>
        <w:numPr>
          <w:ilvl w:val="0"/>
          <w:numId w:val="37"/>
        </w:numPr>
        <w:spacing w:after="240"/>
      </w:pPr>
      <w:r>
        <w:t>Capital Reserves</w:t>
      </w:r>
    </w:p>
    <w:p w14:paraId="79992ADB" w14:textId="07592CFB" w:rsidR="00D5685A" w:rsidRPr="000910B1" w:rsidRDefault="00962979" w:rsidP="3DC7D0E8">
      <w:pPr>
        <w:pStyle w:val="Header"/>
        <w:spacing w:line="312" w:lineRule="auto"/>
        <w:ind w:left="1072"/>
        <w:jc w:val="both"/>
        <w:rPr>
          <w:rStyle w:val="None"/>
          <w:rFonts w:ascii="Arial" w:hAnsi="Arial"/>
        </w:rPr>
      </w:pPr>
      <w:r w:rsidRPr="3DC7D0E8">
        <w:rPr>
          <w:rStyle w:val="None"/>
          <w:rFonts w:ascii="Arial" w:hAnsi="Arial"/>
        </w:rPr>
        <w:t xml:space="preserve">This </w:t>
      </w:r>
      <w:r w:rsidR="001600AC" w:rsidRPr="3DC7D0E8">
        <w:rPr>
          <w:rStyle w:val="None"/>
          <w:rFonts w:ascii="Arial" w:hAnsi="Arial"/>
        </w:rPr>
        <w:t xml:space="preserve">Capital </w:t>
      </w:r>
      <w:r w:rsidRPr="3DC7D0E8">
        <w:rPr>
          <w:rStyle w:val="None"/>
          <w:rFonts w:ascii="Arial" w:hAnsi="Arial"/>
        </w:rPr>
        <w:t xml:space="preserve">reserve is maintained </w:t>
      </w:r>
      <w:r w:rsidR="00363CC8" w:rsidRPr="3DC7D0E8">
        <w:rPr>
          <w:rStyle w:val="None"/>
          <w:rFonts w:ascii="Arial" w:hAnsi="Arial"/>
        </w:rPr>
        <w:t xml:space="preserve">to cover the risk of higher construction costs, </w:t>
      </w:r>
      <w:r w:rsidR="00EF3592" w:rsidRPr="3DC7D0E8">
        <w:rPr>
          <w:rStyle w:val="None"/>
          <w:rFonts w:ascii="Arial" w:hAnsi="Arial"/>
        </w:rPr>
        <w:t xml:space="preserve">contractor instability and higher borrowing costs in relation to projects within the </w:t>
      </w:r>
      <w:r w:rsidR="007B77E9" w:rsidRPr="3DC7D0E8">
        <w:rPr>
          <w:rStyle w:val="None"/>
          <w:rFonts w:ascii="Arial" w:hAnsi="Arial"/>
        </w:rPr>
        <w:t xml:space="preserve">approved capital programme. </w:t>
      </w:r>
      <w:r w:rsidR="004D0A11" w:rsidRPr="3DC7D0E8">
        <w:rPr>
          <w:rStyle w:val="None"/>
          <w:rFonts w:ascii="Arial" w:hAnsi="Arial"/>
        </w:rPr>
        <w:t xml:space="preserve">For some projects, there is also a risk of abortive revenue costs in relation to projects that </w:t>
      </w:r>
      <w:r w:rsidR="00A376C9" w:rsidRPr="3DC7D0E8">
        <w:rPr>
          <w:rStyle w:val="None"/>
          <w:rFonts w:ascii="Arial" w:hAnsi="Arial"/>
        </w:rPr>
        <w:t>do not proceed to completion.</w:t>
      </w:r>
    </w:p>
    <w:p w14:paraId="05716467" w14:textId="77777777" w:rsidR="0015345D" w:rsidRPr="00FE4604" w:rsidRDefault="0015345D" w:rsidP="000910B1">
      <w:pPr>
        <w:pStyle w:val="Header"/>
        <w:spacing w:line="312" w:lineRule="auto"/>
        <w:ind w:left="1072"/>
        <w:rPr>
          <w:rStyle w:val="None"/>
          <w:rFonts w:ascii="Arial" w:hAnsi="Arial"/>
          <w:sz w:val="16"/>
          <w:szCs w:val="16"/>
        </w:rPr>
      </w:pPr>
    </w:p>
    <w:p w14:paraId="3C76E809" w14:textId="73B7721F" w:rsidR="0015345D" w:rsidRPr="000910B1" w:rsidRDefault="00480A50" w:rsidP="3DC7D0E8">
      <w:pPr>
        <w:pStyle w:val="Header"/>
        <w:spacing w:line="312" w:lineRule="auto"/>
        <w:ind w:left="1072"/>
        <w:jc w:val="both"/>
        <w:rPr>
          <w:rStyle w:val="None"/>
          <w:rFonts w:ascii="Arial" w:hAnsi="Arial"/>
        </w:rPr>
      </w:pPr>
      <w:r w:rsidRPr="3DC7D0E8">
        <w:rPr>
          <w:rStyle w:val="None"/>
          <w:rFonts w:ascii="Arial" w:hAnsi="Arial"/>
        </w:rPr>
        <w:t xml:space="preserve">Capital funding </w:t>
      </w:r>
      <w:r w:rsidR="0018223B" w:rsidRPr="3DC7D0E8">
        <w:rPr>
          <w:rStyle w:val="None"/>
          <w:rFonts w:ascii="Arial" w:hAnsi="Arial"/>
        </w:rPr>
        <w:t xml:space="preserve">is received for </w:t>
      </w:r>
      <w:r w:rsidR="0015345D" w:rsidRPr="3DC7D0E8">
        <w:rPr>
          <w:rStyle w:val="None"/>
          <w:rFonts w:ascii="Arial" w:hAnsi="Arial"/>
        </w:rPr>
        <w:t xml:space="preserve">Highways capital </w:t>
      </w:r>
      <w:r w:rsidR="00EC4A02" w:rsidRPr="3DC7D0E8">
        <w:rPr>
          <w:rStyle w:val="None"/>
          <w:rFonts w:ascii="Arial" w:hAnsi="Arial"/>
        </w:rPr>
        <w:t>investme</w:t>
      </w:r>
      <w:r w:rsidR="00D82012" w:rsidRPr="3DC7D0E8">
        <w:rPr>
          <w:rStyle w:val="None"/>
          <w:rFonts w:ascii="Arial" w:hAnsi="Arial"/>
        </w:rPr>
        <w:t xml:space="preserve">nt works which can often be spread over more than one financial year. A reserve is maintained </w:t>
      </w:r>
      <w:r w:rsidR="00556818" w:rsidRPr="3DC7D0E8">
        <w:rPr>
          <w:rStyle w:val="None"/>
          <w:rFonts w:ascii="Arial" w:hAnsi="Arial"/>
        </w:rPr>
        <w:t>which holds the government funding received prior to drawdown of spend.</w:t>
      </w:r>
      <w:r w:rsidR="0015345D" w:rsidRPr="3DC7D0E8">
        <w:rPr>
          <w:rStyle w:val="None"/>
          <w:rFonts w:ascii="Arial" w:hAnsi="Arial"/>
        </w:rPr>
        <w:t xml:space="preserve"> </w:t>
      </w:r>
    </w:p>
    <w:p w14:paraId="64838246" w14:textId="77777777" w:rsidR="00A376C9" w:rsidRPr="000910B1" w:rsidRDefault="00A376C9" w:rsidP="000910B1">
      <w:pPr>
        <w:pStyle w:val="Header"/>
        <w:spacing w:line="312" w:lineRule="auto"/>
        <w:ind w:left="1072"/>
        <w:rPr>
          <w:rStyle w:val="None"/>
          <w:rFonts w:ascii="Arial" w:hAnsi="Arial"/>
          <w:szCs w:val="24"/>
        </w:rPr>
      </w:pPr>
    </w:p>
    <w:p w14:paraId="67FCD2FE" w14:textId="1FE35C74" w:rsidR="001600AC" w:rsidRDefault="001600AC" w:rsidP="3DC7D0E8">
      <w:pPr>
        <w:pStyle w:val="Header"/>
        <w:spacing w:line="312" w:lineRule="auto"/>
        <w:ind w:left="1072"/>
        <w:jc w:val="both"/>
        <w:rPr>
          <w:rStyle w:val="None"/>
          <w:rFonts w:ascii="Arial" w:hAnsi="Arial"/>
        </w:rPr>
      </w:pPr>
      <w:r w:rsidRPr="3DC7D0E8">
        <w:rPr>
          <w:rStyle w:val="None"/>
          <w:rFonts w:ascii="Arial" w:hAnsi="Arial"/>
        </w:rPr>
        <w:t xml:space="preserve">A separate, </w:t>
      </w:r>
      <w:r w:rsidR="009A6F18" w:rsidRPr="3DC7D0E8">
        <w:rPr>
          <w:rStyle w:val="None"/>
          <w:rFonts w:ascii="Arial" w:hAnsi="Arial"/>
        </w:rPr>
        <w:t xml:space="preserve">IT </w:t>
      </w:r>
      <w:r w:rsidR="32D4B2E5" w:rsidRPr="3DC7D0E8">
        <w:rPr>
          <w:rStyle w:val="None"/>
          <w:rFonts w:ascii="Arial" w:hAnsi="Arial"/>
        </w:rPr>
        <w:t xml:space="preserve">(Capital) </w:t>
      </w:r>
      <w:r w:rsidR="009A6F18" w:rsidRPr="3DC7D0E8">
        <w:rPr>
          <w:rStyle w:val="None"/>
          <w:rFonts w:ascii="Arial" w:hAnsi="Arial"/>
        </w:rPr>
        <w:t>Replacement Reserve</w:t>
      </w:r>
      <w:r w:rsidRPr="3DC7D0E8">
        <w:rPr>
          <w:rStyle w:val="None"/>
          <w:rFonts w:ascii="Arial" w:hAnsi="Arial"/>
        </w:rPr>
        <w:t xml:space="preserve">, is also maintained to meet the costs of </w:t>
      </w:r>
      <w:r w:rsidR="00B6546D" w:rsidRPr="3DC7D0E8">
        <w:rPr>
          <w:rStyle w:val="None"/>
          <w:rFonts w:ascii="Arial" w:hAnsi="Arial"/>
        </w:rPr>
        <w:t>priority driven replacements</w:t>
      </w:r>
      <w:r w:rsidRPr="3DC7D0E8">
        <w:rPr>
          <w:rStyle w:val="None"/>
          <w:rFonts w:ascii="Arial" w:hAnsi="Arial"/>
        </w:rPr>
        <w:t>,</w:t>
      </w:r>
      <w:r w:rsidR="00B6546D" w:rsidRPr="3DC7D0E8">
        <w:rPr>
          <w:rStyle w:val="None"/>
          <w:rFonts w:ascii="Arial" w:hAnsi="Arial"/>
        </w:rPr>
        <w:t xml:space="preserve"> and required upgrades</w:t>
      </w:r>
      <w:r w:rsidR="00501089" w:rsidRPr="3DC7D0E8">
        <w:rPr>
          <w:rStyle w:val="None"/>
          <w:rFonts w:ascii="Arial" w:hAnsi="Arial"/>
        </w:rPr>
        <w:t>,</w:t>
      </w:r>
      <w:r w:rsidR="00B6546D" w:rsidRPr="3DC7D0E8">
        <w:rPr>
          <w:rStyle w:val="None"/>
          <w:rFonts w:ascii="Arial" w:hAnsi="Arial"/>
        </w:rPr>
        <w:t xml:space="preserve"> to the Council’s ICT </w:t>
      </w:r>
      <w:r w:rsidR="00FE2992" w:rsidRPr="3DC7D0E8">
        <w:rPr>
          <w:rStyle w:val="None"/>
          <w:rFonts w:ascii="Arial" w:hAnsi="Arial"/>
        </w:rPr>
        <w:t>infrastru</w:t>
      </w:r>
      <w:r w:rsidR="004D3952" w:rsidRPr="3DC7D0E8">
        <w:rPr>
          <w:rStyle w:val="None"/>
          <w:rFonts w:ascii="Arial" w:hAnsi="Arial"/>
        </w:rPr>
        <w:t>cture</w:t>
      </w:r>
      <w:r w:rsidR="00E91394" w:rsidRPr="3DC7D0E8">
        <w:rPr>
          <w:rStyle w:val="None"/>
          <w:rFonts w:ascii="Arial" w:hAnsi="Arial"/>
        </w:rPr>
        <w:t>.</w:t>
      </w:r>
      <w:r w:rsidR="08707776" w:rsidRPr="3DC7D0E8">
        <w:rPr>
          <w:rStyle w:val="None"/>
          <w:rFonts w:ascii="Arial" w:hAnsi="Arial"/>
        </w:rPr>
        <w:t xml:space="preserve"> </w:t>
      </w:r>
      <w:r w:rsidR="5761F624" w:rsidRPr="3DC7D0E8">
        <w:rPr>
          <w:rStyle w:val="None"/>
          <w:rFonts w:ascii="Arial" w:hAnsi="Arial"/>
        </w:rPr>
        <w:t xml:space="preserve">Annual charges are made to the revenue account with </w:t>
      </w:r>
      <w:r w:rsidR="0C44C13C" w:rsidRPr="3DC7D0E8">
        <w:rPr>
          <w:rStyle w:val="None"/>
          <w:rFonts w:ascii="Arial" w:hAnsi="Arial"/>
        </w:rPr>
        <w:t xml:space="preserve">subsequent </w:t>
      </w:r>
      <w:r w:rsidR="5761F624" w:rsidRPr="3DC7D0E8">
        <w:rPr>
          <w:rStyle w:val="None"/>
          <w:rFonts w:ascii="Arial" w:hAnsi="Arial"/>
        </w:rPr>
        <w:t xml:space="preserve">drawdowns from the accumulated funding subject to business case approval. </w:t>
      </w:r>
    </w:p>
    <w:p w14:paraId="5929D450" w14:textId="69228D0B" w:rsidR="3DC7D0E8" w:rsidRDefault="3DC7D0E8" w:rsidP="3DC7D0E8">
      <w:pPr>
        <w:pStyle w:val="Header"/>
        <w:spacing w:line="312" w:lineRule="auto"/>
        <w:ind w:left="1072"/>
        <w:rPr>
          <w:rStyle w:val="None"/>
          <w:rFonts w:ascii="Arial" w:hAnsi="Arial"/>
          <w:highlight w:val="yellow"/>
        </w:rPr>
      </w:pPr>
    </w:p>
    <w:p w14:paraId="1A7B7051" w14:textId="34726B87" w:rsidR="005D3066" w:rsidRDefault="005D3066" w:rsidP="005D3066">
      <w:pPr>
        <w:pStyle w:val="Indentedtextfornumberedlists"/>
        <w:numPr>
          <w:ilvl w:val="0"/>
          <w:numId w:val="37"/>
        </w:numPr>
        <w:spacing w:after="240"/>
      </w:pPr>
      <w:r>
        <w:t>Investment Reserve</w:t>
      </w:r>
      <w:r w:rsidR="00FE74C2">
        <w:t xml:space="preserve"> and </w:t>
      </w:r>
      <w:r w:rsidR="00B25D08">
        <w:t xml:space="preserve">Estates Reserve Fund </w:t>
      </w:r>
    </w:p>
    <w:p w14:paraId="3E58C550" w14:textId="35164206" w:rsidR="00B450CF" w:rsidRPr="00B2223A" w:rsidRDefault="00B450CF" w:rsidP="3DC7D0E8">
      <w:pPr>
        <w:pStyle w:val="Header"/>
        <w:spacing w:line="312" w:lineRule="auto"/>
        <w:ind w:left="1072"/>
        <w:jc w:val="both"/>
        <w:rPr>
          <w:rStyle w:val="None"/>
          <w:rFonts w:ascii="Arial" w:hAnsi="Arial"/>
        </w:rPr>
      </w:pPr>
      <w:r w:rsidRPr="3DC7D0E8">
        <w:rPr>
          <w:rStyle w:val="None"/>
          <w:rFonts w:ascii="Arial" w:hAnsi="Arial"/>
        </w:rPr>
        <w:t>The Council has invested over £235m in investment property and capital loans.  Following on from HM Treasury updated guidance, the Council is no longer</w:t>
      </w:r>
      <w:r w:rsidR="00641BA2">
        <w:rPr>
          <w:rStyle w:val="None"/>
          <w:rFonts w:ascii="Arial" w:hAnsi="Arial"/>
        </w:rPr>
        <w:t xml:space="preserve"> able to</w:t>
      </w:r>
      <w:r w:rsidRPr="3DC7D0E8">
        <w:rPr>
          <w:rStyle w:val="None"/>
          <w:rFonts w:ascii="Arial" w:hAnsi="Arial"/>
        </w:rPr>
        <w:t xml:space="preserve"> purchas</w:t>
      </w:r>
      <w:r w:rsidR="00641BA2">
        <w:rPr>
          <w:rStyle w:val="None"/>
          <w:rFonts w:ascii="Arial" w:hAnsi="Arial"/>
        </w:rPr>
        <w:t>e</w:t>
      </w:r>
      <w:r w:rsidRPr="3DC7D0E8">
        <w:rPr>
          <w:rStyle w:val="None"/>
          <w:rFonts w:ascii="Arial" w:hAnsi="Arial"/>
        </w:rPr>
        <w:t xml:space="preserve"> such assets, but it retains its previous investments. </w:t>
      </w:r>
    </w:p>
    <w:p w14:paraId="6E965E3C" w14:textId="77777777" w:rsidR="00B450CF" w:rsidRPr="008E296B" w:rsidRDefault="00B450CF" w:rsidP="3DC7D0E8">
      <w:pPr>
        <w:pStyle w:val="Header"/>
        <w:spacing w:line="312" w:lineRule="auto"/>
        <w:ind w:left="1072"/>
        <w:jc w:val="both"/>
        <w:rPr>
          <w:rStyle w:val="None"/>
          <w:rFonts w:ascii="Arial" w:hAnsi="Arial"/>
          <w:sz w:val="16"/>
          <w:szCs w:val="16"/>
        </w:rPr>
      </w:pPr>
    </w:p>
    <w:p w14:paraId="19AA0B47" w14:textId="16C6EC04" w:rsidR="00B450CF" w:rsidRPr="00B2223A" w:rsidRDefault="00B450CF" w:rsidP="3DC7D0E8">
      <w:pPr>
        <w:pStyle w:val="Header"/>
        <w:spacing w:line="312" w:lineRule="auto"/>
        <w:ind w:left="1072"/>
        <w:jc w:val="both"/>
        <w:rPr>
          <w:rStyle w:val="None"/>
          <w:rFonts w:ascii="Arial" w:hAnsi="Arial"/>
        </w:rPr>
      </w:pPr>
      <w:r w:rsidRPr="3DC7D0E8">
        <w:rPr>
          <w:rStyle w:val="None"/>
          <w:rFonts w:ascii="Arial" w:hAnsi="Arial"/>
        </w:rPr>
        <w:t>The Investment Reserve mitigates any variations in income or costs associated with Investment Fund properties such as void</w:t>
      </w:r>
      <w:r w:rsidR="00733EF0">
        <w:rPr>
          <w:rStyle w:val="None"/>
          <w:rFonts w:ascii="Arial" w:hAnsi="Arial"/>
        </w:rPr>
        <w:t>s</w:t>
      </w:r>
      <w:r w:rsidRPr="3DC7D0E8">
        <w:rPr>
          <w:rStyle w:val="None"/>
          <w:rFonts w:ascii="Arial" w:hAnsi="Arial"/>
        </w:rPr>
        <w:t xml:space="preserve"> and rent-free periods. The reserve was created, and is maintained, through financial contributions </w:t>
      </w:r>
      <w:r w:rsidR="00646690">
        <w:rPr>
          <w:rStyle w:val="None"/>
          <w:rFonts w:ascii="Arial" w:hAnsi="Arial"/>
        </w:rPr>
        <w:t>through top-slicing</w:t>
      </w:r>
      <w:r w:rsidRPr="3DC7D0E8">
        <w:rPr>
          <w:rStyle w:val="None"/>
          <w:rFonts w:ascii="Arial" w:hAnsi="Arial"/>
        </w:rPr>
        <w:t xml:space="preserve"> the rental income received. </w:t>
      </w:r>
    </w:p>
    <w:p w14:paraId="190FBD66" w14:textId="77777777" w:rsidR="003D2A89" w:rsidRPr="008E296B" w:rsidRDefault="003D2A89" w:rsidP="3DC7D0E8">
      <w:pPr>
        <w:pStyle w:val="Header"/>
        <w:spacing w:line="312" w:lineRule="auto"/>
        <w:ind w:left="1072"/>
        <w:jc w:val="both"/>
        <w:rPr>
          <w:rStyle w:val="None"/>
          <w:rFonts w:ascii="Arial" w:hAnsi="Arial"/>
          <w:sz w:val="16"/>
          <w:szCs w:val="16"/>
        </w:rPr>
      </w:pPr>
    </w:p>
    <w:p w14:paraId="4E3D30D3" w14:textId="46C317F8" w:rsidR="00B450CF" w:rsidRDefault="00646690" w:rsidP="3DC7D0E8">
      <w:pPr>
        <w:pStyle w:val="Header"/>
        <w:spacing w:line="312" w:lineRule="auto"/>
        <w:ind w:left="1072"/>
        <w:jc w:val="both"/>
        <w:rPr>
          <w:rStyle w:val="None"/>
          <w:rFonts w:ascii="Arial" w:hAnsi="Arial"/>
        </w:rPr>
      </w:pPr>
      <w:r>
        <w:rPr>
          <w:rStyle w:val="None"/>
          <w:rFonts w:ascii="Arial" w:hAnsi="Arial"/>
        </w:rPr>
        <w:t>V</w:t>
      </w:r>
      <w:r w:rsidR="00B450CF" w:rsidRPr="3DC7D0E8">
        <w:rPr>
          <w:rStyle w:val="None"/>
          <w:rFonts w:ascii="Arial" w:hAnsi="Arial"/>
        </w:rPr>
        <w:t>ariations in rent, either from market conditions, voids or rent-free periods are regularly monitored to ensure any potential issues are mitigated in advance. Annual valuations of Commercial Assets are undertaken and included in Treasury Management reports to Audit Committee and Council.</w:t>
      </w:r>
    </w:p>
    <w:p w14:paraId="1C86F695" w14:textId="77777777" w:rsidR="00B450CF" w:rsidRPr="008E296B" w:rsidRDefault="00B450CF" w:rsidP="000910B1">
      <w:pPr>
        <w:pStyle w:val="Header"/>
        <w:spacing w:line="312" w:lineRule="auto"/>
        <w:ind w:left="1072"/>
        <w:rPr>
          <w:rStyle w:val="None"/>
          <w:rFonts w:ascii="Arial" w:hAnsi="Arial"/>
          <w:sz w:val="16"/>
          <w:szCs w:val="16"/>
        </w:rPr>
      </w:pPr>
    </w:p>
    <w:p w14:paraId="00AE6323" w14:textId="73314BC0" w:rsidR="00B450CF" w:rsidRDefault="00B450CF" w:rsidP="3DC7D0E8">
      <w:pPr>
        <w:pStyle w:val="Header"/>
        <w:spacing w:line="312" w:lineRule="auto"/>
        <w:ind w:left="1072"/>
        <w:jc w:val="both"/>
        <w:rPr>
          <w:rStyle w:val="None"/>
          <w:rFonts w:ascii="Arial" w:hAnsi="Arial"/>
        </w:rPr>
      </w:pPr>
      <w:r w:rsidRPr="3DC7D0E8">
        <w:rPr>
          <w:rStyle w:val="None"/>
          <w:rFonts w:ascii="Arial" w:hAnsi="Arial"/>
        </w:rPr>
        <w:t xml:space="preserve">Alongside the Investment Reserve, </w:t>
      </w:r>
      <w:r w:rsidR="0021127F">
        <w:rPr>
          <w:rStyle w:val="None"/>
          <w:rFonts w:ascii="Arial" w:hAnsi="Arial"/>
        </w:rPr>
        <w:t xml:space="preserve">when setting the 2025/26 revenue budget, </w:t>
      </w:r>
      <w:r w:rsidRPr="3DC7D0E8">
        <w:rPr>
          <w:rStyle w:val="None"/>
          <w:rFonts w:ascii="Arial" w:hAnsi="Arial"/>
        </w:rPr>
        <w:t>the Council a</w:t>
      </w:r>
      <w:r w:rsidR="0021127F">
        <w:rPr>
          <w:rStyle w:val="None"/>
          <w:rFonts w:ascii="Arial" w:hAnsi="Arial"/>
        </w:rPr>
        <w:t xml:space="preserve">pproved the creation, and allocation of £300k, into a </w:t>
      </w:r>
      <w:r w:rsidR="0097140A">
        <w:rPr>
          <w:rStyle w:val="None"/>
          <w:rFonts w:ascii="Arial" w:hAnsi="Arial"/>
        </w:rPr>
        <w:t>‘</w:t>
      </w:r>
      <w:r w:rsidR="00B25D08">
        <w:rPr>
          <w:rStyle w:val="None"/>
          <w:rFonts w:ascii="Arial" w:hAnsi="Arial"/>
        </w:rPr>
        <w:t>Estates Reserve Fund</w:t>
      </w:r>
      <w:r w:rsidR="0097140A">
        <w:rPr>
          <w:rStyle w:val="None"/>
          <w:rFonts w:ascii="Arial" w:hAnsi="Arial"/>
        </w:rPr>
        <w:t xml:space="preserve">’ in recognition that there is similar volatility </w:t>
      </w:r>
      <w:r w:rsidR="00A0173F">
        <w:rPr>
          <w:rStyle w:val="None"/>
          <w:rFonts w:ascii="Arial" w:hAnsi="Arial"/>
        </w:rPr>
        <w:t xml:space="preserve">regarding </w:t>
      </w:r>
      <w:r w:rsidR="00D0703C">
        <w:rPr>
          <w:rStyle w:val="None"/>
          <w:rFonts w:ascii="Arial" w:hAnsi="Arial"/>
        </w:rPr>
        <w:t xml:space="preserve">the £7m </w:t>
      </w:r>
      <w:r w:rsidR="009F6F78">
        <w:rPr>
          <w:rStyle w:val="None"/>
          <w:rFonts w:ascii="Arial" w:hAnsi="Arial"/>
        </w:rPr>
        <w:t xml:space="preserve">of </w:t>
      </w:r>
      <w:r w:rsidR="00D0703C">
        <w:rPr>
          <w:rStyle w:val="None"/>
          <w:rFonts w:ascii="Arial" w:hAnsi="Arial"/>
        </w:rPr>
        <w:t xml:space="preserve">annual income generated </w:t>
      </w:r>
      <w:r w:rsidR="00A0173F">
        <w:rPr>
          <w:rStyle w:val="None"/>
          <w:rFonts w:ascii="Arial" w:hAnsi="Arial"/>
        </w:rPr>
        <w:t>from assets owned by the Council within the Torbay geographical area</w:t>
      </w:r>
      <w:r w:rsidR="0038522E">
        <w:rPr>
          <w:rStyle w:val="None"/>
          <w:rFonts w:ascii="Arial" w:hAnsi="Arial"/>
        </w:rPr>
        <w:t xml:space="preserve">. </w:t>
      </w:r>
    </w:p>
    <w:p w14:paraId="19429584" w14:textId="77777777" w:rsidR="000910B1" w:rsidRPr="00B2223A" w:rsidRDefault="000910B1" w:rsidP="000910B1">
      <w:pPr>
        <w:pStyle w:val="Header"/>
        <w:spacing w:line="312" w:lineRule="auto"/>
        <w:ind w:left="1072"/>
        <w:rPr>
          <w:rStyle w:val="None"/>
          <w:rFonts w:ascii="Arial" w:hAnsi="Arial"/>
          <w:szCs w:val="24"/>
        </w:rPr>
      </w:pPr>
    </w:p>
    <w:p w14:paraId="7DBD2B68" w14:textId="4C3B356E" w:rsidR="00223910" w:rsidRDefault="008430CA" w:rsidP="005D3066">
      <w:pPr>
        <w:pStyle w:val="Indentedtextfornumberedlists"/>
        <w:numPr>
          <w:ilvl w:val="0"/>
          <w:numId w:val="37"/>
        </w:numPr>
        <w:spacing w:after="240"/>
      </w:pPr>
      <w:r>
        <w:t>Major Repairs and Maintenance Reserve</w:t>
      </w:r>
    </w:p>
    <w:p w14:paraId="7D5A28E0" w14:textId="615F48B6" w:rsidR="003A5101" w:rsidRDefault="00E34AC4" w:rsidP="003A5101">
      <w:pPr>
        <w:pStyle w:val="Indentedtextfornumberedlists"/>
        <w:spacing w:after="240"/>
        <w:ind w:left="1069" w:firstLine="0"/>
      </w:pPr>
      <w:r>
        <w:t>The Council’s entire estate holding consists of 2,328 separate assets with condition surveys indicating that the overall quality of assets declining with a growing backlog maintenance requirement.</w:t>
      </w:r>
      <w:r w:rsidRPr="00E34AC4">
        <w:t xml:space="preserve"> </w:t>
      </w:r>
      <w:r>
        <w:t xml:space="preserve">As disclosed in the 2025/26 Revenue Reserve Statement, a new Capital Repair Fund was created to start to proactively address the identified backlog maintenance. </w:t>
      </w:r>
      <w:r w:rsidR="00D86D10">
        <w:t xml:space="preserve">A further transfer </w:t>
      </w:r>
      <w:r w:rsidR="00281777">
        <w:t xml:space="preserve">of surplus </w:t>
      </w:r>
      <w:r w:rsidR="000B304B">
        <w:t>reserves</w:t>
      </w:r>
      <w:r w:rsidR="00281777">
        <w:t xml:space="preserve"> </w:t>
      </w:r>
      <w:r w:rsidR="000B304B">
        <w:t>with</w:t>
      </w:r>
      <w:r w:rsidR="00281777">
        <w:t xml:space="preserve">in the collection fund is planned </w:t>
      </w:r>
      <w:r w:rsidR="000B304B">
        <w:t>to increase this reserve to £1m.</w:t>
      </w:r>
    </w:p>
    <w:p w14:paraId="60E16EEF" w14:textId="77777777" w:rsidR="003A5101" w:rsidRPr="003A5101" w:rsidRDefault="003A5101" w:rsidP="003A5101">
      <w:pPr>
        <w:pStyle w:val="Indentedtextfornumberedlists"/>
        <w:spacing w:after="240"/>
        <w:ind w:left="1069" w:firstLine="0"/>
        <w:rPr>
          <w:sz w:val="8"/>
          <w:szCs w:val="8"/>
        </w:rPr>
      </w:pPr>
    </w:p>
    <w:p w14:paraId="27953B7D" w14:textId="5376558F" w:rsidR="001073C5" w:rsidRDefault="001073C5" w:rsidP="005D3066">
      <w:pPr>
        <w:pStyle w:val="Indentedtextfornumberedlists"/>
        <w:numPr>
          <w:ilvl w:val="0"/>
          <w:numId w:val="37"/>
        </w:numPr>
        <w:spacing w:after="240"/>
      </w:pPr>
      <w:r>
        <w:t>Affordable Housing Reserve</w:t>
      </w:r>
    </w:p>
    <w:p w14:paraId="2F2F38A8" w14:textId="229E3E14" w:rsidR="003A5101" w:rsidRPr="003A5101" w:rsidRDefault="006948E7" w:rsidP="008430CA">
      <w:pPr>
        <w:pStyle w:val="Indentedtextfornumberedlists"/>
        <w:spacing w:after="240"/>
        <w:ind w:left="1069" w:firstLine="0"/>
        <w:rPr>
          <w:szCs w:val="24"/>
        </w:rPr>
      </w:pPr>
      <w:r>
        <w:t xml:space="preserve">When setting the 2025/26 revenue budget, the Council approved the creation of, and one-off </w:t>
      </w:r>
      <w:r w:rsidR="00C62FA7">
        <w:t xml:space="preserve">allocation of £1.2m into, an affordable housing reserve with the specific aim at </w:t>
      </w:r>
      <w:r w:rsidR="00136A0E">
        <w:t xml:space="preserve">assisting with </w:t>
      </w:r>
      <w:r w:rsidR="003A6142">
        <w:t xml:space="preserve">Business Case </w:t>
      </w:r>
      <w:r w:rsidR="00136A0E">
        <w:t xml:space="preserve">financial viability for Council led housing development </w:t>
      </w:r>
      <w:r w:rsidR="003A6142">
        <w:t>projects (where required).</w:t>
      </w:r>
    </w:p>
    <w:p w14:paraId="762C6823" w14:textId="2D761F23" w:rsidR="005E1B02" w:rsidRDefault="005E1B02" w:rsidP="005D3066">
      <w:pPr>
        <w:pStyle w:val="Indentedtextfornumberedlists"/>
        <w:numPr>
          <w:ilvl w:val="0"/>
          <w:numId w:val="37"/>
        </w:numPr>
        <w:spacing w:after="240"/>
      </w:pPr>
      <w:r>
        <w:t>Developer Contributions</w:t>
      </w:r>
    </w:p>
    <w:p w14:paraId="616DF089" w14:textId="51B1A5C3" w:rsidR="007C75D5" w:rsidRDefault="007C75D5" w:rsidP="3DC7D0E8">
      <w:pPr>
        <w:pStyle w:val="Header"/>
        <w:spacing w:line="312" w:lineRule="auto"/>
        <w:ind w:left="1072"/>
        <w:jc w:val="both"/>
        <w:rPr>
          <w:rStyle w:val="None"/>
          <w:rFonts w:ascii="Arial" w:hAnsi="Arial"/>
        </w:rPr>
      </w:pPr>
      <w:r w:rsidRPr="3DC7D0E8">
        <w:rPr>
          <w:rStyle w:val="None"/>
          <w:rFonts w:ascii="Arial" w:hAnsi="Arial"/>
        </w:rPr>
        <w:t>Section 106 and Community Infrastructure Levy are funds received from developers towards the cost of providing the required infrastructure linked to the delivery of specific developments.  A reserve is maintained which holds the funds prior to approved drawdown and spend.</w:t>
      </w:r>
    </w:p>
    <w:p w14:paraId="4DF4DBB8" w14:textId="77777777" w:rsidR="00DC3971" w:rsidRPr="007C75D5" w:rsidRDefault="00DC3971" w:rsidP="007C75D5">
      <w:pPr>
        <w:pStyle w:val="Header"/>
        <w:ind w:left="1069"/>
        <w:rPr>
          <w:rStyle w:val="None"/>
          <w:rFonts w:ascii="Arial" w:hAnsi="Arial"/>
          <w:szCs w:val="24"/>
        </w:rPr>
      </w:pPr>
    </w:p>
    <w:p w14:paraId="3E6B397D" w14:textId="7344349C" w:rsidR="009C7D74" w:rsidRDefault="009C7D74" w:rsidP="005D3066">
      <w:pPr>
        <w:pStyle w:val="Indentedtextfornumberedlists"/>
        <w:numPr>
          <w:ilvl w:val="0"/>
          <w:numId w:val="37"/>
        </w:numPr>
        <w:spacing w:after="240"/>
      </w:pPr>
      <w:r>
        <w:t xml:space="preserve">Service Transformation </w:t>
      </w:r>
      <w:r w:rsidR="007C75D5">
        <w:t>/ Re-design</w:t>
      </w:r>
    </w:p>
    <w:p w14:paraId="307A0FC9" w14:textId="5289BD06" w:rsidR="00C73782" w:rsidRPr="00B2223A" w:rsidRDefault="00BD33FD" w:rsidP="3DC7D0E8">
      <w:pPr>
        <w:pStyle w:val="Header"/>
        <w:spacing w:line="312" w:lineRule="auto"/>
        <w:ind w:left="1072"/>
        <w:jc w:val="both"/>
        <w:rPr>
          <w:rStyle w:val="None"/>
          <w:rFonts w:ascii="Arial" w:hAnsi="Arial"/>
        </w:rPr>
      </w:pPr>
      <w:r w:rsidRPr="3FA7D7B8">
        <w:rPr>
          <w:rStyle w:val="None"/>
          <w:rFonts w:ascii="Arial" w:hAnsi="Arial"/>
        </w:rPr>
        <w:t>This is a s</w:t>
      </w:r>
      <w:r w:rsidR="08BE7A8E" w:rsidRPr="3FA7D7B8">
        <w:rPr>
          <w:rStyle w:val="None"/>
          <w:rFonts w:ascii="Arial" w:hAnsi="Arial"/>
        </w:rPr>
        <w:t xml:space="preserve">pecific reserve targeted at delivering significant re-design / efficiencies through different ways of working. </w:t>
      </w:r>
      <w:r w:rsidR="00587881">
        <w:rPr>
          <w:rStyle w:val="None"/>
          <w:rFonts w:ascii="Arial" w:hAnsi="Arial"/>
        </w:rPr>
        <w:t>D</w:t>
      </w:r>
      <w:r w:rsidR="08BE7A8E" w:rsidRPr="3FA7D7B8">
        <w:rPr>
          <w:rStyle w:val="None"/>
          <w:rFonts w:ascii="Arial" w:hAnsi="Arial"/>
        </w:rPr>
        <w:t>rawdown</w:t>
      </w:r>
      <w:r w:rsidR="00ED6BC7" w:rsidRPr="3FA7D7B8">
        <w:rPr>
          <w:rStyle w:val="None"/>
          <w:rFonts w:ascii="Arial" w:hAnsi="Arial"/>
        </w:rPr>
        <w:t>s have included</w:t>
      </w:r>
      <w:r w:rsidR="08BE7A8E" w:rsidRPr="3FA7D7B8">
        <w:rPr>
          <w:rStyle w:val="None"/>
          <w:rFonts w:ascii="Arial" w:hAnsi="Arial"/>
        </w:rPr>
        <w:t xml:space="preserve"> the move to an integrated Customer Relationship Management s</w:t>
      </w:r>
      <w:r w:rsidR="00FE3163" w:rsidRPr="3FA7D7B8">
        <w:rPr>
          <w:rStyle w:val="None"/>
          <w:rFonts w:ascii="Arial" w:hAnsi="Arial"/>
        </w:rPr>
        <w:t xml:space="preserve">ystem and funding transitional costs </w:t>
      </w:r>
      <w:r w:rsidR="00124D57" w:rsidRPr="3FA7D7B8">
        <w:rPr>
          <w:rStyle w:val="None"/>
          <w:rFonts w:ascii="Arial" w:hAnsi="Arial"/>
        </w:rPr>
        <w:t xml:space="preserve">incurred </w:t>
      </w:r>
      <w:r w:rsidR="00FE3163" w:rsidRPr="3FA7D7B8">
        <w:rPr>
          <w:rStyle w:val="None"/>
          <w:rFonts w:ascii="Arial" w:hAnsi="Arial"/>
        </w:rPr>
        <w:t xml:space="preserve">through the integration of Torbay Development Agency and </w:t>
      </w:r>
      <w:r w:rsidR="08BE7A8E" w:rsidRPr="3FA7D7B8">
        <w:rPr>
          <w:rStyle w:val="None"/>
          <w:rFonts w:ascii="Arial" w:hAnsi="Arial"/>
        </w:rPr>
        <w:t>TorVista</w:t>
      </w:r>
      <w:r w:rsidR="00FE3163" w:rsidRPr="3FA7D7B8">
        <w:rPr>
          <w:rStyle w:val="None"/>
          <w:rFonts w:ascii="Arial" w:hAnsi="Arial"/>
        </w:rPr>
        <w:t xml:space="preserve"> Homes back into </w:t>
      </w:r>
      <w:r w:rsidR="00124D57" w:rsidRPr="3FA7D7B8">
        <w:rPr>
          <w:rStyle w:val="None"/>
          <w:rFonts w:ascii="Arial" w:hAnsi="Arial"/>
        </w:rPr>
        <w:t>the Council.</w:t>
      </w:r>
    </w:p>
    <w:p w14:paraId="33CD24C2" w14:textId="74C9B172" w:rsidR="00C73782" w:rsidRPr="00C81835" w:rsidRDefault="00C73782" w:rsidP="3DC7D0E8">
      <w:pPr>
        <w:pStyle w:val="Indentedtextfornumberedlists"/>
        <w:spacing w:after="240"/>
        <w:ind w:left="0"/>
        <w:rPr>
          <w:sz w:val="12"/>
          <w:szCs w:val="12"/>
        </w:rPr>
      </w:pPr>
    </w:p>
    <w:p w14:paraId="5E660526" w14:textId="01D0E6A5" w:rsidR="00C73782" w:rsidRPr="00B2223A" w:rsidRDefault="08BE7A8E" w:rsidP="3DC7D0E8">
      <w:pPr>
        <w:pStyle w:val="Indentedtextfornumberedlists"/>
        <w:numPr>
          <w:ilvl w:val="0"/>
          <w:numId w:val="37"/>
        </w:numPr>
        <w:spacing w:after="240"/>
        <w:rPr>
          <w:szCs w:val="24"/>
        </w:rPr>
      </w:pPr>
      <w:r w:rsidRPr="3DC7D0E8">
        <w:rPr>
          <w:szCs w:val="24"/>
        </w:rPr>
        <w:t>Events Reserve (including Torbay airshow)</w:t>
      </w:r>
    </w:p>
    <w:p w14:paraId="16E32785" w14:textId="2041B9F8" w:rsidR="00C73782" w:rsidRPr="00B2223A" w:rsidRDefault="00B429E2" w:rsidP="3DC7D0E8">
      <w:pPr>
        <w:pStyle w:val="Header"/>
        <w:spacing w:line="312" w:lineRule="auto"/>
        <w:ind w:left="1072"/>
        <w:jc w:val="both"/>
        <w:rPr>
          <w:rStyle w:val="None"/>
          <w:rFonts w:ascii="Arial" w:hAnsi="Arial"/>
        </w:rPr>
      </w:pPr>
      <w:r>
        <w:rPr>
          <w:rStyle w:val="None"/>
          <w:rFonts w:ascii="Arial" w:hAnsi="Arial"/>
        </w:rPr>
        <w:t xml:space="preserve">Major cultural events </w:t>
      </w:r>
      <w:r w:rsidR="003347E8">
        <w:rPr>
          <w:rStyle w:val="None"/>
          <w:rFonts w:ascii="Arial" w:hAnsi="Arial"/>
        </w:rPr>
        <w:t xml:space="preserve">have previously been funded, at the rate of approximately £250k per annum, through the creation, and drawdown, of specific reserve funding. </w:t>
      </w:r>
      <w:r w:rsidR="00C07ECA">
        <w:rPr>
          <w:rStyle w:val="None"/>
          <w:rFonts w:ascii="Arial" w:hAnsi="Arial"/>
        </w:rPr>
        <w:t>As reported in the January 2024 Reserves paper, a</w:t>
      </w:r>
      <w:r w:rsidR="52355136" w:rsidRPr="3DC7D0E8">
        <w:rPr>
          <w:rStyle w:val="None"/>
          <w:rFonts w:ascii="Arial" w:hAnsi="Arial"/>
        </w:rPr>
        <w:t xml:space="preserve"> further top up </w:t>
      </w:r>
      <w:r w:rsidR="00C07ECA">
        <w:rPr>
          <w:rStyle w:val="None"/>
          <w:rFonts w:ascii="Arial" w:hAnsi="Arial"/>
        </w:rPr>
        <w:t xml:space="preserve">of the Events Reserve was </w:t>
      </w:r>
      <w:r w:rsidR="52355136" w:rsidRPr="3DC7D0E8">
        <w:rPr>
          <w:rStyle w:val="None"/>
          <w:rFonts w:ascii="Arial" w:hAnsi="Arial"/>
        </w:rPr>
        <w:t xml:space="preserve">provided through the </w:t>
      </w:r>
      <w:r w:rsidR="00B47F83">
        <w:rPr>
          <w:rStyle w:val="None"/>
          <w:rFonts w:ascii="Arial" w:hAnsi="Arial"/>
        </w:rPr>
        <w:t>2024/25 budget setting process. T</w:t>
      </w:r>
      <w:r w:rsidR="48565A8B" w:rsidRPr="3DC7D0E8">
        <w:rPr>
          <w:rStyle w:val="None"/>
          <w:rFonts w:ascii="Arial" w:hAnsi="Arial"/>
        </w:rPr>
        <w:t xml:space="preserve">he Council </w:t>
      </w:r>
      <w:r w:rsidR="00B47F83">
        <w:rPr>
          <w:rStyle w:val="None"/>
          <w:rFonts w:ascii="Arial" w:hAnsi="Arial"/>
        </w:rPr>
        <w:t xml:space="preserve">continues </w:t>
      </w:r>
      <w:r w:rsidR="48565A8B" w:rsidRPr="3DC7D0E8">
        <w:rPr>
          <w:rStyle w:val="None"/>
          <w:rFonts w:ascii="Arial" w:hAnsi="Arial"/>
        </w:rPr>
        <w:t>to explore a different blend of commercial opportunities alongside public sector financial support</w:t>
      </w:r>
      <w:r w:rsidR="00FE22AE">
        <w:rPr>
          <w:rStyle w:val="None"/>
          <w:rFonts w:ascii="Arial" w:hAnsi="Arial"/>
        </w:rPr>
        <w:t xml:space="preserve"> to reduce the reliance on reserve funding over the medium term.</w:t>
      </w:r>
    </w:p>
    <w:p w14:paraId="47004318" w14:textId="466C32B5" w:rsidR="00C73782" w:rsidRPr="00B2223A" w:rsidRDefault="00C73782" w:rsidP="3DC7D0E8">
      <w:pPr>
        <w:pStyle w:val="Header"/>
        <w:ind w:left="993"/>
        <w:rPr>
          <w:rStyle w:val="None"/>
          <w:rFonts w:ascii="Arial" w:hAnsi="Arial"/>
        </w:rPr>
      </w:pPr>
    </w:p>
    <w:p w14:paraId="19776317" w14:textId="3D7476FC" w:rsidR="003E4C5D" w:rsidRPr="00DE14DF" w:rsidRDefault="008357B3" w:rsidP="003E4C5D">
      <w:pPr>
        <w:pStyle w:val="Indentedtextfornumberedlists"/>
        <w:spacing w:after="240"/>
        <w:rPr>
          <w:b/>
          <w:bCs/>
          <w:szCs w:val="24"/>
        </w:rPr>
      </w:pPr>
      <w:r w:rsidRPr="008357B3">
        <w:rPr>
          <w:b/>
          <w:bCs/>
        </w:rPr>
        <w:t>Provisions</w:t>
      </w:r>
    </w:p>
    <w:p w14:paraId="40E6F7DF" w14:textId="63FC3C0C" w:rsidR="004E7B7C" w:rsidRPr="00DE14DF" w:rsidRDefault="00CD3ED9" w:rsidP="3DC7D0E8">
      <w:pPr>
        <w:pStyle w:val="Indentedtextfornumberedlists"/>
        <w:numPr>
          <w:ilvl w:val="1"/>
          <w:numId w:val="36"/>
        </w:numPr>
        <w:spacing w:after="240"/>
        <w:ind w:left="709" w:hanging="709"/>
        <w:jc w:val="both"/>
      </w:pPr>
      <w:r>
        <w:t xml:space="preserve">In addition to earmarked and general reserves the Council also holds provisions, where appropriate, for issues where the Council has a </w:t>
      </w:r>
      <w:r w:rsidR="00E512D6">
        <w:t xml:space="preserve">potential </w:t>
      </w:r>
      <w:r>
        <w:t>liability which is likely to result in a payment but the amount</w:t>
      </w:r>
      <w:r w:rsidR="008101C4">
        <w:t>,</w:t>
      </w:r>
      <w:r>
        <w:t xml:space="preserve"> and timing</w:t>
      </w:r>
      <w:r w:rsidR="008101C4">
        <w:t>,</w:t>
      </w:r>
      <w:r>
        <w:t xml:space="preserve"> of the potential payment is uncertain. The council also holds provisions </w:t>
      </w:r>
      <w:r w:rsidR="000B1510">
        <w:t xml:space="preserve">where there is a risk of future claims being made in areas such as </w:t>
      </w:r>
      <w:r>
        <w:t xml:space="preserve">insurance </w:t>
      </w:r>
      <w:r w:rsidR="009526F3">
        <w:t xml:space="preserve">and </w:t>
      </w:r>
      <w:r>
        <w:t xml:space="preserve">NNDR appeals. </w:t>
      </w:r>
    </w:p>
    <w:p w14:paraId="614AC724" w14:textId="77777777" w:rsidR="00030797" w:rsidRPr="003B7202" w:rsidRDefault="00030797">
      <w:pPr>
        <w:spacing w:line="264" w:lineRule="auto"/>
        <w:rPr>
          <w:sz w:val="16"/>
          <w:szCs w:val="16"/>
        </w:rPr>
      </w:pPr>
    </w:p>
    <w:p w14:paraId="7A9FE3CA" w14:textId="69DE6F01" w:rsidR="009A2685" w:rsidRDefault="00045D1E" w:rsidP="009A0725">
      <w:pPr>
        <w:pStyle w:val="Heading1"/>
        <w:tabs>
          <w:tab w:val="left" w:pos="720"/>
          <w:tab w:val="left" w:pos="1440"/>
          <w:tab w:val="left" w:pos="2160"/>
          <w:tab w:val="left" w:pos="2880"/>
          <w:tab w:val="left" w:pos="3600"/>
          <w:tab w:val="left" w:pos="4320"/>
          <w:tab w:val="left" w:pos="7520"/>
        </w:tabs>
      </w:pPr>
      <w:r>
        <w:t>5</w:t>
      </w:r>
      <w:r w:rsidR="009A2685">
        <w:t>.</w:t>
      </w:r>
      <w:r w:rsidR="009A2685">
        <w:tab/>
      </w:r>
      <w:r>
        <w:t>202</w:t>
      </w:r>
      <w:r w:rsidR="00AC6394">
        <w:t>6</w:t>
      </w:r>
      <w:r>
        <w:t>/2</w:t>
      </w:r>
      <w:r w:rsidR="00AC6394">
        <w:t>7</w:t>
      </w:r>
      <w:r>
        <w:t xml:space="preserve"> Review of Reserves</w:t>
      </w:r>
      <w:r w:rsidR="00935276">
        <w:tab/>
      </w:r>
    </w:p>
    <w:p w14:paraId="7648B684" w14:textId="72D64842" w:rsidR="00D63C1A" w:rsidRDefault="00045D1E" w:rsidP="1D91C4D7">
      <w:pPr>
        <w:keepNext/>
        <w:ind w:left="720" w:hanging="720"/>
        <w:jc w:val="both"/>
      </w:pPr>
      <w:r>
        <w:t>5</w:t>
      </w:r>
      <w:r w:rsidR="00653194">
        <w:t xml:space="preserve">.1 </w:t>
      </w:r>
      <w:r w:rsidR="00F23AC0">
        <w:tab/>
      </w:r>
      <w:r w:rsidR="00935276">
        <w:t xml:space="preserve">Adopting the </w:t>
      </w:r>
      <w:r w:rsidR="001B4FAD">
        <w:t xml:space="preserve">principles as detailed in this Policy, the Finance Director (Section 151 Officer) has undertaken a review of all reserves held by the Council as at </w:t>
      </w:r>
      <w:r w:rsidR="00BB3893">
        <w:t>December</w:t>
      </w:r>
      <w:r w:rsidR="001B4FAD">
        <w:t xml:space="preserve"> 202</w:t>
      </w:r>
      <w:r w:rsidR="00C81835">
        <w:t>5</w:t>
      </w:r>
      <w:r w:rsidR="001B4FAD">
        <w:t xml:space="preserve">. </w:t>
      </w:r>
      <w:r w:rsidR="0030394C">
        <w:t>Actions</w:t>
      </w:r>
      <w:r w:rsidR="002172E9">
        <w:t xml:space="preserve"> have, and will continue to be taken to ensure the following: </w:t>
      </w:r>
    </w:p>
    <w:p w14:paraId="3076A482" w14:textId="286F99FF" w:rsidR="00D63C1A" w:rsidRDefault="00F23AC0" w:rsidP="1D91C4D7">
      <w:pPr>
        <w:pStyle w:val="ListParagraph"/>
        <w:keepNext/>
        <w:numPr>
          <w:ilvl w:val="0"/>
          <w:numId w:val="40"/>
        </w:numPr>
        <w:ind w:left="993" w:hanging="284"/>
        <w:jc w:val="both"/>
      </w:pPr>
      <w:r>
        <w:t xml:space="preserve">Any reserve showing no financial movement over a period of two years or more, without a clear future spend commitment, </w:t>
      </w:r>
      <w:r w:rsidR="002172E9">
        <w:t>is</w:t>
      </w:r>
      <w:r>
        <w:t xml:space="preserve"> absorbed into the General Fund Reserve </w:t>
      </w:r>
      <w:r w:rsidR="2B0BDBD1">
        <w:t>or</w:t>
      </w:r>
      <w:r>
        <w:t xml:space="preserve"> Comprehensive Spending Review Reserve;</w:t>
      </w:r>
    </w:p>
    <w:p w14:paraId="141BE1A4" w14:textId="77777777" w:rsidR="005A4D18" w:rsidRPr="003B7202" w:rsidRDefault="005A4D18" w:rsidP="003B7202">
      <w:pPr>
        <w:pStyle w:val="ListParagraph"/>
        <w:ind w:left="993"/>
        <w:jc w:val="both"/>
        <w:rPr>
          <w:sz w:val="16"/>
          <w:szCs w:val="16"/>
        </w:rPr>
      </w:pPr>
    </w:p>
    <w:p w14:paraId="2AAB4189" w14:textId="6C3C080A" w:rsidR="00320A00" w:rsidRDefault="00320A00" w:rsidP="3DC7D0E8">
      <w:pPr>
        <w:pStyle w:val="ListParagraph"/>
        <w:numPr>
          <w:ilvl w:val="0"/>
          <w:numId w:val="40"/>
        </w:numPr>
        <w:ind w:left="993" w:hanging="284"/>
        <w:jc w:val="both"/>
      </w:pPr>
      <w:r>
        <w:t xml:space="preserve">The General Fund Reserve </w:t>
      </w:r>
      <w:r w:rsidR="002172E9">
        <w:t>is</w:t>
      </w:r>
      <w:r>
        <w:t xml:space="preserve"> </w:t>
      </w:r>
      <w:r w:rsidR="00FA08BC">
        <w:t xml:space="preserve">retained at a relevant level </w:t>
      </w:r>
      <w:r>
        <w:t xml:space="preserve">to represent 5% of the Council’s </w:t>
      </w:r>
      <w:r w:rsidR="00694310">
        <w:t>indicative</w:t>
      </w:r>
      <w:r w:rsidR="00CA36D6">
        <w:t xml:space="preserve"> 202</w:t>
      </w:r>
      <w:r w:rsidR="00971357">
        <w:t>6</w:t>
      </w:r>
      <w:r w:rsidR="00CA36D6">
        <w:t>/2</w:t>
      </w:r>
      <w:r w:rsidR="00971357">
        <w:t>7</w:t>
      </w:r>
      <w:r w:rsidR="00CA36D6">
        <w:t xml:space="preserve"> Revenue budget;</w:t>
      </w:r>
    </w:p>
    <w:p w14:paraId="0024E32D" w14:textId="0BDB51EF" w:rsidR="1D91C4D7" w:rsidRDefault="1D91C4D7" w:rsidP="1D91C4D7">
      <w:pPr>
        <w:pStyle w:val="ListParagraph"/>
        <w:ind w:left="993" w:hanging="284"/>
        <w:jc w:val="both"/>
      </w:pPr>
    </w:p>
    <w:p w14:paraId="54FE52CC" w14:textId="7A9278A7" w:rsidR="00D22FE8" w:rsidRDefault="00CA36D6" w:rsidP="3DC7D0E8">
      <w:pPr>
        <w:pStyle w:val="ListParagraph"/>
        <w:numPr>
          <w:ilvl w:val="0"/>
          <w:numId w:val="40"/>
        </w:numPr>
        <w:ind w:left="993" w:hanging="284"/>
        <w:jc w:val="both"/>
      </w:pPr>
      <w:r>
        <w:t xml:space="preserve">The </w:t>
      </w:r>
      <w:r w:rsidR="00314D0A">
        <w:t xml:space="preserve">balance of the </w:t>
      </w:r>
      <w:r>
        <w:t xml:space="preserve">Comprehensive Spending Review Reserve </w:t>
      </w:r>
      <w:r w:rsidR="002172E9">
        <w:t>is</w:t>
      </w:r>
      <w:r w:rsidR="00314D0A">
        <w:t xml:space="preserve"> re</w:t>
      </w:r>
      <w:r w:rsidR="00694310">
        <w:t>tained at</w:t>
      </w:r>
      <w:r w:rsidR="00314D0A">
        <w:t xml:space="preserve"> its recommended level of £3m</w:t>
      </w:r>
      <w:r w:rsidR="00D22FE8">
        <w:t>;</w:t>
      </w:r>
    </w:p>
    <w:p w14:paraId="35EEB11E" w14:textId="77777777" w:rsidR="003B7202" w:rsidRPr="003B7202" w:rsidRDefault="003B7202" w:rsidP="003B7202">
      <w:pPr>
        <w:pStyle w:val="ListParagraph"/>
        <w:ind w:left="993"/>
        <w:jc w:val="both"/>
        <w:rPr>
          <w:sz w:val="16"/>
          <w:szCs w:val="16"/>
        </w:rPr>
      </w:pPr>
    </w:p>
    <w:p w14:paraId="0BA781B1" w14:textId="7079915E" w:rsidR="00CA36D6" w:rsidRDefault="00D22FE8" w:rsidP="00543F5C">
      <w:pPr>
        <w:pStyle w:val="ListParagraph"/>
        <w:numPr>
          <w:ilvl w:val="0"/>
          <w:numId w:val="40"/>
        </w:numPr>
        <w:ind w:left="993" w:hanging="284"/>
        <w:jc w:val="both"/>
      </w:pPr>
      <w:r>
        <w:t>The Collection Fun</w:t>
      </w:r>
      <w:r w:rsidR="00AF7B1A">
        <w:t>d</w:t>
      </w:r>
      <w:r>
        <w:t xml:space="preserve"> </w:t>
      </w:r>
      <w:r w:rsidR="005A5639">
        <w:t>is</w:t>
      </w:r>
      <w:r>
        <w:t xml:space="preserve"> reviewed </w:t>
      </w:r>
      <w:r w:rsidR="005A5639">
        <w:t>to take consideration of</w:t>
      </w:r>
      <w:r w:rsidR="00F01825">
        <w:t xml:space="preserve"> the likelihood of future liabilities</w:t>
      </w:r>
      <w:r w:rsidR="009D152B">
        <w:t>,</w:t>
      </w:r>
      <w:r w:rsidR="00F01825">
        <w:t xml:space="preserve"> (such as NNDR appeals)</w:t>
      </w:r>
      <w:r w:rsidR="009D152B">
        <w:t xml:space="preserve">, </w:t>
      </w:r>
      <w:r w:rsidR="005A5639">
        <w:t xml:space="preserve">and </w:t>
      </w:r>
      <w:r w:rsidR="009D152B">
        <w:t xml:space="preserve">a corresponding </w:t>
      </w:r>
      <w:r w:rsidR="00AF7B1A">
        <w:t xml:space="preserve">adjustment </w:t>
      </w:r>
      <w:r w:rsidR="00082FBC">
        <w:t>made</w:t>
      </w:r>
      <w:r w:rsidR="009D152B">
        <w:t>;</w:t>
      </w:r>
      <w:r w:rsidR="00314D0A">
        <w:t xml:space="preserve"> </w:t>
      </w:r>
    </w:p>
    <w:p w14:paraId="7BA532A1" w14:textId="77777777" w:rsidR="00543F5C" w:rsidRPr="00543F5C" w:rsidRDefault="00543F5C" w:rsidP="00543F5C">
      <w:pPr>
        <w:pStyle w:val="ListParagraph"/>
        <w:ind w:left="993"/>
        <w:jc w:val="both"/>
        <w:rPr>
          <w:sz w:val="16"/>
          <w:szCs w:val="16"/>
        </w:rPr>
      </w:pPr>
    </w:p>
    <w:p w14:paraId="2109F1CD" w14:textId="366813FA" w:rsidR="009D152B" w:rsidRDefault="009D152B" w:rsidP="3DC7D0E8">
      <w:pPr>
        <w:pStyle w:val="ListParagraph"/>
        <w:numPr>
          <w:ilvl w:val="0"/>
          <w:numId w:val="40"/>
        </w:numPr>
        <w:ind w:left="993" w:hanging="284"/>
        <w:jc w:val="both"/>
      </w:pPr>
      <w:r>
        <w:t xml:space="preserve">Known significant </w:t>
      </w:r>
      <w:r w:rsidR="00233934">
        <w:t xml:space="preserve">liabilities </w:t>
      </w:r>
      <w:r w:rsidR="005A5639">
        <w:t>are</w:t>
      </w:r>
      <w:r w:rsidR="00233934">
        <w:t xml:space="preserve"> addressed, and accounted for </w:t>
      </w:r>
      <w:r w:rsidR="00082FBC">
        <w:t xml:space="preserve">within the proposed </w:t>
      </w:r>
      <w:r w:rsidR="00D73EA3">
        <w:t>levels as detailed in Appendix 1</w:t>
      </w:r>
    </w:p>
    <w:p w14:paraId="0254C192" w14:textId="03598292" w:rsidR="3DC7D0E8" w:rsidRDefault="3DC7D0E8" w:rsidP="3DC7D0E8">
      <w:pPr>
        <w:ind w:left="720" w:hanging="720"/>
        <w:rPr>
          <w:rFonts w:ascii="Arial" w:eastAsia="Arial" w:hAnsi="Arial" w:cs="Arial"/>
          <w:szCs w:val="24"/>
        </w:rPr>
      </w:pPr>
    </w:p>
    <w:p w14:paraId="67326016" w14:textId="633E6F8F" w:rsidR="00962A17" w:rsidRDefault="7351BF25" w:rsidP="3DC7D0E8">
      <w:pPr>
        <w:ind w:left="720" w:hanging="720"/>
        <w:jc w:val="both"/>
      </w:pPr>
      <w:r w:rsidRPr="3DC7D0E8">
        <w:rPr>
          <w:rFonts w:ascii="Arial" w:eastAsia="Arial" w:hAnsi="Arial" w:cs="Arial"/>
          <w:szCs w:val="24"/>
        </w:rPr>
        <w:t xml:space="preserve">5.2 </w:t>
      </w:r>
      <w:r w:rsidR="005066AA">
        <w:tab/>
      </w:r>
      <w:r w:rsidR="00C77ED9">
        <w:t>The 202</w:t>
      </w:r>
      <w:r w:rsidR="001823E0">
        <w:t>4</w:t>
      </w:r>
      <w:r w:rsidR="00C77ED9">
        <w:t>/2</w:t>
      </w:r>
      <w:r w:rsidR="001823E0">
        <w:t>5</w:t>
      </w:r>
      <w:r w:rsidR="00C77ED9">
        <w:t xml:space="preserve"> revenue out-turn report was approved by Council </w:t>
      </w:r>
      <w:r w:rsidR="002C68AD">
        <w:t>o</w:t>
      </w:r>
      <w:r w:rsidR="00C77ED9">
        <w:t xml:space="preserve">n </w:t>
      </w:r>
      <w:r w:rsidR="002C68AD">
        <w:t xml:space="preserve">24 </w:t>
      </w:r>
      <w:r w:rsidR="00C77ED9">
        <w:t>July 202</w:t>
      </w:r>
      <w:r w:rsidR="001823E0">
        <w:t>5</w:t>
      </w:r>
      <w:r w:rsidR="00C77ED9">
        <w:t>.</w:t>
      </w:r>
      <w:r w:rsidR="00E94B41">
        <w:t xml:space="preserve"> The year end position was a surplus of £</w:t>
      </w:r>
      <w:r w:rsidR="002C68AD">
        <w:t>351</w:t>
      </w:r>
      <w:r w:rsidR="00E94B41">
        <w:t xml:space="preserve">k with </w:t>
      </w:r>
      <w:r w:rsidR="008C47EE">
        <w:t xml:space="preserve">various allocations made across a number of budget headings. Where appropriate, the management </w:t>
      </w:r>
      <w:r w:rsidR="00AD01AE">
        <w:t xml:space="preserve">of financial drawdowns from these allocations </w:t>
      </w:r>
      <w:r w:rsidR="00C70231">
        <w:t xml:space="preserve">are </w:t>
      </w:r>
      <w:r w:rsidR="00AD01AE">
        <w:t xml:space="preserve">made through </w:t>
      </w:r>
      <w:r w:rsidR="00474A5A">
        <w:t xml:space="preserve">the </w:t>
      </w:r>
      <w:r w:rsidR="00496DED">
        <w:t>R</w:t>
      </w:r>
      <w:r w:rsidR="00474A5A">
        <w:t>eserves governance process.</w:t>
      </w:r>
    </w:p>
    <w:p w14:paraId="2DF234BE" w14:textId="726D53BD" w:rsidR="00474A5A" w:rsidRPr="00962A17" w:rsidRDefault="00474A5A" w:rsidP="3DC7D0E8">
      <w:pPr>
        <w:ind w:left="720" w:hanging="720"/>
        <w:jc w:val="both"/>
        <w:rPr>
          <w:sz w:val="8"/>
          <w:szCs w:val="8"/>
        </w:rPr>
      </w:pPr>
      <w:r>
        <w:t xml:space="preserve"> </w:t>
      </w:r>
    </w:p>
    <w:p w14:paraId="46CDA8AC" w14:textId="3047BA99" w:rsidR="00977724" w:rsidRDefault="00675E87" w:rsidP="00474A5A">
      <w:pPr>
        <w:ind w:left="720"/>
        <w:jc w:val="both"/>
      </w:pPr>
      <w:r>
        <w:t xml:space="preserve">In addition, when setting the 2025/26 revenue budget, a number of one-off </w:t>
      </w:r>
      <w:r w:rsidR="00C05721">
        <w:t xml:space="preserve">financial allocations were approved by Council </w:t>
      </w:r>
      <w:r w:rsidR="00977724">
        <w:t>in February 2025</w:t>
      </w:r>
      <w:r w:rsidR="00350B20">
        <w:t>, with the larger items listed in the table below</w:t>
      </w:r>
      <w:r w:rsidR="00977724">
        <w:t xml:space="preserve">.  Again, managing the drawdown against these sums, where relevant, is facilitated through the </w:t>
      </w:r>
      <w:r w:rsidR="001C434A">
        <w:t>R</w:t>
      </w:r>
      <w:r w:rsidR="00977724">
        <w:t>eserves governance process.</w:t>
      </w:r>
    </w:p>
    <w:p w14:paraId="2EB5F9E1" w14:textId="77777777" w:rsidR="00962A17" w:rsidRPr="00962A17" w:rsidRDefault="00962A17" w:rsidP="00474A5A">
      <w:pPr>
        <w:ind w:left="720"/>
        <w:jc w:val="both"/>
        <w:rPr>
          <w:sz w:val="8"/>
          <w:szCs w:val="8"/>
        </w:rPr>
      </w:pPr>
    </w:p>
    <w:tbl>
      <w:tblPr>
        <w:tblStyle w:val="TableGrid"/>
        <w:tblW w:w="9825" w:type="dxa"/>
        <w:tblInd w:w="720" w:type="dxa"/>
        <w:tblLook w:val="04A0" w:firstRow="1" w:lastRow="0" w:firstColumn="1" w:lastColumn="0" w:noHBand="0" w:noVBand="1"/>
      </w:tblPr>
      <w:tblGrid>
        <w:gridCol w:w="3560"/>
        <w:gridCol w:w="1430"/>
        <w:gridCol w:w="4835"/>
      </w:tblGrid>
      <w:tr w:rsidR="00FC296F" w14:paraId="540E5559" w14:textId="77777777" w:rsidTr="0099132D">
        <w:trPr>
          <w:trHeight w:val="305"/>
        </w:trPr>
        <w:tc>
          <w:tcPr>
            <w:tcW w:w="3560" w:type="dxa"/>
            <w:shd w:val="clear" w:color="auto" w:fill="C5EDFF" w:themeFill="accent1" w:themeFillTint="33"/>
          </w:tcPr>
          <w:p w14:paraId="7DD88519" w14:textId="21E1F201" w:rsidR="00FC296F" w:rsidRPr="00B67973" w:rsidRDefault="00FC296F" w:rsidP="00474A5A">
            <w:pPr>
              <w:jc w:val="both"/>
              <w:rPr>
                <w:sz w:val="22"/>
                <w:szCs w:val="20"/>
              </w:rPr>
            </w:pPr>
            <w:r w:rsidRPr="00B67973">
              <w:rPr>
                <w:sz w:val="22"/>
                <w:szCs w:val="20"/>
              </w:rPr>
              <w:t>Area</w:t>
            </w:r>
          </w:p>
        </w:tc>
        <w:tc>
          <w:tcPr>
            <w:tcW w:w="1430" w:type="dxa"/>
            <w:shd w:val="clear" w:color="auto" w:fill="C5EDFF" w:themeFill="accent1" w:themeFillTint="33"/>
          </w:tcPr>
          <w:p w14:paraId="7677068A" w14:textId="419DA52B" w:rsidR="00FC296F" w:rsidRPr="00B67973" w:rsidRDefault="00FC296F" w:rsidP="00B67973">
            <w:pPr>
              <w:jc w:val="center"/>
              <w:rPr>
                <w:sz w:val="22"/>
                <w:szCs w:val="20"/>
              </w:rPr>
            </w:pPr>
            <w:r w:rsidRPr="00B67973">
              <w:rPr>
                <w:sz w:val="22"/>
                <w:szCs w:val="20"/>
              </w:rPr>
              <w:t>£000s</w:t>
            </w:r>
          </w:p>
        </w:tc>
        <w:tc>
          <w:tcPr>
            <w:tcW w:w="4835" w:type="dxa"/>
            <w:shd w:val="clear" w:color="auto" w:fill="C5EDFF" w:themeFill="accent1" w:themeFillTint="33"/>
          </w:tcPr>
          <w:p w14:paraId="4F42E314" w14:textId="108095FB" w:rsidR="00FC296F" w:rsidRPr="00B67973" w:rsidRDefault="00FC296F" w:rsidP="00474A5A">
            <w:pPr>
              <w:jc w:val="both"/>
              <w:rPr>
                <w:sz w:val="22"/>
                <w:szCs w:val="20"/>
              </w:rPr>
            </w:pPr>
            <w:r w:rsidRPr="00B67973">
              <w:rPr>
                <w:sz w:val="22"/>
                <w:szCs w:val="20"/>
              </w:rPr>
              <w:t>Narrative</w:t>
            </w:r>
          </w:p>
        </w:tc>
      </w:tr>
      <w:tr w:rsidR="00FC296F" w14:paraId="6B197591" w14:textId="77777777" w:rsidTr="00213CDD">
        <w:trPr>
          <w:trHeight w:val="619"/>
        </w:trPr>
        <w:tc>
          <w:tcPr>
            <w:tcW w:w="3560" w:type="dxa"/>
            <w:vAlign w:val="center"/>
          </w:tcPr>
          <w:p w14:paraId="44ED246D" w14:textId="1B563386" w:rsidR="00FC296F" w:rsidRPr="00B67973" w:rsidRDefault="00B67973" w:rsidP="00B67973">
            <w:pPr>
              <w:rPr>
                <w:sz w:val="22"/>
                <w:szCs w:val="20"/>
              </w:rPr>
            </w:pPr>
            <w:r w:rsidRPr="00B67973">
              <w:rPr>
                <w:sz w:val="22"/>
                <w:szCs w:val="20"/>
              </w:rPr>
              <w:t>Council led Housing developments</w:t>
            </w:r>
          </w:p>
        </w:tc>
        <w:tc>
          <w:tcPr>
            <w:tcW w:w="1430" w:type="dxa"/>
            <w:vAlign w:val="center"/>
          </w:tcPr>
          <w:p w14:paraId="589B556B" w14:textId="1888AAA3" w:rsidR="00FC296F" w:rsidRPr="00B67973" w:rsidRDefault="00B67973" w:rsidP="00B67973">
            <w:pPr>
              <w:jc w:val="center"/>
              <w:rPr>
                <w:sz w:val="22"/>
                <w:szCs w:val="20"/>
              </w:rPr>
            </w:pPr>
            <w:r w:rsidRPr="00B67973">
              <w:rPr>
                <w:sz w:val="22"/>
                <w:szCs w:val="20"/>
              </w:rPr>
              <w:t>1,200</w:t>
            </w:r>
          </w:p>
        </w:tc>
        <w:tc>
          <w:tcPr>
            <w:tcW w:w="4835" w:type="dxa"/>
            <w:vAlign w:val="center"/>
          </w:tcPr>
          <w:p w14:paraId="5A28D252" w14:textId="383D305B" w:rsidR="00FC296F" w:rsidRPr="00B67973" w:rsidRDefault="00CC09D3" w:rsidP="00474A5A">
            <w:pPr>
              <w:jc w:val="both"/>
              <w:rPr>
                <w:sz w:val="22"/>
                <w:szCs w:val="20"/>
              </w:rPr>
            </w:pPr>
            <w:r>
              <w:rPr>
                <w:sz w:val="22"/>
                <w:szCs w:val="20"/>
              </w:rPr>
              <w:t xml:space="preserve">To help business case viability – can include revenue contribution to </w:t>
            </w:r>
            <w:r w:rsidR="00C113C1">
              <w:rPr>
                <w:sz w:val="22"/>
                <w:szCs w:val="20"/>
              </w:rPr>
              <w:t>capital delivery.</w:t>
            </w:r>
            <w:r>
              <w:rPr>
                <w:sz w:val="22"/>
                <w:szCs w:val="20"/>
              </w:rPr>
              <w:t xml:space="preserve"> </w:t>
            </w:r>
          </w:p>
        </w:tc>
      </w:tr>
      <w:tr w:rsidR="00FC296F" w14:paraId="266BC341" w14:textId="77777777" w:rsidTr="00213CDD">
        <w:trPr>
          <w:trHeight w:val="610"/>
        </w:trPr>
        <w:tc>
          <w:tcPr>
            <w:tcW w:w="3560" w:type="dxa"/>
            <w:vAlign w:val="center"/>
          </w:tcPr>
          <w:p w14:paraId="4AC03D74" w14:textId="199AA790" w:rsidR="00FC296F" w:rsidRPr="00B67973" w:rsidRDefault="00C113C1" w:rsidP="00C113C1">
            <w:pPr>
              <w:rPr>
                <w:sz w:val="22"/>
                <w:szCs w:val="20"/>
              </w:rPr>
            </w:pPr>
            <w:r>
              <w:rPr>
                <w:sz w:val="22"/>
                <w:szCs w:val="20"/>
              </w:rPr>
              <w:t>SWISCo. fleet linked to Extended Producer Responsibility</w:t>
            </w:r>
          </w:p>
        </w:tc>
        <w:tc>
          <w:tcPr>
            <w:tcW w:w="1430" w:type="dxa"/>
            <w:vAlign w:val="center"/>
          </w:tcPr>
          <w:p w14:paraId="4C0255B2" w14:textId="6FE6DCA8" w:rsidR="00FC296F" w:rsidRPr="00B67973" w:rsidRDefault="00C113C1" w:rsidP="00B67973">
            <w:pPr>
              <w:jc w:val="center"/>
              <w:rPr>
                <w:sz w:val="22"/>
                <w:szCs w:val="20"/>
              </w:rPr>
            </w:pPr>
            <w:r>
              <w:rPr>
                <w:sz w:val="22"/>
                <w:szCs w:val="20"/>
              </w:rPr>
              <w:t>900</w:t>
            </w:r>
          </w:p>
        </w:tc>
        <w:tc>
          <w:tcPr>
            <w:tcW w:w="4835" w:type="dxa"/>
            <w:vAlign w:val="center"/>
          </w:tcPr>
          <w:p w14:paraId="109E5D3E" w14:textId="014E78E0" w:rsidR="00FC296F" w:rsidRPr="00B67973" w:rsidRDefault="00D354D5" w:rsidP="00D354D5">
            <w:pPr>
              <w:tabs>
                <w:tab w:val="left" w:pos="1740"/>
              </w:tabs>
              <w:rPr>
                <w:sz w:val="22"/>
                <w:szCs w:val="20"/>
              </w:rPr>
            </w:pPr>
            <w:r>
              <w:rPr>
                <w:sz w:val="22"/>
                <w:szCs w:val="20"/>
              </w:rPr>
              <w:t>Modernised fleet will assist with required waste segregation.</w:t>
            </w:r>
          </w:p>
        </w:tc>
      </w:tr>
      <w:tr w:rsidR="00FC296F" w14:paraId="6FF8B53F" w14:textId="77777777" w:rsidTr="00213CDD">
        <w:trPr>
          <w:trHeight w:val="619"/>
        </w:trPr>
        <w:tc>
          <w:tcPr>
            <w:tcW w:w="3560" w:type="dxa"/>
            <w:vAlign w:val="center"/>
          </w:tcPr>
          <w:p w14:paraId="0F2E6324" w14:textId="424B7E5B" w:rsidR="00FC296F" w:rsidRPr="00B67973" w:rsidRDefault="00F87F23" w:rsidP="00474A5A">
            <w:pPr>
              <w:jc w:val="both"/>
              <w:rPr>
                <w:sz w:val="22"/>
                <w:szCs w:val="20"/>
              </w:rPr>
            </w:pPr>
            <w:r>
              <w:rPr>
                <w:sz w:val="22"/>
                <w:szCs w:val="20"/>
              </w:rPr>
              <w:t>Investment in Play Parks</w:t>
            </w:r>
          </w:p>
        </w:tc>
        <w:tc>
          <w:tcPr>
            <w:tcW w:w="1430" w:type="dxa"/>
            <w:vAlign w:val="center"/>
          </w:tcPr>
          <w:p w14:paraId="019E1D58" w14:textId="3B02637C" w:rsidR="00FC296F" w:rsidRPr="00B67973" w:rsidRDefault="00F87F23" w:rsidP="00B67973">
            <w:pPr>
              <w:jc w:val="center"/>
              <w:rPr>
                <w:sz w:val="22"/>
                <w:szCs w:val="20"/>
              </w:rPr>
            </w:pPr>
            <w:r>
              <w:rPr>
                <w:sz w:val="22"/>
                <w:szCs w:val="20"/>
              </w:rPr>
              <w:t>500</w:t>
            </w:r>
          </w:p>
        </w:tc>
        <w:tc>
          <w:tcPr>
            <w:tcW w:w="4835" w:type="dxa"/>
            <w:vAlign w:val="center"/>
          </w:tcPr>
          <w:p w14:paraId="29D87477" w14:textId="1A49AD66" w:rsidR="00FC296F" w:rsidRPr="00B67973" w:rsidRDefault="00F87F23" w:rsidP="00474A5A">
            <w:pPr>
              <w:jc w:val="both"/>
              <w:rPr>
                <w:sz w:val="22"/>
                <w:szCs w:val="20"/>
              </w:rPr>
            </w:pPr>
            <w:r>
              <w:rPr>
                <w:sz w:val="22"/>
                <w:szCs w:val="20"/>
              </w:rPr>
              <w:t>As recommended by the Policy and Resources Committee</w:t>
            </w:r>
            <w:r w:rsidR="001714B4">
              <w:rPr>
                <w:sz w:val="22"/>
                <w:szCs w:val="20"/>
              </w:rPr>
              <w:t>.</w:t>
            </w:r>
          </w:p>
        </w:tc>
      </w:tr>
      <w:tr w:rsidR="00FC296F" w14:paraId="65FB559A" w14:textId="77777777" w:rsidTr="00213CDD">
        <w:trPr>
          <w:trHeight w:val="610"/>
        </w:trPr>
        <w:tc>
          <w:tcPr>
            <w:tcW w:w="3560" w:type="dxa"/>
            <w:vAlign w:val="center"/>
          </w:tcPr>
          <w:p w14:paraId="334E2A2F" w14:textId="3852CFC8" w:rsidR="00FC296F" w:rsidRPr="00B67973" w:rsidRDefault="00662470" w:rsidP="00213CDD">
            <w:pPr>
              <w:rPr>
                <w:sz w:val="22"/>
                <w:szCs w:val="20"/>
              </w:rPr>
            </w:pPr>
            <w:r>
              <w:rPr>
                <w:sz w:val="22"/>
                <w:szCs w:val="20"/>
              </w:rPr>
              <w:t>Earmarked Reserve for Climate Change initiatives</w:t>
            </w:r>
          </w:p>
        </w:tc>
        <w:tc>
          <w:tcPr>
            <w:tcW w:w="1430" w:type="dxa"/>
            <w:vAlign w:val="center"/>
          </w:tcPr>
          <w:p w14:paraId="58B52BB5" w14:textId="31BA95E4" w:rsidR="00FC296F" w:rsidRPr="00B67973" w:rsidRDefault="00662470" w:rsidP="00B67973">
            <w:pPr>
              <w:jc w:val="center"/>
              <w:rPr>
                <w:sz w:val="22"/>
                <w:szCs w:val="20"/>
              </w:rPr>
            </w:pPr>
            <w:r>
              <w:rPr>
                <w:sz w:val="22"/>
                <w:szCs w:val="20"/>
              </w:rPr>
              <w:t>350</w:t>
            </w:r>
          </w:p>
        </w:tc>
        <w:tc>
          <w:tcPr>
            <w:tcW w:w="4835" w:type="dxa"/>
            <w:vAlign w:val="center"/>
          </w:tcPr>
          <w:p w14:paraId="395AA867" w14:textId="45C57D4F" w:rsidR="00FC296F" w:rsidRPr="00B67973" w:rsidRDefault="00CB4F8B" w:rsidP="00474A5A">
            <w:pPr>
              <w:jc w:val="both"/>
              <w:rPr>
                <w:sz w:val="22"/>
                <w:szCs w:val="20"/>
              </w:rPr>
            </w:pPr>
            <w:r>
              <w:rPr>
                <w:sz w:val="22"/>
                <w:szCs w:val="20"/>
              </w:rPr>
              <w:t>Subject to viable business cases linked to Climate Action Plan</w:t>
            </w:r>
          </w:p>
        </w:tc>
      </w:tr>
      <w:tr w:rsidR="00662470" w14:paraId="0850850D" w14:textId="77777777" w:rsidTr="00213CDD">
        <w:trPr>
          <w:trHeight w:val="610"/>
        </w:trPr>
        <w:tc>
          <w:tcPr>
            <w:tcW w:w="3560" w:type="dxa"/>
            <w:vAlign w:val="center"/>
          </w:tcPr>
          <w:p w14:paraId="0863F277" w14:textId="32B4A68E" w:rsidR="00662470" w:rsidRPr="00B67973" w:rsidRDefault="00910569" w:rsidP="00474A5A">
            <w:pPr>
              <w:jc w:val="both"/>
              <w:rPr>
                <w:sz w:val="22"/>
                <w:szCs w:val="20"/>
              </w:rPr>
            </w:pPr>
            <w:r>
              <w:rPr>
                <w:sz w:val="22"/>
                <w:szCs w:val="20"/>
              </w:rPr>
              <w:t>Earmarked Reserve to prepare for new Waste Transfer Station</w:t>
            </w:r>
          </w:p>
        </w:tc>
        <w:tc>
          <w:tcPr>
            <w:tcW w:w="1430" w:type="dxa"/>
            <w:vAlign w:val="center"/>
          </w:tcPr>
          <w:p w14:paraId="7D597207" w14:textId="55844E3F" w:rsidR="00662470" w:rsidRPr="00B67973" w:rsidRDefault="00910569" w:rsidP="00B67973">
            <w:pPr>
              <w:jc w:val="center"/>
              <w:rPr>
                <w:sz w:val="22"/>
                <w:szCs w:val="20"/>
              </w:rPr>
            </w:pPr>
            <w:r>
              <w:rPr>
                <w:sz w:val="22"/>
                <w:szCs w:val="20"/>
              </w:rPr>
              <w:t>274</w:t>
            </w:r>
          </w:p>
        </w:tc>
        <w:tc>
          <w:tcPr>
            <w:tcW w:w="4835" w:type="dxa"/>
            <w:vAlign w:val="center"/>
          </w:tcPr>
          <w:p w14:paraId="6B787C96" w14:textId="7E57E1C2" w:rsidR="00662470" w:rsidRPr="00B67973" w:rsidRDefault="00164D37" w:rsidP="00164D37">
            <w:pPr>
              <w:rPr>
                <w:sz w:val="22"/>
                <w:szCs w:val="20"/>
              </w:rPr>
            </w:pPr>
            <w:r>
              <w:rPr>
                <w:sz w:val="22"/>
                <w:szCs w:val="20"/>
              </w:rPr>
              <w:t>Revenue cost of initial feasibility and development work</w:t>
            </w:r>
          </w:p>
        </w:tc>
      </w:tr>
    </w:tbl>
    <w:p w14:paraId="25C124D0" w14:textId="77777777" w:rsidR="00FC296F" w:rsidRDefault="00FC296F" w:rsidP="00474A5A">
      <w:pPr>
        <w:ind w:left="720"/>
        <w:jc w:val="both"/>
      </w:pPr>
    </w:p>
    <w:p w14:paraId="5A67771C" w14:textId="657E2E0E" w:rsidR="006E05BD" w:rsidRDefault="006E05BD" w:rsidP="3DC7D0E8">
      <w:pPr>
        <w:ind w:left="720" w:hanging="720"/>
        <w:jc w:val="both"/>
      </w:pPr>
      <w:r>
        <w:t>5.4</w:t>
      </w:r>
      <w:r>
        <w:tab/>
        <w:t xml:space="preserve">The Council’s Reserve Statement, as at </w:t>
      </w:r>
      <w:r w:rsidR="2098CC67">
        <w:t>Nove</w:t>
      </w:r>
      <w:r>
        <w:t>mber 202</w:t>
      </w:r>
      <w:r w:rsidR="00AB29FD">
        <w:t>5</w:t>
      </w:r>
      <w:r w:rsidR="00AA1E7E">
        <w:t>, accounting for the information contained within this paper, is detailed in Appendix 1.</w:t>
      </w:r>
    </w:p>
    <w:p w14:paraId="2BAAFCC0" w14:textId="209700B4" w:rsidR="00D73341" w:rsidRDefault="00D965CB" w:rsidP="3DC7D0E8">
      <w:pPr>
        <w:ind w:left="720" w:hanging="720"/>
        <w:jc w:val="both"/>
      </w:pPr>
      <w:r>
        <w:rPr>
          <w:rFonts w:ascii="Arial" w:eastAsia="Arial" w:hAnsi="Arial" w:cs="Arial"/>
          <w:szCs w:val="24"/>
        </w:rPr>
        <w:t>5.</w:t>
      </w:r>
      <w:r w:rsidR="00AA1E7E">
        <w:rPr>
          <w:rFonts w:ascii="Arial" w:eastAsia="Arial" w:hAnsi="Arial" w:cs="Arial"/>
          <w:szCs w:val="24"/>
        </w:rPr>
        <w:t>5</w:t>
      </w:r>
      <w:r>
        <w:rPr>
          <w:rFonts w:ascii="Arial" w:eastAsia="Arial" w:hAnsi="Arial" w:cs="Arial"/>
          <w:szCs w:val="24"/>
        </w:rPr>
        <w:t xml:space="preserve"> </w:t>
      </w:r>
      <w:r>
        <w:rPr>
          <w:rFonts w:ascii="Arial" w:eastAsia="Arial" w:hAnsi="Arial" w:cs="Arial"/>
          <w:szCs w:val="24"/>
        </w:rPr>
        <w:tab/>
      </w:r>
      <w:r w:rsidR="7351BF25" w:rsidRPr="3DC7D0E8">
        <w:rPr>
          <w:rFonts w:ascii="Arial" w:eastAsia="Arial" w:hAnsi="Arial" w:cs="Arial"/>
          <w:szCs w:val="24"/>
        </w:rPr>
        <w:t xml:space="preserve">With </w:t>
      </w:r>
      <w:r>
        <w:rPr>
          <w:rFonts w:ascii="Arial" w:eastAsia="Arial" w:hAnsi="Arial" w:cs="Arial"/>
          <w:szCs w:val="24"/>
        </w:rPr>
        <w:t xml:space="preserve">all relevant </w:t>
      </w:r>
      <w:r w:rsidR="7351BF25" w:rsidRPr="3DC7D0E8">
        <w:rPr>
          <w:rFonts w:ascii="Arial" w:eastAsia="Arial" w:hAnsi="Arial" w:cs="Arial"/>
          <w:szCs w:val="24"/>
        </w:rPr>
        <w:t xml:space="preserve">actions taken, and with the </w:t>
      </w:r>
      <w:r>
        <w:rPr>
          <w:rFonts w:ascii="Arial" w:eastAsia="Arial" w:hAnsi="Arial" w:cs="Arial"/>
          <w:szCs w:val="24"/>
        </w:rPr>
        <w:t>p</w:t>
      </w:r>
      <w:r w:rsidR="7351BF25" w:rsidRPr="3DC7D0E8">
        <w:rPr>
          <w:rFonts w:ascii="Arial" w:eastAsia="Arial" w:hAnsi="Arial" w:cs="Arial"/>
          <w:szCs w:val="24"/>
        </w:rPr>
        <w:t xml:space="preserve">rinciples detailed </w:t>
      </w:r>
      <w:r>
        <w:rPr>
          <w:rFonts w:ascii="Arial" w:eastAsia="Arial" w:hAnsi="Arial" w:cs="Arial"/>
          <w:szCs w:val="24"/>
        </w:rPr>
        <w:t xml:space="preserve">in this paper </w:t>
      </w:r>
      <w:r w:rsidR="7351BF25" w:rsidRPr="3DC7D0E8">
        <w:rPr>
          <w:rFonts w:ascii="Arial" w:eastAsia="Arial" w:hAnsi="Arial" w:cs="Arial"/>
          <w:szCs w:val="24"/>
        </w:rPr>
        <w:t xml:space="preserve">consistently applied, as </w:t>
      </w:r>
      <w:r w:rsidR="00E61BD4">
        <w:rPr>
          <w:rFonts w:ascii="Arial" w:eastAsia="Arial" w:hAnsi="Arial" w:cs="Arial"/>
          <w:szCs w:val="24"/>
        </w:rPr>
        <w:t xml:space="preserve">the Council’s </w:t>
      </w:r>
      <w:r w:rsidR="7351BF25" w:rsidRPr="3DC7D0E8">
        <w:rPr>
          <w:rFonts w:ascii="Arial" w:eastAsia="Arial" w:hAnsi="Arial" w:cs="Arial"/>
          <w:szCs w:val="24"/>
        </w:rPr>
        <w:t xml:space="preserve">Section 151 Officer, I </w:t>
      </w:r>
      <w:r w:rsidR="00E61BD4">
        <w:rPr>
          <w:rFonts w:ascii="Arial" w:eastAsia="Arial" w:hAnsi="Arial" w:cs="Arial"/>
          <w:szCs w:val="24"/>
        </w:rPr>
        <w:t xml:space="preserve">assess </w:t>
      </w:r>
      <w:r w:rsidR="7351BF25" w:rsidRPr="3DC7D0E8">
        <w:rPr>
          <w:rFonts w:ascii="Arial" w:eastAsia="Arial" w:hAnsi="Arial" w:cs="Arial"/>
          <w:szCs w:val="24"/>
        </w:rPr>
        <w:t xml:space="preserve">the </w:t>
      </w:r>
      <w:r w:rsidR="00E61BD4">
        <w:rPr>
          <w:rFonts w:ascii="Arial" w:eastAsia="Arial" w:hAnsi="Arial" w:cs="Arial"/>
          <w:szCs w:val="24"/>
        </w:rPr>
        <w:t xml:space="preserve">retained </w:t>
      </w:r>
      <w:r w:rsidR="7351BF25" w:rsidRPr="3DC7D0E8">
        <w:rPr>
          <w:rFonts w:ascii="Arial" w:eastAsia="Arial" w:hAnsi="Arial" w:cs="Arial"/>
          <w:szCs w:val="24"/>
        </w:rPr>
        <w:t>reserve</w:t>
      </w:r>
      <w:r w:rsidR="00E61BD4">
        <w:rPr>
          <w:rFonts w:ascii="Arial" w:eastAsia="Arial" w:hAnsi="Arial" w:cs="Arial"/>
          <w:szCs w:val="24"/>
        </w:rPr>
        <w:t xml:space="preserve"> levels</w:t>
      </w:r>
      <w:r w:rsidR="7351BF25" w:rsidRPr="3DC7D0E8">
        <w:rPr>
          <w:rFonts w:ascii="Arial" w:eastAsia="Arial" w:hAnsi="Arial" w:cs="Arial"/>
          <w:szCs w:val="24"/>
        </w:rPr>
        <w:t xml:space="preserve"> to be adequate.</w:t>
      </w:r>
    </w:p>
    <w:p w14:paraId="3D37882B" w14:textId="7A12D0ED" w:rsidR="009A5F39" w:rsidRDefault="009A5F39" w:rsidP="00D65683">
      <w:pPr>
        <w:pStyle w:val="ListParagraph"/>
        <w:ind w:left="709"/>
      </w:pPr>
    </w:p>
    <w:p w14:paraId="67E8A708" w14:textId="2858276D" w:rsidR="0086130F" w:rsidRDefault="00601EB5" w:rsidP="007E40D7">
      <w:pPr>
        <w:ind w:left="709" w:hanging="709"/>
      </w:pPr>
      <w:r>
        <w:t xml:space="preserve"> </w:t>
      </w:r>
      <w:r w:rsidR="00145120">
        <w:t xml:space="preserve"> </w:t>
      </w:r>
      <w:r w:rsidR="009379B4">
        <w:t xml:space="preserve"> </w:t>
      </w:r>
    </w:p>
    <w:p w14:paraId="6943BBE2" w14:textId="77777777" w:rsidR="000158DC" w:rsidRPr="000158DC" w:rsidRDefault="000158DC" w:rsidP="007E40D7">
      <w:pPr>
        <w:ind w:left="709" w:hanging="709"/>
        <w:rPr>
          <w:sz w:val="8"/>
          <w:szCs w:val="8"/>
        </w:rPr>
      </w:pPr>
    </w:p>
    <w:p w14:paraId="3DDE96B6" w14:textId="65182E5C" w:rsidR="00B0244B" w:rsidRPr="00BB4A58" w:rsidRDefault="00B0244B" w:rsidP="00CE70FC">
      <w:pPr>
        <w:pStyle w:val="Heading3"/>
        <w:spacing w:after="240"/>
      </w:pPr>
      <w:r w:rsidRPr="00BB4A58">
        <w:t>Appendices</w:t>
      </w:r>
    </w:p>
    <w:p w14:paraId="721AB214" w14:textId="0297D91E" w:rsidR="00B0244B" w:rsidRDefault="00B0244B" w:rsidP="00F2113D">
      <w:pPr>
        <w:pStyle w:val="Heading4"/>
        <w:spacing w:after="240"/>
      </w:pPr>
      <w:r>
        <w:t xml:space="preserve">Appendix 1:  </w:t>
      </w:r>
      <w:r w:rsidR="00D01D2E">
        <w:t xml:space="preserve">Council Reserve Statement as at </w:t>
      </w:r>
      <w:r w:rsidR="00F2113D">
        <w:t xml:space="preserve">30 </w:t>
      </w:r>
      <w:r w:rsidR="28B8F665">
        <w:t>November</w:t>
      </w:r>
      <w:r w:rsidR="00D01D2E">
        <w:t xml:space="preserve"> 202</w:t>
      </w:r>
      <w:r w:rsidR="00AD2D0B">
        <w:t>5</w:t>
      </w:r>
      <w:r w:rsidR="00C5457A">
        <w:t xml:space="preserve"> </w:t>
      </w:r>
    </w:p>
    <w:p w14:paraId="61B6162C" w14:textId="77777777" w:rsidR="00F2113D" w:rsidRDefault="00F2113D" w:rsidP="00F2113D"/>
    <w:p w14:paraId="6825D60F" w14:textId="77777777" w:rsidR="00F2113D" w:rsidRDefault="00F2113D" w:rsidP="00F2113D"/>
    <w:p w14:paraId="0E3BE9B1" w14:textId="77777777" w:rsidR="00F2113D" w:rsidRDefault="00F2113D" w:rsidP="00F2113D"/>
    <w:p w14:paraId="0CD4E89A" w14:textId="77777777" w:rsidR="00F2113D" w:rsidRDefault="00F2113D" w:rsidP="00F2113D"/>
    <w:p w14:paraId="22AAE1CD" w14:textId="77777777" w:rsidR="00F2113D" w:rsidRPr="00F2113D" w:rsidRDefault="00F2113D" w:rsidP="00F2113D"/>
    <w:tbl>
      <w:tblPr>
        <w:tblStyle w:val="TableGrid"/>
        <w:tblW w:w="10553" w:type="dxa"/>
        <w:tblLook w:val="04A0" w:firstRow="1" w:lastRow="0" w:firstColumn="1" w:lastColumn="0" w:noHBand="0" w:noVBand="1"/>
      </w:tblPr>
      <w:tblGrid>
        <w:gridCol w:w="2714"/>
        <w:gridCol w:w="4321"/>
        <w:gridCol w:w="3518"/>
      </w:tblGrid>
      <w:tr w:rsidR="00D444B4" w:rsidRPr="00152538" w14:paraId="57BFF11F" w14:textId="77777777" w:rsidTr="1C89F4B3">
        <w:trPr>
          <w:trHeight w:val="746"/>
        </w:trPr>
        <w:tc>
          <w:tcPr>
            <w:tcW w:w="2714" w:type="dxa"/>
          </w:tcPr>
          <w:p w14:paraId="15F61D91" w14:textId="3F64F886" w:rsidR="00D444B4" w:rsidRPr="00152538" w:rsidRDefault="00D444B4" w:rsidP="00CE70FC">
            <w:pPr>
              <w:spacing w:after="240"/>
              <w:rPr>
                <w:b/>
                <w:bCs/>
              </w:rPr>
            </w:pPr>
            <w:r w:rsidRPr="00152538">
              <w:rPr>
                <w:b/>
                <w:bCs/>
              </w:rPr>
              <w:t xml:space="preserve">Report </w:t>
            </w:r>
            <w:r w:rsidR="008D53A9" w:rsidRPr="00152538">
              <w:rPr>
                <w:b/>
                <w:bCs/>
              </w:rPr>
              <w:t>clearance:</w:t>
            </w:r>
          </w:p>
        </w:tc>
        <w:tc>
          <w:tcPr>
            <w:tcW w:w="4321" w:type="dxa"/>
          </w:tcPr>
          <w:p w14:paraId="1DD8FA27" w14:textId="1305A577" w:rsidR="00D444B4" w:rsidRPr="00152538" w:rsidRDefault="008D53A9" w:rsidP="00CE70FC">
            <w:pPr>
              <w:spacing w:after="240"/>
              <w:rPr>
                <w:b/>
                <w:bCs/>
              </w:rPr>
            </w:pPr>
            <w:r w:rsidRPr="00152538">
              <w:rPr>
                <w:b/>
                <w:bCs/>
              </w:rPr>
              <w:t xml:space="preserve">This </w:t>
            </w:r>
            <w:r w:rsidR="005D242F">
              <w:rPr>
                <w:b/>
                <w:bCs/>
              </w:rPr>
              <w:t xml:space="preserve">Policy </w:t>
            </w:r>
            <w:r w:rsidRPr="00152538">
              <w:rPr>
                <w:b/>
                <w:bCs/>
              </w:rPr>
              <w:t>has been reviewed and approved by:</w:t>
            </w:r>
          </w:p>
        </w:tc>
        <w:tc>
          <w:tcPr>
            <w:tcW w:w="3518" w:type="dxa"/>
          </w:tcPr>
          <w:p w14:paraId="28015FAB" w14:textId="7A91CF45" w:rsidR="00D444B4" w:rsidRPr="00152538" w:rsidRDefault="008D53A9" w:rsidP="00CE70FC">
            <w:pPr>
              <w:spacing w:after="240"/>
              <w:rPr>
                <w:b/>
                <w:bCs/>
              </w:rPr>
            </w:pPr>
            <w:r w:rsidRPr="00152538">
              <w:rPr>
                <w:b/>
                <w:bCs/>
              </w:rPr>
              <w:t>Date:</w:t>
            </w:r>
          </w:p>
        </w:tc>
      </w:tr>
      <w:tr w:rsidR="00D444B4" w14:paraId="1556C12E" w14:textId="77777777" w:rsidTr="1C89F4B3">
        <w:trPr>
          <w:trHeight w:val="492"/>
        </w:trPr>
        <w:tc>
          <w:tcPr>
            <w:tcW w:w="2714" w:type="dxa"/>
          </w:tcPr>
          <w:p w14:paraId="79920F78" w14:textId="29E6F5FF" w:rsidR="00D444B4" w:rsidRDefault="00152538" w:rsidP="00CE70FC">
            <w:pPr>
              <w:spacing w:after="240"/>
            </w:pPr>
            <w:r>
              <w:t>Director of Finance</w:t>
            </w:r>
          </w:p>
        </w:tc>
        <w:tc>
          <w:tcPr>
            <w:tcW w:w="4321" w:type="dxa"/>
          </w:tcPr>
          <w:p w14:paraId="73686D4B" w14:textId="511D50B1" w:rsidR="00D444B4" w:rsidRDefault="00152538" w:rsidP="00CE70FC">
            <w:pPr>
              <w:spacing w:after="240"/>
            </w:pPr>
            <w:r>
              <w:t>Malcolm Coe</w:t>
            </w:r>
          </w:p>
        </w:tc>
        <w:tc>
          <w:tcPr>
            <w:tcW w:w="3518" w:type="dxa"/>
          </w:tcPr>
          <w:p w14:paraId="0835DC72" w14:textId="382FF387" w:rsidR="00D444B4" w:rsidRDefault="00F2113D" w:rsidP="00152538">
            <w:pPr>
              <w:spacing w:after="240"/>
              <w:jc w:val="center"/>
            </w:pPr>
            <w:r>
              <w:t xml:space="preserve">30 </w:t>
            </w:r>
            <w:r w:rsidR="0F27E6B0">
              <w:t>November 202</w:t>
            </w:r>
            <w:r w:rsidR="00AD2D0B">
              <w:t>5</w:t>
            </w:r>
          </w:p>
        </w:tc>
      </w:tr>
    </w:tbl>
    <w:p w14:paraId="56EAC50F" w14:textId="3CCE8505" w:rsidR="00A00C9F" w:rsidRDefault="00A00C9F" w:rsidP="001A6384"/>
    <w:p w14:paraId="5C3B9332" w14:textId="77777777" w:rsidR="001A6384" w:rsidRDefault="001A6384" w:rsidP="001A6384"/>
    <w:p w14:paraId="0BA8A5B3" w14:textId="5FE981B1" w:rsidR="001A6384" w:rsidRDefault="001A6384">
      <w:pPr>
        <w:spacing w:line="264" w:lineRule="auto"/>
      </w:pPr>
      <w:r>
        <w:br w:type="page"/>
      </w:r>
    </w:p>
    <w:p w14:paraId="1C214FF3" w14:textId="24E85FFB" w:rsidR="001A6384" w:rsidRDefault="008430CA" w:rsidP="001A6384">
      <w:r w:rsidRPr="008430CA">
        <w:drawing>
          <wp:inline distT="0" distB="0" distL="0" distR="0" wp14:anchorId="01B6DC5B" wp14:editId="5B0C29B8">
            <wp:extent cx="6426679" cy="9070736"/>
            <wp:effectExtent l="0" t="0" r="0" b="0"/>
            <wp:docPr id="828763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763597" name=""/>
                    <pic:cNvPicPr/>
                  </pic:nvPicPr>
                  <pic:blipFill>
                    <a:blip r:embed="rId12"/>
                    <a:stretch>
                      <a:fillRect/>
                    </a:stretch>
                  </pic:blipFill>
                  <pic:spPr>
                    <a:xfrm>
                      <a:off x="0" y="0"/>
                      <a:ext cx="6449652" cy="9103160"/>
                    </a:xfrm>
                    <a:prstGeom prst="rect">
                      <a:avLst/>
                    </a:prstGeom>
                  </pic:spPr>
                </pic:pic>
              </a:graphicData>
            </a:graphic>
          </wp:inline>
        </w:drawing>
      </w:r>
    </w:p>
    <w:sectPr w:rsidR="001A6384" w:rsidSect="00B30DE4">
      <w:headerReference w:type="even" r:id="rId13"/>
      <w:headerReference w:type="default" r:id="rId14"/>
      <w:footerReference w:type="even" r:id="rId15"/>
      <w:pgSz w:w="11906" w:h="16838" w:code="9"/>
      <w:pgMar w:top="720" w:right="720" w:bottom="720" w:left="720"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326FF" w14:textId="77777777" w:rsidR="007A4CF5" w:rsidRDefault="007A4CF5" w:rsidP="008952DF">
      <w:r>
        <w:separator/>
      </w:r>
    </w:p>
    <w:p w14:paraId="3DCBC693" w14:textId="77777777" w:rsidR="007A4CF5" w:rsidRDefault="007A4CF5"/>
  </w:endnote>
  <w:endnote w:type="continuationSeparator" w:id="0">
    <w:p w14:paraId="536E598A" w14:textId="77777777" w:rsidR="007A4CF5" w:rsidRDefault="007A4CF5" w:rsidP="008952DF">
      <w:r>
        <w:continuationSeparator/>
      </w:r>
    </w:p>
    <w:p w14:paraId="4B6DF34D" w14:textId="77777777" w:rsidR="007A4CF5" w:rsidRDefault="007A4C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0DE29" w14:textId="77777777" w:rsidR="003E72CE" w:rsidRDefault="003E72CE">
    <w:pPr>
      <w:spacing w:after="0" w:line="240" w:lineRule="auto"/>
    </w:pPr>
  </w:p>
  <w:p w14:paraId="18A7B3B9" w14:textId="77777777" w:rsidR="003E72CE" w:rsidRDefault="003E72CE"/>
  <w:p w14:paraId="74A6781A" w14:textId="77777777" w:rsidR="003E72CE" w:rsidRDefault="003E72CE"/>
  <w:p w14:paraId="315A6A9E" w14:textId="77777777" w:rsidR="003E72CE" w:rsidRDefault="003E72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317FA" w14:textId="77777777" w:rsidR="007A4CF5" w:rsidRDefault="007A4CF5" w:rsidP="008952DF">
      <w:r>
        <w:separator/>
      </w:r>
    </w:p>
    <w:p w14:paraId="33EB9987" w14:textId="77777777" w:rsidR="007A4CF5" w:rsidRDefault="007A4CF5"/>
  </w:footnote>
  <w:footnote w:type="continuationSeparator" w:id="0">
    <w:p w14:paraId="39210007" w14:textId="77777777" w:rsidR="007A4CF5" w:rsidRDefault="007A4CF5" w:rsidP="008952DF">
      <w:r>
        <w:continuationSeparator/>
      </w:r>
    </w:p>
    <w:p w14:paraId="420ACCE8" w14:textId="77777777" w:rsidR="007A4CF5" w:rsidRDefault="007A4C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7A856" w14:textId="77777777" w:rsidR="003E72CE" w:rsidRDefault="003E72CE">
    <w:pPr>
      <w:spacing w:after="0" w:line="240" w:lineRule="auto"/>
    </w:pPr>
  </w:p>
  <w:p w14:paraId="3CC1D7BD" w14:textId="77777777" w:rsidR="003E72CE" w:rsidRDefault="003E72CE"/>
  <w:p w14:paraId="737E4819" w14:textId="77777777" w:rsidR="003E72CE" w:rsidRDefault="003E72CE"/>
  <w:p w14:paraId="4EA0CA23" w14:textId="77777777" w:rsidR="003E72CE" w:rsidRDefault="003E72C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E277" w14:textId="77777777" w:rsidR="003E72CE" w:rsidRDefault="003E72CE">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4C9"/>
    <w:multiLevelType w:val="hybridMultilevel"/>
    <w:tmpl w:val="AD1A3D64"/>
    <w:lvl w:ilvl="0" w:tplc="40FA289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4E15ADD"/>
    <w:multiLevelType w:val="hybridMultilevel"/>
    <w:tmpl w:val="36CA7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11CB0"/>
    <w:multiLevelType w:val="hybridMultilevel"/>
    <w:tmpl w:val="0A968C16"/>
    <w:lvl w:ilvl="0" w:tplc="79AC4C28">
      <w:start w:val="1"/>
      <w:numFmt w:val="bullet"/>
      <w:lvlText w:val=""/>
      <w:lvlJc w:val="left"/>
      <w:pPr>
        <w:ind w:left="360" w:hanging="360"/>
      </w:pPr>
      <w:rPr>
        <w:rFonts w:ascii="Wingdings" w:hAnsi="Wingdings" w:hint="default"/>
        <w:color w:val="006AF8" w:themeColor="text1" w:themeTint="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203182"/>
    <w:multiLevelType w:val="hybridMultilevel"/>
    <w:tmpl w:val="4D24BFAE"/>
    <w:lvl w:ilvl="0" w:tplc="ECA06E3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D67CE1"/>
    <w:multiLevelType w:val="hybridMultilevel"/>
    <w:tmpl w:val="19DA1A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042B96"/>
    <w:multiLevelType w:val="hybridMultilevel"/>
    <w:tmpl w:val="C2A26DEA"/>
    <w:lvl w:ilvl="0" w:tplc="08090005">
      <w:start w:val="1"/>
      <w:numFmt w:val="bullet"/>
      <w:lvlText w:val=""/>
      <w:lvlJc w:val="left"/>
      <w:pPr>
        <w:ind w:left="360" w:hanging="360"/>
      </w:pPr>
      <w:rPr>
        <w:rFonts w:ascii="Wingdings" w:hAnsi="Wingdings" w:hint="default"/>
        <w:color w:val="0074A6"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48435E"/>
    <w:multiLevelType w:val="hybridMultilevel"/>
    <w:tmpl w:val="54D8586E"/>
    <w:lvl w:ilvl="0" w:tplc="E1448FC2">
      <w:start w:val="1"/>
      <w:numFmt w:val="bullet"/>
      <w:lvlText w:val=""/>
      <w:lvlJc w:val="left"/>
      <w:pPr>
        <w:ind w:left="720" w:hanging="360"/>
      </w:pPr>
      <w:rPr>
        <w:rFonts w:ascii="Wingdings" w:hAnsi="Wingdings" w:hint="default"/>
        <w:color w:val="002F6C"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B1508D"/>
    <w:multiLevelType w:val="hybridMultilevel"/>
    <w:tmpl w:val="2230F466"/>
    <w:lvl w:ilvl="0" w:tplc="B248F9E4">
      <w:start w:val="1"/>
      <w:numFmt w:val="bullet"/>
      <w:lvlText w:val=""/>
      <w:lvlJc w:val="left"/>
      <w:pPr>
        <w:ind w:left="360" w:hanging="360"/>
      </w:pPr>
      <w:rPr>
        <w:rFonts w:ascii="Wingdings" w:hAnsi="Wingdings" w:hint="default"/>
        <w:color w:val="DB3EB1" w:themeColor="accent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326101"/>
    <w:multiLevelType w:val="hybridMultilevel"/>
    <w:tmpl w:val="71A43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5E4132"/>
    <w:multiLevelType w:val="multilevel"/>
    <w:tmpl w:val="A164E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857A48"/>
    <w:multiLevelType w:val="hybridMultilevel"/>
    <w:tmpl w:val="44DE540E"/>
    <w:lvl w:ilvl="0" w:tplc="FCE6C380">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62A4BDF"/>
    <w:multiLevelType w:val="hybridMultilevel"/>
    <w:tmpl w:val="C6264D7C"/>
    <w:lvl w:ilvl="0" w:tplc="A792FEB6">
      <w:start w:val="1"/>
      <w:numFmt w:val="bullet"/>
      <w:lvlText w:val=""/>
      <w:lvlJc w:val="left"/>
      <w:pPr>
        <w:ind w:left="360" w:hanging="360"/>
      </w:pPr>
      <w:rPr>
        <w:rFonts w:ascii="Wingdings" w:hAnsi="Wingdings" w:hint="default"/>
        <w:color w:val="00A74A" w:themeColor="accent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A37C1"/>
    <w:multiLevelType w:val="hybridMultilevel"/>
    <w:tmpl w:val="3956E1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9C80812"/>
    <w:multiLevelType w:val="hybridMultilevel"/>
    <w:tmpl w:val="B3344D44"/>
    <w:lvl w:ilvl="0" w:tplc="CAE0A96E">
      <w:start w:val="1"/>
      <w:numFmt w:val="bullet"/>
      <w:lvlText w:val=""/>
      <w:lvlJc w:val="left"/>
      <w:pPr>
        <w:ind w:left="3600" w:hanging="360"/>
      </w:pPr>
      <w:rPr>
        <w:rFonts w:ascii="Symbol" w:hAnsi="Symbol" w:hint="default"/>
        <w:color w:val="DB3EB1"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9F7943"/>
    <w:multiLevelType w:val="hybridMultilevel"/>
    <w:tmpl w:val="BE160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2A74E1"/>
    <w:multiLevelType w:val="hybridMultilevel"/>
    <w:tmpl w:val="D3784A70"/>
    <w:lvl w:ilvl="0" w:tplc="C5340E14">
      <w:start w:val="1"/>
      <w:numFmt w:val="bullet"/>
      <w:lvlText w:val=""/>
      <w:lvlJc w:val="left"/>
      <w:pPr>
        <w:ind w:left="360" w:hanging="360"/>
      </w:pPr>
      <w:rPr>
        <w:rFonts w:ascii="Wingdings" w:hAnsi="Wingdings" w:hint="default"/>
        <w:color w:val="008CC8" w:themeColor="accent1" w:themeShade="E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A6771D"/>
    <w:multiLevelType w:val="multilevel"/>
    <w:tmpl w:val="D2DC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EA525A"/>
    <w:multiLevelType w:val="multilevel"/>
    <w:tmpl w:val="3E0E002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3BD92604"/>
    <w:multiLevelType w:val="hybridMultilevel"/>
    <w:tmpl w:val="49DE1A2E"/>
    <w:styleLink w:val="ImportedStyle2"/>
    <w:lvl w:ilvl="0" w:tplc="CDACE7A0">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1" w:tplc="8196E090">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2" w:tplc="77986300">
      <w:start w:val="1"/>
      <w:numFmt w:val="lowerRoman"/>
      <w:lvlText w:val="%3."/>
      <w:lvlJc w:val="left"/>
      <w:pPr>
        <w:ind w:left="2520" w:hanging="275"/>
      </w:pPr>
      <w:rPr>
        <w:rFonts w:hAnsi="Arial Unicode MS"/>
        <w:caps w:val="0"/>
        <w:smallCaps w:val="0"/>
        <w:strike w:val="0"/>
        <w:dstrike w:val="0"/>
        <w:color w:val="000000"/>
        <w:spacing w:val="0"/>
        <w:w w:val="100"/>
        <w:kern w:val="0"/>
        <w:position w:val="0"/>
        <w:highlight w:val="none"/>
        <w:vertAlign w:val="baseline"/>
      </w:rPr>
    </w:lvl>
    <w:lvl w:ilvl="3" w:tplc="73AC2FFA">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4" w:tplc="DD5CCE20">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5" w:tplc="1F3A6462">
      <w:start w:val="1"/>
      <w:numFmt w:val="lowerRoman"/>
      <w:lvlText w:val="%6."/>
      <w:lvlJc w:val="left"/>
      <w:pPr>
        <w:ind w:left="4680" w:hanging="275"/>
      </w:pPr>
      <w:rPr>
        <w:rFonts w:hAnsi="Arial Unicode MS"/>
        <w:caps w:val="0"/>
        <w:smallCaps w:val="0"/>
        <w:strike w:val="0"/>
        <w:dstrike w:val="0"/>
        <w:color w:val="000000"/>
        <w:spacing w:val="0"/>
        <w:w w:val="100"/>
        <w:kern w:val="0"/>
        <w:position w:val="0"/>
        <w:highlight w:val="none"/>
        <w:vertAlign w:val="baseline"/>
      </w:rPr>
    </w:lvl>
    <w:lvl w:ilvl="6" w:tplc="5F9E8C62">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7" w:tplc="FBA4854E">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8" w:tplc="A810E072">
      <w:start w:val="1"/>
      <w:numFmt w:val="lowerRoman"/>
      <w:lvlText w:val="%9."/>
      <w:lvlJc w:val="left"/>
      <w:pPr>
        <w:ind w:left="6840" w:hanging="275"/>
      </w:pPr>
      <w:rPr>
        <w:rFonts w:hAnsi="Arial Unicode MS"/>
        <w:caps w:val="0"/>
        <w:smallCaps w:val="0"/>
        <w:strike w:val="0"/>
        <w:dstrike w:val="0"/>
        <w:color w:val="000000"/>
        <w:spacing w:val="0"/>
        <w:w w:val="100"/>
        <w:kern w:val="0"/>
        <w:position w:val="0"/>
        <w:highlight w:val="none"/>
        <w:vertAlign w:val="baseline"/>
      </w:rPr>
    </w:lvl>
  </w:abstractNum>
  <w:abstractNum w:abstractNumId="19" w15:restartNumberingAfterBreak="0">
    <w:nsid w:val="3CA411DA"/>
    <w:multiLevelType w:val="hybridMultilevel"/>
    <w:tmpl w:val="E204406E"/>
    <w:lvl w:ilvl="0" w:tplc="DC5C5D26">
      <w:start w:val="1"/>
      <w:numFmt w:val="bullet"/>
      <w:pStyle w:val="squarebullets"/>
      <w:lvlText w:val=""/>
      <w:lvlJc w:val="left"/>
      <w:pPr>
        <w:ind w:left="360" w:hanging="360"/>
      </w:pPr>
      <w:rPr>
        <w:rFonts w:ascii="Wingdings" w:hAnsi="Wingdings" w:hint="default"/>
        <w:color w:val="002F6C"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D0412AE"/>
    <w:multiLevelType w:val="multilevel"/>
    <w:tmpl w:val="83409B6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83485E"/>
    <w:multiLevelType w:val="multilevel"/>
    <w:tmpl w:val="49DE1A2E"/>
    <w:numStyleLink w:val="ImportedStyle2"/>
  </w:abstractNum>
  <w:abstractNum w:abstractNumId="22" w15:restartNumberingAfterBreak="0">
    <w:nsid w:val="3FDD505F"/>
    <w:multiLevelType w:val="multilevel"/>
    <w:tmpl w:val="DF542310"/>
    <w:lvl w:ilvl="0">
      <w:start w:val="4"/>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15:restartNumberingAfterBreak="0">
    <w:nsid w:val="41E47703"/>
    <w:multiLevelType w:val="hybridMultilevel"/>
    <w:tmpl w:val="FFE48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305623"/>
    <w:multiLevelType w:val="hybridMultilevel"/>
    <w:tmpl w:val="917839E0"/>
    <w:lvl w:ilvl="0" w:tplc="E50205AA">
      <w:start w:val="4"/>
      <w:numFmt w:val="bullet"/>
      <w:lvlText w:val=""/>
      <w:lvlJc w:val="left"/>
      <w:pPr>
        <w:ind w:left="1080" w:hanging="360"/>
      </w:pPr>
      <w:rPr>
        <w:rFonts w:ascii="Symbol" w:eastAsiaTheme="minorEastAsia"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BF0D6DB"/>
    <w:multiLevelType w:val="hybridMultilevel"/>
    <w:tmpl w:val="DF88F354"/>
    <w:lvl w:ilvl="0" w:tplc="874AC4F0">
      <w:start w:val="1"/>
      <w:numFmt w:val="lowerLetter"/>
      <w:lvlText w:val="%1)"/>
      <w:lvlJc w:val="left"/>
      <w:pPr>
        <w:ind w:left="1440" w:hanging="360"/>
      </w:pPr>
    </w:lvl>
    <w:lvl w:ilvl="1" w:tplc="A09E39C8">
      <w:start w:val="1"/>
      <w:numFmt w:val="lowerLetter"/>
      <w:lvlText w:val="%2."/>
      <w:lvlJc w:val="left"/>
      <w:pPr>
        <w:ind w:left="2160" w:hanging="360"/>
      </w:pPr>
    </w:lvl>
    <w:lvl w:ilvl="2" w:tplc="FE80345C">
      <w:start w:val="1"/>
      <w:numFmt w:val="lowerRoman"/>
      <w:lvlText w:val="%3."/>
      <w:lvlJc w:val="right"/>
      <w:pPr>
        <w:ind w:left="2880" w:hanging="180"/>
      </w:pPr>
    </w:lvl>
    <w:lvl w:ilvl="3" w:tplc="349A7FA8">
      <w:start w:val="1"/>
      <w:numFmt w:val="decimal"/>
      <w:lvlText w:val="%4."/>
      <w:lvlJc w:val="left"/>
      <w:pPr>
        <w:ind w:left="3600" w:hanging="360"/>
      </w:pPr>
    </w:lvl>
    <w:lvl w:ilvl="4" w:tplc="B7CE0C78">
      <w:start w:val="1"/>
      <w:numFmt w:val="lowerLetter"/>
      <w:lvlText w:val="%5."/>
      <w:lvlJc w:val="left"/>
      <w:pPr>
        <w:ind w:left="4320" w:hanging="360"/>
      </w:pPr>
    </w:lvl>
    <w:lvl w:ilvl="5" w:tplc="D548C214">
      <w:start w:val="1"/>
      <w:numFmt w:val="lowerRoman"/>
      <w:lvlText w:val="%6."/>
      <w:lvlJc w:val="right"/>
      <w:pPr>
        <w:ind w:left="5040" w:hanging="180"/>
      </w:pPr>
    </w:lvl>
    <w:lvl w:ilvl="6" w:tplc="F39E85FC">
      <w:start w:val="1"/>
      <w:numFmt w:val="decimal"/>
      <w:lvlText w:val="%7."/>
      <w:lvlJc w:val="left"/>
      <w:pPr>
        <w:ind w:left="5760" w:hanging="360"/>
      </w:pPr>
    </w:lvl>
    <w:lvl w:ilvl="7" w:tplc="84EE22FA">
      <w:start w:val="1"/>
      <w:numFmt w:val="lowerLetter"/>
      <w:lvlText w:val="%8."/>
      <w:lvlJc w:val="left"/>
      <w:pPr>
        <w:ind w:left="6480" w:hanging="360"/>
      </w:pPr>
    </w:lvl>
    <w:lvl w:ilvl="8" w:tplc="4DCAB40C">
      <w:start w:val="1"/>
      <w:numFmt w:val="lowerRoman"/>
      <w:lvlText w:val="%9."/>
      <w:lvlJc w:val="right"/>
      <w:pPr>
        <w:ind w:left="7200" w:hanging="180"/>
      </w:pPr>
    </w:lvl>
  </w:abstractNum>
  <w:abstractNum w:abstractNumId="26" w15:restartNumberingAfterBreak="0">
    <w:nsid w:val="4C965B1A"/>
    <w:multiLevelType w:val="multilevel"/>
    <w:tmpl w:val="775EC19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2E7B8E"/>
    <w:multiLevelType w:val="hybridMultilevel"/>
    <w:tmpl w:val="8C703082"/>
    <w:lvl w:ilvl="0" w:tplc="72CA1818">
      <w:start w:val="1"/>
      <w:numFmt w:val="decimal"/>
      <w:lvlText w:val="%1."/>
      <w:lvlJc w:val="left"/>
      <w:pPr>
        <w:ind w:left="933" w:hanging="360"/>
      </w:pPr>
      <w:rPr>
        <w:rFonts w:ascii="Arial" w:eastAsia="Arial" w:hAnsi="Arial" w:cs="Arial" w:hint="default"/>
        <w:color w:val="000080"/>
        <w:spacing w:val="-1"/>
        <w:w w:val="100"/>
        <w:sz w:val="22"/>
        <w:szCs w:val="22"/>
        <w:lang w:val="en-GB" w:eastAsia="en-GB" w:bidi="en-GB"/>
      </w:rPr>
    </w:lvl>
    <w:lvl w:ilvl="1" w:tplc="B86443F8">
      <w:numFmt w:val="bullet"/>
      <w:lvlText w:val="•"/>
      <w:lvlJc w:val="left"/>
      <w:pPr>
        <w:ind w:left="1864" w:hanging="360"/>
      </w:pPr>
      <w:rPr>
        <w:rFonts w:hint="default"/>
        <w:lang w:val="en-GB" w:eastAsia="en-GB" w:bidi="en-GB"/>
      </w:rPr>
    </w:lvl>
    <w:lvl w:ilvl="2" w:tplc="F0F8F858">
      <w:numFmt w:val="bullet"/>
      <w:lvlText w:val="•"/>
      <w:lvlJc w:val="left"/>
      <w:pPr>
        <w:ind w:left="2789" w:hanging="360"/>
      </w:pPr>
      <w:rPr>
        <w:rFonts w:hint="default"/>
        <w:lang w:val="en-GB" w:eastAsia="en-GB" w:bidi="en-GB"/>
      </w:rPr>
    </w:lvl>
    <w:lvl w:ilvl="3" w:tplc="D7068D16">
      <w:numFmt w:val="bullet"/>
      <w:lvlText w:val="•"/>
      <w:lvlJc w:val="left"/>
      <w:pPr>
        <w:ind w:left="3713" w:hanging="360"/>
      </w:pPr>
      <w:rPr>
        <w:rFonts w:hint="default"/>
        <w:lang w:val="en-GB" w:eastAsia="en-GB" w:bidi="en-GB"/>
      </w:rPr>
    </w:lvl>
    <w:lvl w:ilvl="4" w:tplc="F4A4DDD4">
      <w:numFmt w:val="bullet"/>
      <w:lvlText w:val="•"/>
      <w:lvlJc w:val="left"/>
      <w:pPr>
        <w:ind w:left="4638" w:hanging="360"/>
      </w:pPr>
      <w:rPr>
        <w:rFonts w:hint="default"/>
        <w:lang w:val="en-GB" w:eastAsia="en-GB" w:bidi="en-GB"/>
      </w:rPr>
    </w:lvl>
    <w:lvl w:ilvl="5" w:tplc="C35886F2">
      <w:numFmt w:val="bullet"/>
      <w:lvlText w:val="•"/>
      <w:lvlJc w:val="left"/>
      <w:pPr>
        <w:ind w:left="5563" w:hanging="360"/>
      </w:pPr>
      <w:rPr>
        <w:rFonts w:hint="default"/>
        <w:lang w:val="en-GB" w:eastAsia="en-GB" w:bidi="en-GB"/>
      </w:rPr>
    </w:lvl>
    <w:lvl w:ilvl="6" w:tplc="7DBE7214">
      <w:numFmt w:val="bullet"/>
      <w:lvlText w:val="•"/>
      <w:lvlJc w:val="left"/>
      <w:pPr>
        <w:ind w:left="6487" w:hanging="360"/>
      </w:pPr>
      <w:rPr>
        <w:rFonts w:hint="default"/>
        <w:lang w:val="en-GB" w:eastAsia="en-GB" w:bidi="en-GB"/>
      </w:rPr>
    </w:lvl>
    <w:lvl w:ilvl="7" w:tplc="084A5318">
      <w:numFmt w:val="bullet"/>
      <w:lvlText w:val="•"/>
      <w:lvlJc w:val="left"/>
      <w:pPr>
        <w:ind w:left="7412" w:hanging="360"/>
      </w:pPr>
      <w:rPr>
        <w:rFonts w:hint="default"/>
        <w:lang w:val="en-GB" w:eastAsia="en-GB" w:bidi="en-GB"/>
      </w:rPr>
    </w:lvl>
    <w:lvl w:ilvl="8" w:tplc="2B048F8E">
      <w:numFmt w:val="bullet"/>
      <w:lvlText w:val="•"/>
      <w:lvlJc w:val="left"/>
      <w:pPr>
        <w:ind w:left="8337" w:hanging="360"/>
      </w:pPr>
      <w:rPr>
        <w:rFonts w:hint="default"/>
        <w:lang w:val="en-GB" w:eastAsia="en-GB" w:bidi="en-GB"/>
      </w:rPr>
    </w:lvl>
  </w:abstractNum>
  <w:abstractNum w:abstractNumId="28" w15:restartNumberingAfterBreak="0">
    <w:nsid w:val="5BF457AD"/>
    <w:multiLevelType w:val="multilevel"/>
    <w:tmpl w:val="910028F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D9034E2"/>
    <w:multiLevelType w:val="hybridMultilevel"/>
    <w:tmpl w:val="FAB6BCF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627C7B1A"/>
    <w:multiLevelType w:val="hybridMultilevel"/>
    <w:tmpl w:val="C51A08F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42F2C0B"/>
    <w:multiLevelType w:val="hybridMultilevel"/>
    <w:tmpl w:val="75FA6FC8"/>
    <w:lvl w:ilvl="0" w:tplc="F77A8484">
      <w:start w:val="1"/>
      <w:numFmt w:val="bullet"/>
      <w:lvlText w:val=""/>
      <w:lvlJc w:val="left"/>
      <w:pPr>
        <w:ind w:left="360" w:hanging="360"/>
      </w:pPr>
      <w:rPr>
        <w:rFonts w:ascii="Wingdings" w:hAnsi="Wingdings" w:hint="default"/>
        <w:color w:val="0074A6"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477776E"/>
    <w:multiLevelType w:val="hybridMultilevel"/>
    <w:tmpl w:val="FA784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61D42C5"/>
    <w:multiLevelType w:val="hybridMultilevel"/>
    <w:tmpl w:val="60D06414"/>
    <w:lvl w:ilvl="0" w:tplc="F1D4FB74">
      <w:numFmt w:val="bullet"/>
      <w:lvlText w:val=""/>
      <w:lvlJc w:val="left"/>
      <w:pPr>
        <w:ind w:left="110" w:hanging="238"/>
      </w:pPr>
      <w:rPr>
        <w:rFonts w:ascii="Wingdings" w:eastAsia="Wingdings" w:hAnsi="Wingdings" w:cs="Wingdings" w:hint="default"/>
        <w:color w:val="000080"/>
        <w:w w:val="100"/>
        <w:sz w:val="22"/>
        <w:szCs w:val="22"/>
        <w:lang w:val="en-GB" w:eastAsia="en-GB" w:bidi="en-GB"/>
      </w:rPr>
    </w:lvl>
    <w:lvl w:ilvl="1" w:tplc="42BEF33A">
      <w:numFmt w:val="bullet"/>
      <w:lvlText w:val="•"/>
      <w:lvlJc w:val="left"/>
      <w:pPr>
        <w:ind w:left="263" w:hanging="238"/>
      </w:pPr>
      <w:rPr>
        <w:rFonts w:hint="default"/>
        <w:lang w:val="en-GB" w:eastAsia="en-GB" w:bidi="en-GB"/>
      </w:rPr>
    </w:lvl>
    <w:lvl w:ilvl="2" w:tplc="C0DC4DB8">
      <w:numFmt w:val="bullet"/>
      <w:lvlText w:val="•"/>
      <w:lvlJc w:val="left"/>
      <w:pPr>
        <w:ind w:left="406" w:hanging="238"/>
      </w:pPr>
      <w:rPr>
        <w:rFonts w:hint="default"/>
        <w:lang w:val="en-GB" w:eastAsia="en-GB" w:bidi="en-GB"/>
      </w:rPr>
    </w:lvl>
    <w:lvl w:ilvl="3" w:tplc="FF223FAE">
      <w:numFmt w:val="bullet"/>
      <w:lvlText w:val="•"/>
      <w:lvlJc w:val="left"/>
      <w:pPr>
        <w:ind w:left="549" w:hanging="238"/>
      </w:pPr>
      <w:rPr>
        <w:rFonts w:hint="default"/>
        <w:lang w:val="en-GB" w:eastAsia="en-GB" w:bidi="en-GB"/>
      </w:rPr>
    </w:lvl>
    <w:lvl w:ilvl="4" w:tplc="77B4A606">
      <w:numFmt w:val="bullet"/>
      <w:lvlText w:val="•"/>
      <w:lvlJc w:val="left"/>
      <w:pPr>
        <w:ind w:left="692" w:hanging="238"/>
      </w:pPr>
      <w:rPr>
        <w:rFonts w:hint="default"/>
        <w:lang w:val="en-GB" w:eastAsia="en-GB" w:bidi="en-GB"/>
      </w:rPr>
    </w:lvl>
    <w:lvl w:ilvl="5" w:tplc="C3F29504">
      <w:numFmt w:val="bullet"/>
      <w:lvlText w:val="•"/>
      <w:lvlJc w:val="left"/>
      <w:pPr>
        <w:ind w:left="835" w:hanging="238"/>
      </w:pPr>
      <w:rPr>
        <w:rFonts w:hint="default"/>
        <w:lang w:val="en-GB" w:eastAsia="en-GB" w:bidi="en-GB"/>
      </w:rPr>
    </w:lvl>
    <w:lvl w:ilvl="6" w:tplc="56F66DEC">
      <w:numFmt w:val="bullet"/>
      <w:lvlText w:val="•"/>
      <w:lvlJc w:val="left"/>
      <w:pPr>
        <w:ind w:left="978" w:hanging="238"/>
      </w:pPr>
      <w:rPr>
        <w:rFonts w:hint="default"/>
        <w:lang w:val="en-GB" w:eastAsia="en-GB" w:bidi="en-GB"/>
      </w:rPr>
    </w:lvl>
    <w:lvl w:ilvl="7" w:tplc="700CF792">
      <w:numFmt w:val="bullet"/>
      <w:lvlText w:val="•"/>
      <w:lvlJc w:val="left"/>
      <w:pPr>
        <w:ind w:left="1121" w:hanging="238"/>
      </w:pPr>
      <w:rPr>
        <w:rFonts w:hint="default"/>
        <w:lang w:val="en-GB" w:eastAsia="en-GB" w:bidi="en-GB"/>
      </w:rPr>
    </w:lvl>
    <w:lvl w:ilvl="8" w:tplc="37703782">
      <w:numFmt w:val="bullet"/>
      <w:lvlText w:val="•"/>
      <w:lvlJc w:val="left"/>
      <w:pPr>
        <w:ind w:left="1264" w:hanging="238"/>
      </w:pPr>
      <w:rPr>
        <w:rFonts w:hint="default"/>
        <w:lang w:val="en-GB" w:eastAsia="en-GB" w:bidi="en-GB"/>
      </w:rPr>
    </w:lvl>
  </w:abstractNum>
  <w:abstractNum w:abstractNumId="34" w15:restartNumberingAfterBreak="0">
    <w:nsid w:val="69CB6E33"/>
    <w:multiLevelType w:val="hybridMultilevel"/>
    <w:tmpl w:val="B058BE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E54559F"/>
    <w:multiLevelType w:val="hybridMultilevel"/>
    <w:tmpl w:val="0F16461C"/>
    <w:lvl w:ilvl="0" w:tplc="A198E768">
      <w:start w:val="1"/>
      <w:numFmt w:val="lowerLetter"/>
      <w:lvlText w:val="(%1)"/>
      <w:lvlJc w:val="left"/>
      <w:pPr>
        <w:ind w:left="1110" w:hanging="39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0D602E5"/>
    <w:multiLevelType w:val="hybridMultilevel"/>
    <w:tmpl w:val="DF3A67AC"/>
    <w:lvl w:ilvl="0" w:tplc="0CF456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8975B8"/>
    <w:multiLevelType w:val="hybridMultilevel"/>
    <w:tmpl w:val="FFF4F14C"/>
    <w:lvl w:ilvl="0" w:tplc="2BE0B5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1558BC"/>
    <w:multiLevelType w:val="hybridMultilevel"/>
    <w:tmpl w:val="2222C5CC"/>
    <w:lvl w:ilvl="0" w:tplc="D66EF9C6">
      <w:start w:val="1"/>
      <w:numFmt w:val="bullet"/>
      <w:lvlText w:val=""/>
      <w:lvlJc w:val="left"/>
      <w:pPr>
        <w:ind w:left="360" w:hanging="360"/>
      </w:pPr>
      <w:rPr>
        <w:rFonts w:ascii="Wingdings" w:hAnsi="Wingdings" w:hint="default"/>
        <w:color w:val="FF585D"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EA604AC"/>
    <w:multiLevelType w:val="hybridMultilevel"/>
    <w:tmpl w:val="BD340A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EE37CF"/>
    <w:multiLevelType w:val="multilevel"/>
    <w:tmpl w:val="8AA8C31A"/>
    <w:lvl w:ilvl="0">
      <w:start w:val="3"/>
      <w:numFmt w:val="decimal"/>
      <w:lvlText w:val="%1."/>
      <w:lvlJc w:val="left"/>
      <w:pPr>
        <w:ind w:left="420" w:hanging="420"/>
      </w:pPr>
      <w:rPr>
        <w:rFonts w:ascii="Verdana" w:eastAsia="Times New Roman" w:hAnsi="Verdana" w:cs="Times New Roman" w:hint="default"/>
        <w:color w:val="333333"/>
        <w:sz w:val="21"/>
      </w:rPr>
    </w:lvl>
    <w:lvl w:ilvl="1">
      <w:start w:val="3"/>
      <w:numFmt w:val="decimal"/>
      <w:lvlText w:val="%1.%2."/>
      <w:lvlJc w:val="left"/>
      <w:pPr>
        <w:ind w:left="720" w:hanging="720"/>
      </w:pPr>
      <w:rPr>
        <w:rFonts w:ascii="Verdana" w:eastAsia="Times New Roman" w:hAnsi="Verdana" w:cs="Times New Roman" w:hint="default"/>
        <w:color w:val="333333"/>
        <w:sz w:val="21"/>
      </w:rPr>
    </w:lvl>
    <w:lvl w:ilvl="2">
      <w:start w:val="1"/>
      <w:numFmt w:val="decimal"/>
      <w:lvlText w:val="%1.%2.%3."/>
      <w:lvlJc w:val="left"/>
      <w:pPr>
        <w:ind w:left="720" w:hanging="720"/>
      </w:pPr>
      <w:rPr>
        <w:rFonts w:ascii="Verdana" w:eastAsia="Times New Roman" w:hAnsi="Verdana" w:cs="Times New Roman" w:hint="default"/>
        <w:color w:val="333333"/>
        <w:sz w:val="21"/>
      </w:rPr>
    </w:lvl>
    <w:lvl w:ilvl="3">
      <w:start w:val="1"/>
      <w:numFmt w:val="decimal"/>
      <w:lvlText w:val="%1.%2.%3.%4."/>
      <w:lvlJc w:val="left"/>
      <w:pPr>
        <w:ind w:left="1080" w:hanging="1080"/>
      </w:pPr>
      <w:rPr>
        <w:rFonts w:ascii="Verdana" w:eastAsia="Times New Roman" w:hAnsi="Verdana" w:cs="Times New Roman" w:hint="default"/>
        <w:color w:val="333333"/>
        <w:sz w:val="21"/>
      </w:rPr>
    </w:lvl>
    <w:lvl w:ilvl="4">
      <w:start w:val="1"/>
      <w:numFmt w:val="decimal"/>
      <w:lvlText w:val="%1.%2.%3.%4.%5."/>
      <w:lvlJc w:val="left"/>
      <w:pPr>
        <w:ind w:left="1080" w:hanging="1080"/>
      </w:pPr>
      <w:rPr>
        <w:rFonts w:ascii="Verdana" w:eastAsia="Times New Roman" w:hAnsi="Verdana" w:cs="Times New Roman" w:hint="default"/>
        <w:color w:val="333333"/>
        <w:sz w:val="21"/>
      </w:rPr>
    </w:lvl>
    <w:lvl w:ilvl="5">
      <w:start w:val="1"/>
      <w:numFmt w:val="decimal"/>
      <w:lvlText w:val="%1.%2.%3.%4.%5.%6."/>
      <w:lvlJc w:val="left"/>
      <w:pPr>
        <w:ind w:left="1440" w:hanging="1440"/>
      </w:pPr>
      <w:rPr>
        <w:rFonts w:ascii="Verdana" w:eastAsia="Times New Roman" w:hAnsi="Verdana" w:cs="Times New Roman" w:hint="default"/>
        <w:color w:val="333333"/>
        <w:sz w:val="21"/>
      </w:rPr>
    </w:lvl>
    <w:lvl w:ilvl="6">
      <w:start w:val="1"/>
      <w:numFmt w:val="decimal"/>
      <w:lvlText w:val="%1.%2.%3.%4.%5.%6.%7."/>
      <w:lvlJc w:val="left"/>
      <w:pPr>
        <w:ind w:left="1440" w:hanging="1440"/>
      </w:pPr>
      <w:rPr>
        <w:rFonts w:ascii="Verdana" w:eastAsia="Times New Roman" w:hAnsi="Verdana" w:cs="Times New Roman" w:hint="default"/>
        <w:color w:val="333333"/>
        <w:sz w:val="21"/>
      </w:rPr>
    </w:lvl>
    <w:lvl w:ilvl="7">
      <w:start w:val="1"/>
      <w:numFmt w:val="decimal"/>
      <w:lvlText w:val="%1.%2.%3.%4.%5.%6.%7.%8."/>
      <w:lvlJc w:val="left"/>
      <w:pPr>
        <w:ind w:left="1800" w:hanging="1800"/>
      </w:pPr>
      <w:rPr>
        <w:rFonts w:ascii="Verdana" w:eastAsia="Times New Roman" w:hAnsi="Verdana" w:cs="Times New Roman" w:hint="default"/>
        <w:color w:val="333333"/>
        <w:sz w:val="21"/>
      </w:rPr>
    </w:lvl>
    <w:lvl w:ilvl="8">
      <w:start w:val="1"/>
      <w:numFmt w:val="decimal"/>
      <w:lvlText w:val="%1.%2.%3.%4.%5.%6.%7.%8.%9."/>
      <w:lvlJc w:val="left"/>
      <w:pPr>
        <w:ind w:left="2160" w:hanging="2160"/>
      </w:pPr>
      <w:rPr>
        <w:rFonts w:ascii="Verdana" w:eastAsia="Times New Roman" w:hAnsi="Verdana" w:cs="Times New Roman" w:hint="default"/>
        <w:color w:val="333333"/>
        <w:sz w:val="21"/>
      </w:rPr>
    </w:lvl>
  </w:abstractNum>
  <w:num w:numId="1" w16cid:durableId="1330210119">
    <w:abstractNumId w:val="25"/>
  </w:num>
  <w:num w:numId="2" w16cid:durableId="1754813652">
    <w:abstractNumId w:val="32"/>
  </w:num>
  <w:num w:numId="3" w16cid:durableId="1468543687">
    <w:abstractNumId w:val="3"/>
  </w:num>
  <w:num w:numId="4" w16cid:durableId="93021122">
    <w:abstractNumId w:val="38"/>
  </w:num>
  <w:num w:numId="5" w16cid:durableId="410006497">
    <w:abstractNumId w:val="15"/>
  </w:num>
  <w:num w:numId="6" w16cid:durableId="1619490991">
    <w:abstractNumId w:val="31"/>
  </w:num>
  <w:num w:numId="7" w16cid:durableId="1653605051">
    <w:abstractNumId w:val="10"/>
  </w:num>
  <w:num w:numId="8" w16cid:durableId="140462736">
    <w:abstractNumId w:val="33"/>
  </w:num>
  <w:num w:numId="9" w16cid:durableId="1677032709">
    <w:abstractNumId w:val="27"/>
  </w:num>
  <w:num w:numId="10" w16cid:durableId="662514334">
    <w:abstractNumId w:val="2"/>
  </w:num>
  <w:num w:numId="11" w16cid:durableId="1061561615">
    <w:abstractNumId w:val="13"/>
  </w:num>
  <w:num w:numId="12" w16cid:durableId="1868104476">
    <w:abstractNumId w:val="7"/>
  </w:num>
  <w:num w:numId="13" w16cid:durableId="1072852006">
    <w:abstractNumId w:val="11"/>
  </w:num>
  <w:num w:numId="14" w16cid:durableId="2134246048">
    <w:abstractNumId w:val="19"/>
  </w:num>
  <w:num w:numId="15" w16cid:durableId="1796832952">
    <w:abstractNumId w:val="31"/>
  </w:num>
  <w:num w:numId="16" w16cid:durableId="881134873">
    <w:abstractNumId w:val="6"/>
  </w:num>
  <w:num w:numId="17" w16cid:durableId="180050003">
    <w:abstractNumId w:val="5"/>
  </w:num>
  <w:num w:numId="18" w16cid:durableId="387261371">
    <w:abstractNumId w:val="39"/>
  </w:num>
  <w:num w:numId="19" w16cid:durableId="2059237823">
    <w:abstractNumId w:val="36"/>
  </w:num>
  <w:num w:numId="20" w16cid:durableId="1583761182">
    <w:abstractNumId w:val="8"/>
  </w:num>
  <w:num w:numId="21" w16cid:durableId="67464831">
    <w:abstractNumId w:val="23"/>
  </w:num>
  <w:num w:numId="22" w16cid:durableId="589319353">
    <w:abstractNumId w:val="37"/>
  </w:num>
  <w:num w:numId="23" w16cid:durableId="836501976">
    <w:abstractNumId w:val="28"/>
  </w:num>
  <w:num w:numId="24" w16cid:durableId="1626036859">
    <w:abstractNumId w:val="24"/>
  </w:num>
  <w:num w:numId="25" w16cid:durableId="1164395939">
    <w:abstractNumId w:val="26"/>
  </w:num>
  <w:num w:numId="26" w16cid:durableId="628165753">
    <w:abstractNumId w:val="20"/>
  </w:num>
  <w:num w:numId="27" w16cid:durableId="990334151">
    <w:abstractNumId w:val="14"/>
  </w:num>
  <w:num w:numId="28" w16cid:durableId="1603998685">
    <w:abstractNumId w:val="9"/>
  </w:num>
  <w:num w:numId="29" w16cid:durableId="1681469210">
    <w:abstractNumId w:val="16"/>
  </w:num>
  <w:num w:numId="30" w16cid:durableId="1859195562">
    <w:abstractNumId w:val="12"/>
  </w:num>
  <w:num w:numId="31" w16cid:durableId="510217887">
    <w:abstractNumId w:val="17"/>
  </w:num>
  <w:num w:numId="32" w16cid:durableId="400249306">
    <w:abstractNumId w:val="40"/>
  </w:num>
  <w:num w:numId="33" w16cid:durableId="1390543387">
    <w:abstractNumId w:val="4"/>
  </w:num>
  <w:num w:numId="34" w16cid:durableId="213154309">
    <w:abstractNumId w:val="34"/>
  </w:num>
  <w:num w:numId="35" w16cid:durableId="1704020662">
    <w:abstractNumId w:val="29"/>
  </w:num>
  <w:num w:numId="36" w16cid:durableId="480969432">
    <w:abstractNumId w:val="22"/>
  </w:num>
  <w:num w:numId="37" w16cid:durableId="1114709200">
    <w:abstractNumId w:val="0"/>
  </w:num>
  <w:num w:numId="38" w16cid:durableId="1383335232">
    <w:abstractNumId w:val="18"/>
  </w:num>
  <w:num w:numId="39" w16cid:durableId="1563129520">
    <w:abstractNumId w:val="21"/>
  </w:num>
  <w:num w:numId="40" w16cid:durableId="994450066">
    <w:abstractNumId w:val="1"/>
  </w:num>
  <w:num w:numId="41" w16cid:durableId="878206477">
    <w:abstractNumId w:val="30"/>
  </w:num>
  <w:num w:numId="42" w16cid:durableId="190726098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13D"/>
    <w:rsid w:val="0000707C"/>
    <w:rsid w:val="00010E19"/>
    <w:rsid w:val="00010F69"/>
    <w:rsid w:val="00011F04"/>
    <w:rsid w:val="00013E6A"/>
    <w:rsid w:val="000150AA"/>
    <w:rsid w:val="000158DC"/>
    <w:rsid w:val="00016EA7"/>
    <w:rsid w:val="00021DE4"/>
    <w:rsid w:val="000237D0"/>
    <w:rsid w:val="0002446C"/>
    <w:rsid w:val="000301F7"/>
    <w:rsid w:val="00030797"/>
    <w:rsid w:val="00031601"/>
    <w:rsid w:val="00045D1E"/>
    <w:rsid w:val="00047785"/>
    <w:rsid w:val="00057F1A"/>
    <w:rsid w:val="000622D1"/>
    <w:rsid w:val="00066546"/>
    <w:rsid w:val="00082FBC"/>
    <w:rsid w:val="000910B1"/>
    <w:rsid w:val="00094ED4"/>
    <w:rsid w:val="00095FA1"/>
    <w:rsid w:val="00097171"/>
    <w:rsid w:val="000975DC"/>
    <w:rsid w:val="000A0805"/>
    <w:rsid w:val="000B1510"/>
    <w:rsid w:val="000B304B"/>
    <w:rsid w:val="000B399C"/>
    <w:rsid w:val="000B7DA2"/>
    <w:rsid w:val="000C3B09"/>
    <w:rsid w:val="000C6AC0"/>
    <w:rsid w:val="000C6E08"/>
    <w:rsid w:val="000D07E3"/>
    <w:rsid w:val="000D30FF"/>
    <w:rsid w:val="000E0B34"/>
    <w:rsid w:val="000E1489"/>
    <w:rsid w:val="000E2E55"/>
    <w:rsid w:val="000E30B6"/>
    <w:rsid w:val="000F4282"/>
    <w:rsid w:val="000F570D"/>
    <w:rsid w:val="000F7461"/>
    <w:rsid w:val="001058C6"/>
    <w:rsid w:val="00106A0F"/>
    <w:rsid w:val="001073C5"/>
    <w:rsid w:val="001137F4"/>
    <w:rsid w:val="00114668"/>
    <w:rsid w:val="00114FE7"/>
    <w:rsid w:val="00117091"/>
    <w:rsid w:val="00122A65"/>
    <w:rsid w:val="00122D6B"/>
    <w:rsid w:val="0012451B"/>
    <w:rsid w:val="00124D57"/>
    <w:rsid w:val="001344E1"/>
    <w:rsid w:val="001358AC"/>
    <w:rsid w:val="00136951"/>
    <w:rsid w:val="00136A0E"/>
    <w:rsid w:val="00137A43"/>
    <w:rsid w:val="00142DE0"/>
    <w:rsid w:val="001437FC"/>
    <w:rsid w:val="00145120"/>
    <w:rsid w:val="001469E3"/>
    <w:rsid w:val="00147DF8"/>
    <w:rsid w:val="00152538"/>
    <w:rsid w:val="0015345D"/>
    <w:rsid w:val="001600AC"/>
    <w:rsid w:val="00164D37"/>
    <w:rsid w:val="0017079E"/>
    <w:rsid w:val="001714B4"/>
    <w:rsid w:val="001718D8"/>
    <w:rsid w:val="001808BF"/>
    <w:rsid w:val="001816ED"/>
    <w:rsid w:val="0018223B"/>
    <w:rsid w:val="001823E0"/>
    <w:rsid w:val="00182615"/>
    <w:rsid w:val="0018695F"/>
    <w:rsid w:val="001875F2"/>
    <w:rsid w:val="001919B0"/>
    <w:rsid w:val="001927FF"/>
    <w:rsid w:val="00194C7A"/>
    <w:rsid w:val="00196BA4"/>
    <w:rsid w:val="00197BB7"/>
    <w:rsid w:val="001A1F4B"/>
    <w:rsid w:val="001A4D92"/>
    <w:rsid w:val="001A6384"/>
    <w:rsid w:val="001A69F6"/>
    <w:rsid w:val="001B2C32"/>
    <w:rsid w:val="001B3471"/>
    <w:rsid w:val="001B3B86"/>
    <w:rsid w:val="001B4BF6"/>
    <w:rsid w:val="001B4FAD"/>
    <w:rsid w:val="001C434A"/>
    <w:rsid w:val="001C5E6B"/>
    <w:rsid w:val="001D2598"/>
    <w:rsid w:val="001D3D3D"/>
    <w:rsid w:val="001D4E22"/>
    <w:rsid w:val="001D52C2"/>
    <w:rsid w:val="001D6953"/>
    <w:rsid w:val="001E3930"/>
    <w:rsid w:val="001E46CE"/>
    <w:rsid w:val="001F021C"/>
    <w:rsid w:val="001F0FFA"/>
    <w:rsid w:val="001F5D1F"/>
    <w:rsid w:val="002068D4"/>
    <w:rsid w:val="0021127F"/>
    <w:rsid w:val="00213CDD"/>
    <w:rsid w:val="002172E9"/>
    <w:rsid w:val="00221527"/>
    <w:rsid w:val="00223294"/>
    <w:rsid w:val="00223910"/>
    <w:rsid w:val="00223DA8"/>
    <w:rsid w:val="002260D0"/>
    <w:rsid w:val="00226321"/>
    <w:rsid w:val="00233934"/>
    <w:rsid w:val="00237B94"/>
    <w:rsid w:val="0024375D"/>
    <w:rsid w:val="0024385E"/>
    <w:rsid w:val="00243E6B"/>
    <w:rsid w:val="00243FCC"/>
    <w:rsid w:val="00251A32"/>
    <w:rsid w:val="00252CF4"/>
    <w:rsid w:val="002537B1"/>
    <w:rsid w:val="0025623B"/>
    <w:rsid w:val="0026141E"/>
    <w:rsid w:val="00261B3B"/>
    <w:rsid w:val="00263647"/>
    <w:rsid w:val="00263B28"/>
    <w:rsid w:val="002677BD"/>
    <w:rsid w:val="0027588F"/>
    <w:rsid w:val="00281777"/>
    <w:rsid w:val="00282693"/>
    <w:rsid w:val="002827D2"/>
    <w:rsid w:val="00284D47"/>
    <w:rsid w:val="002943BC"/>
    <w:rsid w:val="00295CB2"/>
    <w:rsid w:val="00295DFC"/>
    <w:rsid w:val="002A06EF"/>
    <w:rsid w:val="002A179D"/>
    <w:rsid w:val="002A1ABC"/>
    <w:rsid w:val="002A22C4"/>
    <w:rsid w:val="002A4617"/>
    <w:rsid w:val="002A51E5"/>
    <w:rsid w:val="002A63C8"/>
    <w:rsid w:val="002B41F8"/>
    <w:rsid w:val="002B6262"/>
    <w:rsid w:val="002B7ECF"/>
    <w:rsid w:val="002C23F8"/>
    <w:rsid w:val="002C3C7B"/>
    <w:rsid w:val="002C68AD"/>
    <w:rsid w:val="002C6C3D"/>
    <w:rsid w:val="002D0477"/>
    <w:rsid w:val="002E1C6F"/>
    <w:rsid w:val="002E3519"/>
    <w:rsid w:val="002F0C45"/>
    <w:rsid w:val="002F1C5C"/>
    <w:rsid w:val="002F46E2"/>
    <w:rsid w:val="0030394C"/>
    <w:rsid w:val="00304F37"/>
    <w:rsid w:val="00306804"/>
    <w:rsid w:val="00314D0A"/>
    <w:rsid w:val="003156DB"/>
    <w:rsid w:val="00316B40"/>
    <w:rsid w:val="00320A00"/>
    <w:rsid w:val="00322476"/>
    <w:rsid w:val="00324130"/>
    <w:rsid w:val="00324433"/>
    <w:rsid w:val="00324508"/>
    <w:rsid w:val="00331223"/>
    <w:rsid w:val="003347E8"/>
    <w:rsid w:val="00337332"/>
    <w:rsid w:val="0034658C"/>
    <w:rsid w:val="00350B20"/>
    <w:rsid w:val="003566F4"/>
    <w:rsid w:val="00363CC8"/>
    <w:rsid w:val="00365874"/>
    <w:rsid w:val="0037406A"/>
    <w:rsid w:val="003756C0"/>
    <w:rsid w:val="00377997"/>
    <w:rsid w:val="00380C90"/>
    <w:rsid w:val="00380E37"/>
    <w:rsid w:val="0038418A"/>
    <w:rsid w:val="0038522E"/>
    <w:rsid w:val="00392FE7"/>
    <w:rsid w:val="0039378D"/>
    <w:rsid w:val="003A25ED"/>
    <w:rsid w:val="003A3CF5"/>
    <w:rsid w:val="003A4FC8"/>
    <w:rsid w:val="003A5101"/>
    <w:rsid w:val="003A6142"/>
    <w:rsid w:val="003A7DDC"/>
    <w:rsid w:val="003B7202"/>
    <w:rsid w:val="003C3136"/>
    <w:rsid w:val="003D2448"/>
    <w:rsid w:val="003D2A89"/>
    <w:rsid w:val="003D5E35"/>
    <w:rsid w:val="003D5E64"/>
    <w:rsid w:val="003E4C5D"/>
    <w:rsid w:val="003E71C5"/>
    <w:rsid w:val="003E72CE"/>
    <w:rsid w:val="003F62B8"/>
    <w:rsid w:val="003F7E3D"/>
    <w:rsid w:val="00403B92"/>
    <w:rsid w:val="00403E16"/>
    <w:rsid w:val="00404077"/>
    <w:rsid w:val="004046BA"/>
    <w:rsid w:val="00405BD9"/>
    <w:rsid w:val="00411E9F"/>
    <w:rsid w:val="00413CF0"/>
    <w:rsid w:val="00415CE8"/>
    <w:rsid w:val="0042225F"/>
    <w:rsid w:val="00425446"/>
    <w:rsid w:val="00427504"/>
    <w:rsid w:val="00431F31"/>
    <w:rsid w:val="00436DFD"/>
    <w:rsid w:val="0044086A"/>
    <w:rsid w:val="0044260F"/>
    <w:rsid w:val="004445F5"/>
    <w:rsid w:val="00446E02"/>
    <w:rsid w:val="0045131E"/>
    <w:rsid w:val="0045654C"/>
    <w:rsid w:val="00465D3C"/>
    <w:rsid w:val="00466646"/>
    <w:rsid w:val="00467669"/>
    <w:rsid w:val="004720FB"/>
    <w:rsid w:val="00474A5A"/>
    <w:rsid w:val="004771FF"/>
    <w:rsid w:val="00480A50"/>
    <w:rsid w:val="004864B7"/>
    <w:rsid w:val="00492180"/>
    <w:rsid w:val="00492E76"/>
    <w:rsid w:val="00495269"/>
    <w:rsid w:val="00496DED"/>
    <w:rsid w:val="00497510"/>
    <w:rsid w:val="004A0180"/>
    <w:rsid w:val="004A1DBE"/>
    <w:rsid w:val="004A20B5"/>
    <w:rsid w:val="004A21EE"/>
    <w:rsid w:val="004A480F"/>
    <w:rsid w:val="004A5EAB"/>
    <w:rsid w:val="004B16F1"/>
    <w:rsid w:val="004B5187"/>
    <w:rsid w:val="004B53BF"/>
    <w:rsid w:val="004B7708"/>
    <w:rsid w:val="004C3299"/>
    <w:rsid w:val="004C5311"/>
    <w:rsid w:val="004D0A11"/>
    <w:rsid w:val="004D3952"/>
    <w:rsid w:val="004D494E"/>
    <w:rsid w:val="004D5EDF"/>
    <w:rsid w:val="004E7B7C"/>
    <w:rsid w:val="004F32BC"/>
    <w:rsid w:val="004F4F33"/>
    <w:rsid w:val="004F7707"/>
    <w:rsid w:val="00501089"/>
    <w:rsid w:val="0050181B"/>
    <w:rsid w:val="00501D73"/>
    <w:rsid w:val="0050269B"/>
    <w:rsid w:val="00502FB2"/>
    <w:rsid w:val="00506336"/>
    <w:rsid w:val="005066AA"/>
    <w:rsid w:val="00512A79"/>
    <w:rsid w:val="005135DD"/>
    <w:rsid w:val="005141F7"/>
    <w:rsid w:val="00516B24"/>
    <w:rsid w:val="005209C1"/>
    <w:rsid w:val="00535E6D"/>
    <w:rsid w:val="00535E8E"/>
    <w:rsid w:val="00543F5C"/>
    <w:rsid w:val="00550A1F"/>
    <w:rsid w:val="00551634"/>
    <w:rsid w:val="00553231"/>
    <w:rsid w:val="005544E0"/>
    <w:rsid w:val="00556818"/>
    <w:rsid w:val="00557672"/>
    <w:rsid w:val="00557956"/>
    <w:rsid w:val="00557F6E"/>
    <w:rsid w:val="005620D9"/>
    <w:rsid w:val="00572D82"/>
    <w:rsid w:val="00581FCE"/>
    <w:rsid w:val="005832B0"/>
    <w:rsid w:val="005846F2"/>
    <w:rsid w:val="00587881"/>
    <w:rsid w:val="00587887"/>
    <w:rsid w:val="0059268B"/>
    <w:rsid w:val="005949CD"/>
    <w:rsid w:val="00594C0C"/>
    <w:rsid w:val="005A1282"/>
    <w:rsid w:val="005A4D18"/>
    <w:rsid w:val="005A5639"/>
    <w:rsid w:val="005A5B8D"/>
    <w:rsid w:val="005B0AAA"/>
    <w:rsid w:val="005B0FAE"/>
    <w:rsid w:val="005C4776"/>
    <w:rsid w:val="005D0316"/>
    <w:rsid w:val="005D0D8C"/>
    <w:rsid w:val="005D242F"/>
    <w:rsid w:val="005D3066"/>
    <w:rsid w:val="005E0FDA"/>
    <w:rsid w:val="005E1B02"/>
    <w:rsid w:val="005E2283"/>
    <w:rsid w:val="005E2D99"/>
    <w:rsid w:val="005F112E"/>
    <w:rsid w:val="005F21BF"/>
    <w:rsid w:val="00601EB5"/>
    <w:rsid w:val="0060294F"/>
    <w:rsid w:val="00605518"/>
    <w:rsid w:val="00605630"/>
    <w:rsid w:val="00623241"/>
    <w:rsid w:val="00640D9F"/>
    <w:rsid w:val="00641BA2"/>
    <w:rsid w:val="0064542D"/>
    <w:rsid w:val="00646690"/>
    <w:rsid w:val="00647AA2"/>
    <w:rsid w:val="0065275D"/>
    <w:rsid w:val="00653194"/>
    <w:rsid w:val="00656025"/>
    <w:rsid w:val="00662470"/>
    <w:rsid w:val="00672413"/>
    <w:rsid w:val="006745AF"/>
    <w:rsid w:val="00675E87"/>
    <w:rsid w:val="0067771D"/>
    <w:rsid w:val="006867B5"/>
    <w:rsid w:val="006875D6"/>
    <w:rsid w:val="00690AAD"/>
    <w:rsid w:val="00694310"/>
    <w:rsid w:val="006948E7"/>
    <w:rsid w:val="006A0A15"/>
    <w:rsid w:val="006A0C63"/>
    <w:rsid w:val="006A6C7E"/>
    <w:rsid w:val="006A7FD2"/>
    <w:rsid w:val="006B4568"/>
    <w:rsid w:val="006C30BC"/>
    <w:rsid w:val="006C30F8"/>
    <w:rsid w:val="006C40E5"/>
    <w:rsid w:val="006C6EF9"/>
    <w:rsid w:val="006C7B74"/>
    <w:rsid w:val="006D07DE"/>
    <w:rsid w:val="006D0C79"/>
    <w:rsid w:val="006D5106"/>
    <w:rsid w:val="006D6720"/>
    <w:rsid w:val="006D6A4D"/>
    <w:rsid w:val="006E05BD"/>
    <w:rsid w:val="006E5936"/>
    <w:rsid w:val="006E7072"/>
    <w:rsid w:val="006F253E"/>
    <w:rsid w:val="00700DD6"/>
    <w:rsid w:val="007053D6"/>
    <w:rsid w:val="00705E07"/>
    <w:rsid w:val="00717FC3"/>
    <w:rsid w:val="007265CA"/>
    <w:rsid w:val="00726964"/>
    <w:rsid w:val="00726EA3"/>
    <w:rsid w:val="00733EF0"/>
    <w:rsid w:val="00737E39"/>
    <w:rsid w:val="00740539"/>
    <w:rsid w:val="00742998"/>
    <w:rsid w:val="00742EAD"/>
    <w:rsid w:val="00747AAB"/>
    <w:rsid w:val="007510C9"/>
    <w:rsid w:val="007551A8"/>
    <w:rsid w:val="007602E6"/>
    <w:rsid w:val="00766063"/>
    <w:rsid w:val="00770131"/>
    <w:rsid w:val="00770B51"/>
    <w:rsid w:val="00771C63"/>
    <w:rsid w:val="007757C8"/>
    <w:rsid w:val="00780552"/>
    <w:rsid w:val="00784B50"/>
    <w:rsid w:val="007867D9"/>
    <w:rsid w:val="00791124"/>
    <w:rsid w:val="00792333"/>
    <w:rsid w:val="00793139"/>
    <w:rsid w:val="007937D9"/>
    <w:rsid w:val="007A2647"/>
    <w:rsid w:val="007A4CF5"/>
    <w:rsid w:val="007A5A9C"/>
    <w:rsid w:val="007B171E"/>
    <w:rsid w:val="007B77E9"/>
    <w:rsid w:val="007C1E6C"/>
    <w:rsid w:val="007C339D"/>
    <w:rsid w:val="007C52F1"/>
    <w:rsid w:val="007C75D5"/>
    <w:rsid w:val="007C76FD"/>
    <w:rsid w:val="007D17E3"/>
    <w:rsid w:val="007D3AD0"/>
    <w:rsid w:val="007D53E0"/>
    <w:rsid w:val="007E18C7"/>
    <w:rsid w:val="007E40D7"/>
    <w:rsid w:val="007E4BF9"/>
    <w:rsid w:val="007E605F"/>
    <w:rsid w:val="007E70EF"/>
    <w:rsid w:val="007F2BD4"/>
    <w:rsid w:val="007F5392"/>
    <w:rsid w:val="007F7EA3"/>
    <w:rsid w:val="00801CD9"/>
    <w:rsid w:val="00803171"/>
    <w:rsid w:val="00805D87"/>
    <w:rsid w:val="008101C4"/>
    <w:rsid w:val="00814117"/>
    <w:rsid w:val="00815547"/>
    <w:rsid w:val="008165FE"/>
    <w:rsid w:val="00823E52"/>
    <w:rsid w:val="00831A26"/>
    <w:rsid w:val="008337F2"/>
    <w:rsid w:val="008357B3"/>
    <w:rsid w:val="00841821"/>
    <w:rsid w:val="008430CA"/>
    <w:rsid w:val="00850E13"/>
    <w:rsid w:val="00860824"/>
    <w:rsid w:val="0086130F"/>
    <w:rsid w:val="00870265"/>
    <w:rsid w:val="008723F4"/>
    <w:rsid w:val="00876400"/>
    <w:rsid w:val="0087750E"/>
    <w:rsid w:val="008847A9"/>
    <w:rsid w:val="00886C41"/>
    <w:rsid w:val="008907F8"/>
    <w:rsid w:val="00894C61"/>
    <w:rsid w:val="008952DF"/>
    <w:rsid w:val="00896128"/>
    <w:rsid w:val="00896883"/>
    <w:rsid w:val="0089D2BE"/>
    <w:rsid w:val="008A48C9"/>
    <w:rsid w:val="008A4A82"/>
    <w:rsid w:val="008A5A15"/>
    <w:rsid w:val="008B0611"/>
    <w:rsid w:val="008B5326"/>
    <w:rsid w:val="008B601B"/>
    <w:rsid w:val="008B679F"/>
    <w:rsid w:val="008B7307"/>
    <w:rsid w:val="008C04D8"/>
    <w:rsid w:val="008C135C"/>
    <w:rsid w:val="008C46AE"/>
    <w:rsid w:val="008C47EE"/>
    <w:rsid w:val="008D1EA1"/>
    <w:rsid w:val="008D22FC"/>
    <w:rsid w:val="008D53A9"/>
    <w:rsid w:val="008E058D"/>
    <w:rsid w:val="008E296B"/>
    <w:rsid w:val="008E324D"/>
    <w:rsid w:val="008E4BF1"/>
    <w:rsid w:val="008E61B5"/>
    <w:rsid w:val="008F337F"/>
    <w:rsid w:val="008F3CC2"/>
    <w:rsid w:val="008F420C"/>
    <w:rsid w:val="0090113D"/>
    <w:rsid w:val="009065D5"/>
    <w:rsid w:val="00910569"/>
    <w:rsid w:val="0091422E"/>
    <w:rsid w:val="0091605E"/>
    <w:rsid w:val="0091614C"/>
    <w:rsid w:val="009210D1"/>
    <w:rsid w:val="00922B66"/>
    <w:rsid w:val="00922CB4"/>
    <w:rsid w:val="00922E8B"/>
    <w:rsid w:val="00933297"/>
    <w:rsid w:val="00935276"/>
    <w:rsid w:val="009379B4"/>
    <w:rsid w:val="00950F85"/>
    <w:rsid w:val="009526F3"/>
    <w:rsid w:val="009539FE"/>
    <w:rsid w:val="009577A4"/>
    <w:rsid w:val="0096207B"/>
    <w:rsid w:val="00962979"/>
    <w:rsid w:val="00962A17"/>
    <w:rsid w:val="00970337"/>
    <w:rsid w:val="00971357"/>
    <w:rsid w:val="0097140A"/>
    <w:rsid w:val="00977724"/>
    <w:rsid w:val="00977748"/>
    <w:rsid w:val="0098337A"/>
    <w:rsid w:val="0099132D"/>
    <w:rsid w:val="00994F8F"/>
    <w:rsid w:val="0099595B"/>
    <w:rsid w:val="009A0725"/>
    <w:rsid w:val="009A0BAC"/>
    <w:rsid w:val="009A2685"/>
    <w:rsid w:val="009A4A48"/>
    <w:rsid w:val="009A5BB1"/>
    <w:rsid w:val="009A5F39"/>
    <w:rsid w:val="009A6F18"/>
    <w:rsid w:val="009B20BD"/>
    <w:rsid w:val="009B32BB"/>
    <w:rsid w:val="009B40D0"/>
    <w:rsid w:val="009B41EF"/>
    <w:rsid w:val="009B4EB6"/>
    <w:rsid w:val="009B7227"/>
    <w:rsid w:val="009C3D46"/>
    <w:rsid w:val="009C5CA5"/>
    <w:rsid w:val="009C7D74"/>
    <w:rsid w:val="009D034D"/>
    <w:rsid w:val="009D152B"/>
    <w:rsid w:val="009D21A3"/>
    <w:rsid w:val="009D6582"/>
    <w:rsid w:val="009E3ED8"/>
    <w:rsid w:val="009E4C57"/>
    <w:rsid w:val="009E72BD"/>
    <w:rsid w:val="009F4186"/>
    <w:rsid w:val="009F6F78"/>
    <w:rsid w:val="00A00C9F"/>
    <w:rsid w:val="00A0173F"/>
    <w:rsid w:val="00A033EC"/>
    <w:rsid w:val="00A06D12"/>
    <w:rsid w:val="00A16699"/>
    <w:rsid w:val="00A268AD"/>
    <w:rsid w:val="00A34A01"/>
    <w:rsid w:val="00A376C9"/>
    <w:rsid w:val="00A41C05"/>
    <w:rsid w:val="00A46417"/>
    <w:rsid w:val="00A52505"/>
    <w:rsid w:val="00A54B52"/>
    <w:rsid w:val="00A5508F"/>
    <w:rsid w:val="00A55BA8"/>
    <w:rsid w:val="00A560AD"/>
    <w:rsid w:val="00A561A2"/>
    <w:rsid w:val="00A56BA4"/>
    <w:rsid w:val="00A56D03"/>
    <w:rsid w:val="00A57CA4"/>
    <w:rsid w:val="00A62C16"/>
    <w:rsid w:val="00A6486E"/>
    <w:rsid w:val="00A66C8D"/>
    <w:rsid w:val="00A7738D"/>
    <w:rsid w:val="00A82156"/>
    <w:rsid w:val="00A866A7"/>
    <w:rsid w:val="00A87F84"/>
    <w:rsid w:val="00AA0A10"/>
    <w:rsid w:val="00AA1E7E"/>
    <w:rsid w:val="00AA1EBD"/>
    <w:rsid w:val="00AA44AB"/>
    <w:rsid w:val="00AA731D"/>
    <w:rsid w:val="00AA7F14"/>
    <w:rsid w:val="00AB23F6"/>
    <w:rsid w:val="00AB29FD"/>
    <w:rsid w:val="00AC0A69"/>
    <w:rsid w:val="00AC20AB"/>
    <w:rsid w:val="00AC380F"/>
    <w:rsid w:val="00AC6394"/>
    <w:rsid w:val="00AD01AE"/>
    <w:rsid w:val="00AD24B1"/>
    <w:rsid w:val="00AD2D0B"/>
    <w:rsid w:val="00AD3AAB"/>
    <w:rsid w:val="00AD5572"/>
    <w:rsid w:val="00AD7864"/>
    <w:rsid w:val="00AE47E3"/>
    <w:rsid w:val="00AE74AD"/>
    <w:rsid w:val="00AF3E75"/>
    <w:rsid w:val="00AF4F1D"/>
    <w:rsid w:val="00AF7B1A"/>
    <w:rsid w:val="00B0244B"/>
    <w:rsid w:val="00B03FD1"/>
    <w:rsid w:val="00B04C26"/>
    <w:rsid w:val="00B10054"/>
    <w:rsid w:val="00B11003"/>
    <w:rsid w:val="00B11B47"/>
    <w:rsid w:val="00B1381F"/>
    <w:rsid w:val="00B17FA8"/>
    <w:rsid w:val="00B21DA0"/>
    <w:rsid w:val="00B2223A"/>
    <w:rsid w:val="00B25D08"/>
    <w:rsid w:val="00B30DE4"/>
    <w:rsid w:val="00B36D05"/>
    <w:rsid w:val="00B3713C"/>
    <w:rsid w:val="00B377FC"/>
    <w:rsid w:val="00B429E2"/>
    <w:rsid w:val="00B450CF"/>
    <w:rsid w:val="00B458C1"/>
    <w:rsid w:val="00B47F83"/>
    <w:rsid w:val="00B53C2E"/>
    <w:rsid w:val="00B552C5"/>
    <w:rsid w:val="00B5622A"/>
    <w:rsid w:val="00B5796E"/>
    <w:rsid w:val="00B6546D"/>
    <w:rsid w:val="00B67973"/>
    <w:rsid w:val="00B728EF"/>
    <w:rsid w:val="00B75969"/>
    <w:rsid w:val="00B75A22"/>
    <w:rsid w:val="00B83F2B"/>
    <w:rsid w:val="00B850C0"/>
    <w:rsid w:val="00B862DB"/>
    <w:rsid w:val="00B90288"/>
    <w:rsid w:val="00BB3893"/>
    <w:rsid w:val="00BB4248"/>
    <w:rsid w:val="00BB475D"/>
    <w:rsid w:val="00BB4A58"/>
    <w:rsid w:val="00BC0781"/>
    <w:rsid w:val="00BC0C39"/>
    <w:rsid w:val="00BC14FE"/>
    <w:rsid w:val="00BD0C93"/>
    <w:rsid w:val="00BD1004"/>
    <w:rsid w:val="00BD1633"/>
    <w:rsid w:val="00BD33FD"/>
    <w:rsid w:val="00BD41A7"/>
    <w:rsid w:val="00BD62AB"/>
    <w:rsid w:val="00BE1A67"/>
    <w:rsid w:val="00BE62DD"/>
    <w:rsid w:val="00BF0B7B"/>
    <w:rsid w:val="00C00906"/>
    <w:rsid w:val="00C00AB0"/>
    <w:rsid w:val="00C05721"/>
    <w:rsid w:val="00C07ECA"/>
    <w:rsid w:val="00C113C1"/>
    <w:rsid w:val="00C11DBE"/>
    <w:rsid w:val="00C133A4"/>
    <w:rsid w:val="00C17593"/>
    <w:rsid w:val="00C20906"/>
    <w:rsid w:val="00C2292A"/>
    <w:rsid w:val="00C23357"/>
    <w:rsid w:val="00C25D68"/>
    <w:rsid w:val="00C302A9"/>
    <w:rsid w:val="00C30D6C"/>
    <w:rsid w:val="00C32CD8"/>
    <w:rsid w:val="00C4194D"/>
    <w:rsid w:val="00C436A1"/>
    <w:rsid w:val="00C50E6F"/>
    <w:rsid w:val="00C520E4"/>
    <w:rsid w:val="00C532C6"/>
    <w:rsid w:val="00C5457A"/>
    <w:rsid w:val="00C5572B"/>
    <w:rsid w:val="00C617C4"/>
    <w:rsid w:val="00C62240"/>
    <w:rsid w:val="00C62FA7"/>
    <w:rsid w:val="00C633A9"/>
    <w:rsid w:val="00C6417C"/>
    <w:rsid w:val="00C646E8"/>
    <w:rsid w:val="00C70231"/>
    <w:rsid w:val="00C70BD5"/>
    <w:rsid w:val="00C71B73"/>
    <w:rsid w:val="00C73782"/>
    <w:rsid w:val="00C77ED9"/>
    <w:rsid w:val="00C80867"/>
    <w:rsid w:val="00C81471"/>
    <w:rsid w:val="00C81835"/>
    <w:rsid w:val="00C92C78"/>
    <w:rsid w:val="00CA36D6"/>
    <w:rsid w:val="00CA5AE0"/>
    <w:rsid w:val="00CA5BBE"/>
    <w:rsid w:val="00CA6958"/>
    <w:rsid w:val="00CB4F8B"/>
    <w:rsid w:val="00CC09D3"/>
    <w:rsid w:val="00CC10AF"/>
    <w:rsid w:val="00CC3F0D"/>
    <w:rsid w:val="00CC5851"/>
    <w:rsid w:val="00CC79CC"/>
    <w:rsid w:val="00CD025F"/>
    <w:rsid w:val="00CD149D"/>
    <w:rsid w:val="00CD2F07"/>
    <w:rsid w:val="00CD3ED9"/>
    <w:rsid w:val="00CD58A6"/>
    <w:rsid w:val="00CD7A6E"/>
    <w:rsid w:val="00CDA5D9"/>
    <w:rsid w:val="00CE26D7"/>
    <w:rsid w:val="00CE70FC"/>
    <w:rsid w:val="00CF3407"/>
    <w:rsid w:val="00CF4F88"/>
    <w:rsid w:val="00CF6353"/>
    <w:rsid w:val="00D01906"/>
    <w:rsid w:val="00D01D2E"/>
    <w:rsid w:val="00D04B17"/>
    <w:rsid w:val="00D04DE1"/>
    <w:rsid w:val="00D0703C"/>
    <w:rsid w:val="00D120A1"/>
    <w:rsid w:val="00D15972"/>
    <w:rsid w:val="00D206E8"/>
    <w:rsid w:val="00D209BA"/>
    <w:rsid w:val="00D22FE8"/>
    <w:rsid w:val="00D2428F"/>
    <w:rsid w:val="00D24B25"/>
    <w:rsid w:val="00D27D77"/>
    <w:rsid w:val="00D317A2"/>
    <w:rsid w:val="00D354D5"/>
    <w:rsid w:val="00D444B4"/>
    <w:rsid w:val="00D51781"/>
    <w:rsid w:val="00D5289C"/>
    <w:rsid w:val="00D5685A"/>
    <w:rsid w:val="00D62858"/>
    <w:rsid w:val="00D63C1A"/>
    <w:rsid w:val="00D65683"/>
    <w:rsid w:val="00D66521"/>
    <w:rsid w:val="00D7230E"/>
    <w:rsid w:val="00D72AD0"/>
    <w:rsid w:val="00D72B55"/>
    <w:rsid w:val="00D73341"/>
    <w:rsid w:val="00D73742"/>
    <w:rsid w:val="00D73D0C"/>
    <w:rsid w:val="00D73EA3"/>
    <w:rsid w:val="00D73F4D"/>
    <w:rsid w:val="00D80C01"/>
    <w:rsid w:val="00D82012"/>
    <w:rsid w:val="00D8461A"/>
    <w:rsid w:val="00D84EB5"/>
    <w:rsid w:val="00D86D10"/>
    <w:rsid w:val="00D86FFC"/>
    <w:rsid w:val="00D93E17"/>
    <w:rsid w:val="00D93F76"/>
    <w:rsid w:val="00D965CB"/>
    <w:rsid w:val="00D97798"/>
    <w:rsid w:val="00DA21CD"/>
    <w:rsid w:val="00DA5757"/>
    <w:rsid w:val="00DB6ABE"/>
    <w:rsid w:val="00DB7B86"/>
    <w:rsid w:val="00DC169F"/>
    <w:rsid w:val="00DC3971"/>
    <w:rsid w:val="00DC6767"/>
    <w:rsid w:val="00DD54E4"/>
    <w:rsid w:val="00DE14DF"/>
    <w:rsid w:val="00DE3233"/>
    <w:rsid w:val="00DE41D3"/>
    <w:rsid w:val="00DE4B42"/>
    <w:rsid w:val="00DE4FA8"/>
    <w:rsid w:val="00DE72AA"/>
    <w:rsid w:val="00DF17EA"/>
    <w:rsid w:val="00DF7BA7"/>
    <w:rsid w:val="00E078E6"/>
    <w:rsid w:val="00E20885"/>
    <w:rsid w:val="00E21E55"/>
    <w:rsid w:val="00E2668E"/>
    <w:rsid w:val="00E300C7"/>
    <w:rsid w:val="00E34AC4"/>
    <w:rsid w:val="00E375B8"/>
    <w:rsid w:val="00E405A9"/>
    <w:rsid w:val="00E506CB"/>
    <w:rsid w:val="00E512D6"/>
    <w:rsid w:val="00E52087"/>
    <w:rsid w:val="00E53A22"/>
    <w:rsid w:val="00E61BD4"/>
    <w:rsid w:val="00E6354A"/>
    <w:rsid w:val="00E638B4"/>
    <w:rsid w:val="00E65E6E"/>
    <w:rsid w:val="00E72BAB"/>
    <w:rsid w:val="00E778D7"/>
    <w:rsid w:val="00E815FD"/>
    <w:rsid w:val="00E81EA2"/>
    <w:rsid w:val="00E8218D"/>
    <w:rsid w:val="00E82C1F"/>
    <w:rsid w:val="00E84105"/>
    <w:rsid w:val="00E8444D"/>
    <w:rsid w:val="00E863FD"/>
    <w:rsid w:val="00E868B3"/>
    <w:rsid w:val="00E8788F"/>
    <w:rsid w:val="00E8EBD8"/>
    <w:rsid w:val="00E91394"/>
    <w:rsid w:val="00E92801"/>
    <w:rsid w:val="00E94B41"/>
    <w:rsid w:val="00E9711C"/>
    <w:rsid w:val="00E97CB2"/>
    <w:rsid w:val="00EA63BA"/>
    <w:rsid w:val="00EB18A9"/>
    <w:rsid w:val="00EB48B3"/>
    <w:rsid w:val="00EB6BD0"/>
    <w:rsid w:val="00EC3C3B"/>
    <w:rsid w:val="00EC4340"/>
    <w:rsid w:val="00EC4A02"/>
    <w:rsid w:val="00EC52A7"/>
    <w:rsid w:val="00EC54F4"/>
    <w:rsid w:val="00EC75F0"/>
    <w:rsid w:val="00ED318B"/>
    <w:rsid w:val="00ED3419"/>
    <w:rsid w:val="00ED41B6"/>
    <w:rsid w:val="00ED6B0C"/>
    <w:rsid w:val="00ED6BC7"/>
    <w:rsid w:val="00ED7C18"/>
    <w:rsid w:val="00EE2163"/>
    <w:rsid w:val="00EE4CF0"/>
    <w:rsid w:val="00EE626C"/>
    <w:rsid w:val="00EF33FD"/>
    <w:rsid w:val="00EF3592"/>
    <w:rsid w:val="00EF4144"/>
    <w:rsid w:val="00F01825"/>
    <w:rsid w:val="00F02F55"/>
    <w:rsid w:val="00F045C1"/>
    <w:rsid w:val="00F07537"/>
    <w:rsid w:val="00F2113D"/>
    <w:rsid w:val="00F228DC"/>
    <w:rsid w:val="00F23AC0"/>
    <w:rsid w:val="00F30E73"/>
    <w:rsid w:val="00F31ABB"/>
    <w:rsid w:val="00F329DA"/>
    <w:rsid w:val="00F34A4B"/>
    <w:rsid w:val="00F35F04"/>
    <w:rsid w:val="00F41464"/>
    <w:rsid w:val="00F46A8F"/>
    <w:rsid w:val="00F530DD"/>
    <w:rsid w:val="00F60D90"/>
    <w:rsid w:val="00F61C2F"/>
    <w:rsid w:val="00F6443A"/>
    <w:rsid w:val="00F72AD3"/>
    <w:rsid w:val="00F73808"/>
    <w:rsid w:val="00F740A8"/>
    <w:rsid w:val="00F8300F"/>
    <w:rsid w:val="00F83203"/>
    <w:rsid w:val="00F877AF"/>
    <w:rsid w:val="00F87B8D"/>
    <w:rsid w:val="00F87F23"/>
    <w:rsid w:val="00F90028"/>
    <w:rsid w:val="00F904A6"/>
    <w:rsid w:val="00F92D47"/>
    <w:rsid w:val="00FA08BC"/>
    <w:rsid w:val="00FA2153"/>
    <w:rsid w:val="00FA4BDA"/>
    <w:rsid w:val="00FA674B"/>
    <w:rsid w:val="00FB1C6B"/>
    <w:rsid w:val="00FB1FD9"/>
    <w:rsid w:val="00FB2F67"/>
    <w:rsid w:val="00FB3A39"/>
    <w:rsid w:val="00FB4E91"/>
    <w:rsid w:val="00FC178C"/>
    <w:rsid w:val="00FC296F"/>
    <w:rsid w:val="00FC4462"/>
    <w:rsid w:val="00FC4920"/>
    <w:rsid w:val="00FC58D0"/>
    <w:rsid w:val="00FD14FA"/>
    <w:rsid w:val="00FD3775"/>
    <w:rsid w:val="00FD53DB"/>
    <w:rsid w:val="00FE22AE"/>
    <w:rsid w:val="00FE2992"/>
    <w:rsid w:val="00FE2E5E"/>
    <w:rsid w:val="00FE3163"/>
    <w:rsid w:val="00FE3B55"/>
    <w:rsid w:val="00FE4604"/>
    <w:rsid w:val="00FE6A37"/>
    <w:rsid w:val="00FE74C2"/>
    <w:rsid w:val="00FF15DE"/>
    <w:rsid w:val="00FF1A6F"/>
    <w:rsid w:val="00FF657D"/>
    <w:rsid w:val="0129082F"/>
    <w:rsid w:val="0218379B"/>
    <w:rsid w:val="024DC69F"/>
    <w:rsid w:val="03A9DC90"/>
    <w:rsid w:val="03ADEC79"/>
    <w:rsid w:val="043E0356"/>
    <w:rsid w:val="04A2ADD9"/>
    <w:rsid w:val="04B0FA1C"/>
    <w:rsid w:val="05122584"/>
    <w:rsid w:val="054F3F63"/>
    <w:rsid w:val="061CA5CF"/>
    <w:rsid w:val="0666B30E"/>
    <w:rsid w:val="06C242A4"/>
    <w:rsid w:val="07548407"/>
    <w:rsid w:val="0850576C"/>
    <w:rsid w:val="08707776"/>
    <w:rsid w:val="08BE7A8E"/>
    <w:rsid w:val="08FFDD7F"/>
    <w:rsid w:val="092F5D5C"/>
    <w:rsid w:val="09E41508"/>
    <w:rsid w:val="0A5E553D"/>
    <w:rsid w:val="0BDA93AF"/>
    <w:rsid w:val="0C44C13C"/>
    <w:rsid w:val="0CEDF99C"/>
    <w:rsid w:val="0DF338D0"/>
    <w:rsid w:val="0E1E5114"/>
    <w:rsid w:val="0E29B874"/>
    <w:rsid w:val="0E5420EA"/>
    <w:rsid w:val="0E56325A"/>
    <w:rsid w:val="0F27E6B0"/>
    <w:rsid w:val="105DDF9F"/>
    <w:rsid w:val="136E8951"/>
    <w:rsid w:val="13879D4F"/>
    <w:rsid w:val="13D2194C"/>
    <w:rsid w:val="13FA8DDF"/>
    <w:rsid w:val="14997D4A"/>
    <w:rsid w:val="14BA9F9B"/>
    <w:rsid w:val="15C01EF7"/>
    <w:rsid w:val="15E2F51C"/>
    <w:rsid w:val="160C2DE9"/>
    <w:rsid w:val="171D48EB"/>
    <w:rsid w:val="17E22995"/>
    <w:rsid w:val="192C5067"/>
    <w:rsid w:val="192DE3BB"/>
    <w:rsid w:val="1ABB24B3"/>
    <w:rsid w:val="1BDE76CC"/>
    <w:rsid w:val="1C336F3F"/>
    <w:rsid w:val="1C89F4B3"/>
    <w:rsid w:val="1D0DDF74"/>
    <w:rsid w:val="1D5FD335"/>
    <w:rsid w:val="1D8EFA93"/>
    <w:rsid w:val="1D91C4D7"/>
    <w:rsid w:val="1E463E7B"/>
    <w:rsid w:val="1E5CBF1F"/>
    <w:rsid w:val="1FA43BB3"/>
    <w:rsid w:val="203F2670"/>
    <w:rsid w:val="2098CC67"/>
    <w:rsid w:val="20D3C3AE"/>
    <w:rsid w:val="210A7EB1"/>
    <w:rsid w:val="22779D3A"/>
    <w:rsid w:val="22DF8B6C"/>
    <w:rsid w:val="233D35C9"/>
    <w:rsid w:val="23634766"/>
    <w:rsid w:val="23840842"/>
    <w:rsid w:val="23A7D65E"/>
    <w:rsid w:val="2491840C"/>
    <w:rsid w:val="2519F485"/>
    <w:rsid w:val="25463A08"/>
    <w:rsid w:val="262D546D"/>
    <w:rsid w:val="26345BC8"/>
    <w:rsid w:val="264A51B5"/>
    <w:rsid w:val="2736C3BF"/>
    <w:rsid w:val="27F8DEB9"/>
    <w:rsid w:val="28B8F665"/>
    <w:rsid w:val="2912A458"/>
    <w:rsid w:val="29F661DB"/>
    <w:rsid w:val="2A001120"/>
    <w:rsid w:val="2A202C8F"/>
    <w:rsid w:val="2B0BDBD1"/>
    <w:rsid w:val="2B6BB3C7"/>
    <w:rsid w:val="2C48F0E7"/>
    <w:rsid w:val="2C8395CD"/>
    <w:rsid w:val="2CD9559A"/>
    <w:rsid w:val="2DF814CF"/>
    <w:rsid w:val="2DFDEC9F"/>
    <w:rsid w:val="2E7525FB"/>
    <w:rsid w:val="2F87D60C"/>
    <w:rsid w:val="30083F88"/>
    <w:rsid w:val="3010F65C"/>
    <w:rsid w:val="30BE783A"/>
    <w:rsid w:val="31ACC6BD"/>
    <w:rsid w:val="326A8558"/>
    <w:rsid w:val="3279CA3B"/>
    <w:rsid w:val="329F57A9"/>
    <w:rsid w:val="32B83565"/>
    <w:rsid w:val="32D4B2E5"/>
    <w:rsid w:val="32E70665"/>
    <w:rsid w:val="333FE04A"/>
    <w:rsid w:val="3348971E"/>
    <w:rsid w:val="33C7266F"/>
    <w:rsid w:val="34337F27"/>
    <w:rsid w:val="344862C7"/>
    <w:rsid w:val="34EA11F3"/>
    <w:rsid w:val="34FCAAAC"/>
    <w:rsid w:val="3574D3A7"/>
    <w:rsid w:val="35F9D6E8"/>
    <w:rsid w:val="35FA723B"/>
    <w:rsid w:val="36076CD5"/>
    <w:rsid w:val="366E4012"/>
    <w:rsid w:val="36996A6E"/>
    <w:rsid w:val="369BD5E9"/>
    <w:rsid w:val="3708446F"/>
    <w:rsid w:val="37361A37"/>
    <w:rsid w:val="37CAD652"/>
    <w:rsid w:val="38613DB1"/>
    <w:rsid w:val="38A414D0"/>
    <w:rsid w:val="3A85AA64"/>
    <w:rsid w:val="3AC1D63A"/>
    <w:rsid w:val="3AC3474A"/>
    <w:rsid w:val="3B05AE83"/>
    <w:rsid w:val="3BB42F28"/>
    <w:rsid w:val="3BE5C9D4"/>
    <w:rsid w:val="3CDC5D46"/>
    <w:rsid w:val="3D5467AC"/>
    <w:rsid w:val="3DAD3A94"/>
    <w:rsid w:val="3DC7D0E8"/>
    <w:rsid w:val="3E11D204"/>
    <w:rsid w:val="3E2CE167"/>
    <w:rsid w:val="3FA7D7B8"/>
    <w:rsid w:val="3FEE7AB5"/>
    <w:rsid w:val="400D2B4B"/>
    <w:rsid w:val="40F2E8E5"/>
    <w:rsid w:val="4180FB7D"/>
    <w:rsid w:val="42921914"/>
    <w:rsid w:val="42A5F316"/>
    <w:rsid w:val="42FE9DB2"/>
    <w:rsid w:val="438F04FE"/>
    <w:rsid w:val="43E395B1"/>
    <w:rsid w:val="4452BB83"/>
    <w:rsid w:val="459A901C"/>
    <w:rsid w:val="4605F8A3"/>
    <w:rsid w:val="46363E74"/>
    <w:rsid w:val="464DF79A"/>
    <w:rsid w:val="46AC7C64"/>
    <w:rsid w:val="4793F6F6"/>
    <w:rsid w:val="4815852B"/>
    <w:rsid w:val="4826784A"/>
    <w:rsid w:val="48565A8B"/>
    <w:rsid w:val="486D1FEC"/>
    <w:rsid w:val="492FC757"/>
    <w:rsid w:val="4A01F632"/>
    <w:rsid w:val="4A9FE02E"/>
    <w:rsid w:val="4ACB97B8"/>
    <w:rsid w:val="4B9EF4C4"/>
    <w:rsid w:val="4C07F6F0"/>
    <w:rsid w:val="4CEB06E8"/>
    <w:rsid w:val="4D84EA5F"/>
    <w:rsid w:val="4DCA4BBB"/>
    <w:rsid w:val="4E7E12B1"/>
    <w:rsid w:val="4ED03B8D"/>
    <w:rsid w:val="4EE41457"/>
    <w:rsid w:val="4F81B299"/>
    <w:rsid w:val="5029A3BD"/>
    <w:rsid w:val="508776CD"/>
    <w:rsid w:val="50BE65BE"/>
    <w:rsid w:val="511D82FA"/>
    <w:rsid w:val="51B8FA6D"/>
    <w:rsid w:val="52355136"/>
    <w:rsid w:val="539F5931"/>
    <w:rsid w:val="53D092B3"/>
    <w:rsid w:val="53E39B08"/>
    <w:rsid w:val="544EBE15"/>
    <w:rsid w:val="550581C1"/>
    <w:rsid w:val="565AFBAC"/>
    <w:rsid w:val="574C2DEC"/>
    <w:rsid w:val="5761F624"/>
    <w:rsid w:val="5861841D"/>
    <w:rsid w:val="58AD411B"/>
    <w:rsid w:val="58EBE114"/>
    <w:rsid w:val="594144D7"/>
    <w:rsid w:val="595B148B"/>
    <w:rsid w:val="59D61F09"/>
    <w:rsid w:val="5A481E86"/>
    <w:rsid w:val="5A6285E4"/>
    <w:rsid w:val="5AA5926F"/>
    <w:rsid w:val="5AF6E4EC"/>
    <w:rsid w:val="5BB88A8C"/>
    <w:rsid w:val="5C2A792D"/>
    <w:rsid w:val="5C2AB25F"/>
    <w:rsid w:val="5CB83EFD"/>
    <w:rsid w:val="5CC77AE8"/>
    <w:rsid w:val="5CFE2B1A"/>
    <w:rsid w:val="5D2E7D9A"/>
    <w:rsid w:val="5D39919A"/>
    <w:rsid w:val="5E6BF3BE"/>
    <w:rsid w:val="5EB08A4B"/>
    <w:rsid w:val="5EF3F6DA"/>
    <w:rsid w:val="5F78A8DF"/>
    <w:rsid w:val="5F9804BF"/>
    <w:rsid w:val="5FC37262"/>
    <w:rsid w:val="609D031F"/>
    <w:rsid w:val="60D4B3B6"/>
    <w:rsid w:val="613EEAD4"/>
    <w:rsid w:val="61952FBA"/>
    <w:rsid w:val="635863B8"/>
    <w:rsid w:val="63DD28DF"/>
    <w:rsid w:val="64FBF3BC"/>
    <w:rsid w:val="656F1867"/>
    <w:rsid w:val="66DC0809"/>
    <w:rsid w:val="67AF5370"/>
    <w:rsid w:val="67F433F0"/>
    <w:rsid w:val="6869AFC6"/>
    <w:rsid w:val="687359F2"/>
    <w:rsid w:val="692BF0EE"/>
    <w:rsid w:val="69DED6A8"/>
    <w:rsid w:val="6A262437"/>
    <w:rsid w:val="6A5FB8EC"/>
    <w:rsid w:val="6AA3C089"/>
    <w:rsid w:val="6AC7AC25"/>
    <w:rsid w:val="6B109953"/>
    <w:rsid w:val="6C1BC7B3"/>
    <w:rsid w:val="6C2F13C2"/>
    <w:rsid w:val="6DEB222F"/>
    <w:rsid w:val="6E510C9B"/>
    <w:rsid w:val="6E9947A7"/>
    <w:rsid w:val="6FDBB95C"/>
    <w:rsid w:val="6FF4B93E"/>
    <w:rsid w:val="7034EFCF"/>
    <w:rsid w:val="70351808"/>
    <w:rsid w:val="70BB146F"/>
    <w:rsid w:val="72AA213E"/>
    <w:rsid w:val="73155149"/>
    <w:rsid w:val="7351BF25"/>
    <w:rsid w:val="74E9032E"/>
    <w:rsid w:val="754D9E61"/>
    <w:rsid w:val="75517751"/>
    <w:rsid w:val="762B4C76"/>
    <w:rsid w:val="76586681"/>
    <w:rsid w:val="7696FFBB"/>
    <w:rsid w:val="76AFF52A"/>
    <w:rsid w:val="76D9AB48"/>
    <w:rsid w:val="77425588"/>
    <w:rsid w:val="77434A1A"/>
    <w:rsid w:val="7778A8AA"/>
    <w:rsid w:val="777E3B22"/>
    <w:rsid w:val="79757C02"/>
    <w:rsid w:val="7A192A41"/>
    <w:rsid w:val="7A32A991"/>
    <w:rsid w:val="7B1D3460"/>
    <w:rsid w:val="7BF3E788"/>
    <w:rsid w:val="7DB14B15"/>
    <w:rsid w:val="7E1B4E8B"/>
    <w:rsid w:val="7F909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EADAB"/>
  <w15:chartTrackingRefBased/>
  <w15:docId w15:val="{E533A0F4-EA92-448B-B1D6-7AA5551BC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lsdException w:name="FollowedHyperlink" w:locked="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locked="0"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locked="0"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7C1E6C"/>
    <w:pPr>
      <w:spacing w:line="312" w:lineRule="auto"/>
    </w:pPr>
    <w:rPr>
      <w:sz w:val="24"/>
    </w:rPr>
  </w:style>
  <w:style w:type="paragraph" w:styleId="Heading1">
    <w:name w:val="heading 1"/>
    <w:basedOn w:val="Normal"/>
    <w:next w:val="Normal"/>
    <w:link w:val="Heading1Char"/>
    <w:uiPriority w:val="9"/>
    <w:qFormat/>
    <w:rsid w:val="0018695F"/>
    <w:pPr>
      <w:keepNext/>
      <w:keepLines/>
      <w:pBdr>
        <w:bottom w:val="single" w:sz="4" w:space="1" w:color="FFBF3F" w:themeColor="accent4"/>
      </w:pBdr>
      <w:spacing w:before="360" w:after="240" w:line="276" w:lineRule="auto"/>
      <w:ind w:left="720" w:hanging="720"/>
      <w:outlineLvl w:val="0"/>
    </w:pPr>
    <w:rPr>
      <w:rFonts w:asciiTheme="majorHAnsi" w:eastAsiaTheme="majorEastAsia" w:hAnsiTheme="majorHAnsi" w:cstheme="majorBidi"/>
      <w:color w:val="002F6C" w:themeColor="text1"/>
      <w:sz w:val="32"/>
      <w:szCs w:val="36"/>
    </w:rPr>
  </w:style>
  <w:style w:type="paragraph" w:styleId="Heading2">
    <w:name w:val="heading 2"/>
    <w:basedOn w:val="Normal"/>
    <w:next w:val="Normal"/>
    <w:link w:val="Heading2Char"/>
    <w:uiPriority w:val="9"/>
    <w:qFormat/>
    <w:rsid w:val="0018695F"/>
    <w:pPr>
      <w:keepNext/>
      <w:keepLines/>
      <w:spacing w:before="240" w:line="276" w:lineRule="auto"/>
      <w:ind w:left="720" w:hanging="720"/>
      <w:outlineLvl w:val="1"/>
    </w:pPr>
    <w:rPr>
      <w:rFonts w:asciiTheme="majorHAnsi" w:eastAsiaTheme="majorEastAsia" w:hAnsiTheme="majorHAnsi" w:cstheme="majorBidi"/>
      <w:color w:val="000000" w:themeColor="text2"/>
      <w:sz w:val="28"/>
      <w:szCs w:val="28"/>
    </w:rPr>
  </w:style>
  <w:style w:type="paragraph" w:styleId="Heading3">
    <w:name w:val="heading 3"/>
    <w:basedOn w:val="Normal"/>
    <w:next w:val="Normal"/>
    <w:link w:val="Heading3Char"/>
    <w:uiPriority w:val="9"/>
    <w:qFormat/>
    <w:rsid w:val="00095FA1"/>
    <w:pPr>
      <w:spacing w:before="240" w:after="0"/>
      <w:outlineLvl w:val="2"/>
    </w:pPr>
    <w:rPr>
      <w:b/>
      <w:color w:val="000000" w:themeColor="text2"/>
      <w:sz w:val="28"/>
    </w:rPr>
  </w:style>
  <w:style w:type="paragraph" w:styleId="Heading4">
    <w:name w:val="heading 4"/>
    <w:basedOn w:val="Normal"/>
    <w:next w:val="Normal"/>
    <w:link w:val="Heading4Char"/>
    <w:uiPriority w:val="9"/>
    <w:unhideWhenUsed/>
    <w:qFormat/>
    <w:rsid w:val="008952DF"/>
    <w:pPr>
      <w:keepNext/>
      <w:keepLines/>
      <w:spacing w:before="80" w:after="0"/>
      <w:outlineLvl w:val="3"/>
    </w:pPr>
    <w:rPr>
      <w:rFonts w:asciiTheme="majorHAnsi" w:eastAsiaTheme="majorEastAsia" w:hAnsiTheme="majorHAnsi" w:cstheme="majorBidi"/>
      <w:szCs w:val="24"/>
    </w:rPr>
  </w:style>
  <w:style w:type="paragraph" w:styleId="Heading5">
    <w:name w:val="heading 5"/>
    <w:basedOn w:val="Normal"/>
    <w:next w:val="Normal"/>
    <w:link w:val="Heading5Char"/>
    <w:uiPriority w:val="9"/>
    <w:semiHidden/>
    <w:unhideWhenUsed/>
    <w:qFormat/>
    <w:locked/>
    <w:rsid w:val="008952DF"/>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locked/>
    <w:rsid w:val="008952DF"/>
    <w:pPr>
      <w:keepNext/>
      <w:keepLines/>
      <w:spacing w:before="80" w:after="0"/>
      <w:outlineLvl w:val="5"/>
    </w:pPr>
    <w:rPr>
      <w:rFonts w:asciiTheme="majorHAnsi" w:eastAsiaTheme="majorEastAsia" w:hAnsiTheme="majorHAnsi" w:cstheme="majorBidi"/>
      <w:color w:val="006AF8" w:themeColor="text1" w:themeTint="A6"/>
    </w:rPr>
  </w:style>
  <w:style w:type="paragraph" w:styleId="Heading7">
    <w:name w:val="heading 7"/>
    <w:basedOn w:val="Normal"/>
    <w:next w:val="Normal"/>
    <w:link w:val="Heading7Char"/>
    <w:uiPriority w:val="9"/>
    <w:semiHidden/>
    <w:unhideWhenUsed/>
    <w:qFormat/>
    <w:locked/>
    <w:rsid w:val="008952DF"/>
    <w:pPr>
      <w:keepNext/>
      <w:keepLines/>
      <w:spacing w:before="80" w:after="0"/>
      <w:outlineLvl w:val="6"/>
    </w:pPr>
    <w:rPr>
      <w:rFonts w:asciiTheme="majorHAnsi" w:eastAsiaTheme="majorEastAsia" w:hAnsiTheme="majorHAnsi" w:cstheme="majorBidi"/>
      <w:i/>
      <w:iCs/>
      <w:color w:val="006AF8" w:themeColor="text1" w:themeTint="A6"/>
    </w:rPr>
  </w:style>
  <w:style w:type="paragraph" w:styleId="Heading8">
    <w:name w:val="heading 8"/>
    <w:basedOn w:val="Normal"/>
    <w:next w:val="Normal"/>
    <w:link w:val="Heading8Char"/>
    <w:uiPriority w:val="9"/>
    <w:semiHidden/>
    <w:unhideWhenUsed/>
    <w:qFormat/>
    <w:locked/>
    <w:rsid w:val="008952DF"/>
    <w:pPr>
      <w:keepNext/>
      <w:keepLines/>
      <w:spacing w:before="80" w:after="0"/>
      <w:outlineLvl w:val="7"/>
    </w:pPr>
    <w:rPr>
      <w:rFonts w:asciiTheme="majorHAnsi" w:eastAsiaTheme="majorEastAsia" w:hAnsiTheme="majorHAnsi" w:cstheme="majorBidi"/>
      <w:smallCaps/>
      <w:color w:val="006AF8" w:themeColor="text1" w:themeTint="A6"/>
    </w:rPr>
  </w:style>
  <w:style w:type="paragraph" w:styleId="Heading9">
    <w:name w:val="heading 9"/>
    <w:basedOn w:val="Normal"/>
    <w:next w:val="Normal"/>
    <w:link w:val="Heading9Char"/>
    <w:uiPriority w:val="9"/>
    <w:semiHidden/>
    <w:unhideWhenUsed/>
    <w:qFormat/>
    <w:locked/>
    <w:rsid w:val="008952DF"/>
    <w:pPr>
      <w:keepNext/>
      <w:keepLines/>
      <w:spacing w:before="80" w:after="0"/>
      <w:outlineLvl w:val="8"/>
    </w:pPr>
    <w:rPr>
      <w:rFonts w:asciiTheme="majorHAnsi" w:eastAsiaTheme="majorEastAsia" w:hAnsiTheme="majorHAnsi" w:cstheme="majorBidi"/>
      <w:i/>
      <w:iCs/>
      <w:smallCaps/>
      <w:color w:val="006AF8"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B8D"/>
    <w:pPr>
      <w:ind w:left="720"/>
      <w:contextualSpacing/>
    </w:pPr>
  </w:style>
  <w:style w:type="paragraph" w:customStyle="1" w:styleId="squarebullets">
    <w:name w:val="square bullets"/>
    <w:basedOn w:val="ListParagraph"/>
    <w:qFormat/>
    <w:rsid w:val="00B0244B"/>
    <w:pPr>
      <w:numPr>
        <w:numId w:val="14"/>
      </w:numPr>
      <w:spacing w:line="276" w:lineRule="auto"/>
    </w:pPr>
  </w:style>
  <w:style w:type="paragraph" w:customStyle="1" w:styleId="numberedlist">
    <w:name w:val="numbered list"/>
    <w:basedOn w:val="squarebullets"/>
    <w:qFormat/>
    <w:rsid w:val="00F87B8D"/>
    <w:pPr>
      <w:numPr>
        <w:numId w:val="7"/>
      </w:numPr>
    </w:pPr>
  </w:style>
  <w:style w:type="paragraph" w:customStyle="1" w:styleId="footertext">
    <w:name w:val="footer text"/>
    <w:basedOn w:val="Normal"/>
    <w:rsid w:val="00C00AB0"/>
    <w:pPr>
      <w:spacing w:line="360" w:lineRule="auto"/>
    </w:pPr>
    <w:rPr>
      <w:rFonts w:ascii="Helvetica" w:eastAsia="Times New Roman" w:hAnsi="Helvetica" w:cs="Helvetica"/>
      <w:color w:val="FFFFFF"/>
      <w:sz w:val="15"/>
      <w:szCs w:val="15"/>
    </w:rPr>
  </w:style>
  <w:style w:type="character" w:customStyle="1" w:styleId="Heading1Char">
    <w:name w:val="Heading 1 Char"/>
    <w:basedOn w:val="DefaultParagraphFont"/>
    <w:link w:val="Heading1"/>
    <w:uiPriority w:val="9"/>
    <w:rsid w:val="0018695F"/>
    <w:rPr>
      <w:rFonts w:asciiTheme="majorHAnsi" w:eastAsiaTheme="majorEastAsia" w:hAnsiTheme="majorHAnsi" w:cstheme="majorBidi"/>
      <w:color w:val="002F6C" w:themeColor="text1"/>
      <w:sz w:val="32"/>
      <w:szCs w:val="36"/>
    </w:rPr>
  </w:style>
  <w:style w:type="character" w:customStyle="1" w:styleId="Heading2Char">
    <w:name w:val="Heading 2 Char"/>
    <w:basedOn w:val="DefaultParagraphFont"/>
    <w:link w:val="Heading2"/>
    <w:uiPriority w:val="9"/>
    <w:rsid w:val="0018695F"/>
    <w:rPr>
      <w:rFonts w:asciiTheme="majorHAnsi" w:eastAsiaTheme="majorEastAsia" w:hAnsiTheme="majorHAnsi" w:cstheme="majorBidi"/>
      <w:color w:val="000000" w:themeColor="text2"/>
      <w:sz w:val="28"/>
      <w:szCs w:val="28"/>
    </w:rPr>
  </w:style>
  <w:style w:type="character" w:customStyle="1" w:styleId="Heading3Char">
    <w:name w:val="Heading 3 Char"/>
    <w:basedOn w:val="DefaultParagraphFont"/>
    <w:link w:val="Heading3"/>
    <w:uiPriority w:val="9"/>
    <w:rsid w:val="00095FA1"/>
    <w:rPr>
      <w:b/>
      <w:color w:val="000000" w:themeColor="text2"/>
      <w:sz w:val="28"/>
    </w:rPr>
  </w:style>
  <w:style w:type="character" w:customStyle="1" w:styleId="Heading4Char">
    <w:name w:val="Heading 4 Char"/>
    <w:basedOn w:val="DefaultParagraphFont"/>
    <w:link w:val="Heading4"/>
    <w:uiPriority w:val="9"/>
    <w:rsid w:val="008952DF"/>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8952DF"/>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8952DF"/>
    <w:rPr>
      <w:rFonts w:asciiTheme="majorHAnsi" w:eastAsiaTheme="majorEastAsia" w:hAnsiTheme="majorHAnsi" w:cstheme="majorBidi"/>
      <w:color w:val="006AF8" w:themeColor="text1" w:themeTint="A6"/>
    </w:rPr>
  </w:style>
  <w:style w:type="character" w:customStyle="1" w:styleId="Heading7Char">
    <w:name w:val="Heading 7 Char"/>
    <w:basedOn w:val="DefaultParagraphFont"/>
    <w:link w:val="Heading7"/>
    <w:uiPriority w:val="9"/>
    <w:semiHidden/>
    <w:rsid w:val="008952DF"/>
    <w:rPr>
      <w:rFonts w:asciiTheme="majorHAnsi" w:eastAsiaTheme="majorEastAsia" w:hAnsiTheme="majorHAnsi" w:cstheme="majorBidi"/>
      <w:i/>
      <w:iCs/>
      <w:color w:val="006AF8" w:themeColor="text1" w:themeTint="A6"/>
    </w:rPr>
  </w:style>
  <w:style w:type="character" w:customStyle="1" w:styleId="Heading8Char">
    <w:name w:val="Heading 8 Char"/>
    <w:basedOn w:val="DefaultParagraphFont"/>
    <w:link w:val="Heading8"/>
    <w:uiPriority w:val="9"/>
    <w:semiHidden/>
    <w:rsid w:val="008952DF"/>
    <w:rPr>
      <w:rFonts w:asciiTheme="majorHAnsi" w:eastAsiaTheme="majorEastAsia" w:hAnsiTheme="majorHAnsi" w:cstheme="majorBidi"/>
      <w:smallCaps/>
      <w:color w:val="006AF8" w:themeColor="text1" w:themeTint="A6"/>
    </w:rPr>
  </w:style>
  <w:style w:type="character" w:customStyle="1" w:styleId="Heading9Char">
    <w:name w:val="Heading 9 Char"/>
    <w:basedOn w:val="DefaultParagraphFont"/>
    <w:link w:val="Heading9"/>
    <w:uiPriority w:val="9"/>
    <w:semiHidden/>
    <w:rsid w:val="008952DF"/>
    <w:rPr>
      <w:rFonts w:asciiTheme="majorHAnsi" w:eastAsiaTheme="majorEastAsia" w:hAnsiTheme="majorHAnsi" w:cstheme="majorBidi"/>
      <w:i/>
      <w:iCs/>
      <w:smallCaps/>
      <w:color w:val="006AF8" w:themeColor="text1" w:themeTint="A6"/>
    </w:rPr>
  </w:style>
  <w:style w:type="paragraph" w:styleId="Caption">
    <w:name w:val="caption"/>
    <w:basedOn w:val="Normal"/>
    <w:next w:val="Normal"/>
    <w:uiPriority w:val="35"/>
    <w:semiHidden/>
    <w:unhideWhenUsed/>
    <w:qFormat/>
    <w:locked/>
    <w:rsid w:val="008952DF"/>
    <w:pPr>
      <w:spacing w:line="240" w:lineRule="auto"/>
    </w:pPr>
    <w:rPr>
      <w:b/>
      <w:bCs/>
      <w:color w:val="005AD0" w:themeColor="text1" w:themeTint="BF"/>
      <w:sz w:val="20"/>
      <w:szCs w:val="20"/>
    </w:rPr>
  </w:style>
  <w:style w:type="table" w:styleId="GridTable1Light-Accent2">
    <w:name w:val="Grid Table 1 Light Accent 2"/>
    <w:basedOn w:val="TableNormal"/>
    <w:uiPriority w:val="46"/>
    <w:locked/>
    <w:rsid w:val="00726EA3"/>
    <w:pPr>
      <w:spacing w:after="0" w:line="240" w:lineRule="auto"/>
    </w:pPr>
    <w:tblPr>
      <w:tblStyleRowBandSize w:val="1"/>
      <w:tblStyleColBandSize w:val="1"/>
      <w:tblBorders>
        <w:top w:val="single" w:sz="4" w:space="0" w:color="FFBCBD" w:themeColor="accent2" w:themeTint="66"/>
        <w:left w:val="single" w:sz="4" w:space="0" w:color="FFBCBD" w:themeColor="accent2" w:themeTint="66"/>
        <w:bottom w:val="single" w:sz="4" w:space="0" w:color="FFBCBD" w:themeColor="accent2" w:themeTint="66"/>
        <w:right w:val="single" w:sz="4" w:space="0" w:color="FFBCBD" w:themeColor="accent2" w:themeTint="66"/>
        <w:insideH w:val="single" w:sz="4" w:space="0" w:color="FFBCBD" w:themeColor="accent2" w:themeTint="66"/>
        <w:insideV w:val="single" w:sz="4" w:space="0" w:color="FFBCBD" w:themeColor="accent2" w:themeTint="66"/>
      </w:tblBorders>
    </w:tblPr>
    <w:tblStylePr w:type="firstRow">
      <w:rPr>
        <w:b/>
        <w:bCs/>
      </w:rPr>
      <w:tblPr/>
      <w:tcPr>
        <w:tcBorders>
          <w:bottom w:val="single" w:sz="12" w:space="0" w:color="FF9A9D" w:themeColor="accent2" w:themeTint="99"/>
        </w:tcBorders>
      </w:tcPr>
    </w:tblStylePr>
    <w:tblStylePr w:type="lastRow">
      <w:rPr>
        <w:b/>
        <w:bCs/>
      </w:rPr>
      <w:tblPr/>
      <w:tcPr>
        <w:tcBorders>
          <w:top w:val="double" w:sz="2" w:space="0" w:color="FF9A9D" w:themeColor="accent2" w:themeTint="99"/>
        </w:tcBorders>
      </w:tcPr>
    </w:tblStylePr>
    <w:tblStylePr w:type="firstCol">
      <w:rPr>
        <w:b/>
        <w:bCs/>
      </w:rPr>
    </w:tblStylePr>
    <w:tblStylePr w:type="lastCol">
      <w:rPr>
        <w:b/>
        <w:bCs/>
      </w:rPr>
    </w:tblStylePr>
  </w:style>
  <w:style w:type="table" w:styleId="GridTable4-Accent4">
    <w:name w:val="Grid Table 4 Accent 4"/>
    <w:basedOn w:val="TableNormal"/>
    <w:uiPriority w:val="49"/>
    <w:locked/>
    <w:rsid w:val="00B377FC"/>
    <w:pPr>
      <w:spacing w:after="0" w:line="240" w:lineRule="auto"/>
    </w:pPr>
    <w:tblPr>
      <w:tblStyleRowBandSize w:val="1"/>
      <w:tblStyleColBandSize w:val="1"/>
      <w:tblBorders>
        <w:top w:val="single" w:sz="4" w:space="0" w:color="FFD88B" w:themeColor="accent4" w:themeTint="99"/>
        <w:left w:val="single" w:sz="4" w:space="0" w:color="FFD88B" w:themeColor="accent4" w:themeTint="99"/>
        <w:bottom w:val="single" w:sz="4" w:space="0" w:color="FFD88B" w:themeColor="accent4" w:themeTint="99"/>
        <w:right w:val="single" w:sz="4" w:space="0" w:color="FFD88B" w:themeColor="accent4" w:themeTint="99"/>
        <w:insideH w:val="single" w:sz="4" w:space="0" w:color="FFD88B" w:themeColor="accent4" w:themeTint="99"/>
        <w:insideV w:val="single" w:sz="4" w:space="0" w:color="FFD88B" w:themeColor="accent4" w:themeTint="99"/>
      </w:tblBorders>
      <w:tblCellMar>
        <w:top w:w="113" w:type="dxa"/>
        <w:bottom w:w="113" w:type="dxa"/>
      </w:tblCellMar>
    </w:tblPr>
    <w:tblStylePr w:type="firstRow">
      <w:rPr>
        <w:b/>
        <w:bCs/>
        <w:color w:val="FFFFFF" w:themeColor="background1"/>
      </w:rPr>
      <w:tblPr/>
      <w:tcPr>
        <w:tcBorders>
          <w:top w:val="single" w:sz="24" w:space="0" w:color="FFBF3F" w:themeColor="accent4"/>
          <w:left w:val="single" w:sz="24" w:space="0" w:color="FFBF3F" w:themeColor="accent4"/>
          <w:bottom w:val="single" w:sz="24" w:space="0" w:color="FFBF3F" w:themeColor="accent4"/>
          <w:right w:val="single" w:sz="24" w:space="0" w:color="FFBF3F" w:themeColor="accent4"/>
          <w:insideH w:val="nil"/>
          <w:insideV w:val="nil"/>
        </w:tcBorders>
        <w:shd w:val="clear" w:color="auto" w:fill="FFBF3F" w:themeFill="accent4"/>
      </w:tcPr>
    </w:tblStylePr>
    <w:tblStylePr w:type="lastRow">
      <w:rPr>
        <w:b/>
        <w:bCs/>
      </w:rPr>
      <w:tblPr/>
      <w:tcPr>
        <w:tcBorders>
          <w:top w:val="double" w:sz="4" w:space="0" w:color="FFBF3F" w:themeColor="accent4"/>
        </w:tcBorders>
      </w:tcPr>
    </w:tblStylePr>
    <w:tblStylePr w:type="firstCol">
      <w:rPr>
        <w:b/>
        <w:bCs/>
      </w:rPr>
    </w:tblStylePr>
    <w:tblStylePr w:type="lastCol">
      <w:rPr>
        <w:b/>
        <w:bCs/>
      </w:rPr>
    </w:tblStylePr>
    <w:tblStylePr w:type="band1Vert">
      <w:tblPr/>
      <w:tcPr>
        <w:shd w:val="clear" w:color="auto" w:fill="FFF2D8" w:themeFill="accent4" w:themeFillTint="33"/>
      </w:tcPr>
    </w:tblStylePr>
    <w:tblStylePr w:type="band1Horz">
      <w:tblPr/>
      <w:tcPr>
        <w:shd w:val="clear" w:color="auto" w:fill="FFF2D8" w:themeFill="accent4" w:themeFillTint="33"/>
      </w:tcPr>
    </w:tblStylePr>
  </w:style>
  <w:style w:type="table" w:styleId="GridTable4-Accent2">
    <w:name w:val="Grid Table 4 Accent 2"/>
    <w:basedOn w:val="TableNormal"/>
    <w:uiPriority w:val="49"/>
    <w:locked/>
    <w:rsid w:val="00B377FC"/>
    <w:pPr>
      <w:spacing w:after="0" w:line="240" w:lineRule="auto"/>
    </w:pPr>
    <w:tblPr>
      <w:tblStyleRowBandSize w:val="1"/>
      <w:tblStyleColBandSize w:val="1"/>
      <w:tblBorders>
        <w:top w:val="single" w:sz="4" w:space="0" w:color="FF9A9D" w:themeColor="accent2" w:themeTint="99"/>
        <w:left w:val="single" w:sz="4" w:space="0" w:color="FF9A9D" w:themeColor="accent2" w:themeTint="99"/>
        <w:bottom w:val="single" w:sz="4" w:space="0" w:color="FF9A9D" w:themeColor="accent2" w:themeTint="99"/>
        <w:right w:val="single" w:sz="4" w:space="0" w:color="FF9A9D" w:themeColor="accent2" w:themeTint="99"/>
        <w:insideH w:val="single" w:sz="4" w:space="0" w:color="FF9A9D" w:themeColor="accent2" w:themeTint="99"/>
        <w:insideV w:val="single" w:sz="4" w:space="0" w:color="FF9A9D" w:themeColor="accent2" w:themeTint="99"/>
      </w:tblBorders>
      <w:tblCellMar>
        <w:top w:w="113" w:type="dxa"/>
        <w:bottom w:w="113" w:type="dxa"/>
      </w:tblCellMar>
    </w:tblPr>
    <w:tblStylePr w:type="firstRow">
      <w:rPr>
        <w:b/>
        <w:bCs/>
        <w:color w:val="FFFFFF" w:themeColor="background1"/>
      </w:rPr>
      <w:tblPr/>
      <w:tcPr>
        <w:tcBorders>
          <w:top w:val="single" w:sz="4" w:space="0" w:color="FF585D" w:themeColor="accent2"/>
          <w:left w:val="single" w:sz="4" w:space="0" w:color="FF585D" w:themeColor="accent2"/>
          <w:bottom w:val="single" w:sz="4" w:space="0" w:color="FF585D" w:themeColor="accent2"/>
          <w:right w:val="single" w:sz="4" w:space="0" w:color="FF585D" w:themeColor="accent2"/>
          <w:insideH w:val="nil"/>
          <w:insideV w:val="nil"/>
        </w:tcBorders>
        <w:shd w:val="clear" w:color="auto" w:fill="FF585D" w:themeFill="accent2"/>
      </w:tcPr>
    </w:tblStylePr>
    <w:tblStylePr w:type="lastRow">
      <w:rPr>
        <w:b/>
        <w:bCs/>
      </w:rPr>
      <w:tblPr/>
      <w:tcPr>
        <w:tcBorders>
          <w:top w:val="double" w:sz="4" w:space="0" w:color="FF585D" w:themeColor="accent2"/>
        </w:tcBorders>
      </w:tcPr>
    </w:tblStylePr>
    <w:tblStylePr w:type="firstCol">
      <w:rPr>
        <w:b/>
        <w:bCs/>
      </w:rPr>
    </w:tblStylePr>
    <w:tblStylePr w:type="lastCol">
      <w:rPr>
        <w:b/>
        <w:bCs/>
      </w:rPr>
    </w:tblStylePr>
    <w:tblStylePr w:type="band1Vert">
      <w:tblPr/>
      <w:tcPr>
        <w:shd w:val="clear" w:color="auto" w:fill="FFDDDE" w:themeFill="accent2" w:themeFillTint="33"/>
      </w:tcPr>
    </w:tblStylePr>
    <w:tblStylePr w:type="band1Horz">
      <w:tblPr/>
      <w:tcPr>
        <w:shd w:val="clear" w:color="auto" w:fill="FFDDDE" w:themeFill="accent2" w:themeFillTint="33"/>
      </w:tcPr>
    </w:tblStylePr>
  </w:style>
  <w:style w:type="table" w:styleId="GridTable4-Accent1">
    <w:name w:val="Grid Table 4 Accent 1"/>
    <w:basedOn w:val="TableNormal"/>
    <w:uiPriority w:val="49"/>
    <w:locked/>
    <w:rsid w:val="00B377FC"/>
    <w:pPr>
      <w:spacing w:after="0" w:line="240" w:lineRule="auto"/>
    </w:pPr>
    <w:tblPr>
      <w:tblStyleRowBandSize w:val="1"/>
      <w:tblStyleColBandSize w:val="1"/>
      <w:tblBorders>
        <w:top w:val="single" w:sz="4" w:space="0" w:color="52CBFF" w:themeColor="accent1" w:themeTint="99"/>
        <w:left w:val="single" w:sz="4" w:space="0" w:color="52CBFF" w:themeColor="accent1" w:themeTint="99"/>
        <w:bottom w:val="single" w:sz="4" w:space="0" w:color="52CBFF" w:themeColor="accent1" w:themeTint="99"/>
        <w:right w:val="single" w:sz="4" w:space="0" w:color="52CBFF" w:themeColor="accent1" w:themeTint="99"/>
        <w:insideH w:val="single" w:sz="4" w:space="0" w:color="52CBFF" w:themeColor="accent1" w:themeTint="99"/>
        <w:insideV w:val="single" w:sz="4" w:space="0" w:color="52CBFF" w:themeColor="accent1" w:themeTint="99"/>
      </w:tblBorders>
      <w:tblCellMar>
        <w:top w:w="113" w:type="dxa"/>
        <w:bottom w:w="113" w:type="dxa"/>
      </w:tblCellMar>
    </w:tblPr>
    <w:tblStylePr w:type="firstRow">
      <w:rPr>
        <w:rFonts w:ascii="Arial" w:hAnsi="Arial"/>
        <w:b/>
        <w:bCs/>
        <w:color w:val="002F6C" w:themeColor="text1"/>
      </w:rPr>
      <w:tblPr/>
      <w:tcPr>
        <w:tcBorders>
          <w:top w:val="single" w:sz="4" w:space="0" w:color="009CDE" w:themeColor="accent1"/>
          <w:left w:val="single" w:sz="4" w:space="0" w:color="009CDE" w:themeColor="accent1"/>
          <w:bottom w:val="single" w:sz="4" w:space="0" w:color="009CDE" w:themeColor="accent1"/>
          <w:right w:val="single" w:sz="4" w:space="0" w:color="009CDE" w:themeColor="accent1"/>
          <w:insideH w:val="nil"/>
          <w:insideV w:val="nil"/>
        </w:tcBorders>
        <w:shd w:val="clear" w:color="auto" w:fill="009CDE" w:themeFill="accent1"/>
      </w:tcPr>
    </w:tblStylePr>
    <w:tblStylePr w:type="lastRow">
      <w:rPr>
        <w:b/>
        <w:bCs/>
      </w:rPr>
      <w:tblPr/>
      <w:tcPr>
        <w:tcBorders>
          <w:top w:val="double" w:sz="4" w:space="0" w:color="009CDE" w:themeColor="accent1"/>
        </w:tcBorders>
      </w:tcPr>
    </w:tblStylePr>
    <w:tblStylePr w:type="firstCol">
      <w:rPr>
        <w:b/>
        <w:bCs/>
      </w:rPr>
    </w:tblStylePr>
    <w:tblStylePr w:type="lastCol">
      <w:rPr>
        <w:b/>
        <w:bCs/>
      </w:rPr>
    </w:tblStylePr>
    <w:tblStylePr w:type="band1Vert">
      <w:tblPr/>
      <w:tcPr>
        <w:shd w:val="clear" w:color="auto" w:fill="C5EDFF" w:themeFill="accent1" w:themeFillTint="33"/>
      </w:tcPr>
    </w:tblStylePr>
    <w:tblStylePr w:type="band1Horz">
      <w:tblPr/>
      <w:tcPr>
        <w:shd w:val="clear" w:color="auto" w:fill="C5EDFF" w:themeFill="accent1" w:themeFillTint="33"/>
      </w:tcPr>
    </w:tblStylePr>
  </w:style>
  <w:style w:type="paragraph" w:styleId="NoSpacing">
    <w:name w:val="No Spacing"/>
    <w:uiPriority w:val="1"/>
    <w:qFormat/>
    <w:rsid w:val="008952DF"/>
    <w:pPr>
      <w:spacing w:after="0" w:line="240" w:lineRule="auto"/>
    </w:pPr>
  </w:style>
  <w:style w:type="paragraph" w:styleId="Quote">
    <w:name w:val="Quote"/>
    <w:basedOn w:val="Normal"/>
    <w:next w:val="Normal"/>
    <w:link w:val="QuoteChar"/>
    <w:uiPriority w:val="29"/>
    <w:qFormat/>
    <w:rsid w:val="00B0244B"/>
    <w:pPr>
      <w:pBdr>
        <w:left w:val="single" w:sz="36" w:space="12" w:color="002F6C" w:themeColor="text1"/>
      </w:pBdr>
      <w:spacing w:before="240" w:after="240" w:line="252" w:lineRule="auto"/>
      <w:ind w:left="340" w:right="862"/>
    </w:pPr>
    <w:rPr>
      <w:iCs/>
    </w:rPr>
  </w:style>
  <w:style w:type="character" w:customStyle="1" w:styleId="QuoteChar">
    <w:name w:val="Quote Char"/>
    <w:basedOn w:val="DefaultParagraphFont"/>
    <w:link w:val="Quote"/>
    <w:uiPriority w:val="29"/>
    <w:rsid w:val="00B0244B"/>
    <w:rPr>
      <w:iCs/>
      <w:sz w:val="24"/>
    </w:rPr>
  </w:style>
  <w:style w:type="table" w:styleId="TableGridLight">
    <w:name w:val="Grid Table Light"/>
    <w:basedOn w:val="TableNormal"/>
    <w:uiPriority w:val="40"/>
    <w:rsid w:val="00B377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style>
  <w:style w:type="table" w:styleId="PlainTable1">
    <w:name w:val="Plain Table 1"/>
    <w:basedOn w:val="TableNormal"/>
    <w:uiPriority w:val="41"/>
    <w:rsid w:val="00B377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B377FC"/>
    <w:pPr>
      <w:spacing w:after="0" w:line="240" w:lineRule="auto"/>
    </w:pPr>
    <w:tblPr>
      <w:tblStyleRowBandSize w:val="1"/>
      <w:tblStyleColBandSize w:val="1"/>
      <w:tblBorders>
        <w:top w:val="single" w:sz="4" w:space="0" w:color="358CFF" w:themeColor="text1" w:themeTint="80"/>
        <w:bottom w:val="single" w:sz="4" w:space="0" w:color="358CFF" w:themeColor="text1" w:themeTint="80"/>
      </w:tblBorders>
      <w:tblCellMar>
        <w:top w:w="113" w:type="dxa"/>
        <w:bottom w:w="113" w:type="dxa"/>
      </w:tblCellMar>
    </w:tblPr>
    <w:tblStylePr w:type="firstRow">
      <w:rPr>
        <w:b/>
        <w:bCs/>
      </w:rPr>
      <w:tblPr/>
      <w:tcPr>
        <w:tcBorders>
          <w:bottom w:val="single" w:sz="4" w:space="0" w:color="358CFF" w:themeColor="text1" w:themeTint="80"/>
        </w:tcBorders>
      </w:tcPr>
    </w:tblStylePr>
    <w:tblStylePr w:type="lastRow">
      <w:rPr>
        <w:b/>
        <w:bCs/>
      </w:rPr>
      <w:tblPr/>
      <w:tcPr>
        <w:tcBorders>
          <w:top w:val="single" w:sz="4" w:space="0" w:color="358CFF" w:themeColor="text1" w:themeTint="80"/>
        </w:tcBorders>
      </w:tcPr>
    </w:tblStylePr>
    <w:tblStylePr w:type="firstCol">
      <w:rPr>
        <w:b/>
        <w:bCs/>
      </w:rPr>
    </w:tblStylePr>
    <w:tblStylePr w:type="lastCol">
      <w:rPr>
        <w:b/>
        <w:bCs/>
      </w:rPr>
    </w:tblStylePr>
    <w:tblStylePr w:type="band1Vert">
      <w:tblPr/>
      <w:tcPr>
        <w:tcBorders>
          <w:left w:val="single" w:sz="4" w:space="0" w:color="358CFF" w:themeColor="text1" w:themeTint="80"/>
          <w:right w:val="single" w:sz="4" w:space="0" w:color="358CFF" w:themeColor="text1" w:themeTint="80"/>
        </w:tcBorders>
      </w:tcPr>
    </w:tblStylePr>
    <w:tblStylePr w:type="band2Vert">
      <w:tblPr/>
      <w:tcPr>
        <w:tcBorders>
          <w:left w:val="single" w:sz="4" w:space="0" w:color="358CFF" w:themeColor="text1" w:themeTint="80"/>
          <w:right w:val="single" w:sz="4" w:space="0" w:color="358CFF" w:themeColor="text1" w:themeTint="80"/>
        </w:tcBorders>
      </w:tcPr>
    </w:tblStylePr>
    <w:tblStylePr w:type="band1Horz">
      <w:tblPr/>
      <w:tcPr>
        <w:tcBorders>
          <w:top w:val="single" w:sz="4" w:space="0" w:color="358CFF" w:themeColor="text1" w:themeTint="80"/>
          <w:bottom w:val="single" w:sz="4" w:space="0" w:color="358CFF" w:themeColor="text1" w:themeTint="80"/>
        </w:tcBorders>
      </w:tcPr>
    </w:tblStylePr>
  </w:style>
  <w:style w:type="table" w:styleId="GridTable3">
    <w:name w:val="Grid Table 3"/>
    <w:basedOn w:val="TableNormal"/>
    <w:uiPriority w:val="48"/>
    <w:locked/>
    <w:rsid w:val="00726EA3"/>
    <w:pPr>
      <w:spacing w:after="0" w:line="240" w:lineRule="auto"/>
    </w:pPr>
    <w:tblPr>
      <w:tblStyleRowBandSize w:val="1"/>
      <w:tblStyleColBandSize w:val="1"/>
      <w:tblBorders>
        <w:top w:val="single" w:sz="4" w:space="0" w:color="0D75FF" w:themeColor="text1" w:themeTint="99"/>
        <w:left w:val="single" w:sz="4" w:space="0" w:color="0D75FF" w:themeColor="text1" w:themeTint="99"/>
        <w:bottom w:val="single" w:sz="4" w:space="0" w:color="0D75FF" w:themeColor="text1" w:themeTint="99"/>
        <w:right w:val="single" w:sz="4" w:space="0" w:color="0D75FF" w:themeColor="text1" w:themeTint="99"/>
        <w:insideH w:val="single" w:sz="4" w:space="0" w:color="0D75FF" w:themeColor="text1" w:themeTint="99"/>
        <w:insideV w:val="single" w:sz="4" w:space="0" w:color="0D75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ED1FF" w:themeFill="text1" w:themeFillTint="33"/>
      </w:tcPr>
    </w:tblStylePr>
    <w:tblStylePr w:type="band1Horz">
      <w:tblPr/>
      <w:tcPr>
        <w:shd w:val="clear" w:color="auto" w:fill="AED1FF" w:themeFill="text1" w:themeFillTint="33"/>
      </w:tcPr>
    </w:tblStylePr>
    <w:tblStylePr w:type="neCell">
      <w:tblPr/>
      <w:tcPr>
        <w:tcBorders>
          <w:bottom w:val="single" w:sz="4" w:space="0" w:color="0D75FF" w:themeColor="text1" w:themeTint="99"/>
        </w:tcBorders>
      </w:tcPr>
    </w:tblStylePr>
    <w:tblStylePr w:type="nwCell">
      <w:tblPr/>
      <w:tcPr>
        <w:tcBorders>
          <w:bottom w:val="single" w:sz="4" w:space="0" w:color="0D75FF" w:themeColor="text1" w:themeTint="99"/>
        </w:tcBorders>
      </w:tcPr>
    </w:tblStylePr>
    <w:tblStylePr w:type="seCell">
      <w:tblPr/>
      <w:tcPr>
        <w:tcBorders>
          <w:top w:val="single" w:sz="4" w:space="0" w:color="0D75FF" w:themeColor="text1" w:themeTint="99"/>
        </w:tcBorders>
      </w:tcPr>
    </w:tblStylePr>
    <w:tblStylePr w:type="swCell">
      <w:tblPr/>
      <w:tcPr>
        <w:tcBorders>
          <w:top w:val="single" w:sz="4" w:space="0" w:color="0D75FF" w:themeColor="text1" w:themeTint="99"/>
        </w:tcBorders>
      </w:tcPr>
    </w:tblStylePr>
  </w:style>
  <w:style w:type="paragraph" w:styleId="Header">
    <w:name w:val="header"/>
    <w:basedOn w:val="Normal"/>
    <w:link w:val="HeaderChar"/>
    <w:unhideWhenUsed/>
    <w:locked/>
    <w:rsid w:val="000244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46C"/>
    <w:rPr>
      <w:sz w:val="24"/>
    </w:rPr>
  </w:style>
  <w:style w:type="paragraph" w:styleId="Footer">
    <w:name w:val="footer"/>
    <w:basedOn w:val="Normal"/>
    <w:link w:val="FooterChar"/>
    <w:uiPriority w:val="99"/>
    <w:unhideWhenUsed/>
    <w:locked/>
    <w:rsid w:val="0002446C"/>
    <w:pPr>
      <w:tabs>
        <w:tab w:val="center" w:pos="4513"/>
        <w:tab w:val="right" w:pos="9026"/>
      </w:tabs>
      <w:spacing w:after="0" w:line="240" w:lineRule="auto"/>
    </w:pPr>
  </w:style>
  <w:style w:type="paragraph" w:styleId="TOCHeading">
    <w:name w:val="TOC Heading"/>
    <w:basedOn w:val="Heading1"/>
    <w:next w:val="Normal"/>
    <w:uiPriority w:val="39"/>
    <w:semiHidden/>
    <w:unhideWhenUsed/>
    <w:qFormat/>
    <w:locked/>
    <w:rsid w:val="008952DF"/>
    <w:pPr>
      <w:outlineLvl w:val="9"/>
    </w:pPr>
  </w:style>
  <w:style w:type="character" w:customStyle="1" w:styleId="FooterChar">
    <w:name w:val="Footer Char"/>
    <w:basedOn w:val="DefaultParagraphFont"/>
    <w:link w:val="Footer"/>
    <w:uiPriority w:val="99"/>
    <w:rsid w:val="0002446C"/>
    <w:rPr>
      <w:sz w:val="24"/>
    </w:rPr>
  </w:style>
  <w:style w:type="paragraph" w:customStyle="1" w:styleId="Boldtext">
    <w:name w:val="Bold text"/>
    <w:basedOn w:val="Normal"/>
    <w:qFormat/>
    <w:rsid w:val="0002446C"/>
    <w:pPr>
      <w:spacing w:line="276" w:lineRule="auto"/>
    </w:pPr>
    <w:rPr>
      <w:b/>
    </w:rPr>
  </w:style>
  <w:style w:type="table" w:styleId="TableGrid">
    <w:name w:val="Table Grid"/>
    <w:basedOn w:val="TableNormal"/>
    <w:uiPriority w:val="39"/>
    <w:rsid w:val="00B37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paragraph" w:styleId="Title">
    <w:name w:val="Title"/>
    <w:basedOn w:val="Normal"/>
    <w:next w:val="Normal"/>
    <w:link w:val="TitleChar"/>
    <w:uiPriority w:val="10"/>
    <w:qFormat/>
    <w:locked/>
    <w:rsid w:val="00CC10AF"/>
    <w:pPr>
      <w:spacing w:after="0" w:line="240" w:lineRule="auto"/>
      <w:contextualSpacing/>
    </w:pPr>
    <w:rPr>
      <w:rFonts w:asciiTheme="majorHAnsi" w:eastAsiaTheme="majorEastAsia" w:hAnsiTheme="majorHAnsi" w:cstheme="majorBidi"/>
      <w:color w:val="FFFFFF" w:themeColor="background1"/>
      <w:spacing w:val="-10"/>
      <w:kern w:val="28"/>
      <w:sz w:val="56"/>
      <w:szCs w:val="56"/>
    </w:rPr>
  </w:style>
  <w:style w:type="character" w:customStyle="1" w:styleId="TitleChar">
    <w:name w:val="Title Char"/>
    <w:basedOn w:val="DefaultParagraphFont"/>
    <w:link w:val="Title"/>
    <w:uiPriority w:val="10"/>
    <w:rsid w:val="00CC10AF"/>
    <w:rPr>
      <w:rFonts w:asciiTheme="majorHAnsi" w:eastAsiaTheme="majorEastAsia" w:hAnsiTheme="majorHAnsi" w:cstheme="majorBidi"/>
      <w:color w:val="FFFFFF" w:themeColor="background1"/>
      <w:spacing w:val="-10"/>
      <w:kern w:val="28"/>
      <w:sz w:val="56"/>
      <w:szCs w:val="56"/>
    </w:rPr>
  </w:style>
  <w:style w:type="paragraph" w:styleId="Subtitle">
    <w:name w:val="Subtitle"/>
    <w:basedOn w:val="Normal"/>
    <w:next w:val="Normal"/>
    <w:link w:val="SubtitleChar"/>
    <w:uiPriority w:val="11"/>
    <w:qFormat/>
    <w:locked/>
    <w:rsid w:val="00CC10AF"/>
    <w:pPr>
      <w:numPr>
        <w:ilvl w:val="1"/>
      </w:numPr>
      <w:spacing w:after="160"/>
    </w:pPr>
    <w:rPr>
      <w:color w:val="FFFFFF" w:themeColor="background1"/>
      <w:spacing w:val="15"/>
      <w:sz w:val="22"/>
      <w:szCs w:val="22"/>
    </w:rPr>
  </w:style>
  <w:style w:type="character" w:customStyle="1" w:styleId="SubtitleChar">
    <w:name w:val="Subtitle Char"/>
    <w:basedOn w:val="DefaultParagraphFont"/>
    <w:link w:val="Subtitle"/>
    <w:uiPriority w:val="11"/>
    <w:rsid w:val="00CC10AF"/>
    <w:rPr>
      <w:color w:val="FFFFFF" w:themeColor="background1"/>
      <w:spacing w:val="15"/>
      <w:sz w:val="22"/>
      <w:szCs w:val="22"/>
    </w:rPr>
  </w:style>
  <w:style w:type="character" w:styleId="Hyperlink">
    <w:name w:val="Hyperlink"/>
    <w:basedOn w:val="DefaultParagraphFont"/>
    <w:uiPriority w:val="99"/>
    <w:rsid w:val="001D2598"/>
    <w:rPr>
      <w:color w:val="000000" w:themeColor="text2"/>
      <w:u w:val="single"/>
    </w:rPr>
  </w:style>
  <w:style w:type="paragraph" w:customStyle="1" w:styleId="largeprinttext">
    <w:name w:val="large print text"/>
    <w:basedOn w:val="Normal"/>
    <w:qFormat/>
    <w:rsid w:val="005E2D99"/>
    <w:pPr>
      <w:framePr w:hSpace="181" w:wrap="around" w:vAnchor="text" w:hAnchor="text" w:y="1"/>
      <w:spacing w:before="120" w:after="0" w:line="360" w:lineRule="auto"/>
      <w:suppressOverlap/>
    </w:pPr>
    <w:rPr>
      <w:sz w:val="32"/>
    </w:rPr>
  </w:style>
  <w:style w:type="paragraph" w:styleId="TOC1">
    <w:name w:val="toc 1"/>
    <w:basedOn w:val="Normal"/>
    <w:next w:val="Normal"/>
    <w:autoRedefine/>
    <w:uiPriority w:val="39"/>
    <w:unhideWhenUsed/>
    <w:rsid w:val="003E72CE"/>
    <w:pPr>
      <w:tabs>
        <w:tab w:val="right" w:leader="dot" w:pos="10466"/>
      </w:tabs>
      <w:spacing w:after="100"/>
    </w:pPr>
    <w:rPr>
      <w:b/>
      <w:noProof/>
    </w:rPr>
  </w:style>
  <w:style w:type="paragraph" w:customStyle="1" w:styleId="contentsheading">
    <w:name w:val="contents heading"/>
    <w:basedOn w:val="Normal"/>
    <w:qFormat/>
    <w:rsid w:val="00282693"/>
    <w:pPr>
      <w:pBdr>
        <w:bottom w:val="single" w:sz="4" w:space="1" w:color="009CDE" w:themeColor="accent1"/>
      </w:pBdr>
      <w:spacing w:after="240"/>
    </w:pPr>
    <w:rPr>
      <w:color w:val="009CDE" w:themeColor="accent1"/>
      <w:sz w:val="40"/>
      <w:szCs w:val="40"/>
    </w:rPr>
  </w:style>
  <w:style w:type="paragraph" w:styleId="TOC2">
    <w:name w:val="toc 2"/>
    <w:basedOn w:val="Normal"/>
    <w:next w:val="Normal"/>
    <w:autoRedefine/>
    <w:uiPriority w:val="39"/>
    <w:unhideWhenUsed/>
    <w:rsid w:val="00BD41A7"/>
    <w:pPr>
      <w:spacing w:after="100"/>
      <w:ind w:left="240"/>
    </w:pPr>
  </w:style>
  <w:style w:type="paragraph" w:styleId="TOC3">
    <w:name w:val="toc 3"/>
    <w:basedOn w:val="Normal"/>
    <w:next w:val="Normal"/>
    <w:autoRedefine/>
    <w:uiPriority w:val="39"/>
    <w:unhideWhenUsed/>
    <w:rsid w:val="00BD41A7"/>
    <w:pPr>
      <w:spacing w:after="100"/>
      <w:ind w:left="480"/>
    </w:pPr>
  </w:style>
  <w:style w:type="paragraph" w:styleId="BodyText">
    <w:name w:val="Body Text"/>
    <w:basedOn w:val="Normal"/>
    <w:link w:val="BodyTextChar"/>
    <w:uiPriority w:val="99"/>
    <w:semiHidden/>
    <w:unhideWhenUsed/>
    <w:locked/>
    <w:rsid w:val="00C20906"/>
  </w:style>
  <w:style w:type="character" w:customStyle="1" w:styleId="BodyTextChar">
    <w:name w:val="Body Text Char"/>
    <w:basedOn w:val="DefaultParagraphFont"/>
    <w:link w:val="BodyText"/>
    <w:uiPriority w:val="99"/>
    <w:semiHidden/>
    <w:rsid w:val="00C20906"/>
    <w:rPr>
      <w:sz w:val="24"/>
    </w:rPr>
  </w:style>
  <w:style w:type="table" w:styleId="ListTable4-Accent4">
    <w:name w:val="List Table 4 Accent 4"/>
    <w:basedOn w:val="TableNormal"/>
    <w:uiPriority w:val="49"/>
    <w:locked/>
    <w:rsid w:val="00FC4920"/>
    <w:pPr>
      <w:spacing w:after="0" w:line="240" w:lineRule="auto"/>
    </w:pPr>
    <w:rPr>
      <w:sz w:val="24"/>
    </w:rPr>
    <w:tblPr>
      <w:tblStyleRowBandSize w:val="1"/>
      <w:tblStyleColBandSize w:val="1"/>
      <w:tblBorders>
        <w:top w:val="single" w:sz="4" w:space="0" w:color="FFD88B" w:themeColor="accent4" w:themeTint="99"/>
        <w:left w:val="single" w:sz="4" w:space="0" w:color="FFD88B" w:themeColor="accent4" w:themeTint="99"/>
        <w:bottom w:val="single" w:sz="4" w:space="0" w:color="FFD88B" w:themeColor="accent4" w:themeTint="99"/>
        <w:right w:val="single" w:sz="4" w:space="0" w:color="FFD88B" w:themeColor="accent4" w:themeTint="99"/>
        <w:insideH w:val="single" w:sz="4" w:space="0" w:color="FFD88B" w:themeColor="accent4" w:themeTint="99"/>
      </w:tblBorders>
      <w:tblCellMar>
        <w:top w:w="113" w:type="dxa"/>
        <w:bottom w:w="113" w:type="dxa"/>
      </w:tblCellMar>
    </w:tblPr>
    <w:tblStylePr w:type="firstRow">
      <w:rPr>
        <w:rFonts w:ascii="Arial" w:hAnsi="Arial"/>
        <w:b/>
        <w:bCs/>
        <w:color w:val="FFFFFF" w:themeColor="background1"/>
        <w:sz w:val="24"/>
      </w:rPr>
      <w:tblPr/>
      <w:tcPr>
        <w:tcBorders>
          <w:top w:val="single" w:sz="4" w:space="0" w:color="FFBF3F" w:themeColor="accent4"/>
          <w:left w:val="single" w:sz="4" w:space="0" w:color="FFBF3F" w:themeColor="accent4"/>
          <w:bottom w:val="single" w:sz="4" w:space="0" w:color="FFBF3F" w:themeColor="accent4"/>
          <w:right w:val="single" w:sz="4" w:space="0" w:color="FFBF3F" w:themeColor="accent4"/>
          <w:insideH w:val="nil"/>
        </w:tcBorders>
        <w:shd w:val="clear" w:color="auto" w:fill="FFBF3F" w:themeFill="accent4"/>
      </w:tcPr>
    </w:tblStylePr>
    <w:tblStylePr w:type="lastRow">
      <w:rPr>
        <w:b/>
        <w:bCs/>
      </w:rPr>
      <w:tblPr/>
      <w:tcPr>
        <w:tcBorders>
          <w:top w:val="double" w:sz="4" w:space="0" w:color="FFD88B" w:themeColor="accent4" w:themeTint="99"/>
        </w:tcBorders>
      </w:tcPr>
    </w:tblStylePr>
    <w:tblStylePr w:type="firstCol">
      <w:rPr>
        <w:b w:val="0"/>
        <w:bCs/>
      </w:rPr>
    </w:tblStylePr>
    <w:tblStylePr w:type="lastCol">
      <w:rPr>
        <w:b w:val="0"/>
        <w:bCs/>
      </w:rPr>
    </w:tblStylePr>
    <w:tblStylePr w:type="band1Vert">
      <w:tblPr/>
      <w:tcPr>
        <w:shd w:val="clear" w:color="auto" w:fill="FFF2D8" w:themeFill="accent4" w:themeFillTint="33"/>
      </w:tcPr>
    </w:tblStylePr>
    <w:tblStylePr w:type="band1Horz">
      <w:tblPr/>
      <w:tcPr>
        <w:shd w:val="clear" w:color="auto" w:fill="FFF2D8" w:themeFill="accent4" w:themeFillTint="33"/>
      </w:tcPr>
    </w:tblStylePr>
  </w:style>
  <w:style w:type="table" w:styleId="ListTable4-Accent3">
    <w:name w:val="List Table 4 Accent 3"/>
    <w:basedOn w:val="TableNormal"/>
    <w:uiPriority w:val="49"/>
    <w:locked/>
    <w:rsid w:val="00D209BA"/>
    <w:pPr>
      <w:spacing w:after="0" w:line="240" w:lineRule="auto"/>
    </w:pPr>
    <w:tblPr>
      <w:tblStyleRowBandSize w:val="1"/>
      <w:tblStyleColBandSize w:val="1"/>
      <w:tblBorders>
        <w:top w:val="single" w:sz="4" w:space="0" w:color="31FF8B" w:themeColor="accent3" w:themeTint="99"/>
        <w:left w:val="single" w:sz="4" w:space="0" w:color="31FF8B" w:themeColor="accent3" w:themeTint="99"/>
        <w:bottom w:val="single" w:sz="4" w:space="0" w:color="31FF8B" w:themeColor="accent3" w:themeTint="99"/>
        <w:right w:val="single" w:sz="4" w:space="0" w:color="31FF8B" w:themeColor="accent3" w:themeTint="99"/>
        <w:insideH w:val="single" w:sz="4" w:space="0" w:color="31FF8B" w:themeColor="accent3" w:themeTint="99"/>
      </w:tblBorders>
      <w:tblCellMar>
        <w:top w:w="57" w:type="dxa"/>
        <w:bottom w:w="57" w:type="dxa"/>
      </w:tblCellMar>
    </w:tblPr>
    <w:tblStylePr w:type="firstRow">
      <w:rPr>
        <w:b/>
        <w:bCs/>
        <w:color w:val="FFFFFF" w:themeColor="background1"/>
      </w:rPr>
      <w:tblPr/>
      <w:tcPr>
        <w:tcBorders>
          <w:top w:val="single" w:sz="4" w:space="0" w:color="00A74A" w:themeColor="accent3"/>
          <w:left w:val="single" w:sz="4" w:space="0" w:color="00A74A" w:themeColor="accent3"/>
          <w:bottom w:val="single" w:sz="4" w:space="0" w:color="00A74A" w:themeColor="accent3"/>
          <w:right w:val="single" w:sz="4" w:space="0" w:color="00A74A" w:themeColor="accent3"/>
          <w:insideH w:val="nil"/>
        </w:tcBorders>
        <w:shd w:val="clear" w:color="auto" w:fill="00A74A" w:themeFill="accent3"/>
      </w:tcPr>
    </w:tblStylePr>
    <w:tblStylePr w:type="lastRow">
      <w:rPr>
        <w:b/>
        <w:bCs/>
      </w:rPr>
      <w:tblPr/>
      <w:tcPr>
        <w:tcBorders>
          <w:top w:val="double" w:sz="4" w:space="0" w:color="31FF8B" w:themeColor="accent3" w:themeTint="99"/>
        </w:tcBorders>
      </w:tcPr>
    </w:tblStylePr>
    <w:tblStylePr w:type="firstCol">
      <w:rPr>
        <w:b/>
        <w:bCs/>
      </w:rPr>
    </w:tblStylePr>
    <w:tblStylePr w:type="lastCol">
      <w:rPr>
        <w:b/>
        <w:bCs/>
      </w:rPr>
    </w:tblStylePr>
    <w:tblStylePr w:type="band1Vert">
      <w:tblPr/>
      <w:tcPr>
        <w:shd w:val="clear" w:color="auto" w:fill="BAFFD8" w:themeFill="accent3" w:themeFillTint="33"/>
      </w:tcPr>
    </w:tblStylePr>
    <w:tblStylePr w:type="band1Horz">
      <w:tblPr/>
      <w:tcPr>
        <w:shd w:val="clear" w:color="auto" w:fill="BAFFD8" w:themeFill="accent3" w:themeFillTint="33"/>
      </w:tcPr>
    </w:tblStylePr>
  </w:style>
  <w:style w:type="paragraph" w:styleId="NormalWeb">
    <w:name w:val="Normal (Web)"/>
    <w:basedOn w:val="Normal"/>
    <w:uiPriority w:val="99"/>
    <w:semiHidden/>
    <w:unhideWhenUsed/>
    <w:locked/>
    <w:rsid w:val="00E65E6E"/>
    <w:rPr>
      <w:rFonts w:ascii="Times New Roman" w:hAnsi="Times New Roman" w:cs="Times New Roman"/>
      <w:szCs w:val="24"/>
    </w:rPr>
  </w:style>
  <w:style w:type="table" w:styleId="ListTable4-Accent6">
    <w:name w:val="List Table 4 Accent 6"/>
    <w:basedOn w:val="TableNormal"/>
    <w:uiPriority w:val="49"/>
    <w:locked/>
    <w:rsid w:val="00095FA1"/>
    <w:pPr>
      <w:spacing w:after="0" w:line="240" w:lineRule="auto"/>
    </w:pPr>
    <w:tblPr>
      <w:tblStyleRowBandSize w:val="1"/>
      <w:tblStyleColBandSize w:val="1"/>
      <w:tblBorders>
        <w:top w:val="single" w:sz="4" w:space="0" w:color="E98BCF" w:themeColor="accent6" w:themeTint="99"/>
        <w:left w:val="single" w:sz="4" w:space="0" w:color="E98BCF" w:themeColor="accent6" w:themeTint="99"/>
        <w:bottom w:val="single" w:sz="4" w:space="0" w:color="E98BCF" w:themeColor="accent6" w:themeTint="99"/>
        <w:right w:val="single" w:sz="4" w:space="0" w:color="E98BCF" w:themeColor="accent6" w:themeTint="99"/>
        <w:insideH w:val="single" w:sz="4" w:space="0" w:color="E98BCF" w:themeColor="accent6" w:themeTint="99"/>
      </w:tblBorders>
      <w:tblCellMar>
        <w:top w:w="57" w:type="dxa"/>
        <w:bottom w:w="57" w:type="dxa"/>
      </w:tblCellMar>
    </w:tblPr>
    <w:tblStylePr w:type="firstRow">
      <w:rPr>
        <w:b/>
        <w:bCs/>
        <w:color w:val="FFFFFF" w:themeColor="background1"/>
      </w:rPr>
      <w:tblPr/>
      <w:tcPr>
        <w:tcBorders>
          <w:top w:val="single" w:sz="4" w:space="0" w:color="DB3EB1" w:themeColor="accent6"/>
          <w:left w:val="single" w:sz="4" w:space="0" w:color="DB3EB1" w:themeColor="accent6"/>
          <w:bottom w:val="single" w:sz="4" w:space="0" w:color="DB3EB1" w:themeColor="accent6"/>
          <w:right w:val="single" w:sz="4" w:space="0" w:color="DB3EB1" w:themeColor="accent6"/>
          <w:insideH w:val="nil"/>
        </w:tcBorders>
        <w:shd w:val="clear" w:color="auto" w:fill="DB3EB1" w:themeFill="accent6"/>
      </w:tcPr>
    </w:tblStylePr>
    <w:tblStylePr w:type="lastRow">
      <w:rPr>
        <w:b/>
        <w:bCs/>
      </w:rPr>
      <w:tblPr/>
      <w:tcPr>
        <w:tcBorders>
          <w:top w:val="double" w:sz="4" w:space="0" w:color="E98BCF" w:themeColor="accent6" w:themeTint="99"/>
        </w:tcBorders>
      </w:tcPr>
    </w:tblStylePr>
    <w:tblStylePr w:type="firstCol">
      <w:rPr>
        <w:b/>
        <w:bCs/>
      </w:rPr>
    </w:tblStylePr>
    <w:tblStylePr w:type="lastCol">
      <w:rPr>
        <w:b/>
        <w:bCs/>
      </w:rPr>
    </w:tblStylePr>
    <w:tblStylePr w:type="band1Vert">
      <w:tblPr/>
      <w:tcPr>
        <w:shd w:val="clear" w:color="auto" w:fill="F7D8EF" w:themeFill="accent6" w:themeFillTint="33"/>
      </w:tcPr>
    </w:tblStylePr>
    <w:tblStylePr w:type="band1Horz">
      <w:tblPr/>
      <w:tcPr>
        <w:shd w:val="clear" w:color="auto" w:fill="F7D8EF" w:themeFill="accent6" w:themeFillTint="33"/>
      </w:tcPr>
    </w:tblStylePr>
  </w:style>
  <w:style w:type="character" w:styleId="FollowedHyperlink">
    <w:name w:val="FollowedHyperlink"/>
    <w:basedOn w:val="DefaultParagraphFont"/>
    <w:uiPriority w:val="99"/>
    <w:rsid w:val="001D2598"/>
    <w:rPr>
      <w:color w:val="000000" w:themeColor="text2"/>
      <w:u w:val="single"/>
    </w:rPr>
  </w:style>
  <w:style w:type="table" w:styleId="GridTable1Light-Accent6">
    <w:name w:val="Grid Table 1 Light Accent 6"/>
    <w:basedOn w:val="TableNormal"/>
    <w:uiPriority w:val="46"/>
    <w:locked/>
    <w:rsid w:val="001D2598"/>
    <w:pPr>
      <w:spacing w:after="0" w:line="240" w:lineRule="auto"/>
    </w:pPr>
    <w:tblPr>
      <w:tblStyleRowBandSize w:val="1"/>
      <w:tblStyleColBandSize w:val="1"/>
      <w:tblBorders>
        <w:top w:val="single" w:sz="4" w:space="0" w:color="F0B1DF" w:themeColor="accent6" w:themeTint="66"/>
        <w:left w:val="single" w:sz="4" w:space="0" w:color="F0B1DF" w:themeColor="accent6" w:themeTint="66"/>
        <w:bottom w:val="single" w:sz="4" w:space="0" w:color="F0B1DF" w:themeColor="accent6" w:themeTint="66"/>
        <w:right w:val="single" w:sz="4" w:space="0" w:color="F0B1DF" w:themeColor="accent6" w:themeTint="66"/>
        <w:insideH w:val="single" w:sz="4" w:space="0" w:color="F0B1DF" w:themeColor="accent6" w:themeTint="66"/>
        <w:insideV w:val="single" w:sz="4" w:space="0" w:color="F0B1DF" w:themeColor="accent6" w:themeTint="66"/>
      </w:tblBorders>
    </w:tblPr>
    <w:tblStylePr w:type="firstRow">
      <w:rPr>
        <w:b/>
        <w:bCs/>
      </w:rPr>
      <w:tblPr/>
      <w:tcPr>
        <w:tcBorders>
          <w:bottom w:val="single" w:sz="12" w:space="0" w:color="E98BCF" w:themeColor="accent6" w:themeTint="99"/>
        </w:tcBorders>
      </w:tcPr>
    </w:tblStylePr>
    <w:tblStylePr w:type="lastRow">
      <w:rPr>
        <w:b/>
        <w:bCs/>
      </w:rPr>
      <w:tblPr/>
      <w:tcPr>
        <w:tcBorders>
          <w:top w:val="double" w:sz="2" w:space="0" w:color="E98BCF" w:themeColor="accent6"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D209BA"/>
    <w:pPr>
      <w:spacing w:after="0" w:line="240" w:lineRule="auto"/>
    </w:pPr>
    <w:tblPr>
      <w:tblStyleRowBandSize w:val="1"/>
      <w:tblStyleColBandSize w:val="1"/>
      <w:tblBorders>
        <w:top w:val="single" w:sz="4" w:space="0" w:color="75FFB1" w:themeColor="accent3" w:themeTint="66"/>
        <w:left w:val="single" w:sz="4" w:space="0" w:color="75FFB1" w:themeColor="accent3" w:themeTint="66"/>
        <w:bottom w:val="single" w:sz="4" w:space="0" w:color="75FFB1" w:themeColor="accent3" w:themeTint="66"/>
        <w:right w:val="single" w:sz="4" w:space="0" w:color="75FFB1" w:themeColor="accent3" w:themeTint="66"/>
        <w:insideH w:val="single" w:sz="4" w:space="0" w:color="75FFB1" w:themeColor="accent3" w:themeTint="66"/>
        <w:insideV w:val="single" w:sz="4" w:space="0" w:color="75FFB1" w:themeColor="accent3" w:themeTint="66"/>
      </w:tblBorders>
      <w:tblCellMar>
        <w:top w:w="57" w:type="dxa"/>
        <w:bottom w:w="57" w:type="dxa"/>
      </w:tblCellMar>
    </w:tblPr>
    <w:tblStylePr w:type="firstRow">
      <w:rPr>
        <w:b/>
        <w:bCs/>
      </w:rPr>
      <w:tblPr/>
      <w:tcPr>
        <w:tcBorders>
          <w:bottom w:val="single" w:sz="12" w:space="0" w:color="31FF8B" w:themeColor="accent3" w:themeTint="99"/>
        </w:tcBorders>
      </w:tcPr>
    </w:tblStylePr>
    <w:tblStylePr w:type="lastRow">
      <w:rPr>
        <w:b/>
        <w:bCs/>
      </w:rPr>
      <w:tblPr/>
      <w:tcPr>
        <w:tcBorders>
          <w:top w:val="double" w:sz="2" w:space="0" w:color="31FF8B" w:themeColor="accent3"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82693"/>
    <w:pPr>
      <w:spacing w:after="0" w:line="240" w:lineRule="auto"/>
    </w:pPr>
    <w:tblPr>
      <w:tblStyleRowBandSize w:val="1"/>
      <w:tblStyleColBandSize w:val="1"/>
      <w:tblBorders>
        <w:top w:val="single" w:sz="4" w:space="0" w:color="8BDCFF" w:themeColor="accent1" w:themeTint="66"/>
        <w:left w:val="single" w:sz="4" w:space="0" w:color="8BDCFF" w:themeColor="accent1" w:themeTint="66"/>
        <w:bottom w:val="single" w:sz="4" w:space="0" w:color="8BDCFF" w:themeColor="accent1" w:themeTint="66"/>
        <w:right w:val="single" w:sz="4" w:space="0" w:color="8BDCFF" w:themeColor="accent1" w:themeTint="66"/>
        <w:insideH w:val="single" w:sz="4" w:space="0" w:color="8BDCFF" w:themeColor="accent1" w:themeTint="66"/>
        <w:insideV w:val="single" w:sz="4" w:space="0" w:color="8BDCFF" w:themeColor="accent1" w:themeTint="66"/>
      </w:tblBorders>
      <w:tblCellMar>
        <w:top w:w="57" w:type="dxa"/>
        <w:bottom w:w="57" w:type="dxa"/>
      </w:tblCellMar>
    </w:tblPr>
    <w:tblStylePr w:type="firstRow">
      <w:rPr>
        <w:b/>
        <w:bCs/>
      </w:rPr>
      <w:tblPr/>
      <w:tcPr>
        <w:tcBorders>
          <w:bottom w:val="single" w:sz="12" w:space="0" w:color="52CBFF" w:themeColor="accent1" w:themeTint="99"/>
        </w:tcBorders>
      </w:tcPr>
    </w:tblStylePr>
    <w:tblStylePr w:type="lastRow">
      <w:rPr>
        <w:b/>
        <w:bCs/>
      </w:rPr>
      <w:tblPr/>
      <w:tcPr>
        <w:tcBorders>
          <w:top w:val="double" w:sz="2" w:space="0" w:color="52CBFF" w:themeColor="accent1" w:themeTint="99"/>
        </w:tcBorders>
      </w:tcPr>
    </w:tblStylePr>
    <w:tblStylePr w:type="firstCol">
      <w:rPr>
        <w:b/>
        <w:bCs/>
      </w:rPr>
    </w:tblStylePr>
    <w:tblStylePr w:type="lastCol">
      <w:rPr>
        <w:b/>
        <w:bCs/>
      </w:rPr>
    </w:tblStylePr>
  </w:style>
  <w:style w:type="table" w:styleId="ListTable4-Accent1">
    <w:name w:val="List Table 4 Accent 1"/>
    <w:basedOn w:val="TableNormal"/>
    <w:uiPriority w:val="49"/>
    <w:rsid w:val="00282693"/>
    <w:pPr>
      <w:spacing w:after="0" w:line="240" w:lineRule="auto"/>
    </w:pPr>
    <w:tblPr>
      <w:tblStyleRowBandSize w:val="1"/>
      <w:tblStyleColBandSize w:val="1"/>
      <w:tblBorders>
        <w:top w:val="single" w:sz="4" w:space="0" w:color="52CBFF" w:themeColor="accent1" w:themeTint="99"/>
        <w:left w:val="single" w:sz="4" w:space="0" w:color="52CBFF" w:themeColor="accent1" w:themeTint="99"/>
        <w:bottom w:val="single" w:sz="4" w:space="0" w:color="52CBFF" w:themeColor="accent1" w:themeTint="99"/>
        <w:right w:val="single" w:sz="4" w:space="0" w:color="52CBFF" w:themeColor="accent1" w:themeTint="99"/>
        <w:insideH w:val="single" w:sz="4" w:space="0" w:color="52CBFF" w:themeColor="accent1" w:themeTint="99"/>
      </w:tblBorders>
      <w:tblCellMar>
        <w:top w:w="57" w:type="dxa"/>
        <w:bottom w:w="57" w:type="dxa"/>
      </w:tblCellMar>
    </w:tblPr>
    <w:tblStylePr w:type="firstRow">
      <w:rPr>
        <w:b/>
        <w:bCs/>
        <w:color w:val="FFFFFF" w:themeColor="background1"/>
      </w:rPr>
      <w:tblPr/>
      <w:tcPr>
        <w:tcBorders>
          <w:top w:val="single" w:sz="4" w:space="0" w:color="009CDE" w:themeColor="accent1"/>
          <w:left w:val="single" w:sz="4" w:space="0" w:color="009CDE" w:themeColor="accent1"/>
          <w:bottom w:val="single" w:sz="4" w:space="0" w:color="009CDE" w:themeColor="accent1"/>
          <w:right w:val="single" w:sz="4" w:space="0" w:color="009CDE" w:themeColor="accent1"/>
          <w:insideH w:val="nil"/>
        </w:tcBorders>
        <w:shd w:val="clear" w:color="auto" w:fill="009CDE" w:themeFill="accent1"/>
      </w:tcPr>
    </w:tblStylePr>
    <w:tblStylePr w:type="lastRow">
      <w:rPr>
        <w:b/>
        <w:bCs/>
      </w:rPr>
      <w:tblPr/>
      <w:tcPr>
        <w:tcBorders>
          <w:top w:val="double" w:sz="4" w:space="0" w:color="52CBFF" w:themeColor="accent1" w:themeTint="99"/>
        </w:tcBorders>
      </w:tcPr>
    </w:tblStylePr>
    <w:tblStylePr w:type="firstCol">
      <w:rPr>
        <w:b/>
        <w:bCs/>
      </w:rPr>
    </w:tblStylePr>
    <w:tblStylePr w:type="lastCol">
      <w:rPr>
        <w:b/>
        <w:bCs/>
      </w:rPr>
    </w:tblStylePr>
    <w:tblStylePr w:type="band1Vert">
      <w:tblPr/>
      <w:tcPr>
        <w:shd w:val="clear" w:color="auto" w:fill="C5EDFF" w:themeFill="accent1" w:themeFillTint="33"/>
      </w:tcPr>
    </w:tblStylePr>
    <w:tblStylePr w:type="band1Horz">
      <w:tblPr/>
      <w:tcPr>
        <w:shd w:val="clear" w:color="auto" w:fill="C5EDFF" w:themeFill="accent1" w:themeFillTint="33"/>
      </w:tcPr>
    </w:tblStylePr>
  </w:style>
  <w:style w:type="character" w:styleId="PlaceholderText">
    <w:name w:val="Placeholder Text"/>
    <w:basedOn w:val="DefaultParagraphFont"/>
    <w:uiPriority w:val="99"/>
    <w:semiHidden/>
    <w:locked/>
    <w:rsid w:val="00B0244B"/>
    <w:rPr>
      <w:color w:val="808080"/>
    </w:rPr>
  </w:style>
  <w:style w:type="character" w:styleId="CommentReference">
    <w:name w:val="annotation reference"/>
    <w:basedOn w:val="DefaultParagraphFont"/>
    <w:uiPriority w:val="99"/>
    <w:semiHidden/>
    <w:unhideWhenUsed/>
    <w:locked/>
    <w:rsid w:val="00B0244B"/>
    <w:rPr>
      <w:sz w:val="16"/>
      <w:szCs w:val="16"/>
    </w:rPr>
  </w:style>
  <w:style w:type="paragraph" w:styleId="CommentText">
    <w:name w:val="annotation text"/>
    <w:basedOn w:val="Normal"/>
    <w:link w:val="CommentTextChar"/>
    <w:uiPriority w:val="99"/>
    <w:unhideWhenUsed/>
    <w:locked/>
    <w:rsid w:val="00B0244B"/>
    <w:pPr>
      <w:spacing w:line="240" w:lineRule="auto"/>
    </w:pPr>
    <w:rPr>
      <w:sz w:val="20"/>
      <w:szCs w:val="20"/>
    </w:rPr>
  </w:style>
  <w:style w:type="character" w:customStyle="1" w:styleId="CommentTextChar">
    <w:name w:val="Comment Text Char"/>
    <w:basedOn w:val="DefaultParagraphFont"/>
    <w:link w:val="CommentText"/>
    <w:uiPriority w:val="99"/>
    <w:rsid w:val="00B0244B"/>
    <w:rPr>
      <w:sz w:val="20"/>
      <w:szCs w:val="20"/>
    </w:rPr>
  </w:style>
  <w:style w:type="paragraph" w:styleId="CommentSubject">
    <w:name w:val="annotation subject"/>
    <w:basedOn w:val="CommentText"/>
    <w:next w:val="CommentText"/>
    <w:link w:val="CommentSubjectChar"/>
    <w:uiPriority w:val="99"/>
    <w:semiHidden/>
    <w:unhideWhenUsed/>
    <w:locked/>
    <w:rsid w:val="00B0244B"/>
    <w:rPr>
      <w:b/>
      <w:bCs/>
    </w:rPr>
  </w:style>
  <w:style w:type="character" w:customStyle="1" w:styleId="CommentSubjectChar">
    <w:name w:val="Comment Subject Char"/>
    <w:basedOn w:val="CommentTextChar"/>
    <w:link w:val="CommentSubject"/>
    <w:uiPriority w:val="99"/>
    <w:semiHidden/>
    <w:rsid w:val="00B0244B"/>
    <w:rPr>
      <w:b/>
      <w:bCs/>
      <w:sz w:val="20"/>
      <w:szCs w:val="20"/>
    </w:rPr>
  </w:style>
  <w:style w:type="paragraph" w:styleId="BalloonText">
    <w:name w:val="Balloon Text"/>
    <w:basedOn w:val="Normal"/>
    <w:link w:val="BalloonTextChar"/>
    <w:uiPriority w:val="99"/>
    <w:semiHidden/>
    <w:unhideWhenUsed/>
    <w:locked/>
    <w:rsid w:val="00B024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44B"/>
    <w:rPr>
      <w:rFonts w:ascii="Segoe UI" w:hAnsi="Segoe UI" w:cs="Segoe UI"/>
      <w:sz w:val="18"/>
      <w:szCs w:val="18"/>
    </w:rPr>
  </w:style>
  <w:style w:type="paragraph" w:customStyle="1" w:styleId="InstructionsPLEASEDELETE">
    <w:name w:val="Instructions PLEASE DELETE"/>
    <w:basedOn w:val="Normal"/>
    <w:qFormat/>
    <w:rsid w:val="000C6E08"/>
    <w:pPr>
      <w:pBdr>
        <w:left w:val="single" w:sz="24" w:space="4" w:color="FF585D" w:themeColor="accent2"/>
      </w:pBdr>
    </w:pPr>
    <w:rPr>
      <w:color w:val="FF585D" w:themeColor="accent2"/>
    </w:rPr>
  </w:style>
  <w:style w:type="paragraph" w:customStyle="1" w:styleId="formfieldtext">
    <w:name w:val="form field text"/>
    <w:basedOn w:val="Normal"/>
    <w:qFormat/>
    <w:rsid w:val="005846F2"/>
  </w:style>
  <w:style w:type="character" w:customStyle="1" w:styleId="boldbluetitle">
    <w:name w:val="bold blue title"/>
    <w:basedOn w:val="DefaultParagraphFont"/>
    <w:uiPriority w:val="1"/>
    <w:qFormat/>
    <w:rsid w:val="00057F1A"/>
    <w:rPr>
      <w:b/>
      <w:color w:val="auto"/>
    </w:rPr>
  </w:style>
  <w:style w:type="paragraph" w:customStyle="1" w:styleId="Indentedtextfornumberedlists">
    <w:name w:val="Indented text for numbered lists"/>
    <w:basedOn w:val="Normal"/>
    <w:qFormat/>
    <w:rsid w:val="0018695F"/>
    <w:pPr>
      <w:ind w:left="720" w:hanging="720"/>
    </w:pPr>
  </w:style>
  <w:style w:type="character" w:styleId="Strong">
    <w:name w:val="Strong"/>
    <w:basedOn w:val="DefaultParagraphFont"/>
    <w:uiPriority w:val="22"/>
    <w:qFormat/>
    <w:locked/>
    <w:rsid w:val="001469E3"/>
    <w:rPr>
      <w:b/>
      <w:bCs/>
    </w:rPr>
  </w:style>
  <w:style w:type="character" w:customStyle="1" w:styleId="None">
    <w:name w:val="None"/>
    <w:rsid w:val="005F112E"/>
  </w:style>
  <w:style w:type="paragraph" w:customStyle="1" w:styleId="BodyA">
    <w:name w:val="Body A"/>
    <w:rsid w:val="00894C61"/>
    <w:pPr>
      <w:widowControl w:val="0"/>
      <w:pBdr>
        <w:top w:val="nil"/>
        <w:left w:val="nil"/>
        <w:bottom w:val="nil"/>
        <w:right w:val="nil"/>
        <w:between w:val="nil"/>
        <w:bar w:val="nil"/>
      </w:pBdr>
      <w:spacing w:after="0" w:line="240" w:lineRule="auto"/>
      <w:jc w:val="both"/>
    </w:pPr>
    <w:rPr>
      <w:rFonts w:ascii="Times New Roman" w:eastAsia="Arial Unicode MS" w:hAnsi="Times New Roman" w:cs="Arial Unicode MS"/>
      <w:color w:val="000000"/>
      <w:sz w:val="24"/>
      <w:szCs w:val="24"/>
      <w:u w:color="000000"/>
      <w:bdr w:val="nil"/>
      <w:lang w:val="en-US" w:eastAsia="en-GB"/>
    </w:rPr>
  </w:style>
  <w:style w:type="numbering" w:customStyle="1" w:styleId="ImportedStyle2">
    <w:name w:val="Imported Style 2"/>
    <w:rsid w:val="00894C61"/>
    <w:pPr>
      <w:numPr>
        <w:numId w:val="38"/>
      </w:numPr>
    </w:pPr>
  </w:style>
  <w:style w:type="paragraph" w:styleId="Revision">
    <w:name w:val="Revision"/>
    <w:hidden/>
    <w:uiPriority w:val="99"/>
    <w:semiHidden/>
    <w:rsid w:val="005E0FDA"/>
    <w:pPr>
      <w:spacing w:after="0" w:line="240" w:lineRule="auto"/>
    </w:pPr>
    <w:rPr>
      <w:sz w:val="24"/>
    </w:rPr>
  </w:style>
  <w:style w:type="character" w:styleId="Mention">
    <w:name w:val="Mention"/>
    <w:basedOn w:val="DefaultParagraphFont"/>
    <w:uiPriority w:val="99"/>
    <w:unhideWhenUsed/>
    <w:rsid w:val="007551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6207">
      <w:bodyDiv w:val="1"/>
      <w:marLeft w:val="0"/>
      <w:marRight w:val="0"/>
      <w:marTop w:val="0"/>
      <w:marBottom w:val="0"/>
      <w:divBdr>
        <w:top w:val="none" w:sz="0" w:space="0" w:color="auto"/>
        <w:left w:val="none" w:sz="0" w:space="0" w:color="auto"/>
        <w:bottom w:val="none" w:sz="0" w:space="0" w:color="auto"/>
        <w:right w:val="none" w:sz="0" w:space="0" w:color="auto"/>
      </w:divBdr>
    </w:div>
    <w:div w:id="490217423">
      <w:bodyDiv w:val="1"/>
      <w:marLeft w:val="0"/>
      <w:marRight w:val="0"/>
      <w:marTop w:val="0"/>
      <w:marBottom w:val="0"/>
      <w:divBdr>
        <w:top w:val="none" w:sz="0" w:space="0" w:color="auto"/>
        <w:left w:val="none" w:sz="0" w:space="0" w:color="auto"/>
        <w:bottom w:val="none" w:sz="0" w:space="0" w:color="auto"/>
        <w:right w:val="none" w:sz="0" w:space="0" w:color="auto"/>
      </w:divBdr>
    </w:div>
    <w:div w:id="905804408">
      <w:bodyDiv w:val="1"/>
      <w:marLeft w:val="0"/>
      <w:marRight w:val="0"/>
      <w:marTop w:val="0"/>
      <w:marBottom w:val="0"/>
      <w:divBdr>
        <w:top w:val="none" w:sz="0" w:space="0" w:color="auto"/>
        <w:left w:val="none" w:sz="0" w:space="0" w:color="auto"/>
        <w:bottom w:val="none" w:sz="0" w:space="0" w:color="auto"/>
        <w:right w:val="none" w:sz="0" w:space="0" w:color="auto"/>
      </w:divBdr>
    </w:div>
    <w:div w:id="1136413593">
      <w:bodyDiv w:val="1"/>
      <w:marLeft w:val="0"/>
      <w:marRight w:val="0"/>
      <w:marTop w:val="0"/>
      <w:marBottom w:val="0"/>
      <w:divBdr>
        <w:top w:val="none" w:sz="0" w:space="0" w:color="auto"/>
        <w:left w:val="none" w:sz="0" w:space="0" w:color="auto"/>
        <w:bottom w:val="none" w:sz="0" w:space="0" w:color="auto"/>
        <w:right w:val="none" w:sz="0" w:space="0" w:color="auto"/>
      </w:divBdr>
    </w:div>
    <w:div w:id="1446844371">
      <w:bodyDiv w:val="1"/>
      <w:marLeft w:val="0"/>
      <w:marRight w:val="0"/>
      <w:marTop w:val="0"/>
      <w:marBottom w:val="0"/>
      <w:divBdr>
        <w:top w:val="none" w:sz="0" w:space="0" w:color="auto"/>
        <w:left w:val="none" w:sz="0" w:space="0" w:color="auto"/>
        <w:bottom w:val="none" w:sz="0" w:space="0" w:color="auto"/>
        <w:right w:val="none" w:sz="0" w:space="0" w:color="auto"/>
      </w:divBdr>
    </w:div>
    <w:div w:id="1512986251">
      <w:bodyDiv w:val="1"/>
      <w:marLeft w:val="0"/>
      <w:marRight w:val="0"/>
      <w:marTop w:val="0"/>
      <w:marBottom w:val="0"/>
      <w:divBdr>
        <w:top w:val="none" w:sz="0" w:space="0" w:color="auto"/>
        <w:left w:val="none" w:sz="0" w:space="0" w:color="auto"/>
        <w:bottom w:val="none" w:sz="0" w:space="0" w:color="auto"/>
        <w:right w:val="none" w:sz="0" w:space="0" w:color="auto"/>
      </w:divBdr>
    </w:div>
    <w:div w:id="1513229191">
      <w:bodyDiv w:val="1"/>
      <w:marLeft w:val="0"/>
      <w:marRight w:val="0"/>
      <w:marTop w:val="0"/>
      <w:marBottom w:val="0"/>
      <w:divBdr>
        <w:top w:val="none" w:sz="0" w:space="0" w:color="auto"/>
        <w:left w:val="none" w:sz="0" w:space="0" w:color="auto"/>
        <w:bottom w:val="none" w:sz="0" w:space="0" w:color="auto"/>
        <w:right w:val="none" w:sz="0" w:space="0" w:color="auto"/>
      </w:divBdr>
    </w:div>
    <w:div w:id="1795128042">
      <w:bodyDiv w:val="1"/>
      <w:marLeft w:val="0"/>
      <w:marRight w:val="0"/>
      <w:marTop w:val="0"/>
      <w:marBottom w:val="0"/>
      <w:divBdr>
        <w:top w:val="none" w:sz="0" w:space="0" w:color="auto"/>
        <w:left w:val="none" w:sz="0" w:space="0" w:color="auto"/>
        <w:bottom w:val="none" w:sz="0" w:space="0" w:color="auto"/>
        <w:right w:val="none" w:sz="0" w:space="0" w:color="auto"/>
      </w:divBdr>
    </w:div>
    <w:div w:id="204042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fs233\AppData\Local\Microsoft\Windows\INetCache\Content.Outlook\ECZN61E7\Cabinet%20and%20Council%20Decisions%20Report%20Template%20Updated%20January%202022.dotx" TargetMode="External"/></Relationships>
</file>

<file path=word/theme/theme1.xml><?xml version="1.0" encoding="utf-8"?>
<a:theme xmlns:a="http://schemas.openxmlformats.org/drawingml/2006/main" name="Office Theme">
  <a:themeElements>
    <a:clrScheme name="council 2020">
      <a:dk1>
        <a:srgbClr val="002F6C"/>
      </a:dk1>
      <a:lt1>
        <a:sysClr val="window" lastClr="FFFFFF"/>
      </a:lt1>
      <a:dk2>
        <a:srgbClr val="000000"/>
      </a:dk2>
      <a:lt2>
        <a:srgbClr val="E7E6E6"/>
      </a:lt2>
      <a:accent1>
        <a:srgbClr val="009CDE"/>
      </a:accent1>
      <a:accent2>
        <a:srgbClr val="FF585D"/>
      </a:accent2>
      <a:accent3>
        <a:srgbClr val="00A74A"/>
      </a:accent3>
      <a:accent4>
        <a:srgbClr val="FFBF3F"/>
      </a:accent4>
      <a:accent5>
        <a:srgbClr val="00A499"/>
      </a:accent5>
      <a:accent6>
        <a:srgbClr val="DB3EB1"/>
      </a:accent6>
      <a:hlink>
        <a:srgbClr val="002F6C"/>
      </a:hlink>
      <a:folHlink>
        <a:srgbClr val="002F6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e73a454-7c2f-46d1-95fb-8837530c5f0d" xsi:nil="true"/>
    <lcf76f155ced4ddcb4097134ff3c332f xmlns="e0b8b9fc-7fd0-4cb6-9be0-ab5f8feae51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8187A4DB2B1F4DAE8955285367DAE7" ma:contentTypeVersion="11" ma:contentTypeDescription="Create a new document." ma:contentTypeScope="" ma:versionID="896907abc73d4ad7c4f04076a66a3a74">
  <xsd:schema xmlns:xsd="http://www.w3.org/2001/XMLSchema" xmlns:xs="http://www.w3.org/2001/XMLSchema" xmlns:p="http://schemas.microsoft.com/office/2006/metadata/properties" xmlns:ns2="e0b8b9fc-7fd0-4cb6-9be0-ab5f8feae51c" xmlns:ns3="be73a454-7c2f-46d1-95fb-8837530c5f0d" targetNamespace="http://schemas.microsoft.com/office/2006/metadata/properties" ma:root="true" ma:fieldsID="9ce1030b517890dec2e3edd782f02ef9" ns2:_="" ns3:_="">
    <xsd:import namespace="e0b8b9fc-7fd0-4cb6-9be0-ab5f8feae51c"/>
    <xsd:import namespace="be73a454-7c2f-46d1-95fb-8837530c5f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8b9fc-7fd0-4cb6-9be0-ab5f8feae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3a454-7c2f-46d1-95fb-8837530c5f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956d9e-7faf-425d-9f79-bee4170f2edd}" ma:internalName="TaxCatchAll" ma:showField="CatchAllData" ma:web="be73a454-7c2f-46d1-95fb-8837530c5f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E3C827-6DEB-4270-9A37-B1048B10DA2D}">
  <ds:schemaRefs>
    <ds:schemaRef ds:uri="http://schemas.microsoft.com/sharepoint/v3/contenttype/forms"/>
  </ds:schemaRefs>
</ds:datastoreItem>
</file>

<file path=customXml/itemProps2.xml><?xml version="1.0" encoding="utf-8"?>
<ds:datastoreItem xmlns:ds="http://schemas.openxmlformats.org/officeDocument/2006/customXml" ds:itemID="{C470E155-EFA9-427A-86C6-FC4214E153CC}">
  <ds:schemaRefs>
    <ds:schemaRef ds:uri="http://schemas.microsoft.com/office/2006/metadata/properties"/>
    <ds:schemaRef ds:uri="http://schemas.microsoft.com/office/infopath/2007/PartnerControls"/>
    <ds:schemaRef ds:uri="be73a454-7c2f-46d1-95fb-8837530c5f0d"/>
    <ds:schemaRef ds:uri="e0b8b9fc-7fd0-4cb6-9be0-ab5f8feae51c"/>
  </ds:schemaRefs>
</ds:datastoreItem>
</file>

<file path=customXml/itemProps3.xml><?xml version="1.0" encoding="utf-8"?>
<ds:datastoreItem xmlns:ds="http://schemas.openxmlformats.org/officeDocument/2006/customXml" ds:itemID="{8DD4C682-A66A-4F60-9F7F-FD385D08EDC7}">
  <ds:schemaRefs>
    <ds:schemaRef ds:uri="http://schemas.openxmlformats.org/officeDocument/2006/bibliography"/>
  </ds:schemaRefs>
</ds:datastoreItem>
</file>

<file path=customXml/itemProps4.xml><?xml version="1.0" encoding="utf-8"?>
<ds:datastoreItem xmlns:ds="http://schemas.openxmlformats.org/officeDocument/2006/customXml" ds:itemID="{45FE32A3-4CAA-4B5A-83DC-1BF77D0E1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8b9fc-7fd0-4cb6-9be0-ab5f8feae51c"/>
    <ds:schemaRef ds:uri="be73a454-7c2f-46d1-95fb-8837530c5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3577bd8-4943-45d9-8d3c-304f184f6582}" enabled="0" method="" siteId="{13577bd8-4943-45d9-8d3c-304f184f6582}" removed="1"/>
</clbl:labelList>
</file>

<file path=docProps/app.xml><?xml version="1.0" encoding="utf-8"?>
<Properties xmlns="http://schemas.openxmlformats.org/officeDocument/2006/extended-properties" xmlns:vt="http://schemas.openxmlformats.org/officeDocument/2006/docPropsVTypes">
  <Template>Cabinet and Council Decisions Report Template Updated January 2022.dotx</Template>
  <TotalTime>1951</TotalTime>
  <Pages>1</Pages>
  <Words>3247</Words>
  <Characters>18508</Characters>
  <Application>Microsoft Office Word</Application>
  <DocSecurity>4</DocSecurity>
  <Lines>154</Lines>
  <Paragraphs>43</Paragraphs>
  <ScaleCrop>false</ScaleCrop>
  <Company>Torbay Council</Company>
  <LinksUpToDate>false</LinksUpToDate>
  <CharactersWithSpaces>21712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Davey, Ian</dc:creator>
  <cp:keywords/>
  <dc:description/>
  <cp:lastModifiedBy>Rowswell, Ian</cp:lastModifiedBy>
  <cp:revision>246</cp:revision>
  <dcterms:created xsi:type="dcterms:W3CDTF">2024-09-09T22:56:00Z</dcterms:created>
  <dcterms:modified xsi:type="dcterms:W3CDTF">2025-12-01T16:08:00Z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0x010100868187A4DB2B1F4DAE8955285367DAE7</vt:lpwstr>
  </property>
  <property fmtid="{D5CDD505-2E9C-101B-9397-08002B2CF9AE}" pid="3" name="Order">
    <vt:r8>750800</vt:r8>
  </property>
  <property fmtid="{D5CDD505-2E9C-101B-9397-08002B2CF9AE}" pid="4" name="MediaServiceImageTags">
    <vt:lpwstr/>
  </property>
</Properties>
</file>