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1096" w:rsidRDefault="002F358A" w:rsidP="00901096">
      <w:pPr>
        <w:pStyle w:val="Footer"/>
        <w:jc w:val="center"/>
        <w:rPr>
          <w:sz w:val="22"/>
        </w:rPr>
      </w:pPr>
      <w:r>
        <w:rPr>
          <w:noProof/>
          <w:snapToGrid/>
          <w:lang w:val="en-US"/>
        </w:rPr>
        <w:drawing>
          <wp:anchor distT="0" distB="0" distL="114300" distR="114300" simplePos="0" relativeHeight="251658240" behindDoc="0" locked="0" layoutInCell="1" allowOverlap="1">
            <wp:simplePos x="0" y="0"/>
            <wp:positionH relativeFrom="character">
              <wp:posOffset>0</wp:posOffset>
            </wp:positionH>
            <wp:positionV relativeFrom="line">
              <wp:posOffset>0</wp:posOffset>
            </wp:positionV>
            <wp:extent cx="1476375" cy="561975"/>
            <wp:effectExtent l="0" t="0" r="0" b="0"/>
            <wp:wrapNone/>
            <wp:docPr id="31" name="Picture 31" descr="BL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LK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sz w:val="22"/>
          <w:lang w:val="en-US"/>
        </w:rPr>
        <mc:AlternateContent>
          <mc:Choice Requires="wps">
            <w:drawing>
              <wp:inline distT="0" distB="0" distL="0" distR="0">
                <wp:extent cx="1473200" cy="558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7320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116pt;height:4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" filled="f" stroked="f">
                <o:lock v:ext="edit" aspectratio="t"/>
                <w10:anchorlock/>
              </v:rect>
            </w:pict>
          </mc:Fallback>
        </mc:AlternateContent>
      </w:r>
    </w:p>
    <w:p w:rsidR="00D53F2F" w:rsidRDefault="00D53F2F" w:rsidP="007C7A16">
      <w:pPr>
        <w:jc w:val="center"/>
        <w:rPr>
          <w:rFonts w:ascii="Comic Sans MS" w:hAnsi="Comic Sans MS"/>
          <w:b/>
          <w:color w:val="993366"/>
          <w:sz w:val="22"/>
          <w:szCs w:val="22"/>
        </w:rPr>
      </w:pPr>
    </w:p>
    <w:p w:rsidR="00456631" w:rsidRPr="00423BAC" w:rsidRDefault="00456631" w:rsidP="007C7A16">
      <w:pPr>
        <w:jc w:val="center"/>
        <w:rPr>
          <w:rFonts w:ascii="Arial" w:hAnsi="Arial" w:cs="Arial"/>
          <w:color w:val="993366"/>
          <w:sz w:val="22"/>
          <w:szCs w:val="22"/>
        </w:rPr>
      </w:pPr>
    </w:p>
    <w:p w:rsidR="00FE0EFA" w:rsidRPr="00D53F2F" w:rsidRDefault="00FE0EFA" w:rsidP="002B0B1E">
      <w:pPr>
        <w:jc w:val="left"/>
        <w:rPr>
          <w:rFonts w:ascii="Comic Sans MS" w:hAnsi="Comic Sans MS"/>
          <w:color w:val="993366"/>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425"/>
        <w:gridCol w:w="2693"/>
        <w:gridCol w:w="1843"/>
        <w:gridCol w:w="2333"/>
      </w:tblGrid>
      <w:tr w:rsidR="00220494" w:rsidRPr="001C6599" w:rsidTr="001C6599">
        <w:tc>
          <w:tcPr>
            <w:tcW w:w="2235" w:type="dxa"/>
            <w:tcBorders>
              <w:top w:val="nil"/>
              <w:left w:val="nil"/>
              <w:bottom w:val="nil"/>
              <w:right w:val="nil"/>
            </w:tcBorders>
            <w:shd w:val="clear" w:color="auto" w:fill="auto"/>
          </w:tcPr>
          <w:p w:rsidR="00220494" w:rsidRPr="001C6599" w:rsidRDefault="00220494" w:rsidP="00220494">
            <w:pPr>
              <w:rPr>
                <w:rFonts w:ascii="Arial" w:hAnsi="Arial"/>
                <w:szCs w:val="24"/>
              </w:rPr>
            </w:pPr>
            <w:r w:rsidRPr="001C6599">
              <w:rPr>
                <w:rFonts w:ascii="Arial" w:hAnsi="Arial"/>
                <w:szCs w:val="24"/>
              </w:rPr>
              <w:t>Title:</w:t>
            </w:r>
          </w:p>
        </w:tc>
        <w:tc>
          <w:tcPr>
            <w:tcW w:w="7294" w:type="dxa"/>
            <w:gridSpan w:val="4"/>
            <w:tcBorders>
              <w:top w:val="nil"/>
              <w:left w:val="nil"/>
              <w:bottom w:val="nil"/>
              <w:right w:val="nil"/>
            </w:tcBorders>
            <w:shd w:val="clear" w:color="auto" w:fill="auto"/>
          </w:tcPr>
          <w:p w:rsidR="00220494" w:rsidRPr="001C6599" w:rsidRDefault="00A35CCA" w:rsidP="00220494">
            <w:pPr>
              <w:rPr>
                <w:rFonts w:ascii="Arial" w:hAnsi="Arial"/>
                <w:b/>
                <w:szCs w:val="24"/>
              </w:rPr>
            </w:pPr>
            <w:bookmarkStart w:id="0" w:name="_GoBack"/>
            <w:r>
              <w:rPr>
                <w:rFonts w:ascii="Arial" w:hAnsi="Arial"/>
                <w:sz w:val="28"/>
                <w:szCs w:val="28"/>
              </w:rPr>
              <w:t>Recent national events and their impact on RE and collective worship</w:t>
            </w:r>
            <w:bookmarkEnd w:id="0"/>
          </w:p>
        </w:tc>
      </w:tr>
      <w:tr w:rsidR="00220494" w:rsidRPr="001C6599" w:rsidTr="001C6599">
        <w:tc>
          <w:tcPr>
            <w:tcW w:w="2660" w:type="dxa"/>
            <w:gridSpan w:val="2"/>
            <w:tcBorders>
              <w:top w:val="nil"/>
              <w:left w:val="nil"/>
              <w:bottom w:val="nil"/>
              <w:right w:val="nil"/>
            </w:tcBorders>
            <w:shd w:val="clear" w:color="auto" w:fill="auto"/>
          </w:tcPr>
          <w:p w:rsidR="00220494" w:rsidRPr="001C6599" w:rsidRDefault="00220494" w:rsidP="00220494">
            <w:pPr>
              <w:rPr>
                <w:rFonts w:ascii="Arial" w:hAnsi="Arial"/>
                <w:szCs w:val="24"/>
              </w:rPr>
            </w:pPr>
          </w:p>
        </w:tc>
        <w:tc>
          <w:tcPr>
            <w:tcW w:w="6869" w:type="dxa"/>
            <w:gridSpan w:val="3"/>
            <w:tcBorders>
              <w:top w:val="nil"/>
              <w:left w:val="nil"/>
              <w:bottom w:val="nil"/>
              <w:right w:val="nil"/>
            </w:tcBorders>
            <w:shd w:val="clear" w:color="auto" w:fill="auto"/>
          </w:tcPr>
          <w:p w:rsidR="00220494" w:rsidRPr="001C6599" w:rsidRDefault="00220494" w:rsidP="00220494">
            <w:pPr>
              <w:rPr>
                <w:rFonts w:ascii="Arial" w:hAnsi="Arial" w:cs="Arial"/>
                <w:color w:val="993366"/>
                <w:sz w:val="22"/>
                <w:szCs w:val="22"/>
              </w:rPr>
            </w:pPr>
          </w:p>
        </w:tc>
      </w:tr>
      <w:tr w:rsidR="00220494" w:rsidRPr="001C6599" w:rsidTr="001C6599">
        <w:tc>
          <w:tcPr>
            <w:tcW w:w="9529" w:type="dxa"/>
            <w:gridSpan w:val="5"/>
            <w:tcBorders>
              <w:top w:val="nil"/>
              <w:left w:val="nil"/>
              <w:bottom w:val="nil"/>
              <w:right w:val="nil"/>
            </w:tcBorders>
            <w:shd w:val="clear" w:color="auto" w:fill="auto"/>
          </w:tcPr>
          <w:p w:rsidR="00220494" w:rsidRPr="001C6599" w:rsidRDefault="00200D5B" w:rsidP="002B0B1E">
            <w:pPr>
              <w:rPr>
                <w:rFonts w:ascii="Arial" w:hAnsi="Arial"/>
                <w:szCs w:val="24"/>
              </w:rPr>
            </w:pPr>
            <w:r w:rsidRPr="001C6599">
              <w:rPr>
                <w:rFonts w:ascii="Arial" w:hAnsi="Arial" w:cs="Arial"/>
                <w:sz w:val="22"/>
                <w:szCs w:val="22"/>
              </w:rPr>
              <w:t xml:space="preserve">This report relates to </w:t>
            </w:r>
          </w:p>
        </w:tc>
      </w:tr>
      <w:tr w:rsidR="00220494" w:rsidRPr="001C6599" w:rsidTr="001C6599">
        <w:tc>
          <w:tcPr>
            <w:tcW w:w="2235" w:type="dxa"/>
            <w:tcBorders>
              <w:top w:val="nil"/>
              <w:left w:val="nil"/>
              <w:bottom w:val="nil"/>
              <w:right w:val="nil"/>
            </w:tcBorders>
            <w:shd w:val="clear" w:color="auto" w:fill="auto"/>
          </w:tcPr>
          <w:p w:rsidR="00220494" w:rsidRPr="001C6599" w:rsidRDefault="00220494" w:rsidP="002B0B1E">
            <w:pPr>
              <w:rPr>
                <w:rFonts w:ascii="Arial" w:hAnsi="Arial"/>
                <w:szCs w:val="24"/>
              </w:rPr>
            </w:pPr>
          </w:p>
        </w:tc>
        <w:tc>
          <w:tcPr>
            <w:tcW w:w="7294" w:type="dxa"/>
            <w:gridSpan w:val="4"/>
            <w:tcBorders>
              <w:top w:val="nil"/>
              <w:left w:val="nil"/>
              <w:bottom w:val="nil"/>
              <w:right w:val="nil"/>
            </w:tcBorders>
            <w:shd w:val="clear" w:color="auto" w:fill="auto"/>
          </w:tcPr>
          <w:p w:rsidR="00220494" w:rsidRPr="001C6599" w:rsidRDefault="00220494" w:rsidP="002B0B1E">
            <w:pPr>
              <w:rPr>
                <w:rFonts w:ascii="Arial" w:hAnsi="Arial" w:cs="Arial"/>
                <w:color w:val="993366"/>
                <w:sz w:val="22"/>
                <w:szCs w:val="22"/>
              </w:rPr>
            </w:pPr>
          </w:p>
        </w:tc>
      </w:tr>
      <w:tr w:rsidR="00220494" w:rsidRPr="001C6599" w:rsidTr="001C6599">
        <w:tc>
          <w:tcPr>
            <w:tcW w:w="2235" w:type="dxa"/>
            <w:tcBorders>
              <w:top w:val="nil"/>
              <w:left w:val="nil"/>
              <w:bottom w:val="nil"/>
              <w:right w:val="nil"/>
            </w:tcBorders>
            <w:shd w:val="clear" w:color="auto" w:fill="auto"/>
          </w:tcPr>
          <w:p w:rsidR="00220494" w:rsidRPr="001C6599" w:rsidRDefault="00220494" w:rsidP="002B0B1E">
            <w:pPr>
              <w:rPr>
                <w:rFonts w:ascii="Arial" w:hAnsi="Arial"/>
                <w:szCs w:val="24"/>
              </w:rPr>
            </w:pPr>
            <w:r w:rsidRPr="001C6599">
              <w:rPr>
                <w:rFonts w:ascii="Arial" w:hAnsi="Arial"/>
                <w:szCs w:val="24"/>
              </w:rPr>
              <w:t>Wards Affected:</w:t>
            </w:r>
          </w:p>
        </w:tc>
        <w:tc>
          <w:tcPr>
            <w:tcW w:w="7294" w:type="dxa"/>
            <w:gridSpan w:val="4"/>
            <w:tcBorders>
              <w:top w:val="nil"/>
              <w:left w:val="nil"/>
              <w:bottom w:val="nil"/>
              <w:right w:val="nil"/>
            </w:tcBorders>
            <w:shd w:val="clear" w:color="auto" w:fill="auto"/>
          </w:tcPr>
          <w:p w:rsidR="00220494" w:rsidRPr="001C6599" w:rsidRDefault="00200D5B" w:rsidP="002B0B1E">
            <w:pPr>
              <w:rPr>
                <w:rFonts w:ascii="Arial" w:hAnsi="Arial" w:cs="Arial"/>
                <w:b/>
                <w:szCs w:val="24"/>
              </w:rPr>
            </w:pPr>
            <w:r w:rsidRPr="001C6599">
              <w:rPr>
                <w:rFonts w:ascii="Arial" w:hAnsi="Arial" w:cs="Arial"/>
                <w:b/>
                <w:szCs w:val="24"/>
              </w:rPr>
              <w:t>All</w:t>
            </w:r>
          </w:p>
        </w:tc>
      </w:tr>
      <w:tr w:rsidR="00220494" w:rsidRPr="001C6599" w:rsidTr="001C6599">
        <w:trPr>
          <w:trHeight w:val="316"/>
        </w:trPr>
        <w:tc>
          <w:tcPr>
            <w:tcW w:w="2235" w:type="dxa"/>
            <w:tcBorders>
              <w:top w:val="nil"/>
              <w:left w:val="nil"/>
              <w:bottom w:val="nil"/>
              <w:right w:val="nil"/>
            </w:tcBorders>
            <w:shd w:val="clear" w:color="auto" w:fill="auto"/>
          </w:tcPr>
          <w:p w:rsidR="00220494" w:rsidRPr="001C6599" w:rsidRDefault="00220494" w:rsidP="002B0B1E">
            <w:pPr>
              <w:rPr>
                <w:rFonts w:ascii="Arial" w:hAnsi="Arial"/>
                <w:szCs w:val="24"/>
              </w:rPr>
            </w:pPr>
          </w:p>
        </w:tc>
        <w:tc>
          <w:tcPr>
            <w:tcW w:w="7294" w:type="dxa"/>
            <w:gridSpan w:val="4"/>
            <w:tcBorders>
              <w:top w:val="nil"/>
              <w:left w:val="nil"/>
              <w:bottom w:val="nil"/>
              <w:right w:val="nil"/>
            </w:tcBorders>
            <w:shd w:val="clear" w:color="auto" w:fill="auto"/>
          </w:tcPr>
          <w:p w:rsidR="00220494" w:rsidRPr="001C6599" w:rsidRDefault="00220494" w:rsidP="001C6599">
            <w:pPr>
              <w:jc w:val="left"/>
              <w:rPr>
                <w:rFonts w:ascii="Arial" w:hAnsi="Arial" w:cs="Arial"/>
                <w:color w:val="993366"/>
                <w:sz w:val="22"/>
                <w:szCs w:val="22"/>
              </w:rPr>
            </w:pPr>
          </w:p>
        </w:tc>
      </w:tr>
      <w:tr w:rsidR="00220494" w:rsidRPr="001C6599" w:rsidTr="001C6599">
        <w:tc>
          <w:tcPr>
            <w:tcW w:w="2235" w:type="dxa"/>
            <w:tcBorders>
              <w:top w:val="nil"/>
              <w:left w:val="nil"/>
              <w:bottom w:val="nil"/>
              <w:right w:val="nil"/>
            </w:tcBorders>
            <w:shd w:val="clear" w:color="auto" w:fill="auto"/>
          </w:tcPr>
          <w:p w:rsidR="00220494" w:rsidRPr="001C6599" w:rsidRDefault="00220494" w:rsidP="002B0B1E">
            <w:pPr>
              <w:rPr>
                <w:rFonts w:ascii="Arial" w:hAnsi="Arial"/>
                <w:szCs w:val="24"/>
              </w:rPr>
            </w:pPr>
            <w:r w:rsidRPr="001C6599">
              <w:rPr>
                <w:rFonts w:ascii="Arial" w:hAnsi="Arial"/>
                <w:szCs w:val="24"/>
              </w:rPr>
              <w:t>To:</w:t>
            </w:r>
          </w:p>
        </w:tc>
        <w:tc>
          <w:tcPr>
            <w:tcW w:w="3118" w:type="dxa"/>
            <w:gridSpan w:val="2"/>
            <w:tcBorders>
              <w:top w:val="nil"/>
              <w:left w:val="nil"/>
              <w:bottom w:val="nil"/>
              <w:right w:val="nil"/>
            </w:tcBorders>
            <w:shd w:val="clear" w:color="auto" w:fill="auto"/>
          </w:tcPr>
          <w:p w:rsidR="00220494" w:rsidRPr="001C6599" w:rsidRDefault="00200D5B" w:rsidP="001C6599">
            <w:pPr>
              <w:jc w:val="left"/>
              <w:rPr>
                <w:rFonts w:ascii="Arial" w:hAnsi="Arial" w:cs="Arial"/>
                <w:b/>
                <w:szCs w:val="24"/>
              </w:rPr>
            </w:pPr>
            <w:r w:rsidRPr="001C6599">
              <w:rPr>
                <w:rFonts w:ascii="Arial" w:hAnsi="Arial" w:cs="Arial"/>
                <w:b/>
                <w:szCs w:val="24"/>
              </w:rPr>
              <w:t>SACRE</w:t>
            </w:r>
          </w:p>
        </w:tc>
        <w:tc>
          <w:tcPr>
            <w:tcW w:w="1843" w:type="dxa"/>
            <w:tcBorders>
              <w:top w:val="nil"/>
              <w:left w:val="nil"/>
              <w:bottom w:val="nil"/>
              <w:right w:val="nil"/>
            </w:tcBorders>
            <w:shd w:val="clear" w:color="auto" w:fill="auto"/>
          </w:tcPr>
          <w:p w:rsidR="00220494" w:rsidRPr="001C6599" w:rsidRDefault="00220494" w:rsidP="001C6599">
            <w:pPr>
              <w:jc w:val="left"/>
              <w:rPr>
                <w:rFonts w:ascii="Arial" w:hAnsi="Arial" w:cs="Arial"/>
                <w:szCs w:val="24"/>
              </w:rPr>
            </w:pPr>
            <w:r w:rsidRPr="001C6599">
              <w:rPr>
                <w:rFonts w:ascii="Arial" w:hAnsi="Arial" w:cs="Arial"/>
                <w:szCs w:val="24"/>
              </w:rPr>
              <w:t>On:</w:t>
            </w:r>
          </w:p>
        </w:tc>
        <w:tc>
          <w:tcPr>
            <w:tcW w:w="2333" w:type="dxa"/>
            <w:tcBorders>
              <w:top w:val="nil"/>
              <w:left w:val="nil"/>
              <w:bottom w:val="nil"/>
              <w:right w:val="nil"/>
            </w:tcBorders>
            <w:shd w:val="clear" w:color="auto" w:fill="auto"/>
          </w:tcPr>
          <w:p w:rsidR="00220494" w:rsidRPr="001C6599" w:rsidRDefault="00A35CCA" w:rsidP="001C6599">
            <w:pPr>
              <w:jc w:val="left"/>
              <w:rPr>
                <w:rFonts w:ascii="Arial" w:hAnsi="Arial" w:cs="Arial"/>
                <w:b/>
                <w:szCs w:val="24"/>
              </w:rPr>
            </w:pPr>
            <w:r>
              <w:rPr>
                <w:rFonts w:ascii="Arial" w:hAnsi="Arial" w:cs="Arial"/>
                <w:b/>
                <w:szCs w:val="24"/>
              </w:rPr>
              <w:t xml:space="preserve">30 June 2017 </w:t>
            </w:r>
          </w:p>
        </w:tc>
      </w:tr>
      <w:tr w:rsidR="00220494" w:rsidRPr="001C6599" w:rsidTr="001C6599">
        <w:tc>
          <w:tcPr>
            <w:tcW w:w="2235" w:type="dxa"/>
            <w:tcBorders>
              <w:top w:val="nil"/>
              <w:left w:val="nil"/>
              <w:bottom w:val="nil"/>
              <w:right w:val="nil"/>
            </w:tcBorders>
            <w:shd w:val="clear" w:color="auto" w:fill="auto"/>
          </w:tcPr>
          <w:p w:rsidR="00220494" w:rsidRPr="001C6599" w:rsidRDefault="00220494" w:rsidP="002B0B1E">
            <w:pPr>
              <w:rPr>
                <w:rFonts w:ascii="Arial" w:hAnsi="Arial"/>
                <w:szCs w:val="24"/>
              </w:rPr>
            </w:pPr>
          </w:p>
        </w:tc>
        <w:tc>
          <w:tcPr>
            <w:tcW w:w="3118" w:type="dxa"/>
            <w:gridSpan w:val="2"/>
            <w:tcBorders>
              <w:top w:val="nil"/>
              <w:left w:val="nil"/>
              <w:bottom w:val="nil"/>
              <w:right w:val="nil"/>
            </w:tcBorders>
            <w:shd w:val="clear" w:color="auto" w:fill="auto"/>
          </w:tcPr>
          <w:p w:rsidR="00220494" w:rsidRPr="001C6599" w:rsidRDefault="00220494" w:rsidP="001C6599">
            <w:pPr>
              <w:jc w:val="left"/>
              <w:rPr>
                <w:rFonts w:ascii="Arial" w:hAnsi="Arial" w:cs="Arial"/>
                <w:szCs w:val="24"/>
              </w:rPr>
            </w:pPr>
          </w:p>
        </w:tc>
        <w:tc>
          <w:tcPr>
            <w:tcW w:w="1843" w:type="dxa"/>
            <w:tcBorders>
              <w:top w:val="nil"/>
              <w:left w:val="nil"/>
              <w:bottom w:val="nil"/>
              <w:right w:val="nil"/>
            </w:tcBorders>
            <w:shd w:val="clear" w:color="auto" w:fill="auto"/>
          </w:tcPr>
          <w:p w:rsidR="00220494" w:rsidRPr="001C6599" w:rsidRDefault="00220494" w:rsidP="001C6599">
            <w:pPr>
              <w:jc w:val="left"/>
              <w:rPr>
                <w:rFonts w:ascii="Arial" w:hAnsi="Arial" w:cs="Arial"/>
                <w:szCs w:val="24"/>
              </w:rPr>
            </w:pPr>
          </w:p>
        </w:tc>
        <w:tc>
          <w:tcPr>
            <w:tcW w:w="2333" w:type="dxa"/>
            <w:tcBorders>
              <w:top w:val="nil"/>
              <w:left w:val="nil"/>
              <w:bottom w:val="nil"/>
              <w:right w:val="nil"/>
            </w:tcBorders>
            <w:shd w:val="clear" w:color="auto" w:fill="auto"/>
          </w:tcPr>
          <w:p w:rsidR="00220494" w:rsidRPr="001C6599" w:rsidRDefault="00220494" w:rsidP="001C6599">
            <w:pPr>
              <w:jc w:val="left"/>
              <w:rPr>
                <w:rFonts w:ascii="Arial" w:hAnsi="Arial" w:cs="Arial"/>
                <w:szCs w:val="24"/>
              </w:rPr>
            </w:pPr>
          </w:p>
        </w:tc>
      </w:tr>
      <w:tr w:rsidR="00220494" w:rsidRPr="001C6599" w:rsidTr="001C6599">
        <w:tc>
          <w:tcPr>
            <w:tcW w:w="2235" w:type="dxa"/>
            <w:tcBorders>
              <w:top w:val="nil"/>
              <w:left w:val="nil"/>
              <w:bottom w:val="nil"/>
              <w:right w:val="nil"/>
            </w:tcBorders>
            <w:shd w:val="clear" w:color="auto" w:fill="auto"/>
          </w:tcPr>
          <w:p w:rsidR="00220494" w:rsidRPr="001C6599" w:rsidRDefault="00220494" w:rsidP="002B0B1E">
            <w:pPr>
              <w:rPr>
                <w:rFonts w:ascii="Arial" w:hAnsi="Arial"/>
                <w:szCs w:val="24"/>
              </w:rPr>
            </w:pPr>
            <w:r w:rsidRPr="001C6599">
              <w:rPr>
                <w:rFonts w:ascii="Arial" w:hAnsi="Arial"/>
                <w:szCs w:val="24"/>
              </w:rPr>
              <w:t>Contact Officer:</w:t>
            </w:r>
          </w:p>
        </w:tc>
        <w:tc>
          <w:tcPr>
            <w:tcW w:w="7294" w:type="dxa"/>
            <w:gridSpan w:val="4"/>
            <w:tcBorders>
              <w:top w:val="nil"/>
              <w:left w:val="nil"/>
              <w:bottom w:val="nil"/>
              <w:right w:val="nil"/>
            </w:tcBorders>
            <w:shd w:val="clear" w:color="auto" w:fill="auto"/>
          </w:tcPr>
          <w:p w:rsidR="00220494" w:rsidRPr="001C6599" w:rsidRDefault="00200D5B" w:rsidP="002B0B1E">
            <w:pPr>
              <w:rPr>
                <w:rFonts w:ascii="Arial" w:hAnsi="Arial" w:cs="Arial"/>
                <w:b/>
                <w:szCs w:val="24"/>
              </w:rPr>
            </w:pPr>
            <w:r w:rsidRPr="001C6599">
              <w:rPr>
                <w:rFonts w:ascii="Arial" w:hAnsi="Arial" w:cs="Arial"/>
                <w:b/>
                <w:szCs w:val="24"/>
              </w:rPr>
              <w:t>David Hampshire</w:t>
            </w:r>
          </w:p>
        </w:tc>
      </w:tr>
      <w:tr w:rsidR="00220494" w:rsidRPr="001C6599" w:rsidTr="001C6599">
        <w:tc>
          <w:tcPr>
            <w:tcW w:w="2235" w:type="dxa"/>
            <w:tcBorders>
              <w:top w:val="nil"/>
              <w:left w:val="nil"/>
              <w:bottom w:val="nil"/>
              <w:right w:val="nil"/>
            </w:tcBorders>
            <w:shd w:val="clear" w:color="auto" w:fill="auto"/>
          </w:tcPr>
          <w:p w:rsidR="00220494" w:rsidRPr="001C6599" w:rsidRDefault="00220494" w:rsidP="002B0B1E">
            <w:pPr>
              <w:rPr>
                <w:rFonts w:ascii="Arial" w:hAnsi="Arial"/>
                <w:szCs w:val="24"/>
              </w:rPr>
            </w:pPr>
            <w:r w:rsidRPr="001C6599">
              <w:rPr>
                <w:rFonts w:ascii="Lucida Sans" w:hAnsi="Lucida Sans"/>
              </w:rPr>
              <w:sym w:font="Wingdings 2" w:char="F027"/>
            </w:r>
            <w:r w:rsidRPr="001C6599">
              <w:rPr>
                <w:rFonts w:ascii="Lucida Sans" w:hAnsi="Lucida Sans"/>
              </w:rPr>
              <w:t xml:space="preserve"> </w:t>
            </w:r>
            <w:r w:rsidRPr="001C6599">
              <w:rPr>
                <w:rFonts w:ascii="Arial" w:hAnsi="Arial"/>
                <w:szCs w:val="24"/>
              </w:rPr>
              <w:t>Telephone:</w:t>
            </w:r>
          </w:p>
        </w:tc>
        <w:tc>
          <w:tcPr>
            <w:tcW w:w="7294" w:type="dxa"/>
            <w:gridSpan w:val="4"/>
            <w:tcBorders>
              <w:top w:val="nil"/>
              <w:left w:val="nil"/>
              <w:bottom w:val="nil"/>
              <w:right w:val="nil"/>
            </w:tcBorders>
            <w:shd w:val="clear" w:color="auto" w:fill="auto"/>
          </w:tcPr>
          <w:p w:rsidR="00220494" w:rsidRPr="001C6599" w:rsidRDefault="002F358A" w:rsidP="002B0B1E">
            <w:pPr>
              <w:rPr>
                <w:rFonts w:ascii="Arial" w:hAnsi="Arial" w:cs="Arial"/>
                <w:b/>
                <w:szCs w:val="24"/>
              </w:rPr>
            </w:pPr>
            <w:r>
              <w:rPr>
                <w:rFonts w:ascii="Arial" w:hAnsi="Arial" w:cs="Arial"/>
                <w:b/>
                <w:szCs w:val="24"/>
              </w:rPr>
              <w:t>07855 235865</w:t>
            </w:r>
          </w:p>
        </w:tc>
      </w:tr>
      <w:tr w:rsidR="00220494" w:rsidRPr="001C6599" w:rsidTr="001C6599">
        <w:tc>
          <w:tcPr>
            <w:tcW w:w="2235" w:type="dxa"/>
            <w:tcBorders>
              <w:top w:val="nil"/>
              <w:left w:val="nil"/>
              <w:bottom w:val="nil"/>
              <w:right w:val="nil"/>
            </w:tcBorders>
            <w:shd w:val="clear" w:color="auto" w:fill="auto"/>
          </w:tcPr>
          <w:p w:rsidR="00220494" w:rsidRPr="001C6599" w:rsidRDefault="00220494" w:rsidP="002B0B1E">
            <w:pPr>
              <w:rPr>
                <w:rFonts w:ascii="Arial" w:hAnsi="Arial"/>
                <w:szCs w:val="24"/>
              </w:rPr>
            </w:pPr>
            <w:r w:rsidRPr="001C6599">
              <w:rPr>
                <w:rFonts w:ascii="Lucida Sans" w:hAnsi="Lucida Sans"/>
              </w:rPr>
              <w:sym w:font="Wingdings" w:char="F038"/>
            </w:r>
            <w:r w:rsidRPr="001C6599">
              <w:rPr>
                <w:rFonts w:ascii="Lucida Sans" w:hAnsi="Lucida Sans"/>
              </w:rPr>
              <w:t xml:space="preserve">  </w:t>
            </w:r>
            <w:proofErr w:type="spellStart"/>
            <w:r w:rsidRPr="001C6599">
              <w:rPr>
                <w:rFonts w:ascii="Arial" w:hAnsi="Arial"/>
                <w:szCs w:val="24"/>
              </w:rPr>
              <w:t>E.mail</w:t>
            </w:r>
            <w:proofErr w:type="spellEnd"/>
            <w:r w:rsidRPr="001C6599">
              <w:rPr>
                <w:rFonts w:ascii="Arial" w:hAnsi="Arial"/>
                <w:szCs w:val="24"/>
              </w:rPr>
              <w:t>:</w:t>
            </w:r>
          </w:p>
        </w:tc>
        <w:tc>
          <w:tcPr>
            <w:tcW w:w="7294" w:type="dxa"/>
            <w:gridSpan w:val="4"/>
            <w:tcBorders>
              <w:top w:val="nil"/>
              <w:left w:val="nil"/>
              <w:bottom w:val="nil"/>
              <w:right w:val="nil"/>
            </w:tcBorders>
            <w:shd w:val="clear" w:color="auto" w:fill="auto"/>
          </w:tcPr>
          <w:p w:rsidR="00220494" w:rsidRPr="001C6599" w:rsidRDefault="00A35CCA" w:rsidP="002B0B1E">
            <w:pPr>
              <w:rPr>
                <w:rFonts w:ascii="Arial" w:hAnsi="Arial" w:cs="Arial"/>
                <w:b/>
                <w:szCs w:val="24"/>
              </w:rPr>
            </w:pPr>
            <w:hyperlink r:id="rId9" w:history="1">
              <w:r w:rsidR="002F358A" w:rsidRPr="00AC4B91">
                <w:rPr>
                  <w:rStyle w:val="Hyperlink"/>
                  <w:rFonts w:ascii="Arial" w:hAnsi="Arial" w:cs="Arial"/>
                  <w:b/>
                  <w:szCs w:val="24"/>
                </w:rPr>
                <w:t>hampshireeducational@outlook.com</w:t>
              </w:r>
            </w:hyperlink>
            <w:r w:rsidR="002F358A">
              <w:rPr>
                <w:rFonts w:ascii="Arial" w:hAnsi="Arial" w:cs="Arial"/>
                <w:b/>
                <w:szCs w:val="24"/>
              </w:rPr>
              <w:t xml:space="preserve"> </w:t>
            </w:r>
          </w:p>
        </w:tc>
      </w:tr>
    </w:tbl>
    <w:p w:rsidR="00456631" w:rsidRPr="00D317D7" w:rsidRDefault="00456631" w:rsidP="002B0B1E">
      <w:pPr>
        <w:tabs>
          <w:tab w:val="left" w:pos="1440"/>
          <w:tab w:val="left" w:pos="6120"/>
        </w:tabs>
        <w:rPr>
          <w:rFonts w:ascii="Arial" w:hAnsi="Arial"/>
          <w:b/>
          <w:szCs w:val="24"/>
        </w:rPr>
      </w:pPr>
    </w:p>
    <w:p w:rsidR="00456631" w:rsidRPr="00D317D7" w:rsidRDefault="00456631" w:rsidP="002B0B1E">
      <w:pPr>
        <w:pStyle w:val="Header"/>
        <w:pBdr>
          <w:top w:val="single" w:sz="4" w:space="1" w:color="auto"/>
        </w:pBdr>
        <w:tabs>
          <w:tab w:val="clear" w:pos="4153"/>
          <w:tab w:val="clear" w:pos="8306"/>
        </w:tabs>
        <w:rPr>
          <w:rFonts w:ascii="Arial" w:hAnsi="Arial"/>
          <w:szCs w:val="24"/>
        </w:rPr>
      </w:pPr>
    </w:p>
    <w:p w:rsidR="00CA6741" w:rsidRDefault="00CA6741" w:rsidP="00842BB3">
      <w:pPr>
        <w:jc w:val="left"/>
        <w:rPr>
          <w:rFonts w:ascii="Arial" w:hAnsi="Arial"/>
          <w:b/>
          <w:szCs w:val="24"/>
        </w:rPr>
      </w:pPr>
    </w:p>
    <w:p w:rsidR="00456631" w:rsidRPr="008A5D75" w:rsidRDefault="00456631" w:rsidP="008D0357">
      <w:pPr>
        <w:ind w:left="709" w:hanging="709"/>
        <w:jc w:val="left"/>
        <w:rPr>
          <w:rFonts w:ascii="Arial" w:hAnsi="Arial"/>
          <w:szCs w:val="24"/>
        </w:rPr>
      </w:pPr>
      <w:r w:rsidRPr="00D317D7">
        <w:rPr>
          <w:rFonts w:ascii="Arial" w:hAnsi="Arial"/>
          <w:b/>
          <w:szCs w:val="24"/>
        </w:rPr>
        <w:t>1.</w:t>
      </w:r>
      <w:r w:rsidRPr="00D317D7">
        <w:rPr>
          <w:rFonts w:ascii="Arial" w:hAnsi="Arial"/>
          <w:b/>
          <w:szCs w:val="24"/>
        </w:rPr>
        <w:tab/>
      </w:r>
      <w:r w:rsidR="005C5157">
        <w:rPr>
          <w:rFonts w:ascii="Arial" w:hAnsi="Arial"/>
          <w:b/>
          <w:szCs w:val="24"/>
        </w:rPr>
        <w:t>Key p</w:t>
      </w:r>
      <w:r w:rsidR="008A5D75">
        <w:rPr>
          <w:rFonts w:ascii="Arial" w:hAnsi="Arial"/>
          <w:b/>
          <w:szCs w:val="24"/>
        </w:rPr>
        <w:t>oints</w:t>
      </w:r>
      <w:r w:rsidR="008D0357">
        <w:rPr>
          <w:rFonts w:ascii="Arial" w:hAnsi="Arial"/>
          <w:b/>
          <w:szCs w:val="24"/>
        </w:rPr>
        <w:t xml:space="preserve"> and Summary</w:t>
      </w:r>
    </w:p>
    <w:p w:rsidR="00456631" w:rsidRPr="00D317D7" w:rsidRDefault="00456631" w:rsidP="00842BB3">
      <w:pPr>
        <w:jc w:val="left"/>
        <w:rPr>
          <w:rFonts w:ascii="Arial" w:hAnsi="Arial"/>
          <w:szCs w:val="24"/>
        </w:rPr>
      </w:pPr>
    </w:p>
    <w:p w:rsidR="00200D5B" w:rsidRDefault="008D0357" w:rsidP="00200D5B">
      <w:pPr>
        <w:rPr>
          <w:rFonts w:ascii="Arial" w:hAnsi="Arial" w:cs="Arial"/>
        </w:rPr>
      </w:pPr>
      <w:r>
        <w:rPr>
          <w:rFonts w:ascii="Arial" w:hAnsi="Arial"/>
          <w:szCs w:val="24"/>
        </w:rPr>
        <w:t>1</w:t>
      </w:r>
      <w:r w:rsidR="00456631" w:rsidRPr="00AD39F5">
        <w:rPr>
          <w:rFonts w:ascii="Arial" w:hAnsi="Arial"/>
          <w:szCs w:val="24"/>
        </w:rPr>
        <w:t>.1</w:t>
      </w:r>
      <w:r w:rsidR="00456631" w:rsidRPr="00AD39F5">
        <w:rPr>
          <w:rFonts w:ascii="Arial" w:hAnsi="Arial"/>
          <w:szCs w:val="24"/>
        </w:rPr>
        <w:tab/>
      </w:r>
      <w:r w:rsidR="00200D5B">
        <w:rPr>
          <w:rFonts w:ascii="Arial" w:hAnsi="Arial" w:cs="Arial"/>
        </w:rPr>
        <w:t xml:space="preserve">The purpose of this report is </w:t>
      </w:r>
      <w:r w:rsidR="00A35CCA">
        <w:rPr>
          <w:rFonts w:ascii="Arial" w:hAnsi="Arial" w:cs="Arial"/>
        </w:rPr>
        <w:t>to reflect on the recent events nationally and to explore their implications for religious education and collective worship.</w:t>
      </w:r>
    </w:p>
    <w:p w:rsidR="001C2486" w:rsidRDefault="001C2486" w:rsidP="00200D5B">
      <w:pPr>
        <w:jc w:val="left"/>
        <w:rPr>
          <w:rFonts w:ascii="Arial" w:hAnsi="Arial"/>
          <w:szCs w:val="24"/>
        </w:rPr>
      </w:pPr>
    </w:p>
    <w:p w:rsidR="00456631" w:rsidRPr="00D317D7" w:rsidRDefault="008D0357" w:rsidP="00842BB3">
      <w:pPr>
        <w:jc w:val="left"/>
        <w:rPr>
          <w:rFonts w:ascii="Arial" w:hAnsi="Arial"/>
          <w:b/>
          <w:szCs w:val="24"/>
        </w:rPr>
      </w:pPr>
      <w:r>
        <w:rPr>
          <w:rFonts w:ascii="Arial" w:hAnsi="Arial"/>
          <w:b/>
          <w:szCs w:val="24"/>
        </w:rPr>
        <w:t>2</w:t>
      </w:r>
      <w:r w:rsidR="00456631" w:rsidRPr="00D317D7">
        <w:rPr>
          <w:rFonts w:ascii="Arial" w:hAnsi="Arial"/>
          <w:b/>
          <w:szCs w:val="24"/>
        </w:rPr>
        <w:t>.</w:t>
      </w:r>
      <w:r w:rsidR="00456631" w:rsidRPr="00D317D7">
        <w:rPr>
          <w:rFonts w:ascii="Arial" w:hAnsi="Arial"/>
          <w:b/>
          <w:szCs w:val="24"/>
        </w:rPr>
        <w:tab/>
      </w:r>
      <w:r w:rsidR="007B2148">
        <w:rPr>
          <w:rFonts w:ascii="Arial" w:hAnsi="Arial"/>
          <w:b/>
          <w:szCs w:val="24"/>
        </w:rPr>
        <w:t>Introduction</w:t>
      </w:r>
    </w:p>
    <w:p w:rsidR="00456631" w:rsidRPr="00D317D7" w:rsidRDefault="00456631" w:rsidP="00842BB3">
      <w:pPr>
        <w:jc w:val="left"/>
        <w:rPr>
          <w:rFonts w:ascii="Arial" w:hAnsi="Arial"/>
          <w:szCs w:val="24"/>
        </w:rPr>
      </w:pPr>
    </w:p>
    <w:p w:rsidR="00200D5B" w:rsidRDefault="008D0357" w:rsidP="00200D5B">
      <w:pPr>
        <w:rPr>
          <w:rFonts w:ascii="Arial" w:hAnsi="Arial" w:cs="Arial"/>
        </w:rPr>
      </w:pPr>
      <w:r>
        <w:rPr>
          <w:rFonts w:ascii="Arial" w:hAnsi="Arial"/>
          <w:szCs w:val="24"/>
        </w:rPr>
        <w:t>2</w:t>
      </w:r>
      <w:r w:rsidR="00943BA0">
        <w:rPr>
          <w:rFonts w:ascii="Arial" w:hAnsi="Arial"/>
          <w:szCs w:val="24"/>
        </w:rPr>
        <w:t>.1</w:t>
      </w:r>
      <w:r w:rsidR="00456631" w:rsidRPr="00D317D7">
        <w:rPr>
          <w:rFonts w:ascii="Arial" w:hAnsi="Arial"/>
          <w:szCs w:val="24"/>
        </w:rPr>
        <w:tab/>
      </w:r>
      <w:r w:rsidR="00A35CCA">
        <w:rPr>
          <w:rFonts w:ascii="Arial" w:hAnsi="Arial" w:cs="Arial"/>
        </w:rPr>
        <w:t>During 2017 there have been a number of terrorist attacks and incidents of extreme violence that have had a significant impact on our national life. These were the Westminster Bridge attack of the 22 March, the Manchester Arena attack on the 22 May, the London Bridge and Borough Market attack on 3 June and the Finsbury Park attack on 19 June. These have all been associated with Muslims in some way, either as perceived perpetrators or as victims.</w:t>
      </w:r>
    </w:p>
    <w:p w:rsidR="00A35CCA" w:rsidRDefault="00A35CCA" w:rsidP="00200D5B">
      <w:pPr>
        <w:rPr>
          <w:rFonts w:ascii="Arial" w:hAnsi="Arial" w:cs="Arial"/>
        </w:rPr>
      </w:pPr>
    </w:p>
    <w:p w:rsidR="00A35CCA" w:rsidRDefault="00A35CCA" w:rsidP="00200D5B">
      <w:pPr>
        <w:rPr>
          <w:rFonts w:ascii="Arial" w:hAnsi="Arial" w:cs="Arial"/>
        </w:rPr>
      </w:pPr>
      <w:r>
        <w:rPr>
          <w:rFonts w:ascii="Arial" w:hAnsi="Arial" w:cs="Arial"/>
        </w:rPr>
        <w:t>2.2</w:t>
      </w:r>
      <w:r>
        <w:rPr>
          <w:rFonts w:ascii="Arial" w:hAnsi="Arial" w:cs="Arial"/>
        </w:rPr>
        <w:tab/>
        <w:t xml:space="preserve">As a result of these attacks there has been </w:t>
      </w:r>
      <w:proofErr w:type="gramStart"/>
      <w:r>
        <w:rPr>
          <w:rFonts w:ascii="Arial" w:hAnsi="Arial" w:cs="Arial"/>
        </w:rPr>
        <w:t>an</w:t>
      </w:r>
      <w:proofErr w:type="gramEnd"/>
      <w:r>
        <w:rPr>
          <w:rFonts w:ascii="Arial" w:hAnsi="Arial" w:cs="Arial"/>
        </w:rPr>
        <w:t xml:space="preserve"> heightened security effort, especially in major cities and events which are high profile. The situation has led to statements from Muslim leaders and has brought out shows of solidarity for victims from Muslim communities. In terms of the Finsbury Park attack, which was clearly aimed at Muslims, there has been a show of solidarity with Muslims there and further afield. What is clear is that many people are feeling more exposed to danger than since the time of the 7/7 bombings or the IRA terror campaigns of the 1970s and </w:t>
      </w:r>
      <w:proofErr w:type="gramStart"/>
      <w:r>
        <w:rPr>
          <w:rFonts w:ascii="Arial" w:hAnsi="Arial" w:cs="Arial"/>
        </w:rPr>
        <w:t>1980s.</w:t>
      </w:r>
      <w:proofErr w:type="gramEnd"/>
      <w:r>
        <w:rPr>
          <w:rFonts w:ascii="Arial" w:hAnsi="Arial" w:cs="Arial"/>
        </w:rPr>
        <w:t xml:space="preserve"> </w:t>
      </w:r>
    </w:p>
    <w:p w:rsidR="00A35CCA" w:rsidRDefault="00A35CCA" w:rsidP="00200D5B">
      <w:pPr>
        <w:rPr>
          <w:rFonts w:ascii="Arial" w:hAnsi="Arial" w:cs="Arial"/>
        </w:rPr>
      </w:pPr>
    </w:p>
    <w:p w:rsidR="00A35CCA" w:rsidRDefault="00A35CCA" w:rsidP="00200D5B">
      <w:pPr>
        <w:rPr>
          <w:rFonts w:ascii="Arial" w:hAnsi="Arial" w:cs="Arial"/>
        </w:rPr>
      </w:pPr>
      <w:r>
        <w:rPr>
          <w:rFonts w:ascii="Arial" w:hAnsi="Arial" w:cs="Arial"/>
        </w:rPr>
        <w:t>2.3</w:t>
      </w:r>
      <w:r>
        <w:rPr>
          <w:rFonts w:ascii="Arial" w:hAnsi="Arial" w:cs="Arial"/>
        </w:rPr>
        <w:tab/>
        <w:t>The result of these recent events has been to galvanise cross community support and inter faith activity. This can be seen from the collated statements gathered by the Inter Faith Network for the UK</w:t>
      </w:r>
      <w:r w:rsidR="007C14D0">
        <w:rPr>
          <w:rFonts w:ascii="Arial" w:hAnsi="Arial" w:cs="Arial"/>
        </w:rPr>
        <w:t xml:space="preserve"> (IFN)</w:t>
      </w:r>
      <w:r>
        <w:rPr>
          <w:rFonts w:ascii="Arial" w:hAnsi="Arial" w:cs="Arial"/>
        </w:rPr>
        <w:t xml:space="preserve">, as well as statements that it has also published on-line (see: </w:t>
      </w:r>
      <w:hyperlink r:id="rId10" w:history="1">
        <w:r w:rsidRPr="00D63DCF">
          <w:rPr>
            <w:rStyle w:val="Hyperlink"/>
            <w:rFonts w:ascii="Arial" w:hAnsi="Arial" w:cs="Arial"/>
          </w:rPr>
          <w:t>https://www.interfaith.org.uk/news/statements-and-messages</w:t>
        </w:r>
      </w:hyperlink>
      <w:r w:rsidR="007C14D0">
        <w:rPr>
          <w:rFonts w:ascii="Arial" w:hAnsi="Arial" w:cs="Arial"/>
        </w:rPr>
        <w:t xml:space="preserve"> for IFN’s responses and </w:t>
      </w:r>
      <w:hyperlink r:id="rId11" w:history="1">
        <w:r w:rsidR="007C14D0" w:rsidRPr="00D63DCF">
          <w:rPr>
            <w:rStyle w:val="Hyperlink"/>
            <w:rFonts w:ascii="Arial" w:hAnsi="Arial" w:cs="Arial"/>
          </w:rPr>
          <w:t>https://www.interfaith.org.uk/news/statement</w:t>
        </w:r>
      </w:hyperlink>
      <w:r w:rsidR="007C14D0">
        <w:rPr>
          <w:rFonts w:ascii="Arial" w:hAnsi="Arial" w:cs="Arial"/>
        </w:rPr>
        <w:t xml:space="preserve"> for the statements of other bodies</w:t>
      </w:r>
      <w:r w:rsidR="00A763E3">
        <w:rPr>
          <w:rFonts w:ascii="Arial" w:hAnsi="Arial" w:cs="Arial"/>
        </w:rPr>
        <w:t>).</w:t>
      </w:r>
    </w:p>
    <w:p w:rsidR="00A763E3" w:rsidRDefault="00A763E3" w:rsidP="00200D5B">
      <w:pPr>
        <w:rPr>
          <w:rFonts w:ascii="Arial" w:hAnsi="Arial" w:cs="Arial"/>
        </w:rPr>
      </w:pPr>
    </w:p>
    <w:p w:rsidR="00A763E3" w:rsidRDefault="00A763E3" w:rsidP="00200D5B">
      <w:pPr>
        <w:rPr>
          <w:rFonts w:ascii="Arial" w:hAnsi="Arial" w:cs="Arial"/>
        </w:rPr>
      </w:pPr>
      <w:r>
        <w:rPr>
          <w:rFonts w:ascii="Arial" w:hAnsi="Arial" w:cs="Arial"/>
        </w:rPr>
        <w:t>2.4</w:t>
      </w:r>
      <w:r>
        <w:rPr>
          <w:rFonts w:ascii="Arial" w:hAnsi="Arial" w:cs="Arial"/>
        </w:rPr>
        <w:tab/>
        <w:t xml:space="preserve">There are a number of implications for schools. Firstly, there have been reports nationally on an increase in </w:t>
      </w:r>
      <w:proofErr w:type="spellStart"/>
      <w:r>
        <w:rPr>
          <w:rFonts w:ascii="Arial" w:hAnsi="Arial" w:cs="Arial"/>
        </w:rPr>
        <w:t>Islamophobic</w:t>
      </w:r>
      <w:proofErr w:type="spellEnd"/>
      <w:r>
        <w:rPr>
          <w:rFonts w:ascii="Arial" w:hAnsi="Arial" w:cs="Arial"/>
        </w:rPr>
        <w:t xml:space="preserve"> attacks (see: </w:t>
      </w:r>
      <w:hyperlink r:id="rId12" w:history="1">
        <w:r w:rsidRPr="00D63DCF">
          <w:rPr>
            <w:rStyle w:val="Hyperlink"/>
            <w:rFonts w:ascii="Arial" w:hAnsi="Arial" w:cs="Arial"/>
          </w:rPr>
          <w:t>https://tellmamauk.org/</w:t>
        </w:r>
      </w:hyperlink>
      <w:r>
        <w:rPr>
          <w:rFonts w:ascii="Arial" w:hAnsi="Arial" w:cs="Arial"/>
        </w:rPr>
        <w:t xml:space="preserve">). </w:t>
      </w:r>
      <w:r>
        <w:rPr>
          <w:rFonts w:ascii="Arial" w:hAnsi="Arial" w:cs="Arial"/>
        </w:rPr>
        <w:lastRenderedPageBreak/>
        <w:t>Secondly, how is the teaching of Islam affected by these events, which see Muslims portrayed as perpetrators or victims of atrocities? And, thirdly, how are these events reflected upon during collective workshop?</w:t>
      </w:r>
    </w:p>
    <w:p w:rsidR="00A763E3" w:rsidRDefault="00A763E3" w:rsidP="00200D5B">
      <w:pPr>
        <w:rPr>
          <w:rFonts w:ascii="Arial" w:hAnsi="Arial" w:cs="Arial"/>
        </w:rPr>
      </w:pPr>
    </w:p>
    <w:p w:rsidR="00A763E3" w:rsidRDefault="00A763E3" w:rsidP="00200D5B">
      <w:pPr>
        <w:rPr>
          <w:rFonts w:ascii="Arial" w:hAnsi="Arial" w:cs="Arial"/>
        </w:rPr>
      </w:pPr>
      <w:r>
        <w:rPr>
          <w:rFonts w:ascii="Arial" w:hAnsi="Arial" w:cs="Arial"/>
        </w:rPr>
        <w:t>2.5</w:t>
      </w:r>
      <w:r>
        <w:rPr>
          <w:rFonts w:ascii="Arial" w:hAnsi="Arial" w:cs="Arial"/>
        </w:rPr>
        <w:tab/>
        <w:t xml:space="preserve">There are a number of priorities that emerge out of these questions. Firstly, is there evidence that </w:t>
      </w:r>
      <w:proofErr w:type="spellStart"/>
      <w:r>
        <w:rPr>
          <w:rFonts w:ascii="Arial" w:hAnsi="Arial" w:cs="Arial"/>
        </w:rPr>
        <w:t>Islamophobic</w:t>
      </w:r>
      <w:proofErr w:type="spellEnd"/>
      <w:r>
        <w:rPr>
          <w:rFonts w:ascii="Arial" w:hAnsi="Arial" w:cs="Arial"/>
        </w:rPr>
        <w:t xml:space="preserve"> incidents have increased in Torbay? Has this been an issue for schools? Secondly, has there been in an increase in withdrawal from RE as a result of these events? How are schools managing this if so? Thirdly, what are the resources available to schools to commemorate these events appropriately so that pupils themselves do not become anxious? </w:t>
      </w:r>
    </w:p>
    <w:p w:rsidR="00A763E3" w:rsidRDefault="00A763E3" w:rsidP="00200D5B">
      <w:pPr>
        <w:rPr>
          <w:rFonts w:ascii="Arial" w:hAnsi="Arial" w:cs="Arial"/>
        </w:rPr>
      </w:pPr>
    </w:p>
    <w:p w:rsidR="00A763E3" w:rsidRDefault="00A763E3" w:rsidP="00200D5B">
      <w:pPr>
        <w:rPr>
          <w:rFonts w:ascii="Arial" w:hAnsi="Arial" w:cs="Arial"/>
        </w:rPr>
      </w:pPr>
      <w:r>
        <w:rPr>
          <w:rFonts w:ascii="Arial" w:hAnsi="Arial" w:cs="Arial"/>
        </w:rPr>
        <w:t>2.6</w:t>
      </w:r>
      <w:r>
        <w:rPr>
          <w:rFonts w:ascii="Arial" w:hAnsi="Arial" w:cs="Arial"/>
        </w:rPr>
        <w:tab/>
        <w:t>SACRE may wish to note that some schools have cancelled trips to London as a result of these events as a result of parental pressure around the country.</w:t>
      </w:r>
    </w:p>
    <w:p w:rsidR="00BD5BBA" w:rsidRDefault="00BD5BBA" w:rsidP="00200D5B">
      <w:pPr>
        <w:rPr>
          <w:rFonts w:ascii="Arial" w:hAnsi="Arial" w:cs="Arial"/>
          <w:b/>
        </w:rPr>
      </w:pPr>
    </w:p>
    <w:p w:rsidR="00200D5B" w:rsidRPr="00E06F6B" w:rsidRDefault="00200D5B" w:rsidP="00200D5B">
      <w:pPr>
        <w:rPr>
          <w:rFonts w:ascii="Arial" w:hAnsi="Arial" w:cs="Arial"/>
          <w:b/>
        </w:rPr>
      </w:pPr>
      <w:r>
        <w:rPr>
          <w:rFonts w:ascii="Arial" w:hAnsi="Arial" w:cs="Arial"/>
          <w:b/>
        </w:rPr>
        <w:t>3</w:t>
      </w:r>
      <w:r w:rsidRPr="00E06F6B">
        <w:rPr>
          <w:rFonts w:ascii="Arial" w:hAnsi="Arial" w:cs="Arial"/>
          <w:b/>
        </w:rPr>
        <w:t>.0</w:t>
      </w:r>
      <w:r w:rsidRPr="00E06F6B">
        <w:rPr>
          <w:rFonts w:ascii="Arial" w:hAnsi="Arial" w:cs="Arial"/>
          <w:b/>
        </w:rPr>
        <w:tab/>
        <w:t>Recommendation</w:t>
      </w:r>
    </w:p>
    <w:p w:rsidR="00200D5B" w:rsidRPr="00E06F6B" w:rsidRDefault="00200D5B" w:rsidP="00200D5B">
      <w:pPr>
        <w:rPr>
          <w:rFonts w:ascii="Arial" w:hAnsi="Arial" w:cs="Arial"/>
          <w:b/>
        </w:rPr>
      </w:pPr>
    </w:p>
    <w:p w:rsidR="007B2148" w:rsidRDefault="00200D5B" w:rsidP="00AF3D22">
      <w:pPr>
        <w:numPr>
          <w:ilvl w:val="1"/>
          <w:numId w:val="4"/>
        </w:numPr>
        <w:rPr>
          <w:rFonts w:ascii="Arial" w:hAnsi="Arial" w:cs="Arial"/>
        </w:rPr>
      </w:pPr>
      <w:r>
        <w:rPr>
          <w:rFonts w:ascii="Arial" w:hAnsi="Arial" w:cs="Arial"/>
        </w:rPr>
        <w:t xml:space="preserve">That </w:t>
      </w:r>
      <w:r w:rsidR="00E3588D">
        <w:rPr>
          <w:rFonts w:ascii="Arial" w:hAnsi="Arial" w:cs="Arial"/>
        </w:rPr>
        <w:t xml:space="preserve">SACRE </w:t>
      </w:r>
      <w:r w:rsidR="00A763E3">
        <w:rPr>
          <w:rFonts w:ascii="Arial" w:hAnsi="Arial" w:cs="Arial"/>
        </w:rPr>
        <w:t>consider producing guidance on how to respond to religiously motivated incidents that have a significant impact on communities locally, regionally and nationally and that it does so in collaboration with other SACREs in the South West.</w:t>
      </w:r>
    </w:p>
    <w:p w:rsidR="007C14D0" w:rsidRDefault="007C14D0" w:rsidP="00AF3D22">
      <w:pPr>
        <w:numPr>
          <w:ilvl w:val="1"/>
          <w:numId w:val="4"/>
        </w:numPr>
        <w:rPr>
          <w:rFonts w:ascii="Arial" w:hAnsi="Arial" w:cs="Arial"/>
        </w:rPr>
      </w:pPr>
      <w:r>
        <w:rPr>
          <w:rFonts w:ascii="Arial" w:hAnsi="Arial" w:cs="Arial"/>
        </w:rPr>
        <w:t>That SACRE consider this guidance at its next meeting so that it can be put on Torbay SACRE’s webpage for schools to access as a resource that is reviewed and updated annually, or as necessary.</w:t>
      </w:r>
    </w:p>
    <w:p w:rsidR="007C14D0" w:rsidRDefault="007C14D0" w:rsidP="00AF3D22">
      <w:pPr>
        <w:numPr>
          <w:ilvl w:val="1"/>
          <w:numId w:val="4"/>
        </w:numPr>
        <w:rPr>
          <w:rFonts w:ascii="Arial" w:hAnsi="Arial" w:cs="Arial"/>
        </w:rPr>
      </w:pPr>
      <w:r>
        <w:rPr>
          <w:rFonts w:ascii="Arial" w:hAnsi="Arial" w:cs="Arial"/>
        </w:rPr>
        <w:t xml:space="preserve">That SACRE ask the local authority and the Devon and Cornwall Police to update it at its next meeting to see if the events noted in the report led to spikes in </w:t>
      </w:r>
      <w:proofErr w:type="spellStart"/>
      <w:r>
        <w:rPr>
          <w:rFonts w:ascii="Arial" w:hAnsi="Arial" w:cs="Arial"/>
        </w:rPr>
        <w:t>Islamophobic</w:t>
      </w:r>
      <w:proofErr w:type="spellEnd"/>
      <w:r>
        <w:rPr>
          <w:rFonts w:ascii="Arial" w:hAnsi="Arial" w:cs="Arial"/>
        </w:rPr>
        <w:t xml:space="preserve"> incidents and their reporting in Torbay, and what the response of the local authority and police was to these locally.</w:t>
      </w:r>
    </w:p>
    <w:p w:rsidR="00BD5BBA" w:rsidRDefault="00BD5BBA" w:rsidP="008D0357">
      <w:pPr>
        <w:jc w:val="left"/>
        <w:rPr>
          <w:rFonts w:ascii="Arial" w:hAnsi="Arial" w:cs="Arial"/>
        </w:rPr>
      </w:pPr>
    </w:p>
    <w:p w:rsidR="008D0357" w:rsidRPr="001E4B9D" w:rsidRDefault="007C14D0" w:rsidP="008D0357">
      <w:pPr>
        <w:jc w:val="left"/>
        <w:rPr>
          <w:rFonts w:ascii="Arial" w:hAnsi="Arial"/>
          <w:b/>
          <w:szCs w:val="24"/>
        </w:rPr>
      </w:pPr>
      <w:r>
        <w:rPr>
          <w:rFonts w:ascii="Arial" w:hAnsi="Arial"/>
          <w:b/>
          <w:szCs w:val="24"/>
        </w:rPr>
        <w:t xml:space="preserve">Corrine </w:t>
      </w:r>
      <w:proofErr w:type="spellStart"/>
      <w:r>
        <w:rPr>
          <w:rFonts w:ascii="Arial" w:hAnsi="Arial"/>
          <w:b/>
          <w:szCs w:val="24"/>
        </w:rPr>
        <w:t>Guntrip</w:t>
      </w:r>
      <w:proofErr w:type="spellEnd"/>
    </w:p>
    <w:p w:rsidR="008D0357" w:rsidRPr="001E4B9D" w:rsidRDefault="00200D5B" w:rsidP="008D0357">
      <w:pPr>
        <w:jc w:val="left"/>
        <w:rPr>
          <w:rFonts w:ascii="Arial" w:hAnsi="Arial"/>
          <w:b/>
          <w:szCs w:val="24"/>
        </w:rPr>
      </w:pPr>
      <w:r>
        <w:rPr>
          <w:rFonts w:ascii="Arial" w:hAnsi="Arial"/>
          <w:b/>
          <w:szCs w:val="24"/>
        </w:rPr>
        <w:t>Chair of SACRE</w:t>
      </w:r>
    </w:p>
    <w:p w:rsidR="008D0357" w:rsidRDefault="008D0357" w:rsidP="00D71E36">
      <w:pPr>
        <w:jc w:val="left"/>
        <w:rPr>
          <w:rFonts w:ascii="Arial" w:hAnsi="Arial"/>
          <w:b/>
          <w:szCs w:val="24"/>
        </w:rPr>
      </w:pPr>
    </w:p>
    <w:p w:rsidR="00CF2F04" w:rsidRDefault="00CF2F04" w:rsidP="00842BB3">
      <w:pPr>
        <w:rPr>
          <w:rFonts w:ascii="Arial" w:hAnsi="Arial"/>
          <w:b/>
          <w:szCs w:val="24"/>
        </w:rPr>
      </w:pPr>
      <w:r w:rsidRPr="00236796">
        <w:rPr>
          <w:rFonts w:ascii="Arial" w:hAnsi="Arial"/>
          <w:b/>
          <w:szCs w:val="24"/>
        </w:rPr>
        <w:t>A</w:t>
      </w:r>
      <w:r w:rsidR="008D0357">
        <w:rPr>
          <w:rFonts w:ascii="Arial" w:hAnsi="Arial"/>
          <w:b/>
          <w:szCs w:val="24"/>
        </w:rPr>
        <w:t>ppendices</w:t>
      </w:r>
    </w:p>
    <w:p w:rsidR="00AF3D22" w:rsidRDefault="00AF3D22" w:rsidP="00842BB3">
      <w:pPr>
        <w:rPr>
          <w:rFonts w:ascii="Arial" w:hAnsi="Arial"/>
          <w:b/>
          <w:szCs w:val="24"/>
        </w:rPr>
      </w:pPr>
    </w:p>
    <w:p w:rsidR="00AF3D22" w:rsidRPr="00AF3D22" w:rsidRDefault="007C14D0" w:rsidP="00AF3D22">
      <w:pPr>
        <w:rPr>
          <w:rFonts w:ascii="Arial" w:hAnsi="Arial" w:cs="Arial"/>
          <w:b/>
          <w:bCs/>
          <w:szCs w:val="24"/>
        </w:rPr>
      </w:pPr>
      <w:r>
        <w:rPr>
          <w:rFonts w:ascii="Arial" w:hAnsi="Arial" w:cs="Arial"/>
          <w:b/>
          <w:bCs/>
          <w:szCs w:val="24"/>
        </w:rPr>
        <w:t>None</w:t>
      </w:r>
    </w:p>
    <w:p w:rsidR="00AF3D22" w:rsidRPr="00236796" w:rsidRDefault="00AF3D22" w:rsidP="00842BB3">
      <w:pPr>
        <w:rPr>
          <w:rFonts w:ascii="Arial" w:hAnsi="Arial"/>
          <w:b/>
          <w:szCs w:val="24"/>
        </w:rPr>
      </w:pPr>
    </w:p>
    <w:p w:rsidR="00CF2F04" w:rsidRPr="00D317D7" w:rsidRDefault="00CF2F04" w:rsidP="00842BB3">
      <w:pPr>
        <w:rPr>
          <w:rFonts w:ascii="Arial" w:hAnsi="Arial"/>
          <w:szCs w:val="24"/>
        </w:rPr>
      </w:pPr>
    </w:p>
    <w:p w:rsidR="00CF2F04" w:rsidRPr="00236796" w:rsidRDefault="00CF2F04" w:rsidP="00842BB3">
      <w:pPr>
        <w:rPr>
          <w:rFonts w:ascii="Arial" w:hAnsi="Arial"/>
          <w:b/>
          <w:szCs w:val="24"/>
        </w:rPr>
      </w:pPr>
      <w:r w:rsidRPr="00236796">
        <w:rPr>
          <w:rFonts w:ascii="Arial" w:hAnsi="Arial"/>
          <w:b/>
          <w:szCs w:val="24"/>
        </w:rPr>
        <w:t>Docu</w:t>
      </w:r>
      <w:r w:rsidR="00236796">
        <w:rPr>
          <w:rFonts w:ascii="Arial" w:hAnsi="Arial"/>
          <w:b/>
          <w:szCs w:val="24"/>
        </w:rPr>
        <w:t>ments available in members’ r</w:t>
      </w:r>
      <w:r w:rsidRPr="00236796">
        <w:rPr>
          <w:rFonts w:ascii="Arial" w:hAnsi="Arial"/>
          <w:b/>
          <w:szCs w:val="24"/>
        </w:rPr>
        <w:t>oom</w:t>
      </w:r>
      <w:r w:rsidR="00236796">
        <w:rPr>
          <w:rFonts w:ascii="Arial" w:hAnsi="Arial"/>
          <w:b/>
          <w:szCs w:val="24"/>
        </w:rPr>
        <w:t>s</w:t>
      </w:r>
    </w:p>
    <w:p w:rsidR="00CF2F04" w:rsidRPr="00D317D7" w:rsidRDefault="00CF2F04" w:rsidP="00842BB3">
      <w:pPr>
        <w:pStyle w:val="PolicyHeader"/>
        <w:rPr>
          <w:rFonts w:ascii="Arial" w:hAnsi="Arial"/>
          <w:b w:val="0"/>
          <w:szCs w:val="24"/>
        </w:rPr>
      </w:pPr>
    </w:p>
    <w:p w:rsidR="00CF2F04" w:rsidRPr="00236796" w:rsidRDefault="00CF2F04" w:rsidP="00842BB3">
      <w:pPr>
        <w:pStyle w:val="PolicyHeader"/>
        <w:rPr>
          <w:rFonts w:ascii="Arial" w:hAnsi="Arial"/>
          <w:szCs w:val="24"/>
        </w:rPr>
      </w:pPr>
      <w:r w:rsidRPr="00236796">
        <w:rPr>
          <w:rFonts w:ascii="Arial" w:hAnsi="Arial"/>
          <w:szCs w:val="24"/>
        </w:rPr>
        <w:t>Background Papers:</w:t>
      </w:r>
      <w:r w:rsidR="007C14D0">
        <w:rPr>
          <w:rFonts w:ascii="Arial" w:hAnsi="Arial"/>
          <w:szCs w:val="24"/>
        </w:rPr>
        <w:t xml:space="preserve"> None</w:t>
      </w:r>
    </w:p>
    <w:p w:rsidR="008D0357" w:rsidRPr="00697A1C" w:rsidRDefault="008D0357" w:rsidP="008D0357">
      <w:pPr>
        <w:jc w:val="left"/>
        <w:rPr>
          <w:rFonts w:ascii="Arial" w:hAnsi="Arial"/>
          <w:b/>
          <w:szCs w:val="24"/>
        </w:rPr>
      </w:pPr>
    </w:p>
    <w:sectPr w:rsidR="008D0357" w:rsidRPr="00697A1C" w:rsidSect="00855485">
      <w:footerReference w:type="default" r:id="rId13"/>
      <w:endnotePr>
        <w:numFmt w:val="decimal"/>
      </w:endnotePr>
      <w:type w:val="continuous"/>
      <w:pgSz w:w="11905" w:h="16837" w:code="9"/>
      <w:pgMar w:top="1008" w:right="1296" w:bottom="1008" w:left="1296" w:header="706" w:footer="706"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3E3" w:rsidRDefault="00A763E3">
      <w:r>
        <w:separator/>
      </w:r>
    </w:p>
  </w:endnote>
  <w:endnote w:type="continuationSeparator" w:id="0">
    <w:p w:rsidR="00A763E3" w:rsidRDefault="00A76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Lucida Sans">
    <w:panose1 w:val="020B0602030504020204"/>
    <w:charset w:val="00"/>
    <w:family w:val="auto"/>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3E3" w:rsidRDefault="00A763E3">
    <w:pPr>
      <w:pStyle w:val="Footer"/>
      <w:rPr>
        <w:rFonts w:ascii="Verdana" w:hAnsi="Verdana"/>
        <w:sz w:val="20"/>
      </w:rPr>
    </w:pPr>
    <w:r>
      <w:rPr>
        <w:rFonts w:ascii="Verdana" w:hAnsi="Verdana"/>
        <w:sz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3E3" w:rsidRDefault="00A763E3">
      <w:r>
        <w:separator/>
      </w:r>
    </w:p>
  </w:footnote>
  <w:footnote w:type="continuationSeparator" w:id="0">
    <w:p w:rsidR="00A763E3" w:rsidRDefault="00A763E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720"/>
        </w:tabs>
      </w:pPr>
      <w:rPr>
        <w:rFonts w:ascii="Times New Roman" w:hAnsi="Times New Roman"/>
        <w:sz w:val="24"/>
      </w:rPr>
    </w:lvl>
  </w:abstractNum>
  <w:abstractNum w:abstractNumId="1">
    <w:nsid w:val="0029661C"/>
    <w:multiLevelType w:val="multilevel"/>
    <w:tmpl w:val="8F6A799E"/>
    <w:lvl w:ilvl="0">
      <w:start w:val="4"/>
      <w:numFmt w:val="decimal"/>
      <w:lvlText w:val="%1"/>
      <w:lvlJc w:val="left"/>
      <w:pPr>
        <w:tabs>
          <w:tab w:val="num" w:pos="720"/>
        </w:tabs>
        <w:ind w:left="720" w:hanging="720"/>
      </w:pPr>
      <w:rPr>
        <w:rFonts w:hint="default"/>
      </w:rPr>
    </w:lvl>
    <w:lvl w:ilvl="1">
      <w:start w:val="1"/>
      <w:numFmt w:val="decimal"/>
      <w:pStyle w:val="ReportParagraph"/>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ED4706"/>
    <w:multiLevelType w:val="multilevel"/>
    <w:tmpl w:val="8B7810E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DC44588"/>
    <w:multiLevelType w:val="singleLevel"/>
    <w:tmpl w:val="BE96133A"/>
    <w:lvl w:ilvl="0">
      <w:start w:val="6"/>
      <w:numFmt w:val="decimal"/>
      <w:pStyle w:val="LocalPlanHeading1"/>
      <w:lvlText w:val="%1."/>
      <w:lvlJc w:val="left"/>
      <w:pPr>
        <w:tabs>
          <w:tab w:val="num" w:pos="360"/>
        </w:tabs>
        <w:ind w:left="0" w:firstLine="0"/>
      </w:pPr>
      <w:rPr>
        <w:rFonts w:ascii="Times New Roman" w:hAnsi="Times New Roman" w:hint="default"/>
        <w:b/>
        <w:i w:val="0"/>
      </w:rPr>
    </w:lvl>
  </w:abstractNum>
  <w:num w:numId="1">
    <w:abstractNumId w:val="0"/>
    <w:lvlOverride w:ilvl="0">
      <w:startOverride w:val="6"/>
      <w:lvl w:ilvl="0">
        <w:start w:val="6"/>
        <w:numFmt w:val="decimal"/>
        <w:pStyle w:val="Quick1"/>
        <w:lvlText w:val="%1."/>
        <w:lvlJc w:val="left"/>
      </w:lvl>
    </w:lvlOverride>
  </w:num>
  <w:num w:numId="2">
    <w:abstractNumId w:val="1"/>
  </w:num>
  <w:num w:numId="3">
    <w:abstractNumId w:val="3"/>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CCA"/>
    <w:rsid w:val="0001124E"/>
    <w:rsid w:val="000363D5"/>
    <w:rsid w:val="00060A7A"/>
    <w:rsid w:val="00085678"/>
    <w:rsid w:val="000A6942"/>
    <w:rsid w:val="00116E0C"/>
    <w:rsid w:val="00126BF5"/>
    <w:rsid w:val="00144FF6"/>
    <w:rsid w:val="00162D4A"/>
    <w:rsid w:val="001967FE"/>
    <w:rsid w:val="001A465F"/>
    <w:rsid w:val="001C2486"/>
    <w:rsid w:val="001C6599"/>
    <w:rsid w:val="001D2736"/>
    <w:rsid w:val="001E4B9D"/>
    <w:rsid w:val="001F2641"/>
    <w:rsid w:val="001F2FC3"/>
    <w:rsid w:val="00200D5B"/>
    <w:rsid w:val="00205650"/>
    <w:rsid w:val="00220494"/>
    <w:rsid w:val="00236796"/>
    <w:rsid w:val="00240EA5"/>
    <w:rsid w:val="002B0B1E"/>
    <w:rsid w:val="002B316B"/>
    <w:rsid w:val="002F358A"/>
    <w:rsid w:val="00320C51"/>
    <w:rsid w:val="003640CD"/>
    <w:rsid w:val="003734A0"/>
    <w:rsid w:val="0039303E"/>
    <w:rsid w:val="00423BAC"/>
    <w:rsid w:val="00426CFC"/>
    <w:rsid w:val="004545A0"/>
    <w:rsid w:val="00456631"/>
    <w:rsid w:val="00493194"/>
    <w:rsid w:val="00497CD0"/>
    <w:rsid w:val="004A357C"/>
    <w:rsid w:val="004E3994"/>
    <w:rsid w:val="004F7C42"/>
    <w:rsid w:val="00526D42"/>
    <w:rsid w:val="00530470"/>
    <w:rsid w:val="00543CE2"/>
    <w:rsid w:val="00553AFC"/>
    <w:rsid w:val="005C3FCC"/>
    <w:rsid w:val="005C5157"/>
    <w:rsid w:val="005F162E"/>
    <w:rsid w:val="005F381F"/>
    <w:rsid w:val="0060693F"/>
    <w:rsid w:val="00654C39"/>
    <w:rsid w:val="00683968"/>
    <w:rsid w:val="006921D1"/>
    <w:rsid w:val="00697A1C"/>
    <w:rsid w:val="00701E17"/>
    <w:rsid w:val="00755CAA"/>
    <w:rsid w:val="00757CD9"/>
    <w:rsid w:val="0076177C"/>
    <w:rsid w:val="00772DED"/>
    <w:rsid w:val="00777583"/>
    <w:rsid w:val="007775B2"/>
    <w:rsid w:val="007A6956"/>
    <w:rsid w:val="007B2148"/>
    <w:rsid w:val="007C14D0"/>
    <w:rsid w:val="007C7A16"/>
    <w:rsid w:val="007D01C9"/>
    <w:rsid w:val="007E08F8"/>
    <w:rsid w:val="007E548D"/>
    <w:rsid w:val="007E60C0"/>
    <w:rsid w:val="007E7DA1"/>
    <w:rsid w:val="00801FD6"/>
    <w:rsid w:val="00842BB3"/>
    <w:rsid w:val="00851132"/>
    <w:rsid w:val="00855485"/>
    <w:rsid w:val="0088622D"/>
    <w:rsid w:val="008A3D9D"/>
    <w:rsid w:val="008A5D75"/>
    <w:rsid w:val="008D0357"/>
    <w:rsid w:val="008F1BFA"/>
    <w:rsid w:val="00901096"/>
    <w:rsid w:val="00901B35"/>
    <w:rsid w:val="009071B2"/>
    <w:rsid w:val="00943BA0"/>
    <w:rsid w:val="00965954"/>
    <w:rsid w:val="00987F59"/>
    <w:rsid w:val="009C2E4C"/>
    <w:rsid w:val="009C683F"/>
    <w:rsid w:val="00A35CCA"/>
    <w:rsid w:val="00A475BC"/>
    <w:rsid w:val="00A47670"/>
    <w:rsid w:val="00A71501"/>
    <w:rsid w:val="00A763E3"/>
    <w:rsid w:val="00A87F38"/>
    <w:rsid w:val="00AD0D63"/>
    <w:rsid w:val="00AD39F5"/>
    <w:rsid w:val="00AF3D22"/>
    <w:rsid w:val="00B06C67"/>
    <w:rsid w:val="00B11C92"/>
    <w:rsid w:val="00BB54D4"/>
    <w:rsid w:val="00BD52B1"/>
    <w:rsid w:val="00BD5BBA"/>
    <w:rsid w:val="00BF5732"/>
    <w:rsid w:val="00BF7D0E"/>
    <w:rsid w:val="00C31201"/>
    <w:rsid w:val="00C50C29"/>
    <w:rsid w:val="00CA6741"/>
    <w:rsid w:val="00CA73F3"/>
    <w:rsid w:val="00CB0D87"/>
    <w:rsid w:val="00CF2F04"/>
    <w:rsid w:val="00D317D7"/>
    <w:rsid w:val="00D53F2F"/>
    <w:rsid w:val="00D71E36"/>
    <w:rsid w:val="00D757F1"/>
    <w:rsid w:val="00D80EE3"/>
    <w:rsid w:val="00E215B0"/>
    <w:rsid w:val="00E3588D"/>
    <w:rsid w:val="00E825A6"/>
    <w:rsid w:val="00EA6CD9"/>
    <w:rsid w:val="00EF05A3"/>
    <w:rsid w:val="00F03C58"/>
    <w:rsid w:val="00F355F0"/>
    <w:rsid w:val="00FA468D"/>
    <w:rsid w:val="00FE0EF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snapToGrid w:val="0"/>
      <w:sz w:val="24"/>
    </w:rPr>
  </w:style>
  <w:style w:type="paragraph" w:styleId="Heading1">
    <w:name w:val="heading 1"/>
    <w:basedOn w:val="Normal"/>
    <w:next w:val="Normal"/>
    <w:qFormat/>
    <w:pPr>
      <w:keepNext/>
      <w:outlineLvl w:val="0"/>
    </w:pPr>
    <w:rPr>
      <w:b/>
      <w:u w:val="single"/>
    </w:rPr>
  </w:style>
  <w:style w:type="paragraph" w:styleId="Heading3">
    <w:name w:val="heading 3"/>
    <w:basedOn w:val="Normal"/>
    <w:next w:val="Normal"/>
    <w:qFormat/>
    <w:pPr>
      <w:keepNext/>
      <w:outlineLvl w:val="2"/>
    </w:pPr>
    <w:rPr>
      <w:u w:val="single"/>
    </w:rPr>
  </w:style>
  <w:style w:type="paragraph" w:styleId="Heading8">
    <w:name w:val="heading 8"/>
    <w:basedOn w:val="Normal"/>
    <w:next w:val="Normal"/>
    <w:qFormat/>
    <w:rsid w:val="00701E17"/>
    <w:pPr>
      <w:widowControl/>
      <w:spacing w:before="240" w:after="60"/>
      <w:jc w:val="left"/>
      <w:outlineLvl w:val="7"/>
    </w:pPr>
    <w:rPr>
      <w:rFonts w:ascii="Arial" w:hAnsi="Arial"/>
      <w:i/>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1"/>
      </w:numPr>
      <w:ind w:left="720" w:hanging="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LocalPlanHeading1">
    <w:name w:val="Local Plan Heading 1"/>
    <w:basedOn w:val="Normal"/>
    <w:next w:val="Normal"/>
    <w:pPr>
      <w:numPr>
        <w:numId w:val="3"/>
      </w:numPr>
    </w:pPr>
    <w:rPr>
      <w:b/>
      <w:sz w:val="28"/>
    </w:rPr>
  </w:style>
  <w:style w:type="paragraph" w:customStyle="1" w:styleId="ReportParagraph">
    <w:name w:val="Report Paragraph"/>
    <w:basedOn w:val="Normal"/>
    <w:next w:val="Normal"/>
    <w:pPr>
      <w:numPr>
        <w:ilvl w:val="1"/>
        <w:numId w:val="2"/>
      </w:numPr>
    </w:pPr>
  </w:style>
  <w:style w:type="paragraph" w:customStyle="1" w:styleId="PolicyHeader">
    <w:name w:val="Policy Header"/>
    <w:basedOn w:val="Normal"/>
    <w:next w:val="Normal"/>
    <w:rPr>
      <w:b/>
    </w:rPr>
  </w:style>
  <w:style w:type="paragraph" w:customStyle="1" w:styleId="PolicyText">
    <w:name w:val="Policy Text"/>
    <w:basedOn w:val="Normal"/>
    <w:next w:val="Normal"/>
    <w:pPr>
      <w:ind w:left="720"/>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Title">
    <w:name w:val="Title"/>
    <w:basedOn w:val="Normal"/>
    <w:qFormat/>
    <w:pPr>
      <w:jc w:val="center"/>
    </w:pPr>
    <w:rPr>
      <w:b/>
    </w:rPr>
  </w:style>
  <w:style w:type="paragraph" w:styleId="BodyText">
    <w:name w:val="Body Text"/>
    <w:basedOn w:val="Normal"/>
    <w:pPr>
      <w:widowControl/>
      <w:ind w:right="26"/>
    </w:pPr>
    <w:rPr>
      <w:rFonts w:ascii="Arial" w:hAnsi="Arial"/>
      <w:snapToGrid/>
      <w:sz w:val="20"/>
    </w:rPr>
  </w:style>
  <w:style w:type="paragraph" w:styleId="BodyText2">
    <w:name w:val="Body Text 2"/>
    <w:basedOn w:val="Normal"/>
    <w:pPr>
      <w:widowControl/>
      <w:jc w:val="left"/>
    </w:pPr>
    <w:rPr>
      <w:rFonts w:ascii="Comic Sans MS" w:hAnsi="Comic Sans MS"/>
      <w:b/>
      <w:snapToGrid/>
      <w:sz w:val="28"/>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FE0E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A71501"/>
    <w:pPr>
      <w:spacing w:after="120"/>
      <w:ind w:left="283"/>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snapToGrid w:val="0"/>
      <w:sz w:val="24"/>
    </w:rPr>
  </w:style>
  <w:style w:type="paragraph" w:styleId="Heading1">
    <w:name w:val="heading 1"/>
    <w:basedOn w:val="Normal"/>
    <w:next w:val="Normal"/>
    <w:qFormat/>
    <w:pPr>
      <w:keepNext/>
      <w:outlineLvl w:val="0"/>
    </w:pPr>
    <w:rPr>
      <w:b/>
      <w:u w:val="single"/>
    </w:rPr>
  </w:style>
  <w:style w:type="paragraph" w:styleId="Heading3">
    <w:name w:val="heading 3"/>
    <w:basedOn w:val="Normal"/>
    <w:next w:val="Normal"/>
    <w:qFormat/>
    <w:pPr>
      <w:keepNext/>
      <w:outlineLvl w:val="2"/>
    </w:pPr>
    <w:rPr>
      <w:u w:val="single"/>
    </w:rPr>
  </w:style>
  <w:style w:type="paragraph" w:styleId="Heading8">
    <w:name w:val="heading 8"/>
    <w:basedOn w:val="Normal"/>
    <w:next w:val="Normal"/>
    <w:qFormat/>
    <w:rsid w:val="00701E17"/>
    <w:pPr>
      <w:widowControl/>
      <w:spacing w:before="240" w:after="60"/>
      <w:jc w:val="left"/>
      <w:outlineLvl w:val="7"/>
    </w:pPr>
    <w:rPr>
      <w:rFonts w:ascii="Arial" w:hAnsi="Arial"/>
      <w:i/>
      <w:snapToGri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Quick1">
    <w:name w:val="Quick 1."/>
    <w:basedOn w:val="Normal"/>
    <w:pPr>
      <w:numPr>
        <w:numId w:val="1"/>
      </w:numPr>
      <w:ind w:left="720" w:hanging="72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LocalPlanHeading1">
    <w:name w:val="Local Plan Heading 1"/>
    <w:basedOn w:val="Normal"/>
    <w:next w:val="Normal"/>
    <w:pPr>
      <w:numPr>
        <w:numId w:val="3"/>
      </w:numPr>
    </w:pPr>
    <w:rPr>
      <w:b/>
      <w:sz w:val="28"/>
    </w:rPr>
  </w:style>
  <w:style w:type="paragraph" w:customStyle="1" w:styleId="ReportParagraph">
    <w:name w:val="Report Paragraph"/>
    <w:basedOn w:val="Normal"/>
    <w:next w:val="Normal"/>
    <w:pPr>
      <w:numPr>
        <w:ilvl w:val="1"/>
        <w:numId w:val="2"/>
      </w:numPr>
    </w:pPr>
  </w:style>
  <w:style w:type="paragraph" w:customStyle="1" w:styleId="PolicyHeader">
    <w:name w:val="Policy Header"/>
    <w:basedOn w:val="Normal"/>
    <w:next w:val="Normal"/>
    <w:rPr>
      <w:b/>
    </w:rPr>
  </w:style>
  <w:style w:type="paragraph" w:customStyle="1" w:styleId="PolicyText">
    <w:name w:val="Policy Text"/>
    <w:basedOn w:val="Normal"/>
    <w:next w:val="Normal"/>
    <w:pPr>
      <w:ind w:left="720"/>
    </w:p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Title">
    <w:name w:val="Title"/>
    <w:basedOn w:val="Normal"/>
    <w:qFormat/>
    <w:pPr>
      <w:jc w:val="center"/>
    </w:pPr>
    <w:rPr>
      <w:b/>
    </w:rPr>
  </w:style>
  <w:style w:type="paragraph" w:styleId="BodyText">
    <w:name w:val="Body Text"/>
    <w:basedOn w:val="Normal"/>
    <w:pPr>
      <w:widowControl/>
      <w:ind w:right="26"/>
    </w:pPr>
    <w:rPr>
      <w:rFonts w:ascii="Arial" w:hAnsi="Arial"/>
      <w:snapToGrid/>
      <w:sz w:val="20"/>
    </w:rPr>
  </w:style>
  <w:style w:type="paragraph" w:styleId="BodyText2">
    <w:name w:val="Body Text 2"/>
    <w:basedOn w:val="Normal"/>
    <w:pPr>
      <w:widowControl/>
      <w:jc w:val="left"/>
    </w:pPr>
    <w:rPr>
      <w:rFonts w:ascii="Comic Sans MS" w:hAnsi="Comic Sans MS"/>
      <w:b/>
      <w:snapToGrid/>
      <w:sz w:val="28"/>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FE0E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A71501"/>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www.interfaith.org.uk/news/statement" TargetMode="External"/><Relationship Id="rId12" Type="http://schemas.openxmlformats.org/officeDocument/2006/relationships/hyperlink" Target="https://tellmamauk.org/"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hampshireeducational@outlook.com" TargetMode="External"/><Relationship Id="rId10" Type="http://schemas.openxmlformats.org/officeDocument/2006/relationships/hyperlink" Target="https://www.interfaith.org.uk/news/statements-and-messag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atrickhampshire:Library:Application%20Support:Microsoft:Office:User%20Templates:My%20Templates:TORBAY%20SACRE%202015f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TORBAY SACRE 2015ff.dotx</Template>
  <TotalTime>26</TotalTime>
  <Pages>2</Pages>
  <Words>611</Words>
  <Characters>3485</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TORBAY COUNCIL</vt:lpstr>
    </vt:vector>
  </TitlesOfParts>
  <Company>Gateway 2000</Company>
  <LinksUpToDate>false</LinksUpToDate>
  <CharactersWithSpaces>4088</CharactersWithSpaces>
  <SharedDoc>false</SharedDoc>
  <HLinks>
    <vt:vector size="6" baseType="variant">
      <vt:variant>
        <vt:i4>3342338</vt:i4>
      </vt:variant>
      <vt:variant>
        <vt:i4>-1</vt:i4>
      </vt:variant>
      <vt:variant>
        <vt:i4>1055</vt:i4>
      </vt:variant>
      <vt:variant>
        <vt:i4>1</vt:i4>
      </vt:variant>
      <vt:variant>
        <vt:lpwstr>BLK_LOGO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TORBAY COUNCIL</dc:title>
  <dc:subject/>
  <dc:creator>Patrick Hampshire</dc:creator>
  <cp:keywords/>
  <dc:description/>
  <cp:lastModifiedBy>Patrick Hampshire</cp:lastModifiedBy>
  <cp:revision>1</cp:revision>
  <cp:lastPrinted>2006-10-19T13:23:00Z</cp:lastPrinted>
  <dcterms:created xsi:type="dcterms:W3CDTF">2017-06-23T09:59:00Z</dcterms:created>
  <dcterms:modified xsi:type="dcterms:W3CDTF">2017-06-23T10:30:00Z</dcterms:modified>
</cp:coreProperties>
</file>