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4D50B7">
        <w:rPr>
          <w:rFonts w:ascii="Arial" w:hAnsi="Arial" w:cs="Arial"/>
          <w:b/>
          <w:snapToGrid/>
          <w:sz w:val="24"/>
          <w:szCs w:val="24"/>
          <w:lang w:val="en-GB"/>
        </w:rPr>
        <w:t>16171287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4D50B7">
        <w:rPr>
          <w:rFonts w:ascii="Arial" w:hAnsi="Arial" w:cs="Arial"/>
          <w:b/>
          <w:snapToGrid/>
          <w:sz w:val="24"/>
          <w:szCs w:val="24"/>
          <w:lang w:val="en-GB"/>
        </w:rPr>
        <w:t>4 January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56455B">
        <w:rPr>
          <w:rFonts w:ascii="Arial" w:hAnsi="Arial" w:cs="Arial"/>
          <w:b/>
          <w:snapToGrid/>
          <w:sz w:val="24"/>
          <w:szCs w:val="24"/>
          <w:lang w:val="en-GB"/>
        </w:rPr>
        <w:t>19 January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4D50B7" w:rsidRPr="004D50B7" w:rsidRDefault="004D50B7" w:rsidP="004D50B7">
      <w:pPr>
        <w:jc w:val="both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4D50B7">
        <w:rPr>
          <w:rFonts w:ascii="Arial" w:hAnsi="Arial" w:cs="Arial"/>
          <w:b/>
          <w:snapToGrid/>
          <w:sz w:val="24"/>
          <w:szCs w:val="24"/>
          <w:lang w:val="en-GB"/>
        </w:rPr>
        <w:t>I request that the level of funding spent on services detailed below to be provided for the years 2015/2016, 2016/2017 and 2017/2018:</w:t>
      </w:r>
    </w:p>
    <w:p w:rsidR="004D50B7" w:rsidRPr="004D50B7" w:rsidRDefault="004D50B7" w:rsidP="004D50B7">
      <w:pPr>
        <w:jc w:val="both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D50B7" w:rsidRDefault="004D50B7" w:rsidP="004D50B7">
      <w:pPr>
        <w:pStyle w:val="ListParagraph"/>
        <w:spacing w:after="0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1.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4D50B7">
        <w:rPr>
          <w:rFonts w:ascii="Arial" w:eastAsia="Times New Roman" w:hAnsi="Arial" w:cs="Arial"/>
          <w:b/>
          <w:sz w:val="24"/>
          <w:szCs w:val="24"/>
        </w:rPr>
        <w:t>Drug and Alcohol treatment services</w:t>
      </w:r>
    </w:p>
    <w:p w:rsidR="00941E18" w:rsidRPr="00987194" w:rsidRDefault="00941E18" w:rsidP="00987194">
      <w:pPr>
        <w:ind w:firstLine="720"/>
        <w:rPr>
          <w:rFonts w:ascii="Arial" w:hAnsi="Arial" w:cs="Arial"/>
          <w:b/>
        </w:rPr>
      </w:pPr>
    </w:p>
    <w:tbl>
      <w:tblPr>
        <w:tblStyle w:val="TableGrid"/>
        <w:tblW w:w="0" w:type="auto"/>
        <w:tblInd w:w="709" w:type="dxa"/>
        <w:tblLook w:val="04A0"/>
      </w:tblPr>
      <w:tblGrid>
        <w:gridCol w:w="2608"/>
        <w:gridCol w:w="3296"/>
        <w:gridCol w:w="3240"/>
      </w:tblGrid>
      <w:tr w:rsidR="00941E18" w:rsidRPr="00941E18" w:rsidTr="0056455B">
        <w:tc>
          <w:tcPr>
            <w:tcW w:w="2608" w:type="dxa"/>
            <w:shd w:val="clear" w:color="auto" w:fill="BFBFBF" w:themeFill="background1" w:themeFillShade="BF"/>
          </w:tcPr>
          <w:p w:rsidR="00941E18" w:rsidRPr="00941E18" w:rsidRDefault="00941E18" w:rsidP="00312C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BFBFBF" w:themeFill="background1" w:themeFillShade="BF"/>
          </w:tcPr>
          <w:p w:rsidR="00941E18" w:rsidRPr="00941E18" w:rsidRDefault="00941E18" w:rsidP="00312C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1E18">
              <w:rPr>
                <w:rFonts w:ascii="Arial" w:hAnsi="Arial" w:cs="Arial"/>
                <w:b/>
                <w:sz w:val="24"/>
                <w:szCs w:val="24"/>
              </w:rPr>
              <w:t xml:space="preserve">Total Expenditure  (Drugs)  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941E18" w:rsidRPr="00941E18" w:rsidRDefault="00941E18" w:rsidP="00312C55">
            <w:pPr>
              <w:rPr>
                <w:rFonts w:ascii="Arial" w:hAnsi="Arial" w:cs="Arial"/>
                <w:sz w:val="24"/>
                <w:szCs w:val="24"/>
              </w:rPr>
            </w:pPr>
            <w:r w:rsidRPr="00941E18">
              <w:rPr>
                <w:rFonts w:ascii="Arial" w:hAnsi="Arial" w:cs="Arial"/>
                <w:b/>
                <w:sz w:val="24"/>
                <w:szCs w:val="24"/>
              </w:rPr>
              <w:t>Total Expenditure (Alcohol)</w:t>
            </w:r>
          </w:p>
        </w:tc>
      </w:tr>
      <w:tr w:rsidR="00941E18" w:rsidRPr="00941E18" w:rsidTr="0056455B">
        <w:trPr>
          <w:trHeight w:val="397"/>
        </w:trPr>
        <w:tc>
          <w:tcPr>
            <w:tcW w:w="2608" w:type="dxa"/>
          </w:tcPr>
          <w:p w:rsidR="00941E18" w:rsidRPr="00941E18" w:rsidRDefault="00941E18" w:rsidP="00312C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1E18">
              <w:rPr>
                <w:rFonts w:ascii="Arial" w:hAnsi="Arial" w:cs="Arial"/>
                <w:b/>
                <w:sz w:val="24"/>
                <w:szCs w:val="24"/>
              </w:rPr>
              <w:t>2015/16</w:t>
            </w:r>
          </w:p>
        </w:tc>
        <w:tc>
          <w:tcPr>
            <w:tcW w:w="3296" w:type="dxa"/>
          </w:tcPr>
          <w:p w:rsidR="00941E18" w:rsidRPr="00941E18" w:rsidRDefault="00941E18" w:rsidP="00312C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1E18">
              <w:rPr>
                <w:rFonts w:ascii="Arial" w:hAnsi="Arial" w:cs="Arial"/>
                <w:sz w:val="24"/>
                <w:szCs w:val="24"/>
              </w:rPr>
              <w:t>£</w:t>
            </w:r>
            <w:r w:rsidRPr="00941E18">
              <w:rPr>
                <w:sz w:val="24"/>
                <w:szCs w:val="24"/>
              </w:rPr>
              <w:t>2,222,010.93</w:t>
            </w:r>
          </w:p>
        </w:tc>
        <w:tc>
          <w:tcPr>
            <w:tcW w:w="3240" w:type="dxa"/>
          </w:tcPr>
          <w:p w:rsidR="00941E18" w:rsidRPr="00941E18" w:rsidRDefault="00941E18" w:rsidP="00312C55">
            <w:pPr>
              <w:rPr>
                <w:sz w:val="24"/>
                <w:szCs w:val="24"/>
              </w:rPr>
            </w:pPr>
            <w:r w:rsidRPr="00941E18">
              <w:rPr>
                <w:rFonts w:ascii="Arial" w:hAnsi="Arial" w:cs="Arial"/>
                <w:sz w:val="24"/>
                <w:szCs w:val="24"/>
              </w:rPr>
              <w:t>£</w:t>
            </w:r>
            <w:r w:rsidRPr="00941E18">
              <w:rPr>
                <w:sz w:val="24"/>
                <w:szCs w:val="24"/>
              </w:rPr>
              <w:t>515,441.03</w:t>
            </w:r>
          </w:p>
        </w:tc>
      </w:tr>
      <w:tr w:rsidR="00941E18" w:rsidRPr="00941E18" w:rsidTr="0056455B">
        <w:trPr>
          <w:trHeight w:val="397"/>
        </w:trPr>
        <w:tc>
          <w:tcPr>
            <w:tcW w:w="2608" w:type="dxa"/>
          </w:tcPr>
          <w:p w:rsidR="00941E18" w:rsidRPr="00941E18" w:rsidRDefault="00941E18" w:rsidP="00941E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1E18">
              <w:rPr>
                <w:rFonts w:ascii="Arial" w:hAnsi="Arial" w:cs="Arial"/>
                <w:b/>
                <w:sz w:val="24"/>
                <w:szCs w:val="24"/>
              </w:rPr>
              <w:t>2016/17 (to date – up</w:t>
            </w:r>
            <w:bookmarkStart w:id="0" w:name="_GoBack"/>
            <w:bookmarkEnd w:id="0"/>
            <w:r w:rsidRPr="00941E18">
              <w:rPr>
                <w:rFonts w:ascii="Arial" w:hAnsi="Arial" w:cs="Arial"/>
                <w:b/>
                <w:sz w:val="24"/>
                <w:szCs w:val="24"/>
              </w:rPr>
              <w:t xml:space="preserve"> to 30/12/2016)</w:t>
            </w:r>
          </w:p>
        </w:tc>
        <w:tc>
          <w:tcPr>
            <w:tcW w:w="3296" w:type="dxa"/>
          </w:tcPr>
          <w:p w:rsidR="00941E18" w:rsidRPr="00941E18" w:rsidRDefault="00941E18" w:rsidP="00312C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1E18">
              <w:rPr>
                <w:rFonts w:ascii="Arial" w:hAnsi="Arial" w:cs="Arial"/>
                <w:sz w:val="24"/>
                <w:szCs w:val="24"/>
              </w:rPr>
              <w:t>£</w:t>
            </w:r>
            <w:r w:rsidRPr="00941E18">
              <w:rPr>
                <w:sz w:val="24"/>
                <w:szCs w:val="24"/>
              </w:rPr>
              <w:t>1,685,842.94</w:t>
            </w:r>
          </w:p>
        </w:tc>
        <w:tc>
          <w:tcPr>
            <w:tcW w:w="3240" w:type="dxa"/>
          </w:tcPr>
          <w:p w:rsidR="00941E18" w:rsidRPr="00941E18" w:rsidRDefault="00941E18" w:rsidP="00941E18">
            <w:pPr>
              <w:rPr>
                <w:rFonts w:ascii="Arial" w:hAnsi="Arial" w:cs="Arial"/>
                <w:sz w:val="24"/>
                <w:szCs w:val="24"/>
              </w:rPr>
            </w:pPr>
            <w:r w:rsidRPr="00941E18">
              <w:rPr>
                <w:rFonts w:ascii="Arial" w:hAnsi="Arial" w:cs="Arial"/>
                <w:sz w:val="24"/>
                <w:szCs w:val="24"/>
              </w:rPr>
              <w:t xml:space="preserve"> £</w:t>
            </w:r>
            <w:r w:rsidRPr="00941E18">
              <w:rPr>
                <w:sz w:val="24"/>
                <w:szCs w:val="24"/>
              </w:rPr>
              <w:t>392,330.7</w:t>
            </w:r>
            <w:r w:rsidR="00D97420">
              <w:rPr>
                <w:sz w:val="24"/>
                <w:szCs w:val="24"/>
              </w:rPr>
              <w:t>7</w:t>
            </w:r>
          </w:p>
        </w:tc>
      </w:tr>
      <w:tr w:rsidR="00941E18" w:rsidRPr="00941E18" w:rsidTr="0056455B">
        <w:trPr>
          <w:trHeight w:val="397"/>
        </w:trPr>
        <w:tc>
          <w:tcPr>
            <w:tcW w:w="2608" w:type="dxa"/>
          </w:tcPr>
          <w:p w:rsidR="00941E18" w:rsidRPr="00941E18" w:rsidRDefault="00941E18" w:rsidP="00941E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1E18">
              <w:rPr>
                <w:rFonts w:ascii="Arial" w:hAnsi="Arial" w:cs="Arial"/>
                <w:b/>
                <w:sz w:val="24"/>
                <w:szCs w:val="24"/>
              </w:rPr>
              <w:t>2017/18</w:t>
            </w:r>
          </w:p>
          <w:p w:rsidR="00941E18" w:rsidRPr="00941E18" w:rsidRDefault="00941E18" w:rsidP="00941E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941E18" w:rsidRPr="00941E18" w:rsidRDefault="00941E18" w:rsidP="0056455B">
            <w:pPr>
              <w:ind w:left="50"/>
              <w:rPr>
                <w:rFonts w:ascii="Arial" w:hAnsi="Arial" w:cs="Arial"/>
                <w:sz w:val="24"/>
                <w:szCs w:val="24"/>
              </w:rPr>
            </w:pPr>
            <w:r w:rsidRPr="00941E18">
              <w:rPr>
                <w:rFonts w:ascii="Arial" w:hAnsi="Arial" w:cs="Arial"/>
                <w:sz w:val="24"/>
                <w:szCs w:val="24"/>
              </w:rPr>
              <w:t>There has been no funding spent in 2017/18 as this period does not commence until 01 April 2017.</w:t>
            </w:r>
          </w:p>
        </w:tc>
        <w:tc>
          <w:tcPr>
            <w:tcW w:w="3240" w:type="dxa"/>
          </w:tcPr>
          <w:p w:rsidR="00941E18" w:rsidRPr="00941E18" w:rsidRDefault="00941E18" w:rsidP="0056455B">
            <w:pPr>
              <w:ind w:left="50"/>
              <w:rPr>
                <w:rFonts w:ascii="Arial" w:hAnsi="Arial" w:cs="Arial"/>
                <w:sz w:val="24"/>
                <w:szCs w:val="24"/>
              </w:rPr>
            </w:pPr>
            <w:r w:rsidRPr="00941E18">
              <w:rPr>
                <w:rFonts w:ascii="Arial" w:hAnsi="Arial" w:cs="Arial"/>
                <w:sz w:val="24"/>
                <w:szCs w:val="24"/>
              </w:rPr>
              <w:t>There has been no funding spent in 2017/18 as this period does not commence until 01 April 2017.</w:t>
            </w:r>
          </w:p>
        </w:tc>
      </w:tr>
    </w:tbl>
    <w:p w:rsidR="00987194" w:rsidRDefault="00987194" w:rsidP="00987194">
      <w:pPr>
        <w:rPr>
          <w:rFonts w:ascii="Arial" w:hAnsi="Arial" w:cs="Arial"/>
          <w:szCs w:val="22"/>
        </w:rPr>
      </w:pPr>
    </w:p>
    <w:p w:rsidR="004D50B7" w:rsidRPr="004D50B7" w:rsidRDefault="004D50B7" w:rsidP="004D50B7">
      <w:pPr>
        <w:pStyle w:val="ListParagraph"/>
        <w:spacing w:after="0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941E18" w:rsidRDefault="004D50B7" w:rsidP="004D50B7">
      <w:pPr>
        <w:pStyle w:val="ListParagraph"/>
        <w:spacing w:after="0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2.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941E18" w:rsidRPr="00941E18">
        <w:rPr>
          <w:rFonts w:ascii="Arial" w:eastAsia="Times New Roman" w:hAnsi="Arial" w:cs="Arial"/>
          <w:b/>
          <w:sz w:val="24"/>
          <w:szCs w:val="24"/>
        </w:rPr>
        <w:t>Drug and Alcohol Residential Rehabilitation</w:t>
      </w:r>
    </w:p>
    <w:p w:rsidR="00941E18" w:rsidRPr="004D50B7" w:rsidRDefault="00941E18" w:rsidP="004D50B7">
      <w:pPr>
        <w:pStyle w:val="ListParagraph"/>
        <w:spacing w:after="0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3057"/>
        <w:gridCol w:w="6096"/>
      </w:tblGrid>
      <w:tr w:rsidR="00941E18" w:rsidRPr="00941E18" w:rsidTr="0056455B">
        <w:trPr>
          <w:trHeight w:val="397"/>
        </w:trPr>
        <w:tc>
          <w:tcPr>
            <w:tcW w:w="9153" w:type="dxa"/>
            <w:gridSpan w:val="2"/>
            <w:shd w:val="clear" w:color="auto" w:fill="BFBFBF" w:themeFill="background1" w:themeFillShade="BF"/>
          </w:tcPr>
          <w:p w:rsidR="000A2FC3" w:rsidRPr="00941E18" w:rsidRDefault="00941E18" w:rsidP="00BE55E5">
            <w:pPr>
              <w:pStyle w:val="ListParagraph"/>
              <w:spacing w:after="0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1E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Drug and Alcohol Residential Rehabilitation </w:t>
            </w:r>
          </w:p>
        </w:tc>
      </w:tr>
      <w:tr w:rsidR="00941E18" w:rsidRPr="00941E18" w:rsidTr="0056455B">
        <w:trPr>
          <w:trHeight w:val="397"/>
        </w:trPr>
        <w:tc>
          <w:tcPr>
            <w:tcW w:w="3057" w:type="dxa"/>
          </w:tcPr>
          <w:p w:rsidR="00941E18" w:rsidRPr="00941E18" w:rsidRDefault="00941E18" w:rsidP="0056455B">
            <w:r>
              <w:rPr>
                <w:rFonts w:ascii="Arial" w:hAnsi="Arial" w:cs="Arial"/>
                <w:b/>
                <w:sz w:val="24"/>
                <w:szCs w:val="24"/>
              </w:rPr>
              <w:t xml:space="preserve">2015/16 </w:t>
            </w:r>
          </w:p>
        </w:tc>
        <w:tc>
          <w:tcPr>
            <w:tcW w:w="6095" w:type="dxa"/>
          </w:tcPr>
          <w:p w:rsidR="00941E18" w:rsidRPr="00941E18" w:rsidRDefault="00941E18" w:rsidP="0056455B">
            <w:pPr>
              <w:ind w:left="36"/>
            </w:pPr>
            <w:r>
              <w:rPr>
                <w:rFonts w:ascii="Arial" w:hAnsi="Arial" w:cs="Arial"/>
                <w:sz w:val="24"/>
                <w:szCs w:val="24"/>
              </w:rPr>
              <w:t xml:space="preserve">Torbay Council did not directly commission residential rehab services, the responsibility was transferred to </w:t>
            </w:r>
            <w:r w:rsidRPr="007E6924">
              <w:rPr>
                <w:rFonts w:ascii="Arial" w:hAnsi="Arial" w:cs="Arial"/>
                <w:sz w:val="24"/>
                <w:szCs w:val="24"/>
              </w:rPr>
              <w:t>Torbay and South Devon NHS Foundation Trust</w:t>
            </w:r>
            <w:r>
              <w:rPr>
                <w:rFonts w:ascii="Arial" w:hAnsi="Arial" w:cs="Arial"/>
                <w:sz w:val="24"/>
                <w:szCs w:val="24"/>
              </w:rPr>
              <w:t xml:space="preserve"> to manage therefore any expenditure on Residential Rehabilitation services would need to be accessed from them.</w:t>
            </w:r>
          </w:p>
        </w:tc>
      </w:tr>
      <w:tr w:rsidR="00941E18" w:rsidRPr="00941E18" w:rsidTr="0056455B">
        <w:trPr>
          <w:trHeight w:val="397"/>
        </w:trPr>
        <w:tc>
          <w:tcPr>
            <w:tcW w:w="3057" w:type="dxa"/>
          </w:tcPr>
          <w:p w:rsidR="00941E18" w:rsidRDefault="00941E18" w:rsidP="00941E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2016/17 </w:t>
            </w:r>
          </w:p>
        </w:tc>
        <w:tc>
          <w:tcPr>
            <w:tcW w:w="6095" w:type="dxa"/>
          </w:tcPr>
          <w:p w:rsidR="00941E18" w:rsidRDefault="00941E18" w:rsidP="0056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per 2015/16</w:t>
            </w:r>
          </w:p>
        </w:tc>
      </w:tr>
      <w:tr w:rsidR="00941E18" w:rsidRPr="00941E18" w:rsidTr="0056455B">
        <w:trPr>
          <w:trHeight w:val="397"/>
        </w:trPr>
        <w:tc>
          <w:tcPr>
            <w:tcW w:w="3057" w:type="dxa"/>
          </w:tcPr>
          <w:p w:rsidR="00941E18" w:rsidRDefault="00941E18" w:rsidP="00941E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2017/18 </w:t>
            </w:r>
          </w:p>
        </w:tc>
        <w:tc>
          <w:tcPr>
            <w:tcW w:w="6095" w:type="dxa"/>
          </w:tcPr>
          <w:p w:rsidR="00941E18" w:rsidRDefault="00941E18" w:rsidP="00941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per 2015/16</w:t>
            </w:r>
          </w:p>
        </w:tc>
      </w:tr>
    </w:tbl>
    <w:p w:rsidR="006D3102" w:rsidRPr="00720724" w:rsidRDefault="006D3102" w:rsidP="0056455B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sectPr w:rsidR="006D3102" w:rsidRPr="0072072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B27" w:rsidRDefault="00502B27">
      <w:r>
        <w:separator/>
      </w:r>
    </w:p>
  </w:endnote>
  <w:endnote w:type="continuationSeparator" w:id="0">
    <w:p w:rsidR="00502B27" w:rsidRDefault="00502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56455B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20"/>
        <w:szCs w:val="24"/>
        <w:lang w:val="en-GB"/>
      </w:rPr>
    </w:pPr>
    <w:r w:rsidRPr="0056455B">
      <w:rPr>
        <w:rFonts w:ascii="Arial" w:hAnsi="Arial" w:cs="Arial"/>
        <w:bCs/>
        <w:snapToGrid/>
        <w:sz w:val="20"/>
        <w:szCs w:val="24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56455B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20"/>
        <w:szCs w:val="24"/>
        <w:lang w:val="en-GB"/>
      </w:rPr>
    </w:pPr>
  </w:p>
  <w:p w:rsidR="00AA7E6D" w:rsidRDefault="00AA7E6D">
    <w:pPr>
      <w:pStyle w:val="Footer"/>
    </w:pPr>
    <w:r w:rsidRPr="0056455B">
      <w:rPr>
        <w:rFonts w:ascii="Arial" w:hAnsi="Arial" w:cs="Arial"/>
        <w:bCs/>
        <w:snapToGrid/>
        <w:sz w:val="20"/>
        <w:szCs w:val="24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56455B">
        <w:rPr>
          <w:rStyle w:val="Hyperlink"/>
          <w:rFonts w:ascii="Arial" w:hAnsi="Arial" w:cs="Arial"/>
          <w:b/>
          <w:bCs/>
          <w:snapToGrid/>
          <w:sz w:val="20"/>
          <w:szCs w:val="24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2A04AC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2A04AC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2A04AC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2A04AC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2A04AC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2A04AC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B27" w:rsidRDefault="00502B27">
      <w:r>
        <w:separator/>
      </w:r>
    </w:p>
  </w:footnote>
  <w:footnote w:type="continuationSeparator" w:id="0">
    <w:p w:rsidR="00502B27" w:rsidRDefault="00502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15462B"/>
    <w:multiLevelType w:val="hybridMultilevel"/>
    <w:tmpl w:val="2E8E72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8D90CDC"/>
    <w:multiLevelType w:val="hybridMultilevel"/>
    <w:tmpl w:val="0E6C9826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65E33"/>
    <w:rsid w:val="000A2FC3"/>
    <w:rsid w:val="000B213E"/>
    <w:rsid w:val="000E1A9B"/>
    <w:rsid w:val="00176BE1"/>
    <w:rsid w:val="00177AE2"/>
    <w:rsid w:val="001C6485"/>
    <w:rsid w:val="001E2239"/>
    <w:rsid w:val="002967BB"/>
    <w:rsid w:val="002A04AC"/>
    <w:rsid w:val="002A61E4"/>
    <w:rsid w:val="002C431F"/>
    <w:rsid w:val="00300B48"/>
    <w:rsid w:val="00303D18"/>
    <w:rsid w:val="00395C1B"/>
    <w:rsid w:val="00453B9B"/>
    <w:rsid w:val="004D50B7"/>
    <w:rsid w:val="00502B27"/>
    <w:rsid w:val="00551AF6"/>
    <w:rsid w:val="0056455B"/>
    <w:rsid w:val="005F494D"/>
    <w:rsid w:val="00650040"/>
    <w:rsid w:val="006D3102"/>
    <w:rsid w:val="00720724"/>
    <w:rsid w:val="00865634"/>
    <w:rsid w:val="00941E18"/>
    <w:rsid w:val="00951761"/>
    <w:rsid w:val="00977727"/>
    <w:rsid w:val="00987194"/>
    <w:rsid w:val="009A13E2"/>
    <w:rsid w:val="00A05120"/>
    <w:rsid w:val="00A734C7"/>
    <w:rsid w:val="00AA5747"/>
    <w:rsid w:val="00AA7E6D"/>
    <w:rsid w:val="00AD1728"/>
    <w:rsid w:val="00AE2DA7"/>
    <w:rsid w:val="00BA36FC"/>
    <w:rsid w:val="00BE16F1"/>
    <w:rsid w:val="00C2022B"/>
    <w:rsid w:val="00C54EA5"/>
    <w:rsid w:val="00C8081F"/>
    <w:rsid w:val="00CF5D71"/>
    <w:rsid w:val="00D47DF5"/>
    <w:rsid w:val="00D97420"/>
    <w:rsid w:val="00E149FE"/>
    <w:rsid w:val="00E33F7B"/>
    <w:rsid w:val="00E76418"/>
    <w:rsid w:val="00E821D9"/>
    <w:rsid w:val="00F27CDD"/>
    <w:rsid w:val="00FB3CA0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AE2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177AE2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7AE2"/>
  </w:style>
  <w:style w:type="paragraph" w:styleId="Header">
    <w:name w:val="header"/>
    <w:basedOn w:val="Normal"/>
    <w:rsid w:val="00177A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77AE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177AE2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177AE2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177AE2"/>
    <w:rPr>
      <w:sz w:val="16"/>
      <w:szCs w:val="16"/>
    </w:rPr>
  </w:style>
  <w:style w:type="paragraph" w:styleId="CommentText">
    <w:name w:val="annotation text"/>
    <w:basedOn w:val="Normal"/>
    <w:semiHidden/>
    <w:rsid w:val="00177AE2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177A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77AE2"/>
    <w:rPr>
      <w:color w:val="0000FF"/>
      <w:u w:val="single"/>
    </w:rPr>
  </w:style>
  <w:style w:type="paragraph" w:styleId="BodyTextIndent">
    <w:name w:val="Body Text Indent"/>
    <w:basedOn w:val="Normal"/>
    <w:rsid w:val="00177AE2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177AE2"/>
    <w:rPr>
      <w:color w:val="800080"/>
      <w:u w:val="single"/>
    </w:rPr>
  </w:style>
  <w:style w:type="paragraph" w:styleId="BodyText2">
    <w:name w:val="Body Text 2"/>
    <w:basedOn w:val="Normal"/>
    <w:rsid w:val="00177AE2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177AE2"/>
    <w:rPr>
      <w:sz w:val="20"/>
    </w:rPr>
  </w:style>
  <w:style w:type="paragraph" w:styleId="BodyText3">
    <w:name w:val="Body Text 3"/>
    <w:basedOn w:val="Normal"/>
    <w:rsid w:val="00177AE2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177AE2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D50B7"/>
    <w:pPr>
      <w:widowControl/>
      <w:spacing w:after="160" w:line="252" w:lineRule="auto"/>
      <w:ind w:left="720"/>
      <w:contextualSpacing/>
    </w:pPr>
    <w:rPr>
      <w:rFonts w:ascii="Calibri" w:eastAsiaTheme="minorHAnsi" w:hAnsi="Calibri"/>
      <w:snapToGrid/>
      <w:szCs w:val="22"/>
      <w:lang w:val="en-GB"/>
    </w:rPr>
  </w:style>
  <w:style w:type="character" w:customStyle="1" w:styleId="colorblack1">
    <w:name w:val="colorblack1"/>
    <w:basedOn w:val="DefaultParagraphFont"/>
    <w:rsid w:val="00987194"/>
    <w:rPr>
      <w:color w:val="000000"/>
    </w:rPr>
  </w:style>
  <w:style w:type="table" w:styleId="TableGrid">
    <w:name w:val="Table Grid"/>
    <w:basedOn w:val="TableNormal"/>
    <w:uiPriority w:val="59"/>
    <w:rsid w:val="00941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AE2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177AE2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7AE2"/>
  </w:style>
  <w:style w:type="paragraph" w:styleId="Header">
    <w:name w:val="header"/>
    <w:basedOn w:val="Normal"/>
    <w:rsid w:val="00177A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77AE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177AE2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177AE2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177AE2"/>
    <w:rPr>
      <w:sz w:val="16"/>
      <w:szCs w:val="16"/>
    </w:rPr>
  </w:style>
  <w:style w:type="paragraph" w:styleId="CommentText">
    <w:name w:val="annotation text"/>
    <w:basedOn w:val="Normal"/>
    <w:semiHidden/>
    <w:rsid w:val="00177AE2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177A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77AE2"/>
    <w:rPr>
      <w:color w:val="0000FF"/>
      <w:u w:val="single"/>
    </w:rPr>
  </w:style>
  <w:style w:type="paragraph" w:styleId="BodyTextIndent">
    <w:name w:val="Body Text Indent"/>
    <w:basedOn w:val="Normal"/>
    <w:rsid w:val="00177AE2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177AE2"/>
    <w:rPr>
      <w:color w:val="800080"/>
      <w:u w:val="single"/>
    </w:rPr>
  </w:style>
  <w:style w:type="paragraph" w:styleId="BodyText2">
    <w:name w:val="Body Text 2"/>
    <w:basedOn w:val="Normal"/>
    <w:rsid w:val="00177AE2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177AE2"/>
    <w:rPr>
      <w:sz w:val="20"/>
    </w:rPr>
  </w:style>
  <w:style w:type="paragraph" w:styleId="BodyText3">
    <w:name w:val="Body Text 3"/>
    <w:basedOn w:val="Normal"/>
    <w:rsid w:val="00177AE2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177AE2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D50B7"/>
    <w:pPr>
      <w:widowControl/>
      <w:spacing w:after="160" w:line="252" w:lineRule="auto"/>
      <w:ind w:left="720"/>
      <w:contextualSpacing/>
    </w:pPr>
    <w:rPr>
      <w:rFonts w:ascii="Calibri" w:eastAsiaTheme="minorHAnsi" w:hAnsi="Calibri"/>
      <w:snapToGrid/>
      <w:szCs w:val="22"/>
      <w:lang w:val="en-GB"/>
    </w:rPr>
  </w:style>
  <w:style w:type="character" w:customStyle="1" w:styleId="colorblack1">
    <w:name w:val="colorblack1"/>
    <w:basedOn w:val="DefaultParagraphFont"/>
    <w:rsid w:val="0098719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1055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csit063</cp:lastModifiedBy>
  <cp:revision>2</cp:revision>
  <cp:lastPrinted>2005-07-21T15:51:00Z</cp:lastPrinted>
  <dcterms:created xsi:type="dcterms:W3CDTF">2017-01-19T12:36:00Z</dcterms:created>
  <dcterms:modified xsi:type="dcterms:W3CDTF">2017-01-19T12:36:00Z</dcterms:modified>
</cp:coreProperties>
</file>