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4D094"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23239E72" wp14:editId="28824884">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14:anchorId="2924C646" wp14:editId="02D72880">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63D2956E" w14:textId="77777777" w:rsidR="00FE0EFA" w:rsidRPr="00D53F2F" w:rsidRDefault="00FE0EFA" w:rsidP="002B0B1E">
      <w:pPr>
        <w:jc w:val="left"/>
        <w:rPr>
          <w:rFonts w:ascii="Comic Sans MS" w:hAnsi="Comic Sans MS"/>
          <w:color w:val="993366"/>
          <w:sz w:val="22"/>
          <w:szCs w:val="22"/>
        </w:rPr>
      </w:pPr>
    </w:p>
    <w:tbl>
      <w:tblPr>
        <w:tblW w:w="11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
        <w:gridCol w:w="1701"/>
        <w:gridCol w:w="3686"/>
        <w:gridCol w:w="1511"/>
        <w:gridCol w:w="1276"/>
        <w:gridCol w:w="567"/>
        <w:gridCol w:w="396"/>
        <w:gridCol w:w="1937"/>
      </w:tblGrid>
      <w:tr w:rsidR="006C0D05" w:rsidRPr="001C6599" w14:paraId="28D733C0" w14:textId="77777777" w:rsidTr="006C0D05">
        <w:trPr>
          <w:gridAfter w:val="1"/>
          <w:wAfter w:w="1937" w:type="dxa"/>
        </w:trPr>
        <w:tc>
          <w:tcPr>
            <w:tcW w:w="250" w:type="dxa"/>
            <w:tcBorders>
              <w:top w:val="nil"/>
              <w:left w:val="nil"/>
              <w:bottom w:val="nil"/>
              <w:right w:val="nil"/>
            </w:tcBorders>
            <w:shd w:val="clear" w:color="auto" w:fill="auto"/>
          </w:tcPr>
          <w:p w14:paraId="20BB8ABC" w14:textId="77777777" w:rsidR="00220494" w:rsidRPr="001C6599" w:rsidRDefault="00220494" w:rsidP="006C0D05">
            <w:pPr>
              <w:ind w:right="601"/>
              <w:jc w:val="left"/>
              <w:rPr>
                <w:rFonts w:ascii="Arial" w:hAnsi="Arial"/>
                <w:szCs w:val="24"/>
              </w:rPr>
            </w:pPr>
          </w:p>
        </w:tc>
        <w:tc>
          <w:tcPr>
            <w:tcW w:w="9137" w:type="dxa"/>
            <w:gridSpan w:val="6"/>
            <w:tcBorders>
              <w:top w:val="nil"/>
              <w:left w:val="nil"/>
              <w:bottom w:val="nil"/>
              <w:right w:val="nil"/>
            </w:tcBorders>
            <w:shd w:val="clear" w:color="auto" w:fill="auto"/>
          </w:tcPr>
          <w:p w14:paraId="55C605BE" w14:textId="77777777" w:rsidR="00220494" w:rsidRPr="00294CBE" w:rsidRDefault="006C0D05" w:rsidP="00220494">
            <w:pPr>
              <w:rPr>
                <w:rFonts w:ascii="Arial" w:hAnsi="Arial" w:cs="Arial"/>
                <w:b/>
                <w:szCs w:val="24"/>
              </w:rPr>
            </w:pPr>
            <w:r w:rsidRPr="006C0D05">
              <w:rPr>
                <w:rFonts w:ascii="Arial" w:hAnsi="Arial" w:cs="Arial"/>
                <w:sz w:val="28"/>
                <w:szCs w:val="28"/>
              </w:rPr>
              <w:t>Title:</w:t>
            </w:r>
            <w:r>
              <w:rPr>
                <w:rFonts w:ascii="Arial" w:hAnsi="Arial" w:cs="Arial"/>
                <w:b/>
                <w:sz w:val="28"/>
                <w:szCs w:val="28"/>
              </w:rPr>
              <w:t xml:space="preserve"> </w:t>
            </w:r>
            <w:r w:rsidRPr="006C0D05">
              <w:rPr>
                <w:rFonts w:ascii="Arial" w:hAnsi="Arial" w:cs="Arial"/>
                <w:b/>
                <w:sz w:val="28"/>
                <w:szCs w:val="28"/>
              </w:rPr>
              <w:t xml:space="preserve">RE Commission </w:t>
            </w:r>
            <w:r>
              <w:rPr>
                <w:rFonts w:ascii="Arial" w:hAnsi="Arial" w:cs="Arial"/>
                <w:b/>
                <w:sz w:val="28"/>
                <w:szCs w:val="28"/>
              </w:rPr>
              <w:t xml:space="preserve">Response of </w:t>
            </w:r>
            <w:r w:rsidRPr="006C0D05">
              <w:rPr>
                <w:rFonts w:ascii="Arial" w:hAnsi="Arial" w:cs="Arial"/>
                <w:b/>
                <w:sz w:val="28"/>
                <w:szCs w:val="28"/>
              </w:rPr>
              <w:t>Torbay SACRE</w:t>
            </w:r>
          </w:p>
        </w:tc>
      </w:tr>
      <w:tr w:rsidR="006C0D05" w:rsidRPr="001C6599" w14:paraId="5CBF01E7" w14:textId="77777777" w:rsidTr="006C0D05">
        <w:trPr>
          <w:gridAfter w:val="1"/>
          <w:wAfter w:w="1937" w:type="dxa"/>
        </w:trPr>
        <w:tc>
          <w:tcPr>
            <w:tcW w:w="5637" w:type="dxa"/>
            <w:gridSpan w:val="3"/>
            <w:tcBorders>
              <w:top w:val="nil"/>
              <w:left w:val="nil"/>
              <w:bottom w:val="nil"/>
              <w:right w:val="nil"/>
            </w:tcBorders>
            <w:shd w:val="clear" w:color="auto" w:fill="auto"/>
          </w:tcPr>
          <w:p w14:paraId="62E90B8A" w14:textId="77777777" w:rsidR="00220494" w:rsidRPr="001C6599" w:rsidRDefault="00220494" w:rsidP="00220494">
            <w:pPr>
              <w:rPr>
                <w:rFonts w:ascii="Arial" w:hAnsi="Arial"/>
                <w:szCs w:val="24"/>
              </w:rPr>
            </w:pPr>
          </w:p>
        </w:tc>
        <w:tc>
          <w:tcPr>
            <w:tcW w:w="3750" w:type="dxa"/>
            <w:gridSpan w:val="4"/>
            <w:tcBorders>
              <w:top w:val="nil"/>
              <w:left w:val="nil"/>
              <w:bottom w:val="nil"/>
              <w:right w:val="nil"/>
            </w:tcBorders>
            <w:shd w:val="clear" w:color="auto" w:fill="auto"/>
          </w:tcPr>
          <w:p w14:paraId="216C8F37" w14:textId="77777777" w:rsidR="00220494" w:rsidRPr="001C6599" w:rsidRDefault="00220494" w:rsidP="00220494">
            <w:pPr>
              <w:rPr>
                <w:rFonts w:ascii="Arial" w:hAnsi="Arial" w:cs="Arial"/>
                <w:color w:val="993366"/>
                <w:sz w:val="22"/>
                <w:szCs w:val="22"/>
              </w:rPr>
            </w:pPr>
          </w:p>
        </w:tc>
      </w:tr>
      <w:tr w:rsidR="00220494" w:rsidRPr="001C6599" w14:paraId="1CC3DCC5" w14:textId="77777777" w:rsidTr="006C0D05">
        <w:trPr>
          <w:gridAfter w:val="1"/>
          <w:wAfter w:w="1937" w:type="dxa"/>
        </w:trPr>
        <w:tc>
          <w:tcPr>
            <w:tcW w:w="9387" w:type="dxa"/>
            <w:gridSpan w:val="7"/>
            <w:tcBorders>
              <w:top w:val="nil"/>
              <w:left w:val="nil"/>
              <w:bottom w:val="nil"/>
              <w:right w:val="nil"/>
            </w:tcBorders>
            <w:shd w:val="clear" w:color="auto" w:fill="auto"/>
          </w:tcPr>
          <w:p w14:paraId="26B8DB5A" w14:textId="77777777" w:rsidR="00220494" w:rsidRPr="001C6599" w:rsidRDefault="00200D5B" w:rsidP="00717820">
            <w:pPr>
              <w:rPr>
                <w:rFonts w:ascii="Arial" w:hAnsi="Arial"/>
                <w:szCs w:val="24"/>
              </w:rPr>
            </w:pPr>
            <w:r w:rsidRPr="001C6599">
              <w:rPr>
                <w:rFonts w:ascii="Arial" w:hAnsi="Arial" w:cs="Arial"/>
                <w:sz w:val="22"/>
                <w:szCs w:val="22"/>
              </w:rPr>
              <w:t>This report relates to</w:t>
            </w:r>
            <w:r w:rsidR="006C0D05">
              <w:rPr>
                <w:rFonts w:ascii="Arial" w:hAnsi="Arial" w:cs="Arial"/>
                <w:sz w:val="22"/>
                <w:szCs w:val="22"/>
              </w:rPr>
              <w:t xml:space="preserve"> the RE Council’s Commission on Religious Education in England. It looks at the call for evidence, which has a </w:t>
            </w:r>
            <w:r w:rsidR="006C0D05" w:rsidRPr="00CF3944">
              <w:rPr>
                <w:rFonts w:ascii="Arial" w:hAnsi="Arial" w:cs="Arial"/>
                <w:b/>
                <w:sz w:val="22"/>
                <w:szCs w:val="22"/>
              </w:rPr>
              <w:t>closing date of 13</w:t>
            </w:r>
            <w:r w:rsidR="006C0D05" w:rsidRPr="00CF3944">
              <w:rPr>
                <w:rFonts w:ascii="Arial" w:hAnsi="Arial" w:cs="Arial"/>
                <w:b/>
                <w:sz w:val="22"/>
                <w:szCs w:val="22"/>
                <w:vertAlign w:val="superscript"/>
              </w:rPr>
              <w:t>th</w:t>
            </w:r>
            <w:r w:rsidR="006C0D05" w:rsidRPr="00CF3944">
              <w:rPr>
                <w:rFonts w:ascii="Arial" w:hAnsi="Arial" w:cs="Arial"/>
                <w:b/>
                <w:sz w:val="22"/>
                <w:szCs w:val="22"/>
              </w:rPr>
              <w:t xml:space="preserve"> February 2017</w:t>
            </w:r>
            <w:r w:rsidR="002B5E6A" w:rsidRPr="00CF3944">
              <w:rPr>
                <w:rFonts w:ascii="Arial" w:hAnsi="Arial" w:cs="Arial"/>
                <w:b/>
                <w:sz w:val="22"/>
                <w:szCs w:val="22"/>
              </w:rPr>
              <w:t xml:space="preserve"> by 9 am</w:t>
            </w:r>
            <w:r w:rsidR="006C0D05">
              <w:rPr>
                <w:rFonts w:ascii="Arial" w:hAnsi="Arial" w:cs="Arial"/>
                <w:sz w:val="22"/>
                <w:szCs w:val="22"/>
              </w:rPr>
              <w:t>. It encourages SACRE to make a response to the Commission before the closing date.</w:t>
            </w:r>
          </w:p>
        </w:tc>
      </w:tr>
      <w:tr w:rsidR="006C0D05" w:rsidRPr="001C6599" w14:paraId="0B5E178E" w14:textId="77777777" w:rsidTr="006C0D05">
        <w:trPr>
          <w:gridAfter w:val="1"/>
          <w:wAfter w:w="1937" w:type="dxa"/>
        </w:trPr>
        <w:tc>
          <w:tcPr>
            <w:tcW w:w="5637" w:type="dxa"/>
            <w:gridSpan w:val="3"/>
            <w:tcBorders>
              <w:top w:val="nil"/>
              <w:left w:val="nil"/>
              <w:bottom w:val="nil"/>
              <w:right w:val="nil"/>
            </w:tcBorders>
            <w:shd w:val="clear" w:color="auto" w:fill="auto"/>
          </w:tcPr>
          <w:p w14:paraId="20F93993" w14:textId="77777777" w:rsidR="00220494" w:rsidRPr="001C6599" w:rsidRDefault="00220494" w:rsidP="002B0B1E">
            <w:pPr>
              <w:rPr>
                <w:rFonts w:ascii="Arial" w:hAnsi="Arial"/>
                <w:szCs w:val="24"/>
              </w:rPr>
            </w:pPr>
          </w:p>
        </w:tc>
        <w:tc>
          <w:tcPr>
            <w:tcW w:w="3750" w:type="dxa"/>
            <w:gridSpan w:val="4"/>
            <w:tcBorders>
              <w:top w:val="nil"/>
              <w:left w:val="nil"/>
              <w:bottom w:val="nil"/>
              <w:right w:val="nil"/>
            </w:tcBorders>
            <w:shd w:val="clear" w:color="auto" w:fill="auto"/>
          </w:tcPr>
          <w:p w14:paraId="1422853C" w14:textId="77777777" w:rsidR="00220494" w:rsidRPr="001C6599" w:rsidRDefault="00220494" w:rsidP="002B0B1E">
            <w:pPr>
              <w:rPr>
                <w:rFonts w:ascii="Arial" w:hAnsi="Arial" w:cs="Arial"/>
                <w:color w:val="993366"/>
                <w:sz w:val="22"/>
                <w:szCs w:val="22"/>
              </w:rPr>
            </w:pPr>
          </w:p>
        </w:tc>
      </w:tr>
      <w:tr w:rsidR="006C0D05" w:rsidRPr="001C6599" w14:paraId="5124F08D" w14:textId="77777777" w:rsidTr="006C0D05">
        <w:trPr>
          <w:gridAfter w:val="1"/>
          <w:wAfter w:w="1937" w:type="dxa"/>
        </w:trPr>
        <w:tc>
          <w:tcPr>
            <w:tcW w:w="1951" w:type="dxa"/>
            <w:gridSpan w:val="2"/>
            <w:tcBorders>
              <w:top w:val="nil"/>
              <w:left w:val="nil"/>
              <w:bottom w:val="nil"/>
              <w:right w:val="nil"/>
            </w:tcBorders>
            <w:shd w:val="clear" w:color="auto" w:fill="auto"/>
          </w:tcPr>
          <w:p w14:paraId="33BA6460" w14:textId="77777777" w:rsidR="00220494" w:rsidRPr="001C6599" w:rsidRDefault="00220494" w:rsidP="002B0B1E">
            <w:pPr>
              <w:rPr>
                <w:rFonts w:ascii="Arial" w:hAnsi="Arial"/>
                <w:szCs w:val="24"/>
              </w:rPr>
            </w:pPr>
            <w:r w:rsidRPr="001C6599">
              <w:rPr>
                <w:rFonts w:ascii="Arial" w:hAnsi="Arial"/>
                <w:szCs w:val="24"/>
              </w:rPr>
              <w:t>Wards Affected:</w:t>
            </w:r>
          </w:p>
        </w:tc>
        <w:tc>
          <w:tcPr>
            <w:tcW w:w="7436" w:type="dxa"/>
            <w:gridSpan w:val="5"/>
            <w:tcBorders>
              <w:top w:val="nil"/>
              <w:left w:val="nil"/>
              <w:bottom w:val="nil"/>
              <w:right w:val="nil"/>
            </w:tcBorders>
            <w:shd w:val="clear" w:color="auto" w:fill="auto"/>
          </w:tcPr>
          <w:p w14:paraId="10A97CC9" w14:textId="77777777" w:rsidR="00220494" w:rsidRPr="001C6599" w:rsidRDefault="00200D5B" w:rsidP="002B0B1E">
            <w:pPr>
              <w:rPr>
                <w:rFonts w:ascii="Arial" w:hAnsi="Arial" w:cs="Arial"/>
                <w:b/>
                <w:szCs w:val="24"/>
              </w:rPr>
            </w:pPr>
            <w:r w:rsidRPr="001C6599">
              <w:rPr>
                <w:rFonts w:ascii="Arial" w:hAnsi="Arial" w:cs="Arial"/>
                <w:b/>
                <w:szCs w:val="24"/>
              </w:rPr>
              <w:t>All</w:t>
            </w:r>
            <w:bookmarkStart w:id="0" w:name="_GoBack"/>
            <w:bookmarkEnd w:id="0"/>
          </w:p>
        </w:tc>
      </w:tr>
      <w:tr w:rsidR="006C0D05" w:rsidRPr="001C6599" w14:paraId="2B3D4CF3" w14:textId="77777777" w:rsidTr="006C0D05">
        <w:trPr>
          <w:gridAfter w:val="1"/>
          <w:wAfter w:w="1937" w:type="dxa"/>
          <w:trHeight w:val="316"/>
        </w:trPr>
        <w:tc>
          <w:tcPr>
            <w:tcW w:w="1951" w:type="dxa"/>
            <w:gridSpan w:val="2"/>
            <w:tcBorders>
              <w:top w:val="nil"/>
              <w:left w:val="nil"/>
              <w:bottom w:val="nil"/>
              <w:right w:val="nil"/>
            </w:tcBorders>
            <w:shd w:val="clear" w:color="auto" w:fill="auto"/>
          </w:tcPr>
          <w:p w14:paraId="112D40A5" w14:textId="77777777" w:rsidR="00220494" w:rsidRPr="001C6599" w:rsidRDefault="00220494" w:rsidP="002B0B1E">
            <w:pPr>
              <w:rPr>
                <w:rFonts w:ascii="Arial" w:hAnsi="Arial"/>
                <w:szCs w:val="24"/>
              </w:rPr>
            </w:pPr>
          </w:p>
        </w:tc>
        <w:tc>
          <w:tcPr>
            <w:tcW w:w="7436" w:type="dxa"/>
            <w:gridSpan w:val="5"/>
            <w:tcBorders>
              <w:top w:val="nil"/>
              <w:left w:val="nil"/>
              <w:bottom w:val="nil"/>
              <w:right w:val="nil"/>
            </w:tcBorders>
            <w:shd w:val="clear" w:color="auto" w:fill="auto"/>
          </w:tcPr>
          <w:p w14:paraId="1015B13E" w14:textId="77777777" w:rsidR="00220494" w:rsidRPr="001C6599" w:rsidRDefault="00220494" w:rsidP="001C6599">
            <w:pPr>
              <w:jc w:val="left"/>
              <w:rPr>
                <w:rFonts w:ascii="Arial" w:hAnsi="Arial" w:cs="Arial"/>
                <w:color w:val="993366"/>
                <w:sz w:val="22"/>
                <w:szCs w:val="22"/>
              </w:rPr>
            </w:pPr>
          </w:p>
        </w:tc>
      </w:tr>
      <w:tr w:rsidR="006C0D05" w:rsidRPr="001C6599" w14:paraId="3C912F93" w14:textId="77777777" w:rsidTr="006C0D05">
        <w:tc>
          <w:tcPr>
            <w:tcW w:w="1951" w:type="dxa"/>
            <w:gridSpan w:val="2"/>
            <w:tcBorders>
              <w:top w:val="nil"/>
              <w:left w:val="nil"/>
              <w:bottom w:val="nil"/>
              <w:right w:val="nil"/>
            </w:tcBorders>
            <w:shd w:val="clear" w:color="auto" w:fill="auto"/>
          </w:tcPr>
          <w:p w14:paraId="69BDCD4F" w14:textId="77777777" w:rsidR="006C0D05" w:rsidRPr="001C6599" w:rsidRDefault="006C0D05" w:rsidP="002B0B1E">
            <w:pPr>
              <w:rPr>
                <w:rFonts w:ascii="Arial" w:hAnsi="Arial"/>
                <w:szCs w:val="24"/>
              </w:rPr>
            </w:pPr>
            <w:r w:rsidRPr="001C6599">
              <w:rPr>
                <w:rFonts w:ascii="Arial" w:hAnsi="Arial"/>
                <w:szCs w:val="24"/>
              </w:rPr>
              <w:t>To:</w:t>
            </w:r>
          </w:p>
        </w:tc>
        <w:tc>
          <w:tcPr>
            <w:tcW w:w="3686" w:type="dxa"/>
            <w:tcBorders>
              <w:top w:val="nil"/>
              <w:left w:val="nil"/>
              <w:bottom w:val="nil"/>
              <w:right w:val="nil"/>
            </w:tcBorders>
            <w:shd w:val="clear" w:color="auto" w:fill="auto"/>
          </w:tcPr>
          <w:p w14:paraId="317A3108" w14:textId="77777777" w:rsidR="006C0D05" w:rsidRPr="001C6599" w:rsidRDefault="006C0D05" w:rsidP="001C6599">
            <w:pPr>
              <w:jc w:val="left"/>
              <w:rPr>
                <w:rFonts w:ascii="Arial" w:hAnsi="Arial" w:cs="Arial"/>
                <w:b/>
                <w:szCs w:val="24"/>
              </w:rPr>
            </w:pPr>
            <w:r w:rsidRPr="001C6599">
              <w:rPr>
                <w:rFonts w:ascii="Arial" w:hAnsi="Arial" w:cs="Arial"/>
                <w:b/>
                <w:szCs w:val="24"/>
              </w:rPr>
              <w:t>SACRE</w:t>
            </w:r>
          </w:p>
        </w:tc>
        <w:tc>
          <w:tcPr>
            <w:tcW w:w="2787" w:type="dxa"/>
            <w:gridSpan w:val="2"/>
            <w:tcBorders>
              <w:top w:val="nil"/>
              <w:left w:val="nil"/>
              <w:bottom w:val="nil"/>
              <w:right w:val="nil"/>
            </w:tcBorders>
            <w:shd w:val="clear" w:color="auto" w:fill="auto"/>
          </w:tcPr>
          <w:p w14:paraId="37B7D7DF" w14:textId="77777777" w:rsidR="006C0D05" w:rsidRPr="001C6599" w:rsidRDefault="006C0D05" w:rsidP="006C0D05">
            <w:pPr>
              <w:jc w:val="left"/>
              <w:rPr>
                <w:rFonts w:ascii="Arial" w:hAnsi="Arial" w:cs="Arial"/>
                <w:b/>
                <w:szCs w:val="24"/>
              </w:rPr>
            </w:pPr>
            <w:r>
              <w:rPr>
                <w:rFonts w:ascii="Arial" w:hAnsi="Arial" w:cs="Arial"/>
                <w:b/>
                <w:szCs w:val="24"/>
              </w:rPr>
              <w:t>Date 1</w:t>
            </w:r>
            <w:r w:rsidRPr="006C0D05">
              <w:rPr>
                <w:rFonts w:ascii="Arial" w:hAnsi="Arial" w:cs="Arial"/>
                <w:b/>
                <w:szCs w:val="24"/>
                <w:vertAlign w:val="superscript"/>
              </w:rPr>
              <w:t>st</w:t>
            </w:r>
            <w:r>
              <w:rPr>
                <w:rFonts w:ascii="Arial" w:hAnsi="Arial" w:cs="Arial"/>
                <w:b/>
                <w:szCs w:val="24"/>
              </w:rPr>
              <w:t xml:space="preserve"> February 2017</w:t>
            </w:r>
          </w:p>
        </w:tc>
        <w:tc>
          <w:tcPr>
            <w:tcW w:w="2900" w:type="dxa"/>
            <w:gridSpan w:val="3"/>
            <w:tcBorders>
              <w:top w:val="nil"/>
              <w:left w:val="nil"/>
              <w:bottom w:val="nil"/>
              <w:right w:val="nil"/>
            </w:tcBorders>
            <w:shd w:val="clear" w:color="auto" w:fill="auto"/>
          </w:tcPr>
          <w:p w14:paraId="22E1694B" w14:textId="77777777" w:rsidR="006C0D05" w:rsidRPr="001C6599" w:rsidRDefault="006C0D05" w:rsidP="001C6599">
            <w:pPr>
              <w:jc w:val="left"/>
              <w:rPr>
                <w:rFonts w:ascii="Arial" w:hAnsi="Arial" w:cs="Arial"/>
                <w:b/>
                <w:szCs w:val="24"/>
              </w:rPr>
            </w:pPr>
          </w:p>
        </w:tc>
      </w:tr>
      <w:tr w:rsidR="006C0D05" w:rsidRPr="001C6599" w14:paraId="4A31F7DE" w14:textId="77777777" w:rsidTr="006C0D05">
        <w:tc>
          <w:tcPr>
            <w:tcW w:w="1951" w:type="dxa"/>
            <w:gridSpan w:val="2"/>
            <w:tcBorders>
              <w:top w:val="nil"/>
              <w:left w:val="nil"/>
              <w:bottom w:val="nil"/>
              <w:right w:val="nil"/>
            </w:tcBorders>
            <w:shd w:val="clear" w:color="auto" w:fill="auto"/>
          </w:tcPr>
          <w:p w14:paraId="28DADF43" w14:textId="77777777" w:rsidR="006C0D05" w:rsidRPr="001C6599" w:rsidRDefault="006C0D05" w:rsidP="002B0B1E">
            <w:pPr>
              <w:rPr>
                <w:rFonts w:ascii="Arial" w:hAnsi="Arial"/>
                <w:szCs w:val="24"/>
              </w:rPr>
            </w:pPr>
          </w:p>
        </w:tc>
        <w:tc>
          <w:tcPr>
            <w:tcW w:w="5197" w:type="dxa"/>
            <w:gridSpan w:val="2"/>
            <w:tcBorders>
              <w:top w:val="nil"/>
              <w:left w:val="nil"/>
              <w:bottom w:val="nil"/>
              <w:right w:val="nil"/>
            </w:tcBorders>
            <w:shd w:val="clear" w:color="auto" w:fill="auto"/>
          </w:tcPr>
          <w:p w14:paraId="6FB3E467" w14:textId="77777777" w:rsidR="006C0D05" w:rsidRPr="001C6599" w:rsidRDefault="006C0D05" w:rsidP="001C6599">
            <w:pPr>
              <w:jc w:val="left"/>
              <w:rPr>
                <w:rFonts w:ascii="Arial" w:hAnsi="Arial" w:cs="Arial"/>
                <w:szCs w:val="24"/>
              </w:rPr>
            </w:pPr>
          </w:p>
        </w:tc>
        <w:tc>
          <w:tcPr>
            <w:tcW w:w="1843" w:type="dxa"/>
            <w:gridSpan w:val="2"/>
            <w:tcBorders>
              <w:top w:val="nil"/>
              <w:left w:val="nil"/>
              <w:bottom w:val="nil"/>
              <w:right w:val="nil"/>
            </w:tcBorders>
            <w:shd w:val="clear" w:color="auto" w:fill="auto"/>
          </w:tcPr>
          <w:p w14:paraId="634E462A" w14:textId="77777777" w:rsidR="006C0D05" w:rsidRPr="001C6599" w:rsidRDefault="006C0D05" w:rsidP="001C6599">
            <w:pPr>
              <w:jc w:val="left"/>
              <w:rPr>
                <w:rFonts w:ascii="Arial" w:hAnsi="Arial" w:cs="Arial"/>
                <w:szCs w:val="24"/>
              </w:rPr>
            </w:pPr>
          </w:p>
        </w:tc>
        <w:tc>
          <w:tcPr>
            <w:tcW w:w="2333" w:type="dxa"/>
            <w:gridSpan w:val="2"/>
            <w:tcBorders>
              <w:top w:val="nil"/>
              <w:left w:val="nil"/>
              <w:bottom w:val="nil"/>
              <w:right w:val="nil"/>
            </w:tcBorders>
            <w:shd w:val="clear" w:color="auto" w:fill="auto"/>
          </w:tcPr>
          <w:p w14:paraId="4CE6B81C" w14:textId="77777777" w:rsidR="006C0D05" w:rsidRPr="001C6599" w:rsidRDefault="006C0D05" w:rsidP="001C6599">
            <w:pPr>
              <w:jc w:val="left"/>
              <w:rPr>
                <w:rFonts w:ascii="Arial" w:hAnsi="Arial" w:cs="Arial"/>
                <w:szCs w:val="24"/>
              </w:rPr>
            </w:pPr>
          </w:p>
        </w:tc>
      </w:tr>
      <w:tr w:rsidR="006C0D05" w:rsidRPr="001C6599" w14:paraId="3FC10D8B" w14:textId="77777777" w:rsidTr="006C0D05">
        <w:trPr>
          <w:gridAfter w:val="1"/>
          <w:wAfter w:w="1937" w:type="dxa"/>
        </w:trPr>
        <w:tc>
          <w:tcPr>
            <w:tcW w:w="1951" w:type="dxa"/>
            <w:gridSpan w:val="2"/>
            <w:tcBorders>
              <w:top w:val="nil"/>
              <w:left w:val="nil"/>
              <w:bottom w:val="nil"/>
              <w:right w:val="nil"/>
            </w:tcBorders>
            <w:shd w:val="clear" w:color="auto" w:fill="auto"/>
          </w:tcPr>
          <w:p w14:paraId="79FED67D" w14:textId="77777777" w:rsidR="006C0D05" w:rsidRPr="001C6599" w:rsidRDefault="006C0D05" w:rsidP="002B0B1E">
            <w:pPr>
              <w:rPr>
                <w:rFonts w:ascii="Arial" w:hAnsi="Arial"/>
                <w:szCs w:val="24"/>
              </w:rPr>
            </w:pPr>
            <w:r w:rsidRPr="001C6599">
              <w:rPr>
                <w:rFonts w:ascii="Arial" w:hAnsi="Arial"/>
                <w:szCs w:val="24"/>
              </w:rPr>
              <w:t>Contact Officer:</w:t>
            </w:r>
          </w:p>
        </w:tc>
        <w:tc>
          <w:tcPr>
            <w:tcW w:w="7436" w:type="dxa"/>
            <w:gridSpan w:val="5"/>
            <w:tcBorders>
              <w:top w:val="nil"/>
              <w:left w:val="nil"/>
              <w:bottom w:val="nil"/>
              <w:right w:val="nil"/>
            </w:tcBorders>
            <w:shd w:val="clear" w:color="auto" w:fill="auto"/>
          </w:tcPr>
          <w:p w14:paraId="40776741" w14:textId="77777777" w:rsidR="006C0D05" w:rsidRPr="001C6599" w:rsidRDefault="006C0D05" w:rsidP="002B0B1E">
            <w:pPr>
              <w:rPr>
                <w:rFonts w:ascii="Arial" w:hAnsi="Arial" w:cs="Arial"/>
                <w:b/>
                <w:szCs w:val="24"/>
              </w:rPr>
            </w:pPr>
            <w:r>
              <w:rPr>
                <w:rFonts w:ascii="Arial" w:hAnsi="Arial" w:cs="Arial"/>
                <w:b/>
                <w:szCs w:val="24"/>
              </w:rPr>
              <w:t>RE Adviser</w:t>
            </w:r>
          </w:p>
        </w:tc>
      </w:tr>
      <w:tr w:rsidR="006C0D05" w:rsidRPr="001C6599" w14:paraId="3C9745F3" w14:textId="77777777" w:rsidTr="006C0D05">
        <w:trPr>
          <w:gridAfter w:val="1"/>
          <w:wAfter w:w="1937" w:type="dxa"/>
        </w:trPr>
        <w:tc>
          <w:tcPr>
            <w:tcW w:w="1951" w:type="dxa"/>
            <w:gridSpan w:val="2"/>
            <w:tcBorders>
              <w:top w:val="nil"/>
              <w:left w:val="nil"/>
              <w:bottom w:val="nil"/>
              <w:right w:val="nil"/>
            </w:tcBorders>
            <w:shd w:val="clear" w:color="auto" w:fill="auto"/>
          </w:tcPr>
          <w:p w14:paraId="6C315AAB" w14:textId="77777777" w:rsidR="006C0D05" w:rsidRPr="001C6599" w:rsidRDefault="006C0D05"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436" w:type="dxa"/>
            <w:gridSpan w:val="5"/>
            <w:tcBorders>
              <w:top w:val="nil"/>
              <w:left w:val="nil"/>
              <w:bottom w:val="nil"/>
              <w:right w:val="nil"/>
            </w:tcBorders>
            <w:shd w:val="clear" w:color="auto" w:fill="auto"/>
          </w:tcPr>
          <w:p w14:paraId="3C7055C5" w14:textId="77777777" w:rsidR="006C0D05" w:rsidRPr="001C6599" w:rsidRDefault="006C0D05" w:rsidP="002B0B1E">
            <w:pPr>
              <w:rPr>
                <w:rFonts w:ascii="Arial" w:hAnsi="Arial" w:cs="Arial"/>
                <w:b/>
                <w:szCs w:val="24"/>
              </w:rPr>
            </w:pPr>
            <w:r>
              <w:rPr>
                <w:rFonts w:ascii="Arial" w:hAnsi="Arial" w:cs="Arial"/>
                <w:b/>
                <w:szCs w:val="24"/>
              </w:rPr>
              <w:t>07855 235865</w:t>
            </w:r>
          </w:p>
        </w:tc>
      </w:tr>
      <w:tr w:rsidR="006C0D05" w:rsidRPr="001C6599" w14:paraId="1939ECA4" w14:textId="77777777" w:rsidTr="006C0D05">
        <w:trPr>
          <w:gridAfter w:val="1"/>
          <w:wAfter w:w="1937" w:type="dxa"/>
        </w:trPr>
        <w:tc>
          <w:tcPr>
            <w:tcW w:w="1951" w:type="dxa"/>
            <w:gridSpan w:val="2"/>
            <w:tcBorders>
              <w:top w:val="nil"/>
              <w:left w:val="nil"/>
              <w:bottom w:val="nil"/>
              <w:right w:val="nil"/>
            </w:tcBorders>
            <w:shd w:val="clear" w:color="auto" w:fill="auto"/>
          </w:tcPr>
          <w:p w14:paraId="12635DE3" w14:textId="77777777" w:rsidR="006C0D05" w:rsidRPr="001C6599" w:rsidRDefault="006C0D05"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436" w:type="dxa"/>
            <w:gridSpan w:val="5"/>
            <w:tcBorders>
              <w:top w:val="nil"/>
              <w:left w:val="nil"/>
              <w:bottom w:val="nil"/>
              <w:right w:val="nil"/>
            </w:tcBorders>
            <w:shd w:val="clear" w:color="auto" w:fill="auto"/>
          </w:tcPr>
          <w:p w14:paraId="09158271" w14:textId="77777777" w:rsidR="006C0D05" w:rsidRPr="001C6599" w:rsidRDefault="006C0D05" w:rsidP="002B0B1E">
            <w:pPr>
              <w:rPr>
                <w:rFonts w:ascii="Arial" w:hAnsi="Arial" w:cs="Arial"/>
                <w:b/>
                <w:szCs w:val="24"/>
              </w:rPr>
            </w:pPr>
            <w:hyperlink r:id="rId9" w:history="1">
              <w:r w:rsidRPr="00AC4B91">
                <w:rPr>
                  <w:rStyle w:val="Hyperlink"/>
                  <w:rFonts w:ascii="Arial" w:hAnsi="Arial" w:cs="Arial"/>
                  <w:b/>
                  <w:szCs w:val="24"/>
                </w:rPr>
                <w:t>hampshireeducational@outlook.com</w:t>
              </w:r>
            </w:hyperlink>
            <w:r>
              <w:rPr>
                <w:rFonts w:ascii="Arial" w:hAnsi="Arial" w:cs="Arial"/>
                <w:b/>
                <w:szCs w:val="24"/>
              </w:rPr>
              <w:t xml:space="preserve"> </w:t>
            </w:r>
          </w:p>
        </w:tc>
      </w:tr>
    </w:tbl>
    <w:p w14:paraId="5E37FCE9" w14:textId="77777777" w:rsidR="00456631" w:rsidRPr="00D317D7" w:rsidRDefault="00456631" w:rsidP="002B0B1E">
      <w:pPr>
        <w:tabs>
          <w:tab w:val="left" w:pos="1440"/>
          <w:tab w:val="left" w:pos="6120"/>
        </w:tabs>
        <w:rPr>
          <w:rFonts w:ascii="Arial" w:hAnsi="Arial"/>
          <w:b/>
          <w:szCs w:val="24"/>
        </w:rPr>
      </w:pPr>
    </w:p>
    <w:p w14:paraId="24EE4C5D"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64F45DD4" w14:textId="77777777" w:rsidR="00CA6741" w:rsidRDefault="00CA6741" w:rsidP="00842BB3">
      <w:pPr>
        <w:jc w:val="left"/>
        <w:rPr>
          <w:rFonts w:ascii="Arial" w:hAnsi="Arial"/>
          <w:b/>
          <w:szCs w:val="24"/>
        </w:rPr>
      </w:pPr>
    </w:p>
    <w:p w14:paraId="0DC08A40"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2E8472DF" w14:textId="77777777" w:rsidR="00456631" w:rsidRPr="00D317D7" w:rsidRDefault="00456631" w:rsidP="00842BB3">
      <w:pPr>
        <w:jc w:val="left"/>
        <w:rPr>
          <w:rFonts w:ascii="Arial" w:hAnsi="Arial"/>
          <w:szCs w:val="24"/>
        </w:rPr>
      </w:pPr>
    </w:p>
    <w:p w14:paraId="2A37A2A4" w14:textId="77777777" w:rsidR="001C2486" w:rsidRPr="009B181A" w:rsidRDefault="00200D5B" w:rsidP="009B181A">
      <w:pPr>
        <w:pStyle w:val="ListParagraph"/>
        <w:numPr>
          <w:ilvl w:val="1"/>
          <w:numId w:val="7"/>
        </w:numPr>
        <w:rPr>
          <w:rFonts w:ascii="Arial" w:hAnsi="Arial" w:cs="Arial"/>
        </w:rPr>
      </w:pPr>
      <w:r w:rsidRPr="009B181A">
        <w:rPr>
          <w:rFonts w:ascii="Arial" w:hAnsi="Arial" w:cs="Arial"/>
        </w:rPr>
        <w:t xml:space="preserve">The purpose of this report is </w:t>
      </w:r>
      <w:r w:rsidR="006C0D05">
        <w:rPr>
          <w:rFonts w:ascii="Arial" w:hAnsi="Arial" w:cs="Arial"/>
        </w:rPr>
        <w:t>enable SACRE to make a formal response to the RE Council’s Commission on RE in England. There are two ways of making a response, either on-line or a written submission. This report recommends the use of the on-line consultation format. It also recognises that SACRE members and others can also make individual responses.</w:t>
      </w:r>
    </w:p>
    <w:p w14:paraId="336727F3" w14:textId="77777777" w:rsidR="009B181A" w:rsidRPr="009B181A" w:rsidRDefault="009B181A" w:rsidP="009B181A">
      <w:pPr>
        <w:pStyle w:val="ListParagraph"/>
        <w:rPr>
          <w:rFonts w:ascii="Arial" w:hAnsi="Arial"/>
          <w:szCs w:val="24"/>
        </w:rPr>
      </w:pPr>
    </w:p>
    <w:p w14:paraId="17745BDD"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65F4E4CE" w14:textId="77777777" w:rsidR="00456631" w:rsidRPr="00D317D7" w:rsidRDefault="00456631" w:rsidP="00842BB3">
      <w:pPr>
        <w:jc w:val="left"/>
        <w:rPr>
          <w:rFonts w:ascii="Arial" w:hAnsi="Arial"/>
          <w:szCs w:val="24"/>
        </w:rPr>
      </w:pPr>
    </w:p>
    <w:p w14:paraId="7EFAA386" w14:textId="77777777" w:rsidR="002B5E6A" w:rsidRPr="002B5E6A" w:rsidRDefault="008D0357" w:rsidP="002B5E6A">
      <w:pPr>
        <w:ind w:left="720" w:hanging="720"/>
        <w:rPr>
          <w:rFonts w:ascii="Arial" w:hAnsi="Arial" w:cs="Arial"/>
        </w:rPr>
      </w:pPr>
      <w:r>
        <w:rPr>
          <w:rFonts w:ascii="Arial" w:hAnsi="Arial"/>
          <w:szCs w:val="24"/>
        </w:rPr>
        <w:t>2</w:t>
      </w:r>
      <w:r w:rsidR="00943BA0">
        <w:rPr>
          <w:rFonts w:ascii="Arial" w:hAnsi="Arial"/>
          <w:szCs w:val="24"/>
        </w:rPr>
        <w:t>.1</w:t>
      </w:r>
      <w:r w:rsidR="00456631" w:rsidRPr="00D317D7">
        <w:rPr>
          <w:rFonts w:ascii="Arial" w:hAnsi="Arial"/>
          <w:szCs w:val="24"/>
        </w:rPr>
        <w:tab/>
      </w:r>
      <w:r w:rsidR="002B5E6A">
        <w:rPr>
          <w:rFonts w:ascii="Arial" w:hAnsi="Arial" w:cs="Arial"/>
        </w:rPr>
        <w:t xml:space="preserve">SACRE received its first report on the Commission for RE in June 2016. SACRE resolved to participate in any consultation undertaken by the commission and wrote to the Commission inviting it to visit the South West as part of its evidence gathering. No response was received as to the request. </w:t>
      </w:r>
    </w:p>
    <w:p w14:paraId="70605313" w14:textId="77777777" w:rsidR="008A1EE0" w:rsidRPr="00294CBE" w:rsidRDefault="008A1EE0" w:rsidP="00294CBE">
      <w:pPr>
        <w:ind w:left="720"/>
        <w:rPr>
          <w:rFonts w:ascii="Arial" w:hAnsi="Arial" w:cs="Arial"/>
        </w:rPr>
      </w:pPr>
    </w:p>
    <w:p w14:paraId="3A5FE26F" w14:textId="77777777" w:rsidR="000E2A75" w:rsidRDefault="000E2A75" w:rsidP="00200D5B">
      <w:pPr>
        <w:rPr>
          <w:rFonts w:ascii="Arial" w:hAnsi="Arial" w:cs="Arial"/>
        </w:rPr>
      </w:pPr>
    </w:p>
    <w:p w14:paraId="0B7E90C6" w14:textId="77777777" w:rsidR="002B5E6A" w:rsidRDefault="000E2A75" w:rsidP="008600B3">
      <w:pPr>
        <w:ind w:left="720" w:hanging="720"/>
        <w:rPr>
          <w:rFonts w:ascii="Arial" w:hAnsi="Arial" w:cs="Arial"/>
        </w:rPr>
      </w:pPr>
      <w:r>
        <w:rPr>
          <w:rFonts w:ascii="Arial" w:hAnsi="Arial" w:cs="Arial"/>
        </w:rPr>
        <w:t>2.2</w:t>
      </w:r>
      <w:r>
        <w:rPr>
          <w:rFonts w:ascii="Arial" w:hAnsi="Arial" w:cs="Arial"/>
        </w:rPr>
        <w:tab/>
      </w:r>
      <w:r w:rsidR="002B5E6A">
        <w:rPr>
          <w:rFonts w:ascii="Arial" w:hAnsi="Arial" w:cs="Arial"/>
        </w:rPr>
        <w:t>The Commission was appointed in the autumn term of 2016 and now has its own dedicated website, where full details of its staff</w:t>
      </w:r>
      <w:r w:rsidR="008600B3">
        <w:rPr>
          <w:rFonts w:ascii="Arial" w:hAnsi="Arial" w:cs="Arial"/>
        </w:rPr>
        <w:t xml:space="preserve">, </w:t>
      </w:r>
      <w:r w:rsidR="002B5E6A">
        <w:rPr>
          <w:rFonts w:ascii="Arial" w:hAnsi="Arial" w:cs="Arial"/>
        </w:rPr>
        <w:t xml:space="preserve">commissioners </w:t>
      </w:r>
      <w:r w:rsidR="008600B3">
        <w:rPr>
          <w:rFonts w:ascii="Arial" w:hAnsi="Arial" w:cs="Arial"/>
        </w:rPr>
        <w:t xml:space="preserve">and its current work </w:t>
      </w:r>
      <w:r w:rsidR="002B5E6A">
        <w:rPr>
          <w:rFonts w:ascii="Arial" w:hAnsi="Arial" w:cs="Arial"/>
        </w:rPr>
        <w:t>can be found</w:t>
      </w:r>
      <w:r w:rsidR="008600B3">
        <w:rPr>
          <w:rFonts w:ascii="Arial" w:hAnsi="Arial" w:cs="Arial"/>
        </w:rPr>
        <w:t>, see</w:t>
      </w:r>
      <w:r w:rsidR="002B5E6A">
        <w:rPr>
          <w:rFonts w:ascii="Arial" w:hAnsi="Arial" w:cs="Arial"/>
        </w:rPr>
        <w:t xml:space="preserve">: </w:t>
      </w:r>
      <w:hyperlink r:id="rId10" w:history="1">
        <w:r w:rsidR="002B5E6A" w:rsidRPr="00125038">
          <w:rPr>
            <w:rStyle w:val="Hyperlink"/>
            <w:rFonts w:ascii="Arial" w:hAnsi="Arial" w:cs="Arial"/>
          </w:rPr>
          <w:t>http://www.commissiononre.org.uk</w:t>
        </w:r>
      </w:hyperlink>
      <w:r w:rsidR="002B5E6A">
        <w:rPr>
          <w:rFonts w:ascii="Arial" w:hAnsi="Arial" w:cs="Arial"/>
        </w:rPr>
        <w:t xml:space="preserve">. The call for evidence was issued before the end of the </w:t>
      </w:r>
      <w:proofErr w:type="gramStart"/>
      <w:r w:rsidR="002B5E6A">
        <w:rPr>
          <w:rFonts w:ascii="Arial" w:hAnsi="Arial" w:cs="Arial"/>
        </w:rPr>
        <w:t>Autumn</w:t>
      </w:r>
      <w:proofErr w:type="gramEnd"/>
      <w:r w:rsidR="002B5E6A">
        <w:rPr>
          <w:rFonts w:ascii="Arial" w:hAnsi="Arial" w:cs="Arial"/>
        </w:rPr>
        <w:t xml:space="preserve"> term but its closing date is before the end of the Spring Half Term, thus causing some problems for some SACREs. Nevertheless, Torbay SACRE is in a strong position to complete the on-line call for evidence, of which a </w:t>
      </w:r>
      <w:proofErr w:type="spellStart"/>
      <w:r w:rsidR="002B5E6A">
        <w:rPr>
          <w:rFonts w:ascii="Arial" w:hAnsi="Arial" w:cs="Arial"/>
        </w:rPr>
        <w:t>pdf</w:t>
      </w:r>
      <w:proofErr w:type="spellEnd"/>
      <w:r w:rsidR="002B5E6A">
        <w:rPr>
          <w:rFonts w:ascii="Arial" w:hAnsi="Arial" w:cs="Arial"/>
        </w:rPr>
        <w:t xml:space="preserve"> version is attached as the Appendix to this report (see: </w:t>
      </w:r>
      <w:hyperlink r:id="rId11" w:history="1">
        <w:r w:rsidR="002B5E6A" w:rsidRPr="00125038">
          <w:rPr>
            <w:rStyle w:val="Hyperlink"/>
            <w:rFonts w:ascii="Arial" w:hAnsi="Arial" w:cs="Arial"/>
          </w:rPr>
          <w:t>http://www.commissiononre.org.uk/wp-content/uploads/2016/12/Call-for-evidence.pdf</w:t>
        </w:r>
      </w:hyperlink>
      <w:r w:rsidR="002B5E6A">
        <w:rPr>
          <w:rFonts w:ascii="Arial" w:hAnsi="Arial" w:cs="Arial"/>
        </w:rPr>
        <w:t xml:space="preserve">). </w:t>
      </w:r>
    </w:p>
    <w:p w14:paraId="1184A43F" w14:textId="77777777" w:rsidR="008600B3" w:rsidRDefault="008600B3" w:rsidP="008600B3">
      <w:pPr>
        <w:rPr>
          <w:rFonts w:ascii="Arial" w:hAnsi="Arial" w:cs="Arial"/>
        </w:rPr>
      </w:pPr>
    </w:p>
    <w:p w14:paraId="289DADB9" w14:textId="77777777" w:rsidR="008600B3" w:rsidRDefault="008600B3" w:rsidP="008600B3">
      <w:pPr>
        <w:ind w:left="720" w:hanging="720"/>
        <w:rPr>
          <w:rFonts w:ascii="Arial" w:hAnsi="Arial" w:cs="Arial"/>
        </w:rPr>
      </w:pPr>
      <w:r>
        <w:rPr>
          <w:rFonts w:ascii="Arial" w:hAnsi="Arial" w:cs="Arial"/>
        </w:rPr>
        <w:t>2.3</w:t>
      </w:r>
      <w:r>
        <w:rPr>
          <w:rFonts w:ascii="Arial" w:hAnsi="Arial" w:cs="Arial"/>
        </w:rPr>
        <w:tab/>
        <w:t>Members of SACRE can, of course, submit their own evidence and members of the National Association of RE Teachers (NATRE) have been encouraged to. SACRE members should be aware that at least one of the Commissioners has been public about their own position on matters relating to the definition of RE and to the state of SACRE’s on Twitter and may wish to take this matter up with the Commission in relation to impartiality and prejudice.</w:t>
      </w:r>
    </w:p>
    <w:p w14:paraId="441E6BD2" w14:textId="77777777" w:rsidR="00BD5BBA" w:rsidRDefault="00BD5BBA" w:rsidP="00200D5B">
      <w:pPr>
        <w:rPr>
          <w:rFonts w:ascii="Arial" w:hAnsi="Arial" w:cs="Arial"/>
          <w:b/>
        </w:rPr>
      </w:pPr>
    </w:p>
    <w:p w14:paraId="5E1B3A6B"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559D009F" w14:textId="77777777" w:rsidR="00200D5B" w:rsidRPr="00E06F6B" w:rsidRDefault="00200D5B" w:rsidP="00200D5B">
      <w:pPr>
        <w:rPr>
          <w:rFonts w:ascii="Arial" w:hAnsi="Arial" w:cs="Arial"/>
          <w:b/>
        </w:rPr>
      </w:pPr>
    </w:p>
    <w:p w14:paraId="032DC73B"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6C0D05">
        <w:rPr>
          <w:rFonts w:ascii="Arial" w:hAnsi="Arial" w:cs="Arial"/>
        </w:rPr>
        <w:t>complete the on-line consultation on the RE Council’s Commission on RE in England’s website.</w:t>
      </w:r>
    </w:p>
    <w:p w14:paraId="0E40D264" w14:textId="77777777" w:rsidR="00717820" w:rsidRDefault="00717820" w:rsidP="006C0D05">
      <w:pPr>
        <w:ind w:left="720"/>
        <w:rPr>
          <w:rFonts w:ascii="Arial" w:hAnsi="Arial" w:cs="Arial"/>
        </w:rPr>
      </w:pPr>
    </w:p>
    <w:p w14:paraId="67D40365" w14:textId="77777777" w:rsidR="00A112EE" w:rsidRDefault="00A112EE" w:rsidP="00AF3D22">
      <w:pPr>
        <w:numPr>
          <w:ilvl w:val="1"/>
          <w:numId w:val="4"/>
        </w:numPr>
        <w:rPr>
          <w:rFonts w:ascii="Arial" w:hAnsi="Arial" w:cs="Arial"/>
        </w:rPr>
      </w:pPr>
      <w:r>
        <w:rPr>
          <w:rFonts w:ascii="Arial" w:hAnsi="Arial" w:cs="Arial"/>
        </w:rPr>
        <w:t xml:space="preserve">That SACRE </w:t>
      </w:r>
      <w:r w:rsidR="006C0D05">
        <w:rPr>
          <w:rFonts w:ascii="Arial" w:hAnsi="Arial" w:cs="Arial"/>
        </w:rPr>
        <w:t>encourage others to complete that same consultation by 13</w:t>
      </w:r>
      <w:r w:rsidR="006C0D05" w:rsidRPr="006C0D05">
        <w:rPr>
          <w:rFonts w:ascii="Arial" w:hAnsi="Arial" w:cs="Arial"/>
          <w:vertAlign w:val="superscript"/>
        </w:rPr>
        <w:t>th</w:t>
      </w:r>
      <w:r w:rsidR="006C0D05">
        <w:rPr>
          <w:rFonts w:ascii="Arial" w:hAnsi="Arial" w:cs="Arial"/>
        </w:rPr>
        <w:t xml:space="preserve"> February 2017</w:t>
      </w:r>
      <w:r w:rsidR="002B5E6A">
        <w:rPr>
          <w:rFonts w:ascii="Arial" w:hAnsi="Arial" w:cs="Arial"/>
        </w:rPr>
        <w:t>, by 9 am on that date</w:t>
      </w:r>
      <w:r w:rsidR="006C0D05">
        <w:rPr>
          <w:rFonts w:ascii="Arial" w:hAnsi="Arial" w:cs="Arial"/>
        </w:rPr>
        <w:t>.</w:t>
      </w:r>
    </w:p>
    <w:p w14:paraId="4B932BF5" w14:textId="77777777" w:rsidR="00BD5BBA" w:rsidRDefault="00BD5BBA" w:rsidP="008D0357">
      <w:pPr>
        <w:jc w:val="left"/>
        <w:rPr>
          <w:rFonts w:ascii="Arial" w:hAnsi="Arial" w:cs="Arial"/>
        </w:rPr>
      </w:pPr>
    </w:p>
    <w:p w14:paraId="680A2FEA" w14:textId="77777777" w:rsidR="008D0357" w:rsidRPr="001E4B9D" w:rsidRDefault="002F358A" w:rsidP="008D0357">
      <w:pPr>
        <w:jc w:val="left"/>
        <w:rPr>
          <w:rFonts w:ascii="Arial" w:hAnsi="Arial"/>
          <w:b/>
          <w:szCs w:val="24"/>
        </w:rPr>
      </w:pPr>
      <w:r>
        <w:rPr>
          <w:rFonts w:ascii="Arial" w:hAnsi="Arial"/>
          <w:b/>
          <w:szCs w:val="24"/>
        </w:rPr>
        <w:t>Andrew Strachan</w:t>
      </w:r>
    </w:p>
    <w:p w14:paraId="69DD2302" w14:textId="77777777" w:rsidR="008D0357" w:rsidRPr="001E4B9D" w:rsidRDefault="00200D5B" w:rsidP="008D0357">
      <w:pPr>
        <w:jc w:val="left"/>
        <w:rPr>
          <w:rFonts w:ascii="Arial" w:hAnsi="Arial"/>
          <w:b/>
          <w:szCs w:val="24"/>
        </w:rPr>
      </w:pPr>
      <w:r>
        <w:rPr>
          <w:rFonts w:ascii="Arial" w:hAnsi="Arial"/>
          <w:b/>
          <w:szCs w:val="24"/>
        </w:rPr>
        <w:t>Chair of SACRE</w:t>
      </w:r>
    </w:p>
    <w:p w14:paraId="6394FF5B" w14:textId="77777777" w:rsidR="008D0357" w:rsidRDefault="008D0357" w:rsidP="00D71E36">
      <w:pPr>
        <w:jc w:val="left"/>
        <w:rPr>
          <w:rFonts w:ascii="Arial" w:hAnsi="Arial"/>
          <w:b/>
          <w:szCs w:val="24"/>
        </w:rPr>
      </w:pPr>
    </w:p>
    <w:p w14:paraId="66153B05"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14:paraId="57861D69" w14:textId="77777777" w:rsidR="00AF3D22" w:rsidRDefault="00AF3D22" w:rsidP="00842BB3">
      <w:pPr>
        <w:rPr>
          <w:rFonts w:ascii="Arial" w:hAnsi="Arial"/>
          <w:b/>
          <w:szCs w:val="24"/>
        </w:rPr>
      </w:pPr>
    </w:p>
    <w:p w14:paraId="4F2322E1" w14:textId="77777777" w:rsidR="00CF3944" w:rsidRPr="00CF3944" w:rsidRDefault="00CF3944" w:rsidP="00842BB3">
      <w:pPr>
        <w:rPr>
          <w:rFonts w:ascii="Arial" w:hAnsi="Arial"/>
          <w:szCs w:val="24"/>
        </w:rPr>
      </w:pPr>
      <w:r w:rsidRPr="00CF3944">
        <w:rPr>
          <w:rFonts w:ascii="Arial" w:hAnsi="Arial"/>
          <w:szCs w:val="24"/>
        </w:rPr>
        <w:t>Commission on Religi</w:t>
      </w:r>
      <w:r>
        <w:rPr>
          <w:rFonts w:ascii="Arial" w:hAnsi="Arial"/>
          <w:szCs w:val="24"/>
        </w:rPr>
        <w:t>ous Education Call for Evidence (</w:t>
      </w:r>
      <w:proofErr w:type="spellStart"/>
      <w:r>
        <w:rPr>
          <w:rFonts w:ascii="Arial" w:hAnsi="Arial"/>
          <w:szCs w:val="24"/>
        </w:rPr>
        <w:t>pdf</w:t>
      </w:r>
      <w:proofErr w:type="spellEnd"/>
      <w:r>
        <w:rPr>
          <w:rFonts w:ascii="Arial" w:hAnsi="Arial"/>
          <w:szCs w:val="24"/>
        </w:rPr>
        <w:t xml:space="preserve">. version of the on-line form) </w:t>
      </w:r>
    </w:p>
    <w:p w14:paraId="11FDF47F" w14:textId="77777777" w:rsidR="00CF2F04" w:rsidRPr="00D317D7" w:rsidRDefault="00CF2F04" w:rsidP="00842BB3">
      <w:pPr>
        <w:rPr>
          <w:rFonts w:ascii="Arial" w:hAnsi="Arial"/>
          <w:szCs w:val="24"/>
        </w:rPr>
      </w:pPr>
    </w:p>
    <w:p w14:paraId="56996F0C"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57460111" w14:textId="77777777" w:rsidR="00CF2F04" w:rsidRPr="00D317D7" w:rsidRDefault="00CF2F04" w:rsidP="00842BB3">
      <w:pPr>
        <w:pStyle w:val="PolicyHeader"/>
        <w:rPr>
          <w:rFonts w:ascii="Arial" w:hAnsi="Arial"/>
          <w:b w:val="0"/>
          <w:szCs w:val="24"/>
        </w:rPr>
      </w:pPr>
    </w:p>
    <w:p w14:paraId="33A3BD9F" w14:textId="77777777" w:rsidR="00CF2F04" w:rsidRPr="00236796" w:rsidRDefault="00CF2F04" w:rsidP="00842BB3">
      <w:pPr>
        <w:pStyle w:val="PolicyHeader"/>
        <w:rPr>
          <w:rFonts w:ascii="Arial" w:hAnsi="Arial"/>
          <w:szCs w:val="24"/>
        </w:rPr>
      </w:pPr>
      <w:r w:rsidRPr="00236796">
        <w:rPr>
          <w:rFonts w:ascii="Arial" w:hAnsi="Arial"/>
          <w:szCs w:val="24"/>
        </w:rPr>
        <w:t>Background Papers:</w:t>
      </w:r>
    </w:p>
    <w:p w14:paraId="2BAE4B70" w14:textId="77777777" w:rsidR="008D0357" w:rsidRDefault="008D0357" w:rsidP="008D0357">
      <w:pPr>
        <w:jc w:val="left"/>
        <w:rPr>
          <w:rFonts w:ascii="Arial" w:hAnsi="Arial"/>
          <w:b/>
          <w:szCs w:val="24"/>
        </w:rPr>
      </w:pPr>
    </w:p>
    <w:p w14:paraId="5890D6E3" w14:textId="77777777" w:rsidR="008814DB" w:rsidRDefault="00CF3944" w:rsidP="008D0357">
      <w:pPr>
        <w:jc w:val="left"/>
        <w:rPr>
          <w:rFonts w:ascii="Arial" w:hAnsi="Arial" w:cs="Arial"/>
        </w:rPr>
      </w:pPr>
      <w:r>
        <w:rPr>
          <w:rFonts w:ascii="Arial" w:hAnsi="Arial" w:cs="Arial"/>
        </w:rPr>
        <w:t>Religious Education in English Schools, Department for Education 2010</w:t>
      </w:r>
    </w:p>
    <w:p w14:paraId="47909C14" w14:textId="77777777" w:rsidR="00CF3944" w:rsidRDefault="00CF3944" w:rsidP="008D0357">
      <w:pPr>
        <w:jc w:val="left"/>
        <w:rPr>
          <w:rFonts w:ascii="Arial" w:hAnsi="Arial" w:cs="Arial"/>
        </w:rPr>
      </w:pPr>
      <w:r>
        <w:rPr>
          <w:rFonts w:ascii="Arial" w:hAnsi="Arial" w:cs="Arial"/>
        </w:rPr>
        <w:t>Torbay Agreed Syllabus 2015</w:t>
      </w:r>
    </w:p>
    <w:p w14:paraId="11C08E66" w14:textId="77777777" w:rsidR="008814DB" w:rsidRPr="00697A1C" w:rsidRDefault="008814DB" w:rsidP="008D0357">
      <w:pPr>
        <w:jc w:val="left"/>
        <w:rPr>
          <w:rFonts w:ascii="Arial" w:hAnsi="Arial"/>
          <w:b/>
          <w:szCs w:val="24"/>
        </w:rPr>
      </w:pPr>
    </w:p>
    <w:sectPr w:rsidR="008814DB" w:rsidRPr="00697A1C" w:rsidSect="00855485">
      <w:footerReference w:type="default" r:id="rId12"/>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86265" w14:textId="77777777" w:rsidR="002B5E6A" w:rsidRDefault="002B5E6A">
      <w:r>
        <w:separator/>
      </w:r>
    </w:p>
  </w:endnote>
  <w:endnote w:type="continuationSeparator" w:id="0">
    <w:p w14:paraId="6B64DEA8" w14:textId="77777777" w:rsidR="002B5E6A" w:rsidRDefault="002B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486F8" w14:textId="77777777" w:rsidR="002B5E6A" w:rsidRDefault="002B5E6A">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96B67" w14:textId="77777777" w:rsidR="002B5E6A" w:rsidRDefault="002B5E6A">
      <w:r>
        <w:separator/>
      </w:r>
    </w:p>
  </w:footnote>
  <w:footnote w:type="continuationSeparator" w:id="0">
    <w:p w14:paraId="73E64716" w14:textId="77777777" w:rsidR="002B5E6A" w:rsidRDefault="002B5E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C3EDC"/>
    <w:multiLevelType w:val="multilevel"/>
    <w:tmpl w:val="934E989E"/>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2F6251E"/>
    <w:multiLevelType w:val="hybridMultilevel"/>
    <w:tmpl w:val="2C6457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60670BAA"/>
    <w:multiLevelType w:val="hybridMultilevel"/>
    <w:tmpl w:val="521ED7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6"/>
  </w:num>
  <w:num w:numId="4">
    <w:abstractNumId w:val="2"/>
  </w:num>
  <w:num w:numId="5">
    <w:abstractNumId w:val="5"/>
  </w:num>
  <w:num w:numId="6">
    <w:abstractNumId w:val="4"/>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05"/>
    <w:rsid w:val="0001124E"/>
    <w:rsid w:val="000363D5"/>
    <w:rsid w:val="00060A7A"/>
    <w:rsid w:val="00085678"/>
    <w:rsid w:val="000A6942"/>
    <w:rsid w:val="000E2A75"/>
    <w:rsid w:val="00116E0C"/>
    <w:rsid w:val="00126BF5"/>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94CBE"/>
    <w:rsid w:val="002B0B1E"/>
    <w:rsid w:val="002B316B"/>
    <w:rsid w:val="002B5E6A"/>
    <w:rsid w:val="002F358A"/>
    <w:rsid w:val="00320C51"/>
    <w:rsid w:val="003640CD"/>
    <w:rsid w:val="003734A0"/>
    <w:rsid w:val="0039303E"/>
    <w:rsid w:val="00423BAC"/>
    <w:rsid w:val="00426CFC"/>
    <w:rsid w:val="004545A0"/>
    <w:rsid w:val="00456631"/>
    <w:rsid w:val="00493194"/>
    <w:rsid w:val="00497CD0"/>
    <w:rsid w:val="004A357C"/>
    <w:rsid w:val="004E3994"/>
    <w:rsid w:val="004F7C42"/>
    <w:rsid w:val="00526D42"/>
    <w:rsid w:val="00530470"/>
    <w:rsid w:val="00543CE2"/>
    <w:rsid w:val="00553AFC"/>
    <w:rsid w:val="00555693"/>
    <w:rsid w:val="00587344"/>
    <w:rsid w:val="005C3FCC"/>
    <w:rsid w:val="005C5157"/>
    <w:rsid w:val="005F162E"/>
    <w:rsid w:val="005F381F"/>
    <w:rsid w:val="0060693F"/>
    <w:rsid w:val="00654C39"/>
    <w:rsid w:val="00683968"/>
    <w:rsid w:val="006921D1"/>
    <w:rsid w:val="00697A1C"/>
    <w:rsid w:val="006C0D05"/>
    <w:rsid w:val="00701E17"/>
    <w:rsid w:val="00717820"/>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600B3"/>
    <w:rsid w:val="008814DB"/>
    <w:rsid w:val="0088622D"/>
    <w:rsid w:val="008A1EE0"/>
    <w:rsid w:val="008A3D9D"/>
    <w:rsid w:val="008A5D75"/>
    <w:rsid w:val="008D0357"/>
    <w:rsid w:val="008F1BFA"/>
    <w:rsid w:val="00901096"/>
    <w:rsid w:val="00901B35"/>
    <w:rsid w:val="009071B2"/>
    <w:rsid w:val="00943BA0"/>
    <w:rsid w:val="00965954"/>
    <w:rsid w:val="00987F59"/>
    <w:rsid w:val="009B181A"/>
    <w:rsid w:val="009C2E4C"/>
    <w:rsid w:val="009C683F"/>
    <w:rsid w:val="00A112EE"/>
    <w:rsid w:val="00A475BC"/>
    <w:rsid w:val="00A47670"/>
    <w:rsid w:val="00A71501"/>
    <w:rsid w:val="00A87F38"/>
    <w:rsid w:val="00AB33D7"/>
    <w:rsid w:val="00AD0D63"/>
    <w:rsid w:val="00AD39F5"/>
    <w:rsid w:val="00AF3D22"/>
    <w:rsid w:val="00B06C67"/>
    <w:rsid w:val="00B11C92"/>
    <w:rsid w:val="00BB54D4"/>
    <w:rsid w:val="00BD52B1"/>
    <w:rsid w:val="00BD5BBA"/>
    <w:rsid w:val="00BF5732"/>
    <w:rsid w:val="00BF7D0E"/>
    <w:rsid w:val="00C31201"/>
    <w:rsid w:val="00C50C29"/>
    <w:rsid w:val="00CA6741"/>
    <w:rsid w:val="00CA73F3"/>
    <w:rsid w:val="00CB0D87"/>
    <w:rsid w:val="00CF2F04"/>
    <w:rsid w:val="00CF3944"/>
    <w:rsid w:val="00D317D7"/>
    <w:rsid w:val="00D53F2F"/>
    <w:rsid w:val="00D71E36"/>
    <w:rsid w:val="00D757F1"/>
    <w:rsid w:val="00D80EE3"/>
    <w:rsid w:val="00DD21B4"/>
    <w:rsid w:val="00E215B0"/>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191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paragraph" w:styleId="ListParagraph">
    <w:name w:val="List Paragraph"/>
    <w:basedOn w:val="Normal"/>
    <w:uiPriority w:val="34"/>
    <w:qFormat/>
    <w:rsid w:val="000E2A75"/>
    <w:pPr>
      <w:widowControl/>
      <w:spacing w:after="200" w:line="276" w:lineRule="auto"/>
      <w:ind w:left="720"/>
      <w:contextualSpacing/>
      <w:jc w:val="left"/>
    </w:pPr>
    <w:rPr>
      <w:rFonts w:ascii="Calibri" w:eastAsia="Calibri" w:hAnsi="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commissiononre.org.uk/wp-content/uploads/2016/12/Call-for-evidence.pdf"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hyperlink" Target="http://www.commissiononre.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COUNCIL.dotx</Template>
  <TotalTime>15</TotalTime>
  <Pages>2</Pages>
  <Words>472</Words>
  <Characters>2531</Characters>
  <Application>Microsoft Macintosh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2989</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2</cp:revision>
  <cp:lastPrinted>2006-10-19T13:23:00Z</cp:lastPrinted>
  <dcterms:created xsi:type="dcterms:W3CDTF">2017-01-22T12:38:00Z</dcterms:created>
  <dcterms:modified xsi:type="dcterms:W3CDTF">2017-01-22T13:10:00Z</dcterms:modified>
</cp:coreProperties>
</file>