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E7F4D"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55E6C76F" wp14:editId="117DCDD6">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224E3C6C" wp14:editId="2E70BF1F">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354661CC" w14:textId="77777777" w:rsidR="00D53F2F" w:rsidRDefault="00D53F2F" w:rsidP="007C7A16">
      <w:pPr>
        <w:jc w:val="center"/>
        <w:rPr>
          <w:rFonts w:ascii="Comic Sans MS" w:hAnsi="Comic Sans MS"/>
          <w:b/>
          <w:color w:val="993366"/>
          <w:sz w:val="22"/>
          <w:szCs w:val="22"/>
        </w:rPr>
      </w:pPr>
    </w:p>
    <w:p w14:paraId="6822AB1F" w14:textId="77777777" w:rsidR="00456631" w:rsidRPr="00CB0DF1" w:rsidRDefault="00CB0DF1" w:rsidP="00CB0DF1">
      <w:pPr>
        <w:rPr>
          <w:rFonts w:ascii="Arial" w:hAnsi="Arial" w:cs="Arial"/>
          <w:color w:val="993366"/>
          <w:szCs w:val="24"/>
        </w:rPr>
      </w:pPr>
      <w:r w:rsidRPr="00CB0DF1">
        <w:rPr>
          <w:rFonts w:ascii="Arial" w:hAnsi="Arial" w:cs="Arial"/>
          <w:szCs w:val="24"/>
        </w:rPr>
        <w:t>Title: Doing Good: A Future for Christianity in the 21st Century and Understanding Christianity</w:t>
      </w:r>
      <w:r>
        <w:rPr>
          <w:rFonts w:ascii="Arial" w:hAnsi="Arial" w:cs="Arial"/>
          <w:szCs w:val="24"/>
        </w:rPr>
        <w:t xml:space="preserve"> </w:t>
      </w:r>
    </w:p>
    <w:p w14:paraId="150BA034"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36B267DC" w14:textId="77777777" w:rsidTr="001C6599">
        <w:tc>
          <w:tcPr>
            <w:tcW w:w="2235" w:type="dxa"/>
            <w:tcBorders>
              <w:top w:val="nil"/>
              <w:left w:val="nil"/>
              <w:bottom w:val="nil"/>
              <w:right w:val="nil"/>
            </w:tcBorders>
            <w:shd w:val="clear" w:color="auto" w:fill="auto"/>
          </w:tcPr>
          <w:p w14:paraId="7A0D997E" w14:textId="77777777" w:rsidR="00220494" w:rsidRPr="001C6599" w:rsidRDefault="00220494" w:rsidP="00220494">
            <w:pPr>
              <w:rPr>
                <w:rFonts w:ascii="Arial" w:hAnsi="Arial"/>
                <w:szCs w:val="24"/>
              </w:rPr>
            </w:pPr>
          </w:p>
        </w:tc>
        <w:tc>
          <w:tcPr>
            <w:tcW w:w="7294" w:type="dxa"/>
            <w:gridSpan w:val="4"/>
            <w:tcBorders>
              <w:top w:val="nil"/>
              <w:left w:val="nil"/>
              <w:bottom w:val="nil"/>
              <w:right w:val="nil"/>
            </w:tcBorders>
            <w:shd w:val="clear" w:color="auto" w:fill="auto"/>
          </w:tcPr>
          <w:p w14:paraId="76C67639" w14:textId="77777777" w:rsidR="00220494" w:rsidRPr="00294CBE" w:rsidRDefault="00220494" w:rsidP="00220494">
            <w:pPr>
              <w:rPr>
                <w:rFonts w:ascii="Arial" w:hAnsi="Arial" w:cs="Arial"/>
                <w:b/>
                <w:szCs w:val="24"/>
              </w:rPr>
            </w:pPr>
          </w:p>
        </w:tc>
      </w:tr>
      <w:tr w:rsidR="00220494" w:rsidRPr="001C6599" w14:paraId="6DC45733" w14:textId="77777777" w:rsidTr="001C6599">
        <w:tc>
          <w:tcPr>
            <w:tcW w:w="2660" w:type="dxa"/>
            <w:gridSpan w:val="2"/>
            <w:tcBorders>
              <w:top w:val="nil"/>
              <w:left w:val="nil"/>
              <w:bottom w:val="nil"/>
              <w:right w:val="nil"/>
            </w:tcBorders>
            <w:shd w:val="clear" w:color="auto" w:fill="auto"/>
          </w:tcPr>
          <w:p w14:paraId="75474633"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4A5D0637" w14:textId="77777777" w:rsidR="00220494" w:rsidRPr="001C6599" w:rsidRDefault="00220494" w:rsidP="00220494">
            <w:pPr>
              <w:rPr>
                <w:rFonts w:ascii="Arial" w:hAnsi="Arial" w:cs="Arial"/>
                <w:color w:val="993366"/>
                <w:sz w:val="22"/>
                <w:szCs w:val="22"/>
              </w:rPr>
            </w:pPr>
          </w:p>
        </w:tc>
      </w:tr>
      <w:tr w:rsidR="00220494" w:rsidRPr="001C6599" w14:paraId="0DF95F8B" w14:textId="77777777" w:rsidTr="001C6599">
        <w:tc>
          <w:tcPr>
            <w:tcW w:w="9529" w:type="dxa"/>
            <w:gridSpan w:val="5"/>
            <w:tcBorders>
              <w:top w:val="nil"/>
              <w:left w:val="nil"/>
              <w:bottom w:val="nil"/>
              <w:right w:val="nil"/>
            </w:tcBorders>
            <w:shd w:val="clear" w:color="auto" w:fill="auto"/>
          </w:tcPr>
          <w:p w14:paraId="20523CF6" w14:textId="77777777" w:rsidR="00220494" w:rsidRPr="00414D0D" w:rsidRDefault="00200D5B" w:rsidP="00717820">
            <w:pPr>
              <w:rPr>
                <w:rFonts w:ascii="Arial" w:hAnsi="Arial"/>
                <w:sz w:val="22"/>
                <w:szCs w:val="22"/>
              </w:rPr>
            </w:pPr>
            <w:r w:rsidRPr="00414D0D">
              <w:rPr>
                <w:rFonts w:ascii="Arial" w:hAnsi="Arial" w:cs="Arial"/>
                <w:sz w:val="22"/>
                <w:szCs w:val="22"/>
              </w:rPr>
              <w:t>This report relates to</w:t>
            </w:r>
            <w:r w:rsidR="00CB0DF1" w:rsidRPr="00414D0D">
              <w:rPr>
                <w:rFonts w:ascii="Arial" w:hAnsi="Arial" w:cs="Arial"/>
                <w:sz w:val="22"/>
                <w:szCs w:val="22"/>
              </w:rPr>
              <w:t xml:space="preserve"> a report published by Theos on 14</w:t>
            </w:r>
            <w:r w:rsidR="00CB0DF1" w:rsidRPr="00414D0D">
              <w:rPr>
                <w:rFonts w:ascii="Arial" w:hAnsi="Arial" w:cs="Arial"/>
                <w:sz w:val="22"/>
                <w:szCs w:val="22"/>
                <w:vertAlign w:val="superscript"/>
              </w:rPr>
              <w:t>th</w:t>
            </w:r>
            <w:r w:rsidR="00CB0DF1" w:rsidRPr="00414D0D">
              <w:rPr>
                <w:rFonts w:ascii="Arial" w:hAnsi="Arial" w:cs="Arial"/>
                <w:sz w:val="22"/>
                <w:szCs w:val="22"/>
              </w:rPr>
              <w:t xml:space="preserve"> December 2016 written by Nick Spenser relating to the place of Christianity in British public life on the basis of current social trends. It suggests that this report be made available to RE in teachers in Torbay’s schools and academies. It also updates SACRE on the latest developments regarding the National Society’s Understanding Christianity project and resource.</w:t>
            </w:r>
          </w:p>
        </w:tc>
      </w:tr>
      <w:tr w:rsidR="00220494" w:rsidRPr="001C6599" w14:paraId="0958131F" w14:textId="77777777" w:rsidTr="001C6599">
        <w:tc>
          <w:tcPr>
            <w:tcW w:w="2235" w:type="dxa"/>
            <w:tcBorders>
              <w:top w:val="nil"/>
              <w:left w:val="nil"/>
              <w:bottom w:val="nil"/>
              <w:right w:val="nil"/>
            </w:tcBorders>
            <w:shd w:val="clear" w:color="auto" w:fill="auto"/>
          </w:tcPr>
          <w:p w14:paraId="32D3177C"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6738CE88" w14:textId="77777777" w:rsidR="00220494" w:rsidRPr="001C6599" w:rsidRDefault="00220494" w:rsidP="002B0B1E">
            <w:pPr>
              <w:rPr>
                <w:rFonts w:ascii="Arial" w:hAnsi="Arial" w:cs="Arial"/>
                <w:color w:val="993366"/>
                <w:sz w:val="22"/>
                <w:szCs w:val="22"/>
              </w:rPr>
            </w:pPr>
          </w:p>
        </w:tc>
      </w:tr>
      <w:tr w:rsidR="00220494" w:rsidRPr="001C6599" w14:paraId="4FBF9EE6" w14:textId="77777777" w:rsidTr="001C6599">
        <w:tc>
          <w:tcPr>
            <w:tcW w:w="2235" w:type="dxa"/>
            <w:tcBorders>
              <w:top w:val="nil"/>
              <w:left w:val="nil"/>
              <w:bottom w:val="nil"/>
              <w:right w:val="nil"/>
            </w:tcBorders>
            <w:shd w:val="clear" w:color="auto" w:fill="auto"/>
          </w:tcPr>
          <w:p w14:paraId="12E24C54"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0E96F19C"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5231AB42" w14:textId="77777777" w:rsidTr="001C6599">
        <w:trPr>
          <w:trHeight w:val="316"/>
        </w:trPr>
        <w:tc>
          <w:tcPr>
            <w:tcW w:w="2235" w:type="dxa"/>
            <w:tcBorders>
              <w:top w:val="nil"/>
              <w:left w:val="nil"/>
              <w:bottom w:val="nil"/>
              <w:right w:val="nil"/>
            </w:tcBorders>
            <w:shd w:val="clear" w:color="auto" w:fill="auto"/>
          </w:tcPr>
          <w:p w14:paraId="053FC45C"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7A5CB8FD" w14:textId="77777777" w:rsidR="00220494" w:rsidRPr="001C6599" w:rsidRDefault="00220494" w:rsidP="001C6599">
            <w:pPr>
              <w:jc w:val="left"/>
              <w:rPr>
                <w:rFonts w:ascii="Arial" w:hAnsi="Arial" w:cs="Arial"/>
                <w:color w:val="993366"/>
                <w:sz w:val="22"/>
                <w:szCs w:val="22"/>
              </w:rPr>
            </w:pPr>
          </w:p>
        </w:tc>
      </w:tr>
      <w:tr w:rsidR="00220494" w:rsidRPr="001C6599" w14:paraId="181BEE21" w14:textId="77777777" w:rsidTr="001C6599">
        <w:tc>
          <w:tcPr>
            <w:tcW w:w="2235" w:type="dxa"/>
            <w:tcBorders>
              <w:top w:val="nil"/>
              <w:left w:val="nil"/>
              <w:bottom w:val="nil"/>
              <w:right w:val="nil"/>
            </w:tcBorders>
            <w:shd w:val="clear" w:color="auto" w:fill="auto"/>
          </w:tcPr>
          <w:p w14:paraId="5683EBCD"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1DF9F5BC"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1954F41B"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6B257C3C" w14:textId="77777777"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p>
        </w:tc>
      </w:tr>
      <w:tr w:rsidR="00220494" w:rsidRPr="001C6599" w14:paraId="68234D79" w14:textId="77777777" w:rsidTr="001C6599">
        <w:tc>
          <w:tcPr>
            <w:tcW w:w="2235" w:type="dxa"/>
            <w:tcBorders>
              <w:top w:val="nil"/>
              <w:left w:val="nil"/>
              <w:bottom w:val="nil"/>
              <w:right w:val="nil"/>
            </w:tcBorders>
            <w:shd w:val="clear" w:color="auto" w:fill="auto"/>
          </w:tcPr>
          <w:p w14:paraId="028B23DC"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2EEB676B"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17EB4C11"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38D1EAA3" w14:textId="77777777" w:rsidR="00220494" w:rsidRPr="001C6599" w:rsidRDefault="00220494" w:rsidP="001C6599">
            <w:pPr>
              <w:jc w:val="left"/>
              <w:rPr>
                <w:rFonts w:ascii="Arial" w:hAnsi="Arial" w:cs="Arial"/>
                <w:szCs w:val="24"/>
              </w:rPr>
            </w:pPr>
          </w:p>
        </w:tc>
      </w:tr>
      <w:tr w:rsidR="00220494" w:rsidRPr="001C6599" w14:paraId="111114D7" w14:textId="77777777" w:rsidTr="001C6599">
        <w:tc>
          <w:tcPr>
            <w:tcW w:w="2235" w:type="dxa"/>
            <w:tcBorders>
              <w:top w:val="nil"/>
              <w:left w:val="nil"/>
              <w:bottom w:val="nil"/>
              <w:right w:val="nil"/>
            </w:tcBorders>
            <w:shd w:val="clear" w:color="auto" w:fill="auto"/>
          </w:tcPr>
          <w:p w14:paraId="2D600821"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5824A66A" w14:textId="77777777" w:rsidR="00220494" w:rsidRPr="001C6599" w:rsidRDefault="00717820" w:rsidP="002B0B1E">
            <w:pPr>
              <w:rPr>
                <w:rFonts w:ascii="Arial" w:hAnsi="Arial" w:cs="Arial"/>
                <w:b/>
                <w:szCs w:val="24"/>
              </w:rPr>
            </w:pPr>
            <w:r>
              <w:rPr>
                <w:rFonts w:ascii="Arial" w:hAnsi="Arial" w:cs="Arial"/>
                <w:b/>
                <w:szCs w:val="24"/>
              </w:rPr>
              <w:t>RE Adviser</w:t>
            </w:r>
          </w:p>
        </w:tc>
      </w:tr>
      <w:tr w:rsidR="00220494" w:rsidRPr="001C6599" w14:paraId="7CAED3B9" w14:textId="77777777" w:rsidTr="001C6599">
        <w:tc>
          <w:tcPr>
            <w:tcW w:w="2235" w:type="dxa"/>
            <w:tcBorders>
              <w:top w:val="nil"/>
              <w:left w:val="nil"/>
              <w:bottom w:val="nil"/>
              <w:right w:val="nil"/>
            </w:tcBorders>
            <w:shd w:val="clear" w:color="auto" w:fill="auto"/>
          </w:tcPr>
          <w:p w14:paraId="575937E6"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14C24A73"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4A7E506E" w14:textId="77777777" w:rsidTr="001C6599">
        <w:tc>
          <w:tcPr>
            <w:tcW w:w="2235" w:type="dxa"/>
            <w:tcBorders>
              <w:top w:val="nil"/>
              <w:left w:val="nil"/>
              <w:bottom w:val="nil"/>
              <w:right w:val="nil"/>
            </w:tcBorders>
            <w:shd w:val="clear" w:color="auto" w:fill="auto"/>
          </w:tcPr>
          <w:p w14:paraId="59FD5804"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r w:rsidRPr="001C6599">
              <w:rPr>
                <w:rFonts w:ascii="Arial" w:hAnsi="Arial"/>
                <w:szCs w:val="24"/>
              </w:rPr>
              <w:t>E.mail:</w:t>
            </w:r>
          </w:p>
        </w:tc>
        <w:tc>
          <w:tcPr>
            <w:tcW w:w="7294" w:type="dxa"/>
            <w:gridSpan w:val="4"/>
            <w:tcBorders>
              <w:top w:val="nil"/>
              <w:left w:val="nil"/>
              <w:bottom w:val="nil"/>
              <w:right w:val="nil"/>
            </w:tcBorders>
            <w:shd w:val="clear" w:color="auto" w:fill="auto"/>
          </w:tcPr>
          <w:p w14:paraId="67267C60" w14:textId="77777777" w:rsidR="00220494" w:rsidRPr="001C6599" w:rsidRDefault="00B73884"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6AE078D4" w14:textId="77777777" w:rsidR="00456631" w:rsidRPr="00D317D7" w:rsidRDefault="00456631" w:rsidP="002B0B1E">
      <w:pPr>
        <w:tabs>
          <w:tab w:val="left" w:pos="1440"/>
          <w:tab w:val="left" w:pos="6120"/>
        </w:tabs>
        <w:rPr>
          <w:rFonts w:ascii="Arial" w:hAnsi="Arial"/>
          <w:b/>
          <w:szCs w:val="24"/>
        </w:rPr>
      </w:pPr>
    </w:p>
    <w:p w14:paraId="40885A4C"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49FCE40F" w14:textId="77777777" w:rsidR="00CA6741" w:rsidRDefault="00CA6741" w:rsidP="00842BB3">
      <w:pPr>
        <w:jc w:val="left"/>
        <w:rPr>
          <w:rFonts w:ascii="Arial" w:hAnsi="Arial"/>
          <w:b/>
          <w:szCs w:val="24"/>
        </w:rPr>
      </w:pPr>
    </w:p>
    <w:p w14:paraId="05C5F41C"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163295CA" w14:textId="77777777" w:rsidR="00456631" w:rsidRPr="000F7CDC" w:rsidRDefault="00456631" w:rsidP="00842BB3">
      <w:pPr>
        <w:jc w:val="left"/>
        <w:rPr>
          <w:rFonts w:ascii="Arial" w:hAnsi="Arial"/>
          <w:szCs w:val="24"/>
        </w:rPr>
      </w:pPr>
    </w:p>
    <w:p w14:paraId="2DA92207" w14:textId="77777777" w:rsidR="009B181A" w:rsidRPr="00B8759A" w:rsidRDefault="00200D5B" w:rsidP="009B181A">
      <w:pPr>
        <w:pStyle w:val="ListParagraph"/>
        <w:numPr>
          <w:ilvl w:val="1"/>
          <w:numId w:val="7"/>
        </w:numPr>
        <w:rPr>
          <w:rFonts w:ascii="Arial" w:hAnsi="Arial" w:cs="Arial"/>
          <w:sz w:val="24"/>
          <w:szCs w:val="24"/>
        </w:rPr>
      </w:pPr>
      <w:r w:rsidRPr="000F7CDC">
        <w:rPr>
          <w:rFonts w:ascii="Arial" w:hAnsi="Arial" w:cs="Arial"/>
          <w:sz w:val="24"/>
          <w:szCs w:val="24"/>
        </w:rPr>
        <w:t xml:space="preserve">The purpose of this report is </w:t>
      </w:r>
      <w:r w:rsidR="00CB0DF1" w:rsidRPr="000F7CDC">
        <w:rPr>
          <w:rFonts w:ascii="Arial" w:hAnsi="Arial" w:cs="Arial"/>
          <w:sz w:val="24"/>
          <w:szCs w:val="24"/>
        </w:rPr>
        <w:t>bring to the attention of SACRE members the paper published by Theos in December 2016 and to update SACRE members on the Understanding Christianity project.</w:t>
      </w:r>
      <w:r w:rsidR="000F7CDC" w:rsidRPr="000F7CDC">
        <w:rPr>
          <w:rFonts w:ascii="Arial" w:hAnsi="Arial" w:cs="Arial"/>
          <w:sz w:val="24"/>
          <w:szCs w:val="24"/>
        </w:rPr>
        <w:t xml:space="preserve"> It is a responsibility of SACREs to </w:t>
      </w:r>
      <w:r w:rsidR="000F7CDC">
        <w:rPr>
          <w:rFonts w:ascii="Arial" w:hAnsi="Arial" w:cs="Arial"/>
          <w:sz w:val="24"/>
          <w:szCs w:val="24"/>
        </w:rPr>
        <w:t>recommend resources to schools within its Authority.</w:t>
      </w:r>
    </w:p>
    <w:p w14:paraId="4C8B307F"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12D05CB2" w14:textId="77777777" w:rsidR="00456631" w:rsidRPr="00D317D7" w:rsidRDefault="00456631" w:rsidP="00842BB3">
      <w:pPr>
        <w:jc w:val="left"/>
        <w:rPr>
          <w:rFonts w:ascii="Arial" w:hAnsi="Arial"/>
          <w:szCs w:val="24"/>
        </w:rPr>
      </w:pPr>
    </w:p>
    <w:p w14:paraId="5E80C2FF" w14:textId="77777777" w:rsidR="008A1EE0" w:rsidRDefault="008D0357" w:rsidP="00FA198A">
      <w:pPr>
        <w:ind w:left="720" w:hanging="720"/>
        <w:rPr>
          <w:rFonts w:ascii="Arial" w:hAnsi="Arial" w:cs="Arial"/>
          <w:snapToGrid/>
          <w:szCs w:val="24"/>
          <w:lang w:val="en-US"/>
        </w:rPr>
      </w:pPr>
      <w:r>
        <w:rPr>
          <w:rFonts w:ascii="Arial" w:hAnsi="Arial"/>
          <w:szCs w:val="24"/>
        </w:rPr>
        <w:t>2</w:t>
      </w:r>
      <w:r w:rsidR="00943BA0">
        <w:rPr>
          <w:rFonts w:ascii="Arial" w:hAnsi="Arial"/>
          <w:szCs w:val="24"/>
        </w:rPr>
        <w:t>.1</w:t>
      </w:r>
      <w:r w:rsidR="00456631" w:rsidRPr="00D317D7">
        <w:rPr>
          <w:rFonts w:ascii="Arial" w:hAnsi="Arial"/>
          <w:szCs w:val="24"/>
        </w:rPr>
        <w:tab/>
      </w:r>
      <w:r w:rsidR="00CB0DF1">
        <w:rPr>
          <w:rFonts w:ascii="Arial" w:hAnsi="Arial" w:cs="Arial"/>
        </w:rPr>
        <w:t>Theos is a Christian Think-tank</w:t>
      </w:r>
      <w:r w:rsidR="00FA198A">
        <w:rPr>
          <w:rFonts w:ascii="Arial" w:hAnsi="Arial" w:cs="Arial"/>
        </w:rPr>
        <w:t xml:space="preserve"> launched in 2006</w:t>
      </w:r>
      <w:r w:rsidR="00CB0DF1" w:rsidRPr="00CB0DF1">
        <w:rPr>
          <w:rFonts w:ascii="Arial" w:hAnsi="Arial" w:cs="Arial"/>
          <w:snapToGrid/>
          <w:szCs w:val="24"/>
          <w:lang w:val="en-US"/>
        </w:rPr>
        <w:t>, which ‘conducts research, publishes reports, and holds debates, seminars and lectures on the intersection of religion, politics and society in the contemporary world. We also provide regular comment for print and broadcast media and briefing and analysis to parliamentarians and policy makers. To date, Theos has produced over 50 research reports focusing on the big issues impacting British society, including welfare (</w:t>
      </w:r>
      <w:hyperlink r:id="rId10" w:history="1">
        <w:r w:rsidR="00CB0DF1" w:rsidRPr="00CB0DF1">
          <w:rPr>
            <w:rFonts w:ascii="Arial" w:hAnsi="Arial" w:cs="Arial"/>
            <w:snapToGrid/>
            <w:szCs w:val="24"/>
            <w:u w:val="single" w:color="6C7562"/>
            <w:lang w:val="en-US"/>
          </w:rPr>
          <w:t>The Future of Welfare: A Theos Collection</w:t>
        </w:r>
      </w:hyperlink>
      <w:r w:rsidR="00CB0DF1" w:rsidRPr="00CB0DF1">
        <w:rPr>
          <w:rFonts w:ascii="Arial" w:hAnsi="Arial" w:cs="Arial"/>
          <w:snapToGrid/>
          <w:szCs w:val="24"/>
          <w:lang w:val="en-US"/>
        </w:rPr>
        <w:t>), law (</w:t>
      </w:r>
      <w:hyperlink r:id="rId11" w:history="1">
        <w:r w:rsidR="00CB0DF1" w:rsidRPr="00CB0DF1">
          <w:rPr>
            <w:rFonts w:ascii="Arial" w:hAnsi="Arial" w:cs="Arial"/>
            <w:snapToGrid/>
            <w:szCs w:val="24"/>
            <w:u w:val="single" w:color="6C7562"/>
            <w:lang w:val="en-US"/>
          </w:rPr>
          <w:t>“Speaking Up” – Defending and Delivering Access to Justice Today</w:t>
        </w:r>
      </w:hyperlink>
      <w:r w:rsidR="00CB0DF1" w:rsidRPr="00CB0DF1">
        <w:rPr>
          <w:rFonts w:ascii="Arial" w:hAnsi="Arial" w:cs="Arial"/>
          <w:snapToGrid/>
          <w:szCs w:val="24"/>
          <w:lang w:val="en-US"/>
        </w:rPr>
        <w:t>), economics (</w:t>
      </w:r>
      <w:hyperlink r:id="rId12" w:history="1">
        <w:r w:rsidR="00CB0DF1" w:rsidRPr="00CB0DF1">
          <w:rPr>
            <w:rFonts w:ascii="Arial" w:hAnsi="Arial" w:cs="Arial"/>
            <w:snapToGrid/>
            <w:szCs w:val="24"/>
            <w:u w:val="single" w:color="6C7562"/>
            <w:lang w:val="en-US"/>
          </w:rPr>
          <w:t>Just Money: How Catholic Social Teaching can Redeem Capitalism</w:t>
        </w:r>
      </w:hyperlink>
      <w:r w:rsidR="00CB0DF1" w:rsidRPr="00CB0DF1">
        <w:rPr>
          <w:rFonts w:ascii="Arial" w:hAnsi="Arial" w:cs="Arial"/>
          <w:snapToGrid/>
          <w:szCs w:val="24"/>
          <w:lang w:val="en-US"/>
        </w:rPr>
        <w:t>), multiculturalism (</w:t>
      </w:r>
      <w:hyperlink r:id="rId13" w:history="1">
        <w:r w:rsidR="00CB0DF1" w:rsidRPr="00CB0DF1">
          <w:rPr>
            <w:rFonts w:ascii="Arial" w:hAnsi="Arial" w:cs="Arial"/>
            <w:snapToGrid/>
            <w:szCs w:val="24"/>
            <w:u w:val="single" w:color="6C7562"/>
            <w:lang w:val="en-US"/>
          </w:rPr>
          <w:t>Making Multiculturalism Work</w:t>
        </w:r>
      </w:hyperlink>
      <w:r w:rsidR="00CB0DF1" w:rsidRPr="00CB0DF1">
        <w:rPr>
          <w:rFonts w:ascii="Arial" w:hAnsi="Arial" w:cs="Arial"/>
          <w:snapToGrid/>
          <w:szCs w:val="24"/>
          <w:lang w:val="en-US"/>
        </w:rPr>
        <w:t>), voting reform (</w:t>
      </w:r>
      <w:hyperlink r:id="rId14" w:history="1">
        <w:r w:rsidR="00CB0DF1" w:rsidRPr="00CB0DF1">
          <w:rPr>
            <w:rFonts w:ascii="Arial" w:hAnsi="Arial" w:cs="Arial"/>
            <w:snapToGrid/>
            <w:szCs w:val="24"/>
            <w:u w:val="single" w:color="6C7562"/>
            <w:lang w:val="en-US"/>
          </w:rPr>
          <w:t>Counting on Reform)</w:t>
        </w:r>
      </w:hyperlink>
      <w:r w:rsidR="00CB0DF1" w:rsidRPr="00CB0DF1">
        <w:rPr>
          <w:rFonts w:ascii="Arial" w:hAnsi="Arial" w:cs="Arial"/>
          <w:snapToGrid/>
          <w:szCs w:val="24"/>
          <w:lang w:val="en-US"/>
        </w:rPr>
        <w:t>, as well as on a range of other religious, legal, political and social issues.’</w:t>
      </w:r>
      <w:r w:rsidR="00FA198A">
        <w:rPr>
          <w:rFonts w:ascii="Arial" w:hAnsi="Arial" w:cs="Arial"/>
          <w:snapToGrid/>
          <w:szCs w:val="24"/>
          <w:lang w:val="en-US"/>
        </w:rPr>
        <w:t xml:space="preserve"> As such it has free online resources that are useful for teachers of RE and for secondary pupils.</w:t>
      </w:r>
    </w:p>
    <w:p w14:paraId="0CC5A288" w14:textId="77777777" w:rsidR="00FA198A" w:rsidRDefault="00FA198A" w:rsidP="009B181A">
      <w:pPr>
        <w:rPr>
          <w:rFonts w:ascii="Arial" w:hAnsi="Arial" w:cs="Arial"/>
          <w:snapToGrid/>
          <w:szCs w:val="24"/>
          <w:lang w:val="en-US"/>
        </w:rPr>
      </w:pPr>
    </w:p>
    <w:p w14:paraId="14F8F27B" w14:textId="77777777" w:rsidR="00FA198A" w:rsidRPr="00CB0DF1" w:rsidRDefault="00FA198A" w:rsidP="00FA198A">
      <w:pPr>
        <w:ind w:left="720"/>
        <w:rPr>
          <w:rFonts w:ascii="Arial" w:hAnsi="Arial" w:cs="Arial"/>
          <w:szCs w:val="24"/>
        </w:rPr>
      </w:pPr>
      <w:r>
        <w:rPr>
          <w:rFonts w:ascii="Arial" w:hAnsi="Arial" w:cs="Arial"/>
          <w:szCs w:val="24"/>
        </w:rPr>
        <w:t xml:space="preserve">The paper: </w:t>
      </w:r>
      <w:r w:rsidRPr="00FA198A">
        <w:rPr>
          <w:rFonts w:ascii="Arial" w:hAnsi="Arial" w:cs="Arial"/>
          <w:i/>
          <w:szCs w:val="24"/>
        </w:rPr>
        <w:t>A Future for Christianity in the 21st Century</w:t>
      </w:r>
      <w:r>
        <w:rPr>
          <w:rFonts w:ascii="Arial" w:hAnsi="Arial" w:cs="Arial"/>
          <w:szCs w:val="24"/>
        </w:rPr>
        <w:t xml:space="preserve"> looks at social trends, where religion in Britain is changing, as seen by the report of the Commission on Religion and Belief in British Public Life (CORAB, 2015) and the place that Christianity plays within it. It also take seriously the current state of Britain in relation to the </w:t>
      </w:r>
      <w:r w:rsidR="000F7CDC">
        <w:rPr>
          <w:rFonts w:ascii="Arial" w:hAnsi="Arial" w:cs="Arial"/>
          <w:szCs w:val="24"/>
        </w:rPr>
        <w:t>w</w:t>
      </w:r>
      <w:r>
        <w:rPr>
          <w:rFonts w:ascii="Arial" w:hAnsi="Arial" w:cs="Arial"/>
          <w:szCs w:val="24"/>
        </w:rPr>
        <w:t xml:space="preserve">elfare </w:t>
      </w:r>
      <w:r w:rsidR="000F7CDC">
        <w:rPr>
          <w:rFonts w:ascii="Arial" w:hAnsi="Arial" w:cs="Arial"/>
          <w:szCs w:val="24"/>
        </w:rPr>
        <w:t>s</w:t>
      </w:r>
      <w:r>
        <w:rPr>
          <w:rFonts w:ascii="Arial" w:hAnsi="Arial" w:cs="Arial"/>
          <w:szCs w:val="24"/>
        </w:rPr>
        <w:t xml:space="preserve">tate and the end of </w:t>
      </w:r>
      <w:r w:rsidR="000F7CDC">
        <w:rPr>
          <w:rFonts w:ascii="Arial" w:hAnsi="Arial" w:cs="Arial"/>
          <w:szCs w:val="24"/>
        </w:rPr>
        <w:t>w</w:t>
      </w:r>
      <w:r>
        <w:rPr>
          <w:rFonts w:ascii="Arial" w:hAnsi="Arial" w:cs="Arial"/>
          <w:szCs w:val="24"/>
        </w:rPr>
        <w:t xml:space="preserve">elfare </w:t>
      </w:r>
      <w:r w:rsidR="000F7CDC">
        <w:rPr>
          <w:rFonts w:ascii="Arial" w:hAnsi="Arial" w:cs="Arial"/>
          <w:szCs w:val="24"/>
        </w:rPr>
        <w:t>u</w:t>
      </w:r>
      <w:r>
        <w:rPr>
          <w:rFonts w:ascii="Arial" w:hAnsi="Arial" w:cs="Arial"/>
          <w:szCs w:val="24"/>
        </w:rPr>
        <w:t>topianism (Woodhead</w:t>
      </w:r>
      <w:r w:rsidR="000F7CDC">
        <w:rPr>
          <w:rFonts w:ascii="Arial" w:hAnsi="Arial" w:cs="Arial"/>
          <w:szCs w:val="24"/>
        </w:rPr>
        <w:t>,</w:t>
      </w:r>
      <w:r>
        <w:rPr>
          <w:rFonts w:ascii="Arial" w:hAnsi="Arial" w:cs="Arial"/>
          <w:szCs w:val="24"/>
        </w:rPr>
        <w:t xml:space="preserve"> </w:t>
      </w:r>
      <w:r w:rsidR="000F7CDC">
        <w:rPr>
          <w:rFonts w:ascii="Arial" w:hAnsi="Arial" w:cs="Arial"/>
          <w:szCs w:val="24"/>
        </w:rPr>
        <w:t xml:space="preserve">L. </w:t>
      </w:r>
      <w:r>
        <w:rPr>
          <w:rFonts w:ascii="Arial" w:hAnsi="Arial" w:cs="Arial"/>
          <w:szCs w:val="24"/>
        </w:rPr>
        <w:t>and Catto</w:t>
      </w:r>
      <w:r w:rsidR="000F7CDC">
        <w:rPr>
          <w:rFonts w:ascii="Arial" w:hAnsi="Arial" w:cs="Arial"/>
          <w:szCs w:val="24"/>
        </w:rPr>
        <w:t>,</w:t>
      </w:r>
      <w:r>
        <w:rPr>
          <w:rFonts w:ascii="Arial" w:hAnsi="Arial" w:cs="Arial"/>
          <w:szCs w:val="24"/>
        </w:rPr>
        <w:t xml:space="preserve"> </w:t>
      </w:r>
      <w:r w:rsidR="000F7CDC">
        <w:rPr>
          <w:rFonts w:ascii="Arial" w:hAnsi="Arial" w:cs="Arial"/>
          <w:szCs w:val="24"/>
        </w:rPr>
        <w:t xml:space="preserve">R. (2012) </w:t>
      </w:r>
      <w:r w:rsidR="000F7CDC" w:rsidRPr="000F7CDC">
        <w:rPr>
          <w:rFonts w:ascii="Arial" w:hAnsi="Arial" w:cs="Arial"/>
          <w:i/>
          <w:szCs w:val="24"/>
        </w:rPr>
        <w:t>Religion and Change in Modern Britain</w:t>
      </w:r>
      <w:r w:rsidR="000F7CDC">
        <w:rPr>
          <w:rFonts w:ascii="Arial" w:hAnsi="Arial" w:cs="Arial"/>
          <w:szCs w:val="24"/>
        </w:rPr>
        <w:t xml:space="preserve">. Abingdon, </w:t>
      </w:r>
      <w:r w:rsidR="000F7CDC">
        <w:rPr>
          <w:rFonts w:ascii="Arial" w:hAnsi="Arial" w:cs="Arial"/>
          <w:szCs w:val="24"/>
        </w:rPr>
        <w:lastRenderedPageBreak/>
        <w:t xml:space="preserve">Routledge). </w:t>
      </w:r>
    </w:p>
    <w:p w14:paraId="2D7B1F91" w14:textId="77777777" w:rsidR="008A1EE0" w:rsidRDefault="008A1EE0" w:rsidP="00294CBE">
      <w:pPr>
        <w:ind w:left="720"/>
        <w:rPr>
          <w:rFonts w:ascii="Arial" w:hAnsi="Arial" w:cs="Arial"/>
        </w:rPr>
      </w:pPr>
    </w:p>
    <w:p w14:paraId="6C218B4D" w14:textId="77777777" w:rsidR="00B73884" w:rsidRDefault="00B8759A" w:rsidP="00294CBE">
      <w:pPr>
        <w:ind w:left="720"/>
        <w:rPr>
          <w:rFonts w:ascii="Arial" w:hAnsi="Arial" w:cs="Arial"/>
        </w:rPr>
      </w:pPr>
      <w:r>
        <w:rPr>
          <w:rFonts w:ascii="Arial" w:hAnsi="Arial" w:cs="Arial"/>
        </w:rPr>
        <w:t>The paper is useful for teachers as it provides them with useful CPD in relation to their own understanding of Christianity and can be a useful resource for secondary pupils in looking at the way some Christians are thinking about the place of Christianity in a changing Britain. What is of interest is that whilst Christian churches are predicted to become smaller the work they do will become increasingly important for society as a whole. The paper also explores issues relating to evangelism and it explore the concept of ‘social liturgy’.</w:t>
      </w:r>
    </w:p>
    <w:p w14:paraId="76DEF01F" w14:textId="77777777" w:rsidR="00B73884" w:rsidRDefault="00B73884" w:rsidP="00294CBE">
      <w:pPr>
        <w:ind w:left="720"/>
        <w:rPr>
          <w:rFonts w:ascii="Arial" w:hAnsi="Arial" w:cs="Arial"/>
        </w:rPr>
      </w:pPr>
    </w:p>
    <w:p w14:paraId="6776D112" w14:textId="735616F9" w:rsidR="00B8759A" w:rsidRPr="00294CBE" w:rsidRDefault="00B73884" w:rsidP="00294CBE">
      <w:pPr>
        <w:ind w:left="720"/>
        <w:rPr>
          <w:rFonts w:ascii="Arial" w:hAnsi="Arial" w:cs="Arial"/>
        </w:rPr>
      </w:pPr>
      <w:r>
        <w:rPr>
          <w:rFonts w:ascii="Arial" w:hAnsi="Arial" w:cs="Arial"/>
        </w:rPr>
        <w:t>What is useful about this essay is that it shows how theological thinking occurs in a Christian context relative to a changing socio-cultural scene where Christianity is ceasing to be the dominant cultural force but remains significant in a society that retains a Christian infrastructure. Both for teachers of RE and for secondary pupils this is a useful process in their own religious education.</w:t>
      </w:r>
      <w:bookmarkStart w:id="0" w:name="_GoBack"/>
      <w:bookmarkEnd w:id="0"/>
      <w:r w:rsidR="00B8759A">
        <w:rPr>
          <w:rFonts w:ascii="Arial" w:hAnsi="Arial" w:cs="Arial"/>
        </w:rPr>
        <w:t xml:space="preserve"> </w:t>
      </w:r>
    </w:p>
    <w:p w14:paraId="543F7FBF" w14:textId="77777777" w:rsidR="000E2A75" w:rsidRDefault="000E2A75" w:rsidP="00200D5B">
      <w:pPr>
        <w:rPr>
          <w:rFonts w:ascii="Arial" w:hAnsi="Arial" w:cs="Arial"/>
        </w:rPr>
      </w:pPr>
    </w:p>
    <w:p w14:paraId="2314A4EB" w14:textId="77777777" w:rsidR="00717820" w:rsidRDefault="000E2A75" w:rsidP="00B8759A">
      <w:pPr>
        <w:ind w:left="720" w:hanging="720"/>
        <w:rPr>
          <w:rFonts w:ascii="Arial" w:hAnsi="Arial" w:cs="Arial"/>
        </w:rPr>
      </w:pPr>
      <w:r>
        <w:rPr>
          <w:rFonts w:ascii="Arial" w:hAnsi="Arial" w:cs="Arial"/>
        </w:rPr>
        <w:t>2.2</w:t>
      </w:r>
      <w:r>
        <w:rPr>
          <w:rFonts w:ascii="Arial" w:hAnsi="Arial" w:cs="Arial"/>
        </w:rPr>
        <w:tab/>
      </w:r>
      <w:r w:rsidR="00B8759A">
        <w:rPr>
          <w:rFonts w:ascii="Arial" w:hAnsi="Arial" w:cs="Arial"/>
        </w:rPr>
        <w:t xml:space="preserve">SACRE has previously looked at Understanding Christianity and this report provides an update on previous reports. </w:t>
      </w:r>
    </w:p>
    <w:p w14:paraId="6A079FBD" w14:textId="77777777" w:rsidR="00B8759A" w:rsidRDefault="00B8759A" w:rsidP="00B8759A">
      <w:pPr>
        <w:ind w:left="720" w:hanging="720"/>
        <w:rPr>
          <w:rFonts w:ascii="Arial" w:hAnsi="Arial" w:cs="Arial"/>
        </w:rPr>
      </w:pPr>
    </w:p>
    <w:p w14:paraId="418803BB" w14:textId="77777777" w:rsidR="00B8759A" w:rsidRDefault="00B8759A" w:rsidP="00B8759A">
      <w:pPr>
        <w:ind w:left="720" w:hanging="720"/>
        <w:rPr>
          <w:rFonts w:ascii="Arial" w:hAnsi="Arial" w:cs="Arial"/>
        </w:rPr>
      </w:pPr>
      <w:r>
        <w:rPr>
          <w:rFonts w:ascii="Arial" w:hAnsi="Arial" w:cs="Arial"/>
        </w:rPr>
        <w:tab/>
        <w:t xml:space="preserve">Understanding Christianity has become part of the strategy for RE for Exeter Diocese (see: </w:t>
      </w:r>
      <w:hyperlink r:id="rId15" w:history="1">
        <w:r w:rsidRPr="00125038">
          <w:rPr>
            <w:rStyle w:val="Hyperlink"/>
            <w:rFonts w:ascii="Arial" w:hAnsi="Arial" w:cs="Arial"/>
          </w:rPr>
          <w:t>http://exeter.anglican.org/schools/religious-education-worship/christianity-project/</w:t>
        </w:r>
      </w:hyperlink>
      <w:r>
        <w:rPr>
          <w:rFonts w:ascii="Arial" w:hAnsi="Arial" w:cs="Arial"/>
        </w:rPr>
        <w:t>) but it is a resource intended for non-Anglican schools to use. The project comes with a training package as well as resources for primary and secondary schools.</w:t>
      </w:r>
      <w:r w:rsidR="00414D0D">
        <w:rPr>
          <w:rFonts w:ascii="Arial" w:hAnsi="Arial" w:cs="Arial"/>
        </w:rPr>
        <w:t xml:space="preserve"> It’s focus is around helping schools to represent Christian theology to pupils in line with that held by the National Church (represented on SACREs by Group B).</w:t>
      </w:r>
    </w:p>
    <w:p w14:paraId="1A03F042" w14:textId="77777777" w:rsidR="008814DB" w:rsidRDefault="008814DB" w:rsidP="00200D5B">
      <w:pPr>
        <w:rPr>
          <w:rFonts w:ascii="Arial" w:hAnsi="Arial" w:cs="Arial"/>
        </w:rPr>
      </w:pPr>
    </w:p>
    <w:p w14:paraId="2424C6DB" w14:textId="77777777" w:rsidR="00BD5BBA" w:rsidRDefault="00BD5BBA" w:rsidP="00200D5B">
      <w:pPr>
        <w:rPr>
          <w:rFonts w:ascii="Arial" w:hAnsi="Arial" w:cs="Arial"/>
          <w:b/>
        </w:rPr>
      </w:pPr>
    </w:p>
    <w:p w14:paraId="31ED7FD9"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7F4E7BD3" w14:textId="77777777" w:rsidR="00200D5B" w:rsidRPr="00E06F6B" w:rsidRDefault="00200D5B" w:rsidP="00200D5B">
      <w:pPr>
        <w:rPr>
          <w:rFonts w:ascii="Arial" w:hAnsi="Arial" w:cs="Arial"/>
          <w:b/>
        </w:rPr>
      </w:pPr>
    </w:p>
    <w:p w14:paraId="00F13F3F"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414D0D">
        <w:rPr>
          <w:rFonts w:ascii="Arial" w:hAnsi="Arial" w:cs="Arial"/>
        </w:rPr>
        <w:t xml:space="preserve">recommend the Theos report </w:t>
      </w:r>
      <w:r w:rsidR="00414D0D" w:rsidRPr="00414D0D">
        <w:rPr>
          <w:rFonts w:ascii="Arial" w:hAnsi="Arial" w:cs="Arial"/>
          <w:i/>
          <w:szCs w:val="24"/>
        </w:rPr>
        <w:t>A Future for Christianity in the 21st Century</w:t>
      </w:r>
      <w:r w:rsidR="00414D0D">
        <w:rPr>
          <w:rFonts w:ascii="Arial" w:hAnsi="Arial" w:cs="Arial"/>
        </w:rPr>
        <w:t xml:space="preserve"> to schools to inform their teaching of Christianity and to contribute to teacher’s own continuing professional development.</w:t>
      </w:r>
    </w:p>
    <w:p w14:paraId="42141573" w14:textId="77777777" w:rsidR="00717820" w:rsidRDefault="00717820" w:rsidP="00414D0D">
      <w:pPr>
        <w:ind w:left="720"/>
        <w:rPr>
          <w:rFonts w:ascii="Arial" w:hAnsi="Arial" w:cs="Arial"/>
        </w:rPr>
      </w:pPr>
    </w:p>
    <w:p w14:paraId="1787B426" w14:textId="77777777" w:rsidR="00A112EE" w:rsidRDefault="00A112EE" w:rsidP="00AF3D22">
      <w:pPr>
        <w:numPr>
          <w:ilvl w:val="1"/>
          <w:numId w:val="4"/>
        </w:numPr>
        <w:rPr>
          <w:rFonts w:ascii="Arial" w:hAnsi="Arial" w:cs="Arial"/>
        </w:rPr>
      </w:pPr>
      <w:r>
        <w:rPr>
          <w:rFonts w:ascii="Arial" w:hAnsi="Arial" w:cs="Arial"/>
        </w:rPr>
        <w:t xml:space="preserve">That SACRE </w:t>
      </w:r>
      <w:r w:rsidR="00414D0D">
        <w:rPr>
          <w:rFonts w:ascii="Arial" w:hAnsi="Arial" w:cs="Arial"/>
        </w:rPr>
        <w:t>note the update on Understanding Christianity.</w:t>
      </w:r>
    </w:p>
    <w:p w14:paraId="4C16CCCD" w14:textId="77777777" w:rsidR="00BD5BBA" w:rsidRDefault="00BD5BBA" w:rsidP="008D0357">
      <w:pPr>
        <w:jc w:val="left"/>
        <w:rPr>
          <w:rFonts w:ascii="Arial" w:hAnsi="Arial" w:cs="Arial"/>
        </w:rPr>
      </w:pPr>
    </w:p>
    <w:p w14:paraId="21BBBAC0" w14:textId="77777777" w:rsidR="008D0357" w:rsidRPr="001E4B9D" w:rsidRDefault="002F358A" w:rsidP="008D0357">
      <w:pPr>
        <w:jc w:val="left"/>
        <w:rPr>
          <w:rFonts w:ascii="Arial" w:hAnsi="Arial"/>
          <w:b/>
          <w:szCs w:val="24"/>
        </w:rPr>
      </w:pPr>
      <w:r>
        <w:rPr>
          <w:rFonts w:ascii="Arial" w:hAnsi="Arial"/>
          <w:b/>
          <w:szCs w:val="24"/>
        </w:rPr>
        <w:t>Andrew Strachan</w:t>
      </w:r>
    </w:p>
    <w:p w14:paraId="39F82F44" w14:textId="77777777" w:rsidR="008D0357" w:rsidRPr="001E4B9D" w:rsidRDefault="00200D5B" w:rsidP="008D0357">
      <w:pPr>
        <w:jc w:val="left"/>
        <w:rPr>
          <w:rFonts w:ascii="Arial" w:hAnsi="Arial"/>
          <w:b/>
          <w:szCs w:val="24"/>
        </w:rPr>
      </w:pPr>
      <w:r>
        <w:rPr>
          <w:rFonts w:ascii="Arial" w:hAnsi="Arial"/>
          <w:b/>
          <w:szCs w:val="24"/>
        </w:rPr>
        <w:t>Chair of SACRE</w:t>
      </w:r>
    </w:p>
    <w:p w14:paraId="013A238A" w14:textId="77777777" w:rsidR="008D0357" w:rsidRDefault="008D0357" w:rsidP="00D71E36">
      <w:pPr>
        <w:jc w:val="left"/>
        <w:rPr>
          <w:rFonts w:ascii="Arial" w:hAnsi="Arial"/>
          <w:b/>
          <w:szCs w:val="24"/>
        </w:rPr>
      </w:pPr>
    </w:p>
    <w:p w14:paraId="2E7224D3"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6BFB7543" w14:textId="77777777" w:rsidR="00AF3D22" w:rsidRDefault="00AF3D22" w:rsidP="00842BB3">
      <w:pPr>
        <w:rPr>
          <w:rFonts w:ascii="Arial" w:hAnsi="Arial"/>
          <w:b/>
          <w:szCs w:val="24"/>
        </w:rPr>
      </w:pPr>
    </w:p>
    <w:p w14:paraId="28CE830A" w14:textId="77777777" w:rsidR="00414D0D" w:rsidRPr="00414D0D" w:rsidRDefault="00414D0D" w:rsidP="00842BB3">
      <w:pPr>
        <w:rPr>
          <w:rFonts w:ascii="Arial" w:hAnsi="Arial"/>
          <w:b/>
          <w:szCs w:val="24"/>
        </w:rPr>
      </w:pPr>
      <w:r>
        <w:rPr>
          <w:rFonts w:ascii="Arial" w:hAnsi="Arial" w:cs="Arial"/>
          <w:szCs w:val="24"/>
        </w:rPr>
        <w:t xml:space="preserve">Spenser, N. (2016). </w:t>
      </w:r>
      <w:r w:rsidRPr="00FA198A">
        <w:rPr>
          <w:rFonts w:ascii="Arial" w:hAnsi="Arial" w:cs="Arial"/>
          <w:i/>
          <w:szCs w:val="24"/>
        </w:rPr>
        <w:t>A Future for Christianity in the 21st Century</w:t>
      </w:r>
      <w:r>
        <w:rPr>
          <w:rFonts w:ascii="Arial" w:hAnsi="Arial" w:cs="Arial"/>
          <w:szCs w:val="24"/>
        </w:rPr>
        <w:t>. London, Theos.</w:t>
      </w:r>
    </w:p>
    <w:p w14:paraId="1585E3E3" w14:textId="77777777" w:rsidR="00CF2F04" w:rsidRPr="00D317D7" w:rsidRDefault="00CF2F04" w:rsidP="00842BB3">
      <w:pPr>
        <w:rPr>
          <w:rFonts w:ascii="Arial" w:hAnsi="Arial"/>
          <w:szCs w:val="24"/>
        </w:rPr>
      </w:pPr>
    </w:p>
    <w:p w14:paraId="4C84395B"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07993340" w14:textId="77777777" w:rsidR="00CF2F04" w:rsidRDefault="00CF2F04" w:rsidP="00842BB3">
      <w:pPr>
        <w:pStyle w:val="PolicyHeader"/>
        <w:rPr>
          <w:rFonts w:ascii="Arial" w:hAnsi="Arial"/>
          <w:b w:val="0"/>
          <w:szCs w:val="24"/>
        </w:rPr>
      </w:pPr>
    </w:p>
    <w:p w14:paraId="1B4FD3E7" w14:textId="77777777" w:rsidR="00414D0D" w:rsidRDefault="00414D0D" w:rsidP="00414D0D">
      <w:pPr>
        <w:rPr>
          <w:rFonts w:ascii="Arial" w:hAnsi="Arial"/>
          <w:szCs w:val="24"/>
        </w:rPr>
      </w:pPr>
      <w:r w:rsidRPr="00414D0D">
        <w:rPr>
          <w:rFonts w:ascii="Arial" w:hAnsi="Arial"/>
          <w:szCs w:val="24"/>
        </w:rPr>
        <w:t>Torbay Agreed Syllabus 2015</w:t>
      </w:r>
    </w:p>
    <w:p w14:paraId="6080FA7D" w14:textId="77777777" w:rsidR="00414D0D" w:rsidRPr="00414D0D" w:rsidRDefault="00414D0D" w:rsidP="00414D0D"/>
    <w:p w14:paraId="4F1688BE" w14:textId="77777777" w:rsidR="00CF2F04" w:rsidRPr="00236796" w:rsidRDefault="00CF2F04" w:rsidP="00842BB3">
      <w:pPr>
        <w:pStyle w:val="PolicyHeader"/>
        <w:rPr>
          <w:rFonts w:ascii="Arial" w:hAnsi="Arial"/>
          <w:szCs w:val="24"/>
        </w:rPr>
      </w:pPr>
      <w:r w:rsidRPr="00236796">
        <w:rPr>
          <w:rFonts w:ascii="Arial" w:hAnsi="Arial"/>
          <w:szCs w:val="24"/>
        </w:rPr>
        <w:t>Background Papers:</w:t>
      </w:r>
    </w:p>
    <w:p w14:paraId="2E88BA1D" w14:textId="77777777" w:rsidR="008D0357" w:rsidRDefault="008D0357" w:rsidP="008D0357">
      <w:pPr>
        <w:jc w:val="left"/>
        <w:rPr>
          <w:rFonts w:ascii="Arial" w:hAnsi="Arial"/>
          <w:b/>
          <w:szCs w:val="24"/>
        </w:rPr>
      </w:pPr>
    </w:p>
    <w:p w14:paraId="4E58C340" w14:textId="77777777" w:rsidR="00414D0D" w:rsidRDefault="00414D0D" w:rsidP="008D0357">
      <w:pPr>
        <w:jc w:val="left"/>
        <w:rPr>
          <w:rFonts w:ascii="Arial" w:hAnsi="Arial"/>
          <w:szCs w:val="24"/>
        </w:rPr>
      </w:pPr>
      <w:r w:rsidRPr="00414D0D">
        <w:rPr>
          <w:rFonts w:ascii="Arial" w:hAnsi="Arial"/>
          <w:szCs w:val="24"/>
        </w:rPr>
        <w:t>Torbay Agreed Syllabus 2015</w:t>
      </w:r>
    </w:p>
    <w:p w14:paraId="3E474A7D" w14:textId="77777777" w:rsidR="00414D0D" w:rsidRDefault="00414D0D" w:rsidP="008D0357">
      <w:pPr>
        <w:jc w:val="left"/>
        <w:rPr>
          <w:rFonts w:ascii="Arial" w:hAnsi="Arial"/>
          <w:szCs w:val="24"/>
        </w:rPr>
      </w:pPr>
    </w:p>
    <w:p w14:paraId="500167E3" w14:textId="77777777" w:rsidR="00414D0D" w:rsidRDefault="00414D0D" w:rsidP="008D0357">
      <w:pPr>
        <w:jc w:val="left"/>
        <w:rPr>
          <w:rFonts w:ascii="Arial" w:hAnsi="Arial"/>
          <w:szCs w:val="24"/>
        </w:rPr>
      </w:pPr>
      <w:r>
        <w:rPr>
          <w:rFonts w:ascii="Arial" w:hAnsi="Arial"/>
          <w:szCs w:val="24"/>
        </w:rPr>
        <w:t xml:space="preserve">Online resources: </w:t>
      </w:r>
    </w:p>
    <w:p w14:paraId="60FB5E6F" w14:textId="77777777" w:rsidR="00414D0D" w:rsidRDefault="00B73884" w:rsidP="008D0357">
      <w:pPr>
        <w:jc w:val="left"/>
        <w:rPr>
          <w:rFonts w:ascii="Arial" w:hAnsi="Arial"/>
          <w:szCs w:val="24"/>
        </w:rPr>
      </w:pPr>
      <w:hyperlink r:id="rId16" w:history="1">
        <w:r w:rsidR="00414D0D" w:rsidRPr="00125038">
          <w:rPr>
            <w:rStyle w:val="Hyperlink"/>
            <w:rFonts w:ascii="Arial" w:hAnsi="Arial"/>
            <w:szCs w:val="24"/>
          </w:rPr>
          <w:t>http://www.understandingchristianity.org.uk</w:t>
        </w:r>
      </w:hyperlink>
      <w:r w:rsidR="00414D0D">
        <w:rPr>
          <w:rFonts w:ascii="Arial" w:hAnsi="Arial"/>
          <w:szCs w:val="24"/>
        </w:rPr>
        <w:t xml:space="preserve"> </w:t>
      </w:r>
    </w:p>
    <w:p w14:paraId="2662A28A" w14:textId="77777777" w:rsidR="00414D0D" w:rsidRPr="00414D0D" w:rsidRDefault="00B73884" w:rsidP="008D0357">
      <w:pPr>
        <w:jc w:val="left"/>
        <w:rPr>
          <w:rFonts w:ascii="Arial" w:hAnsi="Arial"/>
          <w:szCs w:val="24"/>
        </w:rPr>
      </w:pPr>
      <w:hyperlink r:id="rId17" w:history="1">
        <w:r w:rsidR="00414D0D" w:rsidRPr="00125038">
          <w:rPr>
            <w:rStyle w:val="Hyperlink"/>
            <w:rFonts w:ascii="Arial" w:hAnsi="Arial"/>
            <w:szCs w:val="24"/>
          </w:rPr>
          <w:t>https://corablivingwithdifference.com</w:t>
        </w:r>
      </w:hyperlink>
      <w:r w:rsidR="00414D0D">
        <w:rPr>
          <w:rFonts w:ascii="Arial" w:hAnsi="Arial"/>
          <w:szCs w:val="24"/>
        </w:rPr>
        <w:t xml:space="preserve"> </w:t>
      </w:r>
    </w:p>
    <w:p w14:paraId="31025649" w14:textId="77777777" w:rsidR="008814DB" w:rsidRDefault="008814DB" w:rsidP="008D0357">
      <w:pPr>
        <w:jc w:val="left"/>
        <w:rPr>
          <w:rFonts w:ascii="Arial" w:hAnsi="Arial" w:cs="Arial"/>
        </w:rPr>
      </w:pPr>
    </w:p>
    <w:p w14:paraId="41B4F34E" w14:textId="77777777" w:rsidR="008814DB" w:rsidRPr="00697A1C" w:rsidRDefault="008814DB" w:rsidP="008D0357">
      <w:pPr>
        <w:jc w:val="left"/>
        <w:rPr>
          <w:rFonts w:ascii="Arial" w:hAnsi="Arial"/>
          <w:b/>
          <w:szCs w:val="24"/>
        </w:rPr>
      </w:pPr>
    </w:p>
    <w:sectPr w:rsidR="008814DB" w:rsidRPr="00697A1C" w:rsidSect="00855485">
      <w:footerReference w:type="default" r:id="rId18"/>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A9803" w14:textId="77777777" w:rsidR="00B8759A" w:rsidRDefault="00B8759A">
      <w:r>
        <w:separator/>
      </w:r>
    </w:p>
  </w:endnote>
  <w:endnote w:type="continuationSeparator" w:id="0">
    <w:p w14:paraId="26819A80" w14:textId="77777777" w:rsidR="00B8759A" w:rsidRDefault="00B8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6BE0" w14:textId="77777777" w:rsidR="00B8759A" w:rsidRDefault="00B8759A">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0D178" w14:textId="77777777" w:rsidR="00B8759A" w:rsidRDefault="00B8759A">
      <w:r>
        <w:separator/>
      </w:r>
    </w:p>
  </w:footnote>
  <w:footnote w:type="continuationSeparator" w:id="0">
    <w:p w14:paraId="21297190" w14:textId="77777777" w:rsidR="00B8759A" w:rsidRDefault="00B875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C3EDC"/>
    <w:multiLevelType w:val="multilevel"/>
    <w:tmpl w:val="934E989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6"/>
  </w:num>
  <w:num w:numId="4">
    <w:abstractNumId w:val="2"/>
  </w:num>
  <w:num w:numId="5">
    <w:abstractNumId w:val="5"/>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F1"/>
    <w:rsid w:val="0001124E"/>
    <w:rsid w:val="000363D5"/>
    <w:rsid w:val="00060A7A"/>
    <w:rsid w:val="00085678"/>
    <w:rsid w:val="000A6942"/>
    <w:rsid w:val="000E2A75"/>
    <w:rsid w:val="000F7CDC"/>
    <w:rsid w:val="00116E0C"/>
    <w:rsid w:val="00126BF5"/>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F358A"/>
    <w:rsid w:val="00320C51"/>
    <w:rsid w:val="003640CD"/>
    <w:rsid w:val="003734A0"/>
    <w:rsid w:val="0039303E"/>
    <w:rsid w:val="00414D0D"/>
    <w:rsid w:val="00423BAC"/>
    <w:rsid w:val="00426CFC"/>
    <w:rsid w:val="004545A0"/>
    <w:rsid w:val="00456631"/>
    <w:rsid w:val="00493194"/>
    <w:rsid w:val="00497CD0"/>
    <w:rsid w:val="004A357C"/>
    <w:rsid w:val="004E3994"/>
    <w:rsid w:val="004F7C42"/>
    <w:rsid w:val="00526D42"/>
    <w:rsid w:val="00530470"/>
    <w:rsid w:val="00543CE2"/>
    <w:rsid w:val="00553AFC"/>
    <w:rsid w:val="00555693"/>
    <w:rsid w:val="00587344"/>
    <w:rsid w:val="005C3FCC"/>
    <w:rsid w:val="005C5157"/>
    <w:rsid w:val="005F162E"/>
    <w:rsid w:val="005F381F"/>
    <w:rsid w:val="0060693F"/>
    <w:rsid w:val="00654C39"/>
    <w:rsid w:val="00683968"/>
    <w:rsid w:val="006921D1"/>
    <w:rsid w:val="00697A1C"/>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14DB"/>
    <w:rsid w:val="0088622D"/>
    <w:rsid w:val="008A1EE0"/>
    <w:rsid w:val="008A3D9D"/>
    <w:rsid w:val="008A5D75"/>
    <w:rsid w:val="008D0357"/>
    <w:rsid w:val="008F1BFA"/>
    <w:rsid w:val="00901096"/>
    <w:rsid w:val="00901B35"/>
    <w:rsid w:val="009071B2"/>
    <w:rsid w:val="00943BA0"/>
    <w:rsid w:val="00965954"/>
    <w:rsid w:val="00987F59"/>
    <w:rsid w:val="009B181A"/>
    <w:rsid w:val="009C2E4C"/>
    <w:rsid w:val="009C683F"/>
    <w:rsid w:val="00A112EE"/>
    <w:rsid w:val="00A475BC"/>
    <w:rsid w:val="00A47670"/>
    <w:rsid w:val="00A71501"/>
    <w:rsid w:val="00A87F38"/>
    <w:rsid w:val="00AB33D7"/>
    <w:rsid w:val="00AD0D63"/>
    <w:rsid w:val="00AD39F5"/>
    <w:rsid w:val="00AF3D22"/>
    <w:rsid w:val="00B06C67"/>
    <w:rsid w:val="00B11C92"/>
    <w:rsid w:val="00B73884"/>
    <w:rsid w:val="00B8759A"/>
    <w:rsid w:val="00BB54D4"/>
    <w:rsid w:val="00BD52B1"/>
    <w:rsid w:val="00BD5BBA"/>
    <w:rsid w:val="00BF5732"/>
    <w:rsid w:val="00BF7D0E"/>
    <w:rsid w:val="00C31201"/>
    <w:rsid w:val="00C50C29"/>
    <w:rsid w:val="00CA6741"/>
    <w:rsid w:val="00CA73F3"/>
    <w:rsid w:val="00CB0D87"/>
    <w:rsid w:val="00CB0DF1"/>
    <w:rsid w:val="00CF2F04"/>
    <w:rsid w:val="00D317D7"/>
    <w:rsid w:val="00D53F2F"/>
    <w:rsid w:val="00D71E36"/>
    <w:rsid w:val="00D757F1"/>
    <w:rsid w:val="00D80EE3"/>
    <w:rsid w:val="00DD21B4"/>
    <w:rsid w:val="00E215B0"/>
    <w:rsid w:val="00E3588D"/>
    <w:rsid w:val="00E825A6"/>
    <w:rsid w:val="00EA6CD9"/>
    <w:rsid w:val="00EF05A3"/>
    <w:rsid w:val="00F03C58"/>
    <w:rsid w:val="00F355F0"/>
    <w:rsid w:val="00FA198A"/>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299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hampshireeducational@outlook.com" TargetMode="External"/><Relationship Id="rId20" Type="http://schemas.openxmlformats.org/officeDocument/2006/relationships/theme" Target="theme/theme1.xml"/><Relationship Id="rId10" Type="http://schemas.openxmlformats.org/officeDocument/2006/relationships/hyperlink" Target="http://www.theosthinktank.co.uk/publications/2014/02/19/the-future-of-welfare-a-theos-collection" TargetMode="External"/><Relationship Id="rId11" Type="http://schemas.openxmlformats.org/officeDocument/2006/relationships/hyperlink" Target="http://www.theosthinktank.co.uk/publications/2015/03/02/speaking-up-defending-and-delivering-access-to-justice" TargetMode="External"/><Relationship Id="rId12" Type="http://schemas.openxmlformats.org/officeDocument/2006/relationships/hyperlink" Target="http://www.theosthinktank.co.uk/publications/2014/10/09/just-money-how-catholic-social-teaching-can-redeem-capitalism" TargetMode="External"/><Relationship Id="rId13" Type="http://schemas.openxmlformats.org/officeDocument/2006/relationships/hyperlink" Target="http://www.theosthinktank.co.uk/publications/2013/06/19/making-multiculturalism-work" TargetMode="External"/><Relationship Id="rId14" Type="http://schemas.openxmlformats.org/officeDocument/2006/relationships/hyperlink" Target="http://www.theosthinktank.co.uk/publications/2011/04/14/counting-on-reform" TargetMode="External"/><Relationship Id="rId15" Type="http://schemas.openxmlformats.org/officeDocument/2006/relationships/hyperlink" Target="http://exeter.anglican.org/schools/religious-education-worship/christianity-project/" TargetMode="External"/><Relationship Id="rId16" Type="http://schemas.openxmlformats.org/officeDocument/2006/relationships/hyperlink" Target="http://www.understandingchristianity.org.uk" TargetMode="External"/><Relationship Id="rId17" Type="http://schemas.openxmlformats.org/officeDocument/2006/relationships/hyperlink" Target="https://corablivingwithdifference.com"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COUNCIL.dotx</Template>
  <TotalTime>32</TotalTime>
  <Pages>3</Pages>
  <Words>860</Words>
  <Characters>4611</Characters>
  <Application>Microsoft Macintosh Word</Application>
  <DocSecurity>0</DocSecurity>
  <Lines>102</Lines>
  <Paragraphs>25</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5446</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3</cp:revision>
  <cp:lastPrinted>2006-10-19T13:23:00Z</cp:lastPrinted>
  <dcterms:created xsi:type="dcterms:W3CDTF">2017-01-22T13:37:00Z</dcterms:created>
  <dcterms:modified xsi:type="dcterms:W3CDTF">2017-01-23T06:23:00Z</dcterms:modified>
</cp:coreProperties>
</file>