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6785F" w14:textId="77777777" w:rsidR="00901096" w:rsidRDefault="002F358A" w:rsidP="00901096">
      <w:pPr>
        <w:pStyle w:val="Footer"/>
        <w:jc w:val="center"/>
        <w:rPr>
          <w:sz w:val="22"/>
        </w:rPr>
      </w:pPr>
      <w:r>
        <w:rPr>
          <w:noProof/>
          <w:snapToGrid/>
          <w:lang w:val="en-US"/>
        </w:rPr>
        <w:drawing>
          <wp:anchor distT="0" distB="0" distL="114300" distR="114300" simplePos="0" relativeHeight="251658240" behindDoc="0" locked="0" layoutInCell="1" allowOverlap="1" wp14:anchorId="1ABD9AEB" wp14:editId="76ECF844">
            <wp:simplePos x="0" y="0"/>
            <wp:positionH relativeFrom="character">
              <wp:posOffset>0</wp:posOffset>
            </wp:positionH>
            <wp:positionV relativeFrom="line">
              <wp:posOffset>0</wp:posOffset>
            </wp:positionV>
            <wp:extent cx="1476375" cy="561975"/>
            <wp:effectExtent l="0" t="0" r="0" b="0"/>
            <wp:wrapNone/>
            <wp:docPr id="31" name="Picture 31" descr="BL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K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sz w:val="22"/>
          <w:lang w:val="en-US"/>
        </w:rPr>
        <mc:AlternateContent>
          <mc:Choice Requires="wps">
            <w:drawing>
              <wp:inline distT="0" distB="0" distL="0" distR="0" wp14:anchorId="7BFD532B" wp14:editId="406C8C3C">
                <wp:extent cx="1473200" cy="558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" filled="f" stroked="f">
                <o:lock v:ext="edit" aspectratio="t"/>
                <w10:anchorlock/>
              </v:rect>
            </w:pict>
          </mc:Fallback>
        </mc:AlternateContent>
      </w:r>
    </w:p>
    <w:p w14:paraId="2084CEB9" w14:textId="77777777" w:rsidR="00D53F2F" w:rsidRDefault="00D53F2F" w:rsidP="007C7A16">
      <w:pPr>
        <w:jc w:val="center"/>
        <w:rPr>
          <w:rFonts w:ascii="Comic Sans MS" w:hAnsi="Comic Sans MS"/>
          <w:b/>
          <w:color w:val="993366"/>
          <w:sz w:val="22"/>
          <w:szCs w:val="22"/>
        </w:rPr>
      </w:pPr>
    </w:p>
    <w:p w14:paraId="21FB4C93" w14:textId="77777777" w:rsidR="00FE0EFA" w:rsidRPr="00DE53D8" w:rsidRDefault="00FE0EFA" w:rsidP="002B0B1E">
      <w:pPr>
        <w:jc w:val="left"/>
        <w:rPr>
          <w:rFonts w:ascii="Arial" w:hAnsi="Arial" w:cs="Arial"/>
          <w:color w:val="99336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25"/>
        <w:gridCol w:w="2693"/>
        <w:gridCol w:w="1843"/>
        <w:gridCol w:w="2333"/>
      </w:tblGrid>
      <w:tr w:rsidR="00220494" w:rsidRPr="001C6599" w14:paraId="29C49BC9" w14:textId="77777777" w:rsidTr="001C6599">
        <w:tc>
          <w:tcPr>
            <w:tcW w:w="2660" w:type="dxa"/>
            <w:gridSpan w:val="2"/>
            <w:tcBorders>
              <w:top w:val="nil"/>
              <w:left w:val="nil"/>
              <w:bottom w:val="nil"/>
              <w:right w:val="nil"/>
            </w:tcBorders>
            <w:shd w:val="clear" w:color="auto" w:fill="auto"/>
          </w:tcPr>
          <w:p w14:paraId="40B5742D" w14:textId="77777777" w:rsidR="00220494" w:rsidRPr="001C6599" w:rsidRDefault="00220494" w:rsidP="00220494">
            <w:pPr>
              <w:rPr>
                <w:rFonts w:ascii="Arial" w:hAnsi="Arial"/>
                <w:szCs w:val="24"/>
              </w:rPr>
            </w:pPr>
          </w:p>
        </w:tc>
        <w:tc>
          <w:tcPr>
            <w:tcW w:w="6869" w:type="dxa"/>
            <w:gridSpan w:val="3"/>
            <w:tcBorders>
              <w:top w:val="nil"/>
              <w:left w:val="nil"/>
              <w:bottom w:val="nil"/>
              <w:right w:val="nil"/>
            </w:tcBorders>
            <w:shd w:val="clear" w:color="auto" w:fill="auto"/>
          </w:tcPr>
          <w:p w14:paraId="0C36B4D9" w14:textId="77777777" w:rsidR="00220494" w:rsidRPr="001C6599" w:rsidRDefault="00220494" w:rsidP="00220494">
            <w:pPr>
              <w:rPr>
                <w:rFonts w:ascii="Arial" w:hAnsi="Arial" w:cs="Arial"/>
                <w:color w:val="993366"/>
                <w:sz w:val="22"/>
                <w:szCs w:val="22"/>
              </w:rPr>
            </w:pPr>
          </w:p>
        </w:tc>
      </w:tr>
      <w:tr w:rsidR="00220494" w:rsidRPr="001C6599" w14:paraId="6E9DB4AA" w14:textId="77777777" w:rsidTr="001C6599">
        <w:tc>
          <w:tcPr>
            <w:tcW w:w="9529" w:type="dxa"/>
            <w:gridSpan w:val="5"/>
            <w:tcBorders>
              <w:top w:val="nil"/>
              <w:left w:val="nil"/>
              <w:bottom w:val="nil"/>
              <w:right w:val="nil"/>
            </w:tcBorders>
            <w:shd w:val="clear" w:color="auto" w:fill="auto"/>
          </w:tcPr>
          <w:p w14:paraId="76993546" w14:textId="77777777" w:rsidR="00220494" w:rsidRPr="00DE53D8" w:rsidRDefault="00DE53D8" w:rsidP="00DE53D8">
            <w:pPr>
              <w:jc w:val="left"/>
              <w:rPr>
                <w:rFonts w:ascii="Arial" w:hAnsi="Arial" w:cs="Arial"/>
                <w:color w:val="993366"/>
                <w:sz w:val="22"/>
                <w:szCs w:val="22"/>
              </w:rPr>
            </w:pPr>
            <w:r>
              <w:rPr>
                <w:rFonts w:ascii="Arial" w:hAnsi="Arial" w:cs="Arial"/>
                <w:sz w:val="28"/>
                <w:szCs w:val="28"/>
              </w:rPr>
              <w:t xml:space="preserve">Title: </w:t>
            </w:r>
            <w:r w:rsidRPr="00DE53D8">
              <w:rPr>
                <w:rFonts w:ascii="Arial" w:hAnsi="Arial" w:cs="Arial"/>
                <w:sz w:val="28"/>
                <w:szCs w:val="28"/>
              </w:rPr>
              <w:t>The Casey Review and A Secularist Framework for an Inclusive Society</w:t>
            </w:r>
          </w:p>
        </w:tc>
      </w:tr>
      <w:tr w:rsidR="00220494" w:rsidRPr="001C6599" w14:paraId="19A08D73" w14:textId="77777777" w:rsidTr="001C6599">
        <w:tc>
          <w:tcPr>
            <w:tcW w:w="2235" w:type="dxa"/>
            <w:tcBorders>
              <w:top w:val="nil"/>
              <w:left w:val="nil"/>
              <w:bottom w:val="nil"/>
              <w:right w:val="nil"/>
            </w:tcBorders>
            <w:shd w:val="clear" w:color="auto" w:fill="auto"/>
          </w:tcPr>
          <w:p w14:paraId="3328CFE0" w14:textId="77777777"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14:paraId="3FBB906D" w14:textId="77777777" w:rsidR="00220494" w:rsidRPr="001C6599" w:rsidRDefault="00220494" w:rsidP="002B0B1E">
            <w:pPr>
              <w:rPr>
                <w:rFonts w:ascii="Arial" w:hAnsi="Arial" w:cs="Arial"/>
                <w:color w:val="993366"/>
                <w:sz w:val="22"/>
                <w:szCs w:val="22"/>
              </w:rPr>
            </w:pPr>
          </w:p>
        </w:tc>
      </w:tr>
      <w:tr w:rsidR="00220494" w:rsidRPr="001C6599" w14:paraId="6BEDCEB4" w14:textId="77777777" w:rsidTr="001C6599">
        <w:tc>
          <w:tcPr>
            <w:tcW w:w="2235" w:type="dxa"/>
            <w:tcBorders>
              <w:top w:val="nil"/>
              <w:left w:val="nil"/>
              <w:bottom w:val="nil"/>
              <w:right w:val="nil"/>
            </w:tcBorders>
            <w:shd w:val="clear" w:color="auto" w:fill="auto"/>
          </w:tcPr>
          <w:p w14:paraId="3F5F452D" w14:textId="77777777" w:rsidR="00220494" w:rsidRPr="001C6599" w:rsidRDefault="00220494" w:rsidP="002B0B1E">
            <w:pPr>
              <w:rPr>
                <w:rFonts w:ascii="Arial" w:hAnsi="Arial"/>
                <w:szCs w:val="24"/>
              </w:rPr>
            </w:pPr>
            <w:r w:rsidRPr="001C6599">
              <w:rPr>
                <w:rFonts w:ascii="Arial" w:hAnsi="Arial"/>
                <w:szCs w:val="24"/>
              </w:rPr>
              <w:t>Wards Affected:</w:t>
            </w:r>
          </w:p>
        </w:tc>
        <w:tc>
          <w:tcPr>
            <w:tcW w:w="7294" w:type="dxa"/>
            <w:gridSpan w:val="4"/>
            <w:tcBorders>
              <w:top w:val="nil"/>
              <w:left w:val="nil"/>
              <w:bottom w:val="nil"/>
              <w:right w:val="nil"/>
            </w:tcBorders>
            <w:shd w:val="clear" w:color="auto" w:fill="auto"/>
          </w:tcPr>
          <w:p w14:paraId="44EDA55E" w14:textId="77777777" w:rsidR="00220494" w:rsidRPr="001C6599" w:rsidRDefault="00200D5B" w:rsidP="002B0B1E">
            <w:pPr>
              <w:rPr>
                <w:rFonts w:ascii="Arial" w:hAnsi="Arial" w:cs="Arial"/>
                <w:b/>
                <w:szCs w:val="24"/>
              </w:rPr>
            </w:pPr>
            <w:r w:rsidRPr="001C6599">
              <w:rPr>
                <w:rFonts w:ascii="Arial" w:hAnsi="Arial" w:cs="Arial"/>
                <w:b/>
                <w:szCs w:val="24"/>
              </w:rPr>
              <w:t>All</w:t>
            </w:r>
          </w:p>
        </w:tc>
      </w:tr>
      <w:tr w:rsidR="00220494" w:rsidRPr="001C6599" w14:paraId="716896CE" w14:textId="77777777" w:rsidTr="001C6599">
        <w:trPr>
          <w:trHeight w:val="316"/>
        </w:trPr>
        <w:tc>
          <w:tcPr>
            <w:tcW w:w="2235" w:type="dxa"/>
            <w:tcBorders>
              <w:top w:val="nil"/>
              <w:left w:val="nil"/>
              <w:bottom w:val="nil"/>
              <w:right w:val="nil"/>
            </w:tcBorders>
            <w:shd w:val="clear" w:color="auto" w:fill="auto"/>
          </w:tcPr>
          <w:p w14:paraId="1D1FBB24" w14:textId="77777777"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14:paraId="655B0F58" w14:textId="77777777" w:rsidR="00220494" w:rsidRPr="001C6599" w:rsidRDefault="00220494" w:rsidP="001C6599">
            <w:pPr>
              <w:jc w:val="left"/>
              <w:rPr>
                <w:rFonts w:ascii="Arial" w:hAnsi="Arial" w:cs="Arial"/>
                <w:color w:val="993366"/>
                <w:sz w:val="22"/>
                <w:szCs w:val="22"/>
              </w:rPr>
            </w:pPr>
          </w:p>
        </w:tc>
      </w:tr>
      <w:tr w:rsidR="00220494" w:rsidRPr="001C6599" w14:paraId="205A8562" w14:textId="77777777" w:rsidTr="001C6599">
        <w:tc>
          <w:tcPr>
            <w:tcW w:w="2235" w:type="dxa"/>
            <w:tcBorders>
              <w:top w:val="nil"/>
              <w:left w:val="nil"/>
              <w:bottom w:val="nil"/>
              <w:right w:val="nil"/>
            </w:tcBorders>
            <w:shd w:val="clear" w:color="auto" w:fill="auto"/>
          </w:tcPr>
          <w:p w14:paraId="546E55FE" w14:textId="77777777" w:rsidR="00220494" w:rsidRPr="001C6599" w:rsidRDefault="00220494" w:rsidP="002B0B1E">
            <w:pPr>
              <w:rPr>
                <w:rFonts w:ascii="Arial" w:hAnsi="Arial"/>
                <w:szCs w:val="24"/>
              </w:rPr>
            </w:pPr>
            <w:r w:rsidRPr="001C6599">
              <w:rPr>
                <w:rFonts w:ascii="Arial" w:hAnsi="Arial"/>
                <w:szCs w:val="24"/>
              </w:rPr>
              <w:t>To:</w:t>
            </w:r>
          </w:p>
        </w:tc>
        <w:tc>
          <w:tcPr>
            <w:tcW w:w="3118" w:type="dxa"/>
            <w:gridSpan w:val="2"/>
            <w:tcBorders>
              <w:top w:val="nil"/>
              <w:left w:val="nil"/>
              <w:bottom w:val="nil"/>
              <w:right w:val="nil"/>
            </w:tcBorders>
            <w:shd w:val="clear" w:color="auto" w:fill="auto"/>
          </w:tcPr>
          <w:p w14:paraId="27E5E68A" w14:textId="77777777" w:rsidR="00220494" w:rsidRPr="001C6599" w:rsidRDefault="00200D5B" w:rsidP="001C6599">
            <w:pPr>
              <w:jc w:val="left"/>
              <w:rPr>
                <w:rFonts w:ascii="Arial" w:hAnsi="Arial" w:cs="Arial"/>
                <w:b/>
                <w:szCs w:val="24"/>
              </w:rPr>
            </w:pPr>
            <w:r w:rsidRPr="001C6599">
              <w:rPr>
                <w:rFonts w:ascii="Arial" w:hAnsi="Arial" w:cs="Arial"/>
                <w:b/>
                <w:szCs w:val="24"/>
              </w:rPr>
              <w:t>SACRE</w:t>
            </w:r>
          </w:p>
        </w:tc>
        <w:tc>
          <w:tcPr>
            <w:tcW w:w="1843" w:type="dxa"/>
            <w:tcBorders>
              <w:top w:val="nil"/>
              <w:left w:val="nil"/>
              <w:bottom w:val="nil"/>
              <w:right w:val="nil"/>
            </w:tcBorders>
            <w:shd w:val="clear" w:color="auto" w:fill="auto"/>
          </w:tcPr>
          <w:p w14:paraId="39C9F9E0" w14:textId="77777777" w:rsidR="00220494" w:rsidRPr="001C6599" w:rsidRDefault="00220494" w:rsidP="001C6599">
            <w:pPr>
              <w:jc w:val="left"/>
              <w:rPr>
                <w:rFonts w:ascii="Arial" w:hAnsi="Arial" w:cs="Arial"/>
                <w:szCs w:val="24"/>
              </w:rPr>
            </w:pPr>
            <w:r w:rsidRPr="001C6599">
              <w:rPr>
                <w:rFonts w:ascii="Arial" w:hAnsi="Arial" w:cs="Arial"/>
                <w:szCs w:val="24"/>
              </w:rPr>
              <w:t>On:</w:t>
            </w:r>
          </w:p>
        </w:tc>
        <w:tc>
          <w:tcPr>
            <w:tcW w:w="2333" w:type="dxa"/>
            <w:tcBorders>
              <w:top w:val="nil"/>
              <w:left w:val="nil"/>
              <w:bottom w:val="nil"/>
              <w:right w:val="nil"/>
            </w:tcBorders>
            <w:shd w:val="clear" w:color="auto" w:fill="auto"/>
          </w:tcPr>
          <w:p w14:paraId="1483D3A1" w14:textId="77777777" w:rsidR="00220494" w:rsidRPr="001C6599" w:rsidRDefault="00717820" w:rsidP="001C6599">
            <w:pPr>
              <w:jc w:val="left"/>
              <w:rPr>
                <w:rFonts w:ascii="Arial" w:hAnsi="Arial" w:cs="Arial"/>
                <w:b/>
                <w:szCs w:val="24"/>
              </w:rPr>
            </w:pPr>
            <w:r>
              <w:rPr>
                <w:rFonts w:ascii="Arial" w:hAnsi="Arial" w:cs="Arial"/>
                <w:b/>
                <w:szCs w:val="24"/>
              </w:rPr>
              <w:t>Date</w:t>
            </w:r>
            <w:r w:rsidR="00DD21B4">
              <w:rPr>
                <w:rFonts w:ascii="Arial" w:hAnsi="Arial" w:cs="Arial"/>
                <w:b/>
                <w:szCs w:val="24"/>
              </w:rPr>
              <w:t xml:space="preserve"> </w:t>
            </w:r>
            <w:r w:rsidR="00DE53D8">
              <w:rPr>
                <w:rFonts w:ascii="Arial" w:hAnsi="Arial" w:cs="Arial"/>
                <w:b/>
                <w:szCs w:val="24"/>
              </w:rPr>
              <w:t>1</w:t>
            </w:r>
            <w:r w:rsidR="00DE53D8" w:rsidRPr="00DE53D8">
              <w:rPr>
                <w:rFonts w:ascii="Arial" w:hAnsi="Arial" w:cs="Arial"/>
                <w:b/>
                <w:szCs w:val="24"/>
                <w:vertAlign w:val="superscript"/>
              </w:rPr>
              <w:t>st</w:t>
            </w:r>
            <w:r w:rsidR="00DE53D8">
              <w:rPr>
                <w:rFonts w:ascii="Arial" w:hAnsi="Arial" w:cs="Arial"/>
                <w:b/>
                <w:szCs w:val="24"/>
              </w:rPr>
              <w:t xml:space="preserve"> February, 2017</w:t>
            </w:r>
          </w:p>
        </w:tc>
      </w:tr>
      <w:tr w:rsidR="00220494" w:rsidRPr="001C6599" w14:paraId="5DD86389" w14:textId="77777777" w:rsidTr="001C6599">
        <w:tc>
          <w:tcPr>
            <w:tcW w:w="2235" w:type="dxa"/>
            <w:tcBorders>
              <w:top w:val="nil"/>
              <w:left w:val="nil"/>
              <w:bottom w:val="nil"/>
              <w:right w:val="nil"/>
            </w:tcBorders>
            <w:shd w:val="clear" w:color="auto" w:fill="auto"/>
          </w:tcPr>
          <w:p w14:paraId="4BBBB56D" w14:textId="77777777" w:rsidR="00220494" w:rsidRPr="001C6599" w:rsidRDefault="00220494" w:rsidP="002B0B1E">
            <w:pPr>
              <w:rPr>
                <w:rFonts w:ascii="Arial" w:hAnsi="Arial"/>
                <w:szCs w:val="24"/>
              </w:rPr>
            </w:pPr>
          </w:p>
        </w:tc>
        <w:tc>
          <w:tcPr>
            <w:tcW w:w="3118" w:type="dxa"/>
            <w:gridSpan w:val="2"/>
            <w:tcBorders>
              <w:top w:val="nil"/>
              <w:left w:val="nil"/>
              <w:bottom w:val="nil"/>
              <w:right w:val="nil"/>
            </w:tcBorders>
            <w:shd w:val="clear" w:color="auto" w:fill="auto"/>
          </w:tcPr>
          <w:p w14:paraId="7B2BF29B" w14:textId="77777777" w:rsidR="00220494" w:rsidRPr="001C6599" w:rsidRDefault="00220494" w:rsidP="001C6599">
            <w:pPr>
              <w:jc w:val="left"/>
              <w:rPr>
                <w:rFonts w:ascii="Arial" w:hAnsi="Arial" w:cs="Arial"/>
                <w:szCs w:val="24"/>
              </w:rPr>
            </w:pPr>
          </w:p>
        </w:tc>
        <w:tc>
          <w:tcPr>
            <w:tcW w:w="1843" w:type="dxa"/>
            <w:tcBorders>
              <w:top w:val="nil"/>
              <w:left w:val="nil"/>
              <w:bottom w:val="nil"/>
              <w:right w:val="nil"/>
            </w:tcBorders>
            <w:shd w:val="clear" w:color="auto" w:fill="auto"/>
          </w:tcPr>
          <w:p w14:paraId="6007269B" w14:textId="77777777" w:rsidR="00220494" w:rsidRPr="001C6599" w:rsidRDefault="00220494" w:rsidP="001C6599">
            <w:pPr>
              <w:jc w:val="left"/>
              <w:rPr>
                <w:rFonts w:ascii="Arial" w:hAnsi="Arial" w:cs="Arial"/>
                <w:szCs w:val="24"/>
              </w:rPr>
            </w:pPr>
          </w:p>
        </w:tc>
        <w:tc>
          <w:tcPr>
            <w:tcW w:w="2333" w:type="dxa"/>
            <w:tcBorders>
              <w:top w:val="nil"/>
              <w:left w:val="nil"/>
              <w:bottom w:val="nil"/>
              <w:right w:val="nil"/>
            </w:tcBorders>
            <w:shd w:val="clear" w:color="auto" w:fill="auto"/>
          </w:tcPr>
          <w:p w14:paraId="0D6103B8" w14:textId="77777777" w:rsidR="00220494" w:rsidRPr="001C6599" w:rsidRDefault="00220494" w:rsidP="001C6599">
            <w:pPr>
              <w:jc w:val="left"/>
              <w:rPr>
                <w:rFonts w:ascii="Arial" w:hAnsi="Arial" w:cs="Arial"/>
                <w:szCs w:val="24"/>
              </w:rPr>
            </w:pPr>
          </w:p>
        </w:tc>
      </w:tr>
      <w:tr w:rsidR="00220494" w:rsidRPr="001C6599" w14:paraId="08A31F09" w14:textId="77777777" w:rsidTr="001C6599">
        <w:tc>
          <w:tcPr>
            <w:tcW w:w="2235" w:type="dxa"/>
            <w:tcBorders>
              <w:top w:val="nil"/>
              <w:left w:val="nil"/>
              <w:bottom w:val="nil"/>
              <w:right w:val="nil"/>
            </w:tcBorders>
            <w:shd w:val="clear" w:color="auto" w:fill="auto"/>
          </w:tcPr>
          <w:p w14:paraId="516F79BA" w14:textId="77777777" w:rsidR="00220494" w:rsidRPr="001C6599" w:rsidRDefault="00220494" w:rsidP="002B0B1E">
            <w:pPr>
              <w:rPr>
                <w:rFonts w:ascii="Arial" w:hAnsi="Arial"/>
                <w:szCs w:val="24"/>
              </w:rPr>
            </w:pPr>
            <w:r w:rsidRPr="001C6599">
              <w:rPr>
                <w:rFonts w:ascii="Arial" w:hAnsi="Arial"/>
                <w:szCs w:val="24"/>
              </w:rPr>
              <w:t>Contact Officer:</w:t>
            </w:r>
          </w:p>
        </w:tc>
        <w:tc>
          <w:tcPr>
            <w:tcW w:w="7294" w:type="dxa"/>
            <w:gridSpan w:val="4"/>
            <w:tcBorders>
              <w:top w:val="nil"/>
              <w:left w:val="nil"/>
              <w:bottom w:val="nil"/>
              <w:right w:val="nil"/>
            </w:tcBorders>
            <w:shd w:val="clear" w:color="auto" w:fill="auto"/>
          </w:tcPr>
          <w:p w14:paraId="3C9DB12F" w14:textId="77777777" w:rsidR="00220494" w:rsidRPr="001C6599" w:rsidRDefault="00717820" w:rsidP="002B0B1E">
            <w:pPr>
              <w:rPr>
                <w:rFonts w:ascii="Arial" w:hAnsi="Arial" w:cs="Arial"/>
                <w:b/>
                <w:szCs w:val="24"/>
              </w:rPr>
            </w:pPr>
            <w:r>
              <w:rPr>
                <w:rFonts w:ascii="Arial" w:hAnsi="Arial" w:cs="Arial"/>
                <w:b/>
                <w:szCs w:val="24"/>
              </w:rPr>
              <w:t>RE Adviser</w:t>
            </w:r>
          </w:p>
        </w:tc>
      </w:tr>
      <w:tr w:rsidR="00220494" w:rsidRPr="001C6599" w14:paraId="5D1B1226" w14:textId="77777777" w:rsidTr="001C6599">
        <w:tc>
          <w:tcPr>
            <w:tcW w:w="2235" w:type="dxa"/>
            <w:tcBorders>
              <w:top w:val="nil"/>
              <w:left w:val="nil"/>
              <w:bottom w:val="nil"/>
              <w:right w:val="nil"/>
            </w:tcBorders>
            <w:shd w:val="clear" w:color="auto" w:fill="auto"/>
          </w:tcPr>
          <w:p w14:paraId="74EA5044" w14:textId="77777777" w:rsidR="00220494" w:rsidRPr="001C6599" w:rsidRDefault="00220494" w:rsidP="002B0B1E">
            <w:pPr>
              <w:rPr>
                <w:rFonts w:ascii="Arial" w:hAnsi="Arial"/>
                <w:szCs w:val="24"/>
              </w:rPr>
            </w:pPr>
            <w:r w:rsidRPr="001C6599">
              <w:rPr>
                <w:rFonts w:ascii="Lucida Sans" w:hAnsi="Lucida Sans"/>
              </w:rPr>
              <w:sym w:font="Wingdings 2" w:char="F027"/>
            </w:r>
            <w:r w:rsidRPr="001C6599">
              <w:rPr>
                <w:rFonts w:ascii="Lucida Sans" w:hAnsi="Lucida Sans"/>
              </w:rPr>
              <w:t xml:space="preserve"> </w:t>
            </w:r>
            <w:r w:rsidRPr="001C6599">
              <w:rPr>
                <w:rFonts w:ascii="Arial" w:hAnsi="Arial"/>
                <w:szCs w:val="24"/>
              </w:rPr>
              <w:t>Telephone:</w:t>
            </w:r>
          </w:p>
        </w:tc>
        <w:tc>
          <w:tcPr>
            <w:tcW w:w="7294" w:type="dxa"/>
            <w:gridSpan w:val="4"/>
            <w:tcBorders>
              <w:top w:val="nil"/>
              <w:left w:val="nil"/>
              <w:bottom w:val="nil"/>
              <w:right w:val="nil"/>
            </w:tcBorders>
            <w:shd w:val="clear" w:color="auto" w:fill="auto"/>
          </w:tcPr>
          <w:p w14:paraId="5C164327" w14:textId="77777777" w:rsidR="00220494" w:rsidRPr="001C6599" w:rsidRDefault="002F358A" w:rsidP="002B0B1E">
            <w:pPr>
              <w:rPr>
                <w:rFonts w:ascii="Arial" w:hAnsi="Arial" w:cs="Arial"/>
                <w:b/>
                <w:szCs w:val="24"/>
              </w:rPr>
            </w:pPr>
            <w:r>
              <w:rPr>
                <w:rFonts w:ascii="Arial" w:hAnsi="Arial" w:cs="Arial"/>
                <w:b/>
                <w:szCs w:val="24"/>
              </w:rPr>
              <w:t>07855 235865</w:t>
            </w:r>
          </w:p>
        </w:tc>
      </w:tr>
      <w:tr w:rsidR="00220494" w:rsidRPr="001C6599" w14:paraId="5DC23173" w14:textId="77777777" w:rsidTr="001C6599">
        <w:tc>
          <w:tcPr>
            <w:tcW w:w="2235" w:type="dxa"/>
            <w:tcBorders>
              <w:top w:val="nil"/>
              <w:left w:val="nil"/>
              <w:bottom w:val="nil"/>
              <w:right w:val="nil"/>
            </w:tcBorders>
            <w:shd w:val="clear" w:color="auto" w:fill="auto"/>
          </w:tcPr>
          <w:p w14:paraId="7294139E" w14:textId="77777777" w:rsidR="00220494" w:rsidRPr="001C6599" w:rsidRDefault="00220494" w:rsidP="002B0B1E">
            <w:pPr>
              <w:rPr>
                <w:rFonts w:ascii="Arial" w:hAnsi="Arial"/>
                <w:szCs w:val="24"/>
              </w:rPr>
            </w:pPr>
            <w:r w:rsidRPr="001C6599">
              <w:rPr>
                <w:rFonts w:ascii="Lucida Sans" w:hAnsi="Lucida Sans"/>
              </w:rPr>
              <w:sym w:font="Wingdings" w:char="F038"/>
            </w:r>
            <w:r w:rsidRPr="001C6599">
              <w:rPr>
                <w:rFonts w:ascii="Lucida Sans" w:hAnsi="Lucida Sans"/>
              </w:rPr>
              <w:t xml:space="preserve">  </w:t>
            </w:r>
            <w:proofErr w:type="spellStart"/>
            <w:r w:rsidRPr="001C6599">
              <w:rPr>
                <w:rFonts w:ascii="Arial" w:hAnsi="Arial"/>
                <w:szCs w:val="24"/>
              </w:rPr>
              <w:t>E.mail</w:t>
            </w:r>
            <w:proofErr w:type="spellEnd"/>
            <w:r w:rsidRPr="001C6599">
              <w:rPr>
                <w:rFonts w:ascii="Arial" w:hAnsi="Arial"/>
                <w:szCs w:val="24"/>
              </w:rPr>
              <w:t>:</w:t>
            </w:r>
          </w:p>
        </w:tc>
        <w:tc>
          <w:tcPr>
            <w:tcW w:w="7294" w:type="dxa"/>
            <w:gridSpan w:val="4"/>
            <w:tcBorders>
              <w:top w:val="nil"/>
              <w:left w:val="nil"/>
              <w:bottom w:val="nil"/>
              <w:right w:val="nil"/>
            </w:tcBorders>
            <w:shd w:val="clear" w:color="auto" w:fill="auto"/>
          </w:tcPr>
          <w:p w14:paraId="35C1901B" w14:textId="77777777" w:rsidR="00220494" w:rsidRPr="001C6599" w:rsidRDefault="00B03A82" w:rsidP="002B0B1E">
            <w:pPr>
              <w:rPr>
                <w:rFonts w:ascii="Arial" w:hAnsi="Arial" w:cs="Arial"/>
                <w:b/>
                <w:szCs w:val="24"/>
              </w:rPr>
            </w:pPr>
            <w:hyperlink r:id="rId9" w:history="1">
              <w:r w:rsidR="002F358A" w:rsidRPr="00AC4B91">
                <w:rPr>
                  <w:rStyle w:val="Hyperlink"/>
                  <w:rFonts w:ascii="Arial" w:hAnsi="Arial" w:cs="Arial"/>
                  <w:b/>
                  <w:szCs w:val="24"/>
                </w:rPr>
                <w:t>hampshireeducational@outlook.com</w:t>
              </w:r>
            </w:hyperlink>
            <w:r w:rsidR="002F358A">
              <w:rPr>
                <w:rFonts w:ascii="Arial" w:hAnsi="Arial" w:cs="Arial"/>
                <w:b/>
                <w:szCs w:val="24"/>
              </w:rPr>
              <w:t xml:space="preserve"> </w:t>
            </w:r>
          </w:p>
        </w:tc>
      </w:tr>
    </w:tbl>
    <w:p w14:paraId="7DEFFA37" w14:textId="77777777" w:rsidR="00456631" w:rsidRPr="00D317D7" w:rsidRDefault="00456631" w:rsidP="002B0B1E">
      <w:pPr>
        <w:tabs>
          <w:tab w:val="left" w:pos="1440"/>
          <w:tab w:val="left" w:pos="6120"/>
        </w:tabs>
        <w:rPr>
          <w:rFonts w:ascii="Arial" w:hAnsi="Arial"/>
          <w:b/>
          <w:szCs w:val="24"/>
        </w:rPr>
      </w:pPr>
    </w:p>
    <w:p w14:paraId="7A5F1054" w14:textId="77777777" w:rsidR="00456631" w:rsidRPr="00D317D7" w:rsidRDefault="00456631" w:rsidP="002B0B1E">
      <w:pPr>
        <w:pStyle w:val="Header"/>
        <w:pBdr>
          <w:top w:val="single" w:sz="4" w:space="1" w:color="auto"/>
        </w:pBdr>
        <w:tabs>
          <w:tab w:val="clear" w:pos="4153"/>
          <w:tab w:val="clear" w:pos="8306"/>
        </w:tabs>
        <w:rPr>
          <w:rFonts w:ascii="Arial" w:hAnsi="Arial"/>
          <w:szCs w:val="24"/>
        </w:rPr>
      </w:pPr>
    </w:p>
    <w:p w14:paraId="2C026C90" w14:textId="77777777" w:rsidR="00CA6741" w:rsidRDefault="00CA6741" w:rsidP="00842BB3">
      <w:pPr>
        <w:jc w:val="left"/>
        <w:rPr>
          <w:rFonts w:ascii="Arial" w:hAnsi="Arial"/>
          <w:b/>
          <w:szCs w:val="24"/>
        </w:rPr>
      </w:pPr>
    </w:p>
    <w:p w14:paraId="740BA880" w14:textId="77777777" w:rsidR="00456631" w:rsidRPr="008A5D75" w:rsidRDefault="00456631" w:rsidP="008D0357">
      <w:pPr>
        <w:ind w:left="709" w:hanging="709"/>
        <w:jc w:val="left"/>
        <w:rPr>
          <w:rFonts w:ascii="Arial" w:hAnsi="Arial"/>
          <w:szCs w:val="24"/>
        </w:rPr>
      </w:pPr>
      <w:r w:rsidRPr="00D317D7">
        <w:rPr>
          <w:rFonts w:ascii="Arial" w:hAnsi="Arial"/>
          <w:b/>
          <w:szCs w:val="24"/>
        </w:rPr>
        <w:t>1.</w:t>
      </w:r>
      <w:r w:rsidRPr="00D317D7">
        <w:rPr>
          <w:rFonts w:ascii="Arial" w:hAnsi="Arial"/>
          <w:b/>
          <w:szCs w:val="24"/>
        </w:rPr>
        <w:tab/>
      </w:r>
      <w:r w:rsidR="005C5157">
        <w:rPr>
          <w:rFonts w:ascii="Arial" w:hAnsi="Arial"/>
          <w:b/>
          <w:szCs w:val="24"/>
        </w:rPr>
        <w:t>Key p</w:t>
      </w:r>
      <w:r w:rsidR="008A5D75">
        <w:rPr>
          <w:rFonts w:ascii="Arial" w:hAnsi="Arial"/>
          <w:b/>
          <w:szCs w:val="24"/>
        </w:rPr>
        <w:t>oints</w:t>
      </w:r>
      <w:r w:rsidR="008D0357">
        <w:rPr>
          <w:rFonts w:ascii="Arial" w:hAnsi="Arial"/>
          <w:b/>
          <w:szCs w:val="24"/>
        </w:rPr>
        <w:t xml:space="preserve"> and Summary</w:t>
      </w:r>
    </w:p>
    <w:p w14:paraId="7E4C2EAE" w14:textId="77777777" w:rsidR="00456631" w:rsidRPr="00D317D7" w:rsidRDefault="00456631" w:rsidP="00842BB3">
      <w:pPr>
        <w:jc w:val="left"/>
        <w:rPr>
          <w:rFonts w:ascii="Arial" w:hAnsi="Arial"/>
          <w:szCs w:val="24"/>
        </w:rPr>
      </w:pPr>
    </w:p>
    <w:p w14:paraId="4BA7D6E6" w14:textId="77777777" w:rsidR="001C2486" w:rsidRPr="009B181A" w:rsidRDefault="00DE53D8" w:rsidP="009B181A">
      <w:pPr>
        <w:pStyle w:val="ListParagraph"/>
        <w:numPr>
          <w:ilvl w:val="1"/>
          <w:numId w:val="7"/>
        </w:numPr>
        <w:rPr>
          <w:rFonts w:ascii="Arial" w:hAnsi="Arial" w:cs="Arial"/>
        </w:rPr>
      </w:pPr>
      <w:r w:rsidRPr="000067F6">
        <w:rPr>
          <w:rFonts w:ascii="Arial" w:hAnsi="Arial" w:cs="Arial"/>
        </w:rPr>
        <w:t xml:space="preserve">This report relates to the </w:t>
      </w:r>
      <w:r w:rsidRPr="000067F6">
        <w:rPr>
          <w:rFonts w:ascii="Arial" w:hAnsi="Arial" w:cs="Arial"/>
          <w:i/>
        </w:rPr>
        <w:t xml:space="preserve">Casey Review, </w:t>
      </w:r>
      <w:r w:rsidRPr="000067F6">
        <w:rPr>
          <w:rFonts w:ascii="Arial" w:hAnsi="Arial" w:cs="Arial"/>
          <w:i/>
          <w:lang w:val="en-US"/>
        </w:rPr>
        <w:t>A review into opportunity and integration</w:t>
      </w:r>
      <w:r w:rsidRPr="000067F6">
        <w:rPr>
          <w:rFonts w:ascii="Arial" w:hAnsi="Arial" w:cs="Arial"/>
          <w:lang w:val="en-US"/>
        </w:rPr>
        <w:t xml:space="preserve"> published in December 2016. The report was commissioned by the Prime Minister’s Office to look at the issue of integration in the United Kingdom. It highlights the isolation of some communities and looks at the role of religion within that isolation. This report also brings to the attention of SACRE members a report published by Warwick University, which looks at a Secularist response to the report Commission on Religion and Belief in British Public Life</w:t>
      </w:r>
      <w:r>
        <w:rPr>
          <w:rFonts w:ascii="Arial" w:hAnsi="Arial" w:cs="Arial"/>
          <w:lang w:val="en-US"/>
        </w:rPr>
        <w:t>. What is notable about this report is its call to ‘downgrade’ religious education, although it is in line with other reports on the call to end ‘faith schools’.</w:t>
      </w:r>
      <w:r w:rsidR="00200D5B" w:rsidRPr="009B181A">
        <w:rPr>
          <w:rFonts w:ascii="Arial" w:hAnsi="Arial" w:cs="Arial"/>
        </w:rPr>
        <w:t xml:space="preserve"> </w:t>
      </w:r>
    </w:p>
    <w:p w14:paraId="00EC21FB" w14:textId="77777777" w:rsidR="009B181A" w:rsidRPr="009B181A" w:rsidRDefault="009B181A" w:rsidP="009B181A">
      <w:pPr>
        <w:pStyle w:val="ListParagraph"/>
        <w:rPr>
          <w:rFonts w:ascii="Arial" w:hAnsi="Arial"/>
          <w:szCs w:val="24"/>
        </w:rPr>
      </w:pPr>
    </w:p>
    <w:p w14:paraId="7DE04749" w14:textId="77777777" w:rsidR="00456631" w:rsidRPr="00D317D7" w:rsidRDefault="008D0357" w:rsidP="00842BB3">
      <w:pPr>
        <w:jc w:val="left"/>
        <w:rPr>
          <w:rFonts w:ascii="Arial" w:hAnsi="Arial"/>
          <w:b/>
          <w:szCs w:val="24"/>
        </w:rPr>
      </w:pPr>
      <w:r>
        <w:rPr>
          <w:rFonts w:ascii="Arial" w:hAnsi="Arial"/>
          <w:b/>
          <w:szCs w:val="24"/>
        </w:rPr>
        <w:t>2</w:t>
      </w:r>
      <w:r w:rsidR="00456631" w:rsidRPr="00D317D7">
        <w:rPr>
          <w:rFonts w:ascii="Arial" w:hAnsi="Arial"/>
          <w:b/>
          <w:szCs w:val="24"/>
        </w:rPr>
        <w:t>.</w:t>
      </w:r>
      <w:r w:rsidR="00456631" w:rsidRPr="00D317D7">
        <w:rPr>
          <w:rFonts w:ascii="Arial" w:hAnsi="Arial"/>
          <w:b/>
          <w:szCs w:val="24"/>
        </w:rPr>
        <w:tab/>
      </w:r>
      <w:r w:rsidR="007B2148">
        <w:rPr>
          <w:rFonts w:ascii="Arial" w:hAnsi="Arial"/>
          <w:b/>
          <w:szCs w:val="24"/>
        </w:rPr>
        <w:t>Introduction</w:t>
      </w:r>
    </w:p>
    <w:p w14:paraId="201BC910" w14:textId="77777777" w:rsidR="00456631" w:rsidRPr="00D317D7" w:rsidRDefault="00456631" w:rsidP="00842BB3">
      <w:pPr>
        <w:jc w:val="left"/>
        <w:rPr>
          <w:rFonts w:ascii="Arial" w:hAnsi="Arial"/>
          <w:szCs w:val="24"/>
        </w:rPr>
      </w:pPr>
    </w:p>
    <w:p w14:paraId="64FD2E79" w14:textId="61180B72" w:rsidR="008A1EE0" w:rsidRDefault="008D0357" w:rsidP="002B65DE">
      <w:pPr>
        <w:ind w:left="720" w:hanging="720"/>
        <w:rPr>
          <w:rFonts w:ascii="Arial" w:hAnsi="Arial" w:cs="Arial"/>
        </w:rPr>
      </w:pPr>
      <w:r>
        <w:rPr>
          <w:rFonts w:ascii="Arial" w:hAnsi="Arial"/>
          <w:szCs w:val="24"/>
        </w:rPr>
        <w:t>2</w:t>
      </w:r>
      <w:r w:rsidR="00943BA0">
        <w:rPr>
          <w:rFonts w:ascii="Arial" w:hAnsi="Arial"/>
          <w:szCs w:val="24"/>
        </w:rPr>
        <w:t>.1</w:t>
      </w:r>
      <w:r w:rsidR="00456631" w:rsidRPr="00D317D7">
        <w:rPr>
          <w:rFonts w:ascii="Arial" w:hAnsi="Arial"/>
          <w:szCs w:val="24"/>
        </w:rPr>
        <w:tab/>
      </w:r>
      <w:r w:rsidR="002B65DE">
        <w:rPr>
          <w:rFonts w:ascii="Arial" w:hAnsi="Arial" w:cs="Arial"/>
        </w:rPr>
        <w:t xml:space="preserve">The Casey Review began in 2015 amid fears that Britain was becoming a more divided society and that cultural, social and economic isolation was growing. In part this was due to the diversification of society as a result of migration patterns and the impact that migration has had on the UK since the 1950s. </w:t>
      </w:r>
      <w:r w:rsidR="00FB37BB">
        <w:rPr>
          <w:rFonts w:ascii="Arial" w:hAnsi="Arial" w:cs="Arial"/>
        </w:rPr>
        <w:t>The Casey Review is interesting in its recognition that British society is becoming less religious and more religious at the same time. As paragraph 1.16 of the Full Report states:</w:t>
      </w:r>
    </w:p>
    <w:p w14:paraId="5BA1FFDD" w14:textId="77777777" w:rsidR="00FB37BB" w:rsidRDefault="00FB37BB" w:rsidP="002B65DE">
      <w:pPr>
        <w:ind w:left="720" w:hanging="720"/>
        <w:rPr>
          <w:rFonts w:ascii="Arial" w:hAnsi="Arial" w:cs="Arial"/>
        </w:rPr>
      </w:pPr>
    </w:p>
    <w:p w14:paraId="22F70A4E" w14:textId="7A5319F7" w:rsidR="00FB37BB" w:rsidRDefault="00FB37BB" w:rsidP="00FB37BB">
      <w:pPr>
        <w:autoSpaceDE w:val="0"/>
        <w:autoSpaceDN w:val="0"/>
        <w:adjustRightInd w:val="0"/>
        <w:spacing w:after="240"/>
        <w:ind w:left="720"/>
        <w:jc w:val="left"/>
        <w:rPr>
          <w:rFonts w:ascii="Arial" w:hAnsi="Arial" w:cs="Arial"/>
          <w:snapToGrid/>
          <w:color w:val="000000"/>
          <w:szCs w:val="24"/>
          <w:lang w:val="en-US"/>
        </w:rPr>
      </w:pPr>
      <w:r w:rsidRPr="00FB37BB">
        <w:rPr>
          <w:rFonts w:ascii="Arial" w:hAnsi="Arial" w:cs="Arial"/>
          <w:snapToGrid/>
          <w:color w:val="000000"/>
          <w:szCs w:val="24"/>
          <w:lang w:val="en-US"/>
        </w:rPr>
        <w:t xml:space="preserve">As a nation, we are getting older, more secular and more open about our sexuality, while the growing ethnic minority population is younger and more likely to identify as religious (particularly among Pakistani and Bangladeshi ethnic groups). </w:t>
      </w:r>
    </w:p>
    <w:p w14:paraId="6EFE3DAC" w14:textId="04C570E2" w:rsidR="00E80607" w:rsidRDefault="00E80607" w:rsidP="00FB37BB">
      <w:pPr>
        <w:autoSpaceDE w:val="0"/>
        <w:autoSpaceDN w:val="0"/>
        <w:adjustRightInd w:val="0"/>
        <w:spacing w:after="240"/>
        <w:ind w:left="720"/>
        <w:jc w:val="left"/>
        <w:rPr>
          <w:rFonts w:ascii="Arial" w:hAnsi="Arial" w:cs="Arial"/>
          <w:snapToGrid/>
          <w:color w:val="000000"/>
          <w:szCs w:val="24"/>
          <w:lang w:val="en-US"/>
        </w:rPr>
      </w:pPr>
      <w:r>
        <w:rPr>
          <w:rFonts w:ascii="Arial" w:hAnsi="Arial" w:cs="Arial"/>
          <w:snapToGrid/>
          <w:color w:val="000000"/>
          <w:szCs w:val="24"/>
          <w:lang w:val="en-US"/>
        </w:rPr>
        <w:t xml:space="preserve">This is an important consideration for religious educators. It has been noted that religious education often presents white people as non-religious and people from minority ethnic backgrounds as essentially religious. The way that religious education is taught can compound that issue. It is also the case that ‘anxiety’ </w:t>
      </w:r>
      <w:r>
        <w:rPr>
          <w:rFonts w:ascii="Arial" w:hAnsi="Arial" w:cs="Arial"/>
          <w:snapToGrid/>
          <w:color w:val="000000"/>
          <w:szCs w:val="24"/>
          <w:lang w:val="en-US"/>
        </w:rPr>
        <w:lastRenderedPageBreak/>
        <w:t xml:space="preserve">around Islam </w:t>
      </w:r>
      <w:r w:rsidR="004F2141">
        <w:rPr>
          <w:rFonts w:ascii="Arial" w:hAnsi="Arial" w:cs="Arial"/>
          <w:snapToGrid/>
          <w:color w:val="000000"/>
          <w:szCs w:val="24"/>
          <w:lang w:val="en-US"/>
        </w:rPr>
        <w:t xml:space="preserve">and Muslims </w:t>
      </w:r>
      <w:r>
        <w:rPr>
          <w:rFonts w:ascii="Arial" w:hAnsi="Arial" w:cs="Arial"/>
          <w:snapToGrid/>
          <w:color w:val="000000"/>
          <w:szCs w:val="24"/>
          <w:lang w:val="en-US"/>
        </w:rPr>
        <w:t xml:space="preserve">can lead some schools to emphasize Islam over other non-Christian religious traditions. To this extent teachers are products of their environments where there are levels of social anxiety and RE teachers feel the need to respond to those anxieties (see the work of Conroy </w:t>
      </w:r>
      <w:r w:rsidR="00BF69AD">
        <w:rPr>
          <w:rFonts w:ascii="Arial" w:hAnsi="Arial" w:cs="Arial"/>
          <w:snapToGrid/>
          <w:color w:val="000000"/>
          <w:szCs w:val="24"/>
          <w:lang w:val="en-US"/>
        </w:rPr>
        <w:t xml:space="preserve">J. </w:t>
      </w:r>
      <w:r>
        <w:rPr>
          <w:rFonts w:ascii="Arial" w:hAnsi="Arial" w:cs="Arial"/>
          <w:snapToGrid/>
          <w:color w:val="000000"/>
          <w:szCs w:val="24"/>
          <w:lang w:val="en-US"/>
        </w:rPr>
        <w:t xml:space="preserve">et al </w:t>
      </w:r>
      <w:r w:rsidR="00BF69AD">
        <w:rPr>
          <w:rFonts w:ascii="Arial" w:hAnsi="Arial" w:cs="Arial"/>
          <w:snapToGrid/>
          <w:color w:val="000000"/>
          <w:szCs w:val="24"/>
          <w:lang w:val="en-US"/>
        </w:rPr>
        <w:t xml:space="preserve">(2013). </w:t>
      </w:r>
      <w:r w:rsidRPr="00BF69AD">
        <w:rPr>
          <w:rFonts w:ascii="Arial" w:hAnsi="Arial" w:cs="Arial"/>
          <w:i/>
          <w:snapToGrid/>
          <w:color w:val="000000"/>
          <w:szCs w:val="24"/>
          <w:lang w:val="en-US"/>
        </w:rPr>
        <w:t>Does Religious Education Work?</w:t>
      </w:r>
      <w:r w:rsidR="00BF69AD">
        <w:rPr>
          <w:rFonts w:ascii="Arial" w:hAnsi="Arial" w:cs="Arial"/>
          <w:snapToGrid/>
          <w:color w:val="000000"/>
          <w:szCs w:val="24"/>
          <w:lang w:val="en-US"/>
        </w:rPr>
        <w:t xml:space="preserve"> London, Bloomsbury)</w:t>
      </w:r>
      <w:r>
        <w:rPr>
          <w:rFonts w:ascii="Arial" w:hAnsi="Arial" w:cs="Arial"/>
          <w:snapToGrid/>
          <w:color w:val="000000"/>
          <w:szCs w:val="24"/>
          <w:lang w:val="en-US"/>
        </w:rPr>
        <w:t xml:space="preserve">. </w:t>
      </w:r>
      <w:r w:rsidR="004F2141">
        <w:rPr>
          <w:rFonts w:ascii="Arial" w:hAnsi="Arial" w:cs="Arial"/>
          <w:snapToGrid/>
          <w:color w:val="000000"/>
          <w:szCs w:val="24"/>
          <w:lang w:val="en-US"/>
        </w:rPr>
        <w:t>What has also been of concern is that teachers feel able to challenge and criticize Christianity to their pupils but won’t do that in relation to other religiou</w:t>
      </w:r>
      <w:r w:rsidR="00E95BDE">
        <w:rPr>
          <w:rFonts w:ascii="Arial" w:hAnsi="Arial" w:cs="Arial"/>
          <w:snapToGrid/>
          <w:color w:val="000000"/>
          <w:szCs w:val="24"/>
          <w:lang w:val="en-US"/>
        </w:rPr>
        <w:t>s traditions, especially Islam.</w:t>
      </w:r>
    </w:p>
    <w:p w14:paraId="0AC5B68D" w14:textId="5CE12E34" w:rsidR="00420536" w:rsidRDefault="00F83094" w:rsidP="00FB37BB">
      <w:pPr>
        <w:autoSpaceDE w:val="0"/>
        <w:autoSpaceDN w:val="0"/>
        <w:adjustRightInd w:val="0"/>
        <w:spacing w:after="240"/>
        <w:ind w:left="720"/>
        <w:jc w:val="left"/>
        <w:rPr>
          <w:rFonts w:ascii="Arial" w:hAnsi="Arial" w:cs="Arial"/>
          <w:snapToGrid/>
          <w:color w:val="000000"/>
          <w:szCs w:val="24"/>
          <w:lang w:val="en-US"/>
        </w:rPr>
      </w:pPr>
      <w:r>
        <w:rPr>
          <w:rFonts w:ascii="Arial" w:hAnsi="Arial" w:cs="Arial"/>
          <w:snapToGrid/>
          <w:color w:val="000000"/>
          <w:szCs w:val="24"/>
          <w:lang w:val="en-US"/>
        </w:rPr>
        <w:t>The report, though, not only highlights the issues relating to minority ethnic groups but also to the White Working Class communities</w:t>
      </w:r>
      <w:r w:rsidR="00E80607">
        <w:rPr>
          <w:rFonts w:ascii="Arial" w:hAnsi="Arial" w:cs="Arial"/>
          <w:snapToGrid/>
          <w:color w:val="000000"/>
          <w:szCs w:val="24"/>
          <w:lang w:val="en-US"/>
        </w:rPr>
        <w:t xml:space="preserve">, as well as groups such as Gypsy Travellers. It is clear that for some White Working Class communities there is significant social and economic exclusion, something that characterizes some areas of </w:t>
      </w:r>
      <w:proofErr w:type="spellStart"/>
      <w:r w:rsidR="00E80607">
        <w:rPr>
          <w:rFonts w:ascii="Arial" w:hAnsi="Arial" w:cs="Arial"/>
          <w:snapToGrid/>
          <w:color w:val="000000"/>
          <w:szCs w:val="24"/>
          <w:lang w:val="en-US"/>
        </w:rPr>
        <w:t>Torbay</w:t>
      </w:r>
      <w:proofErr w:type="spellEnd"/>
      <w:r w:rsidR="00E80607">
        <w:rPr>
          <w:rFonts w:ascii="Arial" w:hAnsi="Arial" w:cs="Arial"/>
          <w:snapToGrid/>
          <w:color w:val="000000"/>
          <w:szCs w:val="24"/>
          <w:lang w:val="en-US"/>
        </w:rPr>
        <w:t xml:space="preserve">. </w:t>
      </w:r>
      <w:proofErr w:type="gramStart"/>
      <w:r w:rsidR="00B71728">
        <w:rPr>
          <w:rFonts w:ascii="Arial" w:hAnsi="Arial" w:cs="Arial"/>
          <w:snapToGrid/>
          <w:color w:val="000000"/>
          <w:szCs w:val="24"/>
          <w:lang w:val="en-US"/>
        </w:rPr>
        <w:t xml:space="preserve">The raises a number of issues for </w:t>
      </w:r>
      <w:r w:rsidR="00BF69AD">
        <w:rPr>
          <w:rFonts w:ascii="Arial" w:hAnsi="Arial" w:cs="Arial"/>
          <w:snapToGrid/>
          <w:color w:val="000000"/>
          <w:szCs w:val="24"/>
          <w:lang w:val="en-US"/>
        </w:rPr>
        <w:t>religious education</w:t>
      </w:r>
      <w:r w:rsidR="00B71728">
        <w:rPr>
          <w:rFonts w:ascii="Arial" w:hAnsi="Arial" w:cs="Arial"/>
          <w:snapToGrid/>
          <w:color w:val="000000"/>
          <w:szCs w:val="24"/>
          <w:lang w:val="en-US"/>
        </w:rPr>
        <w:t>.</w:t>
      </w:r>
      <w:proofErr w:type="gramEnd"/>
      <w:r w:rsidR="00B71728">
        <w:rPr>
          <w:rFonts w:ascii="Arial" w:hAnsi="Arial" w:cs="Arial"/>
          <w:snapToGrid/>
          <w:color w:val="000000"/>
          <w:szCs w:val="24"/>
          <w:lang w:val="en-US"/>
        </w:rPr>
        <w:t xml:space="preserve"> One of those is around</w:t>
      </w:r>
      <w:r w:rsidR="00BF69AD">
        <w:rPr>
          <w:rFonts w:ascii="Arial" w:hAnsi="Arial" w:cs="Arial"/>
          <w:snapToGrid/>
          <w:color w:val="000000"/>
          <w:szCs w:val="24"/>
          <w:lang w:val="en-US"/>
        </w:rPr>
        <w:t xml:space="preserve"> how religions are presented to pupils </w:t>
      </w:r>
      <w:r w:rsidR="00B71728">
        <w:rPr>
          <w:rFonts w:ascii="Arial" w:hAnsi="Arial" w:cs="Arial"/>
          <w:snapToGrid/>
          <w:color w:val="000000"/>
          <w:szCs w:val="24"/>
          <w:lang w:val="en-US"/>
        </w:rPr>
        <w:t>from White Working Class backgrounds, given that statistically they are less likely to engage with religious traditions in their family lives. Another is how do teachers ensure that they do not</w:t>
      </w:r>
      <w:r w:rsidR="00BF69AD">
        <w:rPr>
          <w:rFonts w:ascii="Arial" w:hAnsi="Arial" w:cs="Arial"/>
          <w:snapToGrid/>
          <w:color w:val="000000"/>
          <w:szCs w:val="24"/>
          <w:lang w:val="en-US"/>
        </w:rPr>
        <w:t xml:space="preserve"> cement social attitudes associated with such groups</w:t>
      </w:r>
      <w:r w:rsidR="00B71728">
        <w:rPr>
          <w:rFonts w:ascii="Arial" w:hAnsi="Arial" w:cs="Arial"/>
          <w:snapToGrid/>
          <w:color w:val="000000"/>
          <w:szCs w:val="24"/>
          <w:lang w:val="en-US"/>
        </w:rPr>
        <w:t xml:space="preserve"> in relation to non-Christian religions, especially Islam</w:t>
      </w:r>
      <w:r w:rsidR="004F2141">
        <w:rPr>
          <w:rFonts w:ascii="Arial" w:hAnsi="Arial" w:cs="Arial"/>
          <w:snapToGrid/>
          <w:color w:val="000000"/>
          <w:szCs w:val="24"/>
          <w:lang w:val="en-US"/>
        </w:rPr>
        <w:t>. The report note</w:t>
      </w:r>
      <w:r w:rsidR="00B71728">
        <w:rPr>
          <w:rFonts w:ascii="Arial" w:hAnsi="Arial" w:cs="Arial"/>
          <w:snapToGrid/>
          <w:color w:val="000000"/>
          <w:szCs w:val="24"/>
          <w:lang w:val="en-US"/>
        </w:rPr>
        <w:t>s</w:t>
      </w:r>
      <w:r w:rsidR="004F2141">
        <w:rPr>
          <w:rFonts w:ascii="Arial" w:hAnsi="Arial" w:cs="Arial"/>
          <w:snapToGrid/>
          <w:color w:val="000000"/>
          <w:szCs w:val="24"/>
          <w:lang w:val="en-US"/>
        </w:rPr>
        <w:t xml:space="preserve"> two interesting findings</w:t>
      </w:r>
      <w:r w:rsidR="00BF69AD">
        <w:rPr>
          <w:rFonts w:ascii="Arial" w:hAnsi="Arial" w:cs="Arial"/>
          <w:snapToGrid/>
          <w:color w:val="000000"/>
          <w:szCs w:val="24"/>
          <w:lang w:val="en-US"/>
        </w:rPr>
        <w:t>:</w:t>
      </w:r>
    </w:p>
    <w:p w14:paraId="2F562051" w14:textId="051D56A5" w:rsidR="00B50100" w:rsidRPr="006871A1" w:rsidRDefault="00B50100" w:rsidP="00B50100">
      <w:pPr>
        <w:tabs>
          <w:tab w:val="left" w:pos="220"/>
          <w:tab w:val="left" w:pos="720"/>
        </w:tabs>
        <w:autoSpaceDE w:val="0"/>
        <w:autoSpaceDN w:val="0"/>
        <w:adjustRightInd w:val="0"/>
        <w:spacing w:after="240" w:line="0" w:lineRule="atLeast"/>
        <w:ind w:left="720"/>
        <w:jc w:val="left"/>
        <w:rPr>
          <w:rFonts w:ascii="Times" w:hAnsi="Times" w:cs="Times"/>
          <w:i/>
          <w:snapToGrid/>
          <w:color w:val="000000"/>
          <w:szCs w:val="24"/>
          <w:lang w:val="en-US"/>
        </w:rPr>
      </w:pPr>
      <w:r w:rsidRPr="006871A1">
        <w:rPr>
          <w:rFonts w:ascii="Arial" w:hAnsi="Arial" w:cs="Arial"/>
          <w:i/>
          <w:snapToGrid/>
          <w:color w:val="000000"/>
          <w:szCs w:val="24"/>
          <w:lang w:val="en-US"/>
        </w:rPr>
        <w:t>People from ethnic minority groups or those expressing a religious affiliation were slightly more likely to think their area was cohesive than White people or those with no religious affiliation.</w:t>
      </w:r>
      <w:r w:rsidRPr="006871A1">
        <w:rPr>
          <w:rFonts w:ascii="Arial" w:hAnsi="Arial" w:cs="Arial"/>
          <w:i/>
          <w:snapToGrid/>
          <w:color w:val="000000"/>
          <w:sz w:val="32"/>
          <w:szCs w:val="32"/>
          <w:lang w:val="en-US"/>
        </w:rPr>
        <w:t xml:space="preserve"> </w:t>
      </w:r>
      <w:r w:rsidRPr="006871A1">
        <w:rPr>
          <w:rFonts w:ascii="Arial" w:hAnsi="Arial" w:cs="Arial"/>
          <w:i/>
          <w:snapToGrid/>
          <w:color w:val="000000"/>
          <w:szCs w:val="24"/>
          <w:lang w:val="en-US"/>
        </w:rPr>
        <w:t> </w:t>
      </w:r>
      <w:r w:rsidR="004F2141" w:rsidRPr="006871A1">
        <w:rPr>
          <w:rFonts w:ascii="Arial" w:hAnsi="Arial" w:cs="Arial"/>
          <w:i/>
          <w:snapToGrid/>
          <w:color w:val="000000"/>
          <w:szCs w:val="24"/>
          <w:lang w:val="en-US"/>
        </w:rPr>
        <w:t>(Page 65)</w:t>
      </w:r>
    </w:p>
    <w:p w14:paraId="5919FBF8" w14:textId="7FE4E0FC" w:rsidR="00BF69AD" w:rsidRPr="004F2141" w:rsidRDefault="004F2141" w:rsidP="00FB37BB">
      <w:pPr>
        <w:autoSpaceDE w:val="0"/>
        <w:autoSpaceDN w:val="0"/>
        <w:adjustRightInd w:val="0"/>
        <w:spacing w:after="240"/>
        <w:ind w:left="720"/>
        <w:jc w:val="left"/>
        <w:rPr>
          <w:rFonts w:ascii="Arial" w:hAnsi="Arial" w:cs="Arial"/>
          <w:snapToGrid/>
          <w:color w:val="000000"/>
          <w:szCs w:val="24"/>
          <w:lang w:val="en-US"/>
        </w:rPr>
      </w:pPr>
      <w:r w:rsidRPr="006871A1">
        <w:rPr>
          <w:rFonts w:ascii="Arial" w:hAnsi="Arial" w:cs="Arial"/>
          <w:i/>
          <w:snapToGrid/>
          <w:color w:val="000000"/>
          <w:szCs w:val="24"/>
          <w:lang w:val="en-US"/>
        </w:rPr>
        <w:t>By ethnicity, the 2008 Citizenship Survey noted that White people and people from ethnic minorities were equally likely to cite respect for the law as an important value, while White people were less likely and other ethnic groups more likely to mention equality of opportunity, respect for all faiths and respect for people from different ethnic groups. (Page 68)</w:t>
      </w:r>
    </w:p>
    <w:p w14:paraId="1D674580" w14:textId="7A6F10B5" w:rsidR="00FB37BB" w:rsidRDefault="004F2141" w:rsidP="002B65DE">
      <w:pPr>
        <w:ind w:left="720" w:hanging="720"/>
        <w:rPr>
          <w:rFonts w:ascii="Arial" w:hAnsi="Arial" w:cs="Arial"/>
          <w:color w:val="0A080A"/>
        </w:rPr>
      </w:pPr>
      <w:r>
        <w:rPr>
          <w:rFonts w:ascii="Arial" w:hAnsi="Arial" w:cs="Arial"/>
          <w:color w:val="0A080A"/>
        </w:rPr>
        <w:tab/>
        <w:t>The first indicates that those who belong to religious communities have a more cohesive experience of society and the second that they are more likely to have respect for people of faith and different ethnicity. One of the key reasons given for the importance of religious education in the curriculum is that it promotes community cohesion and tolerance. If that is the case then the findings of the Casey Report pose a challenge for teachers in predominantly White Working Class schools and those key purposes do not appear to be being achieved.</w:t>
      </w:r>
    </w:p>
    <w:p w14:paraId="5FECB29E" w14:textId="77777777" w:rsidR="008A1EE0" w:rsidRDefault="008A1EE0" w:rsidP="00294CBE">
      <w:pPr>
        <w:ind w:left="720"/>
        <w:rPr>
          <w:rFonts w:ascii="Arial" w:hAnsi="Arial" w:cs="Arial"/>
        </w:rPr>
      </w:pPr>
    </w:p>
    <w:p w14:paraId="666BF6A0" w14:textId="4A288CEA" w:rsidR="00E95BDE" w:rsidRPr="00294CBE" w:rsidRDefault="00E95BDE" w:rsidP="00294CBE">
      <w:pPr>
        <w:ind w:left="720"/>
        <w:rPr>
          <w:rFonts w:ascii="Arial" w:hAnsi="Arial" w:cs="Arial"/>
        </w:rPr>
      </w:pPr>
      <w:r>
        <w:rPr>
          <w:rFonts w:ascii="Arial" w:hAnsi="Arial" w:cs="Arial"/>
        </w:rPr>
        <w:t xml:space="preserve">The </w:t>
      </w:r>
      <w:proofErr w:type="gramStart"/>
      <w:r>
        <w:rPr>
          <w:rFonts w:ascii="Arial" w:hAnsi="Arial" w:cs="Arial"/>
        </w:rPr>
        <w:t>Casey Review</w:t>
      </w:r>
      <w:proofErr w:type="gramEnd"/>
      <w:r>
        <w:rPr>
          <w:rFonts w:ascii="Arial" w:hAnsi="Arial" w:cs="Arial"/>
        </w:rPr>
        <w:t xml:space="preserve"> </w:t>
      </w:r>
      <w:r w:rsidR="00DD3455">
        <w:rPr>
          <w:rFonts w:ascii="Arial" w:hAnsi="Arial" w:cs="Arial"/>
        </w:rPr>
        <w:t xml:space="preserve">is </w:t>
      </w:r>
      <w:proofErr w:type="gramStart"/>
      <w:r w:rsidR="00DD3455">
        <w:rPr>
          <w:rFonts w:ascii="Arial" w:hAnsi="Arial" w:cs="Arial"/>
        </w:rPr>
        <w:t>nearly 200 pages long and too large for a report in this context</w:t>
      </w:r>
      <w:proofErr w:type="gramEnd"/>
      <w:r w:rsidR="00DD3455">
        <w:rPr>
          <w:rFonts w:ascii="Arial" w:hAnsi="Arial" w:cs="Arial"/>
        </w:rPr>
        <w:t xml:space="preserve">. It does, though, set interesting challenges for Local Authorities and their SACREs. For the purpose of this report the Executive Summary is attached </w:t>
      </w:r>
      <w:r>
        <w:rPr>
          <w:rFonts w:ascii="Arial" w:hAnsi="Arial" w:cs="Arial"/>
        </w:rPr>
        <w:t>(see Appendix 1</w:t>
      </w:r>
      <w:r w:rsidR="00DD3455">
        <w:rPr>
          <w:rFonts w:ascii="Arial" w:hAnsi="Arial" w:cs="Arial"/>
        </w:rPr>
        <w:t>).</w:t>
      </w:r>
    </w:p>
    <w:p w14:paraId="168D4F5D" w14:textId="77777777" w:rsidR="000E2A75" w:rsidRDefault="000E2A75" w:rsidP="00200D5B">
      <w:pPr>
        <w:rPr>
          <w:rFonts w:ascii="Arial" w:hAnsi="Arial" w:cs="Arial"/>
        </w:rPr>
      </w:pPr>
    </w:p>
    <w:p w14:paraId="0053DE6F" w14:textId="29353D91" w:rsidR="005A437E" w:rsidRPr="00392D90" w:rsidRDefault="000E2A75" w:rsidP="00392D90">
      <w:pPr>
        <w:ind w:left="720" w:hanging="720"/>
        <w:rPr>
          <w:rFonts w:ascii="Arial" w:hAnsi="Arial"/>
          <w:szCs w:val="24"/>
        </w:rPr>
      </w:pPr>
      <w:r>
        <w:rPr>
          <w:rFonts w:ascii="Arial" w:hAnsi="Arial" w:cs="Arial"/>
        </w:rPr>
        <w:t>2.2</w:t>
      </w:r>
      <w:r>
        <w:rPr>
          <w:rFonts w:ascii="Arial" w:hAnsi="Arial" w:cs="Arial"/>
        </w:rPr>
        <w:tab/>
      </w:r>
      <w:r w:rsidR="00DD3455">
        <w:rPr>
          <w:rFonts w:ascii="Arial" w:hAnsi="Arial" w:cs="Arial"/>
        </w:rPr>
        <w:t>The Commission on Religion and Belief in British Public Life (CORAB) reported in December 2015. Since then there have been a number of responses</w:t>
      </w:r>
      <w:r w:rsidR="005A437E">
        <w:rPr>
          <w:rFonts w:ascii="Arial" w:hAnsi="Arial" w:cs="Arial"/>
        </w:rPr>
        <w:t xml:space="preserve"> to the report: </w:t>
      </w:r>
      <w:r w:rsidR="005A437E" w:rsidRPr="005A437E">
        <w:rPr>
          <w:rFonts w:ascii="Arial" w:hAnsi="Arial" w:cs="Arial"/>
          <w:i/>
        </w:rPr>
        <w:t>Living With Difference: community, diversity and the common good</w:t>
      </w:r>
      <w:r w:rsidR="005A437E">
        <w:rPr>
          <w:rFonts w:ascii="Arial" w:hAnsi="Arial" w:cs="Arial"/>
        </w:rPr>
        <w:t xml:space="preserve">. </w:t>
      </w:r>
      <w:r w:rsidR="00060F31">
        <w:rPr>
          <w:rFonts w:ascii="Arial" w:hAnsi="Arial" w:cs="Arial"/>
        </w:rPr>
        <w:t xml:space="preserve">In November 2016 </w:t>
      </w:r>
      <w:r w:rsidR="00060F31" w:rsidRPr="00060F31">
        <w:rPr>
          <w:rFonts w:ascii="Arial" w:hAnsi="Arial" w:cs="Arial"/>
        </w:rPr>
        <w:t>Warwick University</w:t>
      </w:r>
      <w:r w:rsidR="00AA29D0">
        <w:rPr>
          <w:rFonts w:ascii="Arial" w:hAnsi="Arial" w:cs="Arial"/>
        </w:rPr>
        <w:t xml:space="preserve"> published a report, on the basis of the work of an expert panel, on a secularist response to </w:t>
      </w:r>
      <w:r w:rsidR="00392D90">
        <w:rPr>
          <w:rFonts w:ascii="Arial" w:hAnsi="Arial" w:cs="Arial"/>
        </w:rPr>
        <w:t>CORAB</w:t>
      </w:r>
      <w:r w:rsidR="00B03A82">
        <w:rPr>
          <w:rFonts w:ascii="Arial" w:hAnsi="Arial" w:cs="Arial"/>
        </w:rPr>
        <w:t>. The report</w:t>
      </w:r>
      <w:r w:rsidR="00392D90">
        <w:rPr>
          <w:rFonts w:ascii="Arial" w:hAnsi="Arial" w:cs="Arial"/>
        </w:rPr>
        <w:t xml:space="preserve"> </w:t>
      </w:r>
      <w:r w:rsidR="00392D90" w:rsidRPr="00E26E92">
        <w:rPr>
          <w:rFonts w:ascii="Arial" w:hAnsi="Arial" w:cs="Arial"/>
          <w:i/>
        </w:rPr>
        <w:t>A Secularist Response to the Commission on Religion and Belief in British Public Life</w:t>
      </w:r>
      <w:r w:rsidR="00B03A82">
        <w:rPr>
          <w:rFonts w:ascii="Arial" w:hAnsi="Arial"/>
          <w:szCs w:val="24"/>
        </w:rPr>
        <w:t xml:space="preserve"> </w:t>
      </w:r>
      <w:r w:rsidR="00AA29D0">
        <w:rPr>
          <w:rFonts w:ascii="Arial" w:hAnsi="Arial" w:cs="Arial"/>
        </w:rPr>
        <w:t>argu</w:t>
      </w:r>
      <w:r w:rsidR="00392D90">
        <w:rPr>
          <w:rFonts w:ascii="Arial" w:hAnsi="Arial" w:cs="Arial"/>
        </w:rPr>
        <w:t>es</w:t>
      </w:r>
      <w:r w:rsidR="00AA29D0">
        <w:rPr>
          <w:rFonts w:ascii="Arial" w:hAnsi="Arial" w:cs="Arial"/>
        </w:rPr>
        <w:t xml:space="preserve"> that </w:t>
      </w:r>
      <w:r w:rsidR="00B03A82">
        <w:rPr>
          <w:rFonts w:ascii="Arial" w:hAnsi="Arial" w:cs="Arial"/>
        </w:rPr>
        <w:t>a secularist response to CORAB</w:t>
      </w:r>
      <w:r w:rsidR="00AA29D0">
        <w:rPr>
          <w:rFonts w:ascii="Arial" w:hAnsi="Arial" w:cs="Arial"/>
        </w:rPr>
        <w:t xml:space="preserve"> had not been produced up to that point. Chapter 2 of the </w:t>
      </w:r>
      <w:r w:rsidR="00392D90">
        <w:rPr>
          <w:rFonts w:ascii="Arial" w:hAnsi="Arial" w:cs="Arial"/>
        </w:rPr>
        <w:t>Secularist response to CORAB</w:t>
      </w:r>
      <w:r w:rsidR="00AA29D0">
        <w:rPr>
          <w:rFonts w:ascii="Arial" w:hAnsi="Arial" w:cs="Arial"/>
        </w:rPr>
        <w:t xml:space="preserve"> focuses on Education (the full report is 25 pages long and only the Executive Summary is attached to this report: see Appendix 2). In terms of religious education the CORAB report held that RE should be given a higher status in the curriculum, and that it should </w:t>
      </w:r>
      <w:r w:rsidR="00AA29D0">
        <w:rPr>
          <w:rFonts w:ascii="Arial" w:hAnsi="Arial" w:cs="Arial"/>
        </w:rPr>
        <w:lastRenderedPageBreak/>
        <w:t xml:space="preserve">include non-religious </w:t>
      </w:r>
      <w:proofErr w:type="gramStart"/>
      <w:r w:rsidR="00AA29D0">
        <w:rPr>
          <w:rFonts w:ascii="Arial" w:hAnsi="Arial" w:cs="Arial"/>
        </w:rPr>
        <w:t>world views</w:t>
      </w:r>
      <w:proofErr w:type="gramEnd"/>
      <w:r w:rsidR="00AA29D0">
        <w:rPr>
          <w:rFonts w:ascii="Arial" w:hAnsi="Arial" w:cs="Arial"/>
        </w:rPr>
        <w:t>, but this report argues strongly that RE should not be given the status of other curriculum subjects – especially Mathematics and English.</w:t>
      </w:r>
      <w:r w:rsidR="0069501F">
        <w:rPr>
          <w:rFonts w:ascii="Arial" w:hAnsi="Arial" w:cs="Arial"/>
        </w:rPr>
        <w:t xml:space="preserve"> </w:t>
      </w:r>
      <w:bookmarkStart w:id="0" w:name="_GoBack"/>
      <w:bookmarkEnd w:id="0"/>
    </w:p>
    <w:p w14:paraId="48126414" w14:textId="77777777" w:rsidR="00AA29D0" w:rsidRDefault="00AA29D0" w:rsidP="005A437E">
      <w:pPr>
        <w:ind w:left="720" w:hanging="720"/>
        <w:rPr>
          <w:rFonts w:ascii="Arial" w:hAnsi="Arial" w:cs="Arial"/>
        </w:rPr>
      </w:pPr>
    </w:p>
    <w:p w14:paraId="13555391" w14:textId="14F15C0C" w:rsidR="00AA29D0" w:rsidRPr="00E26E92" w:rsidRDefault="00AA29D0" w:rsidP="005A437E">
      <w:pPr>
        <w:ind w:left="720" w:hanging="720"/>
        <w:rPr>
          <w:rFonts w:ascii="Arial" w:hAnsi="Arial" w:cs="Arial"/>
        </w:rPr>
      </w:pPr>
      <w:r>
        <w:rPr>
          <w:rFonts w:ascii="Arial" w:hAnsi="Arial" w:cs="Arial"/>
        </w:rPr>
        <w:t>2.3</w:t>
      </w:r>
      <w:r>
        <w:rPr>
          <w:rFonts w:ascii="Arial" w:hAnsi="Arial" w:cs="Arial"/>
        </w:rPr>
        <w:tab/>
        <w:t xml:space="preserve">What is </w:t>
      </w:r>
      <w:r w:rsidR="00392D90">
        <w:rPr>
          <w:rFonts w:ascii="Arial" w:hAnsi="Arial" w:cs="Arial"/>
        </w:rPr>
        <w:t xml:space="preserve">of </w:t>
      </w:r>
      <w:r>
        <w:rPr>
          <w:rFonts w:ascii="Arial" w:hAnsi="Arial" w:cs="Arial"/>
        </w:rPr>
        <w:t xml:space="preserve">note is that both of these reports are in response to a changing Britain. Whilst the Casey Review does not really concern itself with religious education per se it does highlight the need to respond to diversity and to promote inclusion. </w:t>
      </w:r>
      <w:r w:rsidR="00E26E92">
        <w:rPr>
          <w:rFonts w:ascii="Arial" w:hAnsi="Arial" w:cs="Arial"/>
        </w:rPr>
        <w:t xml:space="preserve">The only place where it mentions religious education (Full report page 175) is reporting the CORAB report’s </w:t>
      </w:r>
      <w:r w:rsidR="007F7F5D">
        <w:rPr>
          <w:rFonts w:ascii="Arial" w:hAnsi="Arial" w:cs="Arial"/>
        </w:rPr>
        <w:t>recommendation that</w:t>
      </w:r>
      <w:r w:rsidR="00E26E92">
        <w:rPr>
          <w:rFonts w:ascii="Arial" w:hAnsi="Arial" w:cs="Arial"/>
        </w:rPr>
        <w:t xml:space="preserve"> the </w:t>
      </w:r>
      <w:r w:rsidR="00E26E92" w:rsidRPr="00E26E92">
        <w:rPr>
          <w:rFonts w:ascii="Arial" w:hAnsi="Arial" w:cs="Arial"/>
          <w:i/>
        </w:rPr>
        <w:t>A Secularist Response to the Commission on Religion and Belief in British Public Life</w:t>
      </w:r>
      <w:r w:rsidR="00E26E92">
        <w:rPr>
          <w:rFonts w:ascii="Arial" w:hAnsi="Arial" w:cs="Arial"/>
        </w:rPr>
        <w:t xml:space="preserve"> challenges. As such both reports can be noted by SACRE as making an on-going contribution to understanding the continued difficulty of understanding the role of religion in public life and how that in turn impacts on the way that we as a society understand the nature and purpose of RE as a curriculum subject in schools and academies.</w:t>
      </w:r>
    </w:p>
    <w:p w14:paraId="601F86D0" w14:textId="77777777" w:rsidR="008814DB" w:rsidRDefault="008814DB" w:rsidP="00200D5B">
      <w:pPr>
        <w:rPr>
          <w:rFonts w:ascii="Arial" w:hAnsi="Arial" w:cs="Arial"/>
        </w:rPr>
      </w:pPr>
    </w:p>
    <w:p w14:paraId="3483CB4E" w14:textId="77777777" w:rsidR="00BD5BBA" w:rsidRDefault="00BD5BBA" w:rsidP="00200D5B">
      <w:pPr>
        <w:rPr>
          <w:rFonts w:ascii="Arial" w:hAnsi="Arial" w:cs="Arial"/>
          <w:b/>
        </w:rPr>
      </w:pPr>
    </w:p>
    <w:p w14:paraId="3F1B3ED6" w14:textId="77777777" w:rsidR="00200D5B" w:rsidRPr="00E06F6B" w:rsidRDefault="00200D5B" w:rsidP="00200D5B">
      <w:pPr>
        <w:rPr>
          <w:rFonts w:ascii="Arial" w:hAnsi="Arial" w:cs="Arial"/>
          <w:b/>
        </w:rPr>
      </w:pPr>
      <w:r>
        <w:rPr>
          <w:rFonts w:ascii="Arial" w:hAnsi="Arial" w:cs="Arial"/>
          <w:b/>
        </w:rPr>
        <w:t>3</w:t>
      </w:r>
      <w:r w:rsidRPr="00E06F6B">
        <w:rPr>
          <w:rFonts w:ascii="Arial" w:hAnsi="Arial" w:cs="Arial"/>
          <w:b/>
        </w:rPr>
        <w:t>.0</w:t>
      </w:r>
      <w:r w:rsidRPr="00E06F6B">
        <w:rPr>
          <w:rFonts w:ascii="Arial" w:hAnsi="Arial" w:cs="Arial"/>
          <w:b/>
        </w:rPr>
        <w:tab/>
        <w:t>Recommendation</w:t>
      </w:r>
    </w:p>
    <w:p w14:paraId="134666DF" w14:textId="77777777" w:rsidR="00200D5B" w:rsidRPr="00E06F6B" w:rsidRDefault="00200D5B" w:rsidP="00200D5B">
      <w:pPr>
        <w:rPr>
          <w:rFonts w:ascii="Arial" w:hAnsi="Arial" w:cs="Arial"/>
          <w:b/>
        </w:rPr>
      </w:pPr>
    </w:p>
    <w:p w14:paraId="0EE5254C" w14:textId="2B7ADB88" w:rsidR="007B2148" w:rsidRDefault="00200D5B" w:rsidP="00AF3D22">
      <w:pPr>
        <w:numPr>
          <w:ilvl w:val="1"/>
          <w:numId w:val="4"/>
        </w:numPr>
        <w:rPr>
          <w:rFonts w:ascii="Arial" w:hAnsi="Arial" w:cs="Arial"/>
        </w:rPr>
      </w:pPr>
      <w:r>
        <w:rPr>
          <w:rFonts w:ascii="Arial" w:hAnsi="Arial" w:cs="Arial"/>
        </w:rPr>
        <w:t xml:space="preserve">That </w:t>
      </w:r>
      <w:r w:rsidR="00E3588D">
        <w:rPr>
          <w:rFonts w:ascii="Arial" w:hAnsi="Arial" w:cs="Arial"/>
        </w:rPr>
        <w:t xml:space="preserve">SACRE </w:t>
      </w:r>
      <w:r w:rsidR="00E26E92">
        <w:rPr>
          <w:rFonts w:ascii="Arial" w:hAnsi="Arial" w:cs="Arial"/>
        </w:rPr>
        <w:t>note the Casey Review</w:t>
      </w:r>
      <w:r w:rsidR="00443482">
        <w:rPr>
          <w:rFonts w:ascii="Arial" w:hAnsi="Arial" w:cs="Arial"/>
        </w:rPr>
        <w:t>’s Executive Summery (Appendix 1)</w:t>
      </w:r>
    </w:p>
    <w:p w14:paraId="07D49580" w14:textId="77777777" w:rsidR="00717820" w:rsidRDefault="00717820" w:rsidP="00443482">
      <w:pPr>
        <w:ind w:left="720"/>
        <w:rPr>
          <w:rFonts w:ascii="Arial" w:hAnsi="Arial" w:cs="Arial"/>
        </w:rPr>
      </w:pPr>
    </w:p>
    <w:p w14:paraId="01780E85" w14:textId="6423CAC1" w:rsidR="00A112EE" w:rsidRDefault="00A112EE" w:rsidP="00AF3D22">
      <w:pPr>
        <w:numPr>
          <w:ilvl w:val="1"/>
          <w:numId w:val="4"/>
        </w:numPr>
        <w:rPr>
          <w:rFonts w:ascii="Arial" w:hAnsi="Arial" w:cs="Arial"/>
        </w:rPr>
      </w:pPr>
      <w:r>
        <w:rPr>
          <w:rFonts w:ascii="Arial" w:hAnsi="Arial" w:cs="Arial"/>
        </w:rPr>
        <w:t xml:space="preserve">That SACRE </w:t>
      </w:r>
      <w:r w:rsidR="00443482">
        <w:rPr>
          <w:rFonts w:ascii="Arial" w:hAnsi="Arial" w:cs="Arial"/>
        </w:rPr>
        <w:t xml:space="preserve">note </w:t>
      </w:r>
      <w:r w:rsidR="00443482" w:rsidRPr="00E26E92">
        <w:rPr>
          <w:rFonts w:ascii="Arial" w:hAnsi="Arial" w:cs="Arial"/>
          <w:i/>
        </w:rPr>
        <w:t>A Secularist Response to the Commission on Religion and Belief in British Public Life</w:t>
      </w:r>
      <w:r w:rsidR="00443482">
        <w:rPr>
          <w:rFonts w:ascii="Arial" w:hAnsi="Arial" w:cs="Arial"/>
          <w:i/>
        </w:rPr>
        <w:t xml:space="preserve"> </w:t>
      </w:r>
      <w:r w:rsidR="00443482">
        <w:rPr>
          <w:rFonts w:ascii="Arial" w:hAnsi="Arial" w:cs="Arial"/>
        </w:rPr>
        <w:t>(Appendix 2)</w:t>
      </w:r>
    </w:p>
    <w:p w14:paraId="75D1AE93" w14:textId="77777777" w:rsidR="00BD5BBA" w:rsidRDefault="00BD5BBA" w:rsidP="008D0357">
      <w:pPr>
        <w:jc w:val="left"/>
        <w:rPr>
          <w:rFonts w:ascii="Arial" w:hAnsi="Arial" w:cs="Arial"/>
        </w:rPr>
      </w:pPr>
    </w:p>
    <w:p w14:paraId="08232854" w14:textId="77777777" w:rsidR="008D0357" w:rsidRPr="001E4B9D" w:rsidRDefault="002F358A" w:rsidP="008D0357">
      <w:pPr>
        <w:jc w:val="left"/>
        <w:rPr>
          <w:rFonts w:ascii="Arial" w:hAnsi="Arial"/>
          <w:b/>
          <w:szCs w:val="24"/>
        </w:rPr>
      </w:pPr>
      <w:r>
        <w:rPr>
          <w:rFonts w:ascii="Arial" w:hAnsi="Arial"/>
          <w:b/>
          <w:szCs w:val="24"/>
        </w:rPr>
        <w:t>Andrew Strachan</w:t>
      </w:r>
    </w:p>
    <w:p w14:paraId="47CEE553" w14:textId="77777777" w:rsidR="008D0357" w:rsidRPr="001E4B9D" w:rsidRDefault="00200D5B" w:rsidP="008D0357">
      <w:pPr>
        <w:jc w:val="left"/>
        <w:rPr>
          <w:rFonts w:ascii="Arial" w:hAnsi="Arial"/>
          <w:b/>
          <w:szCs w:val="24"/>
        </w:rPr>
      </w:pPr>
      <w:r>
        <w:rPr>
          <w:rFonts w:ascii="Arial" w:hAnsi="Arial"/>
          <w:b/>
          <w:szCs w:val="24"/>
        </w:rPr>
        <w:t>Chair of SACRE</w:t>
      </w:r>
    </w:p>
    <w:p w14:paraId="67406D94" w14:textId="77777777" w:rsidR="008D0357" w:rsidRDefault="008D0357" w:rsidP="00D71E36">
      <w:pPr>
        <w:jc w:val="left"/>
        <w:rPr>
          <w:rFonts w:ascii="Arial" w:hAnsi="Arial"/>
          <w:b/>
          <w:szCs w:val="24"/>
        </w:rPr>
      </w:pPr>
    </w:p>
    <w:p w14:paraId="2DB8AB19" w14:textId="77777777" w:rsidR="00CF2F04" w:rsidRDefault="00CF2F04" w:rsidP="00842BB3">
      <w:pPr>
        <w:rPr>
          <w:rFonts w:ascii="Arial" w:hAnsi="Arial"/>
          <w:b/>
          <w:szCs w:val="24"/>
        </w:rPr>
      </w:pPr>
      <w:r w:rsidRPr="00236796">
        <w:rPr>
          <w:rFonts w:ascii="Arial" w:hAnsi="Arial"/>
          <w:b/>
          <w:szCs w:val="24"/>
        </w:rPr>
        <w:t>A</w:t>
      </w:r>
      <w:r w:rsidR="008D0357">
        <w:rPr>
          <w:rFonts w:ascii="Arial" w:hAnsi="Arial"/>
          <w:b/>
          <w:szCs w:val="24"/>
        </w:rPr>
        <w:t>ppendices</w:t>
      </w:r>
    </w:p>
    <w:p w14:paraId="208899E1" w14:textId="77777777" w:rsidR="00AF3D22" w:rsidRDefault="00AF3D22" w:rsidP="00842BB3">
      <w:pPr>
        <w:rPr>
          <w:rFonts w:ascii="Arial" w:hAnsi="Arial"/>
          <w:b/>
          <w:szCs w:val="24"/>
        </w:rPr>
      </w:pPr>
    </w:p>
    <w:p w14:paraId="53D9B247" w14:textId="4BAF023B" w:rsidR="00443482" w:rsidRDefault="00443482" w:rsidP="00842BB3">
      <w:pPr>
        <w:rPr>
          <w:rFonts w:ascii="Arial" w:hAnsi="Arial" w:cs="Arial"/>
        </w:rPr>
      </w:pPr>
      <w:r w:rsidRPr="00443482">
        <w:rPr>
          <w:rFonts w:ascii="Arial" w:hAnsi="Arial"/>
          <w:szCs w:val="24"/>
        </w:rPr>
        <w:t xml:space="preserve">Appendix 1: </w:t>
      </w:r>
      <w:r w:rsidRPr="00443482">
        <w:rPr>
          <w:rFonts w:ascii="Arial" w:hAnsi="Arial" w:cs="Arial"/>
        </w:rPr>
        <w:t>Casey Review’s Executive Summery</w:t>
      </w:r>
    </w:p>
    <w:p w14:paraId="13F567FB" w14:textId="77777777" w:rsidR="00443482" w:rsidRDefault="00443482" w:rsidP="00842BB3">
      <w:pPr>
        <w:rPr>
          <w:rFonts w:ascii="Arial" w:hAnsi="Arial" w:cs="Arial"/>
        </w:rPr>
      </w:pPr>
    </w:p>
    <w:p w14:paraId="48A2B3CB" w14:textId="50582CED" w:rsidR="00443482" w:rsidRPr="00443482" w:rsidRDefault="00443482" w:rsidP="00842BB3">
      <w:pPr>
        <w:rPr>
          <w:rFonts w:ascii="Arial" w:hAnsi="Arial"/>
          <w:szCs w:val="24"/>
        </w:rPr>
      </w:pPr>
      <w:r>
        <w:rPr>
          <w:rFonts w:ascii="Arial" w:hAnsi="Arial" w:cs="Arial"/>
        </w:rPr>
        <w:t xml:space="preserve">Appendix 2: </w:t>
      </w:r>
      <w:r w:rsidRPr="00E26E92">
        <w:rPr>
          <w:rFonts w:ascii="Arial" w:hAnsi="Arial" w:cs="Arial"/>
          <w:i/>
        </w:rPr>
        <w:t>A Secularist Response to the Commission on Religion and Belief in British Public Life</w:t>
      </w:r>
    </w:p>
    <w:p w14:paraId="3383FE44" w14:textId="77777777" w:rsidR="00CF2F04" w:rsidRPr="00D317D7" w:rsidRDefault="00CF2F04" w:rsidP="00842BB3">
      <w:pPr>
        <w:rPr>
          <w:rFonts w:ascii="Arial" w:hAnsi="Arial"/>
          <w:szCs w:val="24"/>
        </w:rPr>
      </w:pPr>
    </w:p>
    <w:p w14:paraId="69BE5303" w14:textId="77777777" w:rsidR="00CF2F04" w:rsidRPr="00236796" w:rsidRDefault="00CF2F04" w:rsidP="00842BB3">
      <w:pPr>
        <w:rPr>
          <w:rFonts w:ascii="Arial" w:hAnsi="Arial"/>
          <w:b/>
          <w:szCs w:val="24"/>
        </w:rPr>
      </w:pPr>
      <w:r w:rsidRPr="00236796">
        <w:rPr>
          <w:rFonts w:ascii="Arial" w:hAnsi="Arial"/>
          <w:b/>
          <w:szCs w:val="24"/>
        </w:rPr>
        <w:t>Docu</w:t>
      </w:r>
      <w:r w:rsidR="00236796">
        <w:rPr>
          <w:rFonts w:ascii="Arial" w:hAnsi="Arial"/>
          <w:b/>
          <w:szCs w:val="24"/>
        </w:rPr>
        <w:t>ments available in members’ r</w:t>
      </w:r>
      <w:r w:rsidRPr="00236796">
        <w:rPr>
          <w:rFonts w:ascii="Arial" w:hAnsi="Arial"/>
          <w:b/>
          <w:szCs w:val="24"/>
        </w:rPr>
        <w:t>oom</w:t>
      </w:r>
      <w:r w:rsidR="00236796">
        <w:rPr>
          <w:rFonts w:ascii="Arial" w:hAnsi="Arial"/>
          <w:b/>
          <w:szCs w:val="24"/>
        </w:rPr>
        <w:t>s</w:t>
      </w:r>
    </w:p>
    <w:p w14:paraId="458391E6" w14:textId="77777777" w:rsidR="00CF2F04" w:rsidRDefault="00CF2F04" w:rsidP="00842BB3">
      <w:pPr>
        <w:pStyle w:val="PolicyHeader"/>
        <w:rPr>
          <w:rFonts w:ascii="Arial" w:hAnsi="Arial"/>
          <w:b w:val="0"/>
          <w:szCs w:val="24"/>
        </w:rPr>
      </w:pPr>
    </w:p>
    <w:p w14:paraId="22CDB377" w14:textId="3B6B40AD" w:rsidR="006871A1" w:rsidRPr="006871A1" w:rsidRDefault="006871A1" w:rsidP="006871A1">
      <w:pPr>
        <w:rPr>
          <w:rFonts w:ascii="Arial" w:hAnsi="Arial" w:cs="Arial"/>
        </w:rPr>
      </w:pPr>
      <w:r w:rsidRPr="006871A1">
        <w:rPr>
          <w:rFonts w:ascii="Arial" w:hAnsi="Arial" w:cs="Arial"/>
        </w:rPr>
        <w:t>None</w:t>
      </w:r>
    </w:p>
    <w:p w14:paraId="486A91E1" w14:textId="77777777" w:rsidR="006871A1" w:rsidRPr="006871A1" w:rsidRDefault="006871A1" w:rsidP="006871A1"/>
    <w:p w14:paraId="63810F67" w14:textId="77777777" w:rsidR="00CF2F04" w:rsidRDefault="00CF2F04" w:rsidP="00842BB3">
      <w:pPr>
        <w:pStyle w:val="PolicyHeader"/>
        <w:rPr>
          <w:rFonts w:ascii="Arial" w:hAnsi="Arial"/>
          <w:szCs w:val="24"/>
        </w:rPr>
      </w:pPr>
      <w:r w:rsidRPr="00236796">
        <w:rPr>
          <w:rFonts w:ascii="Arial" w:hAnsi="Arial"/>
          <w:szCs w:val="24"/>
        </w:rPr>
        <w:t>Background Papers:</w:t>
      </w:r>
    </w:p>
    <w:p w14:paraId="4E5B8804" w14:textId="77777777" w:rsidR="006871A1" w:rsidRDefault="006871A1" w:rsidP="006871A1"/>
    <w:p w14:paraId="287DDA2C" w14:textId="44B0985E" w:rsidR="006871A1" w:rsidRPr="006871A1" w:rsidRDefault="006871A1" w:rsidP="006871A1">
      <w:r>
        <w:rPr>
          <w:rFonts w:ascii="Arial" w:hAnsi="Arial" w:cs="Arial"/>
        </w:rPr>
        <w:t xml:space="preserve">Commission on Religion and Belief in British Public Life: </w:t>
      </w:r>
      <w:r w:rsidRPr="005A437E">
        <w:rPr>
          <w:rFonts w:ascii="Arial" w:hAnsi="Arial" w:cs="Arial"/>
          <w:i/>
        </w:rPr>
        <w:t>Living With Difference: community, diversity and the common good</w:t>
      </w:r>
      <w:r>
        <w:rPr>
          <w:rFonts w:ascii="Arial" w:hAnsi="Arial" w:cs="Arial"/>
          <w:i/>
        </w:rPr>
        <w:t xml:space="preserve"> </w:t>
      </w:r>
      <w:r>
        <w:rPr>
          <w:rFonts w:ascii="Arial" w:hAnsi="Arial" w:cs="Arial"/>
        </w:rPr>
        <w:t>(2015).</w:t>
      </w:r>
    </w:p>
    <w:p w14:paraId="6938BD01" w14:textId="77777777" w:rsidR="008D0357" w:rsidRDefault="008D0357" w:rsidP="008D0357">
      <w:pPr>
        <w:jc w:val="left"/>
        <w:rPr>
          <w:rFonts w:ascii="Arial" w:hAnsi="Arial"/>
          <w:b/>
          <w:szCs w:val="24"/>
        </w:rPr>
      </w:pPr>
    </w:p>
    <w:p w14:paraId="45D2382C" w14:textId="77777777" w:rsidR="006871A1" w:rsidRDefault="006871A1" w:rsidP="008D0357">
      <w:pPr>
        <w:jc w:val="left"/>
        <w:rPr>
          <w:rFonts w:ascii="Arial" w:hAnsi="Arial"/>
          <w:b/>
          <w:szCs w:val="24"/>
        </w:rPr>
      </w:pPr>
    </w:p>
    <w:p w14:paraId="40B7C05B" w14:textId="77777777" w:rsidR="008814DB" w:rsidRDefault="008814DB" w:rsidP="008D0357">
      <w:pPr>
        <w:jc w:val="left"/>
        <w:rPr>
          <w:rFonts w:ascii="Arial" w:hAnsi="Arial" w:cs="Arial"/>
        </w:rPr>
      </w:pPr>
    </w:p>
    <w:p w14:paraId="645B3999" w14:textId="77777777" w:rsidR="008814DB" w:rsidRPr="00697A1C" w:rsidRDefault="008814DB" w:rsidP="008D0357">
      <w:pPr>
        <w:jc w:val="left"/>
        <w:rPr>
          <w:rFonts w:ascii="Arial" w:hAnsi="Arial"/>
          <w:b/>
          <w:szCs w:val="24"/>
        </w:rPr>
      </w:pPr>
    </w:p>
    <w:sectPr w:rsidR="008814DB" w:rsidRPr="00697A1C" w:rsidSect="00855485">
      <w:footerReference w:type="default" r:id="rId10"/>
      <w:endnotePr>
        <w:numFmt w:val="decimal"/>
      </w:endnotePr>
      <w:type w:val="continuous"/>
      <w:pgSz w:w="11905" w:h="16837" w:code="9"/>
      <w:pgMar w:top="1008" w:right="1296" w:bottom="1008" w:left="1296" w:header="706" w:footer="706"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F536F" w14:textId="77777777" w:rsidR="00B03A82" w:rsidRDefault="00B03A82">
      <w:r>
        <w:separator/>
      </w:r>
    </w:p>
  </w:endnote>
  <w:endnote w:type="continuationSeparator" w:id="0">
    <w:p w14:paraId="134D18CA" w14:textId="77777777" w:rsidR="00B03A82" w:rsidRDefault="00B0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Lucida Sans">
    <w:panose1 w:val="020B0602030504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1F1A2" w14:textId="77777777" w:rsidR="00B03A82" w:rsidRDefault="00B03A82">
    <w:pPr>
      <w:pStyle w:val="Footer"/>
      <w:rPr>
        <w:rFonts w:ascii="Verdana" w:hAnsi="Verdana"/>
        <w:sz w:val="20"/>
      </w:rPr>
    </w:pPr>
    <w:r>
      <w:rPr>
        <w:rFonts w:ascii="Verdana" w:hAnsi="Verdana"/>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CBE21" w14:textId="77777777" w:rsidR="00B03A82" w:rsidRDefault="00B03A82">
      <w:r>
        <w:separator/>
      </w:r>
    </w:p>
  </w:footnote>
  <w:footnote w:type="continuationSeparator" w:id="0">
    <w:p w14:paraId="0DCBD78D" w14:textId="77777777" w:rsidR="00B03A82" w:rsidRDefault="00B03A8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nsid w:val="0029661C"/>
    <w:multiLevelType w:val="multilevel"/>
    <w:tmpl w:val="8F6A799E"/>
    <w:lvl w:ilvl="0">
      <w:start w:val="4"/>
      <w:numFmt w:val="decimal"/>
      <w:lvlText w:val="%1"/>
      <w:lvlJc w:val="left"/>
      <w:pPr>
        <w:tabs>
          <w:tab w:val="num" w:pos="720"/>
        </w:tabs>
        <w:ind w:left="720" w:hanging="720"/>
      </w:pPr>
      <w:rPr>
        <w:rFonts w:hint="default"/>
      </w:rPr>
    </w:lvl>
    <w:lvl w:ilvl="1">
      <w:start w:val="1"/>
      <w:numFmt w:val="decimal"/>
      <w:pStyle w:val="ReportParagraph"/>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ED4706"/>
    <w:multiLevelType w:val="multilevel"/>
    <w:tmpl w:val="8B7810E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2C3EDC"/>
    <w:multiLevelType w:val="multilevel"/>
    <w:tmpl w:val="934E989E"/>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42F6251E"/>
    <w:multiLevelType w:val="hybridMultilevel"/>
    <w:tmpl w:val="2C6457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0670BAA"/>
    <w:multiLevelType w:val="hybridMultilevel"/>
    <w:tmpl w:val="521ED7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DC44588"/>
    <w:multiLevelType w:val="singleLevel"/>
    <w:tmpl w:val="BE96133A"/>
    <w:lvl w:ilvl="0">
      <w:start w:val="6"/>
      <w:numFmt w:val="decimal"/>
      <w:pStyle w:val="LocalPlanHeading1"/>
      <w:lvlText w:val="%1."/>
      <w:lvlJc w:val="left"/>
      <w:pPr>
        <w:tabs>
          <w:tab w:val="num" w:pos="360"/>
        </w:tabs>
        <w:ind w:left="0" w:firstLine="0"/>
      </w:pPr>
      <w:rPr>
        <w:rFonts w:ascii="Times New Roman" w:hAnsi="Times New Roman" w:hint="default"/>
        <w:b/>
        <w:i w:val="0"/>
      </w:rPr>
    </w:lvl>
  </w:abstractNum>
  <w:num w:numId="1">
    <w:abstractNumId w:val="0"/>
    <w:lvlOverride w:ilvl="0">
      <w:startOverride w:val="6"/>
      <w:lvl w:ilvl="0">
        <w:start w:val="6"/>
        <w:numFmt w:val="decimal"/>
        <w:pStyle w:val="Quick1"/>
        <w:lvlText w:val="%1."/>
        <w:lvlJc w:val="left"/>
      </w:lvl>
    </w:lvlOverride>
  </w:num>
  <w:num w:numId="2">
    <w:abstractNumId w:val="1"/>
  </w:num>
  <w:num w:numId="3">
    <w:abstractNumId w:val="6"/>
  </w:num>
  <w:num w:numId="4">
    <w:abstractNumId w:val="2"/>
  </w:num>
  <w:num w:numId="5">
    <w:abstractNumId w:val="5"/>
  </w:num>
  <w:num w:numId="6">
    <w:abstractNumId w:val="4"/>
  </w:num>
  <w:num w:numId="7">
    <w:abstractNumId w:val="3"/>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3D8"/>
    <w:rsid w:val="0001124E"/>
    <w:rsid w:val="000363D5"/>
    <w:rsid w:val="00060A7A"/>
    <w:rsid w:val="00060F31"/>
    <w:rsid w:val="00085678"/>
    <w:rsid w:val="000A6942"/>
    <w:rsid w:val="000E2A75"/>
    <w:rsid w:val="00116E0C"/>
    <w:rsid w:val="00126BF5"/>
    <w:rsid w:val="00144FF6"/>
    <w:rsid w:val="00162D4A"/>
    <w:rsid w:val="001967FE"/>
    <w:rsid w:val="001A465F"/>
    <w:rsid w:val="001C2486"/>
    <w:rsid w:val="001C6599"/>
    <w:rsid w:val="001D2736"/>
    <w:rsid w:val="001E4B9D"/>
    <w:rsid w:val="001F2641"/>
    <w:rsid w:val="001F2FC3"/>
    <w:rsid w:val="00200D5B"/>
    <w:rsid w:val="00205650"/>
    <w:rsid w:val="00220494"/>
    <w:rsid w:val="00236796"/>
    <w:rsid w:val="00240EA5"/>
    <w:rsid w:val="00294CBE"/>
    <w:rsid w:val="002B0B1E"/>
    <w:rsid w:val="002B316B"/>
    <w:rsid w:val="002B65DE"/>
    <w:rsid w:val="002F358A"/>
    <w:rsid w:val="00320C51"/>
    <w:rsid w:val="003640CD"/>
    <w:rsid w:val="003734A0"/>
    <w:rsid w:val="00392D90"/>
    <w:rsid w:val="0039303E"/>
    <w:rsid w:val="00420536"/>
    <w:rsid w:val="00423BAC"/>
    <w:rsid w:val="00426CFC"/>
    <w:rsid w:val="00443482"/>
    <w:rsid w:val="004545A0"/>
    <w:rsid w:val="00456631"/>
    <w:rsid w:val="00493194"/>
    <w:rsid w:val="00497CD0"/>
    <w:rsid w:val="004A357C"/>
    <w:rsid w:val="004E3994"/>
    <w:rsid w:val="004F2141"/>
    <w:rsid w:val="004F7C42"/>
    <w:rsid w:val="00526D42"/>
    <w:rsid w:val="00530470"/>
    <w:rsid w:val="00543CE2"/>
    <w:rsid w:val="00553AFC"/>
    <w:rsid w:val="00555693"/>
    <w:rsid w:val="00587344"/>
    <w:rsid w:val="005A437E"/>
    <w:rsid w:val="005C3FCC"/>
    <w:rsid w:val="005C5157"/>
    <w:rsid w:val="005F162E"/>
    <w:rsid w:val="005F381F"/>
    <w:rsid w:val="0060693F"/>
    <w:rsid w:val="00654C39"/>
    <w:rsid w:val="00683968"/>
    <w:rsid w:val="006871A1"/>
    <w:rsid w:val="006921D1"/>
    <w:rsid w:val="0069501F"/>
    <w:rsid w:val="00697A1C"/>
    <w:rsid w:val="00701E17"/>
    <w:rsid w:val="00717820"/>
    <w:rsid w:val="00755CAA"/>
    <w:rsid w:val="00757CD9"/>
    <w:rsid w:val="0076177C"/>
    <w:rsid w:val="00772DED"/>
    <w:rsid w:val="00777583"/>
    <w:rsid w:val="007775B2"/>
    <w:rsid w:val="007A6956"/>
    <w:rsid w:val="007B2148"/>
    <w:rsid w:val="007C7A16"/>
    <w:rsid w:val="007D01C9"/>
    <w:rsid w:val="007E08F8"/>
    <w:rsid w:val="007E548D"/>
    <w:rsid w:val="007E60C0"/>
    <w:rsid w:val="007E7DA1"/>
    <w:rsid w:val="007F7F5D"/>
    <w:rsid w:val="00801FD6"/>
    <w:rsid w:val="00842BB3"/>
    <w:rsid w:val="00851132"/>
    <w:rsid w:val="00855485"/>
    <w:rsid w:val="008814DB"/>
    <w:rsid w:val="0088622D"/>
    <w:rsid w:val="008A1EE0"/>
    <w:rsid w:val="008A3D9D"/>
    <w:rsid w:val="008A5D75"/>
    <w:rsid w:val="008D0357"/>
    <w:rsid w:val="008F1BFA"/>
    <w:rsid w:val="00901096"/>
    <w:rsid w:val="00901B35"/>
    <w:rsid w:val="009071B2"/>
    <w:rsid w:val="00943BA0"/>
    <w:rsid w:val="00965954"/>
    <w:rsid w:val="00987F59"/>
    <w:rsid w:val="009B181A"/>
    <w:rsid w:val="009C2E4C"/>
    <w:rsid w:val="009C683F"/>
    <w:rsid w:val="00A112EE"/>
    <w:rsid w:val="00A475BC"/>
    <w:rsid w:val="00A47670"/>
    <w:rsid w:val="00A71501"/>
    <w:rsid w:val="00A87F38"/>
    <w:rsid w:val="00AA29D0"/>
    <w:rsid w:val="00AB33D7"/>
    <w:rsid w:val="00AD0D63"/>
    <w:rsid w:val="00AD39F5"/>
    <w:rsid w:val="00AF3D22"/>
    <w:rsid w:val="00B03A82"/>
    <w:rsid w:val="00B06C67"/>
    <w:rsid w:val="00B11C92"/>
    <w:rsid w:val="00B50100"/>
    <w:rsid w:val="00B71728"/>
    <w:rsid w:val="00BB54D4"/>
    <w:rsid w:val="00BD52B1"/>
    <w:rsid w:val="00BD5BBA"/>
    <w:rsid w:val="00BF5732"/>
    <w:rsid w:val="00BF69AD"/>
    <w:rsid w:val="00BF7D0E"/>
    <w:rsid w:val="00C31201"/>
    <w:rsid w:val="00C50C29"/>
    <w:rsid w:val="00CA6741"/>
    <w:rsid w:val="00CA73F3"/>
    <w:rsid w:val="00CB0D87"/>
    <w:rsid w:val="00CF2F04"/>
    <w:rsid w:val="00D317D7"/>
    <w:rsid w:val="00D53F2F"/>
    <w:rsid w:val="00D71E36"/>
    <w:rsid w:val="00D757F1"/>
    <w:rsid w:val="00D80EE3"/>
    <w:rsid w:val="00DD21B4"/>
    <w:rsid w:val="00DD3455"/>
    <w:rsid w:val="00DE53D8"/>
    <w:rsid w:val="00E215B0"/>
    <w:rsid w:val="00E26E92"/>
    <w:rsid w:val="00E3588D"/>
    <w:rsid w:val="00E80607"/>
    <w:rsid w:val="00E825A6"/>
    <w:rsid w:val="00E95BDE"/>
    <w:rsid w:val="00EA6CD9"/>
    <w:rsid w:val="00EF05A3"/>
    <w:rsid w:val="00F03C58"/>
    <w:rsid w:val="00F355F0"/>
    <w:rsid w:val="00F83094"/>
    <w:rsid w:val="00FA468D"/>
    <w:rsid w:val="00FB37BB"/>
    <w:rsid w:val="00FE0E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5E402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paragraph" w:styleId="ListParagraph">
    <w:name w:val="List Paragraph"/>
    <w:basedOn w:val="Normal"/>
    <w:uiPriority w:val="34"/>
    <w:qFormat/>
    <w:rsid w:val="000E2A75"/>
    <w:pPr>
      <w:widowControl/>
      <w:spacing w:after="200" w:line="276" w:lineRule="auto"/>
      <w:ind w:left="720"/>
      <w:contextualSpacing/>
      <w:jc w:val="left"/>
    </w:pPr>
    <w:rPr>
      <w:rFonts w:ascii="Calibri" w:eastAsia="Calibri" w:hAnsi="Calibri"/>
      <w:snapToGri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paragraph" w:styleId="ListParagraph">
    <w:name w:val="List Paragraph"/>
    <w:basedOn w:val="Normal"/>
    <w:uiPriority w:val="34"/>
    <w:qFormat/>
    <w:rsid w:val="000E2A75"/>
    <w:pPr>
      <w:widowControl/>
      <w:spacing w:after="200" w:line="276" w:lineRule="auto"/>
      <w:ind w:left="720"/>
      <w:contextualSpacing/>
      <w:jc w:val="left"/>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728012">
      <w:bodyDiv w:val="1"/>
      <w:marLeft w:val="0"/>
      <w:marRight w:val="0"/>
      <w:marTop w:val="0"/>
      <w:marBottom w:val="0"/>
      <w:divBdr>
        <w:top w:val="none" w:sz="0" w:space="0" w:color="auto"/>
        <w:left w:val="none" w:sz="0" w:space="0" w:color="auto"/>
        <w:bottom w:val="none" w:sz="0" w:space="0" w:color="auto"/>
        <w:right w:val="none" w:sz="0" w:space="0" w:color="auto"/>
      </w:divBdr>
      <w:divsChild>
        <w:div w:id="1774401144">
          <w:marLeft w:val="0"/>
          <w:marRight w:val="0"/>
          <w:marTop w:val="0"/>
          <w:marBottom w:val="0"/>
          <w:divBdr>
            <w:top w:val="none" w:sz="0" w:space="0" w:color="auto"/>
            <w:left w:val="none" w:sz="0" w:space="0" w:color="auto"/>
            <w:bottom w:val="none" w:sz="0" w:space="0" w:color="auto"/>
            <w:right w:val="none" w:sz="0" w:space="0" w:color="auto"/>
          </w:divBdr>
          <w:divsChild>
            <w:div w:id="2020546291">
              <w:marLeft w:val="0"/>
              <w:marRight w:val="0"/>
              <w:marTop w:val="0"/>
              <w:marBottom w:val="0"/>
              <w:divBdr>
                <w:top w:val="none" w:sz="0" w:space="0" w:color="auto"/>
                <w:left w:val="none" w:sz="0" w:space="0" w:color="auto"/>
                <w:bottom w:val="none" w:sz="0" w:space="0" w:color="auto"/>
                <w:right w:val="none" w:sz="0" w:space="0" w:color="auto"/>
              </w:divBdr>
              <w:divsChild>
                <w:div w:id="9090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hampshireeducational@outloo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hampshire:Library:Application%20Support:Microsoft:Office:User%20Templates:My%20Templates:TORBAY%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TORBAY COUNCIL.dotx</Template>
  <TotalTime>90</TotalTime>
  <Pages>3</Pages>
  <Words>1146</Words>
  <Characters>6144</Characters>
  <Application>Microsoft Macintosh Word</Application>
  <DocSecurity>0</DocSecurity>
  <Lines>136</Lines>
  <Paragraphs>34</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 2000</Company>
  <LinksUpToDate>false</LinksUpToDate>
  <CharactersWithSpaces>7256</CharactersWithSpaces>
  <SharedDoc>false</SharedDoc>
  <HLinks>
    <vt:vector size="6" baseType="variant">
      <vt:variant>
        <vt:i4>3342338</vt:i4>
      </vt:variant>
      <vt:variant>
        <vt:i4>-1</vt:i4>
      </vt:variant>
      <vt:variant>
        <vt:i4>1055</vt:i4>
      </vt:variant>
      <vt:variant>
        <vt:i4>1</vt:i4>
      </vt:variant>
      <vt:variant>
        <vt:lpwstr>BLK_LOGO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subject/>
  <dc:creator>Patrick Hampshire</dc:creator>
  <cp:keywords/>
  <dc:description/>
  <cp:lastModifiedBy>Patrick Hampshire</cp:lastModifiedBy>
  <cp:revision>14</cp:revision>
  <cp:lastPrinted>2006-10-19T13:23:00Z</cp:lastPrinted>
  <dcterms:created xsi:type="dcterms:W3CDTF">2017-01-23T06:24:00Z</dcterms:created>
  <dcterms:modified xsi:type="dcterms:W3CDTF">2017-01-23T20:07:00Z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-703727212</vt:i4>
  </property>
  <property fmtid="{D5CDD505-2E9C-101B-9397-08002B2CF9AE}" pid="3" name="_NewReviewCycle">
    <vt:lpwstr/>
  </property>
  <property fmtid="{D5CDD505-2E9C-101B-9397-08002B2CF9AE}" pid="4" name="_EmailSubject">
    <vt:lpwstr>UNCLASSIFIED: RE: Final report</vt:lpwstr>
  </property>
  <property fmtid="{D5CDD505-2E9C-101B-9397-08002B2CF9AE}" pid="5" name="_AuthorEmail">
    <vt:lpwstr>Kirsty.Rich@torbay.gcsx.gov.uk</vt:lpwstr>
  </property>
  <property fmtid="{D5CDD505-2E9C-101B-9397-08002B2CF9AE}" pid="6" name="_AuthorEmailDisplayName">
    <vt:lpwstr>Rich, Kirsty</vt:lpwstr>
  </property>
</Properties>
</file>