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8BD0B" w14:textId="2F05A251" w:rsidR="003C7038" w:rsidRDefault="000E6682" w:rsidP="003C7038">
      <w:pPr>
        <w:pStyle w:val="Title"/>
      </w:pPr>
      <w:r>
        <w:t xml:space="preserve">DRAFT </w:t>
      </w:r>
      <w:r w:rsidR="003C7038">
        <w:t>Torbay SACRE Annual Report 201</w:t>
      </w:r>
      <w:r w:rsidR="00452481">
        <w:t>6</w:t>
      </w:r>
    </w:p>
    <w:p w14:paraId="1F1E480A" w14:textId="414D663A" w:rsidR="008B7DDB" w:rsidRDefault="008B7DDB" w:rsidP="008B7DDB">
      <w:pPr>
        <w:pStyle w:val="Heading1"/>
      </w:pPr>
      <w:r>
        <w:t>Chair’s introducti</w:t>
      </w:r>
      <w:bookmarkStart w:id="0" w:name="_GoBack"/>
      <w:bookmarkEnd w:id="0"/>
      <w:r>
        <w:t>on</w:t>
      </w:r>
    </w:p>
    <w:p w14:paraId="505D0C3F" w14:textId="77777777" w:rsidR="000E6682" w:rsidRDefault="000E6682" w:rsidP="000E6682">
      <w:pPr>
        <w:rPr>
          <w:b/>
        </w:rPr>
      </w:pPr>
    </w:p>
    <w:p w14:paraId="0630D698" w14:textId="1AA53E8B" w:rsidR="000E6682" w:rsidRPr="000E6682" w:rsidRDefault="000E6682" w:rsidP="000E6682">
      <w:pPr>
        <w:rPr>
          <w:b/>
        </w:rPr>
      </w:pPr>
      <w:r>
        <w:rPr>
          <w:b/>
        </w:rPr>
        <w:t>TO BE WRITTEN IN LIGHT OF THE MEETING</w:t>
      </w:r>
    </w:p>
    <w:p w14:paraId="6149411C" w14:textId="32D19633" w:rsidR="003C7038" w:rsidRDefault="003C7038" w:rsidP="003C7038">
      <w:pPr>
        <w:pStyle w:val="Heading1"/>
      </w:pPr>
      <w:r>
        <w:t>Introduction and Context</w:t>
      </w:r>
      <w:r w:rsidR="00852A62">
        <w:rPr>
          <w:rStyle w:val="FootnoteReference"/>
        </w:rPr>
        <w:footnoteReference w:id="1"/>
      </w:r>
    </w:p>
    <w:p w14:paraId="5253C183" w14:textId="0557265E" w:rsidR="00C26884" w:rsidRDefault="00C26884" w:rsidP="00C26884">
      <w:r>
        <w:t xml:space="preserve">Torbay is a small local authority on the English Riviera. </w:t>
      </w:r>
      <w:r w:rsidR="00A315D2">
        <w:t xml:space="preserve">It has thirty primary schools, of which thirteen are Voluntary Aided or Academies with a religious designation; and nine secondary schools, of which one is Voluntary Aided. There are also </w:t>
      </w:r>
      <w:r w:rsidR="00852A62">
        <w:t>three</w:t>
      </w:r>
      <w:r w:rsidR="00A315D2">
        <w:t xml:space="preserve"> S</w:t>
      </w:r>
      <w:r w:rsidR="00852A62">
        <w:t>pecial schools in the Authority, no Pupil Referral Units and three independent schools.</w:t>
      </w:r>
      <w:r w:rsidR="00A315D2">
        <w:t xml:space="preserve"> Increasingly, community and Aided schools have become Academies since 2010.</w:t>
      </w:r>
      <w:r w:rsidR="00E16744">
        <w:t xml:space="preserve"> According to government figures published in 201</w:t>
      </w:r>
      <w:r w:rsidR="00852A62">
        <w:t>6</w:t>
      </w:r>
      <w:r w:rsidR="00E16744">
        <w:t xml:space="preserve"> </w:t>
      </w:r>
      <w:r w:rsidR="00AE6CCE">
        <w:t>there were</w:t>
      </w:r>
      <w:r w:rsidR="00852A62">
        <w:t xml:space="preserve"> 1</w:t>
      </w:r>
      <w:r w:rsidR="000771F8">
        <w:t>,</w:t>
      </w:r>
      <w:r w:rsidR="00852A62">
        <w:t>889 pupils in two maintained comprehensive schools, 6</w:t>
      </w:r>
      <w:r w:rsidR="000771F8">
        <w:t>,</w:t>
      </w:r>
      <w:r w:rsidR="00852A62">
        <w:t>4</w:t>
      </w:r>
      <w:r w:rsidR="000771F8">
        <w:t>18 in secondary Academies (of which 2,981 were in selective Academies) and 159 pupils in Free Schools</w:t>
      </w:r>
      <w:r w:rsidR="00E16744">
        <w:t>.</w:t>
      </w:r>
      <w:r w:rsidR="000771F8">
        <w:t xml:space="preserve"> There are also four community primary schools with 1,489 pupils, two maintained voluntary aided schools, 408 pupils, one Foundation school with 472 pupils and twenty-one academies with 7,756 pupils. This is significant in that two secondary schools and five primary schools have to follow the locally agreed syllabus, other schools are bound by their religious character or funding agreement. Similarly, only these schools have to take note of SACRE’s advice to the local authority. This does not mean that the agreed syllabus and the advice of SACRE </w:t>
      </w:r>
      <w:r w:rsidR="0017216C">
        <w:t>are</w:t>
      </w:r>
      <w:r w:rsidR="000771F8">
        <w:t xml:space="preserve"> </w:t>
      </w:r>
      <w:proofErr w:type="gramStart"/>
      <w:r w:rsidR="000771F8">
        <w:t xml:space="preserve">not  </w:t>
      </w:r>
      <w:r w:rsidR="0017216C">
        <w:t>important</w:t>
      </w:r>
      <w:proofErr w:type="gramEnd"/>
      <w:r w:rsidR="0017216C">
        <w:t xml:space="preserve"> for other state schools in the Authority but it does raise issues about the function of SACREs generally in a context where few schools are maintained by the Authority.</w:t>
      </w:r>
    </w:p>
    <w:p w14:paraId="72339F78" w14:textId="77777777" w:rsidR="00A315D2" w:rsidRDefault="00A315D2" w:rsidP="00C26884"/>
    <w:p w14:paraId="4179B97A" w14:textId="77777777" w:rsidR="00A315D2" w:rsidRDefault="00A315D2" w:rsidP="00C26884">
      <w:r>
        <w:t xml:space="preserve">Whilst Torbay has a diverse population it has no single large minority ethnic group or large religious grouping other than Christianity. In the 2011 census 63.3% of residents identified themselves as Christian – slightly above the national average, 0.4% identified themselves as Muslim and 0.3% as Buddhist. Whilst </w:t>
      </w:r>
      <w:r w:rsidR="00AE6CCE">
        <w:t>27.5% states they had no religion only 0.1% identified themselves as Atheist or Agnostic.</w:t>
      </w:r>
    </w:p>
    <w:p w14:paraId="75CD52F6" w14:textId="77777777" w:rsidR="008A431C" w:rsidRDefault="008A431C" w:rsidP="00C26884"/>
    <w:p w14:paraId="7B679DB1" w14:textId="45B12224" w:rsidR="0017216C" w:rsidRDefault="0017216C" w:rsidP="00C26884">
      <w:r>
        <w:t xml:space="preserve">18.4% of primary pupils in Torbay are eligible for Free School Meals, </w:t>
      </w:r>
      <w:r w:rsidR="00953939">
        <w:t>as are 11.8% of secondary pupils. Notably 44.1% of Special School pupils are also eligible for Free Schools Meals – indicating that there are higher levels of poverty amongst the families of those with children who have severe and profound multiple learning difficulties.</w:t>
      </w:r>
      <w:r w:rsidR="00953939">
        <w:rPr>
          <w:rStyle w:val="FootnoteReference"/>
        </w:rPr>
        <w:footnoteReference w:id="2"/>
      </w:r>
      <w:r w:rsidR="00953939">
        <w:t xml:space="preserve"> In terms of language 94.2% of primary pupils have English as a first language and 95.5% of secondary pupils, with 5.7% and 4.4% </w:t>
      </w:r>
      <w:r w:rsidR="00953939">
        <w:lastRenderedPageBreak/>
        <w:t>having a language other than English as they first language.</w:t>
      </w:r>
      <w:r w:rsidR="00945CE1">
        <w:t xml:space="preserve"> Less than 10% of Torbay’s primary pupils are from minority ethnic backgrounds, this is true for less than 9% of secondary school pupils and less than 6% of Special School pupils. The impact of this on RE is not, at first obvious, but research</w:t>
      </w:r>
      <w:r w:rsidR="00F25B43">
        <w:rPr>
          <w:rStyle w:val="FootnoteReference"/>
        </w:rPr>
        <w:footnoteReference w:id="3"/>
      </w:r>
      <w:r w:rsidR="00945CE1">
        <w:t xml:space="preserve"> would indicate that teachers attitudes to RE is shaped by their perception of need on the basis of class, ethnicity and </w:t>
      </w:r>
      <w:r w:rsidR="00F25B43">
        <w:t>identity</w:t>
      </w:r>
      <w:r w:rsidR="00945CE1">
        <w:t xml:space="preserve">. </w:t>
      </w:r>
      <w:r w:rsidR="00F25B43">
        <w:t>Where school populations are more mixed the indicator is that religious education takes on greater prominence. Teachers are more likely to identify RE as a key to building community cohesion irrespective of their own religious or belief backgrounds. This may be a significant issue for SACRE in the coming year.</w:t>
      </w:r>
    </w:p>
    <w:p w14:paraId="35A96AC2" w14:textId="77777777" w:rsidR="00953939" w:rsidRDefault="00953939" w:rsidP="00C26884"/>
    <w:p w14:paraId="60F498CF" w14:textId="77777777" w:rsidR="008A431C" w:rsidRPr="00C26884" w:rsidRDefault="008A431C" w:rsidP="00C26884">
      <w:r>
        <w:t>Torbay shares, in part a locally agreed syllabus with Devon County Council and Plymouth City Council. The syllabus is available on the Torbay Council website.</w:t>
      </w:r>
    </w:p>
    <w:p w14:paraId="22971757" w14:textId="77777777" w:rsidR="003C7038" w:rsidRDefault="003C7038" w:rsidP="003C7038">
      <w:pPr>
        <w:pStyle w:val="Heading1"/>
      </w:pPr>
      <w:r>
        <w:t>Advice</w:t>
      </w:r>
    </w:p>
    <w:p w14:paraId="19672BCA" w14:textId="77777777" w:rsidR="003C7038" w:rsidRDefault="003C7038" w:rsidP="003C7038">
      <w:pPr>
        <w:pStyle w:val="Heading2"/>
      </w:pPr>
      <w:r>
        <w:t>To the local authority</w:t>
      </w:r>
    </w:p>
    <w:p w14:paraId="7F7E2B9C" w14:textId="5C345622" w:rsidR="00F25B43" w:rsidRDefault="00F25B43" w:rsidP="00F25B43">
      <w:r>
        <w:t xml:space="preserve">SACRE’S main concern has been the support of SACRE. It has not had consistent clerking during the year, which has made it difficult to ensure that agendas and minutes have been in place for meetings. This is not to criticise the work of those tasked with clerking SACRE and Ms Rosie </w:t>
      </w:r>
      <w:proofErr w:type="spellStart"/>
      <w:r>
        <w:t>Vowles</w:t>
      </w:r>
      <w:proofErr w:type="spellEnd"/>
      <w:r>
        <w:t xml:space="preserve"> has been outstanding in her support for SACRE. Rather the issue has been with the lack of any commitment to providing on-going and stable support for SACRE. This issue has meant that SACRE has not been able to function properly, especially as the clerk is the main link with the local authority and the person who ensures that SACRE’s adopted recommendations are fulfilled. Therefore, SACRE is requesting that the Torbay Council deal with this issue as a matter of urgency.</w:t>
      </w:r>
    </w:p>
    <w:p w14:paraId="6C1E29BE" w14:textId="77777777" w:rsidR="00F25B43" w:rsidRDefault="00F25B43" w:rsidP="00F25B43"/>
    <w:p w14:paraId="5ED936C8" w14:textId="21A9BFFE" w:rsidR="00F25B43" w:rsidRDefault="006E3C3E" w:rsidP="00F25B43">
      <w:r>
        <w:t xml:space="preserve">SACRE commissioned a report to look at religious education and collective worship in all of Torbay’s state (non-Aided) schools as presented on their websites, in light of the government’s expectation that all schools will have their curriculum and other significant policies available to the public. </w:t>
      </w:r>
      <w:r w:rsidR="007B5F01">
        <w:t>It was clear that there was little consistency of approach across Torbay, even where schools were part of the same academy chain. Given that parents have a right to know the curriculum offer of the school that their child goes to, or the school that they wish their child to go to, SACRE recommended that the Director of Children’s Services take this matter up with schools in light of the Authorities responsibilities under the Children Act</w:t>
      </w:r>
      <w:r>
        <w:t xml:space="preserve"> </w:t>
      </w:r>
      <w:r w:rsidR="00565063">
        <w:t>2004. No response had been made to that request at the time of the writing of this report.</w:t>
      </w:r>
    </w:p>
    <w:p w14:paraId="5932AA23" w14:textId="77777777" w:rsidR="00845369" w:rsidRDefault="00845369" w:rsidP="00F25B43"/>
    <w:p w14:paraId="07B5F874" w14:textId="64979135" w:rsidR="00845369" w:rsidRDefault="00845369" w:rsidP="00F25B43">
      <w:r>
        <w:t>At the beginning of 2016 SACRE worked on the revision of its constitution. It presented its recommendation to the local authority and asked that it approved by the Authority’s legal department. No response was received by SACRE.</w:t>
      </w:r>
    </w:p>
    <w:p w14:paraId="0837313E" w14:textId="77777777" w:rsidR="00565063" w:rsidRDefault="00565063" w:rsidP="00F25B43"/>
    <w:p w14:paraId="4868D351" w14:textId="49A19AEE" w:rsidR="00565063" w:rsidRDefault="00565063" w:rsidP="00F25B43">
      <w:proofErr w:type="gramStart"/>
      <w:r>
        <w:lastRenderedPageBreak/>
        <w:t>SACRE representation at South West and National Meetings, of which Torbay SACRE is a member.</w:t>
      </w:r>
      <w:proofErr w:type="gramEnd"/>
      <w:r>
        <w:t xml:space="preserve"> Some concern was raised that members of SACRE were not able to attend meetings, regional or national, due to the uncertainty of expenses being paid by the Authority where SACRE had mandated a member to attend. This stemmed from SACRE having no clear idea as to how much was available to SACRE, and for what purpose, from the local authority’s budget. This is a matter of on-going concern, one </w:t>
      </w:r>
      <w:proofErr w:type="gramStart"/>
      <w:r>
        <w:t>which</w:t>
      </w:r>
      <w:proofErr w:type="gramEnd"/>
      <w:r>
        <w:t xml:space="preserve"> the Chair of SACRE has taken up with the Minister for State in informal conversations. As such this is a matter for the local authority to resolve as a matter of urgency.</w:t>
      </w:r>
    </w:p>
    <w:p w14:paraId="2735B434" w14:textId="77777777" w:rsidR="00565063" w:rsidRDefault="00565063" w:rsidP="00F25B43"/>
    <w:p w14:paraId="25AA905F" w14:textId="3EE00281" w:rsidR="00845369" w:rsidRPr="00F25B43" w:rsidRDefault="00845369" w:rsidP="00F25B43">
      <w:r>
        <w:t xml:space="preserve">Since 2014 SACRE has been promised a webpage on the </w:t>
      </w:r>
      <w:r w:rsidR="005B08B1">
        <w:t>Torbay Council website, so as to ensure that its agendas, minutes, recommendations and advice are available to schools and to the public. At the time of the writing of this report no progress has been made since the last annual report.</w:t>
      </w:r>
    </w:p>
    <w:p w14:paraId="55EFB676" w14:textId="77777777" w:rsidR="003C7038" w:rsidRDefault="003C7038" w:rsidP="003C7038">
      <w:pPr>
        <w:pStyle w:val="Heading2"/>
      </w:pPr>
      <w:r>
        <w:t>To schools</w:t>
      </w:r>
    </w:p>
    <w:p w14:paraId="65D04428" w14:textId="03DBCB1A" w:rsidR="00747150" w:rsidRDefault="00747150" w:rsidP="00565063">
      <w:r>
        <w:t>SACRE has continued to support the Learn Teach Lead project and recommended that schools become involved. SACRE regularly received updates on the activities of the Torbay hub from the hub leader.</w:t>
      </w:r>
    </w:p>
    <w:p w14:paraId="01D3AE3E" w14:textId="77777777" w:rsidR="00747150" w:rsidRDefault="00747150" w:rsidP="00565063"/>
    <w:p w14:paraId="57C177A6" w14:textId="453EB5FB" w:rsidR="00565063" w:rsidRDefault="00565063" w:rsidP="00565063">
      <w:r>
        <w:t xml:space="preserve">SACRE commissioned a report on the reporting of RE and collective worship in </w:t>
      </w:r>
      <w:r w:rsidR="00DD674B">
        <w:t>Torbay’s non-aided schools. Its main findings were:</w:t>
      </w:r>
    </w:p>
    <w:p w14:paraId="60CA201C" w14:textId="77777777" w:rsidR="00DD674B" w:rsidRDefault="00DD674B" w:rsidP="00565063"/>
    <w:p w14:paraId="2C4C4DFC" w14:textId="77777777" w:rsidR="00DD674B" w:rsidRDefault="00DD674B" w:rsidP="00DD674B">
      <w:pPr>
        <w:pStyle w:val="ListParagraph"/>
        <w:numPr>
          <w:ilvl w:val="0"/>
          <w:numId w:val="1"/>
        </w:numPr>
      </w:pPr>
      <w:r>
        <w:t>Of the twenty-seven reports scrutinised none mentioned a failure to comply with the statutory requirements to provide religious education or a daily act of collective worship for all pupils not withdrawn by their parents as set out in the 1996 Education Act or in the funding agreements with Academies and Free Schools.</w:t>
      </w:r>
    </w:p>
    <w:p w14:paraId="06589710" w14:textId="77777777" w:rsidR="00DD674B" w:rsidRDefault="00DD674B" w:rsidP="00DD674B">
      <w:pPr>
        <w:pStyle w:val="ListParagraph"/>
        <w:numPr>
          <w:ilvl w:val="0"/>
          <w:numId w:val="1"/>
        </w:numPr>
      </w:pPr>
      <w:r>
        <w:t>Only two reports directly mention religious education as a curriculum subject.</w:t>
      </w:r>
    </w:p>
    <w:p w14:paraId="0FA8047A" w14:textId="77777777" w:rsidR="00DD674B" w:rsidRDefault="00DD674B" w:rsidP="00DD674B">
      <w:pPr>
        <w:pStyle w:val="ListParagraph"/>
        <w:numPr>
          <w:ilvl w:val="0"/>
          <w:numId w:val="1"/>
        </w:numPr>
      </w:pPr>
      <w:r>
        <w:t>No report directly mentions collective worship, although a number refer to assemblies it is not possible to identify if they were also classed as collective worship or not.</w:t>
      </w:r>
    </w:p>
    <w:p w14:paraId="3BC0709F" w14:textId="77777777" w:rsidR="00DD674B" w:rsidRDefault="00DD674B" w:rsidP="00DD674B">
      <w:pPr>
        <w:pStyle w:val="ListParagraph"/>
        <w:numPr>
          <w:ilvl w:val="0"/>
          <w:numId w:val="1"/>
        </w:numPr>
      </w:pPr>
      <w:r>
        <w:t>Where a school’s provision for pupils’ Spiritual, Moral, Social and Cultural (SMSC) development is reported upon religious education is mentioned less often than Art, Music, English or PE in making a contribution to pupils’ entitlement or development.</w:t>
      </w:r>
    </w:p>
    <w:p w14:paraId="60AD555B" w14:textId="77777777" w:rsidR="00DD674B" w:rsidRDefault="00DD674B" w:rsidP="00DD674B">
      <w:pPr>
        <w:pStyle w:val="ListParagraph"/>
        <w:numPr>
          <w:ilvl w:val="0"/>
          <w:numId w:val="1"/>
        </w:numPr>
      </w:pPr>
      <w:r>
        <w:t xml:space="preserve">SMSC and assemblies are linked in only three of twenty-seven reports, all primary school. </w:t>
      </w:r>
    </w:p>
    <w:p w14:paraId="74B07CD7" w14:textId="77777777" w:rsidR="00DD674B" w:rsidRDefault="00DD674B" w:rsidP="00DD674B">
      <w:pPr>
        <w:pStyle w:val="ListParagraph"/>
        <w:numPr>
          <w:ilvl w:val="0"/>
          <w:numId w:val="1"/>
        </w:numPr>
      </w:pPr>
      <w:r>
        <w:t>Evidence used to illustrate inspection judgements made about a school’s provision for SMSC appears weak in the reports under scrutiny.</w:t>
      </w:r>
    </w:p>
    <w:p w14:paraId="31B23CD1" w14:textId="77777777" w:rsidR="00DD674B" w:rsidRDefault="00DD674B" w:rsidP="00DD674B">
      <w:pPr>
        <w:pStyle w:val="ListParagraph"/>
        <w:numPr>
          <w:ilvl w:val="0"/>
          <w:numId w:val="1"/>
        </w:numPr>
      </w:pPr>
      <w:r>
        <w:t>Where reporting on fundamental British values occurs there is no instance where this relates to RE or collective worship (assemblies).</w:t>
      </w:r>
    </w:p>
    <w:p w14:paraId="65AD04B4" w14:textId="77777777" w:rsidR="00DD674B" w:rsidRDefault="00DD674B" w:rsidP="00565063"/>
    <w:p w14:paraId="11D82691" w14:textId="220B6197" w:rsidR="00DD674B" w:rsidRDefault="00DD674B" w:rsidP="00565063">
      <w:r>
        <w:t>SACRE shared this report with all schools, as it did the report on RE and collective worship on schools’ websites. SACRE was concerned at the low level of reporting on RE and collective worship and took this up with Her Majesty’s Chief Inspector of Schools</w:t>
      </w:r>
      <w:r w:rsidR="00747150">
        <w:t xml:space="preserve"> and the Secretary of State</w:t>
      </w:r>
      <w:r>
        <w:t xml:space="preserve">. </w:t>
      </w:r>
    </w:p>
    <w:p w14:paraId="25777464" w14:textId="77777777" w:rsidR="00DD674B" w:rsidRDefault="00DD674B" w:rsidP="00565063"/>
    <w:p w14:paraId="72B8E02A" w14:textId="26541559" w:rsidR="00DD674B" w:rsidRDefault="00DD674B" w:rsidP="00565063">
      <w:r>
        <w:lastRenderedPageBreak/>
        <w:t xml:space="preserve">SACRE also recommended to all schools that the advice of Dr </w:t>
      </w:r>
      <w:proofErr w:type="spellStart"/>
      <w:r>
        <w:t>Juss</w:t>
      </w:r>
      <w:proofErr w:type="spellEnd"/>
      <w:r>
        <w:t xml:space="preserve"> on the inclusion of non-religious </w:t>
      </w:r>
      <w:proofErr w:type="gramStart"/>
      <w:r>
        <w:t>world views</w:t>
      </w:r>
      <w:proofErr w:type="gramEnd"/>
      <w:r>
        <w:t xml:space="preserve"> in RE be ignored in light of government advice that this was a partial reading of the High Court judgement relating to the Secretary of State’s comments on GCSE Religious Studies. The </w:t>
      </w:r>
      <w:proofErr w:type="gramStart"/>
      <w:r>
        <w:t xml:space="preserve">advice of Dr </w:t>
      </w:r>
      <w:proofErr w:type="spellStart"/>
      <w:r>
        <w:t>Juss</w:t>
      </w:r>
      <w:proofErr w:type="spellEnd"/>
      <w:r>
        <w:t xml:space="preserve"> was sent to all schools by the British Humanist Association</w:t>
      </w:r>
      <w:proofErr w:type="gramEnd"/>
      <w:r>
        <w:t>. It was noted that teaching about non-religious worldviews is an expectation of the Torbay Agreed Syllabus.</w:t>
      </w:r>
    </w:p>
    <w:p w14:paraId="3B010D71" w14:textId="77777777" w:rsidR="00DD674B" w:rsidRDefault="00DD674B" w:rsidP="00565063"/>
    <w:p w14:paraId="326D7873" w14:textId="796F3237" w:rsidR="00DD674B" w:rsidRPr="00565063" w:rsidRDefault="00DD674B" w:rsidP="00565063">
      <w:r>
        <w:t>SACRE, working with Learn Teach Lead RE, produced planning grids with learning outcomes for use by primary schools in Torbay</w:t>
      </w:r>
      <w:r w:rsidR="000E6682">
        <w:t xml:space="preserve"> based on two approaches to fulfilling the requirements of the Agreed Syllabus</w:t>
      </w:r>
      <w:r>
        <w:t>. It also recommended that LTLRE further develop work on assessment to support the delivery of the Agreed Syllabus.</w:t>
      </w:r>
    </w:p>
    <w:p w14:paraId="0760B0FF" w14:textId="77777777" w:rsidR="003C7038" w:rsidRDefault="003C7038" w:rsidP="00B111E3">
      <w:pPr>
        <w:pStyle w:val="Heading2"/>
      </w:pPr>
      <w:r>
        <w:t>To government and other national bodies</w:t>
      </w:r>
    </w:p>
    <w:p w14:paraId="2372D206" w14:textId="700F0436" w:rsidR="00B111E3" w:rsidRDefault="005B08B1" w:rsidP="00B111E3">
      <w:r>
        <w:t xml:space="preserve">SACRE was concerned about the government White Paper: </w:t>
      </w:r>
      <w:r w:rsidR="007B55AE">
        <w:t xml:space="preserve">Educational </w:t>
      </w:r>
      <w:r>
        <w:t xml:space="preserve">Excellence </w:t>
      </w:r>
      <w:r w:rsidR="007B55AE">
        <w:t xml:space="preserve">Everywhere. SACRE wrote to </w:t>
      </w:r>
      <w:r w:rsidR="007B55AE" w:rsidRPr="007B55AE">
        <w:t xml:space="preserve">Secretary of State to highlight its concerns about government policy as set out in the White Paper and the possible impact of these policies on the preparation of RE teachers, both primary and secondary, and the role and future of SACREs and ASCs in light of continued </w:t>
      </w:r>
      <w:proofErr w:type="spellStart"/>
      <w:r w:rsidR="007B55AE" w:rsidRPr="007B55AE">
        <w:t>academisation</w:t>
      </w:r>
      <w:proofErr w:type="spellEnd"/>
      <w:r w:rsidR="007B55AE" w:rsidRPr="007B55AE">
        <w:t xml:space="preserve"> and the proposed changing role of local authorities.</w:t>
      </w:r>
    </w:p>
    <w:p w14:paraId="0B218F45" w14:textId="77777777" w:rsidR="007B55AE" w:rsidRDefault="007B55AE" w:rsidP="00B111E3"/>
    <w:p w14:paraId="21820317" w14:textId="07F69F1B" w:rsidR="007B55AE" w:rsidRDefault="007B55AE" w:rsidP="00B111E3">
      <w:r>
        <w:t>SACRE also wrote to the Secretary of State and Her Majesty’s Chief Inspector of Schools with regard to the reporting about RE and collective worship as part of Section 5 inspections – as noted above.</w:t>
      </w:r>
    </w:p>
    <w:p w14:paraId="30E9F4C1" w14:textId="77777777" w:rsidR="007B55AE" w:rsidRDefault="007B55AE" w:rsidP="00B111E3"/>
    <w:p w14:paraId="1A5F70BC" w14:textId="3C7735E9" w:rsidR="007B55AE" w:rsidRPr="007B55AE" w:rsidRDefault="007B55AE" w:rsidP="00B111E3">
      <w:r>
        <w:t xml:space="preserve">SACRE also wrote to the Secretary of State asking for a review of the 2014 guidance that the Department for Education produced on what policies schools must publish on-line. It was clear that this advice was lacking in that there was nothing requiring schools to publish the parental right of withdrawal from RE or collective worship – something previously required under the requirements for school prospectuses. </w:t>
      </w:r>
    </w:p>
    <w:p w14:paraId="06EFEA2E" w14:textId="77777777" w:rsidR="003C7038" w:rsidRDefault="003C7038" w:rsidP="003C7038">
      <w:pPr>
        <w:pStyle w:val="Heading2"/>
      </w:pPr>
      <w:r>
        <w:t>Reponses received</w:t>
      </w:r>
    </w:p>
    <w:p w14:paraId="051F2F87" w14:textId="7A66CCC4" w:rsidR="00DF600C" w:rsidRDefault="00DD674B" w:rsidP="00DF600C">
      <w:r>
        <w:t xml:space="preserve">SACRE has no record of responses </w:t>
      </w:r>
      <w:proofErr w:type="gramStart"/>
      <w:r>
        <w:t>received,</w:t>
      </w:r>
      <w:proofErr w:type="gramEnd"/>
      <w:r>
        <w:t xml:space="preserve"> it is believes that the issue with clerking is largely responsible for this situation.</w:t>
      </w:r>
    </w:p>
    <w:p w14:paraId="47556973" w14:textId="77777777" w:rsidR="002C0F2C" w:rsidRDefault="002C0F2C" w:rsidP="00DF600C"/>
    <w:p w14:paraId="32BB4495" w14:textId="76B878BB" w:rsidR="002C0F2C" w:rsidRPr="00DF600C" w:rsidRDefault="002C0F2C" w:rsidP="00DF600C">
      <w:r>
        <w:t>Primary schools have responded positively to the guidance on planning. This was largely due to these documents being made available at Learn Teach Lead RE hub meetings during the year.</w:t>
      </w:r>
    </w:p>
    <w:p w14:paraId="186EF409" w14:textId="77777777" w:rsidR="003C7038" w:rsidRDefault="003C7038" w:rsidP="003C7038">
      <w:pPr>
        <w:pStyle w:val="Heading1"/>
        <w:rPr>
          <w:lang w:val="en-US"/>
        </w:rPr>
      </w:pPr>
      <w:r>
        <w:rPr>
          <w:lang w:val="en-US"/>
        </w:rPr>
        <w:t>Standards and quality of provision of RE</w:t>
      </w:r>
    </w:p>
    <w:p w14:paraId="145231DA" w14:textId="77777777" w:rsidR="00F25B43" w:rsidRDefault="00F25B43" w:rsidP="00F25B43"/>
    <w:p w14:paraId="304F34AA" w14:textId="69A427A3" w:rsidR="00F25B43" w:rsidRPr="00F25B43" w:rsidRDefault="00F25B43" w:rsidP="00F25B43">
      <w:pPr>
        <w:rPr>
          <w:b/>
        </w:rPr>
      </w:pPr>
      <w:r>
        <w:rPr>
          <w:b/>
        </w:rPr>
        <w:t>NOT AVAILABLE AT THE TIME OF THE WRITING OF THIS REPORT</w:t>
      </w:r>
    </w:p>
    <w:p w14:paraId="3903589A" w14:textId="77777777" w:rsidR="003C7038" w:rsidRDefault="003C7038" w:rsidP="003C7038">
      <w:pPr>
        <w:pStyle w:val="Heading2"/>
        <w:rPr>
          <w:lang w:val="en-US"/>
        </w:rPr>
      </w:pPr>
      <w:r>
        <w:rPr>
          <w:lang w:val="en-US"/>
        </w:rPr>
        <w:t>Attainment in RE not covered by public examination</w:t>
      </w:r>
    </w:p>
    <w:p w14:paraId="506AE436" w14:textId="77777777" w:rsidR="0042061F" w:rsidRPr="0042061F" w:rsidRDefault="0042061F" w:rsidP="0042061F">
      <w:r>
        <w:t xml:space="preserve">During the year under report it has not been possible to gather data on attainment in RE other than by looking at public examination results. This is an issue that SACRE is going to take further with the local authority </w:t>
      </w:r>
      <w:proofErr w:type="gramStart"/>
      <w:r>
        <w:t>who</w:t>
      </w:r>
      <w:proofErr w:type="gramEnd"/>
      <w:r>
        <w:t xml:space="preserve"> retain a </w:t>
      </w:r>
      <w:r>
        <w:lastRenderedPageBreak/>
        <w:t>responsibility for ensuring that all pupils have high quality education and are achieving the best they can.</w:t>
      </w:r>
    </w:p>
    <w:p w14:paraId="2FC1C469" w14:textId="77777777" w:rsidR="003C7038" w:rsidRDefault="003C7038" w:rsidP="003C7038">
      <w:pPr>
        <w:pStyle w:val="Heading2"/>
        <w:rPr>
          <w:lang w:val="en-US"/>
        </w:rPr>
      </w:pPr>
      <w:r>
        <w:rPr>
          <w:lang w:val="en-US"/>
        </w:rPr>
        <w:t>The quality of RE provision in schools</w:t>
      </w:r>
    </w:p>
    <w:p w14:paraId="3798ACFD" w14:textId="61E0EA2C" w:rsidR="0042061F" w:rsidRPr="0042061F" w:rsidRDefault="0042061F" w:rsidP="0042061F">
      <w:r>
        <w:t xml:space="preserve">During 2015 SACRE asked the RE Adviser to present a report on religious education in the Ofsted reports of Torbay’s schools and Academies (without a religious designation). That report </w:t>
      </w:r>
      <w:r w:rsidR="00DD674B">
        <w:t>was</w:t>
      </w:r>
      <w:r>
        <w:t xml:space="preserve"> presented to SACRE in 2016 and form</w:t>
      </w:r>
      <w:r w:rsidR="00DD674B">
        <w:t>s</w:t>
      </w:r>
      <w:r>
        <w:t xml:space="preserve"> part the 2016 Annual Report. Nevertheless, it has proved impossible to judge the quality of RE in these schools from Ofsted reporting. Hence, SACRE are not in a position to make a statement on the provision of RE in Torbay’s schools at this point.</w:t>
      </w:r>
    </w:p>
    <w:p w14:paraId="77312C44" w14:textId="77777777" w:rsidR="003C7038" w:rsidRDefault="003C7038" w:rsidP="003C7038">
      <w:pPr>
        <w:pStyle w:val="Heading2"/>
        <w:rPr>
          <w:lang w:val="en-US"/>
        </w:rPr>
      </w:pPr>
      <w:r>
        <w:rPr>
          <w:lang w:val="en-US"/>
        </w:rPr>
        <w:t>Withdrawal from RE</w:t>
      </w:r>
    </w:p>
    <w:p w14:paraId="347C1C0C" w14:textId="77777777" w:rsidR="0042061F" w:rsidRPr="0042061F" w:rsidRDefault="0042061F" w:rsidP="0042061F">
      <w:r>
        <w:t>There is no indication that there is a significant issue with withdrawal from RE in Torbay’s schools and Academies. SACRE did make schools and Academies aware that there were certain political groups agitating for parents to withdraw their child from learning about Islam. There is no evidence SACRE has seen to show that these moves had any significant impact in Torbay.</w:t>
      </w:r>
    </w:p>
    <w:p w14:paraId="184CCF34" w14:textId="77777777" w:rsidR="003C7038" w:rsidRDefault="003C7038" w:rsidP="003C7038">
      <w:pPr>
        <w:pStyle w:val="Heading2"/>
        <w:rPr>
          <w:lang w:val="en-US"/>
        </w:rPr>
      </w:pPr>
      <w:r>
        <w:rPr>
          <w:lang w:val="en-US"/>
        </w:rPr>
        <w:t>Complaints about RE</w:t>
      </w:r>
    </w:p>
    <w:p w14:paraId="55B5C55F" w14:textId="77777777" w:rsidR="0042061F" w:rsidRPr="0042061F" w:rsidRDefault="0042061F" w:rsidP="0042061F">
      <w:r>
        <w:t>There have been no formal complaints presented to SACRE in regard to RE in maintained community or controlled schools.</w:t>
      </w:r>
    </w:p>
    <w:p w14:paraId="3961B24A" w14:textId="77777777" w:rsidR="003C7038" w:rsidRDefault="003C7038" w:rsidP="003C7038">
      <w:pPr>
        <w:pStyle w:val="Heading1"/>
        <w:rPr>
          <w:lang w:val="en-US"/>
        </w:rPr>
      </w:pPr>
      <w:r>
        <w:rPr>
          <w:lang w:val="en-US"/>
        </w:rPr>
        <w:t>Agreed Syllabus</w:t>
      </w:r>
    </w:p>
    <w:p w14:paraId="7401A67C" w14:textId="77777777" w:rsidR="003C7038" w:rsidRDefault="003C7038" w:rsidP="003C7038">
      <w:pPr>
        <w:pStyle w:val="Heading2"/>
        <w:rPr>
          <w:lang w:val="en-US"/>
        </w:rPr>
      </w:pPr>
      <w:r>
        <w:rPr>
          <w:lang w:val="en-US"/>
        </w:rPr>
        <w:t>If there was a review of the syllabus under report</w:t>
      </w:r>
    </w:p>
    <w:p w14:paraId="7E5CC892" w14:textId="77777777" w:rsidR="00FF74C4" w:rsidRPr="00FF74C4" w:rsidRDefault="00FF74C4" w:rsidP="00FF74C4">
      <w:r>
        <w:t>The current Torbay Agreed Syllabus for Religious Education was adopted in 2015 and is shared, in part, with Devon County Council and Plymouth City Council. It is available on Torbay Council’s website.</w:t>
      </w:r>
    </w:p>
    <w:p w14:paraId="48878E09" w14:textId="77777777" w:rsidR="003C7038" w:rsidRDefault="003C7038" w:rsidP="003C7038">
      <w:pPr>
        <w:pStyle w:val="Heading2"/>
        <w:rPr>
          <w:lang w:val="en-US"/>
        </w:rPr>
      </w:pPr>
      <w:r>
        <w:rPr>
          <w:lang w:val="en-US"/>
        </w:rPr>
        <w:t>When the next review will take place</w:t>
      </w:r>
    </w:p>
    <w:p w14:paraId="1360D8FF" w14:textId="77777777" w:rsidR="00FF74C4" w:rsidRPr="00FF74C4" w:rsidRDefault="00FF74C4" w:rsidP="00FF74C4">
      <w:r>
        <w:t>The next review of the agreed syllabus will occur in 2019 unless there is cause to review the syllabus before that date.</w:t>
      </w:r>
    </w:p>
    <w:p w14:paraId="05716D6E" w14:textId="77777777" w:rsidR="003C7038" w:rsidRDefault="003C7038" w:rsidP="003C7038">
      <w:pPr>
        <w:pStyle w:val="Heading1"/>
        <w:rPr>
          <w:lang w:val="en-US"/>
        </w:rPr>
      </w:pPr>
      <w:r>
        <w:rPr>
          <w:lang w:val="en-US"/>
        </w:rPr>
        <w:t>Collective Worship (with examples of good practice if appropriate)</w:t>
      </w:r>
    </w:p>
    <w:p w14:paraId="6B7FD0AD" w14:textId="77777777" w:rsidR="003C7038" w:rsidRDefault="003C7038" w:rsidP="003C7038">
      <w:pPr>
        <w:pStyle w:val="Heading2"/>
        <w:rPr>
          <w:lang w:val="en-US"/>
        </w:rPr>
      </w:pPr>
      <w:r>
        <w:rPr>
          <w:lang w:val="en-US"/>
        </w:rPr>
        <w:t>Compliance with the statutory requirement</w:t>
      </w:r>
    </w:p>
    <w:p w14:paraId="21757423" w14:textId="77777777" w:rsidR="00FF74C4" w:rsidRPr="00FF74C4" w:rsidRDefault="00FF74C4" w:rsidP="00FF74C4">
      <w:r>
        <w:t>There is no evidence from Ofsted reports that community schools or Academies without a religious designation are not fulfilling the requirement to provide each pupil (not withdrawn by their parent) with a daily act of collective worship, which is wholly or mainly of a broadly Christian character.</w:t>
      </w:r>
    </w:p>
    <w:p w14:paraId="31F51CC9" w14:textId="77777777" w:rsidR="003C7038" w:rsidRDefault="003C7038" w:rsidP="003C7038">
      <w:pPr>
        <w:pStyle w:val="Heading2"/>
        <w:rPr>
          <w:lang w:val="en-US"/>
        </w:rPr>
      </w:pPr>
      <w:r>
        <w:rPr>
          <w:lang w:val="en-US"/>
        </w:rPr>
        <w:t>Quality of Collective Worship</w:t>
      </w:r>
    </w:p>
    <w:p w14:paraId="235E1C18" w14:textId="77777777" w:rsidR="00FF74C4" w:rsidRDefault="00FF74C4" w:rsidP="00FF74C4">
      <w:r>
        <w:t>Whilst Ofsted reports did mention collective worship (assemblies) they made no comment on quality.</w:t>
      </w:r>
    </w:p>
    <w:p w14:paraId="6C688CB9" w14:textId="77777777" w:rsidR="00FF74C4" w:rsidRDefault="00FF74C4" w:rsidP="00FF74C4"/>
    <w:p w14:paraId="01EB8468" w14:textId="77777777" w:rsidR="00FF74C4" w:rsidRPr="00FF74C4" w:rsidRDefault="00FF74C4" w:rsidP="00FF74C4">
      <w:r>
        <w:lastRenderedPageBreak/>
        <w:t xml:space="preserve">SACRE did, though, issue new guidance to school on collective worship. SACRE is grateful to Devon SACRE for allowing it to use its latest guidance as a basis for its own guidance. </w:t>
      </w:r>
    </w:p>
    <w:p w14:paraId="43432C2C" w14:textId="77777777" w:rsidR="003C7038" w:rsidRDefault="003C7038" w:rsidP="003C7038">
      <w:pPr>
        <w:pStyle w:val="Heading2"/>
        <w:rPr>
          <w:lang w:val="en-US"/>
        </w:rPr>
      </w:pPr>
      <w:r>
        <w:rPr>
          <w:lang w:val="en-US"/>
        </w:rPr>
        <w:t>Determinations</w:t>
      </w:r>
    </w:p>
    <w:p w14:paraId="03027C24" w14:textId="6B3E8DDF" w:rsidR="00FF74C4" w:rsidRPr="00FF74C4" w:rsidRDefault="00FF74C4" w:rsidP="00FF74C4">
      <w:r>
        <w:t>There have been no requests for a det</w:t>
      </w:r>
      <w:r w:rsidR="00845369">
        <w:t>ermination in 2016</w:t>
      </w:r>
      <w:r>
        <w:t>.</w:t>
      </w:r>
    </w:p>
    <w:p w14:paraId="116127A1" w14:textId="77777777" w:rsidR="003C7038" w:rsidRDefault="003C7038" w:rsidP="003C7038">
      <w:pPr>
        <w:pStyle w:val="Heading2"/>
        <w:rPr>
          <w:lang w:val="en-US"/>
        </w:rPr>
      </w:pPr>
      <w:r>
        <w:rPr>
          <w:lang w:val="en-US"/>
        </w:rPr>
        <w:t>Complaints about collective worship</w:t>
      </w:r>
    </w:p>
    <w:p w14:paraId="573A07F5" w14:textId="77777777" w:rsidR="00FF74C4" w:rsidRPr="00FF74C4" w:rsidRDefault="00FF74C4" w:rsidP="00FF74C4">
      <w:r>
        <w:t>There have been no formal complaints presented to SACRE in regard to collective worship in maintained community schools.</w:t>
      </w:r>
    </w:p>
    <w:p w14:paraId="685022E2" w14:textId="77777777" w:rsidR="003C7038" w:rsidRDefault="003C7038" w:rsidP="003C7038">
      <w:pPr>
        <w:pStyle w:val="Heading1"/>
        <w:rPr>
          <w:lang w:val="en-US"/>
        </w:rPr>
      </w:pPr>
      <w:r>
        <w:rPr>
          <w:lang w:val="en-US"/>
        </w:rPr>
        <w:t>Management of SACRE</w:t>
      </w:r>
    </w:p>
    <w:p w14:paraId="655732FB" w14:textId="77777777" w:rsidR="003C7038" w:rsidRDefault="003C7038" w:rsidP="003C7038">
      <w:pPr>
        <w:pStyle w:val="Heading2"/>
        <w:rPr>
          <w:lang w:val="en-US"/>
        </w:rPr>
      </w:pPr>
      <w:r>
        <w:rPr>
          <w:lang w:val="en-US"/>
        </w:rPr>
        <w:t>Attendance at SACRE, by Committee</w:t>
      </w:r>
    </w:p>
    <w:p w14:paraId="59D59753" w14:textId="77777777" w:rsidR="00845369" w:rsidRDefault="00845369" w:rsidP="00845369"/>
    <w:p w14:paraId="721B39F8" w14:textId="4672DD14" w:rsidR="00845369" w:rsidRPr="00845369" w:rsidRDefault="00845369" w:rsidP="00845369">
      <w:pPr>
        <w:rPr>
          <w:b/>
        </w:rPr>
      </w:pPr>
      <w:r>
        <w:rPr>
          <w:b/>
        </w:rPr>
        <w:t>DATA WAS NOT AVAILABLE FOR THIS SECTION AT THE WRITING OF THIS REPORT DUE TO THE LACK OF MINUTES FROM THE JUNE 2016 MEETING</w:t>
      </w:r>
    </w:p>
    <w:p w14:paraId="11592B8E" w14:textId="77777777" w:rsidR="003C7038" w:rsidRDefault="003C7038" w:rsidP="003C7038">
      <w:pPr>
        <w:pStyle w:val="Heading2"/>
        <w:rPr>
          <w:lang w:val="en-US"/>
        </w:rPr>
      </w:pPr>
      <w:r>
        <w:rPr>
          <w:lang w:val="en-US"/>
        </w:rPr>
        <w:t>Membership and training</w:t>
      </w:r>
    </w:p>
    <w:p w14:paraId="48BD8A5D" w14:textId="2A71DF0A" w:rsidR="00845369" w:rsidRPr="003C396A" w:rsidRDefault="00845369" w:rsidP="003C396A">
      <w:r>
        <w:t>No training was available to SACRE members during this year.</w:t>
      </w:r>
    </w:p>
    <w:p w14:paraId="0C1D35F6" w14:textId="77777777" w:rsidR="003C7038" w:rsidRDefault="003C7038" w:rsidP="003C7038">
      <w:pPr>
        <w:pStyle w:val="Heading1"/>
        <w:rPr>
          <w:lang w:val="en-US"/>
        </w:rPr>
      </w:pPr>
      <w:r>
        <w:rPr>
          <w:lang w:val="en-US"/>
        </w:rPr>
        <w:t>Contribution of SACRE to the wider Local Authority agenda</w:t>
      </w:r>
    </w:p>
    <w:p w14:paraId="57ABC8ED" w14:textId="77777777" w:rsidR="003C7038" w:rsidRDefault="003C7038" w:rsidP="003C7038">
      <w:pPr>
        <w:pStyle w:val="Heading2"/>
        <w:rPr>
          <w:lang w:val="en-US"/>
        </w:rPr>
      </w:pPr>
      <w:r>
        <w:rPr>
          <w:lang w:val="en-US"/>
        </w:rPr>
        <w:t>Identify what SACRE has contributed to other agendas</w:t>
      </w:r>
    </w:p>
    <w:p w14:paraId="74480C87" w14:textId="77777777" w:rsidR="00AC2A70" w:rsidRDefault="00AC2A70" w:rsidP="00AC2A70">
      <w:r>
        <w:t xml:space="preserve">SACRE has been keen to engage with the local authority around its Prevent duty and that of schools and Academies within Torbay. </w:t>
      </w:r>
    </w:p>
    <w:p w14:paraId="0B158E7B" w14:textId="77777777" w:rsidR="00AC2A70" w:rsidRDefault="00AC2A70" w:rsidP="00AC2A70"/>
    <w:p w14:paraId="5507CCD7" w14:textId="52662FDE" w:rsidR="00AC2A70" w:rsidRPr="00AC2A70" w:rsidRDefault="00AC2A70" w:rsidP="00AC2A70">
      <w:r>
        <w:t>SACRE will be taking this aspect of its work forward in 201</w:t>
      </w:r>
      <w:r w:rsidR="00845369">
        <w:t>7</w:t>
      </w:r>
      <w:r>
        <w:t>.</w:t>
      </w:r>
    </w:p>
    <w:p w14:paraId="274A2AE0" w14:textId="77777777" w:rsidR="003C7038" w:rsidRDefault="003C7038" w:rsidP="003C7038">
      <w:pPr>
        <w:pStyle w:val="Heading2"/>
        <w:rPr>
          <w:lang w:val="en-US"/>
        </w:rPr>
      </w:pPr>
      <w:r>
        <w:rPr>
          <w:lang w:val="en-US"/>
        </w:rPr>
        <w:t>SACRE’s contribution to the LA’s public sector equality duty</w:t>
      </w:r>
    </w:p>
    <w:p w14:paraId="635B93E3" w14:textId="765BF215" w:rsidR="00AC2A70" w:rsidRPr="00AC2A70" w:rsidRDefault="00AC2A70" w:rsidP="00AC2A70">
      <w:r>
        <w:t xml:space="preserve">SACRE has been acutely aware of the vulnerability of Muslims in Torbay as a result of the international situation and terror threat. SACRE is continuing to look for ways to support the Muslim community in Torquay and those not attached to that community. </w:t>
      </w:r>
      <w:proofErr w:type="gramStart"/>
      <w:r w:rsidR="00845369">
        <w:t>In  light</w:t>
      </w:r>
      <w:proofErr w:type="gramEnd"/>
      <w:r w:rsidR="00845369">
        <w:t xml:space="preserve"> of the decision of the EU Referendum SACRE is aware of the increased vulnerability of those from visible ethnic and religious minorities and will continue to monitor this situation.</w:t>
      </w:r>
    </w:p>
    <w:p w14:paraId="4B45545D" w14:textId="77777777" w:rsidR="003C7038" w:rsidRDefault="003C7038" w:rsidP="003C7038">
      <w:pPr>
        <w:pStyle w:val="Heading2"/>
        <w:rPr>
          <w:lang w:val="en-US"/>
        </w:rPr>
      </w:pPr>
      <w:r>
        <w:rPr>
          <w:lang w:val="en-US"/>
        </w:rPr>
        <w:t>What SACRE has done to support schools through events and training</w:t>
      </w:r>
    </w:p>
    <w:p w14:paraId="3DC25904" w14:textId="797D7492" w:rsidR="00AC2A70" w:rsidRPr="00AC2A70" w:rsidRDefault="00AC2A70" w:rsidP="00AC2A70">
      <w:r>
        <w:t xml:space="preserve">SACRE has supported schools through its support of Learn Teach Lead RE and the primary and secondary hubs within Torbay. SACRE has put forward a proposal to the local authority with a view to offering training opportunities for schools. </w:t>
      </w:r>
      <w:r w:rsidR="00845369">
        <w:t>Conferences for primary and secondary RE teachers, in cooperation with Devon are planned for 2017</w:t>
      </w:r>
      <w:r>
        <w:t>.</w:t>
      </w:r>
    </w:p>
    <w:p w14:paraId="63DDB123" w14:textId="77777777" w:rsidR="003C7038" w:rsidRDefault="003C7038" w:rsidP="003C7038">
      <w:pPr>
        <w:pStyle w:val="Heading2"/>
        <w:rPr>
          <w:lang w:val="en-US"/>
        </w:rPr>
      </w:pPr>
      <w:r>
        <w:rPr>
          <w:lang w:val="en-US"/>
        </w:rPr>
        <w:t>Links to broader community initiatives</w:t>
      </w:r>
    </w:p>
    <w:p w14:paraId="4AE17EE1" w14:textId="77777777" w:rsidR="00AC2A70" w:rsidRPr="00AC2A70" w:rsidRDefault="00AC2A70" w:rsidP="00AC2A70">
      <w:r>
        <w:t>In previous years SACRE has received reports from the Torbay Inter-Faith Forum and is looking for ways to re-establish those links in 2016.</w:t>
      </w:r>
    </w:p>
    <w:p w14:paraId="47CD5E8C" w14:textId="77777777" w:rsidR="00C26884" w:rsidRDefault="00C26884" w:rsidP="00C26884">
      <w:pPr>
        <w:pStyle w:val="Heading1"/>
        <w:rPr>
          <w:rFonts w:cs="Times New Roman"/>
          <w:lang w:val="en-US"/>
        </w:rPr>
      </w:pPr>
      <w:r w:rsidRPr="00C26884">
        <w:rPr>
          <w:rFonts w:cs="Times New Roman"/>
          <w:lang w:val="en-US"/>
        </w:rPr>
        <w:lastRenderedPageBreak/>
        <w:t>Summary</w:t>
      </w:r>
    </w:p>
    <w:p w14:paraId="17D3B448" w14:textId="77777777" w:rsidR="00845369" w:rsidRDefault="00845369" w:rsidP="00AC2A70">
      <w:r>
        <w:t xml:space="preserve">This has been a difficult year for SACRE. </w:t>
      </w:r>
      <w:proofErr w:type="gramStart"/>
      <w:r>
        <w:t>The situation with clerking, the support of the local authority and the lack of clarity about SACRE’s budget as cause frustration.</w:t>
      </w:r>
      <w:proofErr w:type="gramEnd"/>
      <w:r>
        <w:t xml:space="preserve"> There has also been a difficulty with SACRE being quorate, although this has been managed. It is clearly the local authority’s responsibility to ensure that there are sufficient members of SACRE in each group and that there is commitment from those appointed to ensure that SACRE functions within its statutory remit.</w:t>
      </w:r>
    </w:p>
    <w:p w14:paraId="3F83D3AC" w14:textId="77777777" w:rsidR="00845369" w:rsidRDefault="00845369" w:rsidP="00AC2A70"/>
    <w:p w14:paraId="0A850753" w14:textId="1D080EF6" w:rsidR="00C322F9" w:rsidRPr="00AC2A70" w:rsidRDefault="00845369" w:rsidP="00AC2A70">
      <w:r>
        <w:t>Nevertheless, SACRE has produced advice, it has had high quality discussions and despite everything it has managed to meet as required by its constitution.</w:t>
      </w:r>
    </w:p>
    <w:p w14:paraId="2C76A411" w14:textId="77777777" w:rsidR="00C26884" w:rsidRDefault="00C26884" w:rsidP="00C26884">
      <w:pPr>
        <w:pStyle w:val="Heading1"/>
        <w:rPr>
          <w:lang w:val="en-US"/>
        </w:rPr>
      </w:pPr>
      <w:r>
        <w:rPr>
          <w:lang w:val="en-US"/>
        </w:rPr>
        <w:t>Membership of SACRE, local authority officers who attend, cl</w:t>
      </w:r>
      <w:r w:rsidR="0081516C">
        <w:rPr>
          <w:lang w:val="en-US"/>
        </w:rPr>
        <w:t>erk and professional advice</w:t>
      </w:r>
    </w:p>
    <w:p w14:paraId="5FC54C1B" w14:textId="77777777" w:rsidR="000E6682" w:rsidRDefault="000E6682" w:rsidP="000E6682">
      <w:pPr>
        <w:rPr>
          <w:b/>
        </w:rPr>
      </w:pPr>
    </w:p>
    <w:p w14:paraId="39E65AD9" w14:textId="5537FBD7" w:rsidR="000E6682" w:rsidRPr="000E6682" w:rsidRDefault="000E6682" w:rsidP="000E6682">
      <w:pPr>
        <w:rPr>
          <w:b/>
        </w:rPr>
      </w:pPr>
      <w:r>
        <w:rPr>
          <w:b/>
        </w:rPr>
        <w:t>A FULL AND UP-TO-DATE LIST NEEDS TO BE PROVIDED BEFORE PUBLICATION TAKE PLACE</w:t>
      </w:r>
    </w:p>
    <w:p w14:paraId="5E80DA65" w14:textId="77777777" w:rsidR="0081516C" w:rsidRDefault="0081516C" w:rsidP="0081516C">
      <w:pPr>
        <w:pStyle w:val="Heading2"/>
      </w:pPr>
      <w:r>
        <w:t>Group A: Christian denominations other than the Church of England and other religious traditions</w:t>
      </w:r>
    </w:p>
    <w:p w14:paraId="104733B4" w14:textId="246F3F75" w:rsidR="0081516C" w:rsidRDefault="0081516C" w:rsidP="0081516C">
      <w:r>
        <w:t>Mrs Sylvia Kennedy</w:t>
      </w:r>
      <w:r>
        <w:tab/>
      </w:r>
      <w:r>
        <w:tab/>
      </w:r>
      <w:r w:rsidR="00373F96">
        <w:tab/>
      </w:r>
      <w:r>
        <w:t>Roman Catholic</w:t>
      </w:r>
    </w:p>
    <w:p w14:paraId="16974028" w14:textId="5AE22E44" w:rsidR="0081516C" w:rsidRDefault="0081516C" w:rsidP="0081516C">
      <w:r>
        <w:t xml:space="preserve">Rev Peter </w:t>
      </w:r>
      <w:proofErr w:type="spellStart"/>
      <w:r>
        <w:t>Killick</w:t>
      </w:r>
      <w:proofErr w:type="spellEnd"/>
      <w:r>
        <w:tab/>
      </w:r>
      <w:r>
        <w:tab/>
      </w:r>
      <w:r w:rsidR="00373F96">
        <w:tab/>
      </w:r>
      <w:r>
        <w:t>United Reformed Church</w:t>
      </w:r>
    </w:p>
    <w:p w14:paraId="4385081C" w14:textId="3215BA79" w:rsidR="0081516C" w:rsidRDefault="0081516C" w:rsidP="0081516C">
      <w:r>
        <w:t xml:space="preserve">Mr </w:t>
      </w:r>
      <w:proofErr w:type="spellStart"/>
      <w:r>
        <w:t>Yousif</w:t>
      </w:r>
      <w:proofErr w:type="spellEnd"/>
      <w:r>
        <w:t xml:space="preserve"> Al-</w:t>
      </w:r>
      <w:proofErr w:type="spellStart"/>
      <w:r>
        <w:t>Nassar</w:t>
      </w:r>
      <w:proofErr w:type="spellEnd"/>
      <w:r>
        <w:tab/>
      </w:r>
      <w:r>
        <w:tab/>
      </w:r>
      <w:r w:rsidR="00373F96">
        <w:tab/>
      </w:r>
      <w:r>
        <w:t>Torquay Islamic Centre</w:t>
      </w:r>
    </w:p>
    <w:p w14:paraId="6195023F" w14:textId="069F90A6" w:rsidR="0081516C" w:rsidRDefault="0081516C" w:rsidP="0081516C">
      <w:r>
        <w:t xml:space="preserve">Mr </w:t>
      </w:r>
      <w:proofErr w:type="spellStart"/>
      <w:r>
        <w:t>Chaz</w:t>
      </w:r>
      <w:proofErr w:type="spellEnd"/>
      <w:r>
        <w:t xml:space="preserve"> Singh</w:t>
      </w:r>
      <w:r>
        <w:tab/>
      </w:r>
      <w:r>
        <w:tab/>
      </w:r>
      <w:r w:rsidR="00373F96">
        <w:tab/>
      </w:r>
      <w:r>
        <w:t>Sikh Community</w:t>
      </w:r>
    </w:p>
    <w:p w14:paraId="2C841031" w14:textId="77777777" w:rsidR="0081516C" w:rsidRDefault="0081516C" w:rsidP="0081516C">
      <w:pPr>
        <w:pStyle w:val="Heading2"/>
      </w:pPr>
      <w:r>
        <w:t>Group B: the Church of England</w:t>
      </w:r>
    </w:p>
    <w:p w14:paraId="616DF174" w14:textId="77777777" w:rsidR="0081516C" w:rsidRDefault="0081516C" w:rsidP="0081516C">
      <w:r>
        <w:t xml:space="preserve">Rev Ian </w:t>
      </w:r>
      <w:proofErr w:type="spellStart"/>
      <w:r>
        <w:t>Blyde</w:t>
      </w:r>
      <w:proofErr w:type="spellEnd"/>
      <w:r>
        <w:tab/>
        <w:t xml:space="preserve"> (Vice Chair)</w:t>
      </w:r>
    </w:p>
    <w:p w14:paraId="51D4DE2F" w14:textId="77777777" w:rsidR="0081516C" w:rsidRDefault="0081516C" w:rsidP="0081516C">
      <w:r>
        <w:t xml:space="preserve">Mrs Charlotte </w:t>
      </w:r>
      <w:proofErr w:type="spellStart"/>
      <w:r>
        <w:t>Calouri</w:t>
      </w:r>
      <w:proofErr w:type="spellEnd"/>
    </w:p>
    <w:p w14:paraId="6E5C9241" w14:textId="77777777" w:rsidR="0081516C" w:rsidRDefault="0081516C" w:rsidP="0081516C">
      <w:r>
        <w:t xml:space="preserve">Mrs Corrine </w:t>
      </w:r>
      <w:proofErr w:type="spellStart"/>
      <w:r>
        <w:t>Guntrip</w:t>
      </w:r>
      <w:proofErr w:type="spellEnd"/>
    </w:p>
    <w:p w14:paraId="7063B801" w14:textId="77777777" w:rsidR="0081516C" w:rsidRDefault="0081516C" w:rsidP="0081516C">
      <w:r>
        <w:t>Rev Angela Sumner</w:t>
      </w:r>
    </w:p>
    <w:p w14:paraId="3C96E9E3" w14:textId="77777777" w:rsidR="0081516C" w:rsidRDefault="0081516C" w:rsidP="0081516C">
      <w:pPr>
        <w:pStyle w:val="Heading2"/>
      </w:pPr>
      <w:r>
        <w:t>Group C: Teacher Associations</w:t>
      </w:r>
    </w:p>
    <w:p w14:paraId="0497761F" w14:textId="6AD4BA5D" w:rsidR="0081516C" w:rsidRDefault="0081516C" w:rsidP="0081516C">
      <w:r>
        <w:t xml:space="preserve">Mrs Heather </w:t>
      </w:r>
      <w:proofErr w:type="spellStart"/>
      <w:r>
        <w:t>Savini</w:t>
      </w:r>
      <w:proofErr w:type="spellEnd"/>
      <w:r>
        <w:tab/>
      </w:r>
      <w:r>
        <w:tab/>
      </w:r>
      <w:r w:rsidR="00373F96">
        <w:tab/>
      </w:r>
      <w:r>
        <w:t>UCU</w:t>
      </w:r>
    </w:p>
    <w:p w14:paraId="419B2FC5" w14:textId="7DFE6B81" w:rsidR="0081516C" w:rsidRDefault="0081516C" w:rsidP="0081516C">
      <w:r>
        <w:t>Mr Andrew St</w:t>
      </w:r>
      <w:r w:rsidR="00373F96">
        <w:t>rachan (Chair)</w:t>
      </w:r>
      <w:r w:rsidR="00373F96">
        <w:tab/>
      </w:r>
      <w:r>
        <w:t>ATL</w:t>
      </w:r>
    </w:p>
    <w:p w14:paraId="79846E5B" w14:textId="77777777" w:rsidR="0081516C" w:rsidRDefault="0081516C" w:rsidP="0081516C">
      <w:pPr>
        <w:pStyle w:val="Heading2"/>
      </w:pPr>
      <w:r>
        <w:t>Group D: the Local Authority</w:t>
      </w:r>
    </w:p>
    <w:p w14:paraId="72A815E6" w14:textId="1BDE5756" w:rsidR="006766A4" w:rsidRDefault="006766A4" w:rsidP="00AE2A63">
      <w:r>
        <w:t xml:space="preserve">Cllr Jane </w:t>
      </w:r>
      <w:proofErr w:type="spellStart"/>
      <w:r>
        <w:t>Barnby</w:t>
      </w:r>
      <w:proofErr w:type="spellEnd"/>
      <w:r>
        <w:tab/>
      </w:r>
      <w:r>
        <w:tab/>
      </w:r>
      <w:r>
        <w:tab/>
        <w:t>Conservative</w:t>
      </w:r>
    </w:p>
    <w:p w14:paraId="355D195B" w14:textId="3BC93ADD" w:rsidR="006766A4" w:rsidRDefault="006766A4" w:rsidP="00AE2A63">
      <w:r>
        <w:t>Cllr Julian Parrott</w:t>
      </w:r>
      <w:r>
        <w:tab/>
      </w:r>
      <w:r>
        <w:tab/>
      </w:r>
      <w:r>
        <w:tab/>
        <w:t>UKIP</w:t>
      </w:r>
    </w:p>
    <w:p w14:paraId="07DE9E3D" w14:textId="31E3F8BE" w:rsidR="006766A4" w:rsidRDefault="006766A4" w:rsidP="00AE2A63">
      <w:r>
        <w:t>Cllr Jackie Stockman</w:t>
      </w:r>
      <w:r>
        <w:tab/>
      </w:r>
      <w:r>
        <w:tab/>
      </w:r>
      <w:r>
        <w:tab/>
        <w:t>Independent</w:t>
      </w:r>
    </w:p>
    <w:p w14:paraId="51630F5C" w14:textId="71174DA9" w:rsidR="00AE2A63" w:rsidRDefault="00373F96" w:rsidP="00AE2A63">
      <w:r>
        <w:t>Cllr</w:t>
      </w:r>
      <w:r w:rsidR="00AE2A63">
        <w:t xml:space="preserve"> Di </w:t>
      </w:r>
      <w:proofErr w:type="spellStart"/>
      <w:r w:rsidR="00AE2A63">
        <w:t>Stubley</w:t>
      </w:r>
      <w:proofErr w:type="spellEnd"/>
      <w:r>
        <w:tab/>
      </w:r>
      <w:r w:rsidR="008B3225">
        <w:tab/>
      </w:r>
      <w:r w:rsidR="008B3225">
        <w:tab/>
        <w:t xml:space="preserve">Conservative </w:t>
      </w:r>
      <w:r>
        <w:tab/>
      </w:r>
    </w:p>
    <w:p w14:paraId="12447373" w14:textId="14A286F3" w:rsidR="009B0DEE" w:rsidRDefault="009B0DEE" w:rsidP="009B0DEE">
      <w:pPr>
        <w:pStyle w:val="Heading2"/>
      </w:pPr>
      <w:r>
        <w:t>Co-opted members</w:t>
      </w:r>
    </w:p>
    <w:p w14:paraId="670DB9EC" w14:textId="327CD7DE" w:rsidR="009B0DEE" w:rsidRDefault="009B0DEE" w:rsidP="009B0DEE">
      <w:r>
        <w:t xml:space="preserve">Mrs Jan </w:t>
      </w:r>
      <w:proofErr w:type="spellStart"/>
      <w:r>
        <w:t>Mughrabi</w:t>
      </w:r>
      <w:proofErr w:type="spellEnd"/>
      <w:r>
        <w:t xml:space="preserve"> </w:t>
      </w:r>
      <w:r>
        <w:tab/>
      </w:r>
      <w:r w:rsidR="00373F96">
        <w:tab/>
      </w:r>
      <w:r w:rsidR="00373F96">
        <w:tab/>
      </w:r>
      <w:r>
        <w:t>Baha’i Community</w:t>
      </w:r>
    </w:p>
    <w:p w14:paraId="7A7235E3" w14:textId="76041E6A" w:rsidR="00373F96" w:rsidRDefault="00373F96" w:rsidP="00373F96">
      <w:pPr>
        <w:pStyle w:val="Heading2"/>
      </w:pPr>
      <w:r>
        <w:t>Officers</w:t>
      </w:r>
    </w:p>
    <w:p w14:paraId="0A8A484B" w14:textId="513AFAF8" w:rsidR="00373F96" w:rsidRDefault="00373F96" w:rsidP="00373F96">
      <w:r>
        <w:t>Mr David Hampshire</w:t>
      </w:r>
      <w:r>
        <w:tab/>
      </w:r>
      <w:r>
        <w:tab/>
      </w:r>
      <w:r>
        <w:tab/>
        <w:t>Adviser</w:t>
      </w:r>
    </w:p>
    <w:p w14:paraId="170FB90E" w14:textId="5EBACE5D" w:rsidR="00373F96" w:rsidRPr="00373F96" w:rsidRDefault="00373F96" w:rsidP="00373F96">
      <w:r>
        <w:t xml:space="preserve">Mrs Rosie </w:t>
      </w:r>
      <w:proofErr w:type="spellStart"/>
      <w:r>
        <w:t>Vowles</w:t>
      </w:r>
      <w:proofErr w:type="spellEnd"/>
      <w:r>
        <w:tab/>
      </w:r>
      <w:r>
        <w:tab/>
      </w:r>
      <w:r>
        <w:tab/>
        <w:t>Clerk</w:t>
      </w:r>
    </w:p>
    <w:p w14:paraId="688A986F" w14:textId="77777777" w:rsidR="0081516C" w:rsidRPr="0081516C" w:rsidRDefault="0081516C" w:rsidP="0081516C"/>
    <w:sectPr w:rsidR="0081516C" w:rsidRPr="0081516C" w:rsidSect="00C41A3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0EBCC" w14:textId="77777777" w:rsidR="007B55AE" w:rsidRDefault="007B55AE" w:rsidP="00852A62">
      <w:r>
        <w:separator/>
      </w:r>
    </w:p>
  </w:endnote>
  <w:endnote w:type="continuationSeparator" w:id="0">
    <w:p w14:paraId="2ECAE6BC" w14:textId="77777777" w:rsidR="007B55AE" w:rsidRDefault="007B55AE" w:rsidP="0085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EBD30" w14:textId="77777777" w:rsidR="007B55AE" w:rsidRDefault="007B55AE" w:rsidP="00852A62">
      <w:r>
        <w:separator/>
      </w:r>
    </w:p>
  </w:footnote>
  <w:footnote w:type="continuationSeparator" w:id="0">
    <w:p w14:paraId="307AFC40" w14:textId="77777777" w:rsidR="007B55AE" w:rsidRDefault="007B55AE" w:rsidP="00852A62">
      <w:r>
        <w:continuationSeparator/>
      </w:r>
    </w:p>
  </w:footnote>
  <w:footnote w:id="1">
    <w:p w14:paraId="2D7BE8E3" w14:textId="3B28D704" w:rsidR="007B55AE" w:rsidRPr="00852A62" w:rsidRDefault="007B55AE">
      <w:pPr>
        <w:pStyle w:val="FootnoteText"/>
        <w:rPr>
          <w:lang w:val="en-US"/>
        </w:rPr>
      </w:pPr>
      <w:r>
        <w:rPr>
          <w:rStyle w:val="FootnoteReference"/>
        </w:rPr>
        <w:footnoteRef/>
      </w:r>
      <w:r>
        <w:t xml:space="preserve"> </w:t>
      </w:r>
      <w:r>
        <w:rPr>
          <w:lang w:val="en-US"/>
        </w:rPr>
        <w:t xml:space="preserve">The data from this section has been taken from: </w:t>
      </w:r>
      <w:hyperlink r:id="rId1" w:history="1">
        <w:r w:rsidRPr="00677BF5">
          <w:rPr>
            <w:rStyle w:val="Hyperlink"/>
            <w:lang w:val="en-US"/>
          </w:rPr>
          <w:t>https://www.gov.uk/government/statistics/schools-pupils-and-their-characteristics-january-2016</w:t>
        </w:r>
      </w:hyperlink>
      <w:r>
        <w:rPr>
          <w:lang w:val="en-US"/>
        </w:rPr>
        <w:t xml:space="preserve"> </w:t>
      </w:r>
    </w:p>
  </w:footnote>
  <w:footnote w:id="2">
    <w:p w14:paraId="3FEC67D1" w14:textId="2C6DF504" w:rsidR="007B55AE" w:rsidRPr="00953939" w:rsidRDefault="007B55AE">
      <w:pPr>
        <w:pStyle w:val="FootnoteText"/>
        <w:rPr>
          <w:lang w:val="en-US"/>
        </w:rPr>
      </w:pPr>
      <w:r>
        <w:rPr>
          <w:rStyle w:val="FootnoteReference"/>
        </w:rPr>
        <w:footnoteRef/>
      </w:r>
      <w:r>
        <w:t xml:space="preserve"> </w:t>
      </w:r>
      <w:r>
        <w:rPr>
          <w:lang w:val="en-US"/>
        </w:rPr>
        <w:t xml:space="preserve">These percentages raise when put against performance tables by 1 – 2% </w:t>
      </w:r>
    </w:p>
  </w:footnote>
  <w:footnote w:id="3">
    <w:p w14:paraId="3777A462" w14:textId="609D79B0" w:rsidR="007B55AE" w:rsidRPr="00F25B43" w:rsidRDefault="007B55AE">
      <w:pPr>
        <w:pStyle w:val="FootnoteText"/>
        <w:rPr>
          <w:lang w:val="en-US"/>
        </w:rPr>
      </w:pPr>
      <w:r>
        <w:rPr>
          <w:rStyle w:val="FootnoteReference"/>
        </w:rPr>
        <w:footnoteRef/>
      </w:r>
      <w:r>
        <w:t xml:space="preserve"> </w:t>
      </w:r>
      <w:r>
        <w:rPr>
          <w:lang w:val="en-US"/>
        </w:rPr>
        <w:t xml:space="preserve">See the </w:t>
      </w:r>
      <w:proofErr w:type="spellStart"/>
      <w:r>
        <w:rPr>
          <w:lang w:val="en-US"/>
        </w:rPr>
        <w:t>REDCo</w:t>
      </w:r>
      <w:proofErr w:type="spellEnd"/>
      <w:r>
        <w:rPr>
          <w:lang w:val="en-US"/>
        </w:rPr>
        <w:t xml:space="preserve"> research project: </w:t>
      </w:r>
      <w:hyperlink r:id="rId2" w:history="1">
        <w:r w:rsidRPr="00677BF5">
          <w:rPr>
            <w:rStyle w:val="Hyperlink"/>
            <w:lang w:val="en-US"/>
          </w:rPr>
          <w:t>http://www.tandfonline.com/doi/abs/10.1080/15507394.2010.513937</w:t>
        </w:r>
      </w:hyperlink>
      <w:r>
        <w:rPr>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5323E"/>
    <w:multiLevelType w:val="hybridMultilevel"/>
    <w:tmpl w:val="86D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38"/>
    <w:rsid w:val="000007EC"/>
    <w:rsid w:val="0004422C"/>
    <w:rsid w:val="000771F8"/>
    <w:rsid w:val="000912A5"/>
    <w:rsid w:val="000A06C6"/>
    <w:rsid w:val="000E6682"/>
    <w:rsid w:val="00171F3A"/>
    <w:rsid w:val="0017216C"/>
    <w:rsid w:val="001F7FA8"/>
    <w:rsid w:val="0024797A"/>
    <w:rsid w:val="00273689"/>
    <w:rsid w:val="002C0F2C"/>
    <w:rsid w:val="00322F88"/>
    <w:rsid w:val="00373F96"/>
    <w:rsid w:val="00390654"/>
    <w:rsid w:val="003C396A"/>
    <w:rsid w:val="003C3D62"/>
    <w:rsid w:val="003C7038"/>
    <w:rsid w:val="003D2D07"/>
    <w:rsid w:val="003E6D63"/>
    <w:rsid w:val="0042061F"/>
    <w:rsid w:val="00422370"/>
    <w:rsid w:val="00452481"/>
    <w:rsid w:val="00455F77"/>
    <w:rsid w:val="0056017F"/>
    <w:rsid w:val="00565063"/>
    <w:rsid w:val="00590619"/>
    <w:rsid w:val="005A3B49"/>
    <w:rsid w:val="005B08B1"/>
    <w:rsid w:val="005B1B0B"/>
    <w:rsid w:val="005F5DEB"/>
    <w:rsid w:val="006766A4"/>
    <w:rsid w:val="006C385D"/>
    <w:rsid w:val="006E3C3E"/>
    <w:rsid w:val="00747150"/>
    <w:rsid w:val="007623EE"/>
    <w:rsid w:val="00773CD4"/>
    <w:rsid w:val="00784A5A"/>
    <w:rsid w:val="007925BF"/>
    <w:rsid w:val="007B55AE"/>
    <w:rsid w:val="007B5F01"/>
    <w:rsid w:val="00814DC2"/>
    <w:rsid w:val="0081516C"/>
    <w:rsid w:val="0082379B"/>
    <w:rsid w:val="00845369"/>
    <w:rsid w:val="00852A62"/>
    <w:rsid w:val="00861997"/>
    <w:rsid w:val="00897526"/>
    <w:rsid w:val="008A431C"/>
    <w:rsid w:val="008B3225"/>
    <w:rsid w:val="008B7DDB"/>
    <w:rsid w:val="008F2A06"/>
    <w:rsid w:val="00902B4C"/>
    <w:rsid w:val="009266CA"/>
    <w:rsid w:val="00945CE1"/>
    <w:rsid w:val="00953939"/>
    <w:rsid w:val="00997BBC"/>
    <w:rsid w:val="009B0DEE"/>
    <w:rsid w:val="009C2A02"/>
    <w:rsid w:val="00A315D2"/>
    <w:rsid w:val="00AC2A70"/>
    <w:rsid w:val="00AE2A63"/>
    <w:rsid w:val="00AE6CCE"/>
    <w:rsid w:val="00B111E3"/>
    <w:rsid w:val="00BA2BE6"/>
    <w:rsid w:val="00C03656"/>
    <w:rsid w:val="00C26884"/>
    <w:rsid w:val="00C322F9"/>
    <w:rsid w:val="00C41A3B"/>
    <w:rsid w:val="00CE024B"/>
    <w:rsid w:val="00CE2C34"/>
    <w:rsid w:val="00CF4215"/>
    <w:rsid w:val="00D622DA"/>
    <w:rsid w:val="00D74D7B"/>
    <w:rsid w:val="00D86B26"/>
    <w:rsid w:val="00DB560C"/>
    <w:rsid w:val="00DD674B"/>
    <w:rsid w:val="00DF600C"/>
    <w:rsid w:val="00E16744"/>
    <w:rsid w:val="00E718DF"/>
    <w:rsid w:val="00EF0334"/>
    <w:rsid w:val="00F25B43"/>
    <w:rsid w:val="00FF74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55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703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C70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8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70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703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C703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C7038"/>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6C385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22C"/>
    <w:rPr>
      <w:rFonts w:ascii="Lucida Grande" w:hAnsi="Lucida Grande" w:cs="Lucida Grande"/>
      <w:sz w:val="18"/>
      <w:szCs w:val="18"/>
    </w:rPr>
  </w:style>
  <w:style w:type="table" w:styleId="TableGrid">
    <w:name w:val="Table Grid"/>
    <w:basedOn w:val="TableNormal"/>
    <w:uiPriority w:val="59"/>
    <w:rsid w:val="00171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52A62"/>
  </w:style>
  <w:style w:type="character" w:customStyle="1" w:styleId="FootnoteTextChar">
    <w:name w:val="Footnote Text Char"/>
    <w:basedOn w:val="DefaultParagraphFont"/>
    <w:link w:val="FootnoteText"/>
    <w:uiPriority w:val="99"/>
    <w:rsid w:val="00852A62"/>
  </w:style>
  <w:style w:type="character" w:styleId="FootnoteReference">
    <w:name w:val="footnote reference"/>
    <w:basedOn w:val="DefaultParagraphFont"/>
    <w:uiPriority w:val="99"/>
    <w:unhideWhenUsed/>
    <w:rsid w:val="00852A62"/>
    <w:rPr>
      <w:vertAlign w:val="superscript"/>
    </w:rPr>
  </w:style>
  <w:style w:type="character" w:styleId="Hyperlink">
    <w:name w:val="Hyperlink"/>
    <w:basedOn w:val="DefaultParagraphFont"/>
    <w:uiPriority w:val="99"/>
    <w:unhideWhenUsed/>
    <w:rsid w:val="00852A62"/>
    <w:rPr>
      <w:color w:val="0000FF" w:themeColor="hyperlink"/>
      <w:u w:val="single"/>
    </w:rPr>
  </w:style>
  <w:style w:type="paragraph" w:styleId="ListParagraph">
    <w:name w:val="List Paragraph"/>
    <w:basedOn w:val="Normal"/>
    <w:uiPriority w:val="34"/>
    <w:qFormat/>
    <w:rsid w:val="00DD674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703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C70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8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70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703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C703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C7038"/>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6C385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22C"/>
    <w:rPr>
      <w:rFonts w:ascii="Lucida Grande" w:hAnsi="Lucida Grande" w:cs="Lucida Grande"/>
      <w:sz w:val="18"/>
      <w:szCs w:val="18"/>
    </w:rPr>
  </w:style>
  <w:style w:type="table" w:styleId="TableGrid">
    <w:name w:val="Table Grid"/>
    <w:basedOn w:val="TableNormal"/>
    <w:uiPriority w:val="59"/>
    <w:rsid w:val="00171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52A62"/>
  </w:style>
  <w:style w:type="character" w:customStyle="1" w:styleId="FootnoteTextChar">
    <w:name w:val="Footnote Text Char"/>
    <w:basedOn w:val="DefaultParagraphFont"/>
    <w:link w:val="FootnoteText"/>
    <w:uiPriority w:val="99"/>
    <w:rsid w:val="00852A62"/>
  </w:style>
  <w:style w:type="character" w:styleId="FootnoteReference">
    <w:name w:val="footnote reference"/>
    <w:basedOn w:val="DefaultParagraphFont"/>
    <w:uiPriority w:val="99"/>
    <w:unhideWhenUsed/>
    <w:rsid w:val="00852A62"/>
    <w:rPr>
      <w:vertAlign w:val="superscript"/>
    </w:rPr>
  </w:style>
  <w:style w:type="character" w:styleId="Hyperlink">
    <w:name w:val="Hyperlink"/>
    <w:basedOn w:val="DefaultParagraphFont"/>
    <w:uiPriority w:val="99"/>
    <w:unhideWhenUsed/>
    <w:rsid w:val="00852A62"/>
    <w:rPr>
      <w:color w:val="0000FF" w:themeColor="hyperlink"/>
      <w:u w:val="single"/>
    </w:rPr>
  </w:style>
  <w:style w:type="paragraph" w:styleId="ListParagraph">
    <w:name w:val="List Paragraph"/>
    <w:basedOn w:val="Normal"/>
    <w:uiPriority w:val="34"/>
    <w:qFormat/>
    <w:rsid w:val="00DD6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0447">
      <w:bodyDiv w:val="1"/>
      <w:marLeft w:val="0"/>
      <w:marRight w:val="0"/>
      <w:marTop w:val="0"/>
      <w:marBottom w:val="0"/>
      <w:divBdr>
        <w:top w:val="none" w:sz="0" w:space="0" w:color="auto"/>
        <w:left w:val="none" w:sz="0" w:space="0" w:color="auto"/>
        <w:bottom w:val="none" w:sz="0" w:space="0" w:color="auto"/>
        <w:right w:val="none" w:sz="0" w:space="0" w:color="auto"/>
      </w:divBdr>
    </w:div>
    <w:div w:id="1329600816">
      <w:bodyDiv w:val="1"/>
      <w:marLeft w:val="0"/>
      <w:marRight w:val="0"/>
      <w:marTop w:val="0"/>
      <w:marBottom w:val="0"/>
      <w:divBdr>
        <w:top w:val="none" w:sz="0" w:space="0" w:color="auto"/>
        <w:left w:val="none" w:sz="0" w:space="0" w:color="auto"/>
        <w:bottom w:val="none" w:sz="0" w:space="0" w:color="auto"/>
        <w:right w:val="none" w:sz="0" w:space="0" w:color="auto"/>
      </w:divBdr>
    </w:div>
    <w:div w:id="1697654161">
      <w:bodyDiv w:val="1"/>
      <w:marLeft w:val="0"/>
      <w:marRight w:val="0"/>
      <w:marTop w:val="0"/>
      <w:marBottom w:val="0"/>
      <w:divBdr>
        <w:top w:val="none" w:sz="0" w:space="0" w:color="auto"/>
        <w:left w:val="none" w:sz="0" w:space="0" w:color="auto"/>
        <w:bottom w:val="none" w:sz="0" w:space="0" w:color="auto"/>
        <w:right w:val="none" w:sz="0" w:space="0" w:color="auto"/>
      </w:divBdr>
    </w:div>
    <w:div w:id="18621638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tatistics/schools-pupils-and-their-characteristics-january-2016" TargetMode="External"/><Relationship Id="rId2" Type="http://schemas.openxmlformats.org/officeDocument/2006/relationships/hyperlink" Target="http://www.tandfonline.com/doi/abs/10.1080/15507394.2010.513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2426</Words>
  <Characters>13831</Characters>
  <Application>Microsoft Macintosh Word</Application>
  <DocSecurity>0</DocSecurity>
  <Lines>115</Lines>
  <Paragraphs>32</Paragraphs>
  <ScaleCrop>false</ScaleCrop>
  <Company>Warwick University</Company>
  <LinksUpToDate>false</LinksUpToDate>
  <CharactersWithSpaces>16225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Hampshire</dc:creator>
  <cp:lastModifiedBy>Patrick Hampshire</cp:lastModifiedBy>
  <cp:revision>9</cp:revision>
  <dcterms:created xsi:type="dcterms:W3CDTF">2016-11-07T06:26:00Z</dcterms:created>
  <dcterms:modified xsi:type="dcterms:W3CDTF">2016-11-07T08:26:00Z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934236407</vt:i4>
  </property>
  <property fmtid="{D5CDD505-2E9C-101B-9397-08002B2CF9AE}" pid="3" name="_NewReviewCycle">
    <vt:lpwstr/>
  </property>
  <property fmtid="{D5CDD505-2E9C-101B-9397-08002B2CF9AE}" pid="4" name="_EmailSubject">
    <vt:lpwstr>SACRE Meeting Feb 3rd 2016</vt:lpwstr>
  </property>
  <property fmtid="{D5CDD505-2E9C-101B-9397-08002B2CF9AE}" pid="5" name="_AuthorEmail">
    <vt:lpwstr>rosie.vowles@torbay.gcsx.gov.uk</vt:lpwstr>
  </property>
  <property fmtid="{D5CDD505-2E9C-101B-9397-08002B2CF9AE}" pid="6" name="_AuthorEmailDisplayName">
    <vt:lpwstr>Vowles, Rosie</vt:lpwstr>
  </property>
</Properties>
</file>