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66880"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14CDB55F" wp14:editId="32B3AC6B">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31EA5379" wp14:editId="05911131">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3623F6C7" w14:textId="77777777" w:rsidR="00D53F2F" w:rsidRDefault="00D53F2F" w:rsidP="007C7A16">
      <w:pPr>
        <w:jc w:val="center"/>
        <w:rPr>
          <w:rFonts w:ascii="Comic Sans MS" w:hAnsi="Comic Sans MS"/>
          <w:b/>
          <w:color w:val="993366"/>
          <w:sz w:val="22"/>
          <w:szCs w:val="22"/>
        </w:rPr>
      </w:pPr>
    </w:p>
    <w:p w14:paraId="1CBF08F0" w14:textId="77777777" w:rsidR="00456631" w:rsidRPr="00423BAC" w:rsidRDefault="00456631" w:rsidP="007C7A16">
      <w:pPr>
        <w:jc w:val="center"/>
        <w:rPr>
          <w:rFonts w:ascii="Arial" w:hAnsi="Arial" w:cs="Arial"/>
          <w:color w:val="993366"/>
          <w:sz w:val="22"/>
          <w:szCs w:val="22"/>
        </w:rPr>
      </w:pPr>
    </w:p>
    <w:p w14:paraId="67C68E17"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1091CC8E" w14:textId="77777777" w:rsidTr="001C6599">
        <w:tc>
          <w:tcPr>
            <w:tcW w:w="2235" w:type="dxa"/>
            <w:tcBorders>
              <w:top w:val="nil"/>
              <w:left w:val="nil"/>
              <w:bottom w:val="nil"/>
              <w:right w:val="nil"/>
            </w:tcBorders>
            <w:shd w:val="clear" w:color="auto" w:fill="auto"/>
          </w:tcPr>
          <w:p w14:paraId="4745FD52" w14:textId="77777777" w:rsidR="00220494" w:rsidRPr="00482DA1" w:rsidRDefault="00220494" w:rsidP="00220494">
            <w:pPr>
              <w:rPr>
                <w:rFonts w:ascii="Arial" w:hAnsi="Arial"/>
                <w:b/>
                <w:szCs w:val="24"/>
              </w:rPr>
            </w:pPr>
            <w:r w:rsidRPr="00482DA1">
              <w:rPr>
                <w:rFonts w:ascii="Arial" w:hAnsi="Arial"/>
                <w:b/>
                <w:szCs w:val="24"/>
              </w:rPr>
              <w:t>Title:</w:t>
            </w:r>
          </w:p>
        </w:tc>
        <w:tc>
          <w:tcPr>
            <w:tcW w:w="7294" w:type="dxa"/>
            <w:gridSpan w:val="4"/>
            <w:tcBorders>
              <w:top w:val="nil"/>
              <w:left w:val="nil"/>
              <w:bottom w:val="nil"/>
              <w:right w:val="nil"/>
            </w:tcBorders>
            <w:shd w:val="clear" w:color="auto" w:fill="auto"/>
          </w:tcPr>
          <w:p w14:paraId="6313FB05" w14:textId="77777777" w:rsidR="00220494" w:rsidRPr="00482DA1" w:rsidRDefault="00482DA1" w:rsidP="00220494">
            <w:pPr>
              <w:rPr>
                <w:rFonts w:ascii="Arial" w:hAnsi="Arial" w:cs="Arial"/>
                <w:b/>
                <w:szCs w:val="24"/>
              </w:rPr>
            </w:pPr>
            <w:r w:rsidRPr="00482DA1">
              <w:rPr>
                <w:rFonts w:ascii="Arial" w:hAnsi="Arial"/>
                <w:b/>
              </w:rPr>
              <w:t xml:space="preserve">All Party Parliamentary Group on Religious Education </w:t>
            </w:r>
            <w:r>
              <w:rPr>
                <w:rFonts w:ascii="Arial" w:hAnsi="Arial"/>
                <w:b/>
              </w:rPr>
              <w:t xml:space="preserve">(APPG) </w:t>
            </w:r>
            <w:r w:rsidRPr="00482DA1">
              <w:rPr>
                <w:rFonts w:ascii="Arial" w:hAnsi="Arial"/>
                <w:b/>
              </w:rPr>
              <w:t>report: Improving Religious Literacy – a contribution to the debate</w:t>
            </w:r>
          </w:p>
        </w:tc>
      </w:tr>
      <w:tr w:rsidR="00220494" w:rsidRPr="001C6599" w14:paraId="7BC1B16C" w14:textId="77777777" w:rsidTr="001C6599">
        <w:tc>
          <w:tcPr>
            <w:tcW w:w="2660" w:type="dxa"/>
            <w:gridSpan w:val="2"/>
            <w:tcBorders>
              <w:top w:val="nil"/>
              <w:left w:val="nil"/>
              <w:bottom w:val="nil"/>
              <w:right w:val="nil"/>
            </w:tcBorders>
            <w:shd w:val="clear" w:color="auto" w:fill="auto"/>
          </w:tcPr>
          <w:p w14:paraId="44611FFA"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5D14A318" w14:textId="77777777" w:rsidR="00220494" w:rsidRPr="001C6599" w:rsidRDefault="00220494" w:rsidP="00220494">
            <w:pPr>
              <w:rPr>
                <w:rFonts w:ascii="Arial" w:hAnsi="Arial" w:cs="Arial"/>
                <w:color w:val="993366"/>
                <w:sz w:val="22"/>
                <w:szCs w:val="22"/>
              </w:rPr>
            </w:pPr>
          </w:p>
        </w:tc>
      </w:tr>
      <w:tr w:rsidR="00220494" w:rsidRPr="001C6599" w14:paraId="02A3AFC0" w14:textId="77777777" w:rsidTr="001C6599">
        <w:tc>
          <w:tcPr>
            <w:tcW w:w="9529" w:type="dxa"/>
            <w:gridSpan w:val="5"/>
            <w:tcBorders>
              <w:top w:val="nil"/>
              <w:left w:val="nil"/>
              <w:bottom w:val="nil"/>
              <w:right w:val="nil"/>
            </w:tcBorders>
            <w:shd w:val="clear" w:color="auto" w:fill="auto"/>
          </w:tcPr>
          <w:p w14:paraId="50C0770B" w14:textId="1D8D744D" w:rsidR="00220494" w:rsidRPr="001C6599" w:rsidRDefault="00200D5B" w:rsidP="00DC4CEC">
            <w:pPr>
              <w:rPr>
                <w:rFonts w:ascii="Arial" w:hAnsi="Arial"/>
                <w:szCs w:val="24"/>
              </w:rPr>
            </w:pPr>
            <w:r w:rsidRPr="001C6599">
              <w:rPr>
                <w:rFonts w:ascii="Arial" w:hAnsi="Arial" w:cs="Arial"/>
                <w:sz w:val="22"/>
                <w:szCs w:val="22"/>
              </w:rPr>
              <w:t>This report relates to</w:t>
            </w:r>
            <w:r w:rsidR="00DC4CEC">
              <w:rPr>
                <w:rFonts w:ascii="Arial" w:hAnsi="Arial" w:cs="Arial"/>
                <w:sz w:val="22"/>
                <w:szCs w:val="22"/>
              </w:rPr>
              <w:t xml:space="preserve"> the on going debate about religious literacy and its relationship to religious education. As such it is of interest to SACRE members as they have a responsibility to monitor religious education in the local authority and be </w:t>
            </w:r>
            <w:proofErr w:type="gramStart"/>
            <w:r w:rsidR="00DC4CEC">
              <w:rPr>
                <w:rFonts w:ascii="Arial" w:hAnsi="Arial" w:cs="Arial"/>
                <w:sz w:val="22"/>
                <w:szCs w:val="22"/>
              </w:rPr>
              <w:t>appraised</w:t>
            </w:r>
            <w:proofErr w:type="gramEnd"/>
            <w:r w:rsidR="00DC4CEC">
              <w:rPr>
                <w:rFonts w:ascii="Arial" w:hAnsi="Arial" w:cs="Arial"/>
                <w:sz w:val="22"/>
                <w:szCs w:val="22"/>
              </w:rPr>
              <w:t xml:space="preserve"> of the latest issues as they effect RE in schools.</w:t>
            </w:r>
          </w:p>
        </w:tc>
      </w:tr>
      <w:tr w:rsidR="00220494" w:rsidRPr="001C6599" w14:paraId="6B9ACAC5" w14:textId="77777777" w:rsidTr="001C6599">
        <w:tc>
          <w:tcPr>
            <w:tcW w:w="2235" w:type="dxa"/>
            <w:tcBorders>
              <w:top w:val="nil"/>
              <w:left w:val="nil"/>
              <w:bottom w:val="nil"/>
              <w:right w:val="nil"/>
            </w:tcBorders>
            <w:shd w:val="clear" w:color="auto" w:fill="auto"/>
          </w:tcPr>
          <w:p w14:paraId="5C9A088E"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1C470515" w14:textId="77777777" w:rsidR="00220494" w:rsidRPr="001C6599" w:rsidRDefault="00220494" w:rsidP="002B0B1E">
            <w:pPr>
              <w:rPr>
                <w:rFonts w:ascii="Arial" w:hAnsi="Arial" w:cs="Arial"/>
                <w:color w:val="993366"/>
                <w:sz w:val="22"/>
                <w:szCs w:val="22"/>
              </w:rPr>
            </w:pPr>
          </w:p>
        </w:tc>
      </w:tr>
      <w:tr w:rsidR="00220494" w:rsidRPr="001C6599" w14:paraId="5B56FE46" w14:textId="77777777" w:rsidTr="001C6599">
        <w:tc>
          <w:tcPr>
            <w:tcW w:w="2235" w:type="dxa"/>
            <w:tcBorders>
              <w:top w:val="nil"/>
              <w:left w:val="nil"/>
              <w:bottom w:val="nil"/>
              <w:right w:val="nil"/>
            </w:tcBorders>
            <w:shd w:val="clear" w:color="auto" w:fill="auto"/>
          </w:tcPr>
          <w:p w14:paraId="2C61E719"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42EB638D"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68C386F6" w14:textId="77777777" w:rsidTr="001C6599">
        <w:trPr>
          <w:trHeight w:val="316"/>
        </w:trPr>
        <w:tc>
          <w:tcPr>
            <w:tcW w:w="2235" w:type="dxa"/>
            <w:tcBorders>
              <w:top w:val="nil"/>
              <w:left w:val="nil"/>
              <w:bottom w:val="nil"/>
              <w:right w:val="nil"/>
            </w:tcBorders>
            <w:shd w:val="clear" w:color="auto" w:fill="auto"/>
          </w:tcPr>
          <w:p w14:paraId="3365AC68"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5E93D79D" w14:textId="77777777" w:rsidR="00220494" w:rsidRPr="001C6599" w:rsidRDefault="00220494" w:rsidP="001C6599">
            <w:pPr>
              <w:jc w:val="left"/>
              <w:rPr>
                <w:rFonts w:ascii="Arial" w:hAnsi="Arial" w:cs="Arial"/>
                <w:color w:val="993366"/>
                <w:sz w:val="22"/>
                <w:szCs w:val="22"/>
              </w:rPr>
            </w:pPr>
          </w:p>
        </w:tc>
      </w:tr>
      <w:tr w:rsidR="00220494" w:rsidRPr="001C6599" w14:paraId="56ACD188" w14:textId="77777777" w:rsidTr="001C6599">
        <w:tc>
          <w:tcPr>
            <w:tcW w:w="2235" w:type="dxa"/>
            <w:tcBorders>
              <w:top w:val="nil"/>
              <w:left w:val="nil"/>
              <w:bottom w:val="nil"/>
              <w:right w:val="nil"/>
            </w:tcBorders>
            <w:shd w:val="clear" w:color="auto" w:fill="auto"/>
          </w:tcPr>
          <w:p w14:paraId="301D7EE8"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769A6790"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1C8404FD"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0FC01330" w14:textId="43944E4C"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055942">
              <w:rPr>
                <w:rFonts w:ascii="Arial" w:hAnsi="Arial" w:cs="Arial"/>
                <w:b/>
                <w:szCs w:val="24"/>
              </w:rPr>
              <w:t>15</w:t>
            </w:r>
            <w:r w:rsidR="00055942" w:rsidRPr="00055942">
              <w:rPr>
                <w:rFonts w:ascii="Arial" w:hAnsi="Arial" w:cs="Arial"/>
                <w:b/>
                <w:szCs w:val="24"/>
                <w:vertAlign w:val="superscript"/>
              </w:rPr>
              <w:t>th</w:t>
            </w:r>
            <w:r w:rsidR="00055942">
              <w:rPr>
                <w:rFonts w:ascii="Arial" w:hAnsi="Arial" w:cs="Arial"/>
                <w:b/>
                <w:szCs w:val="24"/>
              </w:rPr>
              <w:t xml:space="preserve"> November, 2016</w:t>
            </w:r>
          </w:p>
        </w:tc>
      </w:tr>
      <w:tr w:rsidR="00220494" w:rsidRPr="001C6599" w14:paraId="3A190E7E" w14:textId="77777777" w:rsidTr="001C6599">
        <w:tc>
          <w:tcPr>
            <w:tcW w:w="2235" w:type="dxa"/>
            <w:tcBorders>
              <w:top w:val="nil"/>
              <w:left w:val="nil"/>
              <w:bottom w:val="nil"/>
              <w:right w:val="nil"/>
            </w:tcBorders>
            <w:shd w:val="clear" w:color="auto" w:fill="auto"/>
          </w:tcPr>
          <w:p w14:paraId="3EEF37FB"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7A436F66"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08158662"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3CD1077D" w14:textId="77777777" w:rsidR="00220494" w:rsidRPr="001C6599" w:rsidRDefault="00220494" w:rsidP="001C6599">
            <w:pPr>
              <w:jc w:val="left"/>
              <w:rPr>
                <w:rFonts w:ascii="Arial" w:hAnsi="Arial" w:cs="Arial"/>
                <w:szCs w:val="24"/>
              </w:rPr>
            </w:pPr>
            <w:bookmarkStart w:id="0" w:name="_GoBack"/>
            <w:bookmarkEnd w:id="0"/>
          </w:p>
        </w:tc>
      </w:tr>
      <w:tr w:rsidR="00220494" w:rsidRPr="001C6599" w14:paraId="20F69CCC" w14:textId="77777777" w:rsidTr="001C6599">
        <w:tc>
          <w:tcPr>
            <w:tcW w:w="2235" w:type="dxa"/>
            <w:tcBorders>
              <w:top w:val="nil"/>
              <w:left w:val="nil"/>
              <w:bottom w:val="nil"/>
              <w:right w:val="nil"/>
            </w:tcBorders>
            <w:shd w:val="clear" w:color="auto" w:fill="auto"/>
          </w:tcPr>
          <w:p w14:paraId="6E4DC792"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38EE170A"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118549E4" w14:textId="77777777" w:rsidTr="001C6599">
        <w:tc>
          <w:tcPr>
            <w:tcW w:w="2235" w:type="dxa"/>
            <w:tcBorders>
              <w:top w:val="nil"/>
              <w:left w:val="nil"/>
              <w:bottom w:val="nil"/>
              <w:right w:val="nil"/>
            </w:tcBorders>
            <w:shd w:val="clear" w:color="auto" w:fill="auto"/>
          </w:tcPr>
          <w:p w14:paraId="2FEA007F"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3F21DF6E"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17CCC742" w14:textId="77777777" w:rsidTr="001C6599">
        <w:tc>
          <w:tcPr>
            <w:tcW w:w="2235" w:type="dxa"/>
            <w:tcBorders>
              <w:top w:val="nil"/>
              <w:left w:val="nil"/>
              <w:bottom w:val="nil"/>
              <w:right w:val="nil"/>
            </w:tcBorders>
            <w:shd w:val="clear" w:color="auto" w:fill="auto"/>
          </w:tcPr>
          <w:p w14:paraId="41707BE1"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134D4E98" w14:textId="77777777" w:rsidR="00220494" w:rsidRPr="001C6599" w:rsidRDefault="00055942" w:rsidP="002B0B1E">
            <w:pPr>
              <w:rPr>
                <w:rFonts w:ascii="Arial" w:hAnsi="Arial" w:cs="Arial"/>
                <w:b/>
                <w:szCs w:val="24"/>
              </w:rPr>
            </w:pPr>
            <w:hyperlink r:id="rId10"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2604DEA2" w14:textId="77777777" w:rsidR="00456631" w:rsidRPr="00D317D7" w:rsidRDefault="00456631" w:rsidP="002B0B1E">
      <w:pPr>
        <w:tabs>
          <w:tab w:val="left" w:pos="1440"/>
          <w:tab w:val="left" w:pos="6120"/>
        </w:tabs>
        <w:rPr>
          <w:rFonts w:ascii="Arial" w:hAnsi="Arial"/>
          <w:b/>
          <w:szCs w:val="24"/>
        </w:rPr>
      </w:pPr>
    </w:p>
    <w:p w14:paraId="23DDB469"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0B5EE588" w14:textId="77777777" w:rsidR="00CA6741" w:rsidRDefault="00CA6741" w:rsidP="00842BB3">
      <w:pPr>
        <w:jc w:val="left"/>
        <w:rPr>
          <w:rFonts w:ascii="Arial" w:hAnsi="Arial"/>
          <w:b/>
          <w:szCs w:val="24"/>
        </w:rPr>
      </w:pPr>
    </w:p>
    <w:p w14:paraId="52984D86"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37E2F395" w14:textId="77777777" w:rsidR="00456631" w:rsidRPr="00D317D7" w:rsidRDefault="00456631" w:rsidP="00842BB3">
      <w:pPr>
        <w:jc w:val="left"/>
        <w:rPr>
          <w:rFonts w:ascii="Arial" w:hAnsi="Arial"/>
          <w:szCs w:val="24"/>
        </w:rPr>
      </w:pPr>
    </w:p>
    <w:p w14:paraId="18A7762B" w14:textId="77777777" w:rsidR="00200D5B" w:rsidRDefault="008D0357" w:rsidP="00200D5B">
      <w:pPr>
        <w:rPr>
          <w:rFonts w:ascii="Arial" w:hAnsi="Arial" w:cs="Arial"/>
        </w:rPr>
      </w:pPr>
      <w:r>
        <w:rPr>
          <w:rFonts w:ascii="Arial" w:hAnsi="Arial"/>
          <w:szCs w:val="24"/>
        </w:rPr>
        <w:t>1</w:t>
      </w:r>
      <w:r w:rsidR="00456631" w:rsidRPr="00AD39F5">
        <w:rPr>
          <w:rFonts w:ascii="Arial" w:hAnsi="Arial"/>
          <w:szCs w:val="24"/>
        </w:rPr>
        <w:t>.1</w:t>
      </w:r>
      <w:r w:rsidR="00456631" w:rsidRPr="00AD39F5">
        <w:rPr>
          <w:rFonts w:ascii="Arial" w:hAnsi="Arial"/>
          <w:szCs w:val="24"/>
        </w:rPr>
        <w:tab/>
      </w:r>
      <w:r w:rsidR="00200D5B">
        <w:rPr>
          <w:rFonts w:ascii="Arial" w:hAnsi="Arial" w:cs="Arial"/>
        </w:rPr>
        <w:t xml:space="preserve">The purpose of this report is </w:t>
      </w:r>
      <w:r w:rsidR="00AB33D7">
        <w:rPr>
          <w:rFonts w:ascii="Arial" w:hAnsi="Arial" w:cs="Arial"/>
        </w:rPr>
        <w:t xml:space="preserve">to </w:t>
      </w:r>
      <w:r w:rsidR="00482DA1">
        <w:rPr>
          <w:rFonts w:ascii="Arial" w:hAnsi="Arial" w:cs="Arial"/>
        </w:rPr>
        <w:t>inform</w:t>
      </w:r>
      <w:r w:rsidR="00294CBE">
        <w:rPr>
          <w:rFonts w:ascii="Arial" w:hAnsi="Arial" w:cs="Arial"/>
        </w:rPr>
        <w:t xml:space="preserve"> </w:t>
      </w:r>
      <w:r w:rsidR="00482DA1">
        <w:rPr>
          <w:rFonts w:ascii="Arial" w:hAnsi="Arial" w:cs="Arial"/>
        </w:rPr>
        <w:t>SACRE</w:t>
      </w:r>
      <w:r w:rsidR="00294CBE">
        <w:rPr>
          <w:rFonts w:ascii="Arial" w:hAnsi="Arial" w:cs="Arial"/>
        </w:rPr>
        <w:t xml:space="preserve"> </w:t>
      </w:r>
      <w:r w:rsidR="00482DA1">
        <w:rPr>
          <w:rFonts w:ascii="Arial" w:hAnsi="Arial" w:cs="Arial"/>
        </w:rPr>
        <w:t>about the All Party Parliamentary Groups on RE’s report into religious literacy (see Appendix 1)</w:t>
      </w:r>
      <w:r w:rsidR="00294CBE">
        <w:rPr>
          <w:rFonts w:ascii="Arial" w:hAnsi="Arial" w:cs="Arial"/>
        </w:rPr>
        <w:t xml:space="preserve">. </w:t>
      </w:r>
      <w:r w:rsidR="00482DA1">
        <w:rPr>
          <w:rFonts w:ascii="Arial" w:hAnsi="Arial" w:cs="Arial"/>
        </w:rPr>
        <w:t xml:space="preserve">Religious literacy has become an increasingly important concept over the last three years, especially in light of the </w:t>
      </w:r>
      <w:proofErr w:type="spellStart"/>
      <w:r w:rsidR="00482DA1">
        <w:rPr>
          <w:rFonts w:ascii="Arial" w:hAnsi="Arial" w:cs="Arial"/>
        </w:rPr>
        <w:t>REforReal</w:t>
      </w:r>
      <w:proofErr w:type="spellEnd"/>
      <w:r w:rsidR="00482DA1">
        <w:rPr>
          <w:rFonts w:ascii="Arial" w:hAnsi="Arial" w:cs="Arial"/>
        </w:rPr>
        <w:t xml:space="preserve"> report published by Goldsmiths, University of London in November 2015 (see Appendix 2). Defining Religious Literacy, though, has proved to be more difficult. The attached report, on the basis of wide consultation, has sought to provide a working definition for the UK context. SACRE may wish to bring the APPG’s report to the attention of teachers in Torbay.</w:t>
      </w:r>
    </w:p>
    <w:p w14:paraId="6B6D1DB2" w14:textId="77777777" w:rsidR="001C2486" w:rsidRDefault="001C2486" w:rsidP="00200D5B">
      <w:pPr>
        <w:jc w:val="left"/>
        <w:rPr>
          <w:rFonts w:ascii="Arial" w:hAnsi="Arial"/>
          <w:szCs w:val="24"/>
        </w:rPr>
      </w:pPr>
    </w:p>
    <w:p w14:paraId="541919D8"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620147C3" w14:textId="77777777" w:rsidR="00456631" w:rsidRPr="00D317D7" w:rsidRDefault="00456631" w:rsidP="00842BB3">
      <w:pPr>
        <w:jc w:val="left"/>
        <w:rPr>
          <w:rFonts w:ascii="Arial" w:hAnsi="Arial"/>
          <w:szCs w:val="24"/>
        </w:rPr>
      </w:pPr>
    </w:p>
    <w:p w14:paraId="662AEAF0" w14:textId="77777777" w:rsidR="00482DA1" w:rsidRDefault="008D0357" w:rsidP="00277659">
      <w:pPr>
        <w:autoSpaceDE w:val="0"/>
        <w:autoSpaceDN w:val="0"/>
        <w:adjustRightInd w:val="0"/>
        <w:jc w:val="left"/>
        <w:rPr>
          <w:rFonts w:ascii="Arial" w:hAnsi="Arial" w:cs="Arial"/>
          <w:szCs w:val="24"/>
        </w:rPr>
      </w:pPr>
      <w:r w:rsidRPr="00482DA1">
        <w:rPr>
          <w:rFonts w:ascii="Arial" w:hAnsi="Arial" w:cs="Arial"/>
          <w:szCs w:val="24"/>
        </w:rPr>
        <w:t>2</w:t>
      </w:r>
      <w:r w:rsidR="00943BA0" w:rsidRPr="00482DA1">
        <w:rPr>
          <w:rFonts w:ascii="Arial" w:hAnsi="Arial" w:cs="Arial"/>
          <w:szCs w:val="24"/>
        </w:rPr>
        <w:t>.1</w:t>
      </w:r>
      <w:r w:rsidR="00456631" w:rsidRPr="00482DA1">
        <w:rPr>
          <w:rFonts w:ascii="Arial" w:hAnsi="Arial" w:cs="Arial"/>
          <w:szCs w:val="24"/>
        </w:rPr>
        <w:tab/>
      </w:r>
      <w:r w:rsidR="00482DA1">
        <w:rPr>
          <w:rFonts w:ascii="Arial" w:hAnsi="Arial" w:cs="Arial"/>
          <w:szCs w:val="24"/>
        </w:rPr>
        <w:t>The report is based on a call for written submissions</w:t>
      </w:r>
      <w:r w:rsidR="00277659">
        <w:rPr>
          <w:rFonts w:ascii="Arial" w:hAnsi="Arial" w:cs="Arial"/>
          <w:szCs w:val="24"/>
        </w:rPr>
        <w:t xml:space="preserve"> (see 2.2 for the six driving questions) and two sessions in Parliament. There was concern that the APPG’s report might be unrepresentative of the broader RE community as the APPG no longer fell under the aegis of the RE Council of England and Wales (see the RE Council’s website for a full statement on its relationship to the APPG). Nevertheless, the report appears to have been welcomed and the breadth of opinion that informs the report appears broad enough to make it worthy of consideration.</w:t>
      </w:r>
    </w:p>
    <w:p w14:paraId="1783F6FF" w14:textId="77777777" w:rsidR="00482DA1" w:rsidRDefault="00482DA1" w:rsidP="00482DA1">
      <w:pPr>
        <w:autoSpaceDE w:val="0"/>
        <w:autoSpaceDN w:val="0"/>
        <w:adjustRightInd w:val="0"/>
        <w:ind w:left="720" w:hanging="720"/>
        <w:jc w:val="left"/>
        <w:rPr>
          <w:rFonts w:ascii="Arial" w:hAnsi="Arial" w:cs="Arial"/>
          <w:szCs w:val="24"/>
        </w:rPr>
      </w:pPr>
    </w:p>
    <w:p w14:paraId="3CA74724" w14:textId="77777777" w:rsidR="00482DA1" w:rsidRDefault="00482DA1" w:rsidP="00277659">
      <w:pPr>
        <w:autoSpaceDE w:val="0"/>
        <w:autoSpaceDN w:val="0"/>
        <w:adjustRightInd w:val="0"/>
        <w:jc w:val="left"/>
        <w:rPr>
          <w:rFonts w:ascii="Arial" w:hAnsi="Arial" w:cs="Arial"/>
          <w:b/>
          <w:bCs/>
          <w:snapToGrid/>
          <w:color w:val="212425"/>
          <w:szCs w:val="24"/>
          <w:lang w:val="en-US"/>
        </w:rPr>
      </w:pPr>
      <w:r>
        <w:rPr>
          <w:rFonts w:ascii="Arial" w:hAnsi="Arial" w:cs="Arial"/>
          <w:szCs w:val="24"/>
        </w:rPr>
        <w:t xml:space="preserve">2.2 </w:t>
      </w:r>
      <w:r>
        <w:rPr>
          <w:rFonts w:ascii="Arial" w:hAnsi="Arial" w:cs="Arial"/>
          <w:szCs w:val="24"/>
        </w:rPr>
        <w:tab/>
      </w:r>
      <w:r w:rsidRPr="00482DA1">
        <w:rPr>
          <w:rFonts w:ascii="Arial" w:hAnsi="Arial" w:cs="Arial"/>
          <w:bCs/>
          <w:snapToGrid/>
          <w:color w:val="212425"/>
          <w:szCs w:val="24"/>
          <w:lang w:val="en-US"/>
        </w:rPr>
        <w:t>The APPG invited written submissions from individuals and</w:t>
      </w:r>
      <w:r>
        <w:rPr>
          <w:rFonts w:ascii="Arial" w:hAnsi="Arial" w:cs="Arial"/>
          <w:bCs/>
          <w:snapToGrid/>
          <w:color w:val="212425"/>
          <w:szCs w:val="24"/>
          <w:lang w:val="en-US"/>
        </w:rPr>
        <w:t xml:space="preserve"> </w:t>
      </w:r>
      <w:proofErr w:type="spellStart"/>
      <w:r>
        <w:rPr>
          <w:rFonts w:ascii="Arial" w:hAnsi="Arial" w:cs="Arial"/>
          <w:bCs/>
          <w:snapToGrid/>
          <w:color w:val="212425"/>
          <w:szCs w:val="24"/>
          <w:lang w:val="en-US"/>
        </w:rPr>
        <w:t>organisations</w:t>
      </w:r>
      <w:proofErr w:type="spellEnd"/>
      <w:r>
        <w:rPr>
          <w:rFonts w:ascii="Arial" w:hAnsi="Arial" w:cs="Arial"/>
          <w:bCs/>
          <w:snapToGrid/>
          <w:color w:val="212425"/>
          <w:szCs w:val="24"/>
          <w:lang w:val="en-US"/>
        </w:rPr>
        <w:t xml:space="preserve"> on the </w:t>
      </w:r>
      <w:r w:rsidRPr="00482DA1">
        <w:rPr>
          <w:rFonts w:ascii="Arial" w:hAnsi="Arial" w:cs="Arial"/>
          <w:bCs/>
          <w:snapToGrid/>
          <w:color w:val="212425"/>
          <w:szCs w:val="24"/>
          <w:lang w:val="en-US"/>
        </w:rPr>
        <w:t>following:</w:t>
      </w:r>
    </w:p>
    <w:p w14:paraId="7860F3E3" w14:textId="77777777" w:rsidR="00482DA1" w:rsidRPr="00482DA1" w:rsidRDefault="00482DA1" w:rsidP="00482DA1">
      <w:pPr>
        <w:autoSpaceDE w:val="0"/>
        <w:autoSpaceDN w:val="0"/>
        <w:adjustRightInd w:val="0"/>
        <w:jc w:val="left"/>
        <w:rPr>
          <w:rFonts w:ascii="Arial" w:hAnsi="Arial" w:cs="Arial"/>
          <w:b/>
          <w:bCs/>
          <w:snapToGrid/>
          <w:color w:val="212425"/>
          <w:szCs w:val="24"/>
          <w:lang w:val="en-US"/>
        </w:rPr>
      </w:pPr>
      <w:r w:rsidRPr="00482DA1">
        <w:rPr>
          <w:rFonts w:ascii="Arial" w:hAnsi="Arial" w:cs="Arial"/>
          <w:b/>
          <w:bCs/>
          <w:snapToGrid/>
          <w:color w:val="212425"/>
          <w:szCs w:val="24"/>
          <w:lang w:val="en-US"/>
        </w:rPr>
        <w:t xml:space="preserve"> </w:t>
      </w:r>
    </w:p>
    <w:p w14:paraId="3A793411" w14:textId="77777777" w:rsidR="00482DA1" w:rsidRDefault="00482DA1" w:rsidP="00482DA1">
      <w:pPr>
        <w:autoSpaceDE w:val="0"/>
        <w:autoSpaceDN w:val="0"/>
        <w:adjustRightInd w:val="0"/>
        <w:ind w:firstLine="720"/>
        <w:jc w:val="left"/>
        <w:rPr>
          <w:rFonts w:ascii="Arial" w:hAnsi="Arial" w:cs="Arial"/>
          <w:snapToGrid/>
          <w:color w:val="212425"/>
          <w:szCs w:val="24"/>
          <w:lang w:val="en-US"/>
        </w:rPr>
      </w:pPr>
      <w:r w:rsidRPr="00482DA1">
        <w:rPr>
          <w:rFonts w:ascii="Arial" w:hAnsi="Arial" w:cs="Arial"/>
          <w:snapToGrid/>
          <w:color w:val="212425"/>
          <w:szCs w:val="24"/>
          <w:lang w:val="en-US"/>
        </w:rPr>
        <w:t>1. What you understand ‘Religious Literacy’ to mean;</w:t>
      </w:r>
    </w:p>
    <w:p w14:paraId="56CF3988" w14:textId="77777777" w:rsidR="003C1875" w:rsidRPr="00482DA1" w:rsidRDefault="003C1875" w:rsidP="00482DA1">
      <w:pPr>
        <w:autoSpaceDE w:val="0"/>
        <w:autoSpaceDN w:val="0"/>
        <w:adjustRightInd w:val="0"/>
        <w:ind w:firstLine="720"/>
        <w:jc w:val="left"/>
        <w:rPr>
          <w:rFonts w:ascii="Arial" w:hAnsi="Arial" w:cs="Arial"/>
          <w:snapToGrid/>
          <w:color w:val="212425"/>
          <w:szCs w:val="24"/>
          <w:lang w:val="en-US"/>
        </w:rPr>
      </w:pPr>
    </w:p>
    <w:p w14:paraId="66DEE993" w14:textId="77777777" w:rsidR="00482DA1" w:rsidRDefault="00482DA1" w:rsidP="00482DA1">
      <w:pPr>
        <w:autoSpaceDE w:val="0"/>
        <w:autoSpaceDN w:val="0"/>
        <w:adjustRightInd w:val="0"/>
        <w:ind w:left="720"/>
        <w:jc w:val="left"/>
        <w:rPr>
          <w:rFonts w:ascii="Arial" w:hAnsi="Arial" w:cs="Arial"/>
          <w:snapToGrid/>
          <w:color w:val="212425"/>
          <w:szCs w:val="24"/>
          <w:lang w:val="en-US"/>
        </w:rPr>
      </w:pPr>
      <w:r w:rsidRPr="00482DA1">
        <w:rPr>
          <w:rFonts w:ascii="Arial" w:hAnsi="Arial" w:cs="Arial"/>
          <w:snapToGrid/>
          <w:color w:val="212425"/>
          <w:szCs w:val="24"/>
          <w:lang w:val="en-US"/>
        </w:rPr>
        <w:t xml:space="preserve">2. The ways in which Religious Literacy enriches the lives of individuals and </w:t>
      </w:r>
      <w:r w:rsidRPr="00482DA1">
        <w:rPr>
          <w:rFonts w:ascii="Arial" w:hAnsi="Arial" w:cs="Arial"/>
          <w:snapToGrid/>
          <w:color w:val="212425"/>
          <w:szCs w:val="24"/>
          <w:lang w:val="en-US"/>
        </w:rPr>
        <w:lastRenderedPageBreak/>
        <w:t>positively affects their engagement with their local community, society and public life;</w:t>
      </w:r>
    </w:p>
    <w:p w14:paraId="10B39E12" w14:textId="77777777" w:rsidR="003C1875" w:rsidRPr="00482DA1" w:rsidRDefault="003C1875" w:rsidP="003C1875">
      <w:pPr>
        <w:autoSpaceDE w:val="0"/>
        <w:autoSpaceDN w:val="0"/>
        <w:adjustRightInd w:val="0"/>
        <w:jc w:val="left"/>
        <w:rPr>
          <w:rFonts w:ascii="Arial" w:hAnsi="Arial" w:cs="Arial"/>
          <w:snapToGrid/>
          <w:color w:val="212425"/>
          <w:szCs w:val="24"/>
          <w:lang w:val="en-US"/>
        </w:rPr>
      </w:pPr>
    </w:p>
    <w:p w14:paraId="55C3E112" w14:textId="77777777" w:rsidR="00482DA1" w:rsidRDefault="00482DA1" w:rsidP="00482DA1">
      <w:pPr>
        <w:autoSpaceDE w:val="0"/>
        <w:autoSpaceDN w:val="0"/>
        <w:adjustRightInd w:val="0"/>
        <w:ind w:left="720"/>
        <w:jc w:val="left"/>
        <w:rPr>
          <w:rFonts w:ascii="Arial" w:hAnsi="Arial" w:cs="Arial"/>
          <w:snapToGrid/>
          <w:color w:val="212425"/>
          <w:szCs w:val="24"/>
          <w:lang w:val="en-US"/>
        </w:rPr>
      </w:pPr>
      <w:r w:rsidRPr="00482DA1">
        <w:rPr>
          <w:rFonts w:ascii="Arial" w:hAnsi="Arial" w:cs="Arial"/>
          <w:snapToGrid/>
          <w:color w:val="212425"/>
          <w:szCs w:val="24"/>
          <w:lang w:val="en-US"/>
        </w:rPr>
        <w:t>3. How people learn to be religiously literate through school based education, out-of-school activities, the local community, lifelong learning, media and literature, workplace training schemes and other means</w:t>
      </w:r>
      <w:proofErr w:type="gramStart"/>
      <w:r w:rsidRPr="00482DA1">
        <w:rPr>
          <w:rFonts w:ascii="Arial" w:hAnsi="Arial" w:cs="Arial"/>
          <w:snapToGrid/>
          <w:color w:val="212425"/>
          <w:szCs w:val="24"/>
          <w:lang w:val="en-US"/>
        </w:rPr>
        <w:t>;</w:t>
      </w:r>
      <w:proofErr w:type="gramEnd"/>
    </w:p>
    <w:p w14:paraId="569E42C9" w14:textId="77777777" w:rsidR="003C1875" w:rsidRPr="00482DA1" w:rsidRDefault="003C1875" w:rsidP="00482DA1">
      <w:pPr>
        <w:autoSpaceDE w:val="0"/>
        <w:autoSpaceDN w:val="0"/>
        <w:adjustRightInd w:val="0"/>
        <w:ind w:left="720"/>
        <w:jc w:val="left"/>
        <w:rPr>
          <w:rFonts w:ascii="Arial" w:hAnsi="Arial" w:cs="Arial"/>
          <w:snapToGrid/>
          <w:color w:val="212425"/>
          <w:szCs w:val="24"/>
          <w:lang w:val="en-US"/>
        </w:rPr>
      </w:pPr>
    </w:p>
    <w:p w14:paraId="1074EB4B" w14:textId="77777777" w:rsidR="00482DA1" w:rsidRDefault="00482DA1" w:rsidP="00482DA1">
      <w:pPr>
        <w:autoSpaceDE w:val="0"/>
        <w:autoSpaceDN w:val="0"/>
        <w:adjustRightInd w:val="0"/>
        <w:ind w:left="720"/>
        <w:jc w:val="left"/>
        <w:rPr>
          <w:rFonts w:ascii="Arial" w:hAnsi="Arial" w:cs="Arial"/>
          <w:snapToGrid/>
          <w:color w:val="212425"/>
          <w:szCs w:val="24"/>
          <w:lang w:val="en-US"/>
        </w:rPr>
      </w:pPr>
      <w:r w:rsidRPr="00482DA1">
        <w:rPr>
          <w:rFonts w:ascii="Arial" w:hAnsi="Arial" w:cs="Arial"/>
          <w:snapToGrid/>
          <w:color w:val="212425"/>
          <w:szCs w:val="24"/>
          <w:lang w:val="en-US"/>
        </w:rPr>
        <w:t>4. How the development of Religious Literacy in children could be improved within the school context</w:t>
      </w:r>
      <w:proofErr w:type="gramStart"/>
      <w:r w:rsidRPr="00482DA1">
        <w:rPr>
          <w:rFonts w:ascii="Arial" w:hAnsi="Arial" w:cs="Arial"/>
          <w:snapToGrid/>
          <w:color w:val="212425"/>
          <w:szCs w:val="24"/>
          <w:lang w:val="en-US"/>
        </w:rPr>
        <w:t>;</w:t>
      </w:r>
      <w:proofErr w:type="gramEnd"/>
      <w:r w:rsidRPr="00482DA1">
        <w:rPr>
          <w:rFonts w:ascii="Arial" w:hAnsi="Arial" w:cs="Arial"/>
          <w:snapToGrid/>
          <w:color w:val="212425"/>
          <w:szCs w:val="24"/>
          <w:lang w:val="en-US"/>
        </w:rPr>
        <w:t xml:space="preserve"> </w:t>
      </w:r>
    </w:p>
    <w:p w14:paraId="707360A7" w14:textId="77777777" w:rsidR="003C1875" w:rsidRPr="00482DA1" w:rsidRDefault="003C1875" w:rsidP="00482DA1">
      <w:pPr>
        <w:autoSpaceDE w:val="0"/>
        <w:autoSpaceDN w:val="0"/>
        <w:adjustRightInd w:val="0"/>
        <w:ind w:left="720"/>
        <w:jc w:val="left"/>
        <w:rPr>
          <w:rFonts w:ascii="Arial" w:hAnsi="Arial" w:cs="Arial"/>
          <w:snapToGrid/>
          <w:color w:val="212425"/>
          <w:szCs w:val="24"/>
          <w:lang w:val="en-US"/>
        </w:rPr>
      </w:pPr>
    </w:p>
    <w:p w14:paraId="154FE0A7" w14:textId="77777777" w:rsidR="00482DA1" w:rsidRDefault="00482DA1" w:rsidP="00482DA1">
      <w:pPr>
        <w:autoSpaceDE w:val="0"/>
        <w:autoSpaceDN w:val="0"/>
        <w:adjustRightInd w:val="0"/>
        <w:ind w:left="720"/>
        <w:jc w:val="left"/>
        <w:rPr>
          <w:rFonts w:ascii="Arial" w:hAnsi="Arial" w:cs="Arial"/>
          <w:snapToGrid/>
          <w:color w:val="212425"/>
          <w:szCs w:val="24"/>
          <w:lang w:val="en-US"/>
        </w:rPr>
      </w:pPr>
      <w:r w:rsidRPr="00482DA1">
        <w:rPr>
          <w:rFonts w:ascii="Arial" w:hAnsi="Arial" w:cs="Arial"/>
          <w:snapToGrid/>
          <w:color w:val="212425"/>
          <w:szCs w:val="24"/>
          <w:lang w:val="en-US"/>
        </w:rPr>
        <w:t xml:space="preserve">5. How the development of Religious Literacy in adults could be improved in </w:t>
      </w:r>
      <w:proofErr w:type="spellStart"/>
      <w:r w:rsidRPr="00482DA1">
        <w:rPr>
          <w:rFonts w:ascii="Arial" w:hAnsi="Arial" w:cs="Arial"/>
          <w:snapToGrid/>
          <w:color w:val="212425"/>
          <w:szCs w:val="24"/>
          <w:lang w:val="en-US"/>
        </w:rPr>
        <w:t>formalised</w:t>
      </w:r>
      <w:proofErr w:type="spellEnd"/>
      <w:r w:rsidRPr="00482DA1">
        <w:rPr>
          <w:rFonts w:ascii="Arial" w:hAnsi="Arial" w:cs="Arial"/>
          <w:snapToGrid/>
          <w:color w:val="212425"/>
          <w:szCs w:val="24"/>
          <w:lang w:val="en-US"/>
        </w:rPr>
        <w:t xml:space="preserve"> education settings such as universities, adult education and workplace training schemes; </w:t>
      </w:r>
    </w:p>
    <w:p w14:paraId="346A356B" w14:textId="77777777" w:rsidR="003C1875" w:rsidRPr="00482DA1" w:rsidRDefault="003C1875" w:rsidP="00482DA1">
      <w:pPr>
        <w:autoSpaceDE w:val="0"/>
        <w:autoSpaceDN w:val="0"/>
        <w:adjustRightInd w:val="0"/>
        <w:ind w:left="720"/>
        <w:jc w:val="left"/>
        <w:rPr>
          <w:rFonts w:ascii="Arial" w:hAnsi="Arial" w:cs="Arial"/>
          <w:snapToGrid/>
          <w:color w:val="212425"/>
          <w:szCs w:val="24"/>
          <w:lang w:val="en-US"/>
        </w:rPr>
      </w:pPr>
    </w:p>
    <w:p w14:paraId="69902009" w14:textId="77777777" w:rsidR="00482DA1" w:rsidRPr="00482DA1" w:rsidRDefault="00482DA1" w:rsidP="00482DA1">
      <w:pPr>
        <w:autoSpaceDE w:val="0"/>
        <w:autoSpaceDN w:val="0"/>
        <w:adjustRightInd w:val="0"/>
        <w:ind w:left="720"/>
        <w:jc w:val="left"/>
        <w:rPr>
          <w:rFonts w:ascii="Arial" w:hAnsi="Arial" w:cs="Arial"/>
          <w:snapToGrid/>
          <w:color w:val="212425"/>
          <w:szCs w:val="24"/>
          <w:lang w:val="en-US"/>
        </w:rPr>
      </w:pPr>
      <w:r w:rsidRPr="00482DA1">
        <w:rPr>
          <w:rFonts w:ascii="Arial" w:hAnsi="Arial" w:cs="Arial"/>
          <w:snapToGrid/>
          <w:color w:val="212425"/>
          <w:szCs w:val="24"/>
          <w:lang w:val="en-US"/>
        </w:rPr>
        <w:t xml:space="preserve">6. How the development of Religious Literacy in people of all ages could be improved in </w:t>
      </w:r>
      <w:proofErr w:type="gramStart"/>
      <w:r w:rsidRPr="00482DA1">
        <w:rPr>
          <w:rFonts w:ascii="Arial" w:hAnsi="Arial" w:cs="Arial"/>
          <w:snapToGrid/>
          <w:color w:val="212425"/>
          <w:szCs w:val="24"/>
          <w:lang w:val="en-US"/>
        </w:rPr>
        <w:t>settings which are</w:t>
      </w:r>
      <w:proofErr w:type="gramEnd"/>
      <w:r w:rsidRPr="00482DA1">
        <w:rPr>
          <w:rFonts w:ascii="Arial" w:hAnsi="Arial" w:cs="Arial"/>
          <w:snapToGrid/>
          <w:color w:val="212425"/>
          <w:szCs w:val="24"/>
          <w:lang w:val="en-US"/>
        </w:rPr>
        <w:t xml:space="preserve"> not be considered formal education, such as the local community, out-of-school activities, sports teams, media and literature and other means.</w:t>
      </w:r>
    </w:p>
    <w:p w14:paraId="5929F520" w14:textId="77777777" w:rsidR="00482DA1" w:rsidRDefault="00482DA1" w:rsidP="00482DA1">
      <w:pPr>
        <w:rPr>
          <w:rFonts w:ascii="Arial" w:hAnsi="Arial" w:cs="Arial"/>
          <w:snapToGrid/>
          <w:color w:val="212425"/>
          <w:szCs w:val="24"/>
          <w:lang w:val="en-US"/>
        </w:rPr>
      </w:pPr>
    </w:p>
    <w:p w14:paraId="39ADB021" w14:textId="77777777" w:rsidR="00294CBE" w:rsidRPr="00482DA1" w:rsidRDefault="00482DA1" w:rsidP="00482DA1">
      <w:pPr>
        <w:rPr>
          <w:rFonts w:ascii="Arial" w:hAnsi="Arial" w:cs="Arial"/>
          <w:color w:val="0A080A"/>
          <w:szCs w:val="24"/>
        </w:rPr>
      </w:pPr>
      <w:r w:rsidRPr="00482DA1">
        <w:rPr>
          <w:rFonts w:ascii="Arial" w:hAnsi="Arial" w:cs="Arial"/>
          <w:snapToGrid/>
          <w:color w:val="212425"/>
          <w:szCs w:val="24"/>
          <w:lang w:val="en-US"/>
        </w:rPr>
        <w:t xml:space="preserve">The enquiry </w:t>
      </w:r>
      <w:r>
        <w:rPr>
          <w:rFonts w:ascii="Arial" w:hAnsi="Arial" w:cs="Arial"/>
          <w:snapToGrid/>
          <w:color w:val="212425"/>
          <w:szCs w:val="24"/>
          <w:lang w:val="en-US"/>
        </w:rPr>
        <w:t>closed</w:t>
      </w:r>
      <w:r w:rsidRPr="00482DA1">
        <w:rPr>
          <w:rFonts w:ascii="Arial" w:hAnsi="Arial" w:cs="Arial"/>
          <w:snapToGrid/>
          <w:color w:val="212425"/>
          <w:szCs w:val="24"/>
          <w:lang w:val="en-US"/>
        </w:rPr>
        <w:t xml:space="preserve"> on the </w:t>
      </w:r>
      <w:r w:rsidRPr="00482DA1">
        <w:rPr>
          <w:rFonts w:ascii="Arial" w:hAnsi="Arial" w:cs="Arial"/>
          <w:b/>
          <w:bCs/>
          <w:snapToGrid/>
          <w:color w:val="212425"/>
          <w:szCs w:val="24"/>
          <w:lang w:val="en-US"/>
        </w:rPr>
        <w:t>14th of April 2016</w:t>
      </w:r>
      <w:r w:rsidRPr="00482DA1">
        <w:rPr>
          <w:rFonts w:ascii="Arial" w:hAnsi="Arial" w:cs="Arial"/>
          <w:snapToGrid/>
          <w:color w:val="212425"/>
          <w:szCs w:val="24"/>
          <w:lang w:val="en-US"/>
        </w:rPr>
        <w:t xml:space="preserve"> </w:t>
      </w:r>
    </w:p>
    <w:p w14:paraId="574AC438" w14:textId="77777777" w:rsidR="008A1EE0" w:rsidRPr="00482DA1" w:rsidRDefault="008A1EE0" w:rsidP="003C1875">
      <w:pPr>
        <w:rPr>
          <w:rFonts w:ascii="Arial" w:hAnsi="Arial" w:cs="Arial"/>
          <w:color w:val="0A080A"/>
          <w:szCs w:val="24"/>
        </w:rPr>
      </w:pPr>
    </w:p>
    <w:p w14:paraId="6A567733" w14:textId="77777777" w:rsidR="008A1EE0" w:rsidRDefault="003C1875" w:rsidP="003C1875">
      <w:pPr>
        <w:rPr>
          <w:rFonts w:ascii="Arial" w:hAnsi="Arial" w:cs="Arial"/>
          <w:szCs w:val="24"/>
        </w:rPr>
      </w:pPr>
      <w:r>
        <w:rPr>
          <w:rFonts w:ascii="Arial" w:hAnsi="Arial" w:cs="Arial"/>
          <w:szCs w:val="24"/>
        </w:rPr>
        <w:t>The report defined religious literacy as having four distinct elements (page 6):</w:t>
      </w:r>
    </w:p>
    <w:p w14:paraId="1227DE16" w14:textId="77777777" w:rsidR="003C1875" w:rsidRDefault="003C1875" w:rsidP="003C1875">
      <w:pPr>
        <w:rPr>
          <w:rFonts w:ascii="Arial" w:hAnsi="Arial" w:cs="Arial"/>
          <w:szCs w:val="24"/>
        </w:rPr>
      </w:pPr>
    </w:p>
    <w:p w14:paraId="1E7F9D74" w14:textId="77777777" w:rsidR="003C1875" w:rsidRPr="003C1875" w:rsidRDefault="003C1875" w:rsidP="00307437">
      <w:pPr>
        <w:tabs>
          <w:tab w:val="left" w:pos="940"/>
          <w:tab w:val="left" w:pos="1440"/>
        </w:tabs>
        <w:autoSpaceDE w:val="0"/>
        <w:autoSpaceDN w:val="0"/>
        <w:adjustRightInd w:val="0"/>
        <w:spacing w:after="240"/>
        <w:ind w:left="720"/>
        <w:jc w:val="left"/>
        <w:rPr>
          <w:rFonts w:ascii="Arial" w:hAnsi="Arial" w:cs="Arial"/>
          <w:snapToGrid/>
          <w:szCs w:val="24"/>
          <w:lang w:val="en-US"/>
        </w:rPr>
      </w:pPr>
      <w:r w:rsidRPr="003C1875">
        <w:rPr>
          <w:rFonts w:ascii="Arial" w:hAnsi="Arial" w:cs="Arial"/>
          <w:snapToGrid/>
          <w:szCs w:val="24"/>
          <w:lang w:val="en-US"/>
        </w:rPr>
        <w:t xml:space="preserve">A basic level of knowledge </w:t>
      </w:r>
      <w:proofErr w:type="gramStart"/>
      <w:r w:rsidRPr="003C1875">
        <w:rPr>
          <w:rFonts w:ascii="Arial" w:hAnsi="Arial" w:cs="Arial"/>
          <w:snapToGrid/>
          <w:szCs w:val="24"/>
          <w:lang w:val="en-US"/>
        </w:rPr>
        <w:t>about both</w:t>
      </w:r>
      <w:proofErr w:type="gramEnd"/>
      <w:r w:rsidRPr="003C1875">
        <w:rPr>
          <w:rFonts w:ascii="Arial" w:hAnsi="Arial" w:cs="Arial"/>
          <w:snapToGrid/>
          <w:szCs w:val="24"/>
          <w:lang w:val="en-US"/>
        </w:rPr>
        <w:t xml:space="preserve"> the particular beliefs, practices and traditions of the main religious traditions in Britain, and of the shape of our changing religious landscape today. This must be complemented by a conceptual understanding of what religious belief systems are, and how they may function in the lives of individuals.  </w:t>
      </w:r>
    </w:p>
    <w:p w14:paraId="20C82C1B" w14:textId="77777777" w:rsidR="003C1875" w:rsidRPr="003C1875" w:rsidRDefault="003C1875" w:rsidP="00307437">
      <w:pPr>
        <w:tabs>
          <w:tab w:val="left" w:pos="940"/>
          <w:tab w:val="left" w:pos="1440"/>
        </w:tabs>
        <w:autoSpaceDE w:val="0"/>
        <w:autoSpaceDN w:val="0"/>
        <w:adjustRightInd w:val="0"/>
        <w:spacing w:after="240"/>
        <w:ind w:left="720"/>
        <w:jc w:val="left"/>
        <w:rPr>
          <w:rFonts w:ascii="Arial" w:hAnsi="Arial" w:cs="Arial"/>
          <w:snapToGrid/>
          <w:szCs w:val="24"/>
          <w:lang w:val="en-US"/>
        </w:rPr>
      </w:pPr>
      <w:r w:rsidRPr="003C1875">
        <w:rPr>
          <w:rFonts w:ascii="Arial" w:hAnsi="Arial" w:cs="Arial"/>
          <w:snapToGrid/>
          <w:szCs w:val="24"/>
          <w:lang w:val="en-US"/>
        </w:rPr>
        <w:t xml:space="preserve">An awareness of how beliefs, inherited traditions and textual interpretations might manifest into the actions, practices and daily lives of individuals. Crucial to this </w:t>
      </w:r>
      <w:proofErr w:type="gramStart"/>
      <w:r w:rsidRPr="003C1875">
        <w:rPr>
          <w:rFonts w:ascii="Arial" w:hAnsi="Arial" w:cs="Arial"/>
          <w:snapToGrid/>
          <w:szCs w:val="24"/>
          <w:lang w:val="en-US"/>
        </w:rPr>
        <w:t>is</w:t>
      </w:r>
      <w:proofErr w:type="gramEnd"/>
      <w:r w:rsidRPr="003C1875">
        <w:rPr>
          <w:rFonts w:ascii="Arial" w:hAnsi="Arial" w:cs="Arial"/>
          <w:snapToGrid/>
          <w:szCs w:val="24"/>
          <w:lang w:val="en-US"/>
        </w:rPr>
        <w:t xml:space="preserve"> an understanding of the diversity within religious traditions, and an awareness of the way in which the same text, or religious principle, can be interpreted in different ways by different individuals.  </w:t>
      </w:r>
    </w:p>
    <w:p w14:paraId="3A50CDCB" w14:textId="77777777" w:rsidR="003C1875" w:rsidRPr="003C1875" w:rsidRDefault="003C1875" w:rsidP="00307437">
      <w:pPr>
        <w:tabs>
          <w:tab w:val="left" w:pos="940"/>
          <w:tab w:val="left" w:pos="1440"/>
        </w:tabs>
        <w:autoSpaceDE w:val="0"/>
        <w:autoSpaceDN w:val="0"/>
        <w:adjustRightInd w:val="0"/>
        <w:spacing w:after="240"/>
        <w:ind w:left="720"/>
        <w:jc w:val="left"/>
        <w:rPr>
          <w:rFonts w:ascii="Arial" w:hAnsi="Arial" w:cs="Arial"/>
          <w:snapToGrid/>
          <w:szCs w:val="24"/>
          <w:lang w:val="en-US"/>
        </w:rPr>
      </w:pPr>
      <w:r w:rsidRPr="003C1875">
        <w:rPr>
          <w:rFonts w:ascii="Arial" w:hAnsi="Arial" w:cs="Arial"/>
          <w:snapToGrid/>
          <w:szCs w:val="24"/>
          <w:lang w:val="en-US"/>
        </w:rPr>
        <w:t xml:space="preserve">A critical awareness, meaning that an individual has the ability to </w:t>
      </w:r>
      <w:proofErr w:type="spellStart"/>
      <w:r w:rsidRPr="003C1875">
        <w:rPr>
          <w:rFonts w:ascii="Arial" w:hAnsi="Arial" w:cs="Arial"/>
          <w:snapToGrid/>
          <w:szCs w:val="24"/>
          <w:lang w:val="en-US"/>
        </w:rPr>
        <w:t>recognise</w:t>
      </w:r>
      <w:proofErr w:type="spellEnd"/>
      <w:r w:rsidRPr="003C1875">
        <w:rPr>
          <w:rFonts w:ascii="Arial" w:hAnsi="Arial" w:cs="Arial"/>
          <w:snapToGrid/>
          <w:szCs w:val="24"/>
          <w:lang w:val="en-US"/>
        </w:rPr>
        <w:t xml:space="preserve">, </w:t>
      </w:r>
      <w:proofErr w:type="spellStart"/>
      <w:r w:rsidRPr="003C1875">
        <w:rPr>
          <w:rFonts w:ascii="Arial" w:hAnsi="Arial" w:cs="Arial"/>
          <w:snapToGrid/>
          <w:szCs w:val="24"/>
          <w:lang w:val="en-US"/>
        </w:rPr>
        <w:t>analyse</w:t>
      </w:r>
      <w:proofErr w:type="spellEnd"/>
      <w:r w:rsidRPr="003C1875">
        <w:rPr>
          <w:rFonts w:ascii="Arial" w:hAnsi="Arial" w:cs="Arial"/>
          <w:snapToGrid/>
          <w:szCs w:val="24"/>
          <w:lang w:val="en-US"/>
        </w:rPr>
        <w:t xml:space="preserve"> and critique religious stereotypes, and engage effectively with, and take a nuanced approach towards, the questions raised by religion.  </w:t>
      </w:r>
    </w:p>
    <w:p w14:paraId="48F3B13F" w14:textId="77777777" w:rsidR="003C1875" w:rsidRPr="003C1875" w:rsidRDefault="003C1875" w:rsidP="00307437">
      <w:pPr>
        <w:tabs>
          <w:tab w:val="left" w:pos="940"/>
          <w:tab w:val="left" w:pos="1440"/>
        </w:tabs>
        <w:autoSpaceDE w:val="0"/>
        <w:autoSpaceDN w:val="0"/>
        <w:adjustRightInd w:val="0"/>
        <w:spacing w:after="240"/>
        <w:ind w:left="720"/>
        <w:jc w:val="left"/>
        <w:rPr>
          <w:rFonts w:ascii="Arial" w:hAnsi="Arial" w:cs="Arial"/>
          <w:snapToGrid/>
          <w:szCs w:val="24"/>
          <w:lang w:val="en-US"/>
        </w:rPr>
      </w:pPr>
      <w:proofErr w:type="gramStart"/>
      <w:r w:rsidRPr="003C1875">
        <w:rPr>
          <w:rFonts w:ascii="Arial" w:hAnsi="Arial" w:cs="Arial"/>
          <w:snapToGrid/>
          <w:szCs w:val="24"/>
          <w:lang w:val="en-US"/>
        </w:rPr>
        <w:t>A sophisticated ability to engage with religious groups in a way which promotes respect and plurality, and which enables effectiv</w:t>
      </w:r>
      <w:r>
        <w:rPr>
          <w:rFonts w:ascii="Arial" w:hAnsi="Arial" w:cs="Arial"/>
          <w:snapToGrid/>
          <w:szCs w:val="24"/>
          <w:lang w:val="en-US"/>
        </w:rPr>
        <w:t>e communication about religion.</w:t>
      </w:r>
      <w:proofErr w:type="gramEnd"/>
    </w:p>
    <w:p w14:paraId="47E3A92F" w14:textId="77777777" w:rsidR="000E2A75" w:rsidRDefault="003C1875" w:rsidP="00200D5B">
      <w:pPr>
        <w:rPr>
          <w:rFonts w:ascii="Arial" w:hAnsi="Arial" w:cs="Arial"/>
          <w:szCs w:val="24"/>
        </w:rPr>
      </w:pPr>
      <w:r>
        <w:rPr>
          <w:rFonts w:ascii="Arial" w:hAnsi="Arial" w:cs="Arial"/>
          <w:szCs w:val="24"/>
        </w:rPr>
        <w:t xml:space="preserve">It is important to recognise that religious literacy is broader than religious education in schools. </w:t>
      </w:r>
      <w:r w:rsidR="00307437">
        <w:rPr>
          <w:rFonts w:ascii="Arial" w:hAnsi="Arial" w:cs="Arial"/>
          <w:szCs w:val="24"/>
        </w:rPr>
        <w:t>It is seen as an important skill for citizenship in a modern pluralistic society where religion and faith remain significant for that society, especially for public bodies and officials.</w:t>
      </w:r>
    </w:p>
    <w:p w14:paraId="03DE4E1D" w14:textId="77777777" w:rsidR="00307437" w:rsidRPr="00482DA1" w:rsidRDefault="00307437" w:rsidP="00200D5B">
      <w:pPr>
        <w:rPr>
          <w:rFonts w:ascii="Arial" w:hAnsi="Arial" w:cs="Arial"/>
          <w:szCs w:val="24"/>
        </w:rPr>
      </w:pPr>
    </w:p>
    <w:p w14:paraId="02676071" w14:textId="77777777" w:rsidR="00307437" w:rsidRDefault="000E2A75" w:rsidP="00717820">
      <w:pPr>
        <w:rPr>
          <w:rFonts w:ascii="Arial" w:hAnsi="Arial" w:cs="Arial"/>
        </w:rPr>
      </w:pPr>
      <w:r>
        <w:rPr>
          <w:rFonts w:ascii="Arial" w:hAnsi="Arial" w:cs="Arial"/>
        </w:rPr>
        <w:t>2.</w:t>
      </w:r>
      <w:r w:rsidR="00307437">
        <w:rPr>
          <w:rFonts w:ascii="Arial" w:hAnsi="Arial" w:cs="Arial"/>
        </w:rPr>
        <w:t>3 Whist it is recognised that religious literacy is relevant to the whole of society the APPG also believe that it has particular importance for religious education in schools (see Chapter 3). As a result of this the APPG made ten recommendations, nine of which are directly to the Department for Education:</w:t>
      </w:r>
    </w:p>
    <w:p w14:paraId="52EB817A" w14:textId="77777777" w:rsidR="00307437" w:rsidRDefault="00307437" w:rsidP="00717820">
      <w:pPr>
        <w:rPr>
          <w:rFonts w:ascii="Arial" w:hAnsi="Arial" w:cs="Arial"/>
        </w:rPr>
      </w:pPr>
    </w:p>
    <w:p w14:paraId="2FD30887"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1: the Department for Education should reinforce the statutory requirement of all state-funded schools to provide RE for all pupils, including at </w:t>
      </w:r>
      <w:r w:rsidRPr="00307437">
        <w:rPr>
          <w:rFonts w:ascii="Arial" w:hAnsi="Arial" w:cs="Arial"/>
          <w:snapToGrid/>
          <w:szCs w:val="24"/>
          <w:lang w:val="en-US"/>
        </w:rPr>
        <w:lastRenderedPageBreak/>
        <w:t xml:space="preserve">Key Stage 4, and should monitor its effective delivery. </w:t>
      </w:r>
    </w:p>
    <w:p w14:paraId="4DFB0067"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2: the Department for Education should record and publish data about the proportion of RE classes taught by full-time equivalent RE teachers and the proportion taught by non-specialists. </w:t>
      </w:r>
    </w:p>
    <w:p w14:paraId="314B55B2"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3: the Department for Education should place a high priority on stimulating recruitment of specialists to RE. It should be a vocal champion of the teaching of RE and should take steps to support independent initiatives working to increase recruitment. </w:t>
      </w:r>
    </w:p>
    <w:p w14:paraId="3223652E"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4: the Department for Education should ensure that all primary ITT </w:t>
      </w:r>
      <w:proofErr w:type="spellStart"/>
      <w:r w:rsidRPr="00307437">
        <w:rPr>
          <w:rFonts w:ascii="Arial" w:hAnsi="Arial" w:cs="Arial"/>
          <w:snapToGrid/>
          <w:szCs w:val="24"/>
          <w:lang w:val="en-US"/>
        </w:rPr>
        <w:t>programmes</w:t>
      </w:r>
      <w:proofErr w:type="spellEnd"/>
      <w:r w:rsidRPr="00307437">
        <w:rPr>
          <w:rFonts w:ascii="Arial" w:hAnsi="Arial" w:cs="Arial"/>
          <w:snapToGrid/>
          <w:szCs w:val="24"/>
          <w:lang w:val="en-US"/>
        </w:rPr>
        <w:t xml:space="preserve"> contain a suitable proportion of time dedicated to RE. Steps should be taken to ensure that all RE trainees </w:t>
      </w:r>
      <w:proofErr w:type="gramStart"/>
      <w:r w:rsidRPr="00307437">
        <w:rPr>
          <w:rFonts w:ascii="Arial" w:hAnsi="Arial" w:cs="Arial"/>
          <w:snapToGrid/>
          <w:szCs w:val="24"/>
          <w:lang w:val="en-US"/>
        </w:rPr>
        <w:t>can</w:t>
      </w:r>
      <w:proofErr w:type="gramEnd"/>
      <w:r w:rsidRPr="00307437">
        <w:rPr>
          <w:rFonts w:ascii="Arial" w:hAnsi="Arial" w:cs="Arial"/>
          <w:snapToGrid/>
          <w:szCs w:val="24"/>
          <w:lang w:val="en-US"/>
        </w:rPr>
        <w:t xml:space="preserve"> benefit from high quality subject experts informed by up-to-date pedagogical research. </w:t>
      </w:r>
    </w:p>
    <w:p w14:paraId="12ED758C"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5: the Department for Education should encourage ITT providers to offer a core element of religious literacy training in all secondary teacher training </w:t>
      </w:r>
      <w:proofErr w:type="spellStart"/>
      <w:r w:rsidRPr="00307437">
        <w:rPr>
          <w:rFonts w:ascii="Arial" w:hAnsi="Arial" w:cs="Arial"/>
          <w:snapToGrid/>
          <w:szCs w:val="24"/>
          <w:lang w:val="en-US"/>
        </w:rPr>
        <w:t>programmes</w:t>
      </w:r>
      <w:proofErr w:type="spellEnd"/>
      <w:r w:rsidRPr="00307437">
        <w:rPr>
          <w:rFonts w:ascii="Arial" w:hAnsi="Arial" w:cs="Arial"/>
          <w:snapToGrid/>
          <w:szCs w:val="24"/>
          <w:lang w:val="en-US"/>
        </w:rPr>
        <w:t xml:space="preserve">. </w:t>
      </w:r>
    </w:p>
    <w:p w14:paraId="3AC33B8D"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6: the Department for Education should take steps to ensure that all teachers of RE, especially non-specialists, have access to high quality subject-specific CPD opportunities. </w:t>
      </w:r>
    </w:p>
    <w:p w14:paraId="6ED052D5"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7: the Department for Education should encourage the expansion of CPD opportunities for high quality religious literacy training, and should encourage all teachers to take part in them. </w:t>
      </w:r>
    </w:p>
    <w:p w14:paraId="4906A193"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8: the Department for Education should give renewed consideration to including RE as a Humanities subject in the English Baccalaureate. It should conduct a new review of the impact that the exclusion of RE from the English Baccalaureate has had on the subject. It should also conduct a review of the likely impact on RE provision of the expansion of the English Baccalaureate to 90% of pupils, and set out how it will protect RE from any adverse effects of this. </w:t>
      </w:r>
    </w:p>
    <w:p w14:paraId="1E716955"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9: the Department for Education should take steps to promote uptake of the GCSE Religious Studies short course. </w:t>
      </w:r>
    </w:p>
    <w:p w14:paraId="7FE2AF0D" w14:textId="77777777" w:rsidR="00307437" w:rsidRPr="00307437" w:rsidRDefault="00307437" w:rsidP="00B6578C">
      <w:pPr>
        <w:autoSpaceDE w:val="0"/>
        <w:autoSpaceDN w:val="0"/>
        <w:adjustRightInd w:val="0"/>
        <w:spacing w:after="240"/>
        <w:ind w:left="720"/>
        <w:jc w:val="left"/>
        <w:rPr>
          <w:rFonts w:ascii="Arial" w:hAnsi="Arial" w:cs="Arial"/>
          <w:snapToGrid/>
          <w:szCs w:val="24"/>
          <w:lang w:val="en-US"/>
        </w:rPr>
      </w:pPr>
      <w:r w:rsidRPr="00307437">
        <w:rPr>
          <w:rFonts w:ascii="Arial" w:hAnsi="Arial" w:cs="Arial"/>
          <w:snapToGrid/>
          <w:szCs w:val="24"/>
          <w:lang w:val="en-US"/>
        </w:rPr>
        <w:t xml:space="preserve">Recommendation 10: all relevant parties should participate in the ongoing discussions about the legal framework for RE in schools and other major issues, including the Department for Education and faith communities. </w:t>
      </w:r>
    </w:p>
    <w:p w14:paraId="3662895F" w14:textId="77777777" w:rsidR="00BD5BBA" w:rsidRDefault="00307437" w:rsidP="00200D5B">
      <w:pPr>
        <w:rPr>
          <w:rFonts w:ascii="Arial" w:hAnsi="Arial" w:cs="Arial"/>
          <w:szCs w:val="24"/>
        </w:rPr>
      </w:pPr>
      <w:r>
        <w:rPr>
          <w:rFonts w:ascii="Arial" w:hAnsi="Arial" w:cs="Arial"/>
          <w:szCs w:val="24"/>
        </w:rPr>
        <w:t xml:space="preserve">2.4 </w:t>
      </w:r>
      <w:r>
        <w:rPr>
          <w:rFonts w:ascii="Arial" w:hAnsi="Arial" w:cs="Arial"/>
          <w:szCs w:val="24"/>
        </w:rPr>
        <w:tab/>
        <w:t xml:space="preserve">In light of these recommendations SACRE could, if it so desired, write to the Secretary of State to ask what it </w:t>
      </w:r>
      <w:r w:rsidR="00B6578C">
        <w:rPr>
          <w:rFonts w:ascii="Arial" w:hAnsi="Arial" w:cs="Arial"/>
          <w:szCs w:val="24"/>
        </w:rPr>
        <w:t xml:space="preserve">has done or </w:t>
      </w:r>
      <w:r>
        <w:rPr>
          <w:rFonts w:ascii="Arial" w:hAnsi="Arial" w:cs="Arial"/>
          <w:szCs w:val="24"/>
        </w:rPr>
        <w:t>is going to do about the APPG’s recommendations</w:t>
      </w:r>
      <w:r w:rsidR="00B6578C">
        <w:rPr>
          <w:rFonts w:ascii="Arial" w:hAnsi="Arial" w:cs="Arial"/>
          <w:szCs w:val="24"/>
        </w:rPr>
        <w:t xml:space="preserve"> and what timetable it has set itself for response. SACRE may wish to focus on some recommendations that it feels are particularly significant for Torbay schools in any communication it has with the Secretary of State.</w:t>
      </w:r>
    </w:p>
    <w:p w14:paraId="7D3CE0E4" w14:textId="77777777" w:rsidR="00B6578C" w:rsidRPr="00307437" w:rsidRDefault="00B6578C" w:rsidP="00200D5B">
      <w:pPr>
        <w:rPr>
          <w:rFonts w:ascii="Arial" w:hAnsi="Arial" w:cs="Arial"/>
          <w:szCs w:val="24"/>
        </w:rPr>
      </w:pPr>
    </w:p>
    <w:p w14:paraId="238C93CD" w14:textId="77777777" w:rsidR="00B6578C" w:rsidRDefault="00200D5B" w:rsidP="00B6578C">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630ED472" w14:textId="77777777" w:rsidR="00B6578C" w:rsidRPr="00B6578C" w:rsidRDefault="00B6578C" w:rsidP="00B6578C">
      <w:pPr>
        <w:rPr>
          <w:rFonts w:ascii="Arial" w:hAnsi="Arial" w:cs="Arial"/>
          <w:b/>
        </w:rPr>
      </w:pPr>
    </w:p>
    <w:p w14:paraId="4AF9035D" w14:textId="77777777" w:rsidR="007B2148" w:rsidRDefault="00B6578C" w:rsidP="00AF3D22">
      <w:pPr>
        <w:numPr>
          <w:ilvl w:val="1"/>
          <w:numId w:val="4"/>
        </w:numPr>
        <w:rPr>
          <w:rFonts w:ascii="Arial" w:hAnsi="Arial" w:cs="Arial"/>
        </w:rPr>
      </w:pPr>
      <w:r>
        <w:rPr>
          <w:rFonts w:ascii="Arial" w:hAnsi="Arial" w:cs="Arial"/>
        </w:rPr>
        <w:t xml:space="preserve">That SACRE write to the Secretary of State for Education to ask what its response to the APPG of RE’s report </w:t>
      </w:r>
      <w:r w:rsidRPr="00B6578C">
        <w:rPr>
          <w:rFonts w:ascii="Arial" w:hAnsi="Arial" w:cs="Arial"/>
          <w:b/>
          <w:bCs/>
          <w:snapToGrid/>
          <w:szCs w:val="24"/>
          <w:lang w:val="en-US"/>
        </w:rPr>
        <w:t>Improving Religious Literacy</w:t>
      </w:r>
      <w:r>
        <w:rPr>
          <w:rFonts w:ascii="Arial" w:hAnsi="Arial" w:cs="Arial"/>
          <w:b/>
          <w:bCs/>
          <w:snapToGrid/>
          <w:szCs w:val="24"/>
          <w:lang w:val="en-US"/>
        </w:rPr>
        <w:t xml:space="preserve">: </w:t>
      </w:r>
      <w:r w:rsidRPr="00B6578C">
        <w:rPr>
          <w:rFonts w:ascii="Arial" w:hAnsi="Arial" w:cs="Arial"/>
          <w:b/>
          <w:bCs/>
          <w:snapToGrid/>
          <w:szCs w:val="24"/>
          <w:lang w:val="en-US"/>
        </w:rPr>
        <w:t>A Contribution to the Debate</w:t>
      </w:r>
      <w:r>
        <w:rPr>
          <w:rFonts w:ascii="Calibri" w:hAnsi="Calibri" w:cs="Calibri"/>
          <w:b/>
          <w:bCs/>
          <w:snapToGrid/>
          <w:color w:val="6C6C6C"/>
          <w:sz w:val="64"/>
          <w:szCs w:val="64"/>
          <w:lang w:val="en-US"/>
        </w:rPr>
        <w:t xml:space="preserve"> </w:t>
      </w:r>
      <w:r w:rsidRPr="00B6578C">
        <w:rPr>
          <w:rFonts w:ascii="Arial" w:hAnsi="Arial" w:cs="Arial"/>
          <w:bCs/>
          <w:snapToGrid/>
          <w:szCs w:val="24"/>
          <w:lang w:val="en-US"/>
        </w:rPr>
        <w:t>published in July 2016</w:t>
      </w:r>
      <w:r>
        <w:rPr>
          <w:rFonts w:ascii="Arial" w:hAnsi="Arial" w:cs="Arial"/>
          <w:bCs/>
          <w:snapToGrid/>
          <w:szCs w:val="24"/>
          <w:lang w:val="en-US"/>
        </w:rPr>
        <w:t xml:space="preserve"> has been.</w:t>
      </w:r>
    </w:p>
    <w:p w14:paraId="4E02DA7B" w14:textId="77777777" w:rsidR="00717820" w:rsidRDefault="00717820" w:rsidP="00B6578C">
      <w:pPr>
        <w:ind w:left="720"/>
        <w:rPr>
          <w:rFonts w:ascii="Arial" w:hAnsi="Arial" w:cs="Arial"/>
        </w:rPr>
      </w:pPr>
    </w:p>
    <w:p w14:paraId="5E847666" w14:textId="77777777" w:rsidR="00BD5BBA" w:rsidRDefault="00A112EE" w:rsidP="008D0357">
      <w:pPr>
        <w:numPr>
          <w:ilvl w:val="1"/>
          <w:numId w:val="4"/>
        </w:numPr>
        <w:jc w:val="left"/>
        <w:rPr>
          <w:rFonts w:ascii="Arial" w:hAnsi="Arial" w:cs="Arial"/>
        </w:rPr>
      </w:pPr>
      <w:r w:rsidRPr="00B6578C">
        <w:rPr>
          <w:rFonts w:ascii="Arial" w:hAnsi="Arial" w:cs="Arial"/>
        </w:rPr>
        <w:lastRenderedPageBreak/>
        <w:t xml:space="preserve">That SACRE </w:t>
      </w:r>
      <w:r w:rsidR="00B6578C" w:rsidRPr="00B6578C">
        <w:rPr>
          <w:rFonts w:ascii="Arial" w:hAnsi="Arial" w:cs="Arial"/>
        </w:rPr>
        <w:t>include in any correspondence with the Secretary of State any specific concerns it has in light of those recommendations for schools in Torbay</w:t>
      </w:r>
      <w:r w:rsidR="00B6578C">
        <w:rPr>
          <w:rFonts w:ascii="Arial" w:hAnsi="Arial" w:cs="Arial"/>
        </w:rPr>
        <w:t>.</w:t>
      </w:r>
    </w:p>
    <w:p w14:paraId="1ABF1F78" w14:textId="77777777" w:rsidR="00B6578C" w:rsidRPr="00B6578C" w:rsidRDefault="00B6578C" w:rsidP="00B6578C">
      <w:pPr>
        <w:jc w:val="left"/>
        <w:rPr>
          <w:rFonts w:ascii="Arial" w:hAnsi="Arial" w:cs="Arial"/>
        </w:rPr>
      </w:pPr>
    </w:p>
    <w:p w14:paraId="3126EE19" w14:textId="77777777" w:rsidR="008D0357" w:rsidRPr="001E4B9D" w:rsidRDefault="002F358A" w:rsidP="008D0357">
      <w:pPr>
        <w:jc w:val="left"/>
        <w:rPr>
          <w:rFonts w:ascii="Arial" w:hAnsi="Arial"/>
          <w:b/>
          <w:szCs w:val="24"/>
        </w:rPr>
      </w:pPr>
      <w:r>
        <w:rPr>
          <w:rFonts w:ascii="Arial" w:hAnsi="Arial"/>
          <w:b/>
          <w:szCs w:val="24"/>
        </w:rPr>
        <w:t>Andrew Strachan</w:t>
      </w:r>
    </w:p>
    <w:p w14:paraId="3D891511" w14:textId="77777777" w:rsidR="008D0357" w:rsidRPr="001E4B9D" w:rsidRDefault="00200D5B" w:rsidP="008D0357">
      <w:pPr>
        <w:jc w:val="left"/>
        <w:rPr>
          <w:rFonts w:ascii="Arial" w:hAnsi="Arial"/>
          <w:b/>
          <w:szCs w:val="24"/>
        </w:rPr>
      </w:pPr>
      <w:r>
        <w:rPr>
          <w:rFonts w:ascii="Arial" w:hAnsi="Arial"/>
          <w:b/>
          <w:szCs w:val="24"/>
        </w:rPr>
        <w:t>Chair of SACRE</w:t>
      </w:r>
    </w:p>
    <w:p w14:paraId="4EF9FACD" w14:textId="77777777" w:rsidR="008D0357" w:rsidRDefault="008D0357" w:rsidP="00D71E36">
      <w:pPr>
        <w:jc w:val="left"/>
        <w:rPr>
          <w:rFonts w:ascii="Arial" w:hAnsi="Arial"/>
          <w:b/>
          <w:szCs w:val="24"/>
        </w:rPr>
      </w:pPr>
    </w:p>
    <w:p w14:paraId="67176B34"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087896D7" w14:textId="77777777" w:rsidR="00AF3D22" w:rsidRDefault="00AF3D22" w:rsidP="00842BB3">
      <w:pPr>
        <w:rPr>
          <w:rFonts w:ascii="Arial" w:hAnsi="Arial"/>
          <w:b/>
          <w:szCs w:val="24"/>
        </w:rPr>
      </w:pPr>
    </w:p>
    <w:p w14:paraId="153F6DA1" w14:textId="77777777" w:rsidR="00CF2F04" w:rsidRPr="00D317D7" w:rsidRDefault="00CF2F04" w:rsidP="00842BB3">
      <w:pPr>
        <w:rPr>
          <w:rFonts w:ascii="Arial" w:hAnsi="Arial"/>
          <w:szCs w:val="24"/>
        </w:rPr>
      </w:pPr>
    </w:p>
    <w:p w14:paraId="3D5D83D1"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4796C9F5" w14:textId="77777777" w:rsidR="00CF2F04" w:rsidRPr="00D317D7" w:rsidRDefault="00CF2F04" w:rsidP="00842BB3">
      <w:pPr>
        <w:pStyle w:val="PolicyHeader"/>
        <w:rPr>
          <w:rFonts w:ascii="Arial" w:hAnsi="Arial"/>
          <w:b w:val="0"/>
          <w:szCs w:val="24"/>
        </w:rPr>
      </w:pPr>
    </w:p>
    <w:p w14:paraId="7ECE9E75"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57A1E244" w14:textId="77777777" w:rsidR="008D0357" w:rsidRDefault="008D0357" w:rsidP="008D0357">
      <w:pPr>
        <w:jc w:val="left"/>
        <w:rPr>
          <w:rFonts w:ascii="Arial" w:hAnsi="Arial"/>
          <w:b/>
          <w:szCs w:val="24"/>
        </w:rPr>
      </w:pPr>
    </w:p>
    <w:p w14:paraId="78723CF7" w14:textId="77777777" w:rsidR="008814DB" w:rsidRDefault="008814DB" w:rsidP="008D0357">
      <w:pPr>
        <w:jc w:val="left"/>
        <w:rPr>
          <w:rFonts w:ascii="Arial" w:hAnsi="Arial" w:cs="Arial"/>
        </w:rPr>
      </w:pPr>
    </w:p>
    <w:p w14:paraId="5199D002" w14:textId="77777777" w:rsidR="008814DB" w:rsidRPr="00697A1C" w:rsidRDefault="008814DB" w:rsidP="008D0357">
      <w:pPr>
        <w:jc w:val="left"/>
        <w:rPr>
          <w:rFonts w:ascii="Arial" w:hAnsi="Arial"/>
          <w:b/>
          <w:szCs w:val="24"/>
        </w:rPr>
      </w:pPr>
    </w:p>
    <w:sectPr w:rsidR="008814DB" w:rsidRPr="00697A1C" w:rsidSect="00855485">
      <w:footerReference w:type="default" r:id="rId11"/>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0F90DA" w14:textId="77777777" w:rsidR="00307437" w:rsidRDefault="00307437">
      <w:r>
        <w:separator/>
      </w:r>
    </w:p>
  </w:endnote>
  <w:endnote w:type="continuationSeparator" w:id="0">
    <w:p w14:paraId="43313F36" w14:textId="77777777" w:rsidR="00307437" w:rsidRDefault="0030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4BE91" w14:textId="77777777" w:rsidR="00307437" w:rsidRDefault="00307437">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D3C2D" w14:textId="77777777" w:rsidR="00307437" w:rsidRDefault="00307437">
      <w:r>
        <w:separator/>
      </w:r>
    </w:p>
  </w:footnote>
  <w:footnote w:type="continuationSeparator" w:id="0">
    <w:p w14:paraId="0C48A9F0" w14:textId="77777777" w:rsidR="00307437" w:rsidRDefault="003074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5"/>
  </w:num>
  <w:num w:numId="4">
    <w:abstractNumId w:val="2"/>
  </w:num>
  <w:num w:numId="5">
    <w:abstractNumId w:val="4"/>
  </w:num>
  <w:num w:numId="6">
    <w:abstractNumId w:val="3"/>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DA1"/>
    <w:rsid w:val="0001124E"/>
    <w:rsid w:val="000363D5"/>
    <w:rsid w:val="00055942"/>
    <w:rsid w:val="00060A7A"/>
    <w:rsid w:val="00085678"/>
    <w:rsid w:val="000A6942"/>
    <w:rsid w:val="000E2A75"/>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77659"/>
    <w:rsid w:val="00294CBE"/>
    <w:rsid w:val="002B0B1E"/>
    <w:rsid w:val="002B316B"/>
    <w:rsid w:val="002F358A"/>
    <w:rsid w:val="00307437"/>
    <w:rsid w:val="00320C51"/>
    <w:rsid w:val="003640CD"/>
    <w:rsid w:val="003734A0"/>
    <w:rsid w:val="0039303E"/>
    <w:rsid w:val="003C1875"/>
    <w:rsid w:val="00423BAC"/>
    <w:rsid w:val="00426CFC"/>
    <w:rsid w:val="004545A0"/>
    <w:rsid w:val="00456631"/>
    <w:rsid w:val="00482DA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83968"/>
    <w:rsid w:val="006921D1"/>
    <w:rsid w:val="00697A1C"/>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F1BFA"/>
    <w:rsid w:val="00901096"/>
    <w:rsid w:val="00901B35"/>
    <w:rsid w:val="009071B2"/>
    <w:rsid w:val="00943BA0"/>
    <w:rsid w:val="00965954"/>
    <w:rsid w:val="00987F59"/>
    <w:rsid w:val="009C2E4C"/>
    <w:rsid w:val="009C683F"/>
    <w:rsid w:val="00A112EE"/>
    <w:rsid w:val="00A475BC"/>
    <w:rsid w:val="00A47670"/>
    <w:rsid w:val="00A71501"/>
    <w:rsid w:val="00A87F38"/>
    <w:rsid w:val="00AB33D7"/>
    <w:rsid w:val="00AD0D63"/>
    <w:rsid w:val="00AD39F5"/>
    <w:rsid w:val="00AF3D22"/>
    <w:rsid w:val="00B06C67"/>
    <w:rsid w:val="00B11C92"/>
    <w:rsid w:val="00B6578C"/>
    <w:rsid w:val="00BB54D4"/>
    <w:rsid w:val="00BD52B1"/>
    <w:rsid w:val="00BD5BBA"/>
    <w:rsid w:val="00BF5732"/>
    <w:rsid w:val="00BF7D0E"/>
    <w:rsid w:val="00C31201"/>
    <w:rsid w:val="00C50C29"/>
    <w:rsid w:val="00CA6741"/>
    <w:rsid w:val="00CA73F3"/>
    <w:rsid w:val="00CB0D87"/>
    <w:rsid w:val="00CF2F04"/>
    <w:rsid w:val="00D317D7"/>
    <w:rsid w:val="00D53F2F"/>
    <w:rsid w:val="00D71E36"/>
    <w:rsid w:val="00D757F1"/>
    <w:rsid w:val="00D80EE3"/>
    <w:rsid w:val="00DC4CEC"/>
    <w:rsid w:val="00DD21B4"/>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63C8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hampshireeducational@outlo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SACR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BD1D-C7F6-FF4B-BCA9-4B4E485DE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Torbay SACRE report.dotx</Template>
  <TotalTime>37</TotalTime>
  <Pages>4</Pages>
  <Words>1206</Words>
  <Characters>6876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8066</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4</cp:revision>
  <cp:lastPrinted>2006-10-19T13:23:00Z</cp:lastPrinted>
  <dcterms:created xsi:type="dcterms:W3CDTF">2016-10-24T05:16:00Z</dcterms:created>
  <dcterms:modified xsi:type="dcterms:W3CDTF">2016-10-30T19:29:00Z</dcterms:modified>
</cp:coreProperties>
</file>