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03" w:rsidRPr="00816D03" w:rsidRDefault="00816D03" w:rsidP="00816D03">
      <w:pPr>
        <w:rPr>
          <w:b/>
          <w:sz w:val="36"/>
          <w:szCs w:val="36"/>
        </w:rPr>
      </w:pPr>
      <w:r w:rsidRPr="00816D03">
        <w:rPr>
          <w:b/>
          <w:sz w:val="36"/>
          <w:szCs w:val="36"/>
        </w:rPr>
        <w:t xml:space="preserve">TORBAY LOCAL PLAN </w:t>
      </w:r>
    </w:p>
    <w:p w:rsidR="00816D03" w:rsidRPr="00816D03" w:rsidRDefault="00816D03" w:rsidP="00816D03">
      <w:pPr>
        <w:rPr>
          <w:b/>
          <w:sz w:val="28"/>
          <w:szCs w:val="28"/>
        </w:rPr>
      </w:pPr>
    </w:p>
    <w:p w:rsidR="00816D03" w:rsidRPr="00816D03" w:rsidRDefault="00816D03" w:rsidP="00816D03">
      <w:pPr>
        <w:rPr>
          <w:b/>
          <w:sz w:val="28"/>
          <w:szCs w:val="28"/>
        </w:rPr>
      </w:pPr>
      <w:r w:rsidRPr="00816D03">
        <w:rPr>
          <w:b/>
          <w:sz w:val="28"/>
          <w:szCs w:val="28"/>
        </w:rPr>
        <w:t>A landscape for success</w:t>
      </w:r>
    </w:p>
    <w:p w:rsidR="00816D03" w:rsidRPr="00816D03" w:rsidRDefault="00816D03" w:rsidP="00816D03">
      <w:pPr>
        <w:rPr>
          <w:b/>
          <w:sz w:val="24"/>
          <w:szCs w:val="24"/>
        </w:rPr>
      </w:pPr>
    </w:p>
    <w:p w:rsidR="00816D03" w:rsidRPr="00816D03" w:rsidRDefault="00816D03" w:rsidP="00816D03">
      <w:pPr>
        <w:rPr>
          <w:b/>
          <w:sz w:val="24"/>
          <w:szCs w:val="24"/>
        </w:rPr>
      </w:pPr>
      <w:r w:rsidRPr="00816D03">
        <w:rPr>
          <w:b/>
          <w:sz w:val="24"/>
          <w:szCs w:val="24"/>
        </w:rPr>
        <w:t>The Plan for Torbay – 2012 to 2032 and beyond</w:t>
      </w:r>
    </w:p>
    <w:p w:rsidR="00816D03" w:rsidRPr="00816D03" w:rsidRDefault="00816D03" w:rsidP="00816D03"/>
    <w:p w:rsidR="00816D03" w:rsidRPr="00816D03" w:rsidRDefault="00816D03" w:rsidP="00816D03"/>
    <w:p w:rsidR="00816D03" w:rsidRPr="00816D03" w:rsidRDefault="00816D03" w:rsidP="00816D03">
      <w:pPr>
        <w:rPr>
          <w:sz w:val="36"/>
          <w:szCs w:val="36"/>
        </w:rPr>
      </w:pPr>
    </w:p>
    <w:p w:rsidR="00816D03" w:rsidRPr="00816D03" w:rsidRDefault="00816D03" w:rsidP="00816D03">
      <w:pPr>
        <w:rPr>
          <w:sz w:val="36"/>
          <w:szCs w:val="36"/>
        </w:rPr>
      </w:pPr>
    </w:p>
    <w:p w:rsidR="00816D03" w:rsidRPr="00816D03" w:rsidRDefault="00816D03" w:rsidP="00816D03">
      <w:pPr>
        <w:rPr>
          <w:sz w:val="36"/>
          <w:szCs w:val="36"/>
        </w:rPr>
      </w:pPr>
      <w:r w:rsidRPr="00816D03">
        <w:rPr>
          <w:sz w:val="36"/>
          <w:szCs w:val="36"/>
        </w:rPr>
        <w:t>SUBMISSION PLAN</w:t>
      </w:r>
    </w:p>
    <w:p w:rsidR="00816D03" w:rsidRPr="00816D03" w:rsidRDefault="00816D03" w:rsidP="00816D03"/>
    <w:p w:rsidR="00816D03" w:rsidRDefault="00816D03" w:rsidP="00816D03">
      <w:pPr>
        <w:rPr>
          <w:rFonts w:cs="Arial"/>
          <w:b/>
          <w:sz w:val="40"/>
          <w:szCs w:val="40"/>
        </w:rPr>
      </w:pPr>
    </w:p>
    <w:p w:rsidR="00D26B70" w:rsidRDefault="00D26B70" w:rsidP="00816D03">
      <w:pPr>
        <w:rPr>
          <w:rFonts w:cs="Arial"/>
          <w:b/>
          <w:sz w:val="40"/>
          <w:szCs w:val="40"/>
        </w:rPr>
      </w:pPr>
    </w:p>
    <w:p w:rsidR="00816D03" w:rsidRPr="00816D03" w:rsidRDefault="00816D03" w:rsidP="00816D03">
      <w:pPr>
        <w:rPr>
          <w:b/>
          <w:sz w:val="40"/>
          <w:szCs w:val="40"/>
        </w:rPr>
      </w:pPr>
      <w:r w:rsidRPr="00816D03">
        <w:rPr>
          <w:rFonts w:cs="Arial"/>
          <w:b/>
          <w:sz w:val="40"/>
          <w:szCs w:val="40"/>
        </w:rPr>
        <w:t xml:space="preserve">TORBAY COUNCIL PROPOSED MODIFICATIONS DOCUMENT - </w:t>
      </w:r>
      <w:r w:rsidRPr="00816D03">
        <w:rPr>
          <w:b/>
          <w:sz w:val="40"/>
          <w:szCs w:val="40"/>
        </w:rPr>
        <w:t>TCMOD/17</w:t>
      </w:r>
    </w:p>
    <w:p w:rsidR="00816D03" w:rsidRDefault="00816D03" w:rsidP="00816D03">
      <w:pPr>
        <w:rPr>
          <w:b/>
          <w:sz w:val="56"/>
          <w:szCs w:val="56"/>
        </w:rPr>
      </w:pPr>
    </w:p>
    <w:p w:rsidR="00816D03" w:rsidRPr="00816D03" w:rsidRDefault="005F383D" w:rsidP="00816D03">
      <w:pPr>
        <w:rPr>
          <w:b/>
          <w:sz w:val="56"/>
          <w:szCs w:val="56"/>
        </w:rPr>
      </w:pPr>
      <w:r>
        <w:rPr>
          <w:b/>
          <w:sz w:val="56"/>
          <w:szCs w:val="56"/>
        </w:rPr>
        <w:t>Torbay Council f</w:t>
      </w:r>
      <w:r w:rsidR="00816D03" w:rsidRPr="00816D03">
        <w:rPr>
          <w:b/>
          <w:sz w:val="56"/>
          <w:szCs w:val="56"/>
        </w:rPr>
        <w:t>urther response to N</w:t>
      </w:r>
      <w:r w:rsidR="00816D03">
        <w:rPr>
          <w:b/>
          <w:sz w:val="56"/>
          <w:szCs w:val="56"/>
        </w:rPr>
        <w:t xml:space="preserve">atural </w:t>
      </w:r>
      <w:r w:rsidR="00816D03" w:rsidRPr="00816D03">
        <w:rPr>
          <w:b/>
          <w:sz w:val="56"/>
          <w:szCs w:val="56"/>
        </w:rPr>
        <w:t>E</w:t>
      </w:r>
      <w:r w:rsidR="00816D03">
        <w:rPr>
          <w:b/>
          <w:sz w:val="56"/>
          <w:szCs w:val="56"/>
        </w:rPr>
        <w:t xml:space="preserve">ngland </w:t>
      </w:r>
      <w:r w:rsidR="00816D03" w:rsidRPr="00816D03">
        <w:rPr>
          <w:b/>
          <w:sz w:val="56"/>
          <w:szCs w:val="56"/>
        </w:rPr>
        <w:t xml:space="preserve">representations on Proposed </w:t>
      </w:r>
      <w:r w:rsidR="00D54844">
        <w:rPr>
          <w:b/>
          <w:sz w:val="56"/>
          <w:szCs w:val="56"/>
        </w:rPr>
        <w:t xml:space="preserve">Main and Additional </w:t>
      </w:r>
      <w:r w:rsidR="00816D03" w:rsidRPr="00816D03">
        <w:rPr>
          <w:b/>
          <w:sz w:val="56"/>
          <w:szCs w:val="56"/>
        </w:rPr>
        <w:t>Modifications</w:t>
      </w:r>
      <w:r w:rsidR="00D54844">
        <w:rPr>
          <w:b/>
          <w:sz w:val="56"/>
          <w:szCs w:val="56"/>
        </w:rPr>
        <w:t>, SA and HRA</w:t>
      </w:r>
    </w:p>
    <w:p w:rsidR="00816D03" w:rsidRPr="00816D03" w:rsidRDefault="00816D03" w:rsidP="00816D03">
      <w:pPr>
        <w:rPr>
          <w:b/>
          <w:sz w:val="56"/>
          <w:szCs w:val="56"/>
        </w:rPr>
      </w:pPr>
    </w:p>
    <w:p w:rsidR="00816D03" w:rsidRPr="00816D03" w:rsidRDefault="00816D03" w:rsidP="00816D03"/>
    <w:p w:rsidR="00816D03" w:rsidRPr="00816D03" w:rsidRDefault="00816D03" w:rsidP="00816D03"/>
    <w:p w:rsidR="00816D03" w:rsidRDefault="00816D03" w:rsidP="00816D03"/>
    <w:p w:rsidR="00D26B70" w:rsidRDefault="00D26B70" w:rsidP="00816D03"/>
    <w:p w:rsidR="00D26B70" w:rsidRDefault="00D26B70" w:rsidP="00816D03"/>
    <w:p w:rsidR="00D26B70" w:rsidRDefault="00D26B70" w:rsidP="00816D03"/>
    <w:p w:rsidR="00D54844" w:rsidRPr="00816D03" w:rsidRDefault="00D54844" w:rsidP="00816D03"/>
    <w:p w:rsidR="00816D03" w:rsidRPr="00816D03" w:rsidRDefault="00816D03" w:rsidP="00816D03"/>
    <w:p w:rsidR="00816D03" w:rsidRPr="00D26B70" w:rsidRDefault="00816D03" w:rsidP="00816D03">
      <w:pPr>
        <w:rPr>
          <w:sz w:val="24"/>
          <w:szCs w:val="24"/>
        </w:rPr>
      </w:pPr>
      <w:r w:rsidRPr="00D26B70">
        <w:rPr>
          <w:sz w:val="24"/>
          <w:szCs w:val="24"/>
        </w:rPr>
        <w:t xml:space="preserve">Torbay Council – </w:t>
      </w:r>
      <w:r w:rsidR="00B07D37">
        <w:rPr>
          <w:sz w:val="24"/>
          <w:szCs w:val="24"/>
        </w:rPr>
        <w:t>30</w:t>
      </w:r>
      <w:r w:rsidRPr="00D26B70">
        <w:rPr>
          <w:sz w:val="24"/>
          <w:szCs w:val="24"/>
        </w:rPr>
        <w:t xml:space="preserve"> April 2015 </w:t>
      </w:r>
    </w:p>
    <w:p w:rsidR="00816D03" w:rsidRPr="00816D03" w:rsidRDefault="00816D03" w:rsidP="005D0E82">
      <w:pPr>
        <w:rPr>
          <w:sz w:val="24"/>
          <w:szCs w:val="24"/>
        </w:rPr>
      </w:pPr>
    </w:p>
    <w:p w:rsidR="00816D03" w:rsidRPr="00816D03" w:rsidRDefault="00816D03" w:rsidP="005D0E82">
      <w:pPr>
        <w:rPr>
          <w:sz w:val="24"/>
          <w:szCs w:val="24"/>
        </w:rPr>
      </w:pPr>
    </w:p>
    <w:p w:rsidR="00D26B70" w:rsidRPr="00D26B70" w:rsidRDefault="00D26B70" w:rsidP="00D26B70">
      <w:pPr>
        <w:rPr>
          <w:b/>
          <w:sz w:val="24"/>
          <w:szCs w:val="24"/>
        </w:rPr>
      </w:pPr>
      <w:r w:rsidRPr="00D26B70">
        <w:rPr>
          <w:rFonts w:cs="Arial"/>
          <w:b/>
          <w:sz w:val="24"/>
          <w:szCs w:val="24"/>
        </w:rPr>
        <w:lastRenderedPageBreak/>
        <w:t xml:space="preserve">TORBAY COUNCIL PROPOSED MODIFICATIONS DOCUMENT - </w:t>
      </w:r>
      <w:r w:rsidRPr="00D26B70">
        <w:rPr>
          <w:b/>
          <w:sz w:val="24"/>
          <w:szCs w:val="24"/>
        </w:rPr>
        <w:t>TCMOD/17</w:t>
      </w:r>
    </w:p>
    <w:p w:rsidR="00D26B70" w:rsidRPr="00D26B70" w:rsidRDefault="00D26B70" w:rsidP="00D26B70">
      <w:pPr>
        <w:rPr>
          <w:b/>
          <w:sz w:val="24"/>
          <w:szCs w:val="24"/>
        </w:rPr>
      </w:pPr>
    </w:p>
    <w:p w:rsidR="00D26B70" w:rsidRPr="00D26B70" w:rsidRDefault="00D26B70" w:rsidP="00D26B70">
      <w:pPr>
        <w:rPr>
          <w:b/>
          <w:sz w:val="24"/>
          <w:szCs w:val="24"/>
        </w:rPr>
      </w:pPr>
      <w:r w:rsidRPr="00D26B70">
        <w:rPr>
          <w:b/>
          <w:sz w:val="24"/>
          <w:szCs w:val="24"/>
        </w:rPr>
        <w:t xml:space="preserve">Further response to Natural England representations on Proposed </w:t>
      </w:r>
      <w:r w:rsidR="000E3729">
        <w:rPr>
          <w:b/>
          <w:sz w:val="24"/>
          <w:szCs w:val="24"/>
        </w:rPr>
        <w:t xml:space="preserve">Main and Additional </w:t>
      </w:r>
      <w:r w:rsidRPr="00D26B70">
        <w:rPr>
          <w:b/>
          <w:sz w:val="24"/>
          <w:szCs w:val="24"/>
        </w:rPr>
        <w:t>Modifications</w:t>
      </w:r>
      <w:r w:rsidR="000E3729">
        <w:rPr>
          <w:b/>
          <w:sz w:val="24"/>
          <w:szCs w:val="24"/>
        </w:rPr>
        <w:t>, SA and HRA</w:t>
      </w:r>
    </w:p>
    <w:p w:rsidR="00D26B70" w:rsidRPr="00D26B70" w:rsidRDefault="00D26B70" w:rsidP="005D0E82">
      <w:pPr>
        <w:pBdr>
          <w:bottom w:val="single" w:sz="6" w:space="1" w:color="auto"/>
        </w:pBdr>
        <w:rPr>
          <w:sz w:val="24"/>
          <w:szCs w:val="24"/>
        </w:rPr>
      </w:pPr>
    </w:p>
    <w:p w:rsidR="00971C24" w:rsidRDefault="00971C24" w:rsidP="005D0E82">
      <w:pPr>
        <w:rPr>
          <w:sz w:val="24"/>
          <w:szCs w:val="24"/>
        </w:rPr>
      </w:pPr>
    </w:p>
    <w:p w:rsidR="005D0E82" w:rsidRPr="00D26B70" w:rsidRDefault="005D0E82" w:rsidP="005D0E82">
      <w:pPr>
        <w:rPr>
          <w:b/>
          <w:sz w:val="24"/>
          <w:szCs w:val="24"/>
        </w:rPr>
      </w:pPr>
      <w:r w:rsidRPr="00D26B70">
        <w:rPr>
          <w:b/>
          <w:sz w:val="24"/>
          <w:szCs w:val="24"/>
        </w:rPr>
        <w:t>Background</w:t>
      </w:r>
    </w:p>
    <w:p w:rsidR="000E3729" w:rsidRDefault="000E3729" w:rsidP="005D0E82">
      <w:pPr>
        <w:rPr>
          <w:sz w:val="24"/>
          <w:szCs w:val="24"/>
        </w:rPr>
      </w:pPr>
      <w:r>
        <w:rPr>
          <w:sz w:val="24"/>
          <w:szCs w:val="24"/>
        </w:rPr>
        <w:t>During the February / March 2015 consultation period, t</w:t>
      </w:r>
      <w:r w:rsidR="005D0E82" w:rsidRPr="00D26B70">
        <w:rPr>
          <w:sz w:val="24"/>
          <w:szCs w:val="24"/>
        </w:rPr>
        <w:t>he Council received a comprehensive set of comments on the Proposed Modifications to the Submission</w:t>
      </w:r>
      <w:r w:rsidR="00D26B70">
        <w:rPr>
          <w:sz w:val="24"/>
          <w:szCs w:val="24"/>
        </w:rPr>
        <w:t xml:space="preserve"> </w:t>
      </w:r>
      <w:r w:rsidR="005D0E82" w:rsidRPr="00D26B70">
        <w:rPr>
          <w:sz w:val="24"/>
          <w:szCs w:val="24"/>
        </w:rPr>
        <w:t xml:space="preserve">Torbay Local Plan from Natural England (NE), set out </w:t>
      </w:r>
      <w:r w:rsidR="00D26B70">
        <w:rPr>
          <w:sz w:val="24"/>
          <w:szCs w:val="24"/>
        </w:rPr>
        <w:t xml:space="preserve">its </w:t>
      </w:r>
      <w:r w:rsidR="005D0E82" w:rsidRPr="00D26B70">
        <w:rPr>
          <w:sz w:val="24"/>
          <w:szCs w:val="24"/>
        </w:rPr>
        <w:t>letter of 18 March 2015. On 2 April 2015, the Council’s Strategic Appraisal Officer and the Council’s ecolog</w:t>
      </w:r>
      <w:r w:rsidR="00D26B70">
        <w:rPr>
          <w:sz w:val="24"/>
          <w:szCs w:val="24"/>
        </w:rPr>
        <w:t>y</w:t>
      </w:r>
      <w:r w:rsidR="005D0E82" w:rsidRPr="00D26B70">
        <w:rPr>
          <w:sz w:val="24"/>
          <w:szCs w:val="24"/>
        </w:rPr>
        <w:t xml:space="preserve"> consultant met with Natural England</w:t>
      </w:r>
      <w:r w:rsidR="00D26B70">
        <w:rPr>
          <w:sz w:val="24"/>
          <w:szCs w:val="24"/>
        </w:rPr>
        <w:t>’s Lead Plans Advisor</w:t>
      </w:r>
      <w:r w:rsidR="005D0E82" w:rsidRPr="00D26B70">
        <w:rPr>
          <w:sz w:val="24"/>
          <w:szCs w:val="24"/>
        </w:rPr>
        <w:t xml:space="preserve"> to discuss </w:t>
      </w:r>
      <w:r w:rsidR="00D26B70">
        <w:rPr>
          <w:sz w:val="24"/>
          <w:szCs w:val="24"/>
        </w:rPr>
        <w:t xml:space="preserve">the </w:t>
      </w:r>
      <w:r w:rsidR="005D0E82" w:rsidRPr="00D26B70">
        <w:rPr>
          <w:sz w:val="24"/>
          <w:szCs w:val="24"/>
        </w:rPr>
        <w:t>representations</w:t>
      </w:r>
      <w:r w:rsidR="00D26B70">
        <w:rPr>
          <w:sz w:val="24"/>
          <w:szCs w:val="24"/>
        </w:rPr>
        <w:t xml:space="preserve"> made</w:t>
      </w:r>
      <w:r w:rsidR="005D0E82" w:rsidRPr="00D26B70">
        <w:rPr>
          <w:sz w:val="24"/>
          <w:szCs w:val="24"/>
        </w:rPr>
        <w:t xml:space="preserve">, in particular matters relating to the SA, HRA and </w:t>
      </w:r>
      <w:r w:rsidR="007A02CB">
        <w:rPr>
          <w:sz w:val="24"/>
          <w:szCs w:val="24"/>
        </w:rPr>
        <w:t xml:space="preserve">the </w:t>
      </w:r>
      <w:r w:rsidR="005D0E82" w:rsidRPr="00D26B70">
        <w:rPr>
          <w:sz w:val="24"/>
          <w:szCs w:val="24"/>
        </w:rPr>
        <w:t>detailed ecological</w:t>
      </w:r>
      <w:r>
        <w:rPr>
          <w:sz w:val="24"/>
          <w:szCs w:val="24"/>
        </w:rPr>
        <w:t xml:space="preserve"> </w:t>
      </w:r>
      <w:r w:rsidR="005D0E82" w:rsidRPr="00D26B70">
        <w:rPr>
          <w:sz w:val="24"/>
          <w:szCs w:val="24"/>
        </w:rPr>
        <w:t>impact</w:t>
      </w:r>
      <w:r>
        <w:rPr>
          <w:sz w:val="24"/>
          <w:szCs w:val="24"/>
        </w:rPr>
        <w:t>s</w:t>
      </w:r>
      <w:r w:rsidR="005D0E82" w:rsidRPr="00D26B70">
        <w:rPr>
          <w:sz w:val="24"/>
          <w:szCs w:val="24"/>
        </w:rPr>
        <w:t xml:space="preserve"> of specific new site allocations put forward in the Proposed Modifications to the Local Plan. </w:t>
      </w:r>
    </w:p>
    <w:p w:rsidR="000E3729" w:rsidRDefault="000E3729" w:rsidP="005D0E82">
      <w:pPr>
        <w:rPr>
          <w:sz w:val="24"/>
          <w:szCs w:val="24"/>
        </w:rPr>
      </w:pPr>
    </w:p>
    <w:p w:rsidR="005D0E82" w:rsidRPr="00D26B70" w:rsidRDefault="005D0E82" w:rsidP="005D0E82">
      <w:pPr>
        <w:rPr>
          <w:sz w:val="24"/>
          <w:szCs w:val="24"/>
        </w:rPr>
      </w:pPr>
      <w:r w:rsidRPr="00D26B70">
        <w:rPr>
          <w:sz w:val="24"/>
          <w:szCs w:val="24"/>
        </w:rPr>
        <w:t>The observations of the Council set out below are informed by the discussions that took place, the subsequent detailed research carried out by Mike Oxford of Greenbridge Limited</w:t>
      </w:r>
      <w:r w:rsidR="00461C56">
        <w:rPr>
          <w:sz w:val="24"/>
          <w:szCs w:val="24"/>
        </w:rPr>
        <w:t xml:space="preserve"> </w:t>
      </w:r>
      <w:r w:rsidR="00461C56" w:rsidRPr="00A54998">
        <w:rPr>
          <w:sz w:val="24"/>
          <w:szCs w:val="24"/>
        </w:rPr>
        <w:t>(</w:t>
      </w:r>
      <w:r w:rsidR="00A54998" w:rsidRPr="00A54998">
        <w:rPr>
          <w:sz w:val="24"/>
          <w:szCs w:val="24"/>
        </w:rPr>
        <w:t>f</w:t>
      </w:r>
      <w:r w:rsidR="00461C56" w:rsidRPr="00A54998">
        <w:rPr>
          <w:sz w:val="24"/>
          <w:szCs w:val="24"/>
        </w:rPr>
        <w:t>ormerly Kestrel Wildlife Ltd)</w:t>
      </w:r>
      <w:r w:rsidRPr="00A54998">
        <w:rPr>
          <w:sz w:val="24"/>
          <w:szCs w:val="24"/>
        </w:rPr>
        <w:t>,</w:t>
      </w:r>
      <w:r w:rsidRPr="00D26B70">
        <w:rPr>
          <w:sz w:val="24"/>
          <w:szCs w:val="24"/>
        </w:rPr>
        <w:t xml:space="preserve"> entitled ‘</w:t>
      </w:r>
      <w:r w:rsidRPr="00D26B70">
        <w:rPr>
          <w:sz w:val="24"/>
          <w:szCs w:val="24"/>
          <w:lang w:val="en-US"/>
        </w:rPr>
        <w:t xml:space="preserve">Matters Relating to Habitat Regulations Assessment of the Local Plan Proposed Modifications’, dated April 2015 </w:t>
      </w:r>
      <w:r w:rsidRPr="00D26B70">
        <w:rPr>
          <w:sz w:val="24"/>
          <w:szCs w:val="24"/>
        </w:rPr>
        <w:t xml:space="preserve">and the internal discussions </w:t>
      </w:r>
      <w:r w:rsidR="003D0034">
        <w:rPr>
          <w:sz w:val="24"/>
          <w:szCs w:val="24"/>
        </w:rPr>
        <w:t xml:space="preserve">between the </w:t>
      </w:r>
      <w:r w:rsidR="003D0034" w:rsidRPr="00D26B70">
        <w:rPr>
          <w:sz w:val="24"/>
          <w:szCs w:val="24"/>
        </w:rPr>
        <w:t xml:space="preserve">Council’s </w:t>
      </w:r>
      <w:r w:rsidRPr="00D26B70">
        <w:rPr>
          <w:sz w:val="24"/>
          <w:szCs w:val="24"/>
        </w:rPr>
        <w:t xml:space="preserve">relevant professional officers. </w:t>
      </w:r>
    </w:p>
    <w:p w:rsidR="00971C24" w:rsidRDefault="00971C24" w:rsidP="005D0E82">
      <w:pPr>
        <w:rPr>
          <w:sz w:val="24"/>
          <w:szCs w:val="24"/>
        </w:rPr>
      </w:pPr>
    </w:p>
    <w:p w:rsidR="005D0E82" w:rsidRPr="00A54998" w:rsidRDefault="00971C24" w:rsidP="005D0E82">
      <w:pPr>
        <w:rPr>
          <w:sz w:val="24"/>
          <w:szCs w:val="24"/>
          <w:u w:val="single"/>
        </w:rPr>
      </w:pPr>
      <w:r w:rsidRPr="00A54998">
        <w:rPr>
          <w:sz w:val="24"/>
          <w:szCs w:val="24"/>
          <w:u w:val="single"/>
        </w:rPr>
        <w:t xml:space="preserve">The Council’s comments below refer to paragraph and page numbers </w:t>
      </w:r>
      <w:r w:rsidR="003D0034" w:rsidRPr="00A54998">
        <w:rPr>
          <w:sz w:val="24"/>
          <w:szCs w:val="24"/>
          <w:u w:val="single"/>
        </w:rPr>
        <w:t xml:space="preserve">under the </w:t>
      </w:r>
      <w:r w:rsidR="00860321" w:rsidRPr="00A54998">
        <w:rPr>
          <w:sz w:val="24"/>
          <w:szCs w:val="24"/>
          <w:u w:val="single"/>
        </w:rPr>
        <w:t>relevant section</w:t>
      </w:r>
      <w:r w:rsidR="003D0034" w:rsidRPr="00A54998">
        <w:rPr>
          <w:sz w:val="24"/>
          <w:szCs w:val="24"/>
          <w:u w:val="single"/>
        </w:rPr>
        <w:t xml:space="preserve"> titles </w:t>
      </w:r>
      <w:r w:rsidRPr="00A54998">
        <w:rPr>
          <w:sz w:val="24"/>
          <w:szCs w:val="24"/>
          <w:u w:val="single"/>
        </w:rPr>
        <w:t>set out in the NE letter of 18 March 2015.</w:t>
      </w:r>
    </w:p>
    <w:p w:rsidR="00971C24" w:rsidRDefault="00971C24" w:rsidP="005D0E82">
      <w:pPr>
        <w:rPr>
          <w:sz w:val="24"/>
          <w:szCs w:val="24"/>
        </w:rPr>
      </w:pPr>
    </w:p>
    <w:p w:rsidR="00971C24" w:rsidRPr="00D26B70" w:rsidRDefault="00971C24" w:rsidP="005D0E82">
      <w:pPr>
        <w:rPr>
          <w:sz w:val="24"/>
          <w:szCs w:val="24"/>
        </w:rPr>
      </w:pPr>
    </w:p>
    <w:p w:rsidR="005D0E82" w:rsidRPr="00D26B70" w:rsidRDefault="005D0E82" w:rsidP="005D0E82">
      <w:pPr>
        <w:rPr>
          <w:b/>
          <w:sz w:val="24"/>
          <w:szCs w:val="24"/>
        </w:rPr>
      </w:pPr>
      <w:r w:rsidRPr="00D26B70">
        <w:rPr>
          <w:b/>
          <w:sz w:val="24"/>
          <w:szCs w:val="24"/>
        </w:rPr>
        <w:t xml:space="preserve">Main </w:t>
      </w:r>
      <w:r w:rsidR="00971C24">
        <w:rPr>
          <w:b/>
          <w:sz w:val="24"/>
          <w:szCs w:val="24"/>
        </w:rPr>
        <w:t>Modifications</w:t>
      </w:r>
      <w:r w:rsidRPr="00D26B70">
        <w:rPr>
          <w:b/>
          <w:sz w:val="24"/>
          <w:szCs w:val="24"/>
        </w:rPr>
        <w:t xml:space="preserve"> Representations</w:t>
      </w:r>
    </w:p>
    <w:p w:rsidR="005D0E82" w:rsidRPr="00D26B70" w:rsidRDefault="00971C24" w:rsidP="005D0E82">
      <w:pPr>
        <w:rPr>
          <w:sz w:val="24"/>
          <w:szCs w:val="24"/>
        </w:rPr>
      </w:pPr>
      <w:r>
        <w:rPr>
          <w:sz w:val="24"/>
          <w:szCs w:val="24"/>
        </w:rPr>
        <w:t>T</w:t>
      </w:r>
      <w:r w:rsidR="005D0E82" w:rsidRPr="00D26B70">
        <w:rPr>
          <w:sz w:val="24"/>
          <w:szCs w:val="24"/>
        </w:rPr>
        <w:t xml:space="preserve">he Council has sought to consider </w:t>
      </w:r>
      <w:r>
        <w:rPr>
          <w:sz w:val="24"/>
          <w:szCs w:val="24"/>
        </w:rPr>
        <w:t xml:space="preserve">the majority of </w:t>
      </w:r>
      <w:r w:rsidR="005D0E82" w:rsidRPr="00D26B70">
        <w:rPr>
          <w:sz w:val="24"/>
          <w:szCs w:val="24"/>
        </w:rPr>
        <w:t xml:space="preserve">NE’s Main Modifications representations (pages 2 to 5) in its documents entitled ‘Torbay Council response to representations to Proposed Main Modifications to the Submission Plan [Representations by Main Modification / policy number]’, dated 22 April 2015, and ‘Torbay Council response to representations to Proposed Main Modifications to the Submission Plan [Representations by person / organisation]’, dated 22 April 2015. It should be noted that the conclusions therein </w:t>
      </w:r>
      <w:r>
        <w:rPr>
          <w:sz w:val="24"/>
          <w:szCs w:val="24"/>
        </w:rPr>
        <w:t xml:space="preserve">have been informed </w:t>
      </w:r>
      <w:r w:rsidR="005D0E82" w:rsidRPr="00D26B70">
        <w:rPr>
          <w:sz w:val="24"/>
          <w:szCs w:val="24"/>
        </w:rPr>
        <w:t>by</w:t>
      </w:r>
      <w:r>
        <w:rPr>
          <w:sz w:val="24"/>
          <w:szCs w:val="24"/>
        </w:rPr>
        <w:t>, inter alia,</w:t>
      </w:r>
      <w:r w:rsidR="005D0E82" w:rsidRPr="00D26B70">
        <w:rPr>
          <w:sz w:val="24"/>
          <w:szCs w:val="24"/>
        </w:rPr>
        <w:t xml:space="preserve"> the evidence derived from the assessment carried out by </w:t>
      </w:r>
      <w:r w:rsidR="003D0034" w:rsidRPr="00D26B70">
        <w:rPr>
          <w:sz w:val="24"/>
          <w:szCs w:val="24"/>
        </w:rPr>
        <w:t>Greenbridge Limited</w:t>
      </w:r>
      <w:r w:rsidR="005D0E82" w:rsidRPr="00D26B70">
        <w:rPr>
          <w:sz w:val="24"/>
          <w:szCs w:val="24"/>
        </w:rPr>
        <w:t xml:space="preserve">. </w:t>
      </w:r>
    </w:p>
    <w:p w:rsidR="00971C24" w:rsidRDefault="00971C24" w:rsidP="005D0E82">
      <w:pPr>
        <w:rPr>
          <w:b/>
          <w:sz w:val="24"/>
          <w:szCs w:val="24"/>
        </w:rPr>
      </w:pPr>
    </w:p>
    <w:p w:rsidR="00461C56" w:rsidRDefault="00461C56" w:rsidP="005D0E82">
      <w:pPr>
        <w:rPr>
          <w:b/>
          <w:sz w:val="24"/>
          <w:szCs w:val="24"/>
        </w:rPr>
      </w:pPr>
    </w:p>
    <w:p w:rsidR="005D0E82" w:rsidRPr="00D26B70" w:rsidRDefault="00971C24" w:rsidP="005D0E82">
      <w:pPr>
        <w:rPr>
          <w:sz w:val="24"/>
          <w:szCs w:val="24"/>
        </w:rPr>
      </w:pPr>
      <w:r w:rsidRPr="00D26B70">
        <w:rPr>
          <w:b/>
          <w:sz w:val="24"/>
          <w:szCs w:val="24"/>
        </w:rPr>
        <w:t>Additional</w:t>
      </w:r>
      <w:r w:rsidRPr="00971C24">
        <w:rPr>
          <w:b/>
          <w:sz w:val="24"/>
          <w:szCs w:val="24"/>
        </w:rPr>
        <w:t xml:space="preserve"> </w:t>
      </w:r>
      <w:r>
        <w:rPr>
          <w:b/>
          <w:sz w:val="24"/>
          <w:szCs w:val="24"/>
        </w:rPr>
        <w:t>Modifications</w:t>
      </w:r>
      <w:r w:rsidRPr="00D26B70">
        <w:rPr>
          <w:b/>
          <w:sz w:val="24"/>
          <w:szCs w:val="24"/>
        </w:rPr>
        <w:t xml:space="preserve"> Representations</w:t>
      </w:r>
      <w:r>
        <w:rPr>
          <w:b/>
          <w:sz w:val="24"/>
          <w:szCs w:val="24"/>
        </w:rPr>
        <w:t xml:space="preserve"> </w:t>
      </w:r>
    </w:p>
    <w:p w:rsidR="005D0E82" w:rsidRPr="00D26B70" w:rsidRDefault="005D0E82" w:rsidP="005D0E82">
      <w:pPr>
        <w:rPr>
          <w:sz w:val="24"/>
          <w:szCs w:val="24"/>
        </w:rPr>
      </w:pPr>
      <w:r w:rsidRPr="00D26B70">
        <w:rPr>
          <w:sz w:val="24"/>
          <w:szCs w:val="24"/>
        </w:rPr>
        <w:t>Natural England’s representations on Additional Modifications (pages 5 to 8) are covered similarly in the documents entitled ‘Torbay Council response to representations to Proposed Additional Modifications to the Submission Plan [Representations by Main Modification / policy number]’, dated 22 April 2015, and ‘Torbay Council response to representations to Proposed Additional Modifications to the Submission Plan [Representations by person / organisation]’, dated 22 April 2015.  </w:t>
      </w:r>
    </w:p>
    <w:p w:rsidR="003D0034" w:rsidRDefault="003D0034" w:rsidP="005D0E82">
      <w:pPr>
        <w:rPr>
          <w:b/>
          <w:sz w:val="24"/>
          <w:szCs w:val="24"/>
        </w:rPr>
      </w:pPr>
    </w:p>
    <w:p w:rsidR="00860321" w:rsidRDefault="005D0E82" w:rsidP="005D0E82">
      <w:pPr>
        <w:rPr>
          <w:b/>
          <w:sz w:val="24"/>
          <w:szCs w:val="24"/>
        </w:rPr>
      </w:pPr>
      <w:r w:rsidRPr="00D26B70">
        <w:rPr>
          <w:b/>
          <w:sz w:val="24"/>
          <w:szCs w:val="24"/>
        </w:rPr>
        <w:lastRenderedPageBreak/>
        <w:t xml:space="preserve">Sustainability </w:t>
      </w:r>
      <w:r w:rsidRPr="00A54998">
        <w:rPr>
          <w:b/>
          <w:sz w:val="24"/>
          <w:szCs w:val="24"/>
        </w:rPr>
        <w:t>Appraisal</w:t>
      </w:r>
      <w:r w:rsidRPr="00D26B70">
        <w:rPr>
          <w:b/>
          <w:sz w:val="24"/>
          <w:szCs w:val="24"/>
        </w:rPr>
        <w:tab/>
      </w:r>
    </w:p>
    <w:p w:rsidR="00844F79" w:rsidRDefault="00844F79" w:rsidP="005D0E82">
      <w:pPr>
        <w:rPr>
          <w:sz w:val="24"/>
          <w:szCs w:val="24"/>
          <w:u w:val="single"/>
        </w:rPr>
      </w:pPr>
    </w:p>
    <w:p w:rsidR="005D0E82" w:rsidRPr="00D26B70" w:rsidRDefault="005D0E82" w:rsidP="005D0E82">
      <w:pPr>
        <w:rPr>
          <w:sz w:val="24"/>
          <w:szCs w:val="24"/>
          <w:u w:val="single"/>
        </w:rPr>
      </w:pPr>
      <w:r w:rsidRPr="00D26B70">
        <w:rPr>
          <w:sz w:val="24"/>
          <w:szCs w:val="24"/>
          <w:u w:val="single"/>
        </w:rPr>
        <w:t>Paragraph 1, Page 1</w:t>
      </w:r>
    </w:p>
    <w:p w:rsidR="005D0E82" w:rsidRPr="00D26B70" w:rsidRDefault="005D0E82" w:rsidP="005D0E82">
      <w:pPr>
        <w:rPr>
          <w:sz w:val="24"/>
          <w:szCs w:val="24"/>
        </w:rPr>
      </w:pPr>
      <w:r w:rsidRPr="00D26B70">
        <w:rPr>
          <w:sz w:val="24"/>
          <w:szCs w:val="24"/>
        </w:rPr>
        <w:t xml:space="preserve">The 10,000 dwellings </w:t>
      </w:r>
      <w:r w:rsidR="00D758DE">
        <w:rPr>
          <w:sz w:val="24"/>
          <w:szCs w:val="24"/>
        </w:rPr>
        <w:t xml:space="preserve">target </w:t>
      </w:r>
      <w:r w:rsidRPr="00D26B70">
        <w:rPr>
          <w:sz w:val="24"/>
          <w:szCs w:val="24"/>
        </w:rPr>
        <w:t>recommended by the Inspector ha</w:t>
      </w:r>
      <w:r w:rsidR="00D758DE">
        <w:rPr>
          <w:sz w:val="24"/>
          <w:szCs w:val="24"/>
        </w:rPr>
        <w:t>s</w:t>
      </w:r>
      <w:r w:rsidRPr="00D26B70">
        <w:rPr>
          <w:sz w:val="24"/>
          <w:szCs w:val="24"/>
        </w:rPr>
        <w:t xml:space="preserve"> already been assessed in section 4 of the Sustainability Appraisal Report (February 2014)</w:t>
      </w:r>
      <w:r w:rsidR="00BD7552">
        <w:rPr>
          <w:sz w:val="24"/>
          <w:szCs w:val="24"/>
        </w:rPr>
        <w:t>, being the upper end of the 8,000 – 10,000 dwellings range put forward in the Submission Plan.</w:t>
      </w:r>
      <w:r w:rsidRPr="00D26B70">
        <w:rPr>
          <w:sz w:val="24"/>
          <w:szCs w:val="24"/>
        </w:rPr>
        <w:t xml:space="preserve"> The small sites included in Appendix D of the Local Plan have been assessed as part of the wider Strategic Delivery Areas (SDT1, SDP1 and SDB1).  All of the Local Plan</w:t>
      </w:r>
      <w:r w:rsidR="00BD7552">
        <w:rPr>
          <w:sz w:val="24"/>
          <w:szCs w:val="24"/>
        </w:rPr>
        <w:t xml:space="preserve"> M</w:t>
      </w:r>
      <w:r w:rsidRPr="00D26B70">
        <w:rPr>
          <w:sz w:val="24"/>
          <w:szCs w:val="24"/>
        </w:rPr>
        <w:t>odifications (</w:t>
      </w:r>
      <w:r w:rsidR="00BD7552">
        <w:rPr>
          <w:sz w:val="24"/>
          <w:szCs w:val="24"/>
        </w:rPr>
        <w:t>both M</w:t>
      </w:r>
      <w:r w:rsidRPr="00D26B70">
        <w:rPr>
          <w:sz w:val="24"/>
          <w:szCs w:val="24"/>
        </w:rPr>
        <w:t xml:space="preserve">ain and </w:t>
      </w:r>
      <w:r w:rsidR="00BD7552">
        <w:rPr>
          <w:sz w:val="24"/>
          <w:szCs w:val="24"/>
        </w:rPr>
        <w:t>A</w:t>
      </w:r>
      <w:r w:rsidRPr="00D26B70">
        <w:rPr>
          <w:sz w:val="24"/>
          <w:szCs w:val="24"/>
        </w:rPr>
        <w:t xml:space="preserve">dditional) have been reassessed </w:t>
      </w:r>
      <w:r w:rsidR="00D758DE">
        <w:rPr>
          <w:sz w:val="24"/>
          <w:szCs w:val="24"/>
        </w:rPr>
        <w:t xml:space="preserve">through further </w:t>
      </w:r>
      <w:r w:rsidRPr="00D26B70">
        <w:rPr>
          <w:sz w:val="24"/>
          <w:szCs w:val="24"/>
        </w:rPr>
        <w:t xml:space="preserve">SA </w:t>
      </w:r>
      <w:r w:rsidR="00D758DE">
        <w:rPr>
          <w:sz w:val="24"/>
          <w:szCs w:val="24"/>
        </w:rPr>
        <w:t xml:space="preserve">work. </w:t>
      </w:r>
      <w:r w:rsidRPr="00D26B70">
        <w:rPr>
          <w:sz w:val="24"/>
          <w:szCs w:val="24"/>
        </w:rPr>
        <w:t>The SA has considered the interrelationship between new sites, existing sites, existing policies and updated policies.</w:t>
      </w:r>
    </w:p>
    <w:p w:rsidR="005D0E82" w:rsidRPr="00D26B70" w:rsidRDefault="005D0E82" w:rsidP="005D0E82">
      <w:pPr>
        <w:rPr>
          <w:b/>
          <w:sz w:val="24"/>
          <w:szCs w:val="24"/>
        </w:rPr>
      </w:pPr>
    </w:p>
    <w:p w:rsidR="005D0E82" w:rsidRPr="00D26B70" w:rsidRDefault="005D0E82" w:rsidP="005D0E82">
      <w:pPr>
        <w:rPr>
          <w:b/>
          <w:sz w:val="24"/>
          <w:szCs w:val="24"/>
        </w:rPr>
      </w:pPr>
      <w:r w:rsidRPr="00D26B70">
        <w:rPr>
          <w:sz w:val="24"/>
          <w:szCs w:val="24"/>
          <w:u w:val="single"/>
        </w:rPr>
        <w:t>Paragraph 2, Page</w:t>
      </w:r>
      <w:r w:rsidR="00A25B0D">
        <w:rPr>
          <w:sz w:val="24"/>
          <w:szCs w:val="24"/>
          <w:u w:val="single"/>
        </w:rPr>
        <w:t>s</w:t>
      </w:r>
      <w:r w:rsidRPr="00D26B70">
        <w:rPr>
          <w:sz w:val="24"/>
          <w:szCs w:val="24"/>
          <w:u w:val="single"/>
        </w:rPr>
        <w:t xml:space="preserve"> 1</w:t>
      </w:r>
      <w:r w:rsidR="00A25B0D">
        <w:rPr>
          <w:sz w:val="24"/>
          <w:szCs w:val="24"/>
          <w:u w:val="single"/>
        </w:rPr>
        <w:t xml:space="preserve"> and 2</w:t>
      </w:r>
      <w:r w:rsidRPr="00D26B70">
        <w:rPr>
          <w:b/>
          <w:sz w:val="24"/>
          <w:szCs w:val="24"/>
        </w:rPr>
        <w:t xml:space="preserve"> </w:t>
      </w:r>
    </w:p>
    <w:p w:rsidR="005D0E82" w:rsidRPr="00D26B70" w:rsidRDefault="005D0E82" w:rsidP="005D0E82">
      <w:pPr>
        <w:rPr>
          <w:sz w:val="24"/>
          <w:szCs w:val="24"/>
        </w:rPr>
      </w:pPr>
      <w:r w:rsidRPr="00D26B70">
        <w:rPr>
          <w:sz w:val="24"/>
          <w:szCs w:val="24"/>
        </w:rPr>
        <w:t>S</w:t>
      </w:r>
      <w:r w:rsidR="00BD7552">
        <w:rPr>
          <w:sz w:val="24"/>
          <w:szCs w:val="24"/>
        </w:rPr>
        <w:t xml:space="preserve">ustainability Appraisal </w:t>
      </w:r>
      <w:r w:rsidRPr="00D26B70">
        <w:rPr>
          <w:sz w:val="24"/>
          <w:szCs w:val="24"/>
        </w:rPr>
        <w:t>does not consider deliverability</w:t>
      </w:r>
      <w:r w:rsidR="00BD7552">
        <w:rPr>
          <w:sz w:val="24"/>
          <w:szCs w:val="24"/>
        </w:rPr>
        <w:t xml:space="preserve"> directly</w:t>
      </w:r>
      <w:r w:rsidRPr="00D26B70">
        <w:rPr>
          <w:sz w:val="24"/>
          <w:szCs w:val="24"/>
        </w:rPr>
        <w:t>; rather</w:t>
      </w:r>
      <w:r w:rsidR="00BD7552">
        <w:rPr>
          <w:sz w:val="24"/>
          <w:szCs w:val="24"/>
        </w:rPr>
        <w:t>,</w:t>
      </w:r>
      <w:r w:rsidR="00BD7552" w:rsidRPr="00BD7552">
        <w:rPr>
          <w:sz w:val="24"/>
          <w:szCs w:val="24"/>
        </w:rPr>
        <w:t xml:space="preserve"> </w:t>
      </w:r>
      <w:r w:rsidR="00BD7552" w:rsidRPr="00D26B70">
        <w:rPr>
          <w:sz w:val="24"/>
          <w:szCs w:val="24"/>
        </w:rPr>
        <w:t>it</w:t>
      </w:r>
      <w:r w:rsidRPr="00D26B70">
        <w:rPr>
          <w:sz w:val="24"/>
          <w:szCs w:val="24"/>
        </w:rPr>
        <w:t xml:space="preserve"> </w:t>
      </w:r>
      <w:r w:rsidR="00BD7552">
        <w:rPr>
          <w:sz w:val="24"/>
          <w:szCs w:val="24"/>
        </w:rPr>
        <w:t xml:space="preserve">highlights </w:t>
      </w:r>
      <w:r w:rsidRPr="00D26B70">
        <w:rPr>
          <w:sz w:val="24"/>
          <w:szCs w:val="24"/>
        </w:rPr>
        <w:t>impacts and recommends measure</w:t>
      </w:r>
      <w:r w:rsidR="00C553FC">
        <w:rPr>
          <w:sz w:val="24"/>
          <w:szCs w:val="24"/>
        </w:rPr>
        <w:t>s</w:t>
      </w:r>
      <w:r w:rsidRPr="00D26B70">
        <w:rPr>
          <w:sz w:val="24"/>
          <w:szCs w:val="24"/>
        </w:rPr>
        <w:t xml:space="preserve"> to overcome negative impacts. It is </w:t>
      </w:r>
      <w:r w:rsidR="00BD7552">
        <w:rPr>
          <w:sz w:val="24"/>
          <w:szCs w:val="24"/>
        </w:rPr>
        <w:t xml:space="preserve">the role of the policy and plan makers </w:t>
      </w:r>
      <w:r w:rsidRPr="00D26B70">
        <w:rPr>
          <w:sz w:val="24"/>
          <w:szCs w:val="24"/>
        </w:rPr>
        <w:t>to decide the number of dwellings in the light of other information available.</w:t>
      </w:r>
      <w:r w:rsidR="003D0034">
        <w:rPr>
          <w:sz w:val="24"/>
          <w:szCs w:val="24"/>
        </w:rPr>
        <w:t xml:space="preserve"> Clearly this matter will need to be addressed further, as necessary, in the agreed version of the Local Plan.  </w:t>
      </w:r>
    </w:p>
    <w:p w:rsidR="005D0E82" w:rsidRPr="00D26B70" w:rsidRDefault="005D0E82" w:rsidP="005D0E82">
      <w:pPr>
        <w:rPr>
          <w:sz w:val="24"/>
          <w:szCs w:val="24"/>
        </w:rPr>
      </w:pPr>
    </w:p>
    <w:p w:rsidR="002565EC" w:rsidRDefault="00C553FC" w:rsidP="005D0E82">
      <w:pPr>
        <w:rPr>
          <w:sz w:val="24"/>
          <w:szCs w:val="24"/>
        </w:rPr>
      </w:pPr>
      <w:r w:rsidRPr="00A54998">
        <w:rPr>
          <w:sz w:val="24"/>
          <w:szCs w:val="24"/>
        </w:rPr>
        <w:t xml:space="preserve">The </w:t>
      </w:r>
      <w:r w:rsidR="00E46D79" w:rsidRPr="00A54998">
        <w:rPr>
          <w:sz w:val="24"/>
          <w:szCs w:val="24"/>
        </w:rPr>
        <w:t xml:space="preserve">area forming the </w:t>
      </w:r>
      <w:r w:rsidR="00A25B0D">
        <w:rPr>
          <w:sz w:val="24"/>
          <w:szCs w:val="24"/>
        </w:rPr>
        <w:t xml:space="preserve">proposed new </w:t>
      </w:r>
      <w:r w:rsidR="005D0E82" w:rsidRPr="00A54998">
        <w:rPr>
          <w:sz w:val="24"/>
          <w:szCs w:val="24"/>
        </w:rPr>
        <w:t>Future Growth Area</w:t>
      </w:r>
      <w:r w:rsidR="00E46D79" w:rsidRPr="00A54998">
        <w:rPr>
          <w:sz w:val="24"/>
          <w:szCs w:val="24"/>
        </w:rPr>
        <w:t xml:space="preserve"> to the south White Rock</w:t>
      </w:r>
      <w:r w:rsidR="005D0E82" w:rsidRPr="00A54998">
        <w:rPr>
          <w:sz w:val="24"/>
          <w:szCs w:val="24"/>
        </w:rPr>
        <w:t xml:space="preserve"> </w:t>
      </w:r>
      <w:r w:rsidR="00BD7552" w:rsidRPr="00A54998">
        <w:rPr>
          <w:sz w:val="24"/>
          <w:szCs w:val="24"/>
        </w:rPr>
        <w:t xml:space="preserve">in fact </w:t>
      </w:r>
      <w:r w:rsidR="005D0E82" w:rsidRPr="00A54998">
        <w:rPr>
          <w:sz w:val="24"/>
          <w:szCs w:val="24"/>
        </w:rPr>
        <w:t>includes two sites; Land South of White Rock (SHL</w:t>
      </w:r>
      <w:r w:rsidR="00461C56" w:rsidRPr="00A54998">
        <w:rPr>
          <w:sz w:val="24"/>
          <w:szCs w:val="24"/>
        </w:rPr>
        <w:t>A</w:t>
      </w:r>
      <w:r w:rsidR="005D0E82" w:rsidRPr="00A54998">
        <w:rPr>
          <w:sz w:val="24"/>
          <w:szCs w:val="24"/>
        </w:rPr>
        <w:t>A T756b)</w:t>
      </w:r>
      <w:r w:rsidR="00E46D79" w:rsidRPr="00A54998">
        <w:rPr>
          <w:sz w:val="24"/>
          <w:szCs w:val="24"/>
        </w:rPr>
        <w:t xml:space="preserve">, with scope for about </w:t>
      </w:r>
      <w:r w:rsidR="002565EC" w:rsidRPr="00A54998">
        <w:rPr>
          <w:sz w:val="24"/>
          <w:szCs w:val="24"/>
        </w:rPr>
        <w:t>2</w:t>
      </w:r>
      <w:r w:rsidR="00E46D79" w:rsidRPr="00A54998">
        <w:rPr>
          <w:sz w:val="24"/>
          <w:szCs w:val="24"/>
        </w:rPr>
        <w:t xml:space="preserve">50 dwellings, </w:t>
      </w:r>
      <w:r w:rsidR="005D0E82" w:rsidRPr="00A54998">
        <w:rPr>
          <w:sz w:val="24"/>
          <w:szCs w:val="24"/>
        </w:rPr>
        <w:t xml:space="preserve">and </w:t>
      </w:r>
      <w:r w:rsidR="00E46D79" w:rsidRPr="00A54998">
        <w:rPr>
          <w:sz w:val="24"/>
          <w:szCs w:val="24"/>
        </w:rPr>
        <w:t xml:space="preserve">land </w:t>
      </w:r>
      <w:r w:rsidR="005D0E82" w:rsidRPr="00A54998">
        <w:rPr>
          <w:sz w:val="24"/>
          <w:szCs w:val="24"/>
        </w:rPr>
        <w:t>in Manor Farm, Galmpton</w:t>
      </w:r>
      <w:r w:rsidRPr="00A54998">
        <w:rPr>
          <w:sz w:val="24"/>
          <w:szCs w:val="24"/>
        </w:rPr>
        <w:t xml:space="preserve"> </w:t>
      </w:r>
      <w:r w:rsidR="005D0E82" w:rsidRPr="00A54998">
        <w:rPr>
          <w:sz w:val="24"/>
          <w:szCs w:val="24"/>
        </w:rPr>
        <w:t>(SHL</w:t>
      </w:r>
      <w:r w:rsidR="00844F79" w:rsidRPr="00A54998">
        <w:rPr>
          <w:sz w:val="24"/>
          <w:szCs w:val="24"/>
        </w:rPr>
        <w:t>A</w:t>
      </w:r>
      <w:r w:rsidR="005D0E82" w:rsidRPr="00A54998">
        <w:rPr>
          <w:sz w:val="24"/>
          <w:szCs w:val="24"/>
        </w:rPr>
        <w:t>A T739)</w:t>
      </w:r>
      <w:r w:rsidR="00E46D79" w:rsidRPr="00A54998">
        <w:rPr>
          <w:sz w:val="24"/>
          <w:szCs w:val="24"/>
        </w:rPr>
        <w:t xml:space="preserve"> with potential for about 100 dwellings</w:t>
      </w:r>
      <w:r w:rsidR="005D0E82" w:rsidRPr="00D26B70">
        <w:rPr>
          <w:sz w:val="24"/>
          <w:szCs w:val="24"/>
        </w:rPr>
        <w:t xml:space="preserve">. </w:t>
      </w:r>
    </w:p>
    <w:p w:rsidR="002565EC" w:rsidRDefault="002565EC" w:rsidP="005D0E82">
      <w:pPr>
        <w:rPr>
          <w:sz w:val="24"/>
          <w:szCs w:val="24"/>
        </w:rPr>
      </w:pPr>
    </w:p>
    <w:p w:rsidR="002565EC" w:rsidRPr="00A54998" w:rsidRDefault="002565EC" w:rsidP="002565EC">
      <w:pPr>
        <w:rPr>
          <w:sz w:val="24"/>
          <w:szCs w:val="24"/>
        </w:rPr>
      </w:pPr>
      <w:r w:rsidRPr="00A54998">
        <w:rPr>
          <w:sz w:val="24"/>
          <w:szCs w:val="24"/>
        </w:rPr>
        <w:t xml:space="preserve">With regard to the difference in numbers between the SHLAA and Modifications (identified at the start of P2 of </w:t>
      </w:r>
      <w:r w:rsidR="00296F43" w:rsidRPr="00A54998">
        <w:rPr>
          <w:sz w:val="24"/>
          <w:szCs w:val="24"/>
        </w:rPr>
        <w:t>N</w:t>
      </w:r>
      <w:r w:rsidRPr="00A54998">
        <w:rPr>
          <w:sz w:val="24"/>
          <w:szCs w:val="24"/>
        </w:rPr>
        <w:t>atural England’s letter), it will be noted that the promoters of the site (Abacus and Deeley Freed, via Stride Treglown) have provided a greater level of detail on landscaping, ecology and potential layout of development than was carried out in the SHLAA.   They promoted both sites in their representations to the Proposed Submission Local Plan (April 2014)</w:t>
      </w:r>
      <w:r w:rsidR="00296F43" w:rsidRPr="00A54998">
        <w:rPr>
          <w:sz w:val="24"/>
          <w:szCs w:val="24"/>
        </w:rPr>
        <w:t xml:space="preserve">. </w:t>
      </w:r>
      <w:r w:rsidRPr="00A54998">
        <w:rPr>
          <w:sz w:val="24"/>
          <w:szCs w:val="24"/>
        </w:rPr>
        <w:t xml:space="preserve"> Further evidence was provided to indicate that </w:t>
      </w:r>
      <w:r w:rsidR="00320C23">
        <w:rPr>
          <w:sz w:val="24"/>
          <w:szCs w:val="24"/>
        </w:rPr>
        <w:t xml:space="preserve">a total of </w:t>
      </w:r>
      <w:r w:rsidRPr="00A54998">
        <w:rPr>
          <w:sz w:val="24"/>
          <w:szCs w:val="24"/>
        </w:rPr>
        <w:t xml:space="preserve">around 460 dwellings could be provided </w:t>
      </w:r>
      <w:r w:rsidR="001C2919">
        <w:rPr>
          <w:sz w:val="24"/>
          <w:szCs w:val="24"/>
        </w:rPr>
        <w:t xml:space="preserve">across </w:t>
      </w:r>
      <w:r w:rsidRPr="00A54998">
        <w:rPr>
          <w:sz w:val="24"/>
          <w:szCs w:val="24"/>
        </w:rPr>
        <w:t xml:space="preserve">both sites.    </w:t>
      </w:r>
    </w:p>
    <w:p w:rsidR="002565EC" w:rsidRDefault="002565EC" w:rsidP="002565EC">
      <w:pPr>
        <w:rPr>
          <w:sz w:val="24"/>
          <w:szCs w:val="24"/>
          <w:highlight w:val="yellow"/>
        </w:rPr>
      </w:pPr>
    </w:p>
    <w:p w:rsidR="002565EC" w:rsidRPr="00A54998" w:rsidRDefault="002565EC" w:rsidP="002565EC">
      <w:pPr>
        <w:rPr>
          <w:sz w:val="24"/>
          <w:szCs w:val="24"/>
        </w:rPr>
      </w:pPr>
      <w:r w:rsidRPr="00A54998">
        <w:rPr>
          <w:sz w:val="24"/>
          <w:szCs w:val="24"/>
        </w:rPr>
        <w:t xml:space="preserve">As part of their representations on the Proposed Modifications, </w:t>
      </w:r>
      <w:r w:rsidR="00DA014C" w:rsidRPr="00A54998">
        <w:rPr>
          <w:sz w:val="24"/>
          <w:szCs w:val="24"/>
        </w:rPr>
        <w:t>they p</w:t>
      </w:r>
      <w:r w:rsidRPr="00A54998">
        <w:rPr>
          <w:sz w:val="24"/>
          <w:szCs w:val="24"/>
        </w:rPr>
        <w:t>rovided a detailed Land Promotion Study</w:t>
      </w:r>
      <w:r w:rsidR="00DA014C" w:rsidRPr="00A54998">
        <w:rPr>
          <w:sz w:val="24"/>
          <w:szCs w:val="24"/>
        </w:rPr>
        <w:t xml:space="preserve">, which was limited to the more northerly site (T756b). </w:t>
      </w:r>
      <w:r w:rsidRPr="00A54998">
        <w:rPr>
          <w:sz w:val="24"/>
          <w:szCs w:val="24"/>
        </w:rPr>
        <w:t xml:space="preserve">This evidence, along with other representations, such as Natural England’s, has informed the Council’s response to the Main Modifications, including the recommended deletion of the Manor Farm land (T739). </w:t>
      </w:r>
    </w:p>
    <w:p w:rsidR="002565EC" w:rsidRPr="00D26B70" w:rsidRDefault="002565EC" w:rsidP="002565EC">
      <w:pPr>
        <w:rPr>
          <w:sz w:val="24"/>
          <w:szCs w:val="24"/>
        </w:rPr>
      </w:pPr>
    </w:p>
    <w:p w:rsidR="00C51202" w:rsidRDefault="00DA014C" w:rsidP="005D0E82">
      <w:pPr>
        <w:rPr>
          <w:sz w:val="24"/>
          <w:szCs w:val="24"/>
        </w:rPr>
      </w:pPr>
      <w:r w:rsidRPr="00A54998">
        <w:rPr>
          <w:sz w:val="24"/>
          <w:szCs w:val="24"/>
        </w:rPr>
        <w:t>It is emphasised that n</w:t>
      </w:r>
      <w:r w:rsidR="003D0034" w:rsidRPr="00A54998">
        <w:rPr>
          <w:sz w:val="24"/>
          <w:szCs w:val="24"/>
        </w:rPr>
        <w:t>ot all of the land within these sites would be</w:t>
      </w:r>
      <w:r w:rsidR="003D0034">
        <w:rPr>
          <w:sz w:val="24"/>
          <w:szCs w:val="24"/>
        </w:rPr>
        <w:t xml:space="preserve"> developed. </w:t>
      </w:r>
      <w:r>
        <w:rPr>
          <w:sz w:val="24"/>
          <w:szCs w:val="24"/>
        </w:rPr>
        <w:t xml:space="preserve"> </w:t>
      </w:r>
      <w:r w:rsidR="00E46D79">
        <w:rPr>
          <w:sz w:val="24"/>
          <w:szCs w:val="24"/>
        </w:rPr>
        <w:t xml:space="preserve">All </w:t>
      </w:r>
      <w:r w:rsidR="005D0E82" w:rsidRPr="00D26B70">
        <w:rPr>
          <w:sz w:val="24"/>
          <w:szCs w:val="24"/>
        </w:rPr>
        <w:t>Future Growth Areas w</w:t>
      </w:r>
      <w:r w:rsidR="003D0034">
        <w:rPr>
          <w:sz w:val="24"/>
          <w:szCs w:val="24"/>
        </w:rPr>
        <w:t xml:space="preserve">ould </w:t>
      </w:r>
      <w:r w:rsidR="00E46D79">
        <w:rPr>
          <w:sz w:val="24"/>
          <w:szCs w:val="24"/>
        </w:rPr>
        <w:t xml:space="preserve">eventually </w:t>
      </w:r>
      <w:r w:rsidR="005D0E82" w:rsidRPr="00D26B70">
        <w:rPr>
          <w:sz w:val="24"/>
          <w:szCs w:val="24"/>
        </w:rPr>
        <w:t>be subject to masterplanning</w:t>
      </w:r>
      <w:r w:rsidR="003D0034">
        <w:rPr>
          <w:sz w:val="24"/>
          <w:szCs w:val="24"/>
        </w:rPr>
        <w:t xml:space="preserve">; </w:t>
      </w:r>
      <w:r w:rsidR="005D0E82" w:rsidRPr="00D26B70">
        <w:rPr>
          <w:sz w:val="24"/>
          <w:szCs w:val="24"/>
        </w:rPr>
        <w:t xml:space="preserve">the exact number of dwellings will be finalised </w:t>
      </w:r>
      <w:r w:rsidR="00E46D79">
        <w:rPr>
          <w:sz w:val="24"/>
          <w:szCs w:val="24"/>
        </w:rPr>
        <w:t xml:space="preserve">at that stage, in the context of the </w:t>
      </w:r>
      <w:r w:rsidR="003D0034">
        <w:rPr>
          <w:sz w:val="24"/>
          <w:szCs w:val="24"/>
        </w:rPr>
        <w:t xml:space="preserve">necessary </w:t>
      </w:r>
      <w:r w:rsidR="00E46D79">
        <w:rPr>
          <w:sz w:val="24"/>
          <w:szCs w:val="24"/>
        </w:rPr>
        <w:t xml:space="preserve">evidence </w:t>
      </w:r>
      <w:r w:rsidR="005D0E82" w:rsidRPr="00D26B70">
        <w:rPr>
          <w:sz w:val="24"/>
          <w:szCs w:val="24"/>
        </w:rPr>
        <w:t xml:space="preserve">(e.g. Collaton St Mary Future Growth Area). </w:t>
      </w:r>
    </w:p>
    <w:p w:rsidR="00C51202" w:rsidRDefault="00C51202" w:rsidP="005D0E82">
      <w:pPr>
        <w:rPr>
          <w:sz w:val="24"/>
          <w:szCs w:val="24"/>
        </w:rPr>
      </w:pPr>
    </w:p>
    <w:p w:rsidR="00C75B54" w:rsidRDefault="00C75B54" w:rsidP="005D0E82">
      <w:pPr>
        <w:rPr>
          <w:sz w:val="24"/>
          <w:szCs w:val="24"/>
          <w:u w:val="single"/>
        </w:rPr>
      </w:pPr>
    </w:p>
    <w:p w:rsidR="00C75B54" w:rsidRDefault="00C75B54" w:rsidP="005D0E82">
      <w:pPr>
        <w:rPr>
          <w:sz w:val="24"/>
          <w:szCs w:val="24"/>
          <w:u w:val="single"/>
        </w:rPr>
      </w:pPr>
    </w:p>
    <w:p w:rsidR="00C75B54" w:rsidRDefault="00C75B54" w:rsidP="005D0E82">
      <w:pPr>
        <w:rPr>
          <w:sz w:val="24"/>
          <w:szCs w:val="24"/>
          <w:u w:val="single"/>
        </w:rPr>
      </w:pPr>
    </w:p>
    <w:p w:rsidR="005D0E82" w:rsidRPr="00D26B70" w:rsidRDefault="005D0E82" w:rsidP="005D0E82">
      <w:pPr>
        <w:rPr>
          <w:sz w:val="24"/>
          <w:szCs w:val="24"/>
          <w:u w:val="single"/>
        </w:rPr>
      </w:pPr>
      <w:r w:rsidRPr="00D26B70">
        <w:rPr>
          <w:sz w:val="24"/>
          <w:szCs w:val="24"/>
          <w:u w:val="single"/>
        </w:rPr>
        <w:lastRenderedPageBreak/>
        <w:t>Paragraph 3, Page 2</w:t>
      </w:r>
    </w:p>
    <w:p w:rsidR="00135F88" w:rsidRDefault="005D0E82" w:rsidP="005D0E82">
      <w:pPr>
        <w:rPr>
          <w:sz w:val="24"/>
          <w:szCs w:val="24"/>
        </w:rPr>
      </w:pPr>
      <w:r w:rsidRPr="00D26B70">
        <w:rPr>
          <w:sz w:val="24"/>
          <w:szCs w:val="24"/>
        </w:rPr>
        <w:t xml:space="preserve">Policies ER1 and ER2 as amended are applicable to </w:t>
      </w:r>
      <w:r w:rsidR="00C553FC">
        <w:rPr>
          <w:sz w:val="24"/>
          <w:szCs w:val="24"/>
        </w:rPr>
        <w:t xml:space="preserve">the development of </w:t>
      </w:r>
      <w:r w:rsidRPr="00D26B70">
        <w:rPr>
          <w:sz w:val="24"/>
          <w:szCs w:val="24"/>
        </w:rPr>
        <w:t xml:space="preserve">all sites </w:t>
      </w:r>
      <w:r w:rsidR="0027599D">
        <w:rPr>
          <w:sz w:val="24"/>
          <w:szCs w:val="24"/>
        </w:rPr>
        <w:t xml:space="preserve">allocated in the </w:t>
      </w:r>
      <w:r w:rsidRPr="00D26B70">
        <w:rPr>
          <w:sz w:val="24"/>
          <w:szCs w:val="24"/>
        </w:rPr>
        <w:t>Local Plan</w:t>
      </w:r>
      <w:r w:rsidR="00C553FC">
        <w:rPr>
          <w:sz w:val="24"/>
          <w:szCs w:val="24"/>
        </w:rPr>
        <w:t>,</w:t>
      </w:r>
      <w:r w:rsidRPr="00D26B70">
        <w:rPr>
          <w:sz w:val="24"/>
          <w:szCs w:val="24"/>
        </w:rPr>
        <w:t xml:space="preserve"> including the new sites</w:t>
      </w:r>
      <w:r w:rsidR="00604D3C">
        <w:rPr>
          <w:sz w:val="24"/>
          <w:szCs w:val="24"/>
        </w:rPr>
        <w:t xml:space="preserve"> put forward as </w:t>
      </w:r>
      <w:r w:rsidR="003D0034">
        <w:rPr>
          <w:sz w:val="24"/>
          <w:szCs w:val="24"/>
        </w:rPr>
        <w:t xml:space="preserve">Proposed Main </w:t>
      </w:r>
      <w:r w:rsidR="00604D3C">
        <w:rPr>
          <w:sz w:val="24"/>
          <w:szCs w:val="24"/>
        </w:rPr>
        <w:t>Modifications</w:t>
      </w:r>
      <w:r w:rsidRPr="00D26B70">
        <w:rPr>
          <w:sz w:val="24"/>
          <w:szCs w:val="24"/>
        </w:rPr>
        <w:t xml:space="preserve">. The two Policies have already addressed the requirement for SUDS, WSUD and water storage areas. </w:t>
      </w:r>
    </w:p>
    <w:p w:rsidR="005D0E82" w:rsidRPr="00D26B70" w:rsidRDefault="005D0E82" w:rsidP="005D0E82">
      <w:pPr>
        <w:rPr>
          <w:sz w:val="24"/>
          <w:szCs w:val="24"/>
        </w:rPr>
      </w:pPr>
      <w:r w:rsidRPr="00D26B70">
        <w:rPr>
          <w:sz w:val="24"/>
          <w:szCs w:val="24"/>
        </w:rPr>
        <w:t>The Local Plan has recommended about 100 new dwelling</w:t>
      </w:r>
      <w:r w:rsidR="00604D3C">
        <w:rPr>
          <w:sz w:val="24"/>
          <w:szCs w:val="24"/>
        </w:rPr>
        <w:t>s</w:t>
      </w:r>
      <w:r w:rsidRPr="00D26B70">
        <w:rPr>
          <w:sz w:val="24"/>
          <w:szCs w:val="24"/>
        </w:rPr>
        <w:t xml:space="preserve"> in North</w:t>
      </w:r>
      <w:r w:rsidR="00C553FC">
        <w:rPr>
          <w:sz w:val="24"/>
          <w:szCs w:val="24"/>
        </w:rPr>
        <w:t xml:space="preserve"> Torquay and about 270 in South </w:t>
      </w:r>
      <w:r w:rsidRPr="00D26B70">
        <w:rPr>
          <w:sz w:val="24"/>
          <w:szCs w:val="24"/>
        </w:rPr>
        <w:t>Torquay</w:t>
      </w:r>
      <w:r w:rsidR="00604D3C">
        <w:rPr>
          <w:sz w:val="24"/>
          <w:szCs w:val="24"/>
        </w:rPr>
        <w:t>,</w:t>
      </w:r>
      <w:r w:rsidRPr="00D26B70">
        <w:rPr>
          <w:sz w:val="24"/>
          <w:szCs w:val="24"/>
        </w:rPr>
        <w:t xml:space="preserve"> mainly</w:t>
      </w:r>
      <w:r w:rsidR="00860321">
        <w:rPr>
          <w:sz w:val="24"/>
          <w:szCs w:val="24"/>
        </w:rPr>
        <w:t xml:space="preserve"> on</w:t>
      </w:r>
      <w:r w:rsidRPr="00D26B70">
        <w:rPr>
          <w:sz w:val="24"/>
          <w:szCs w:val="24"/>
        </w:rPr>
        <w:t xml:space="preserve"> brownfield car park</w:t>
      </w:r>
      <w:r w:rsidR="00604D3C">
        <w:rPr>
          <w:sz w:val="24"/>
          <w:szCs w:val="24"/>
        </w:rPr>
        <w:t xml:space="preserve"> </w:t>
      </w:r>
      <w:r w:rsidRPr="00D26B70">
        <w:rPr>
          <w:sz w:val="24"/>
          <w:szCs w:val="24"/>
        </w:rPr>
        <w:t>s</w:t>
      </w:r>
      <w:r w:rsidR="00604D3C">
        <w:rPr>
          <w:sz w:val="24"/>
          <w:szCs w:val="24"/>
        </w:rPr>
        <w:t>ites</w:t>
      </w:r>
      <w:r w:rsidR="001E5B6D">
        <w:rPr>
          <w:sz w:val="24"/>
          <w:szCs w:val="24"/>
        </w:rPr>
        <w:t>.</w:t>
      </w:r>
      <w:r w:rsidRPr="00D26B70">
        <w:rPr>
          <w:sz w:val="24"/>
          <w:szCs w:val="24"/>
        </w:rPr>
        <w:t xml:space="preserve">  The Local Plan has further committed to produc</w:t>
      </w:r>
      <w:r w:rsidR="00860321">
        <w:rPr>
          <w:sz w:val="24"/>
          <w:szCs w:val="24"/>
        </w:rPr>
        <w:t>ing</w:t>
      </w:r>
      <w:r w:rsidRPr="00D26B70">
        <w:rPr>
          <w:sz w:val="24"/>
          <w:szCs w:val="24"/>
        </w:rPr>
        <w:t xml:space="preserve"> a Supplementary Planning Document setting out detailed guidance on the use and application of WSUD and SUDS.  </w:t>
      </w:r>
    </w:p>
    <w:p w:rsidR="005D0E82" w:rsidRDefault="005D0E82" w:rsidP="005D0E82">
      <w:pPr>
        <w:rPr>
          <w:sz w:val="24"/>
          <w:szCs w:val="24"/>
        </w:rPr>
      </w:pPr>
    </w:p>
    <w:p w:rsidR="00F61834" w:rsidRPr="00D26B70" w:rsidRDefault="00F61834" w:rsidP="00F61834">
      <w:pPr>
        <w:rPr>
          <w:sz w:val="24"/>
          <w:szCs w:val="24"/>
        </w:rPr>
      </w:pPr>
      <w:r>
        <w:rPr>
          <w:sz w:val="24"/>
          <w:szCs w:val="24"/>
        </w:rPr>
        <w:t>The concomitant amendments will be made to the Sustainability Appraisal as necessary.</w:t>
      </w:r>
    </w:p>
    <w:p w:rsidR="00F61834" w:rsidRDefault="00F61834" w:rsidP="005D0E82">
      <w:pPr>
        <w:rPr>
          <w:sz w:val="24"/>
          <w:szCs w:val="24"/>
        </w:rPr>
      </w:pPr>
    </w:p>
    <w:p w:rsidR="00F61834" w:rsidRPr="00D26B70" w:rsidRDefault="00F61834" w:rsidP="005D0E82">
      <w:pPr>
        <w:rPr>
          <w:sz w:val="24"/>
          <w:szCs w:val="24"/>
        </w:rPr>
      </w:pPr>
    </w:p>
    <w:p w:rsidR="005D0E82" w:rsidRPr="00D26B70" w:rsidRDefault="005D0E82" w:rsidP="005D0E82">
      <w:pPr>
        <w:rPr>
          <w:b/>
          <w:sz w:val="24"/>
          <w:szCs w:val="24"/>
        </w:rPr>
      </w:pPr>
      <w:r w:rsidRPr="00D26B70">
        <w:rPr>
          <w:b/>
          <w:sz w:val="24"/>
          <w:szCs w:val="24"/>
        </w:rPr>
        <w:t xml:space="preserve">Habitats Regulations Assessment Revision   </w:t>
      </w:r>
    </w:p>
    <w:p w:rsidR="005D0E82" w:rsidRPr="00D26B70" w:rsidRDefault="005D0E82" w:rsidP="005D0E82">
      <w:pPr>
        <w:rPr>
          <w:sz w:val="24"/>
          <w:szCs w:val="24"/>
          <w:u w:val="single"/>
        </w:rPr>
      </w:pPr>
      <w:r w:rsidRPr="00D26B70">
        <w:rPr>
          <w:sz w:val="24"/>
          <w:szCs w:val="24"/>
          <w:u w:val="single"/>
        </w:rPr>
        <w:t>Paragraph 1, Page 8</w:t>
      </w:r>
    </w:p>
    <w:p w:rsidR="00E30E12" w:rsidRDefault="005D0E82" w:rsidP="005D0E82">
      <w:pPr>
        <w:rPr>
          <w:sz w:val="24"/>
          <w:szCs w:val="24"/>
        </w:rPr>
      </w:pPr>
      <w:r w:rsidRPr="00D26B70">
        <w:rPr>
          <w:sz w:val="24"/>
          <w:szCs w:val="24"/>
        </w:rPr>
        <w:t xml:space="preserve">An evidence base to support the HRA </w:t>
      </w:r>
      <w:r w:rsidR="00604D3C">
        <w:rPr>
          <w:sz w:val="24"/>
          <w:szCs w:val="24"/>
        </w:rPr>
        <w:t xml:space="preserve">was </w:t>
      </w:r>
      <w:r w:rsidRPr="00D26B70">
        <w:rPr>
          <w:sz w:val="24"/>
          <w:szCs w:val="24"/>
        </w:rPr>
        <w:t>produce</w:t>
      </w:r>
      <w:r w:rsidR="00604D3C">
        <w:rPr>
          <w:sz w:val="24"/>
          <w:szCs w:val="24"/>
        </w:rPr>
        <w:t>d</w:t>
      </w:r>
      <w:r w:rsidRPr="00D26B70">
        <w:rPr>
          <w:sz w:val="24"/>
          <w:szCs w:val="24"/>
        </w:rPr>
        <w:t xml:space="preserve"> for </w:t>
      </w:r>
      <w:r w:rsidR="003D0034">
        <w:rPr>
          <w:sz w:val="24"/>
          <w:szCs w:val="24"/>
        </w:rPr>
        <w:t xml:space="preserve">allocations at </w:t>
      </w:r>
      <w:r w:rsidR="00604D3C">
        <w:rPr>
          <w:sz w:val="24"/>
          <w:szCs w:val="24"/>
        </w:rPr>
        <w:t xml:space="preserve">Land </w:t>
      </w:r>
      <w:r w:rsidRPr="00D26B70">
        <w:rPr>
          <w:sz w:val="24"/>
          <w:szCs w:val="24"/>
        </w:rPr>
        <w:t xml:space="preserve">South </w:t>
      </w:r>
      <w:r w:rsidR="00604D3C">
        <w:rPr>
          <w:sz w:val="24"/>
          <w:szCs w:val="24"/>
        </w:rPr>
        <w:t xml:space="preserve">of </w:t>
      </w:r>
      <w:r w:rsidRPr="00D26B70">
        <w:rPr>
          <w:sz w:val="24"/>
          <w:szCs w:val="24"/>
        </w:rPr>
        <w:t>White Rock and St Mary’s Campsite in February and March</w:t>
      </w:r>
      <w:r w:rsidR="00604D3C">
        <w:rPr>
          <w:sz w:val="24"/>
          <w:szCs w:val="24"/>
        </w:rPr>
        <w:t xml:space="preserve"> 2015</w:t>
      </w:r>
      <w:r w:rsidRPr="00D26B70">
        <w:rPr>
          <w:sz w:val="24"/>
          <w:szCs w:val="24"/>
        </w:rPr>
        <w:t xml:space="preserve"> (HRA Site Appraisal Report</w:t>
      </w:r>
      <w:r w:rsidR="00604D3C">
        <w:rPr>
          <w:sz w:val="24"/>
          <w:szCs w:val="24"/>
        </w:rPr>
        <w:t>s</w:t>
      </w:r>
      <w:r w:rsidRPr="00D26B70">
        <w:rPr>
          <w:sz w:val="24"/>
          <w:szCs w:val="24"/>
        </w:rPr>
        <w:t xml:space="preserve"> for Torbay Local Plan Strategic Delivery Areas</w:t>
      </w:r>
      <w:r w:rsidR="00604D3C">
        <w:rPr>
          <w:sz w:val="24"/>
          <w:szCs w:val="24"/>
        </w:rPr>
        <w:t xml:space="preserve">) - </w:t>
      </w:r>
      <w:r w:rsidRPr="00D26B70">
        <w:rPr>
          <w:rFonts w:cs="Arial"/>
          <w:sz w:val="24"/>
          <w:szCs w:val="24"/>
        </w:rPr>
        <w:t>see the links below</w:t>
      </w:r>
      <w:r w:rsidR="00604D3C">
        <w:rPr>
          <w:rFonts w:cs="Arial"/>
          <w:sz w:val="24"/>
          <w:szCs w:val="24"/>
        </w:rPr>
        <w:t>:</w:t>
      </w:r>
      <w:r w:rsidRPr="00D26B70">
        <w:rPr>
          <w:sz w:val="24"/>
          <w:szCs w:val="24"/>
        </w:rPr>
        <w:t xml:space="preserve"> </w:t>
      </w:r>
    </w:p>
    <w:p w:rsidR="00F61834" w:rsidRDefault="00F61834" w:rsidP="005D0E82">
      <w:pPr>
        <w:rPr>
          <w:sz w:val="24"/>
          <w:szCs w:val="24"/>
        </w:rPr>
      </w:pPr>
    </w:p>
    <w:p w:rsidR="005D0E82" w:rsidRPr="00D26B70" w:rsidRDefault="005D0E82" w:rsidP="005D0E82">
      <w:pPr>
        <w:rPr>
          <w:sz w:val="24"/>
          <w:szCs w:val="24"/>
        </w:rPr>
      </w:pPr>
      <w:hyperlink r:id="rId7" w:history="1">
        <w:r w:rsidRPr="00D26B70">
          <w:rPr>
            <w:rStyle w:val="Hyperlink"/>
            <w:rFonts w:cs="Arial"/>
            <w:color w:val="auto"/>
            <w:sz w:val="24"/>
            <w:szCs w:val="24"/>
          </w:rPr>
          <w:t>http://www.torbay.gov.uk/hrasit</w:t>
        </w:r>
        <w:r w:rsidRPr="00D26B70">
          <w:rPr>
            <w:rStyle w:val="Hyperlink"/>
            <w:rFonts w:cs="Arial"/>
            <w:color w:val="auto"/>
            <w:sz w:val="24"/>
            <w:szCs w:val="24"/>
          </w:rPr>
          <w:t>e</w:t>
        </w:r>
        <w:r w:rsidRPr="00D26B70">
          <w:rPr>
            <w:rStyle w:val="Hyperlink"/>
            <w:rFonts w:cs="Arial"/>
            <w:color w:val="auto"/>
            <w:sz w:val="24"/>
            <w:szCs w:val="24"/>
          </w:rPr>
          <w:t>appraisalreportofproposedadditionalsitestobeincludedas.doc</w:t>
        </w:r>
      </w:hyperlink>
    </w:p>
    <w:p w:rsidR="005D0E82" w:rsidRPr="00D26B70" w:rsidRDefault="005D0E82" w:rsidP="005D0E82">
      <w:pPr>
        <w:rPr>
          <w:sz w:val="24"/>
          <w:szCs w:val="24"/>
        </w:rPr>
      </w:pPr>
      <w:hyperlink r:id="rId8" w:history="1">
        <w:r w:rsidRPr="00D26B70">
          <w:rPr>
            <w:rStyle w:val="Hyperlink"/>
            <w:iCs/>
            <w:color w:val="auto"/>
            <w:sz w:val="24"/>
            <w:szCs w:val="24"/>
          </w:rPr>
          <w:t>http://www.torbay.gov.uk</w:t>
        </w:r>
        <w:r w:rsidRPr="00D26B70">
          <w:rPr>
            <w:rStyle w:val="Hyperlink"/>
            <w:iCs/>
            <w:color w:val="auto"/>
            <w:sz w:val="24"/>
            <w:szCs w:val="24"/>
          </w:rPr>
          <w:t>/</w:t>
        </w:r>
        <w:r w:rsidRPr="00D26B70">
          <w:rPr>
            <w:rStyle w:val="Hyperlink"/>
            <w:iCs/>
            <w:color w:val="auto"/>
            <w:sz w:val="24"/>
            <w:szCs w:val="24"/>
          </w:rPr>
          <w:t>ph10-hrasiteappraisalreportstmarycamp.pdf</w:t>
        </w:r>
      </w:hyperlink>
    </w:p>
    <w:p w:rsidR="00604D3C" w:rsidRDefault="00604D3C" w:rsidP="00604D3C">
      <w:pPr>
        <w:rPr>
          <w:sz w:val="24"/>
          <w:szCs w:val="24"/>
        </w:rPr>
      </w:pPr>
    </w:p>
    <w:p w:rsidR="00604D3C" w:rsidRPr="00D26B70" w:rsidRDefault="00604D3C" w:rsidP="00604D3C">
      <w:pPr>
        <w:rPr>
          <w:sz w:val="24"/>
          <w:szCs w:val="24"/>
        </w:rPr>
      </w:pPr>
      <w:r w:rsidRPr="00D26B70">
        <w:rPr>
          <w:sz w:val="24"/>
          <w:szCs w:val="24"/>
        </w:rPr>
        <w:t>The two reports have informed both the HRA and the Local Plan.</w:t>
      </w:r>
    </w:p>
    <w:p w:rsidR="005D0E82" w:rsidRPr="00D26B70" w:rsidRDefault="005D0E82" w:rsidP="005D0E82">
      <w:pPr>
        <w:rPr>
          <w:sz w:val="24"/>
          <w:szCs w:val="24"/>
        </w:rPr>
      </w:pPr>
    </w:p>
    <w:p w:rsidR="005D0E82" w:rsidRDefault="005D0E82" w:rsidP="005D0E82">
      <w:pPr>
        <w:rPr>
          <w:sz w:val="24"/>
          <w:szCs w:val="24"/>
        </w:rPr>
      </w:pPr>
      <w:r w:rsidRPr="00D26B70">
        <w:rPr>
          <w:sz w:val="24"/>
          <w:szCs w:val="24"/>
        </w:rPr>
        <w:t xml:space="preserve">The Churston Golf Club site is not </w:t>
      </w:r>
      <w:r w:rsidR="008F39EB">
        <w:rPr>
          <w:sz w:val="24"/>
          <w:szCs w:val="24"/>
        </w:rPr>
        <w:t xml:space="preserve">a </w:t>
      </w:r>
      <w:r w:rsidRPr="00D26B70">
        <w:rPr>
          <w:sz w:val="24"/>
          <w:szCs w:val="24"/>
        </w:rPr>
        <w:t>new</w:t>
      </w:r>
      <w:r w:rsidR="008F39EB">
        <w:rPr>
          <w:sz w:val="24"/>
          <w:szCs w:val="24"/>
        </w:rPr>
        <w:t xml:space="preserve"> Local Plan housing site. I</w:t>
      </w:r>
      <w:r w:rsidRPr="00D26B70">
        <w:rPr>
          <w:sz w:val="24"/>
          <w:szCs w:val="24"/>
        </w:rPr>
        <w:t xml:space="preserve">t has been moved from the list </w:t>
      </w:r>
      <w:r w:rsidR="008F39EB">
        <w:rPr>
          <w:sz w:val="24"/>
          <w:szCs w:val="24"/>
        </w:rPr>
        <w:t xml:space="preserve">of </w:t>
      </w:r>
      <w:r w:rsidRPr="00D26B70">
        <w:rPr>
          <w:sz w:val="24"/>
          <w:szCs w:val="24"/>
        </w:rPr>
        <w:t>committed development sites to the list of potential</w:t>
      </w:r>
      <w:r w:rsidR="008F39EB">
        <w:rPr>
          <w:sz w:val="24"/>
          <w:szCs w:val="24"/>
        </w:rPr>
        <w:t xml:space="preserve"> ‘pool’</w:t>
      </w:r>
      <w:r w:rsidRPr="00D26B70">
        <w:rPr>
          <w:sz w:val="24"/>
          <w:szCs w:val="24"/>
        </w:rPr>
        <w:t xml:space="preserve"> development </w:t>
      </w:r>
      <w:r w:rsidR="008F39EB">
        <w:rPr>
          <w:sz w:val="24"/>
          <w:szCs w:val="24"/>
        </w:rPr>
        <w:t xml:space="preserve">sites </w:t>
      </w:r>
      <w:r w:rsidRPr="00D26B70">
        <w:rPr>
          <w:sz w:val="24"/>
          <w:szCs w:val="24"/>
        </w:rPr>
        <w:t xml:space="preserve">that are subject to consideration in the Neighbourhood Plans. The site has been subject to extensive ecological surveys by professional ecologists, using methodologies agreed with Natural England. Following clarification of a number of points Natural England removed their </w:t>
      </w:r>
      <w:r w:rsidR="008F39EB">
        <w:rPr>
          <w:sz w:val="24"/>
          <w:szCs w:val="24"/>
        </w:rPr>
        <w:t xml:space="preserve">earlier </w:t>
      </w:r>
      <w:r w:rsidRPr="00D26B70">
        <w:rPr>
          <w:sz w:val="24"/>
          <w:szCs w:val="24"/>
        </w:rPr>
        <w:t xml:space="preserve">objections to the proposals. </w:t>
      </w:r>
      <w:r w:rsidR="00E30E12">
        <w:rPr>
          <w:sz w:val="24"/>
          <w:szCs w:val="24"/>
        </w:rPr>
        <w:t xml:space="preserve">The Council remains aware of the issues surrounding delivery of the site but remains of the view that it is an appropriate Neighbourhood Plan ‘pool’ site.  </w:t>
      </w:r>
    </w:p>
    <w:p w:rsidR="00E23D21" w:rsidRDefault="00E23D21" w:rsidP="005D0E82">
      <w:pPr>
        <w:rPr>
          <w:sz w:val="24"/>
          <w:szCs w:val="24"/>
        </w:rPr>
      </w:pPr>
    </w:p>
    <w:p w:rsidR="00E23D21" w:rsidRPr="00D26B70" w:rsidRDefault="00E23D21" w:rsidP="005D0E82">
      <w:pPr>
        <w:rPr>
          <w:sz w:val="24"/>
          <w:szCs w:val="24"/>
        </w:rPr>
      </w:pPr>
      <w:r w:rsidRPr="00A54998">
        <w:rPr>
          <w:sz w:val="24"/>
          <w:szCs w:val="24"/>
        </w:rPr>
        <w:t xml:space="preserve">It will be noted that the primary difficulties </w:t>
      </w:r>
      <w:r w:rsidR="00A54998">
        <w:rPr>
          <w:sz w:val="24"/>
          <w:szCs w:val="24"/>
        </w:rPr>
        <w:t xml:space="preserve">associated with the </w:t>
      </w:r>
      <w:r w:rsidRPr="00A54998">
        <w:rPr>
          <w:sz w:val="24"/>
          <w:szCs w:val="24"/>
        </w:rPr>
        <w:t>Churston Golf Club site relate to potential sites for the relocation of the clubhouse and 1</w:t>
      </w:r>
      <w:r w:rsidRPr="00A54998">
        <w:rPr>
          <w:sz w:val="24"/>
          <w:szCs w:val="24"/>
          <w:vertAlign w:val="superscript"/>
        </w:rPr>
        <w:t>st</w:t>
      </w:r>
      <w:r w:rsidRPr="00A54998">
        <w:rPr>
          <w:sz w:val="24"/>
          <w:szCs w:val="24"/>
        </w:rPr>
        <w:t xml:space="preserve"> and 18</w:t>
      </w:r>
      <w:r w:rsidRPr="00A54998">
        <w:rPr>
          <w:sz w:val="24"/>
          <w:szCs w:val="24"/>
          <w:vertAlign w:val="superscript"/>
        </w:rPr>
        <w:t>th</w:t>
      </w:r>
      <w:r w:rsidRPr="00A54998">
        <w:rPr>
          <w:sz w:val="24"/>
          <w:szCs w:val="24"/>
        </w:rPr>
        <w:t xml:space="preserve"> holes (including the recent appeal site).  The site of the current club house and 1</w:t>
      </w:r>
      <w:r w:rsidRPr="00A54998">
        <w:rPr>
          <w:sz w:val="24"/>
          <w:szCs w:val="24"/>
          <w:vertAlign w:val="superscript"/>
        </w:rPr>
        <w:t>st</w:t>
      </w:r>
      <w:r w:rsidRPr="00A54998">
        <w:rPr>
          <w:sz w:val="24"/>
          <w:szCs w:val="24"/>
        </w:rPr>
        <w:t xml:space="preserve"> and 18</w:t>
      </w:r>
      <w:r w:rsidRPr="00A54998">
        <w:rPr>
          <w:sz w:val="24"/>
          <w:szCs w:val="24"/>
          <w:vertAlign w:val="superscript"/>
        </w:rPr>
        <w:t>th</w:t>
      </w:r>
      <w:r w:rsidRPr="00A54998">
        <w:rPr>
          <w:sz w:val="24"/>
          <w:szCs w:val="24"/>
        </w:rPr>
        <w:t xml:space="preserve"> holes (i.e. the site included in the </w:t>
      </w:r>
      <w:r w:rsidR="00A54998">
        <w:rPr>
          <w:sz w:val="24"/>
          <w:szCs w:val="24"/>
        </w:rPr>
        <w:t>L</w:t>
      </w:r>
      <w:r w:rsidRPr="00A54998">
        <w:rPr>
          <w:sz w:val="24"/>
          <w:szCs w:val="24"/>
        </w:rPr>
        <w:t>ocal Plan’s Appendix D) is agreed to be of little interest a</w:t>
      </w:r>
      <w:r w:rsidR="00A54998">
        <w:rPr>
          <w:sz w:val="24"/>
          <w:szCs w:val="24"/>
        </w:rPr>
        <w:t xml:space="preserve">s </w:t>
      </w:r>
      <w:r w:rsidRPr="00A54998">
        <w:rPr>
          <w:sz w:val="24"/>
          <w:szCs w:val="24"/>
        </w:rPr>
        <w:t xml:space="preserve">a foraging area for greater horseshoe bats (as </w:t>
      </w:r>
      <w:r w:rsidR="00A54998">
        <w:rPr>
          <w:sz w:val="24"/>
          <w:szCs w:val="24"/>
        </w:rPr>
        <w:t xml:space="preserve">indicated on Page </w:t>
      </w:r>
      <w:r w:rsidRPr="00A54998">
        <w:rPr>
          <w:sz w:val="24"/>
          <w:szCs w:val="24"/>
        </w:rPr>
        <w:t>4 of Natural England’s letter).</w:t>
      </w:r>
      <w:r>
        <w:rPr>
          <w:sz w:val="24"/>
          <w:szCs w:val="24"/>
        </w:rPr>
        <w:t xml:space="preserve"> </w:t>
      </w:r>
    </w:p>
    <w:p w:rsidR="005D0E82" w:rsidRPr="00D26B70" w:rsidRDefault="005D0E82" w:rsidP="005D0E82">
      <w:pPr>
        <w:rPr>
          <w:sz w:val="24"/>
          <w:szCs w:val="24"/>
        </w:rPr>
      </w:pPr>
    </w:p>
    <w:p w:rsidR="005D0E82" w:rsidRPr="00283EA4" w:rsidRDefault="005D0E82" w:rsidP="005D0E82">
      <w:pPr>
        <w:rPr>
          <w:sz w:val="24"/>
          <w:szCs w:val="24"/>
          <w:u w:val="single"/>
        </w:rPr>
      </w:pPr>
      <w:r w:rsidRPr="00283EA4">
        <w:rPr>
          <w:sz w:val="24"/>
          <w:szCs w:val="24"/>
          <w:u w:val="single"/>
        </w:rPr>
        <w:t>Paragraph 2, Pages 8 and 9</w:t>
      </w:r>
    </w:p>
    <w:p w:rsidR="000363C5" w:rsidRPr="00283EA4" w:rsidRDefault="000363C5" w:rsidP="000363C5">
      <w:pPr>
        <w:rPr>
          <w:sz w:val="24"/>
          <w:szCs w:val="24"/>
        </w:rPr>
      </w:pPr>
      <w:r w:rsidRPr="00283EA4">
        <w:rPr>
          <w:sz w:val="24"/>
          <w:szCs w:val="24"/>
        </w:rPr>
        <w:t xml:space="preserve">Natural England </w:t>
      </w:r>
      <w:r w:rsidR="008F39EB" w:rsidRPr="00283EA4">
        <w:rPr>
          <w:sz w:val="24"/>
          <w:szCs w:val="24"/>
        </w:rPr>
        <w:t>ha</w:t>
      </w:r>
      <w:r w:rsidR="00E30E12">
        <w:rPr>
          <w:sz w:val="24"/>
          <w:szCs w:val="24"/>
        </w:rPr>
        <w:t xml:space="preserve">s </w:t>
      </w:r>
      <w:r w:rsidR="008F39EB" w:rsidRPr="00283EA4">
        <w:rPr>
          <w:sz w:val="24"/>
          <w:szCs w:val="24"/>
        </w:rPr>
        <w:t xml:space="preserve">objected to </w:t>
      </w:r>
      <w:r w:rsidRPr="00283EA4">
        <w:rPr>
          <w:sz w:val="24"/>
          <w:szCs w:val="24"/>
        </w:rPr>
        <w:t xml:space="preserve">the inclusion of </w:t>
      </w:r>
      <w:r w:rsidR="008F39EB" w:rsidRPr="00283EA4">
        <w:rPr>
          <w:sz w:val="24"/>
          <w:szCs w:val="24"/>
        </w:rPr>
        <w:t xml:space="preserve">specific </w:t>
      </w:r>
      <w:r w:rsidRPr="00283EA4">
        <w:rPr>
          <w:sz w:val="24"/>
          <w:szCs w:val="24"/>
        </w:rPr>
        <w:t>existing car parks in Torquay as brownfield development sites. They have stated the following:</w:t>
      </w:r>
    </w:p>
    <w:p w:rsidR="000363C5" w:rsidRPr="00283EA4" w:rsidRDefault="000363C5" w:rsidP="000363C5">
      <w:pPr>
        <w:rPr>
          <w:sz w:val="24"/>
          <w:szCs w:val="24"/>
        </w:rPr>
      </w:pPr>
    </w:p>
    <w:p w:rsidR="000363C5" w:rsidRDefault="000363C5" w:rsidP="000363C5">
      <w:pPr>
        <w:pStyle w:val="ListParagraph"/>
        <w:numPr>
          <w:ilvl w:val="0"/>
          <w:numId w:val="1"/>
        </w:numPr>
        <w:rPr>
          <w:sz w:val="24"/>
          <w:szCs w:val="24"/>
        </w:rPr>
      </w:pPr>
      <w:r w:rsidRPr="00283EA4">
        <w:rPr>
          <w:sz w:val="24"/>
          <w:szCs w:val="24"/>
        </w:rPr>
        <w:t>That these car parks slow the migration of surface water into the combined sewer system</w:t>
      </w:r>
      <w:r w:rsidR="00E30E12">
        <w:rPr>
          <w:sz w:val="24"/>
          <w:szCs w:val="24"/>
        </w:rPr>
        <w:t>; and</w:t>
      </w:r>
      <w:r w:rsidRPr="00283EA4">
        <w:rPr>
          <w:sz w:val="24"/>
          <w:szCs w:val="24"/>
        </w:rPr>
        <w:t xml:space="preserve"> </w:t>
      </w:r>
    </w:p>
    <w:p w:rsidR="000363C5" w:rsidRPr="00283EA4" w:rsidRDefault="000363C5" w:rsidP="000363C5">
      <w:pPr>
        <w:pStyle w:val="ListParagraph"/>
        <w:numPr>
          <w:ilvl w:val="0"/>
          <w:numId w:val="1"/>
        </w:numPr>
        <w:rPr>
          <w:sz w:val="24"/>
          <w:szCs w:val="24"/>
        </w:rPr>
      </w:pPr>
      <w:r w:rsidRPr="00283EA4">
        <w:rPr>
          <w:sz w:val="24"/>
          <w:szCs w:val="24"/>
        </w:rPr>
        <w:lastRenderedPageBreak/>
        <w:t>That from previous negotiations the car parks in Torquay are situated in areas where due to clay geology, SuDS are very unlikely to be delivered.</w:t>
      </w:r>
    </w:p>
    <w:p w:rsidR="008F39EB" w:rsidRPr="00283EA4" w:rsidRDefault="008F39EB" w:rsidP="000363C5">
      <w:pPr>
        <w:rPr>
          <w:sz w:val="24"/>
          <w:szCs w:val="24"/>
        </w:rPr>
      </w:pPr>
    </w:p>
    <w:p w:rsidR="000363C5" w:rsidRPr="00283EA4" w:rsidRDefault="008F39EB" w:rsidP="000363C5">
      <w:pPr>
        <w:rPr>
          <w:sz w:val="24"/>
          <w:szCs w:val="24"/>
        </w:rPr>
      </w:pPr>
      <w:r w:rsidRPr="00283EA4">
        <w:rPr>
          <w:sz w:val="24"/>
          <w:szCs w:val="24"/>
        </w:rPr>
        <w:t>The basis for these conclusions is uncertain and the statements are somewhat confusing</w:t>
      </w:r>
      <w:r w:rsidR="00283EA4" w:rsidRPr="00283EA4">
        <w:rPr>
          <w:sz w:val="24"/>
          <w:szCs w:val="24"/>
        </w:rPr>
        <w:t>.</w:t>
      </w:r>
      <w:r w:rsidRPr="00283EA4">
        <w:rPr>
          <w:sz w:val="24"/>
          <w:szCs w:val="24"/>
        </w:rPr>
        <w:t xml:space="preserve"> </w:t>
      </w:r>
    </w:p>
    <w:p w:rsidR="000363C5" w:rsidRPr="00283EA4" w:rsidRDefault="000363C5" w:rsidP="000363C5">
      <w:pPr>
        <w:rPr>
          <w:sz w:val="24"/>
          <w:szCs w:val="24"/>
        </w:rPr>
      </w:pPr>
    </w:p>
    <w:p w:rsidR="00E30E12" w:rsidRDefault="000363C5" w:rsidP="000363C5">
      <w:pPr>
        <w:rPr>
          <w:sz w:val="24"/>
          <w:szCs w:val="24"/>
        </w:rPr>
      </w:pPr>
      <w:r w:rsidRPr="00283EA4">
        <w:rPr>
          <w:sz w:val="24"/>
          <w:szCs w:val="24"/>
        </w:rPr>
        <w:t>Currently all the car parks in Torquay are hard surfaced and surface water run</w:t>
      </w:r>
      <w:r w:rsidR="00283EA4" w:rsidRPr="00283EA4">
        <w:rPr>
          <w:sz w:val="24"/>
          <w:szCs w:val="24"/>
        </w:rPr>
        <w:t>-</w:t>
      </w:r>
      <w:r w:rsidRPr="00283EA4">
        <w:rPr>
          <w:sz w:val="24"/>
          <w:szCs w:val="24"/>
        </w:rPr>
        <w:t>off from these is positively drained to the combined sewer system</w:t>
      </w:r>
      <w:r w:rsidR="00283EA4" w:rsidRPr="00283EA4">
        <w:rPr>
          <w:sz w:val="24"/>
          <w:szCs w:val="24"/>
        </w:rPr>
        <w:t>,</w:t>
      </w:r>
      <w:r w:rsidRPr="00283EA4">
        <w:rPr>
          <w:sz w:val="24"/>
          <w:szCs w:val="24"/>
        </w:rPr>
        <w:t xml:space="preserve"> giving 100% impermeable area. </w:t>
      </w:r>
      <w:r w:rsidR="00283EA4" w:rsidRPr="00283EA4">
        <w:rPr>
          <w:sz w:val="24"/>
          <w:szCs w:val="24"/>
        </w:rPr>
        <w:t xml:space="preserve">However, as </w:t>
      </w:r>
      <w:r w:rsidRPr="00283EA4">
        <w:rPr>
          <w:sz w:val="24"/>
          <w:szCs w:val="24"/>
        </w:rPr>
        <w:t>part of any redevelopment</w:t>
      </w:r>
      <w:r w:rsidR="00283EA4" w:rsidRPr="00283EA4">
        <w:rPr>
          <w:sz w:val="24"/>
          <w:szCs w:val="24"/>
        </w:rPr>
        <w:t>,</w:t>
      </w:r>
      <w:r w:rsidRPr="00283EA4">
        <w:rPr>
          <w:sz w:val="24"/>
          <w:szCs w:val="24"/>
        </w:rPr>
        <w:t xml:space="preserve"> the impermeable area will be reduced and surface water run</w:t>
      </w:r>
      <w:r w:rsidR="00283EA4" w:rsidRPr="00283EA4">
        <w:rPr>
          <w:sz w:val="24"/>
          <w:szCs w:val="24"/>
        </w:rPr>
        <w:t>-</w:t>
      </w:r>
      <w:r w:rsidRPr="00283EA4">
        <w:rPr>
          <w:sz w:val="24"/>
          <w:szCs w:val="24"/>
        </w:rPr>
        <w:t>off will, where possible</w:t>
      </w:r>
      <w:r w:rsidR="00283EA4" w:rsidRPr="00283EA4">
        <w:rPr>
          <w:sz w:val="24"/>
          <w:szCs w:val="24"/>
        </w:rPr>
        <w:t>,</w:t>
      </w:r>
      <w:r w:rsidRPr="00283EA4">
        <w:rPr>
          <w:sz w:val="24"/>
          <w:szCs w:val="24"/>
        </w:rPr>
        <w:t xml:space="preserve"> discharge to a SuDS system. </w:t>
      </w:r>
      <w:r w:rsidR="00283EA4" w:rsidRPr="00283EA4">
        <w:rPr>
          <w:sz w:val="24"/>
          <w:szCs w:val="24"/>
        </w:rPr>
        <w:t xml:space="preserve">As </w:t>
      </w:r>
      <w:r w:rsidRPr="00283EA4">
        <w:rPr>
          <w:sz w:val="24"/>
          <w:szCs w:val="24"/>
        </w:rPr>
        <w:t>no site investigations or infiltration testing has been undertaken at the existing car parks</w:t>
      </w:r>
      <w:r w:rsidR="00283EA4" w:rsidRPr="00283EA4">
        <w:rPr>
          <w:sz w:val="24"/>
          <w:szCs w:val="24"/>
        </w:rPr>
        <w:t xml:space="preserve">, it is </w:t>
      </w:r>
      <w:r w:rsidRPr="00283EA4">
        <w:rPr>
          <w:sz w:val="24"/>
          <w:szCs w:val="24"/>
        </w:rPr>
        <w:t>therefore not possible to confirm whether or not infiltration SuDS will be feasible at these sites.</w:t>
      </w:r>
    </w:p>
    <w:p w:rsidR="00E30E12" w:rsidRDefault="00E30E12" w:rsidP="000363C5">
      <w:pPr>
        <w:rPr>
          <w:sz w:val="24"/>
          <w:szCs w:val="24"/>
        </w:rPr>
      </w:pPr>
    </w:p>
    <w:p w:rsidR="000363C5" w:rsidRPr="00283EA4" w:rsidRDefault="000363C5" w:rsidP="000363C5">
      <w:pPr>
        <w:rPr>
          <w:sz w:val="24"/>
          <w:szCs w:val="24"/>
        </w:rPr>
      </w:pPr>
      <w:r w:rsidRPr="00283EA4">
        <w:rPr>
          <w:sz w:val="24"/>
          <w:szCs w:val="24"/>
        </w:rPr>
        <w:t>If infiltration SuDS systems are not feasible</w:t>
      </w:r>
      <w:r w:rsidR="00283EA4" w:rsidRPr="00283EA4">
        <w:rPr>
          <w:sz w:val="24"/>
          <w:szCs w:val="24"/>
        </w:rPr>
        <w:t>,</w:t>
      </w:r>
      <w:r w:rsidRPr="00283EA4">
        <w:rPr>
          <w:sz w:val="24"/>
          <w:szCs w:val="24"/>
        </w:rPr>
        <w:t xml:space="preserve"> an alternative form of SuDS can be used which will incorporate storage and a controlled discharge to the combined sewer system. The controlled discharge will be limited to the </w:t>
      </w:r>
      <w:proofErr w:type="gramStart"/>
      <w:r w:rsidRPr="00283EA4">
        <w:rPr>
          <w:sz w:val="24"/>
          <w:szCs w:val="24"/>
        </w:rPr>
        <w:t>greenfield</w:t>
      </w:r>
      <w:proofErr w:type="gramEnd"/>
      <w:r w:rsidRPr="00283EA4">
        <w:rPr>
          <w:sz w:val="24"/>
          <w:szCs w:val="24"/>
        </w:rPr>
        <w:t xml:space="preserve"> run off rate for the site. By using either</w:t>
      </w:r>
      <w:r w:rsidR="00283EA4" w:rsidRPr="00283EA4">
        <w:rPr>
          <w:sz w:val="24"/>
          <w:szCs w:val="24"/>
        </w:rPr>
        <w:t xml:space="preserve"> </w:t>
      </w:r>
      <w:r w:rsidRPr="00283EA4">
        <w:rPr>
          <w:sz w:val="24"/>
          <w:szCs w:val="24"/>
        </w:rPr>
        <w:t>of these SuDS</w:t>
      </w:r>
      <w:r w:rsidR="00283EA4" w:rsidRPr="00283EA4">
        <w:rPr>
          <w:sz w:val="24"/>
          <w:szCs w:val="24"/>
        </w:rPr>
        <w:t xml:space="preserve"> </w:t>
      </w:r>
      <w:r w:rsidRPr="00283EA4">
        <w:rPr>
          <w:sz w:val="24"/>
          <w:szCs w:val="24"/>
        </w:rPr>
        <w:t>techniques</w:t>
      </w:r>
      <w:r w:rsidR="00283EA4" w:rsidRPr="00283EA4">
        <w:rPr>
          <w:sz w:val="24"/>
          <w:szCs w:val="24"/>
        </w:rPr>
        <w:t>,</w:t>
      </w:r>
      <w:r w:rsidRPr="00283EA4">
        <w:rPr>
          <w:sz w:val="24"/>
          <w:szCs w:val="24"/>
        </w:rPr>
        <w:t xml:space="preserve"> the volume and rate of surface water discharging to the combined sewer system will be significantly reduced and hence the frequency and volume of discharges from the combined sewer overflows to the Lyme Bay and Torbay Marine cSAC will also be reduced.          </w:t>
      </w:r>
    </w:p>
    <w:p w:rsidR="000363C5" w:rsidRPr="008F39EB" w:rsidRDefault="000363C5" w:rsidP="000363C5">
      <w:pPr>
        <w:rPr>
          <w:color w:val="002060"/>
          <w:sz w:val="24"/>
          <w:szCs w:val="24"/>
        </w:rPr>
      </w:pPr>
    </w:p>
    <w:p w:rsidR="001E5B6D" w:rsidRDefault="001E5B6D" w:rsidP="001E5B6D">
      <w:pPr>
        <w:rPr>
          <w:sz w:val="24"/>
          <w:szCs w:val="24"/>
        </w:rPr>
      </w:pPr>
      <w:r w:rsidRPr="00A54998">
        <w:rPr>
          <w:sz w:val="24"/>
          <w:szCs w:val="24"/>
        </w:rPr>
        <w:t>Polices ER1, ER2 and W5 have been modified to emphasise the importance of reducing surface water run-off into shared sewers.  In particular, a rigid sequential approach is set out in Policy ER2 (AM163).  In addition, the explanatory text to ER1 at Paragraph 6.5.2.13 (</w:t>
      </w:r>
      <w:r w:rsidR="00FC32E5">
        <w:rPr>
          <w:sz w:val="24"/>
          <w:szCs w:val="24"/>
        </w:rPr>
        <w:t xml:space="preserve">noted as Proposed Additional Modification </w:t>
      </w:r>
      <w:r w:rsidRPr="00A54998">
        <w:rPr>
          <w:sz w:val="24"/>
          <w:szCs w:val="24"/>
        </w:rPr>
        <w:t xml:space="preserve">AM160) was inserted in response to the Environment Agency. This undertakes that all development should mimic </w:t>
      </w:r>
      <w:proofErr w:type="gramStart"/>
      <w:r w:rsidRPr="00A54998">
        <w:rPr>
          <w:sz w:val="24"/>
          <w:szCs w:val="24"/>
        </w:rPr>
        <w:t>greenfield</w:t>
      </w:r>
      <w:proofErr w:type="gramEnd"/>
      <w:r w:rsidRPr="00A54998">
        <w:rPr>
          <w:sz w:val="24"/>
          <w:szCs w:val="24"/>
        </w:rPr>
        <w:t xml:space="preserve"> rainfall run-off rates.  This represents a reduction in run-off from car park sites, which are currently hard surfaced and drain into shared sewers.</w:t>
      </w:r>
      <w:r>
        <w:rPr>
          <w:sz w:val="24"/>
          <w:szCs w:val="24"/>
        </w:rPr>
        <w:t xml:space="preserve">  </w:t>
      </w:r>
    </w:p>
    <w:p w:rsidR="00247BF3" w:rsidRDefault="00247BF3" w:rsidP="005D0E82">
      <w:pPr>
        <w:rPr>
          <w:b/>
          <w:sz w:val="24"/>
          <w:szCs w:val="24"/>
        </w:rPr>
      </w:pPr>
    </w:p>
    <w:p w:rsidR="00247BF3" w:rsidRDefault="00247BF3" w:rsidP="005D0E82">
      <w:pPr>
        <w:rPr>
          <w:b/>
          <w:sz w:val="24"/>
          <w:szCs w:val="24"/>
        </w:rPr>
      </w:pPr>
    </w:p>
    <w:p w:rsidR="005D0E82" w:rsidRPr="00D26B70" w:rsidRDefault="005D0E82" w:rsidP="005D0E82">
      <w:pPr>
        <w:rPr>
          <w:b/>
          <w:sz w:val="24"/>
          <w:szCs w:val="24"/>
        </w:rPr>
      </w:pPr>
      <w:r w:rsidRPr="00D26B70">
        <w:rPr>
          <w:b/>
          <w:sz w:val="24"/>
          <w:szCs w:val="24"/>
        </w:rPr>
        <w:t xml:space="preserve">Habitats Regulations Assessment Omissions   </w:t>
      </w:r>
    </w:p>
    <w:p w:rsidR="005D0E82" w:rsidRPr="00D26B70" w:rsidRDefault="005D0E82" w:rsidP="005D0E82">
      <w:pPr>
        <w:rPr>
          <w:b/>
          <w:sz w:val="24"/>
          <w:szCs w:val="24"/>
          <w:u w:val="single"/>
        </w:rPr>
      </w:pPr>
      <w:r w:rsidRPr="00D26B70">
        <w:rPr>
          <w:sz w:val="24"/>
          <w:szCs w:val="24"/>
          <w:u w:val="single"/>
        </w:rPr>
        <w:t>Paragraph</w:t>
      </w:r>
      <w:r w:rsidR="00196A66">
        <w:rPr>
          <w:sz w:val="24"/>
          <w:szCs w:val="24"/>
          <w:u w:val="single"/>
        </w:rPr>
        <w:t>s</w:t>
      </w:r>
      <w:r w:rsidRPr="00D26B70">
        <w:rPr>
          <w:sz w:val="24"/>
          <w:szCs w:val="24"/>
          <w:u w:val="single"/>
        </w:rPr>
        <w:t xml:space="preserve"> 1</w:t>
      </w:r>
      <w:r w:rsidR="00196A66">
        <w:rPr>
          <w:sz w:val="24"/>
          <w:szCs w:val="24"/>
          <w:u w:val="single"/>
        </w:rPr>
        <w:t xml:space="preserve"> and 2</w:t>
      </w:r>
      <w:r w:rsidRPr="00D26B70">
        <w:rPr>
          <w:sz w:val="24"/>
          <w:szCs w:val="24"/>
          <w:u w:val="single"/>
        </w:rPr>
        <w:t>, Page</w:t>
      </w:r>
      <w:r w:rsidR="00196A66">
        <w:rPr>
          <w:sz w:val="24"/>
          <w:szCs w:val="24"/>
          <w:u w:val="single"/>
        </w:rPr>
        <w:t>s</w:t>
      </w:r>
      <w:r w:rsidRPr="00D26B70">
        <w:rPr>
          <w:sz w:val="24"/>
          <w:szCs w:val="24"/>
          <w:u w:val="single"/>
        </w:rPr>
        <w:t xml:space="preserve"> 9</w:t>
      </w:r>
      <w:r w:rsidR="00196A66">
        <w:rPr>
          <w:sz w:val="24"/>
          <w:szCs w:val="24"/>
          <w:u w:val="single"/>
        </w:rPr>
        <w:t xml:space="preserve"> and 10</w:t>
      </w:r>
    </w:p>
    <w:p w:rsidR="005D0E82" w:rsidRPr="00D26B70" w:rsidRDefault="005D0E82" w:rsidP="005D0E82">
      <w:pPr>
        <w:rPr>
          <w:sz w:val="24"/>
          <w:szCs w:val="24"/>
        </w:rPr>
      </w:pPr>
      <w:r w:rsidRPr="00D26B70">
        <w:rPr>
          <w:sz w:val="24"/>
          <w:szCs w:val="24"/>
        </w:rPr>
        <w:t xml:space="preserve">The habitat survey and desk top study method </w:t>
      </w:r>
      <w:r w:rsidR="00283EA4">
        <w:rPr>
          <w:sz w:val="24"/>
          <w:szCs w:val="24"/>
        </w:rPr>
        <w:t xml:space="preserve">used </w:t>
      </w:r>
      <w:r w:rsidRPr="00D26B70">
        <w:rPr>
          <w:sz w:val="24"/>
          <w:szCs w:val="24"/>
        </w:rPr>
        <w:t xml:space="preserve">for the HRA Site Appraisal has been the approach NE accepted as fit for purpose for strategic sites. </w:t>
      </w:r>
      <w:r w:rsidR="00283EA4">
        <w:rPr>
          <w:sz w:val="24"/>
          <w:szCs w:val="24"/>
        </w:rPr>
        <w:t xml:space="preserve">The </w:t>
      </w:r>
      <w:r w:rsidRPr="00D26B70">
        <w:rPr>
          <w:sz w:val="24"/>
          <w:szCs w:val="24"/>
        </w:rPr>
        <w:t xml:space="preserve">NE requirement to provide bat survey </w:t>
      </w:r>
      <w:r w:rsidR="00283EA4">
        <w:rPr>
          <w:sz w:val="24"/>
          <w:szCs w:val="24"/>
        </w:rPr>
        <w:t xml:space="preserve">data </w:t>
      </w:r>
      <w:r w:rsidRPr="00D26B70">
        <w:rPr>
          <w:sz w:val="24"/>
          <w:szCs w:val="24"/>
        </w:rPr>
        <w:t xml:space="preserve">for </w:t>
      </w:r>
      <w:r w:rsidR="00A25B0D">
        <w:rPr>
          <w:sz w:val="24"/>
          <w:szCs w:val="24"/>
        </w:rPr>
        <w:t xml:space="preserve">certain of </w:t>
      </w:r>
      <w:r w:rsidRPr="00D26B70">
        <w:rPr>
          <w:sz w:val="24"/>
          <w:szCs w:val="24"/>
        </w:rPr>
        <w:t xml:space="preserve">the new sites </w:t>
      </w:r>
      <w:r w:rsidR="00196A66">
        <w:rPr>
          <w:sz w:val="24"/>
          <w:szCs w:val="24"/>
        </w:rPr>
        <w:t xml:space="preserve">is noted. </w:t>
      </w:r>
    </w:p>
    <w:p w:rsidR="005D0E82" w:rsidRDefault="005D0E82" w:rsidP="005D0E82">
      <w:pPr>
        <w:rPr>
          <w:sz w:val="24"/>
          <w:szCs w:val="24"/>
        </w:rPr>
      </w:pPr>
    </w:p>
    <w:p w:rsidR="005D0E82" w:rsidRDefault="005D0E82" w:rsidP="005D0E82">
      <w:pPr>
        <w:rPr>
          <w:sz w:val="24"/>
          <w:szCs w:val="24"/>
        </w:rPr>
      </w:pPr>
      <w:r w:rsidRPr="00D26B70">
        <w:rPr>
          <w:sz w:val="24"/>
          <w:szCs w:val="24"/>
        </w:rPr>
        <w:t xml:space="preserve">The Council has </w:t>
      </w:r>
      <w:r w:rsidR="00196A66">
        <w:rPr>
          <w:sz w:val="24"/>
          <w:szCs w:val="24"/>
        </w:rPr>
        <w:t xml:space="preserve">subsequently </w:t>
      </w:r>
      <w:r w:rsidRPr="00D26B70">
        <w:rPr>
          <w:sz w:val="24"/>
          <w:szCs w:val="24"/>
        </w:rPr>
        <w:t xml:space="preserve">produced a site Appraisal Report that provides more information on the St Mary’s Campsite. This work </w:t>
      </w:r>
      <w:r w:rsidR="00196A66">
        <w:rPr>
          <w:sz w:val="24"/>
          <w:szCs w:val="24"/>
        </w:rPr>
        <w:t>indicates t</w:t>
      </w:r>
      <w:r w:rsidRPr="00D26B70">
        <w:rPr>
          <w:sz w:val="24"/>
          <w:szCs w:val="24"/>
        </w:rPr>
        <w:t xml:space="preserve">hat likely significant effect cannot be ruled out at this stage. The evidence </w:t>
      </w:r>
      <w:r w:rsidR="00E30E12">
        <w:rPr>
          <w:sz w:val="24"/>
          <w:szCs w:val="24"/>
        </w:rPr>
        <w:t xml:space="preserve">has been </w:t>
      </w:r>
      <w:r w:rsidRPr="00D26B70">
        <w:rPr>
          <w:sz w:val="24"/>
          <w:szCs w:val="24"/>
        </w:rPr>
        <w:t xml:space="preserve">sent to the </w:t>
      </w:r>
      <w:r w:rsidR="007F6F05">
        <w:rPr>
          <w:sz w:val="24"/>
          <w:szCs w:val="24"/>
        </w:rPr>
        <w:t xml:space="preserve">Examination </w:t>
      </w:r>
      <w:r w:rsidRPr="00D26B70">
        <w:rPr>
          <w:sz w:val="24"/>
          <w:szCs w:val="24"/>
        </w:rPr>
        <w:t>Inspector</w:t>
      </w:r>
      <w:r w:rsidR="007F6F05">
        <w:rPr>
          <w:sz w:val="24"/>
          <w:szCs w:val="24"/>
        </w:rPr>
        <w:t>,</w:t>
      </w:r>
      <w:r w:rsidRPr="00D26B70">
        <w:rPr>
          <w:sz w:val="24"/>
          <w:szCs w:val="24"/>
        </w:rPr>
        <w:t xml:space="preserve"> who will mak</w:t>
      </w:r>
      <w:r w:rsidR="007F6F05">
        <w:rPr>
          <w:sz w:val="24"/>
          <w:szCs w:val="24"/>
        </w:rPr>
        <w:t xml:space="preserve">e his </w:t>
      </w:r>
      <w:r w:rsidR="00E30E12">
        <w:rPr>
          <w:sz w:val="24"/>
          <w:szCs w:val="24"/>
        </w:rPr>
        <w:t>recommendation</w:t>
      </w:r>
      <w:r w:rsidR="007F6F05">
        <w:rPr>
          <w:sz w:val="24"/>
          <w:szCs w:val="24"/>
        </w:rPr>
        <w:t>s</w:t>
      </w:r>
      <w:r w:rsidR="00E30E12">
        <w:rPr>
          <w:sz w:val="24"/>
          <w:szCs w:val="24"/>
        </w:rPr>
        <w:t xml:space="preserve"> i</w:t>
      </w:r>
      <w:r w:rsidRPr="00D26B70">
        <w:rPr>
          <w:sz w:val="24"/>
          <w:szCs w:val="24"/>
        </w:rPr>
        <w:t>n the light of the information</w:t>
      </w:r>
      <w:r w:rsidR="007F6F05">
        <w:rPr>
          <w:sz w:val="24"/>
          <w:szCs w:val="24"/>
        </w:rPr>
        <w:t xml:space="preserve"> received. </w:t>
      </w:r>
      <w:r w:rsidRPr="00D26B70">
        <w:rPr>
          <w:sz w:val="24"/>
          <w:szCs w:val="24"/>
        </w:rPr>
        <w:t xml:space="preserve">The </w:t>
      </w:r>
      <w:r w:rsidR="00196A66">
        <w:rPr>
          <w:sz w:val="24"/>
          <w:szCs w:val="24"/>
        </w:rPr>
        <w:t xml:space="preserve">Council has in the meantime now recommended the removal of this site </w:t>
      </w:r>
      <w:r w:rsidR="007F6F05">
        <w:rPr>
          <w:sz w:val="24"/>
          <w:szCs w:val="24"/>
        </w:rPr>
        <w:t xml:space="preserve">in its response to Proposed Modifications </w:t>
      </w:r>
      <w:r w:rsidR="00196A66">
        <w:rPr>
          <w:sz w:val="24"/>
          <w:szCs w:val="24"/>
        </w:rPr>
        <w:t xml:space="preserve">due to the difficulties of mitigation and hence delivery. </w:t>
      </w:r>
      <w:r w:rsidRPr="00D26B70">
        <w:rPr>
          <w:sz w:val="24"/>
          <w:szCs w:val="24"/>
        </w:rPr>
        <w:t xml:space="preserve">   </w:t>
      </w:r>
    </w:p>
    <w:p w:rsidR="00196A66" w:rsidRDefault="00196A66" w:rsidP="005D0E82">
      <w:pPr>
        <w:rPr>
          <w:sz w:val="24"/>
          <w:szCs w:val="24"/>
        </w:rPr>
      </w:pPr>
    </w:p>
    <w:p w:rsidR="005D0E82" w:rsidRPr="00D26B70" w:rsidRDefault="00196A66" w:rsidP="005D0E82">
      <w:pPr>
        <w:rPr>
          <w:sz w:val="24"/>
          <w:szCs w:val="24"/>
        </w:rPr>
      </w:pPr>
      <w:r>
        <w:rPr>
          <w:sz w:val="24"/>
          <w:szCs w:val="24"/>
        </w:rPr>
        <w:t xml:space="preserve">In addition, the recent work by </w:t>
      </w:r>
      <w:r w:rsidRPr="00D26B70">
        <w:rPr>
          <w:sz w:val="24"/>
          <w:szCs w:val="24"/>
        </w:rPr>
        <w:t>Mike Oxford of Greenbridge Limited, entitled ‘</w:t>
      </w:r>
      <w:r w:rsidRPr="00D26B70">
        <w:rPr>
          <w:sz w:val="24"/>
          <w:szCs w:val="24"/>
          <w:lang w:val="en-US"/>
        </w:rPr>
        <w:t>Matters Relating to Habitat Regulations Assessment of the Local Plan Proposed Modifications’,</w:t>
      </w:r>
      <w:r>
        <w:rPr>
          <w:sz w:val="24"/>
          <w:szCs w:val="24"/>
          <w:lang w:val="en-US"/>
        </w:rPr>
        <w:t xml:space="preserve"> </w:t>
      </w:r>
      <w:r>
        <w:rPr>
          <w:sz w:val="24"/>
          <w:szCs w:val="24"/>
          <w:lang w:val="en-US"/>
        </w:rPr>
        <w:lastRenderedPageBreak/>
        <w:t xml:space="preserve">further assesses the comments made by NE in relation to the impact of additional housing sites on the GHB SAC. </w:t>
      </w:r>
      <w:r w:rsidR="00E30E12">
        <w:rPr>
          <w:sz w:val="24"/>
          <w:szCs w:val="24"/>
          <w:lang w:val="en-US"/>
        </w:rPr>
        <w:t>T</w:t>
      </w:r>
      <w:r>
        <w:rPr>
          <w:sz w:val="24"/>
          <w:szCs w:val="24"/>
          <w:lang w:val="en-US"/>
        </w:rPr>
        <w:t xml:space="preserve">his study provides </w:t>
      </w:r>
      <w:r w:rsidR="007F6F05">
        <w:rPr>
          <w:sz w:val="24"/>
          <w:szCs w:val="24"/>
          <w:lang w:val="en-US"/>
        </w:rPr>
        <w:t xml:space="preserve">additional </w:t>
      </w:r>
      <w:r>
        <w:rPr>
          <w:sz w:val="24"/>
          <w:szCs w:val="24"/>
          <w:lang w:val="en-US"/>
        </w:rPr>
        <w:t>information on the likely cumulative effect of development, ‘pinch points’ and possible approaches to mitigation</w:t>
      </w:r>
      <w:r w:rsidR="00E30E12">
        <w:rPr>
          <w:sz w:val="24"/>
          <w:szCs w:val="24"/>
          <w:lang w:val="en-US"/>
        </w:rPr>
        <w:t xml:space="preserve"> arising from key</w:t>
      </w:r>
      <w:r w:rsidR="007F6F05">
        <w:rPr>
          <w:sz w:val="24"/>
          <w:szCs w:val="24"/>
          <w:lang w:val="en-US"/>
        </w:rPr>
        <w:t xml:space="preserve"> </w:t>
      </w:r>
      <w:r w:rsidR="00E30E12">
        <w:rPr>
          <w:sz w:val="24"/>
          <w:szCs w:val="24"/>
          <w:lang w:val="en-US"/>
        </w:rPr>
        <w:t>additional site allocations</w:t>
      </w:r>
      <w:r>
        <w:rPr>
          <w:sz w:val="24"/>
          <w:szCs w:val="24"/>
          <w:lang w:val="en-US"/>
        </w:rPr>
        <w:t xml:space="preserve">. </w:t>
      </w:r>
      <w:r w:rsidR="00E30E12">
        <w:rPr>
          <w:sz w:val="24"/>
          <w:szCs w:val="24"/>
          <w:lang w:val="en-US"/>
        </w:rPr>
        <w:t xml:space="preserve">In this context, </w:t>
      </w:r>
      <w:r>
        <w:rPr>
          <w:sz w:val="24"/>
          <w:szCs w:val="24"/>
          <w:lang w:val="en-US"/>
        </w:rPr>
        <w:t>the Council’s</w:t>
      </w:r>
      <w:r w:rsidR="00DB50E7">
        <w:rPr>
          <w:sz w:val="24"/>
          <w:szCs w:val="24"/>
          <w:lang w:val="en-US"/>
        </w:rPr>
        <w:t xml:space="preserve"> preferred approach is now to remove the Future Growth Area at Land South of White Rock</w:t>
      </w:r>
      <w:r w:rsidR="00F61834">
        <w:rPr>
          <w:sz w:val="24"/>
          <w:szCs w:val="24"/>
          <w:lang w:val="en-US"/>
        </w:rPr>
        <w:t xml:space="preserve">. This is on the basis of </w:t>
      </w:r>
      <w:r w:rsidR="00DB50E7">
        <w:rPr>
          <w:sz w:val="24"/>
          <w:szCs w:val="24"/>
          <w:lang w:val="en-US"/>
        </w:rPr>
        <w:t xml:space="preserve">the current lack of available critical evidence necessary to guarantee appropriate on-site mitigation against harm to the GHB SAC, and other concerns that currently exist regarding impact on the AONB and agricultural land quality. </w:t>
      </w:r>
      <w:r>
        <w:rPr>
          <w:sz w:val="24"/>
          <w:szCs w:val="24"/>
          <w:lang w:val="en-US"/>
        </w:rPr>
        <w:t xml:space="preserve"> </w:t>
      </w:r>
    </w:p>
    <w:p w:rsidR="005D0E82" w:rsidRPr="00D26B70" w:rsidRDefault="005D0E82" w:rsidP="005D0E82">
      <w:pPr>
        <w:rPr>
          <w:sz w:val="24"/>
          <w:szCs w:val="24"/>
        </w:rPr>
      </w:pPr>
    </w:p>
    <w:p w:rsidR="00DB50E7" w:rsidRPr="00DB50E7" w:rsidRDefault="00DB50E7" w:rsidP="00DB50E7">
      <w:pPr>
        <w:outlineLvl w:val="0"/>
        <w:rPr>
          <w:rFonts w:cs="Tahoma"/>
          <w:sz w:val="24"/>
          <w:szCs w:val="24"/>
          <w:lang w:val="en-US"/>
        </w:rPr>
      </w:pPr>
      <w:r>
        <w:rPr>
          <w:sz w:val="24"/>
          <w:szCs w:val="24"/>
        </w:rPr>
        <w:t>In the meantime, t</w:t>
      </w:r>
      <w:r w:rsidRPr="00DB50E7">
        <w:rPr>
          <w:sz w:val="24"/>
          <w:szCs w:val="24"/>
        </w:rPr>
        <w:t xml:space="preserve">he Council has made it clear in the preamble to its </w:t>
      </w:r>
      <w:r w:rsidRPr="00DB50E7">
        <w:rPr>
          <w:rFonts w:cs="Tahoma"/>
          <w:sz w:val="24"/>
          <w:szCs w:val="24"/>
          <w:lang w:val="en-US"/>
        </w:rPr>
        <w:t xml:space="preserve">response to representations to </w:t>
      </w:r>
      <w:r>
        <w:rPr>
          <w:rFonts w:cs="Tahoma"/>
          <w:sz w:val="24"/>
          <w:szCs w:val="24"/>
          <w:lang w:val="en-US"/>
        </w:rPr>
        <w:t xml:space="preserve">the </w:t>
      </w:r>
      <w:r w:rsidRPr="00DB50E7">
        <w:rPr>
          <w:rFonts w:cs="Tahoma"/>
          <w:sz w:val="24"/>
          <w:szCs w:val="24"/>
          <w:lang w:val="en-US"/>
        </w:rPr>
        <w:t xml:space="preserve">Proposed Main Modifications </w:t>
      </w:r>
      <w:r>
        <w:rPr>
          <w:rFonts w:cs="Tahoma"/>
          <w:sz w:val="24"/>
          <w:szCs w:val="24"/>
          <w:lang w:val="en-US"/>
        </w:rPr>
        <w:t>that there is nevertheless scope to address and overcome these objections</w:t>
      </w:r>
      <w:r w:rsidR="00F61834">
        <w:rPr>
          <w:rFonts w:cs="Tahoma"/>
          <w:sz w:val="24"/>
          <w:szCs w:val="24"/>
          <w:lang w:val="en-US"/>
        </w:rPr>
        <w:t xml:space="preserve"> over time</w:t>
      </w:r>
      <w:r>
        <w:rPr>
          <w:rFonts w:cs="Tahoma"/>
          <w:sz w:val="24"/>
          <w:szCs w:val="24"/>
          <w:lang w:val="en-US"/>
        </w:rPr>
        <w:t xml:space="preserve"> if more evidence is provided in due course.</w:t>
      </w:r>
    </w:p>
    <w:p w:rsidR="00DB50E7" w:rsidRPr="00DB50E7" w:rsidRDefault="00DB50E7" w:rsidP="00DB50E7">
      <w:pPr>
        <w:rPr>
          <w:sz w:val="24"/>
          <w:szCs w:val="24"/>
        </w:rPr>
      </w:pPr>
    </w:p>
    <w:p w:rsidR="005D0E82" w:rsidRPr="00D26B70" w:rsidRDefault="00647135" w:rsidP="005D0E82">
      <w:pPr>
        <w:rPr>
          <w:sz w:val="24"/>
          <w:szCs w:val="24"/>
        </w:rPr>
      </w:pPr>
      <w:r>
        <w:rPr>
          <w:sz w:val="24"/>
          <w:szCs w:val="24"/>
        </w:rPr>
        <w:t xml:space="preserve">The concomitant amendments will be made to the Local Plan Habitats Regulations Assessment </w:t>
      </w:r>
      <w:r w:rsidR="00F61834">
        <w:rPr>
          <w:sz w:val="24"/>
          <w:szCs w:val="24"/>
        </w:rPr>
        <w:t>as necessary</w:t>
      </w:r>
      <w:r>
        <w:rPr>
          <w:sz w:val="24"/>
          <w:szCs w:val="24"/>
        </w:rPr>
        <w:t>.</w:t>
      </w:r>
    </w:p>
    <w:p w:rsidR="00BE622E" w:rsidRPr="00D26B70" w:rsidRDefault="00BE622E"/>
    <w:sectPr w:rsidR="00BE622E" w:rsidRPr="00D26B70" w:rsidSect="00BE622E">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57" w:rsidRDefault="00DA4057" w:rsidP="00816D03">
      <w:r>
        <w:separator/>
      </w:r>
    </w:p>
  </w:endnote>
  <w:endnote w:type="continuationSeparator" w:id="0">
    <w:p w:rsidR="00DA4057" w:rsidRDefault="00DA4057" w:rsidP="00816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B0D" w:rsidRDefault="00A25B0D">
    <w:pPr>
      <w:pStyle w:val="Footer"/>
      <w:pBdr>
        <w:top w:val="thinThickSmallGap" w:sz="24" w:space="1" w:color="622423"/>
      </w:pBdr>
      <w:rPr>
        <w:sz w:val="18"/>
        <w:szCs w:val="18"/>
      </w:rPr>
    </w:pPr>
    <w:r w:rsidRPr="000571B2">
      <w:rPr>
        <w:sz w:val="18"/>
        <w:szCs w:val="18"/>
      </w:rPr>
      <w:t>Torbay Local Plan</w:t>
    </w:r>
  </w:p>
  <w:p w:rsidR="00A25B0D" w:rsidRDefault="00A25B0D" w:rsidP="00F31527">
    <w:pPr>
      <w:pStyle w:val="Footer"/>
      <w:pBdr>
        <w:top w:val="thinThickSmallGap" w:sz="24" w:space="1" w:color="622423"/>
      </w:pBdr>
      <w:tabs>
        <w:tab w:val="clear" w:pos="4513"/>
      </w:tabs>
      <w:rPr>
        <w:b/>
        <w:sz w:val="20"/>
        <w:szCs w:val="20"/>
      </w:rPr>
    </w:pPr>
    <w:r w:rsidRPr="00816D03">
      <w:rPr>
        <w:rFonts w:cs="Arial"/>
        <w:b/>
        <w:sz w:val="20"/>
        <w:szCs w:val="20"/>
      </w:rPr>
      <w:t xml:space="preserve">TORBAY COUNCIL PROPOSED MODIFICATIONS DOCUMENT - </w:t>
    </w:r>
    <w:r w:rsidRPr="00816D03">
      <w:rPr>
        <w:b/>
        <w:sz w:val="20"/>
        <w:szCs w:val="20"/>
      </w:rPr>
      <w:t>TCMOD/17</w:t>
    </w:r>
    <w:r>
      <w:rPr>
        <w:b/>
        <w:sz w:val="20"/>
        <w:szCs w:val="20"/>
      </w:rPr>
      <w:t xml:space="preserve"> </w:t>
    </w:r>
  </w:p>
  <w:p w:rsidR="00A25B0D" w:rsidRPr="00F31527" w:rsidRDefault="00A25B0D" w:rsidP="00F31527">
    <w:pPr>
      <w:pStyle w:val="Footer"/>
      <w:pBdr>
        <w:top w:val="thinThickSmallGap" w:sz="24" w:space="1" w:color="622423"/>
      </w:pBdr>
      <w:tabs>
        <w:tab w:val="clear" w:pos="4513"/>
      </w:tabs>
      <w:rPr>
        <w:sz w:val="20"/>
        <w:szCs w:val="20"/>
      </w:rPr>
    </w:pPr>
    <w:r w:rsidRPr="00816D03">
      <w:rPr>
        <w:b/>
        <w:sz w:val="20"/>
        <w:szCs w:val="20"/>
      </w:rPr>
      <w:t>Further response to Natural England representations on Proposed Modifications</w:t>
    </w:r>
    <w:r>
      <w:rPr>
        <w:b/>
        <w:sz w:val="20"/>
        <w:szCs w:val="20"/>
      </w:rPr>
      <w:t xml:space="preserve"> @ </w:t>
    </w:r>
    <w:r w:rsidR="001C2919">
      <w:rPr>
        <w:b/>
        <w:sz w:val="20"/>
        <w:szCs w:val="20"/>
      </w:rPr>
      <w:t>30</w:t>
    </w:r>
    <w:r>
      <w:rPr>
        <w:b/>
        <w:sz w:val="20"/>
        <w:szCs w:val="20"/>
      </w:rPr>
      <w:t xml:space="preserve"> April 2015 </w:t>
    </w:r>
    <w:r w:rsidRPr="00F31527">
      <w:rPr>
        <w:sz w:val="20"/>
        <w:szCs w:val="20"/>
      </w:rPr>
      <w:tab/>
      <w:t xml:space="preserve">Page </w:t>
    </w:r>
    <w:r w:rsidRPr="00F31527">
      <w:rPr>
        <w:sz w:val="20"/>
        <w:szCs w:val="20"/>
      </w:rPr>
      <w:fldChar w:fldCharType="begin"/>
    </w:r>
    <w:r w:rsidRPr="00F31527">
      <w:rPr>
        <w:sz w:val="20"/>
        <w:szCs w:val="20"/>
      </w:rPr>
      <w:instrText xml:space="preserve"> PAGE   \* MERGEFORMAT </w:instrText>
    </w:r>
    <w:r w:rsidRPr="00F31527">
      <w:rPr>
        <w:sz w:val="20"/>
        <w:szCs w:val="20"/>
      </w:rPr>
      <w:fldChar w:fldCharType="separate"/>
    </w:r>
    <w:r w:rsidR="00395760">
      <w:rPr>
        <w:noProof/>
        <w:sz w:val="20"/>
        <w:szCs w:val="20"/>
      </w:rPr>
      <w:t>6</w:t>
    </w:r>
    <w:r w:rsidRPr="00F31527">
      <w:rPr>
        <w:sz w:val="20"/>
        <w:szCs w:val="20"/>
      </w:rPr>
      <w:fldChar w:fldCharType="end"/>
    </w:r>
  </w:p>
  <w:p w:rsidR="00A25B0D" w:rsidRPr="00816D03" w:rsidRDefault="00A25B0D" w:rsidP="00816D03">
    <w:pPr>
      <w:rPr>
        <w:b/>
        <w:sz w:val="56"/>
        <w:szCs w:val="5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57" w:rsidRDefault="00DA4057" w:rsidP="00816D03">
      <w:r>
        <w:separator/>
      </w:r>
    </w:p>
  </w:footnote>
  <w:footnote w:type="continuationSeparator" w:id="0">
    <w:p w:rsidR="00DA4057" w:rsidRDefault="00DA4057" w:rsidP="00816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092C"/>
    <w:multiLevelType w:val="hybridMultilevel"/>
    <w:tmpl w:val="3A8682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5D0E82"/>
    <w:rsid w:val="000363C5"/>
    <w:rsid w:val="000B6643"/>
    <w:rsid w:val="000E3729"/>
    <w:rsid w:val="000F22F5"/>
    <w:rsid w:val="00135F88"/>
    <w:rsid w:val="001512CA"/>
    <w:rsid w:val="00160947"/>
    <w:rsid w:val="00196A66"/>
    <w:rsid w:val="001C2919"/>
    <w:rsid w:val="001D009D"/>
    <w:rsid w:val="001D2959"/>
    <w:rsid w:val="001E5B6D"/>
    <w:rsid w:val="00247BF3"/>
    <w:rsid w:val="002565EC"/>
    <w:rsid w:val="0027599D"/>
    <w:rsid w:val="00283EA4"/>
    <w:rsid w:val="00296F43"/>
    <w:rsid w:val="00320C23"/>
    <w:rsid w:val="003261F8"/>
    <w:rsid w:val="00352D96"/>
    <w:rsid w:val="00395760"/>
    <w:rsid w:val="003D0034"/>
    <w:rsid w:val="0045334E"/>
    <w:rsid w:val="00461C56"/>
    <w:rsid w:val="005D0E82"/>
    <w:rsid w:val="005F383D"/>
    <w:rsid w:val="00604D3C"/>
    <w:rsid w:val="00616422"/>
    <w:rsid w:val="00647135"/>
    <w:rsid w:val="007018F5"/>
    <w:rsid w:val="007A02CB"/>
    <w:rsid w:val="007F6F05"/>
    <w:rsid w:val="00816D03"/>
    <w:rsid w:val="00844F79"/>
    <w:rsid w:val="00860321"/>
    <w:rsid w:val="008F39EB"/>
    <w:rsid w:val="00971C24"/>
    <w:rsid w:val="009B2B41"/>
    <w:rsid w:val="00A1692E"/>
    <w:rsid w:val="00A25B0D"/>
    <w:rsid w:val="00A54998"/>
    <w:rsid w:val="00B07D37"/>
    <w:rsid w:val="00BD73B1"/>
    <w:rsid w:val="00BD7552"/>
    <w:rsid w:val="00BE622E"/>
    <w:rsid w:val="00C359B6"/>
    <w:rsid w:val="00C51202"/>
    <w:rsid w:val="00C553FC"/>
    <w:rsid w:val="00C75B54"/>
    <w:rsid w:val="00D26B70"/>
    <w:rsid w:val="00D54844"/>
    <w:rsid w:val="00D758DE"/>
    <w:rsid w:val="00DA014C"/>
    <w:rsid w:val="00DA4057"/>
    <w:rsid w:val="00DB4112"/>
    <w:rsid w:val="00DB50E7"/>
    <w:rsid w:val="00DC68D0"/>
    <w:rsid w:val="00E23D21"/>
    <w:rsid w:val="00E30E12"/>
    <w:rsid w:val="00E46D79"/>
    <w:rsid w:val="00E60B0B"/>
    <w:rsid w:val="00F31527"/>
    <w:rsid w:val="00F45371"/>
    <w:rsid w:val="00F52D8D"/>
    <w:rsid w:val="00F61834"/>
    <w:rsid w:val="00F95C9A"/>
    <w:rsid w:val="00FC32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8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E82"/>
    <w:rPr>
      <w:color w:val="0000FF"/>
      <w:u w:val="single"/>
    </w:rPr>
  </w:style>
  <w:style w:type="paragraph" w:styleId="Header">
    <w:name w:val="header"/>
    <w:basedOn w:val="Normal"/>
    <w:link w:val="HeaderChar"/>
    <w:uiPriority w:val="99"/>
    <w:semiHidden/>
    <w:unhideWhenUsed/>
    <w:rsid w:val="00816D03"/>
    <w:pPr>
      <w:tabs>
        <w:tab w:val="center" w:pos="4513"/>
        <w:tab w:val="right" w:pos="9026"/>
      </w:tabs>
    </w:pPr>
  </w:style>
  <w:style w:type="character" w:customStyle="1" w:styleId="HeaderChar">
    <w:name w:val="Header Char"/>
    <w:basedOn w:val="DefaultParagraphFont"/>
    <w:link w:val="Header"/>
    <w:uiPriority w:val="99"/>
    <w:semiHidden/>
    <w:rsid w:val="00816D03"/>
    <w:rPr>
      <w:sz w:val="22"/>
      <w:szCs w:val="22"/>
    </w:rPr>
  </w:style>
  <w:style w:type="paragraph" w:styleId="Footer">
    <w:name w:val="footer"/>
    <w:basedOn w:val="Normal"/>
    <w:link w:val="FooterChar"/>
    <w:uiPriority w:val="99"/>
    <w:unhideWhenUsed/>
    <w:rsid w:val="00816D03"/>
    <w:pPr>
      <w:tabs>
        <w:tab w:val="center" w:pos="4513"/>
        <w:tab w:val="right" w:pos="9026"/>
      </w:tabs>
    </w:pPr>
  </w:style>
  <w:style w:type="character" w:customStyle="1" w:styleId="FooterChar">
    <w:name w:val="Footer Char"/>
    <w:basedOn w:val="DefaultParagraphFont"/>
    <w:link w:val="Footer"/>
    <w:uiPriority w:val="99"/>
    <w:rsid w:val="00816D03"/>
    <w:rPr>
      <w:sz w:val="22"/>
      <w:szCs w:val="22"/>
    </w:rPr>
  </w:style>
  <w:style w:type="paragraph" w:styleId="BalloonText">
    <w:name w:val="Balloon Text"/>
    <w:basedOn w:val="Normal"/>
    <w:link w:val="BalloonTextChar"/>
    <w:uiPriority w:val="99"/>
    <w:semiHidden/>
    <w:unhideWhenUsed/>
    <w:rsid w:val="00816D03"/>
    <w:rPr>
      <w:rFonts w:ascii="Tahoma" w:hAnsi="Tahoma" w:cs="Tahoma"/>
      <w:sz w:val="16"/>
      <w:szCs w:val="16"/>
    </w:rPr>
  </w:style>
  <w:style w:type="character" w:customStyle="1" w:styleId="BalloonTextChar">
    <w:name w:val="Balloon Text Char"/>
    <w:basedOn w:val="DefaultParagraphFont"/>
    <w:link w:val="BalloonText"/>
    <w:uiPriority w:val="99"/>
    <w:semiHidden/>
    <w:rsid w:val="00816D03"/>
    <w:rPr>
      <w:rFonts w:ascii="Tahoma" w:hAnsi="Tahoma" w:cs="Tahoma"/>
      <w:sz w:val="16"/>
      <w:szCs w:val="16"/>
    </w:rPr>
  </w:style>
  <w:style w:type="paragraph" w:styleId="ListParagraph">
    <w:name w:val="List Paragraph"/>
    <w:basedOn w:val="Normal"/>
    <w:uiPriority w:val="34"/>
    <w:qFormat/>
    <w:rsid w:val="000363C5"/>
    <w:pPr>
      <w:ind w:left="720"/>
    </w:pPr>
  </w:style>
  <w:style w:type="character" w:styleId="FollowedHyperlink">
    <w:name w:val="FollowedHyperlink"/>
    <w:basedOn w:val="DefaultParagraphFont"/>
    <w:uiPriority w:val="99"/>
    <w:semiHidden/>
    <w:unhideWhenUsed/>
    <w:rsid w:val="00604D3C"/>
    <w:rPr>
      <w:color w:val="800080"/>
      <w:u w:val="single"/>
    </w:rPr>
  </w:style>
</w:styles>
</file>

<file path=word/webSettings.xml><?xml version="1.0" encoding="utf-8"?>
<w:webSettings xmlns:r="http://schemas.openxmlformats.org/officeDocument/2006/relationships" xmlns:w="http://schemas.openxmlformats.org/wordprocessingml/2006/main">
  <w:divs>
    <w:div w:id="336737121">
      <w:bodyDiv w:val="1"/>
      <w:marLeft w:val="0"/>
      <w:marRight w:val="0"/>
      <w:marTop w:val="0"/>
      <w:marBottom w:val="0"/>
      <w:divBdr>
        <w:top w:val="none" w:sz="0" w:space="0" w:color="auto"/>
        <w:left w:val="none" w:sz="0" w:space="0" w:color="auto"/>
        <w:bottom w:val="none" w:sz="0" w:space="0" w:color="auto"/>
        <w:right w:val="none" w:sz="0" w:space="0" w:color="auto"/>
      </w:divBdr>
    </w:div>
    <w:div w:id="836574503">
      <w:bodyDiv w:val="1"/>
      <w:marLeft w:val="0"/>
      <w:marRight w:val="0"/>
      <w:marTop w:val="0"/>
      <w:marBottom w:val="0"/>
      <w:divBdr>
        <w:top w:val="none" w:sz="0" w:space="0" w:color="auto"/>
        <w:left w:val="none" w:sz="0" w:space="0" w:color="auto"/>
        <w:bottom w:val="none" w:sz="0" w:space="0" w:color="auto"/>
        <w:right w:val="none" w:sz="0" w:space="0" w:color="auto"/>
      </w:divBdr>
    </w:div>
    <w:div w:id="12240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ph10-hrasiteappraisalreportstmarycamp.pdf" TargetMode="External"/><Relationship Id="rId3" Type="http://schemas.openxmlformats.org/officeDocument/2006/relationships/settings" Target="settings.xml"/><Relationship Id="rId7" Type="http://schemas.openxmlformats.org/officeDocument/2006/relationships/hyperlink" Target="http://www.torbay.gov.uk/hrasiteappraisalreportofproposedadditionalsitestobeincludeda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12242</CharactersWithSpaces>
  <SharedDoc>false</SharedDoc>
  <HLinks>
    <vt:vector size="12" baseType="variant">
      <vt:variant>
        <vt:i4>2818144</vt:i4>
      </vt:variant>
      <vt:variant>
        <vt:i4>3</vt:i4>
      </vt:variant>
      <vt:variant>
        <vt:i4>0</vt:i4>
      </vt:variant>
      <vt:variant>
        <vt:i4>5</vt:i4>
      </vt:variant>
      <vt:variant>
        <vt:lpwstr>http://www.torbay.gov.uk/ph10-hrasiteappraisalreportstmarycamp.pdf</vt:lpwstr>
      </vt:variant>
      <vt:variant>
        <vt:lpwstr/>
      </vt:variant>
      <vt:variant>
        <vt:i4>3801150</vt:i4>
      </vt:variant>
      <vt:variant>
        <vt:i4>0</vt:i4>
      </vt:variant>
      <vt:variant>
        <vt:i4>0</vt:i4>
      </vt:variant>
      <vt:variant>
        <vt:i4>5</vt:i4>
      </vt:variant>
      <vt:variant>
        <vt:lpwstr>http://www.torbay.gov.uk/hrasiteappraisalreportofproposedadditionalsitestobeincludedas.doc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pdpg013</dc:creator>
  <cp:lastModifiedBy>Zdzisia</cp:lastModifiedBy>
  <cp:revision>2</cp:revision>
  <cp:lastPrinted>2015-04-28T15:46:00Z</cp:lastPrinted>
  <dcterms:created xsi:type="dcterms:W3CDTF">2016-08-03T11:53:00Z</dcterms:created>
  <dcterms:modified xsi:type="dcterms:W3CDTF">2016-08-03T11:53:00Z</dcterms:modified>
</cp:coreProperties>
</file>