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30" w:rsidRDefault="00D81D30" w:rsidP="00D81D30">
      <w:pPr>
        <w:pStyle w:val="NoSpacing"/>
      </w:pPr>
    </w:p>
    <w:p w:rsidR="003232E7" w:rsidRDefault="003232E7" w:rsidP="003232E7">
      <w:pPr>
        <w:rPr>
          <w:rFonts w:ascii="Arial" w:hAnsi="Arial" w:cs="Arial"/>
        </w:rPr>
      </w:pPr>
      <w:r>
        <w:rPr>
          <w:rFonts w:ascii="Arial" w:hAnsi="Arial" w:cs="Arial"/>
        </w:rPr>
        <w:t xml:space="preserve">The needs of the majority of children and young people who have special educational needs or disabilities will be met within mainstream education settings </w:t>
      </w:r>
      <w:r w:rsidRPr="003232E7">
        <w:rPr>
          <w:rFonts w:ascii="Arial" w:hAnsi="Arial" w:cs="Arial"/>
        </w:rPr>
        <w:t>(pre-school, school, college etc.)</w:t>
      </w:r>
      <w:r>
        <w:rPr>
          <w:rFonts w:ascii="Arial" w:hAnsi="Arial" w:cs="Arial"/>
        </w:rPr>
        <w:t xml:space="preserve"> through SEN Support. For more information about SEN Support see the information sheet on SEN Support at </w:t>
      </w:r>
      <w:hyperlink r:id="rId8" w:history="1">
        <w:r w:rsidRPr="00C42B00">
          <w:rPr>
            <w:rStyle w:val="Hyperlink"/>
            <w:rFonts w:ascii="Arial" w:hAnsi="Arial" w:cs="Arial"/>
          </w:rPr>
          <w:t>www.torbay.gov.uk/schools-and-learning/send/information-for-parents/</w:t>
        </w:r>
      </w:hyperlink>
      <w:r>
        <w:rPr>
          <w:rFonts w:ascii="Arial" w:hAnsi="Arial" w:cs="Arial"/>
        </w:rPr>
        <w:t xml:space="preserve">. </w:t>
      </w:r>
    </w:p>
    <w:p w:rsidR="0051590A" w:rsidRDefault="003232E7" w:rsidP="003232E7">
      <w:pPr>
        <w:rPr>
          <w:rFonts w:eastAsia="Times New Roman"/>
        </w:rPr>
      </w:pPr>
      <w:r w:rsidRPr="00BB777C">
        <w:rPr>
          <w:rFonts w:eastAsia="Times New Roman"/>
        </w:rPr>
        <w:t>If</w:t>
      </w:r>
      <w:r>
        <w:rPr>
          <w:rFonts w:eastAsia="Times New Roman"/>
        </w:rPr>
        <w:t>, following a period of time at SEN Support stage,</w:t>
      </w:r>
      <w:r w:rsidRPr="00BB777C">
        <w:rPr>
          <w:rFonts w:eastAsia="Times New Roman"/>
        </w:rPr>
        <w:t xml:space="preserve"> your child </w:t>
      </w:r>
      <w:r>
        <w:rPr>
          <w:rFonts w:eastAsia="Times New Roman"/>
        </w:rPr>
        <w:t xml:space="preserve">or young person is still not </w:t>
      </w:r>
      <w:r w:rsidR="0051590A">
        <w:rPr>
          <w:rFonts w:eastAsia="Times New Roman"/>
        </w:rPr>
        <w:t>making the expected progress:</w:t>
      </w:r>
    </w:p>
    <w:p w:rsidR="0051590A" w:rsidRPr="009D523E" w:rsidRDefault="0051590A" w:rsidP="009D523E">
      <w:pPr>
        <w:pStyle w:val="bluebullets"/>
      </w:pPr>
      <w:r w:rsidRPr="009D523E">
        <w:t>y</w:t>
      </w:r>
      <w:r w:rsidR="003232E7" w:rsidRPr="009D523E">
        <w:t>ou</w:t>
      </w:r>
      <w:r w:rsidRPr="009D523E">
        <w:t>;</w:t>
      </w:r>
      <w:r w:rsidR="003232E7" w:rsidRPr="009D523E">
        <w:t xml:space="preserve"> </w:t>
      </w:r>
    </w:p>
    <w:p w:rsidR="0051590A" w:rsidRPr="009D523E" w:rsidRDefault="009D523E" w:rsidP="009D523E">
      <w:pPr>
        <w:pStyle w:val="bluebullets"/>
      </w:pPr>
      <w:r w:rsidRPr="009D523E">
        <w:t>the</w:t>
      </w:r>
      <w:r w:rsidR="0051590A" w:rsidRPr="009D523E">
        <w:t xml:space="preserve"> </w:t>
      </w:r>
      <w:r w:rsidR="003232E7" w:rsidRPr="009D523E">
        <w:t xml:space="preserve">young person </w:t>
      </w:r>
      <w:r w:rsidR="0051590A" w:rsidRPr="009D523E">
        <w:t>(</w:t>
      </w:r>
      <w:r w:rsidR="003232E7" w:rsidRPr="009D523E">
        <w:t>if over the age of 16</w:t>
      </w:r>
      <w:r w:rsidR="0051590A" w:rsidRPr="009D523E">
        <w:t>);</w:t>
      </w:r>
      <w:r w:rsidR="003232E7" w:rsidRPr="009D523E">
        <w:t xml:space="preserve"> or </w:t>
      </w:r>
    </w:p>
    <w:p w:rsidR="0051590A" w:rsidRPr="009D523E" w:rsidRDefault="003232E7" w:rsidP="009D523E">
      <w:pPr>
        <w:pStyle w:val="bluebullets"/>
      </w:pPr>
      <w:r w:rsidRPr="009D523E">
        <w:t>the school</w:t>
      </w:r>
      <w:r w:rsidR="009D523E">
        <w:t>,</w:t>
      </w:r>
    </w:p>
    <w:p w:rsidR="003232E7" w:rsidRPr="003232E7" w:rsidRDefault="003232E7" w:rsidP="003232E7">
      <w:pPr>
        <w:rPr>
          <w:rFonts w:eastAsia="Times New Roman"/>
        </w:rPr>
      </w:pPr>
      <w:r w:rsidRPr="00BB777C">
        <w:rPr>
          <w:rFonts w:eastAsia="Times New Roman"/>
        </w:rPr>
        <w:t xml:space="preserve"> </w:t>
      </w:r>
      <w:proofErr w:type="gramStart"/>
      <w:r w:rsidRPr="00BB777C">
        <w:rPr>
          <w:rFonts w:eastAsia="Times New Roman"/>
        </w:rPr>
        <w:t>can</w:t>
      </w:r>
      <w:proofErr w:type="gramEnd"/>
      <w:r w:rsidRPr="00BB777C">
        <w:rPr>
          <w:rFonts w:eastAsia="Times New Roman"/>
        </w:rPr>
        <w:t xml:space="preserve"> ask for an Education, Health and Care needs assessment. </w:t>
      </w:r>
    </w:p>
    <w:p w:rsidR="003232E7" w:rsidRPr="003232E7" w:rsidRDefault="003232E7" w:rsidP="003232E7">
      <w:pPr>
        <w:rPr>
          <w:rFonts w:ascii="Arial" w:hAnsi="Arial" w:cs="Arial"/>
        </w:rPr>
      </w:pPr>
      <w:r w:rsidRPr="003232E7">
        <w:rPr>
          <w:rFonts w:ascii="Arial" w:hAnsi="Arial" w:cs="Arial"/>
        </w:rPr>
        <w:t xml:space="preserve">It is </w:t>
      </w:r>
      <w:r w:rsidRPr="00BC4A2B">
        <w:rPr>
          <w:rFonts w:ascii="Arial" w:hAnsi="Arial" w:cs="Arial"/>
        </w:rPr>
        <w:t>always better</w:t>
      </w:r>
      <w:r w:rsidRPr="003232E7">
        <w:rPr>
          <w:rFonts w:ascii="Arial" w:hAnsi="Arial" w:cs="Arial"/>
        </w:rPr>
        <w:t xml:space="preserve"> if the education provider (pre-school, school, college etc.) makes the request as they </w:t>
      </w:r>
      <w:r w:rsidR="0051590A">
        <w:rPr>
          <w:rFonts w:ascii="Arial" w:hAnsi="Arial" w:cs="Arial"/>
        </w:rPr>
        <w:t xml:space="preserve">are more </w:t>
      </w:r>
      <w:r w:rsidRPr="003232E7">
        <w:rPr>
          <w:rFonts w:ascii="Arial" w:hAnsi="Arial" w:cs="Arial"/>
        </w:rPr>
        <w:t xml:space="preserve">able to ensure all the required information and evidence </w:t>
      </w:r>
      <w:r w:rsidR="0051590A">
        <w:rPr>
          <w:rFonts w:ascii="Arial" w:hAnsi="Arial" w:cs="Arial"/>
        </w:rPr>
        <w:t>is contained within the request.</w:t>
      </w:r>
      <w:r w:rsidRPr="003232E7">
        <w:rPr>
          <w:rFonts w:ascii="Arial" w:hAnsi="Arial" w:cs="Arial"/>
        </w:rPr>
        <w:t xml:space="preserve"> However, parents and young people (over 16’s) are also able to make requests themselves directly to the Local Authority.</w:t>
      </w:r>
    </w:p>
    <w:p w:rsidR="009D523E" w:rsidRDefault="003232E7" w:rsidP="009D523E">
      <w:pPr>
        <w:spacing w:after="0"/>
        <w:rPr>
          <w:rStyle w:val="IntenseEmphasis"/>
        </w:rPr>
      </w:pPr>
      <w:r w:rsidRPr="009D523E">
        <w:rPr>
          <w:rStyle w:val="IntenseEmphasis"/>
        </w:rPr>
        <w:t xml:space="preserve">If you are considering making the request yourself, it is important to provide the Local </w:t>
      </w:r>
      <w:r w:rsidR="009D523E" w:rsidRPr="009D523E">
        <w:rPr>
          <w:rStyle w:val="IntenseEmphasis"/>
        </w:rPr>
        <w:t xml:space="preserve">Authority with as much possible </w:t>
      </w:r>
      <w:r w:rsidRPr="009D523E">
        <w:rPr>
          <w:rStyle w:val="IntenseEmphasis"/>
        </w:rPr>
        <w:t xml:space="preserve">Information, and evidence, </w:t>
      </w:r>
      <w:r w:rsidR="009D523E" w:rsidRPr="009D523E">
        <w:rPr>
          <w:rStyle w:val="IntenseEmphasis"/>
        </w:rPr>
        <w:t xml:space="preserve">for them </w:t>
      </w:r>
      <w:r w:rsidRPr="009D523E">
        <w:rPr>
          <w:rStyle w:val="IntenseEmphasis"/>
        </w:rPr>
        <w:t>to be able to properly consider your request</w:t>
      </w:r>
      <w:r w:rsidRPr="003232E7">
        <w:rPr>
          <w:rStyle w:val="IntenseEmphasis"/>
        </w:rPr>
        <w:t xml:space="preserve">. </w:t>
      </w:r>
    </w:p>
    <w:p w:rsidR="009D523E" w:rsidRPr="009D523E" w:rsidRDefault="009D523E" w:rsidP="009D523E">
      <w:pPr>
        <w:spacing w:after="0"/>
        <w:rPr>
          <w:b/>
          <w:bCs/>
          <w:iCs/>
          <w:color w:val="009EE0" w:themeColor="accent1"/>
        </w:rPr>
      </w:pPr>
    </w:p>
    <w:p w:rsidR="003232E7" w:rsidRPr="00BA5774" w:rsidRDefault="003232E7" w:rsidP="003232E7">
      <w:pPr>
        <w:rPr>
          <w:rFonts w:ascii="Arial" w:hAnsi="Arial" w:cs="Arial"/>
        </w:rPr>
      </w:pPr>
      <w:r w:rsidRPr="00BA5774">
        <w:rPr>
          <w:rFonts w:ascii="Arial" w:hAnsi="Arial" w:cs="Arial"/>
        </w:rPr>
        <w:t xml:space="preserve">Here is the checklist of information required in order for the local authority to properly consider a request for statutory assessment as per section 9.14 of the Special Educational Needs and Disability Code of Practice: 0 to 25 years [2015]. </w:t>
      </w:r>
    </w:p>
    <w:p w:rsidR="003232E7" w:rsidRPr="003232E7" w:rsidRDefault="003232E7" w:rsidP="003232E7">
      <w:pPr>
        <w:rPr>
          <w:rStyle w:val="IntenseEmphasis"/>
        </w:rPr>
      </w:pPr>
      <w:r w:rsidRPr="003232E7">
        <w:rPr>
          <w:rStyle w:val="IntenseEmphasis"/>
        </w:rPr>
        <w:t>You do not have to be able to provide all of this information yourself.</w:t>
      </w:r>
    </w:p>
    <w:p w:rsidR="003232E7" w:rsidRPr="003232E7" w:rsidRDefault="003232E7" w:rsidP="003232E7">
      <w:pPr>
        <w:rPr>
          <w:rStyle w:val="IntenseEmphasis"/>
        </w:rPr>
      </w:pPr>
      <w:r w:rsidRPr="003232E7">
        <w:rPr>
          <w:rStyle w:val="IntenseEmphasis"/>
        </w:rPr>
        <w:t>This checklist has been included to show you the information that the Local Authority will have to collect from your child’s school or other education setting (Appendix B) before they will be able to make an informed decision.</w:t>
      </w:r>
    </w:p>
    <w:p w:rsidR="003232E7" w:rsidRPr="00BA5774" w:rsidRDefault="003232E7" w:rsidP="003232E7">
      <w:pPr>
        <w:pStyle w:val="bluebullets"/>
      </w:pPr>
      <w:r w:rsidRPr="00BA5774">
        <w:t>Evidence of the child or young person’s academic attainment (or developmental milestones in younger children) and rate of progress</w:t>
      </w:r>
    </w:p>
    <w:p w:rsidR="003232E7" w:rsidRPr="00BA5774" w:rsidRDefault="003232E7" w:rsidP="003232E7">
      <w:pPr>
        <w:pStyle w:val="bluebullets"/>
      </w:pPr>
      <w:r w:rsidRPr="00BA5774">
        <w:t>Information about the nature, extent and context of the child or young person’s SEN</w:t>
      </w:r>
    </w:p>
    <w:p w:rsidR="003232E7" w:rsidRPr="00BA5774" w:rsidRDefault="003232E7" w:rsidP="003232E7">
      <w:pPr>
        <w:pStyle w:val="bluebullets"/>
      </w:pPr>
      <w:r w:rsidRPr="00BA5774">
        <w:t>Evidence of the action already being taken by the early years provider, school or post-16 institution to meet the child or young person’s SEN</w:t>
      </w:r>
    </w:p>
    <w:p w:rsidR="003232E7" w:rsidRPr="00BA5774" w:rsidRDefault="003232E7" w:rsidP="003232E7">
      <w:pPr>
        <w:pStyle w:val="bluebullets"/>
      </w:pPr>
      <w:r w:rsidRPr="00BA5774">
        <w:t>Evidence that where progress has been made, it has only been as the result of much additional intervention and support over and above that which is usually provided</w:t>
      </w:r>
    </w:p>
    <w:p w:rsidR="003232E7" w:rsidRPr="00BA5774" w:rsidRDefault="003232E7" w:rsidP="003232E7">
      <w:pPr>
        <w:pStyle w:val="bluebullets"/>
      </w:pPr>
      <w:r w:rsidRPr="00BA5774">
        <w:t>Evidence of the child or young person’s physical, emotional and social development and health needs, drawing on relevant evidence from clinicians and other health professionals and what has been done to meet these by other agencies, and</w:t>
      </w:r>
    </w:p>
    <w:p w:rsidR="003232E7" w:rsidRPr="00BA5774" w:rsidRDefault="003232E7" w:rsidP="003232E7">
      <w:pPr>
        <w:pStyle w:val="bluebullets"/>
        <w:rPr>
          <w:b/>
        </w:rPr>
      </w:pPr>
      <w:r w:rsidRPr="00BA5774">
        <w:lastRenderedPageBreak/>
        <w:t xml:space="preserve">Where a young person is aged over 18, the local authority </w:t>
      </w:r>
      <w:r w:rsidRPr="00BA5774">
        <w:rPr>
          <w:b/>
          <w:bCs/>
        </w:rPr>
        <w:t xml:space="preserve">must </w:t>
      </w:r>
      <w:r w:rsidRPr="00BA5774">
        <w:t>consider whether the young person requires additional time, in comparison to the majority of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w:t>
      </w:r>
    </w:p>
    <w:p w:rsidR="003232E7" w:rsidRDefault="003232E7" w:rsidP="003232E7">
      <w:pPr>
        <w:spacing w:after="0"/>
        <w:rPr>
          <w:rFonts w:ascii="Arial" w:hAnsi="Arial" w:cs="Arial"/>
          <w:b/>
        </w:rPr>
      </w:pPr>
    </w:p>
    <w:p w:rsidR="003232E7" w:rsidRPr="003232E7" w:rsidRDefault="003232E7" w:rsidP="003232E7">
      <w:pPr>
        <w:spacing w:after="0"/>
        <w:rPr>
          <w:rStyle w:val="IntenseEmphasis"/>
        </w:rPr>
      </w:pPr>
      <w:r w:rsidRPr="003232E7">
        <w:rPr>
          <w:rStyle w:val="IntenseEmphasis"/>
        </w:rPr>
        <w:t>Regardless of who makes the request</w:t>
      </w:r>
      <w:r w:rsidR="009D523E">
        <w:rPr>
          <w:rStyle w:val="IntenseEmphasis"/>
        </w:rPr>
        <w:t>,</w:t>
      </w:r>
      <w:r w:rsidRPr="003232E7">
        <w:rPr>
          <w:rStyle w:val="IntenseEmphasis"/>
        </w:rPr>
        <w:t xml:space="preserve"> </w:t>
      </w:r>
      <w:proofErr w:type="gramStart"/>
      <w:r w:rsidRPr="003232E7">
        <w:rPr>
          <w:rStyle w:val="IntenseEmphasis"/>
        </w:rPr>
        <w:t>both:</w:t>
      </w:r>
      <w:proofErr w:type="gramEnd"/>
    </w:p>
    <w:p w:rsidR="003232E7" w:rsidRPr="00BA5774" w:rsidRDefault="003232E7" w:rsidP="003232E7">
      <w:pPr>
        <w:pStyle w:val="bluebullets"/>
      </w:pPr>
      <w:r w:rsidRPr="00BA5774">
        <w:t xml:space="preserve">educational providers (pre-school, school, college etc.), and </w:t>
      </w:r>
    </w:p>
    <w:p w:rsidR="003232E7" w:rsidRPr="00BA5774" w:rsidRDefault="003232E7" w:rsidP="003232E7">
      <w:pPr>
        <w:pStyle w:val="bluebullets"/>
      </w:pPr>
      <w:r w:rsidRPr="00BA5774">
        <w:t>parents/carers/young people</w:t>
      </w:r>
      <w:r w:rsidR="009D523E">
        <w:t>,</w:t>
      </w:r>
      <w:r w:rsidRPr="00BA5774">
        <w:t xml:space="preserve"> </w:t>
      </w:r>
    </w:p>
    <w:p w:rsidR="003232E7" w:rsidRPr="003232E7" w:rsidRDefault="003232E7" w:rsidP="003232E7">
      <w:pPr>
        <w:rPr>
          <w:rStyle w:val="IntenseEmphasis"/>
        </w:rPr>
      </w:pPr>
      <w:proofErr w:type="gramStart"/>
      <w:r w:rsidRPr="003232E7">
        <w:rPr>
          <w:rStyle w:val="IntenseEmphasis"/>
        </w:rPr>
        <w:t>will</w:t>
      </w:r>
      <w:proofErr w:type="gramEnd"/>
      <w:r w:rsidRPr="003232E7">
        <w:rPr>
          <w:rStyle w:val="IntenseEmphasis"/>
        </w:rPr>
        <w:t xml:space="preserve"> need to have submitted their views and evidence before the Local Authority makes a decision. </w:t>
      </w:r>
    </w:p>
    <w:p w:rsidR="003232E7" w:rsidRPr="00BA5774" w:rsidRDefault="003232E7" w:rsidP="003232E7">
      <w:pPr>
        <w:rPr>
          <w:rFonts w:ascii="Arial" w:hAnsi="Arial" w:cs="Arial"/>
        </w:rPr>
      </w:pPr>
      <w:r w:rsidRPr="00BA5774">
        <w:rPr>
          <w:rFonts w:ascii="Arial" w:hAnsi="Arial" w:cs="Arial"/>
        </w:rPr>
        <w:t>Therefore,</w:t>
      </w:r>
      <w:r>
        <w:rPr>
          <w:rFonts w:ascii="Arial" w:hAnsi="Arial" w:cs="Arial"/>
        </w:rPr>
        <w:t xml:space="preserve"> it may be useful for you</w:t>
      </w:r>
      <w:r w:rsidRPr="00BA5774">
        <w:rPr>
          <w:rFonts w:ascii="Arial" w:hAnsi="Arial" w:cs="Arial"/>
        </w:rPr>
        <w:t xml:space="preserve"> to consider writing your written contribution and collecting evidence prior to submitting a request yourself or asking the education provider to submit a request.</w:t>
      </w:r>
    </w:p>
    <w:p w:rsidR="003232E7" w:rsidRDefault="003232E7" w:rsidP="003232E7">
      <w:pPr>
        <w:spacing w:after="0"/>
        <w:rPr>
          <w:rFonts w:ascii="Arial" w:hAnsi="Arial" w:cs="Arial"/>
          <w:b/>
        </w:rPr>
      </w:pPr>
      <w:r w:rsidRPr="003232E7">
        <w:rPr>
          <w:rStyle w:val="IntenseEmphasis"/>
        </w:rPr>
        <w:t>There is a parents Request for Assessment (RSA) form and a young person’s Request for Assessment (RSA) form available to download from</w:t>
      </w:r>
      <w:r w:rsidRPr="00BA5774">
        <w:rPr>
          <w:rFonts w:ascii="Arial" w:hAnsi="Arial" w:cs="Arial"/>
          <w:b/>
        </w:rPr>
        <w:t xml:space="preserve"> </w:t>
      </w:r>
      <w:hyperlink r:id="rId9" w:history="1">
        <w:r w:rsidRPr="00C42B00">
          <w:rPr>
            <w:rStyle w:val="Hyperlink"/>
            <w:rFonts w:ascii="Arial" w:hAnsi="Arial" w:cs="Arial"/>
            <w:b/>
          </w:rPr>
          <w:t>www.torbay.gov.uk/schools-and-learning/send/statutory-assessments/</w:t>
        </w:r>
      </w:hyperlink>
      <w:r>
        <w:rPr>
          <w:rFonts w:ascii="Arial" w:hAnsi="Arial" w:cs="Arial"/>
          <w:b/>
        </w:rPr>
        <w:t xml:space="preserve"> </w:t>
      </w:r>
    </w:p>
    <w:p w:rsidR="003232E7" w:rsidRPr="003232E7" w:rsidRDefault="003232E7" w:rsidP="003232E7">
      <w:pPr>
        <w:spacing w:after="0"/>
        <w:rPr>
          <w:rFonts w:ascii="Arial" w:hAnsi="Arial" w:cs="Arial"/>
          <w:b/>
        </w:rPr>
      </w:pPr>
    </w:p>
    <w:p w:rsidR="003232E7" w:rsidRPr="00BA5774" w:rsidRDefault="003232E7" w:rsidP="003232E7">
      <w:pPr>
        <w:rPr>
          <w:rFonts w:ascii="Arial" w:hAnsi="Arial" w:cs="Arial"/>
        </w:rPr>
      </w:pPr>
      <w:r w:rsidRPr="00BA5774">
        <w:rPr>
          <w:rFonts w:ascii="Arial" w:hAnsi="Arial" w:cs="Arial"/>
        </w:rPr>
        <w:t>Please remember that although you can simply submit a letter of request without</w:t>
      </w:r>
      <w:r w:rsidR="00BC4A2B">
        <w:rPr>
          <w:rFonts w:ascii="Arial" w:hAnsi="Arial" w:cs="Arial"/>
        </w:rPr>
        <w:t xml:space="preserve"> supporting evidence</w:t>
      </w:r>
      <w:r w:rsidRPr="00BA5774">
        <w:rPr>
          <w:rFonts w:ascii="Arial" w:hAnsi="Arial" w:cs="Arial"/>
        </w:rPr>
        <w:t xml:space="preserve">, both you and the education provider (pre-school, school, college etc.) will be asked to </w:t>
      </w:r>
      <w:r>
        <w:rPr>
          <w:rFonts w:ascii="Arial" w:hAnsi="Arial" w:cs="Arial"/>
        </w:rPr>
        <w:t xml:space="preserve">submit the required information and evidence in </w:t>
      </w:r>
      <w:r w:rsidRPr="00BA5774">
        <w:rPr>
          <w:rFonts w:ascii="Arial" w:hAnsi="Arial" w:cs="Arial"/>
        </w:rPr>
        <w:t xml:space="preserve">advance of the Local Authority being able to make a </w:t>
      </w:r>
      <w:r w:rsidR="00BC4A2B">
        <w:rPr>
          <w:rFonts w:ascii="Arial" w:hAnsi="Arial" w:cs="Arial"/>
        </w:rPr>
        <w:t>considered decision.</w:t>
      </w:r>
      <w:r w:rsidRPr="00BA5774">
        <w:rPr>
          <w:rFonts w:ascii="Arial" w:hAnsi="Arial" w:cs="Arial"/>
        </w:rPr>
        <w:t xml:space="preserve"> </w:t>
      </w:r>
    </w:p>
    <w:sectPr w:rsidR="003232E7" w:rsidRPr="00BA5774" w:rsidSect="00D7575F">
      <w:headerReference w:type="even" r:id="rId10"/>
      <w:footerReference w:type="default" r:id="rId11"/>
      <w:headerReference w:type="first" r:id="rId12"/>
      <w:footerReference w:type="first" r:id="rId13"/>
      <w:pgSz w:w="11906" w:h="16838"/>
      <w:pgMar w:top="567" w:right="567" w:bottom="851" w:left="567"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B65" w:rsidRDefault="006E5B65" w:rsidP="0027201C">
      <w:pPr>
        <w:spacing w:after="0" w:line="240" w:lineRule="auto"/>
      </w:pPr>
      <w:r>
        <w:separator/>
      </w:r>
    </w:p>
  </w:endnote>
  <w:endnote w:type="continuationSeparator" w:id="0">
    <w:p w:rsidR="006E5B65" w:rsidRDefault="006E5B65" w:rsidP="00272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EE0" w:themeFill="accent1"/>
      <w:tblLook w:val="04A0"/>
    </w:tblPr>
    <w:tblGrid>
      <w:gridCol w:w="10682"/>
    </w:tblGrid>
    <w:tr w:rsidR="00727257" w:rsidRPr="00727257" w:rsidTr="00727257">
      <w:tc>
        <w:tcPr>
          <w:tcW w:w="10682" w:type="dxa"/>
          <w:shd w:val="clear" w:color="auto" w:fill="009EE0" w:themeFill="accent1"/>
        </w:tcPr>
        <w:p w:rsidR="00727257" w:rsidRPr="00727257" w:rsidRDefault="008D22A2" w:rsidP="00727257">
          <w:pPr>
            <w:pStyle w:val="Footer"/>
            <w:jc w:val="center"/>
            <w:rPr>
              <w:color w:val="FFFFFF" w:themeColor="background1"/>
            </w:rPr>
          </w:pPr>
          <w:r w:rsidRPr="00727257">
            <w:rPr>
              <w:color w:val="FFFFFF" w:themeColor="background1"/>
            </w:rPr>
            <w:fldChar w:fldCharType="begin"/>
          </w:r>
          <w:r w:rsidR="00727257" w:rsidRPr="00727257">
            <w:rPr>
              <w:color w:val="FFFFFF" w:themeColor="background1"/>
            </w:rPr>
            <w:instrText xml:space="preserve"> PAGE   \* MERGEFORMAT </w:instrText>
          </w:r>
          <w:r w:rsidRPr="00727257">
            <w:rPr>
              <w:color w:val="FFFFFF" w:themeColor="background1"/>
            </w:rPr>
            <w:fldChar w:fldCharType="separate"/>
          </w:r>
          <w:r w:rsidR="009C2E2E">
            <w:rPr>
              <w:noProof/>
              <w:color w:val="FFFFFF" w:themeColor="background1"/>
            </w:rPr>
            <w:t>2</w:t>
          </w:r>
          <w:r w:rsidRPr="00727257">
            <w:rPr>
              <w:color w:val="FFFFFF" w:themeColor="background1"/>
            </w:rPr>
            <w:fldChar w:fldCharType="end"/>
          </w:r>
        </w:p>
      </w:tc>
    </w:tr>
  </w:tbl>
  <w:p w:rsidR="003232E7" w:rsidRPr="003232E7" w:rsidRDefault="003232E7" w:rsidP="003232E7">
    <w:pPr>
      <w:pStyle w:val="Footer"/>
      <w:jc w:val="center"/>
      <w:rPr>
        <w:rStyle w:val="IntenseEmphasis"/>
      </w:rPr>
    </w:pPr>
    <w:r w:rsidRPr="003232E7">
      <w:rPr>
        <w:rStyle w:val="IntenseEmphasis"/>
      </w:rPr>
      <w:t>Created and published – September 2016</w:t>
    </w:r>
  </w:p>
  <w:p w:rsidR="00727257" w:rsidRDefault="00727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10988"/>
    </w:tblGrid>
    <w:tr w:rsidR="007E4B20" w:rsidRPr="007E4B20" w:rsidTr="007E4B20">
      <w:trPr>
        <w:jc w:val="center"/>
      </w:trPr>
      <w:tc>
        <w:tcPr>
          <w:tcW w:w="10988" w:type="dxa"/>
          <w:tcBorders>
            <w:top w:val="nil"/>
            <w:left w:val="nil"/>
            <w:bottom w:val="nil"/>
            <w:right w:val="nil"/>
          </w:tcBorders>
          <w:shd w:val="clear" w:color="auto" w:fill="009EE0" w:themeFill="accent1"/>
        </w:tcPr>
        <w:p w:rsidR="007E4B20" w:rsidRPr="007E4B20" w:rsidRDefault="008D22A2" w:rsidP="007E4B20">
          <w:pPr>
            <w:pStyle w:val="Footer"/>
            <w:jc w:val="center"/>
            <w:rPr>
              <w:color w:val="FFFFFF" w:themeColor="background1"/>
            </w:rPr>
          </w:pPr>
          <w:r w:rsidRPr="007E4B20">
            <w:rPr>
              <w:color w:val="FFFFFF" w:themeColor="background1"/>
            </w:rPr>
            <w:fldChar w:fldCharType="begin"/>
          </w:r>
          <w:r w:rsidR="007E4B20" w:rsidRPr="007E4B20">
            <w:rPr>
              <w:color w:val="FFFFFF" w:themeColor="background1"/>
            </w:rPr>
            <w:instrText xml:space="preserve"> PAGE   \* MERGEFORMAT </w:instrText>
          </w:r>
          <w:r w:rsidRPr="007E4B20">
            <w:rPr>
              <w:color w:val="FFFFFF" w:themeColor="background1"/>
            </w:rPr>
            <w:fldChar w:fldCharType="separate"/>
          </w:r>
          <w:r w:rsidR="009C2E2E">
            <w:rPr>
              <w:noProof/>
              <w:color w:val="FFFFFF" w:themeColor="background1"/>
            </w:rPr>
            <w:t>1</w:t>
          </w:r>
          <w:r w:rsidRPr="007E4B20">
            <w:rPr>
              <w:color w:val="FFFFFF" w:themeColor="background1"/>
            </w:rPr>
            <w:fldChar w:fldCharType="end"/>
          </w:r>
        </w:p>
      </w:tc>
    </w:tr>
  </w:tbl>
  <w:p w:rsidR="007E4B20" w:rsidRPr="003232E7" w:rsidRDefault="003232E7" w:rsidP="003232E7">
    <w:pPr>
      <w:pStyle w:val="Footer"/>
      <w:jc w:val="center"/>
      <w:rPr>
        <w:rStyle w:val="IntenseEmphasis"/>
      </w:rPr>
    </w:pPr>
    <w:r w:rsidRPr="003232E7">
      <w:rPr>
        <w:rStyle w:val="IntenseEmphasis"/>
      </w:rPr>
      <w:t>Created and published – September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B65" w:rsidRDefault="006E5B65" w:rsidP="0027201C">
      <w:pPr>
        <w:spacing w:after="0" w:line="240" w:lineRule="auto"/>
      </w:pPr>
      <w:r>
        <w:separator/>
      </w:r>
    </w:p>
  </w:footnote>
  <w:footnote w:type="continuationSeparator" w:id="0">
    <w:p w:rsidR="006E5B65" w:rsidRDefault="006E5B65" w:rsidP="00272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57" w:rsidRDefault="008D2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7402" o:spid="_x0000_s2050"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EE0" w:themeFill="accent1"/>
      <w:tblCellMar>
        <w:left w:w="0" w:type="dxa"/>
      </w:tblCellMar>
      <w:tblLook w:val="04A0"/>
    </w:tblPr>
    <w:tblGrid>
      <w:gridCol w:w="8066"/>
      <w:gridCol w:w="2879"/>
    </w:tblGrid>
    <w:tr w:rsidR="00D7575F" w:rsidRPr="00A878C7" w:rsidTr="00D7575F">
      <w:trPr>
        <w:trHeight w:val="990"/>
      </w:trPr>
      <w:tc>
        <w:tcPr>
          <w:tcW w:w="7935" w:type="dxa"/>
          <w:vMerge w:val="restart"/>
          <w:shd w:val="clear" w:color="auto" w:fill="009EE0" w:themeFill="accent1"/>
          <w:tcMar>
            <w:top w:w="0" w:type="dxa"/>
            <w:left w:w="0" w:type="dxa"/>
            <w:right w:w="0" w:type="dxa"/>
          </w:tcMar>
        </w:tcPr>
        <w:p w:rsidR="00D7575F" w:rsidRPr="00A878C7" w:rsidRDefault="003232E7" w:rsidP="00A34911">
          <w:pPr>
            <w:pStyle w:val="Heading2"/>
            <w:ind w:left="170"/>
            <w:outlineLvl w:val="1"/>
          </w:pPr>
          <w:r>
            <w:t>Requesting a Statutory Assessment</w:t>
          </w:r>
        </w:p>
        <w:p w:rsidR="00D7575F" w:rsidRPr="00727257" w:rsidRDefault="003232E7" w:rsidP="00A34911">
          <w:pPr>
            <w:pStyle w:val="Heading3"/>
            <w:outlineLvl w:val="2"/>
          </w:pPr>
          <w:r>
            <w:t>SEN Information for parents</w:t>
          </w:r>
        </w:p>
      </w:tc>
      <w:tc>
        <w:tcPr>
          <w:tcW w:w="2832" w:type="dxa"/>
          <w:shd w:val="clear" w:color="auto" w:fill="009EE0" w:themeFill="accent1"/>
          <w:tcMar>
            <w:right w:w="284" w:type="dxa"/>
          </w:tcMar>
        </w:tcPr>
        <w:p w:rsidR="00D7575F" w:rsidRPr="00A878C7" w:rsidRDefault="00D7575F" w:rsidP="00A34911">
          <w:pPr>
            <w:pStyle w:val="Header"/>
            <w:spacing w:before="240"/>
            <w:jc w:val="right"/>
            <w:rPr>
              <w:b/>
              <w:color w:val="FFFFFF" w:themeColor="background1"/>
              <w:sz w:val="24"/>
            </w:rPr>
          </w:pPr>
        </w:p>
      </w:tc>
    </w:tr>
    <w:tr w:rsidR="00D7575F" w:rsidRPr="00A878C7" w:rsidTr="00D7575F">
      <w:trPr>
        <w:trHeight w:val="1425"/>
      </w:trPr>
      <w:tc>
        <w:tcPr>
          <w:tcW w:w="7935" w:type="dxa"/>
          <w:vMerge/>
          <w:shd w:val="clear" w:color="auto" w:fill="009EE0" w:themeFill="accent1"/>
        </w:tcPr>
        <w:p w:rsidR="00D7575F" w:rsidRPr="00A878C7" w:rsidRDefault="00D7575F" w:rsidP="00A34911">
          <w:pPr>
            <w:pStyle w:val="Heading2"/>
            <w:ind w:left="170"/>
            <w:outlineLvl w:val="1"/>
          </w:pPr>
        </w:p>
      </w:tc>
      <w:tc>
        <w:tcPr>
          <w:tcW w:w="2832" w:type="dxa"/>
          <w:shd w:val="clear" w:color="auto" w:fill="009EE0" w:themeFill="accent1"/>
          <w:tcMar>
            <w:right w:w="284" w:type="dxa"/>
          </w:tcMar>
          <w:vAlign w:val="bottom"/>
        </w:tcPr>
        <w:p w:rsidR="00D7575F" w:rsidRPr="00A878C7" w:rsidRDefault="00D7575F" w:rsidP="00A34911">
          <w:pPr>
            <w:pStyle w:val="Heading2"/>
            <w:jc w:val="right"/>
            <w:outlineLvl w:val="1"/>
          </w:pPr>
          <w:r w:rsidRPr="00A878C7">
            <w:rPr>
              <w:noProof/>
              <w:lang w:eastAsia="en-GB"/>
            </w:rPr>
            <w:drawing>
              <wp:inline distT="0" distB="0" distL="0" distR="0">
                <wp:extent cx="1437640" cy="513080"/>
                <wp:effectExtent l="0" t="0" r="0" b="0"/>
                <wp:docPr id="4" name="Picture 1" descr="torbaycounci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baycouncilWHITE.png"/>
                        <pic:cNvPicPr/>
                      </pic:nvPicPr>
                      <pic:blipFill>
                        <a:blip r:embed="rId1" cstate="print"/>
                        <a:srcRect r="6908"/>
                        <a:stretch>
                          <a:fillRect/>
                        </a:stretch>
                      </pic:blipFill>
                      <pic:spPr>
                        <a:xfrm>
                          <a:off x="0" y="0"/>
                          <a:ext cx="1437640" cy="513080"/>
                        </a:xfrm>
                        <a:prstGeom prst="rect">
                          <a:avLst/>
                        </a:prstGeom>
                      </pic:spPr>
                    </pic:pic>
                  </a:graphicData>
                </a:graphic>
              </wp:inline>
            </w:drawing>
          </w:r>
        </w:p>
      </w:tc>
    </w:tr>
  </w:tbl>
  <w:p w:rsidR="00727257" w:rsidRDefault="00727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974"/>
    <w:multiLevelType w:val="hybridMultilevel"/>
    <w:tmpl w:val="54BE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D4E23"/>
    <w:multiLevelType w:val="hybridMultilevel"/>
    <w:tmpl w:val="A5B8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555E17"/>
    <w:multiLevelType w:val="hybridMultilevel"/>
    <w:tmpl w:val="E5AA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59087E"/>
    <w:multiLevelType w:val="hybridMultilevel"/>
    <w:tmpl w:val="B5565B14"/>
    <w:lvl w:ilvl="0" w:tplc="B5BA4018">
      <w:start w:val="1"/>
      <w:numFmt w:val="bullet"/>
      <w:lvlText w:val=""/>
      <w:lvlJc w:val="left"/>
      <w:pPr>
        <w:ind w:left="720" w:hanging="360"/>
      </w:pPr>
      <w:rPr>
        <w:rFonts w:ascii="Symbol" w:hAnsi="Symbol" w:hint="default"/>
        <w:color w:val="ED7703"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BF2E5D"/>
    <w:multiLevelType w:val="hybridMultilevel"/>
    <w:tmpl w:val="D050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D9754A"/>
    <w:multiLevelType w:val="hybridMultilevel"/>
    <w:tmpl w:val="BE6A9448"/>
    <w:lvl w:ilvl="0" w:tplc="8D928566">
      <w:start w:val="1"/>
      <w:numFmt w:val="bullet"/>
      <w:lvlText w:val=""/>
      <w:lvlJc w:val="left"/>
      <w:pPr>
        <w:ind w:left="720" w:hanging="360"/>
      </w:pPr>
      <w:rPr>
        <w:rFonts w:ascii="Symbol" w:hAnsi="Symbol" w:hint="default"/>
        <w:color w:val="00A4A7"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1D43A5"/>
    <w:multiLevelType w:val="hybridMultilevel"/>
    <w:tmpl w:val="889E9AC8"/>
    <w:lvl w:ilvl="0" w:tplc="B5BA4018">
      <w:start w:val="1"/>
      <w:numFmt w:val="bullet"/>
      <w:lvlText w:val=""/>
      <w:lvlJc w:val="left"/>
      <w:pPr>
        <w:ind w:left="720" w:hanging="360"/>
      </w:pPr>
      <w:rPr>
        <w:rFonts w:ascii="Symbol" w:hAnsi="Symbol" w:hint="default"/>
        <w:color w:val="ED7703"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5E5161"/>
    <w:multiLevelType w:val="hybridMultilevel"/>
    <w:tmpl w:val="6B14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684DE6"/>
    <w:multiLevelType w:val="hybridMultilevel"/>
    <w:tmpl w:val="9E246514"/>
    <w:lvl w:ilvl="0" w:tplc="4D7616A2">
      <w:start w:val="1"/>
      <w:numFmt w:val="bullet"/>
      <w:pStyle w:val="bluebullets"/>
      <w:lvlText w:val=""/>
      <w:lvlJc w:val="left"/>
      <w:pPr>
        <w:ind w:left="360" w:hanging="360"/>
      </w:pPr>
      <w:rPr>
        <w:rFonts w:ascii="Symbol" w:hAnsi="Symbol" w:hint="default"/>
        <w:color w:val="009E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005F93"/>
    <w:multiLevelType w:val="hybridMultilevel"/>
    <w:tmpl w:val="970E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CD1948"/>
    <w:multiLevelType w:val="hybridMultilevel"/>
    <w:tmpl w:val="0A14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1F61A3"/>
    <w:multiLevelType w:val="hybridMultilevel"/>
    <w:tmpl w:val="DC9E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3"/>
  </w:num>
  <w:num w:numId="6">
    <w:abstractNumId w:val="6"/>
  </w:num>
  <w:num w:numId="7">
    <w:abstractNumId w:val="8"/>
  </w:num>
  <w:num w:numId="8">
    <w:abstractNumId w:val="5"/>
  </w:num>
  <w:num w:numId="9">
    <w:abstractNumId w:val="8"/>
  </w:num>
  <w:num w:numId="10">
    <w:abstractNumId w:val="0"/>
  </w:num>
  <w:num w:numId="11">
    <w:abstractNumId w:val="1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81D2B"/>
    <w:rsid w:val="00067FAA"/>
    <w:rsid w:val="00237BB4"/>
    <w:rsid w:val="0027201C"/>
    <w:rsid w:val="00277470"/>
    <w:rsid w:val="00314051"/>
    <w:rsid w:val="003232E7"/>
    <w:rsid w:val="003527B2"/>
    <w:rsid w:val="003572A7"/>
    <w:rsid w:val="00374862"/>
    <w:rsid w:val="00396AD1"/>
    <w:rsid w:val="0051590A"/>
    <w:rsid w:val="006003D2"/>
    <w:rsid w:val="0061086D"/>
    <w:rsid w:val="00626F99"/>
    <w:rsid w:val="00681C08"/>
    <w:rsid w:val="006D3ACF"/>
    <w:rsid w:val="006E5B65"/>
    <w:rsid w:val="006F44AF"/>
    <w:rsid w:val="00706129"/>
    <w:rsid w:val="007073D5"/>
    <w:rsid w:val="00727257"/>
    <w:rsid w:val="00760DEF"/>
    <w:rsid w:val="00763C0A"/>
    <w:rsid w:val="007718B9"/>
    <w:rsid w:val="00790BB3"/>
    <w:rsid w:val="007E4B20"/>
    <w:rsid w:val="008D22A2"/>
    <w:rsid w:val="008F16EE"/>
    <w:rsid w:val="009012FB"/>
    <w:rsid w:val="0090170E"/>
    <w:rsid w:val="00953839"/>
    <w:rsid w:val="009C2E2E"/>
    <w:rsid w:val="009D2248"/>
    <w:rsid w:val="009D523E"/>
    <w:rsid w:val="009F08AF"/>
    <w:rsid w:val="009F55D4"/>
    <w:rsid w:val="009F6551"/>
    <w:rsid w:val="00A25B39"/>
    <w:rsid w:val="00A878C7"/>
    <w:rsid w:val="00AE2F4C"/>
    <w:rsid w:val="00B328E2"/>
    <w:rsid w:val="00B90572"/>
    <w:rsid w:val="00BC4A2B"/>
    <w:rsid w:val="00C15581"/>
    <w:rsid w:val="00C96831"/>
    <w:rsid w:val="00CD59CA"/>
    <w:rsid w:val="00D64742"/>
    <w:rsid w:val="00D7575F"/>
    <w:rsid w:val="00D81D30"/>
    <w:rsid w:val="00DB6286"/>
    <w:rsid w:val="00DC17AF"/>
    <w:rsid w:val="00E03A52"/>
    <w:rsid w:val="00E24749"/>
    <w:rsid w:val="00E81D2B"/>
    <w:rsid w:val="00F47968"/>
    <w:rsid w:val="00FA10E7"/>
    <w:rsid w:val="00FA37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AF"/>
  </w:style>
  <w:style w:type="paragraph" w:styleId="Heading1">
    <w:name w:val="heading 1"/>
    <w:basedOn w:val="Normal"/>
    <w:next w:val="Normal"/>
    <w:link w:val="Heading1Char"/>
    <w:uiPriority w:val="9"/>
    <w:qFormat/>
    <w:rsid w:val="00727257"/>
    <w:pPr>
      <w:keepNext/>
      <w:keepLines/>
      <w:spacing w:after="240"/>
      <w:outlineLvl w:val="0"/>
    </w:pPr>
    <w:rPr>
      <w:rFonts w:asciiTheme="majorHAnsi" w:eastAsiaTheme="majorEastAsia" w:hAnsiTheme="majorHAnsi" w:cstheme="majorBidi"/>
      <w:b/>
      <w:bCs/>
      <w:color w:val="009EE0" w:themeColor="accent1"/>
      <w:sz w:val="28"/>
      <w:szCs w:val="28"/>
    </w:rPr>
  </w:style>
  <w:style w:type="paragraph" w:styleId="Heading2">
    <w:name w:val="heading 2"/>
    <w:basedOn w:val="Header"/>
    <w:next w:val="Normal"/>
    <w:link w:val="Heading2Char"/>
    <w:uiPriority w:val="9"/>
    <w:unhideWhenUsed/>
    <w:qFormat/>
    <w:rsid w:val="00A878C7"/>
    <w:pPr>
      <w:spacing w:before="240" w:after="240"/>
      <w:outlineLvl w:val="1"/>
    </w:pPr>
    <w:rPr>
      <w:b/>
      <w:color w:val="FFFFFF" w:themeColor="background1"/>
      <w:sz w:val="56"/>
    </w:rPr>
  </w:style>
  <w:style w:type="paragraph" w:styleId="Heading3">
    <w:name w:val="heading 3"/>
    <w:basedOn w:val="Normal"/>
    <w:next w:val="Normal"/>
    <w:link w:val="Heading3Char"/>
    <w:uiPriority w:val="9"/>
    <w:unhideWhenUsed/>
    <w:qFormat/>
    <w:rsid w:val="00A25B39"/>
    <w:pPr>
      <w:spacing w:after="0" w:line="240" w:lineRule="auto"/>
      <w:ind w:left="170"/>
      <w:outlineLvl w:val="2"/>
    </w:pPr>
    <w:rPr>
      <w:b/>
      <w:color w:val="FFFFFF" w:themeColor="background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D30"/>
    <w:pPr>
      <w:spacing w:after="0" w:line="240" w:lineRule="auto"/>
    </w:pPr>
  </w:style>
  <w:style w:type="paragraph" w:styleId="BalloonText">
    <w:name w:val="Balloon Text"/>
    <w:basedOn w:val="Normal"/>
    <w:link w:val="BalloonTextChar"/>
    <w:uiPriority w:val="99"/>
    <w:semiHidden/>
    <w:unhideWhenUsed/>
    <w:rsid w:val="00D8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30"/>
    <w:rPr>
      <w:rFonts w:ascii="Tahoma" w:hAnsi="Tahoma" w:cs="Tahoma"/>
      <w:sz w:val="16"/>
      <w:szCs w:val="16"/>
    </w:rPr>
  </w:style>
  <w:style w:type="table" w:styleId="TableGrid">
    <w:name w:val="Table Grid"/>
    <w:basedOn w:val="TableNormal"/>
    <w:uiPriority w:val="59"/>
    <w:rsid w:val="00D81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1C"/>
  </w:style>
  <w:style w:type="paragraph" w:styleId="Footer">
    <w:name w:val="footer"/>
    <w:basedOn w:val="Normal"/>
    <w:link w:val="FooterChar"/>
    <w:uiPriority w:val="99"/>
    <w:semiHidden/>
    <w:unhideWhenUsed/>
    <w:rsid w:val="002720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201C"/>
  </w:style>
  <w:style w:type="paragraph" w:customStyle="1" w:styleId="Default">
    <w:name w:val="Default"/>
    <w:rsid w:val="00DC17AF"/>
    <w:pPr>
      <w:autoSpaceDE w:val="0"/>
      <w:autoSpaceDN w:val="0"/>
      <w:adjustRightInd w:val="0"/>
      <w:spacing w:after="0" w:line="240" w:lineRule="auto"/>
    </w:pPr>
    <w:rPr>
      <w:rFonts w:ascii="Swis721 BT" w:hAnsi="Swis721 BT" w:cs="Swis721 BT"/>
      <w:color w:val="000000"/>
      <w:sz w:val="24"/>
      <w:szCs w:val="24"/>
    </w:rPr>
  </w:style>
  <w:style w:type="character" w:styleId="Hyperlink">
    <w:name w:val="Hyperlink"/>
    <w:basedOn w:val="DefaultParagraphFont"/>
    <w:uiPriority w:val="99"/>
    <w:unhideWhenUsed/>
    <w:rsid w:val="00237BB4"/>
    <w:rPr>
      <w:color w:val="009EE0" w:themeColor="hyperlink"/>
      <w:u w:val="single"/>
    </w:rPr>
  </w:style>
  <w:style w:type="paragraph" w:styleId="ListParagraph">
    <w:name w:val="List Paragraph"/>
    <w:basedOn w:val="Normal"/>
    <w:uiPriority w:val="34"/>
    <w:qFormat/>
    <w:rsid w:val="00237BB4"/>
    <w:pPr>
      <w:ind w:left="720"/>
      <w:contextualSpacing/>
    </w:pPr>
  </w:style>
  <w:style w:type="character" w:styleId="FollowedHyperlink">
    <w:name w:val="FollowedHyperlink"/>
    <w:basedOn w:val="DefaultParagraphFont"/>
    <w:uiPriority w:val="99"/>
    <w:semiHidden/>
    <w:unhideWhenUsed/>
    <w:rsid w:val="009F08AF"/>
    <w:rPr>
      <w:color w:val="009EE0" w:themeColor="followedHyperlink"/>
      <w:u w:val="single"/>
    </w:rPr>
  </w:style>
  <w:style w:type="character" w:customStyle="1" w:styleId="Heading2Char">
    <w:name w:val="Heading 2 Char"/>
    <w:basedOn w:val="DefaultParagraphFont"/>
    <w:link w:val="Heading2"/>
    <w:uiPriority w:val="9"/>
    <w:rsid w:val="00A878C7"/>
    <w:rPr>
      <w:b/>
      <w:color w:val="FFFFFF" w:themeColor="background1"/>
      <w:sz w:val="56"/>
    </w:rPr>
  </w:style>
  <w:style w:type="paragraph" w:customStyle="1" w:styleId="bluebullets">
    <w:name w:val="blue bullets"/>
    <w:basedOn w:val="Normal"/>
    <w:rsid w:val="00706129"/>
    <w:pPr>
      <w:numPr>
        <w:numId w:val="9"/>
      </w:numPr>
      <w:spacing w:after="120" w:line="240" w:lineRule="auto"/>
    </w:pPr>
  </w:style>
  <w:style w:type="character" w:customStyle="1" w:styleId="Heading3Char">
    <w:name w:val="Heading 3 Char"/>
    <w:basedOn w:val="DefaultParagraphFont"/>
    <w:link w:val="Heading3"/>
    <w:uiPriority w:val="9"/>
    <w:rsid w:val="00A25B39"/>
    <w:rPr>
      <w:b/>
      <w:color w:val="FFFFFF" w:themeColor="background1"/>
      <w:sz w:val="30"/>
      <w:szCs w:val="30"/>
    </w:rPr>
  </w:style>
  <w:style w:type="character" w:customStyle="1" w:styleId="Heading1Char">
    <w:name w:val="Heading 1 Char"/>
    <w:basedOn w:val="DefaultParagraphFont"/>
    <w:link w:val="Heading1"/>
    <w:uiPriority w:val="9"/>
    <w:rsid w:val="00727257"/>
    <w:rPr>
      <w:rFonts w:asciiTheme="majorHAnsi" w:eastAsiaTheme="majorEastAsia" w:hAnsiTheme="majorHAnsi" w:cstheme="majorBidi"/>
      <w:b/>
      <w:bCs/>
      <w:color w:val="009EE0" w:themeColor="accent1"/>
      <w:sz w:val="28"/>
      <w:szCs w:val="28"/>
    </w:rPr>
  </w:style>
  <w:style w:type="table" w:customStyle="1" w:styleId="LightShading-Accent11">
    <w:name w:val="Light Shading - Accent 11"/>
    <w:basedOn w:val="TableNormal"/>
    <w:uiPriority w:val="60"/>
    <w:rsid w:val="00790BB3"/>
    <w:pPr>
      <w:spacing w:after="0" w:line="240" w:lineRule="auto"/>
    </w:pPr>
    <w:rPr>
      <w:color w:val="0075A7" w:themeColor="accent1" w:themeShade="BF"/>
    </w:rPr>
    <w:tblPr>
      <w:tblStyleRowBandSize w:val="1"/>
      <w:tblStyleColBandSize w:val="1"/>
      <w:tblInd w:w="0" w:type="dxa"/>
      <w:tblBorders>
        <w:top w:val="single" w:sz="8" w:space="0" w:color="009EE0" w:themeColor="accent1"/>
        <w:bottom w:val="single" w:sz="8" w:space="0" w:color="009EE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table" w:customStyle="1" w:styleId="LightList-Accent11">
    <w:name w:val="Light List - Accent 11"/>
    <w:basedOn w:val="TableNormal"/>
    <w:uiPriority w:val="61"/>
    <w:rsid w:val="00790BB3"/>
    <w:pPr>
      <w:spacing w:after="0" w:line="240" w:lineRule="auto"/>
    </w:pPr>
    <w:tblPr>
      <w:tblStyleRowBandSize w:val="1"/>
      <w:tblStyleColBandSize w:val="1"/>
      <w:tblInd w:w="0" w:type="dxa"/>
      <w:tblBorders>
        <w:top w:val="single" w:sz="8" w:space="0" w:color="009EE0" w:themeColor="accent1"/>
        <w:left w:val="single" w:sz="8" w:space="0" w:color="009EE0" w:themeColor="accent1"/>
        <w:bottom w:val="single" w:sz="8" w:space="0" w:color="009EE0" w:themeColor="accent1"/>
        <w:right w:val="single" w:sz="8" w:space="0" w:color="009EE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EE0" w:themeFill="accent1"/>
      </w:tcPr>
    </w:tblStylePr>
    <w:tblStylePr w:type="lastRow">
      <w:pPr>
        <w:spacing w:before="0" w:after="0" w:line="240" w:lineRule="auto"/>
      </w:pPr>
      <w:rPr>
        <w:b/>
        <w:bCs/>
      </w:rPr>
      <w:tblPr/>
      <w:tcPr>
        <w:tcBorders>
          <w:top w:val="double" w:sz="6" w:space="0" w:color="009EE0" w:themeColor="accent1"/>
          <w:left w:val="single" w:sz="8" w:space="0" w:color="009EE0" w:themeColor="accent1"/>
          <w:bottom w:val="single" w:sz="8" w:space="0" w:color="009EE0" w:themeColor="accent1"/>
          <w:right w:val="single" w:sz="8" w:space="0" w:color="009EE0" w:themeColor="accent1"/>
        </w:tcBorders>
      </w:tcPr>
    </w:tblStylePr>
    <w:tblStylePr w:type="firstCol">
      <w:rPr>
        <w:b/>
        <w:bCs/>
      </w:rPr>
    </w:tblStylePr>
    <w:tblStylePr w:type="lastCol">
      <w:rPr>
        <w:b/>
        <w:bCs/>
      </w:rPr>
    </w:tblStylePr>
    <w:tblStylePr w:type="band1Vert">
      <w:tblPr/>
      <w:tcPr>
        <w:tcBorders>
          <w:top w:val="single" w:sz="8" w:space="0" w:color="009EE0" w:themeColor="accent1"/>
          <w:left w:val="single" w:sz="8" w:space="0" w:color="009EE0" w:themeColor="accent1"/>
          <w:bottom w:val="single" w:sz="8" w:space="0" w:color="009EE0" w:themeColor="accent1"/>
          <w:right w:val="single" w:sz="8" w:space="0" w:color="009EE0" w:themeColor="accent1"/>
        </w:tcBorders>
      </w:tcPr>
    </w:tblStylePr>
    <w:tblStylePr w:type="band1Horz">
      <w:tblPr/>
      <w:tcPr>
        <w:tcBorders>
          <w:top w:val="single" w:sz="8" w:space="0" w:color="009EE0" w:themeColor="accent1"/>
          <w:left w:val="single" w:sz="8" w:space="0" w:color="009EE0" w:themeColor="accent1"/>
          <w:bottom w:val="single" w:sz="8" w:space="0" w:color="009EE0" w:themeColor="accent1"/>
          <w:right w:val="single" w:sz="8" w:space="0" w:color="009EE0" w:themeColor="accent1"/>
        </w:tcBorders>
      </w:tcPr>
    </w:tblStylePr>
  </w:style>
  <w:style w:type="character" w:styleId="IntenseEmphasis">
    <w:name w:val="Intense Emphasis"/>
    <w:basedOn w:val="DefaultParagraphFont"/>
    <w:uiPriority w:val="21"/>
    <w:qFormat/>
    <w:rsid w:val="00CD59CA"/>
    <w:rPr>
      <w:b/>
      <w:bCs/>
      <w:iCs/>
      <w:color w:val="009EE0" w:themeColor="accent1"/>
    </w:rPr>
  </w:style>
  <w:style w:type="character" w:styleId="SubtleEmphasis">
    <w:name w:val="Subtle Emphasis"/>
    <w:basedOn w:val="DefaultParagraphFont"/>
    <w:uiPriority w:val="19"/>
    <w:qFormat/>
    <w:rsid w:val="00CD59CA"/>
    <w:rPr>
      <w:i/>
      <w:iCs/>
      <w:color w:val="8CDCFF" w:themeColor="accent1" w:themeTint="6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schools-and-learning/send/information-for-par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bay.gov.uk/schools-and-learning/send/statutory-assessment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20Services\Personal%20&amp;%20Community%20Services\Special%20Needs\Marianne%20Lewis\Pppo\Projects\SEN%20Information%20sheets\Heading%20style%201.dotx" TargetMode="External"/></Relationships>
</file>

<file path=word/theme/theme1.xml><?xml version="1.0" encoding="utf-8"?>
<a:theme xmlns:a="http://schemas.openxmlformats.org/drawingml/2006/main" name="council theme">
  <a:themeElements>
    <a:clrScheme name="Custom 2">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6A689-7340-4AAD-BD91-C4B333D8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Heading style 1.dotx</Template>
  <TotalTime>2</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eneh061</cp:lastModifiedBy>
  <cp:revision>2</cp:revision>
  <cp:lastPrinted>2016-09-21T10:04:00Z</cp:lastPrinted>
  <dcterms:created xsi:type="dcterms:W3CDTF">2016-10-04T13:52:00Z</dcterms:created>
  <dcterms:modified xsi:type="dcterms:W3CDTF">2016-10-04T13:52:00Z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-1709258317</vt:i4>
  </property>
  <property fmtid="{D5CDD505-2E9C-101B-9397-08002B2CF9AE}" pid="3" name="_NewReviewCycle">
    <vt:lpwstr/>
  </property>
  <property fmtid="{D5CDD505-2E9C-101B-9397-08002B2CF9AE}" pid="4" name="_EmailSubject">
    <vt:lpwstr>Nice Header</vt:lpwstr>
  </property>
  <property fmtid="{D5CDD505-2E9C-101B-9397-08002B2CF9AE}" pid="5" name="_AuthorEmail">
    <vt:lpwstr>Matthew.Gifford@torbay.gov.uk</vt:lpwstr>
  </property>
  <property fmtid="{D5CDD505-2E9C-101B-9397-08002B2CF9AE}" pid="6" name="_AuthorEmailDisplayName">
    <vt:lpwstr>Gifford, Matthew</vt:lpwstr>
  </property>
  <property fmtid="{D5CDD505-2E9C-101B-9397-08002B2CF9AE}" pid="7" name="_ReviewingToolsShownOnce">
    <vt:lpwstr/>
  </property>
</Properties>
</file>