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diagrams/data1.xml" ContentType="application/vnd.openxmlformats-officedocument.drawingml.diagramData+xml"/>
  <Override PartName="/word/header1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doc" ContentType="application/msword"/>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33934828"/>
    <w:bookmarkEnd w:id="0"/>
    <w:p w:rsidR="00EE3B27" w:rsidRDefault="00E524C2" w:rsidP="00873D9F">
      <w:pPr>
        <w:widowControl w:val="0"/>
        <w:jc w:val="center"/>
        <w:rPr>
          <w:rFonts w:cs="Arial"/>
          <w:b/>
          <w:color w:val="auto"/>
          <w:sz w:val="20"/>
          <w:szCs w:val="20"/>
        </w:rPr>
      </w:pPr>
      <w:r w:rsidRPr="00AC36ED">
        <w:rPr>
          <w:rFonts w:cs="Arial"/>
          <w:b/>
          <w:color w:val="0070C0"/>
          <w:sz w:val="20"/>
          <w:szCs w:val="20"/>
        </w:rPr>
        <w:object w:dxaOrig="8916" w:dyaOrig="12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6pt;height:618.8pt" o:ole="">
            <v:imagedata r:id="rId8" o:title=""/>
          </v:shape>
          <o:OLEObject Type="Embed" ProgID="Word.Document.8" ShapeID="_x0000_i1025" DrawAspect="Content" ObjectID="_1532354173" r:id="rId9">
            <o:FieldCodes>\s</o:FieldCodes>
          </o:OLEObject>
        </w:object>
      </w:r>
    </w:p>
    <w:p w:rsidR="008A731C" w:rsidRDefault="008A731C" w:rsidP="00873D9F">
      <w:pPr>
        <w:widowControl w:val="0"/>
        <w:jc w:val="center"/>
        <w:rPr>
          <w:rFonts w:cs="Arial"/>
          <w:b/>
          <w:color w:val="auto"/>
          <w:sz w:val="20"/>
          <w:szCs w:val="20"/>
        </w:rPr>
      </w:pPr>
    </w:p>
    <w:p w:rsidR="008A731C" w:rsidRDefault="008A731C" w:rsidP="00873D9F">
      <w:pPr>
        <w:widowControl w:val="0"/>
        <w:jc w:val="center"/>
        <w:rPr>
          <w:rFonts w:cs="Arial"/>
          <w:b/>
          <w:color w:val="auto"/>
          <w:sz w:val="20"/>
          <w:szCs w:val="20"/>
        </w:rPr>
      </w:pPr>
    </w:p>
    <w:p w:rsidR="001E7DDD" w:rsidRPr="00D42E0B" w:rsidRDefault="001E7DDD" w:rsidP="00B5412B">
      <w:pPr>
        <w:widowControl w:val="0"/>
        <w:jc w:val="center"/>
        <w:rPr>
          <w:rFonts w:cs="Arial"/>
          <w:b/>
          <w:color w:val="548DD4" w:themeColor="text2" w:themeTint="99"/>
          <w:sz w:val="28"/>
          <w:szCs w:val="28"/>
        </w:rPr>
      </w:pPr>
    </w:p>
    <w:p w:rsidR="001E7DDD" w:rsidRPr="00D42E0B" w:rsidRDefault="001E7DDD" w:rsidP="00B5412B">
      <w:pPr>
        <w:widowControl w:val="0"/>
        <w:jc w:val="center"/>
        <w:rPr>
          <w:rFonts w:cs="Arial"/>
          <w:b/>
          <w:color w:val="548DD4" w:themeColor="text2" w:themeTint="99"/>
          <w:sz w:val="28"/>
          <w:szCs w:val="28"/>
        </w:rPr>
      </w:pPr>
    </w:p>
    <w:tbl>
      <w:tblPr>
        <w:tblpPr w:leftFromText="180" w:rightFromText="180" w:vertAnchor="page" w:horzAnchor="margin" w:tblpXSpec="center" w:tblpY="2748"/>
        <w:tblW w:w="6408" w:type="dxa"/>
        <w:tblLook w:val="00A0"/>
      </w:tblPr>
      <w:tblGrid>
        <w:gridCol w:w="4969"/>
        <w:gridCol w:w="1439"/>
      </w:tblGrid>
      <w:tr w:rsidR="006E667C" w:rsidRPr="00A85FEB" w:rsidTr="006E667C">
        <w:tc>
          <w:tcPr>
            <w:tcW w:w="4969" w:type="dxa"/>
          </w:tcPr>
          <w:p w:rsidR="00814788" w:rsidRPr="00273C6C" w:rsidRDefault="00814788" w:rsidP="00814788">
            <w:pPr>
              <w:widowControl w:val="0"/>
              <w:jc w:val="center"/>
              <w:rPr>
                <w:rFonts w:cs="Arial"/>
                <w:b/>
                <w:color w:val="auto"/>
                <w:sz w:val="28"/>
                <w:szCs w:val="28"/>
              </w:rPr>
            </w:pPr>
            <w:r w:rsidRPr="00273C6C">
              <w:rPr>
                <w:rFonts w:cs="Arial"/>
                <w:b/>
                <w:color w:val="auto"/>
                <w:sz w:val="28"/>
                <w:szCs w:val="28"/>
              </w:rPr>
              <w:t>Contents</w:t>
            </w:r>
          </w:p>
          <w:p w:rsidR="006E667C" w:rsidRPr="00273C6C" w:rsidRDefault="006E667C" w:rsidP="006E667C">
            <w:pPr>
              <w:widowControl w:val="0"/>
              <w:spacing w:after="0" w:line="240" w:lineRule="auto"/>
              <w:rPr>
                <w:rFonts w:cs="Arial"/>
                <w:b/>
                <w:color w:val="auto"/>
                <w:sz w:val="20"/>
                <w:szCs w:val="20"/>
              </w:rPr>
            </w:pPr>
          </w:p>
        </w:tc>
        <w:tc>
          <w:tcPr>
            <w:tcW w:w="1439" w:type="dxa"/>
          </w:tcPr>
          <w:p w:rsidR="006E667C" w:rsidRPr="00EC7395" w:rsidRDefault="006E667C" w:rsidP="006E667C">
            <w:pPr>
              <w:widowControl w:val="0"/>
              <w:spacing w:after="0" w:line="240" w:lineRule="auto"/>
              <w:jc w:val="center"/>
              <w:rPr>
                <w:rFonts w:cs="Arial"/>
                <w:b/>
                <w:color w:val="auto"/>
                <w:sz w:val="20"/>
                <w:szCs w:val="20"/>
              </w:rPr>
            </w:pPr>
          </w:p>
          <w:p w:rsidR="006E667C" w:rsidRPr="00EC7395" w:rsidRDefault="006E667C" w:rsidP="006E667C">
            <w:pPr>
              <w:widowControl w:val="0"/>
              <w:spacing w:after="0" w:line="240" w:lineRule="auto"/>
              <w:jc w:val="center"/>
              <w:rPr>
                <w:rFonts w:cs="Arial"/>
                <w:b/>
                <w:color w:val="auto"/>
                <w:sz w:val="20"/>
                <w:szCs w:val="20"/>
              </w:rPr>
            </w:pPr>
            <w:r w:rsidRPr="00EC7395">
              <w:rPr>
                <w:rFonts w:cs="Arial"/>
                <w:b/>
                <w:color w:val="auto"/>
                <w:sz w:val="20"/>
                <w:szCs w:val="20"/>
              </w:rPr>
              <w:t>Page</w:t>
            </w:r>
          </w:p>
        </w:tc>
      </w:tr>
      <w:tr w:rsidR="006E667C" w:rsidRPr="00D42E0B" w:rsidTr="006E667C">
        <w:tc>
          <w:tcPr>
            <w:tcW w:w="4969" w:type="dxa"/>
          </w:tcPr>
          <w:p w:rsidR="006E667C" w:rsidRPr="00273C6C" w:rsidRDefault="006E667C" w:rsidP="006E667C">
            <w:pPr>
              <w:widowControl w:val="0"/>
              <w:spacing w:after="0" w:line="240" w:lineRule="auto"/>
              <w:rPr>
                <w:rFonts w:cs="Arial"/>
                <w:b/>
                <w:color w:val="auto"/>
                <w:sz w:val="20"/>
                <w:szCs w:val="20"/>
              </w:rPr>
            </w:pPr>
          </w:p>
        </w:tc>
        <w:tc>
          <w:tcPr>
            <w:tcW w:w="1439" w:type="dxa"/>
          </w:tcPr>
          <w:p w:rsidR="006E667C" w:rsidRPr="00EC7395" w:rsidRDefault="006E667C" w:rsidP="006E667C">
            <w:pPr>
              <w:widowControl w:val="0"/>
              <w:spacing w:after="0" w:line="240" w:lineRule="auto"/>
              <w:jc w:val="center"/>
              <w:rPr>
                <w:rFonts w:cs="Arial"/>
                <w:b/>
                <w:color w:val="auto"/>
                <w:sz w:val="20"/>
                <w:szCs w:val="20"/>
              </w:rPr>
            </w:pPr>
          </w:p>
        </w:tc>
      </w:tr>
      <w:tr w:rsidR="006E667C" w:rsidRPr="00D42E0B" w:rsidTr="006E667C">
        <w:tc>
          <w:tcPr>
            <w:tcW w:w="4969" w:type="dxa"/>
          </w:tcPr>
          <w:p w:rsidR="006E667C" w:rsidRPr="00273C6C" w:rsidRDefault="00315DA5" w:rsidP="00A85FEB">
            <w:pPr>
              <w:widowControl w:val="0"/>
              <w:spacing w:after="0" w:line="240" w:lineRule="auto"/>
              <w:rPr>
                <w:rFonts w:cs="Arial"/>
                <w:b/>
                <w:color w:val="auto"/>
                <w:sz w:val="20"/>
                <w:szCs w:val="20"/>
              </w:rPr>
            </w:pPr>
            <w:r w:rsidRPr="00273C6C">
              <w:rPr>
                <w:rFonts w:cs="Arial"/>
                <w:b/>
                <w:color w:val="auto"/>
                <w:sz w:val="20"/>
                <w:szCs w:val="20"/>
              </w:rPr>
              <w:t xml:space="preserve">Narrative Statement </w:t>
            </w:r>
            <w:r w:rsidR="006E667C" w:rsidRPr="00273C6C">
              <w:rPr>
                <w:rFonts w:cs="Arial"/>
                <w:b/>
                <w:color w:val="auto"/>
                <w:sz w:val="20"/>
                <w:szCs w:val="20"/>
              </w:rPr>
              <w:t>201</w:t>
            </w:r>
            <w:r w:rsidR="00A85FEB" w:rsidRPr="00273C6C">
              <w:rPr>
                <w:rFonts w:cs="Arial"/>
                <w:b/>
                <w:color w:val="auto"/>
                <w:sz w:val="20"/>
                <w:szCs w:val="20"/>
              </w:rPr>
              <w:t>5</w:t>
            </w:r>
            <w:r w:rsidR="006E667C" w:rsidRPr="00273C6C">
              <w:rPr>
                <w:rFonts w:cs="Arial"/>
                <w:b/>
                <w:color w:val="auto"/>
                <w:sz w:val="20"/>
                <w:szCs w:val="20"/>
              </w:rPr>
              <w:t>/1</w:t>
            </w:r>
            <w:r w:rsidR="00A85FEB" w:rsidRPr="00273C6C">
              <w:rPr>
                <w:rFonts w:cs="Arial"/>
                <w:b/>
                <w:color w:val="auto"/>
                <w:sz w:val="20"/>
                <w:szCs w:val="20"/>
              </w:rPr>
              <w:t>6</w:t>
            </w:r>
          </w:p>
        </w:tc>
        <w:tc>
          <w:tcPr>
            <w:tcW w:w="1439" w:type="dxa"/>
          </w:tcPr>
          <w:p w:rsidR="006E667C" w:rsidRPr="00EC7395" w:rsidRDefault="0035318D" w:rsidP="0035318D">
            <w:pPr>
              <w:widowControl w:val="0"/>
              <w:spacing w:after="0" w:line="240" w:lineRule="auto"/>
              <w:jc w:val="center"/>
              <w:rPr>
                <w:rFonts w:cs="Arial"/>
                <w:b/>
                <w:color w:val="auto"/>
                <w:sz w:val="20"/>
                <w:szCs w:val="20"/>
              </w:rPr>
            </w:pPr>
            <w:r>
              <w:rPr>
                <w:rFonts w:cs="Arial"/>
                <w:b/>
                <w:color w:val="auto"/>
                <w:sz w:val="20"/>
                <w:szCs w:val="20"/>
              </w:rPr>
              <w:t>1</w:t>
            </w:r>
          </w:p>
        </w:tc>
      </w:tr>
      <w:tr w:rsidR="006E667C" w:rsidRPr="00D42E0B" w:rsidTr="006E667C">
        <w:tc>
          <w:tcPr>
            <w:tcW w:w="4969" w:type="dxa"/>
          </w:tcPr>
          <w:p w:rsidR="006E667C" w:rsidRPr="00273C6C" w:rsidRDefault="006E667C" w:rsidP="006E667C">
            <w:pPr>
              <w:widowControl w:val="0"/>
              <w:spacing w:after="0" w:line="240" w:lineRule="auto"/>
              <w:rPr>
                <w:rFonts w:cs="Arial"/>
                <w:color w:val="auto"/>
                <w:sz w:val="20"/>
                <w:szCs w:val="20"/>
              </w:rPr>
            </w:pPr>
          </w:p>
        </w:tc>
        <w:tc>
          <w:tcPr>
            <w:tcW w:w="1439" w:type="dxa"/>
          </w:tcPr>
          <w:p w:rsidR="006E667C" w:rsidRPr="00EC7395" w:rsidRDefault="006E667C" w:rsidP="006E667C">
            <w:pPr>
              <w:widowControl w:val="0"/>
              <w:spacing w:after="0" w:line="240" w:lineRule="auto"/>
              <w:jc w:val="center"/>
              <w:rPr>
                <w:rFonts w:cs="Arial"/>
                <w:color w:val="auto"/>
                <w:sz w:val="20"/>
                <w:szCs w:val="20"/>
              </w:rPr>
            </w:pPr>
          </w:p>
        </w:tc>
      </w:tr>
      <w:tr w:rsidR="006E667C" w:rsidRPr="00A85FEB" w:rsidTr="006E667C">
        <w:tc>
          <w:tcPr>
            <w:tcW w:w="4969" w:type="dxa"/>
          </w:tcPr>
          <w:p w:rsidR="006E667C" w:rsidRPr="00273C6C" w:rsidRDefault="006E667C" w:rsidP="00A85FEB">
            <w:pPr>
              <w:widowControl w:val="0"/>
              <w:spacing w:after="0" w:line="240" w:lineRule="auto"/>
              <w:rPr>
                <w:rFonts w:cs="Arial"/>
                <w:color w:val="auto"/>
                <w:sz w:val="20"/>
                <w:szCs w:val="20"/>
              </w:rPr>
            </w:pPr>
            <w:r w:rsidRPr="00273C6C">
              <w:rPr>
                <w:rFonts w:cs="Arial"/>
                <w:b/>
                <w:color w:val="auto"/>
                <w:sz w:val="20"/>
                <w:szCs w:val="20"/>
              </w:rPr>
              <w:t>Statement of Accounts 201</w:t>
            </w:r>
            <w:r w:rsidR="00A85FEB" w:rsidRPr="00273C6C">
              <w:rPr>
                <w:rFonts w:cs="Arial"/>
                <w:b/>
                <w:color w:val="auto"/>
                <w:sz w:val="20"/>
                <w:szCs w:val="20"/>
              </w:rPr>
              <w:t>5/16</w:t>
            </w:r>
          </w:p>
        </w:tc>
        <w:tc>
          <w:tcPr>
            <w:tcW w:w="1439" w:type="dxa"/>
          </w:tcPr>
          <w:p w:rsidR="006E667C" w:rsidRPr="00EC7395" w:rsidRDefault="006E667C" w:rsidP="00DB59CD">
            <w:pPr>
              <w:widowControl w:val="0"/>
              <w:spacing w:after="0" w:line="240" w:lineRule="auto"/>
              <w:jc w:val="center"/>
              <w:rPr>
                <w:rFonts w:cs="Arial"/>
                <w:b/>
                <w:color w:val="auto"/>
                <w:sz w:val="20"/>
                <w:szCs w:val="20"/>
              </w:rPr>
            </w:pPr>
            <w:r w:rsidRPr="00EC7395">
              <w:rPr>
                <w:rFonts w:cs="Arial"/>
                <w:b/>
                <w:color w:val="auto"/>
                <w:sz w:val="20"/>
                <w:szCs w:val="20"/>
              </w:rPr>
              <w:t>1</w:t>
            </w:r>
            <w:r w:rsidR="00EC7395" w:rsidRPr="00EC7395">
              <w:rPr>
                <w:rFonts w:cs="Arial"/>
                <w:b/>
                <w:color w:val="auto"/>
                <w:sz w:val="20"/>
                <w:szCs w:val="20"/>
              </w:rPr>
              <w:t>5</w:t>
            </w:r>
          </w:p>
        </w:tc>
      </w:tr>
      <w:tr w:rsidR="006E667C" w:rsidRPr="00D42E0B" w:rsidTr="006E667C">
        <w:tc>
          <w:tcPr>
            <w:tcW w:w="4969" w:type="dxa"/>
          </w:tcPr>
          <w:p w:rsidR="006E667C" w:rsidRPr="00273C6C" w:rsidRDefault="006E667C" w:rsidP="006E667C">
            <w:pPr>
              <w:widowControl w:val="0"/>
              <w:spacing w:after="0" w:line="240" w:lineRule="auto"/>
              <w:rPr>
                <w:rFonts w:cs="Arial"/>
                <w:color w:val="auto"/>
                <w:sz w:val="20"/>
                <w:szCs w:val="20"/>
              </w:rPr>
            </w:pPr>
          </w:p>
        </w:tc>
        <w:tc>
          <w:tcPr>
            <w:tcW w:w="1439" w:type="dxa"/>
          </w:tcPr>
          <w:p w:rsidR="006E667C" w:rsidRPr="00EC7395" w:rsidRDefault="006E667C" w:rsidP="006E667C">
            <w:pPr>
              <w:widowControl w:val="0"/>
              <w:spacing w:after="0" w:line="240" w:lineRule="auto"/>
              <w:jc w:val="center"/>
              <w:rPr>
                <w:rFonts w:cs="Arial"/>
                <w:color w:val="auto"/>
                <w:sz w:val="20"/>
                <w:szCs w:val="20"/>
              </w:rPr>
            </w:pPr>
          </w:p>
        </w:tc>
      </w:tr>
      <w:tr w:rsidR="006E667C" w:rsidRPr="00A85FEB" w:rsidTr="006E667C">
        <w:tc>
          <w:tcPr>
            <w:tcW w:w="4969" w:type="dxa"/>
          </w:tcPr>
          <w:p w:rsidR="006E667C" w:rsidRPr="00273C6C" w:rsidRDefault="006E667C" w:rsidP="006E667C">
            <w:pPr>
              <w:widowControl w:val="0"/>
              <w:spacing w:after="0" w:line="240" w:lineRule="auto"/>
              <w:rPr>
                <w:rFonts w:cs="Arial"/>
                <w:color w:val="auto"/>
                <w:sz w:val="20"/>
                <w:szCs w:val="20"/>
              </w:rPr>
            </w:pPr>
            <w:r w:rsidRPr="00273C6C">
              <w:rPr>
                <w:rFonts w:cs="Arial"/>
                <w:color w:val="auto"/>
                <w:sz w:val="20"/>
                <w:szCs w:val="20"/>
              </w:rPr>
              <w:t xml:space="preserve">          - Financial Certificates</w:t>
            </w:r>
          </w:p>
        </w:tc>
        <w:tc>
          <w:tcPr>
            <w:tcW w:w="1439" w:type="dxa"/>
          </w:tcPr>
          <w:p w:rsidR="006E667C" w:rsidRPr="00EC7395" w:rsidRDefault="006E667C" w:rsidP="006E667C">
            <w:pPr>
              <w:widowControl w:val="0"/>
              <w:spacing w:after="0" w:line="240" w:lineRule="auto"/>
              <w:jc w:val="center"/>
              <w:rPr>
                <w:rFonts w:cs="Arial"/>
                <w:color w:val="auto"/>
                <w:sz w:val="20"/>
                <w:szCs w:val="20"/>
              </w:rPr>
            </w:pPr>
            <w:r w:rsidRPr="00EC7395">
              <w:rPr>
                <w:rFonts w:cs="Arial"/>
                <w:color w:val="auto"/>
                <w:sz w:val="20"/>
                <w:szCs w:val="20"/>
              </w:rPr>
              <w:t>1</w:t>
            </w:r>
            <w:r w:rsidR="00EC7395" w:rsidRPr="00EC7395">
              <w:rPr>
                <w:rFonts w:cs="Arial"/>
                <w:color w:val="auto"/>
                <w:sz w:val="20"/>
                <w:szCs w:val="20"/>
              </w:rPr>
              <w:t>7</w:t>
            </w:r>
          </w:p>
          <w:p w:rsidR="006E667C" w:rsidRPr="00EC7395" w:rsidRDefault="006E667C" w:rsidP="006E667C">
            <w:pPr>
              <w:widowControl w:val="0"/>
              <w:spacing w:after="0" w:line="240" w:lineRule="auto"/>
              <w:jc w:val="center"/>
              <w:rPr>
                <w:rFonts w:cs="Arial"/>
                <w:color w:val="auto"/>
                <w:sz w:val="20"/>
                <w:szCs w:val="20"/>
              </w:rPr>
            </w:pPr>
          </w:p>
        </w:tc>
      </w:tr>
      <w:tr w:rsidR="006E667C" w:rsidRPr="00A85FEB" w:rsidTr="006E667C">
        <w:tc>
          <w:tcPr>
            <w:tcW w:w="4969" w:type="dxa"/>
          </w:tcPr>
          <w:p w:rsidR="006E667C" w:rsidRPr="00273C6C" w:rsidRDefault="006E667C" w:rsidP="006E667C">
            <w:pPr>
              <w:widowControl w:val="0"/>
              <w:spacing w:after="0" w:line="240" w:lineRule="auto"/>
              <w:ind w:left="567"/>
              <w:rPr>
                <w:rFonts w:cs="Arial"/>
                <w:b/>
                <w:color w:val="auto"/>
                <w:sz w:val="20"/>
                <w:szCs w:val="20"/>
              </w:rPr>
            </w:pPr>
            <w:r w:rsidRPr="00273C6C">
              <w:rPr>
                <w:rFonts w:cs="Arial"/>
                <w:b/>
                <w:color w:val="auto"/>
                <w:sz w:val="20"/>
                <w:szCs w:val="20"/>
              </w:rPr>
              <w:t xml:space="preserve">Independent Auditor’s Report </w:t>
            </w:r>
          </w:p>
          <w:p w:rsidR="006E667C" w:rsidRPr="00273C6C" w:rsidRDefault="006E667C" w:rsidP="006E667C">
            <w:pPr>
              <w:widowControl w:val="0"/>
              <w:spacing w:after="0" w:line="240" w:lineRule="auto"/>
              <w:rPr>
                <w:rFonts w:cs="Arial"/>
                <w:b/>
                <w:color w:val="auto"/>
                <w:sz w:val="20"/>
                <w:szCs w:val="20"/>
              </w:rPr>
            </w:pPr>
          </w:p>
        </w:tc>
        <w:tc>
          <w:tcPr>
            <w:tcW w:w="1439" w:type="dxa"/>
          </w:tcPr>
          <w:p w:rsidR="006E667C" w:rsidRPr="00EC7395" w:rsidRDefault="00C37C2C" w:rsidP="00C37C2C">
            <w:pPr>
              <w:widowControl w:val="0"/>
              <w:spacing w:after="0" w:line="240" w:lineRule="auto"/>
              <w:jc w:val="center"/>
              <w:rPr>
                <w:rFonts w:cs="Arial"/>
                <w:b/>
                <w:color w:val="auto"/>
                <w:sz w:val="20"/>
                <w:szCs w:val="20"/>
              </w:rPr>
            </w:pPr>
            <w:r w:rsidRPr="00EC7395">
              <w:rPr>
                <w:rFonts w:cs="Arial"/>
                <w:b/>
                <w:color w:val="auto"/>
                <w:sz w:val="20"/>
                <w:szCs w:val="20"/>
              </w:rPr>
              <w:t>1</w:t>
            </w:r>
            <w:r w:rsidR="00EC7395" w:rsidRPr="00EC7395">
              <w:rPr>
                <w:rFonts w:cs="Arial"/>
                <w:b/>
                <w:color w:val="auto"/>
                <w:sz w:val="20"/>
                <w:szCs w:val="20"/>
              </w:rPr>
              <w:t>9</w:t>
            </w:r>
          </w:p>
        </w:tc>
      </w:tr>
      <w:tr w:rsidR="006E667C" w:rsidRPr="00A85FEB" w:rsidTr="006E667C">
        <w:tc>
          <w:tcPr>
            <w:tcW w:w="4969" w:type="dxa"/>
          </w:tcPr>
          <w:p w:rsidR="006E667C" w:rsidRPr="00273C6C" w:rsidRDefault="006E667C" w:rsidP="006E667C">
            <w:pPr>
              <w:widowControl w:val="0"/>
              <w:spacing w:after="0" w:line="240" w:lineRule="auto"/>
              <w:rPr>
                <w:rFonts w:cs="Arial"/>
                <w:color w:val="auto"/>
                <w:sz w:val="20"/>
                <w:szCs w:val="20"/>
              </w:rPr>
            </w:pPr>
            <w:r w:rsidRPr="00273C6C">
              <w:rPr>
                <w:rFonts w:cs="Arial"/>
                <w:color w:val="auto"/>
                <w:sz w:val="20"/>
                <w:szCs w:val="20"/>
              </w:rPr>
              <w:t xml:space="preserve">           - Core Financial Statements </w:t>
            </w:r>
          </w:p>
        </w:tc>
        <w:tc>
          <w:tcPr>
            <w:tcW w:w="1439" w:type="dxa"/>
          </w:tcPr>
          <w:p w:rsidR="006E667C" w:rsidRPr="00EC7395" w:rsidRDefault="006E667C" w:rsidP="00C37C2C">
            <w:pPr>
              <w:widowControl w:val="0"/>
              <w:spacing w:after="0" w:line="240" w:lineRule="auto"/>
              <w:jc w:val="center"/>
              <w:rPr>
                <w:rFonts w:cs="Arial"/>
                <w:color w:val="auto"/>
                <w:sz w:val="20"/>
                <w:szCs w:val="20"/>
              </w:rPr>
            </w:pPr>
            <w:r w:rsidRPr="00EC7395">
              <w:rPr>
                <w:rFonts w:cs="Arial"/>
                <w:color w:val="auto"/>
                <w:sz w:val="20"/>
                <w:szCs w:val="20"/>
              </w:rPr>
              <w:t>2</w:t>
            </w:r>
            <w:r w:rsidR="00EC7395" w:rsidRPr="00EC7395">
              <w:rPr>
                <w:rFonts w:cs="Arial"/>
                <w:color w:val="auto"/>
                <w:sz w:val="20"/>
                <w:szCs w:val="20"/>
              </w:rPr>
              <w:t>2</w:t>
            </w:r>
          </w:p>
        </w:tc>
      </w:tr>
      <w:tr w:rsidR="006E667C" w:rsidRPr="00A85FEB" w:rsidTr="006E667C">
        <w:tc>
          <w:tcPr>
            <w:tcW w:w="4969" w:type="dxa"/>
          </w:tcPr>
          <w:p w:rsidR="006E667C" w:rsidRPr="00273C6C" w:rsidRDefault="006E667C" w:rsidP="006E667C">
            <w:pPr>
              <w:widowControl w:val="0"/>
              <w:spacing w:after="0" w:line="240" w:lineRule="auto"/>
              <w:rPr>
                <w:rFonts w:cs="Arial"/>
                <w:color w:val="auto"/>
                <w:sz w:val="20"/>
                <w:szCs w:val="20"/>
              </w:rPr>
            </w:pPr>
            <w:r w:rsidRPr="00273C6C">
              <w:rPr>
                <w:rFonts w:cs="Arial"/>
                <w:color w:val="auto"/>
                <w:sz w:val="20"/>
                <w:szCs w:val="20"/>
              </w:rPr>
              <w:t xml:space="preserve">           - Notes to the Core Financial Statements</w:t>
            </w:r>
          </w:p>
        </w:tc>
        <w:tc>
          <w:tcPr>
            <w:tcW w:w="1439" w:type="dxa"/>
          </w:tcPr>
          <w:p w:rsidR="006E667C" w:rsidRPr="00EC7395" w:rsidRDefault="00C37C2C" w:rsidP="00C37C2C">
            <w:pPr>
              <w:widowControl w:val="0"/>
              <w:spacing w:after="0" w:line="240" w:lineRule="auto"/>
              <w:jc w:val="center"/>
              <w:rPr>
                <w:rFonts w:cs="Arial"/>
                <w:color w:val="auto"/>
                <w:sz w:val="20"/>
                <w:szCs w:val="20"/>
              </w:rPr>
            </w:pPr>
            <w:r w:rsidRPr="00EC7395">
              <w:rPr>
                <w:rFonts w:cs="Arial"/>
                <w:color w:val="auto"/>
                <w:sz w:val="20"/>
                <w:szCs w:val="20"/>
              </w:rPr>
              <w:t>2</w:t>
            </w:r>
            <w:r w:rsidR="00EC7395" w:rsidRPr="00EC7395">
              <w:rPr>
                <w:rFonts w:cs="Arial"/>
                <w:color w:val="auto"/>
                <w:sz w:val="20"/>
                <w:szCs w:val="20"/>
              </w:rPr>
              <w:t>9</w:t>
            </w:r>
          </w:p>
        </w:tc>
      </w:tr>
      <w:tr w:rsidR="006E667C" w:rsidRPr="00A85FEB" w:rsidTr="006E667C">
        <w:tc>
          <w:tcPr>
            <w:tcW w:w="4969" w:type="dxa"/>
          </w:tcPr>
          <w:p w:rsidR="006E667C" w:rsidRPr="00273C6C" w:rsidRDefault="006E667C" w:rsidP="006E667C">
            <w:pPr>
              <w:widowControl w:val="0"/>
              <w:spacing w:after="0" w:line="240" w:lineRule="auto"/>
              <w:rPr>
                <w:rFonts w:cs="Arial"/>
                <w:color w:val="auto"/>
                <w:sz w:val="20"/>
                <w:szCs w:val="20"/>
              </w:rPr>
            </w:pPr>
            <w:r w:rsidRPr="00273C6C">
              <w:rPr>
                <w:rFonts w:cs="Arial"/>
                <w:color w:val="auto"/>
                <w:sz w:val="20"/>
                <w:szCs w:val="20"/>
              </w:rPr>
              <w:t xml:space="preserve">           - Accounting Policies</w:t>
            </w:r>
          </w:p>
        </w:tc>
        <w:tc>
          <w:tcPr>
            <w:tcW w:w="1439" w:type="dxa"/>
          </w:tcPr>
          <w:p w:rsidR="006E667C" w:rsidRPr="00EC7395" w:rsidRDefault="00C37C2C" w:rsidP="00C67EC3">
            <w:pPr>
              <w:widowControl w:val="0"/>
              <w:spacing w:after="0" w:line="240" w:lineRule="auto"/>
              <w:jc w:val="center"/>
              <w:rPr>
                <w:rFonts w:cs="Arial"/>
                <w:color w:val="auto"/>
                <w:sz w:val="20"/>
                <w:szCs w:val="20"/>
              </w:rPr>
            </w:pPr>
            <w:r w:rsidRPr="00EC7395">
              <w:rPr>
                <w:rFonts w:cs="Arial"/>
                <w:color w:val="auto"/>
                <w:sz w:val="20"/>
                <w:szCs w:val="20"/>
              </w:rPr>
              <w:t>8</w:t>
            </w:r>
            <w:r w:rsidR="00C67EC3">
              <w:rPr>
                <w:rFonts w:cs="Arial"/>
                <w:color w:val="auto"/>
                <w:sz w:val="20"/>
                <w:szCs w:val="20"/>
              </w:rPr>
              <w:t>8</w:t>
            </w:r>
          </w:p>
        </w:tc>
      </w:tr>
      <w:tr w:rsidR="006E667C" w:rsidRPr="00A85FEB" w:rsidTr="006E667C">
        <w:tc>
          <w:tcPr>
            <w:tcW w:w="4969" w:type="dxa"/>
          </w:tcPr>
          <w:p w:rsidR="006E667C" w:rsidRPr="00273C6C" w:rsidRDefault="006E667C" w:rsidP="006E667C">
            <w:pPr>
              <w:widowControl w:val="0"/>
              <w:spacing w:after="0" w:line="240" w:lineRule="auto"/>
              <w:rPr>
                <w:rFonts w:cs="Arial"/>
                <w:color w:val="auto"/>
                <w:sz w:val="20"/>
                <w:szCs w:val="20"/>
              </w:rPr>
            </w:pPr>
            <w:r w:rsidRPr="00273C6C">
              <w:rPr>
                <w:rFonts w:cs="Arial"/>
                <w:color w:val="auto"/>
                <w:sz w:val="20"/>
                <w:szCs w:val="20"/>
              </w:rPr>
              <w:t xml:space="preserve">           - Collection Fund Summary Account</w:t>
            </w:r>
          </w:p>
        </w:tc>
        <w:tc>
          <w:tcPr>
            <w:tcW w:w="1439" w:type="dxa"/>
          </w:tcPr>
          <w:p w:rsidR="006E667C" w:rsidRPr="00EC7395" w:rsidRDefault="00EC7395" w:rsidP="00553895">
            <w:pPr>
              <w:widowControl w:val="0"/>
              <w:spacing w:after="0" w:line="240" w:lineRule="auto"/>
              <w:jc w:val="center"/>
              <w:rPr>
                <w:rFonts w:cs="Arial"/>
                <w:color w:val="auto"/>
                <w:sz w:val="20"/>
                <w:szCs w:val="20"/>
              </w:rPr>
            </w:pPr>
            <w:r w:rsidRPr="00EC7395">
              <w:rPr>
                <w:rFonts w:cs="Arial"/>
                <w:color w:val="auto"/>
                <w:sz w:val="20"/>
                <w:szCs w:val="20"/>
              </w:rPr>
              <w:t>10</w:t>
            </w:r>
            <w:r w:rsidR="00553895">
              <w:rPr>
                <w:rFonts w:cs="Arial"/>
                <w:color w:val="auto"/>
                <w:sz w:val="20"/>
                <w:szCs w:val="20"/>
              </w:rPr>
              <w:t>3</w:t>
            </w:r>
          </w:p>
        </w:tc>
      </w:tr>
      <w:tr w:rsidR="006E667C" w:rsidRPr="00A85FEB" w:rsidTr="006E667C">
        <w:tc>
          <w:tcPr>
            <w:tcW w:w="4969" w:type="dxa"/>
          </w:tcPr>
          <w:p w:rsidR="006E667C" w:rsidRPr="00273C6C" w:rsidRDefault="006E667C" w:rsidP="006E667C">
            <w:pPr>
              <w:widowControl w:val="0"/>
              <w:spacing w:after="0" w:line="240" w:lineRule="auto"/>
              <w:rPr>
                <w:rFonts w:cs="Arial"/>
                <w:color w:val="auto"/>
                <w:sz w:val="20"/>
                <w:szCs w:val="20"/>
              </w:rPr>
            </w:pPr>
          </w:p>
        </w:tc>
        <w:tc>
          <w:tcPr>
            <w:tcW w:w="1439" w:type="dxa"/>
          </w:tcPr>
          <w:p w:rsidR="006E667C" w:rsidRPr="00EC7395" w:rsidRDefault="006E667C" w:rsidP="006E667C">
            <w:pPr>
              <w:widowControl w:val="0"/>
              <w:spacing w:after="0" w:line="240" w:lineRule="auto"/>
              <w:jc w:val="center"/>
              <w:rPr>
                <w:rFonts w:cs="Arial"/>
                <w:color w:val="auto"/>
                <w:sz w:val="20"/>
                <w:szCs w:val="20"/>
              </w:rPr>
            </w:pPr>
          </w:p>
        </w:tc>
      </w:tr>
      <w:tr w:rsidR="006E667C" w:rsidRPr="00A85FEB" w:rsidTr="006E667C">
        <w:tc>
          <w:tcPr>
            <w:tcW w:w="4969" w:type="dxa"/>
          </w:tcPr>
          <w:p w:rsidR="006E667C" w:rsidRPr="00273C6C" w:rsidRDefault="006E667C" w:rsidP="00A85FEB">
            <w:pPr>
              <w:widowControl w:val="0"/>
              <w:spacing w:after="0" w:line="240" w:lineRule="auto"/>
              <w:rPr>
                <w:rFonts w:cs="Arial"/>
                <w:b/>
                <w:color w:val="auto"/>
                <w:sz w:val="20"/>
                <w:szCs w:val="20"/>
              </w:rPr>
            </w:pPr>
            <w:r w:rsidRPr="00273C6C">
              <w:rPr>
                <w:rFonts w:cs="Arial"/>
                <w:b/>
                <w:color w:val="auto"/>
                <w:sz w:val="20"/>
                <w:szCs w:val="20"/>
              </w:rPr>
              <w:t>Annual Governance Statement 2015</w:t>
            </w:r>
            <w:r w:rsidR="00A85FEB" w:rsidRPr="00273C6C">
              <w:rPr>
                <w:rFonts w:cs="Arial"/>
                <w:b/>
                <w:color w:val="auto"/>
                <w:sz w:val="20"/>
                <w:szCs w:val="20"/>
              </w:rPr>
              <w:t>/16</w:t>
            </w:r>
          </w:p>
        </w:tc>
        <w:tc>
          <w:tcPr>
            <w:tcW w:w="1439" w:type="dxa"/>
          </w:tcPr>
          <w:p w:rsidR="006E667C" w:rsidRPr="00EC7395" w:rsidRDefault="00EC7395" w:rsidP="00382CCB">
            <w:pPr>
              <w:widowControl w:val="0"/>
              <w:spacing w:after="0" w:line="240" w:lineRule="auto"/>
              <w:jc w:val="center"/>
              <w:rPr>
                <w:rFonts w:cs="Arial"/>
                <w:b/>
                <w:color w:val="auto"/>
                <w:sz w:val="20"/>
                <w:szCs w:val="20"/>
              </w:rPr>
            </w:pPr>
            <w:r w:rsidRPr="00EC7395">
              <w:rPr>
                <w:rFonts w:cs="Arial"/>
                <w:b/>
                <w:color w:val="auto"/>
                <w:sz w:val="20"/>
                <w:szCs w:val="20"/>
              </w:rPr>
              <w:t>10</w:t>
            </w:r>
            <w:r w:rsidR="00382CCB">
              <w:rPr>
                <w:rFonts w:cs="Arial"/>
                <w:b/>
                <w:color w:val="auto"/>
                <w:sz w:val="20"/>
                <w:szCs w:val="20"/>
              </w:rPr>
              <w:t>6</w:t>
            </w:r>
          </w:p>
        </w:tc>
      </w:tr>
      <w:tr w:rsidR="006E667C" w:rsidRPr="00A85FEB" w:rsidTr="006E667C">
        <w:tc>
          <w:tcPr>
            <w:tcW w:w="4969" w:type="dxa"/>
          </w:tcPr>
          <w:p w:rsidR="006E667C" w:rsidRPr="00273C6C" w:rsidRDefault="006E667C" w:rsidP="006E667C">
            <w:pPr>
              <w:widowControl w:val="0"/>
              <w:spacing w:after="0" w:line="240" w:lineRule="auto"/>
              <w:rPr>
                <w:rFonts w:cs="Arial"/>
                <w:b/>
                <w:color w:val="auto"/>
                <w:sz w:val="20"/>
                <w:szCs w:val="20"/>
              </w:rPr>
            </w:pPr>
          </w:p>
        </w:tc>
        <w:tc>
          <w:tcPr>
            <w:tcW w:w="1439" w:type="dxa"/>
          </w:tcPr>
          <w:p w:rsidR="006E667C" w:rsidRPr="00EC7395" w:rsidRDefault="006E667C" w:rsidP="006E667C">
            <w:pPr>
              <w:widowControl w:val="0"/>
              <w:spacing w:after="0" w:line="240" w:lineRule="auto"/>
              <w:jc w:val="center"/>
              <w:rPr>
                <w:rFonts w:cs="Arial"/>
                <w:b/>
                <w:color w:val="auto"/>
                <w:sz w:val="20"/>
                <w:szCs w:val="20"/>
              </w:rPr>
            </w:pPr>
          </w:p>
        </w:tc>
      </w:tr>
      <w:tr w:rsidR="006E667C" w:rsidRPr="00A85FEB" w:rsidTr="006E667C">
        <w:tc>
          <w:tcPr>
            <w:tcW w:w="4969" w:type="dxa"/>
          </w:tcPr>
          <w:p w:rsidR="006E667C" w:rsidRPr="00273C6C" w:rsidRDefault="006E667C" w:rsidP="006E667C">
            <w:pPr>
              <w:widowControl w:val="0"/>
              <w:spacing w:after="0" w:line="240" w:lineRule="auto"/>
              <w:rPr>
                <w:rFonts w:cs="Arial"/>
                <w:b/>
                <w:color w:val="auto"/>
                <w:sz w:val="20"/>
                <w:szCs w:val="20"/>
              </w:rPr>
            </w:pPr>
            <w:r w:rsidRPr="00273C6C">
              <w:rPr>
                <w:rFonts w:cs="Arial"/>
                <w:b/>
                <w:color w:val="auto"/>
                <w:sz w:val="20"/>
                <w:szCs w:val="20"/>
              </w:rPr>
              <w:t>Glossary</w:t>
            </w:r>
          </w:p>
        </w:tc>
        <w:tc>
          <w:tcPr>
            <w:tcW w:w="1439" w:type="dxa"/>
          </w:tcPr>
          <w:p w:rsidR="006E667C" w:rsidRPr="00EC7395" w:rsidRDefault="00EC7395" w:rsidP="00A76841">
            <w:pPr>
              <w:widowControl w:val="0"/>
              <w:spacing w:after="0" w:line="240" w:lineRule="auto"/>
              <w:jc w:val="center"/>
              <w:rPr>
                <w:rFonts w:cs="Arial"/>
                <w:b/>
                <w:color w:val="auto"/>
                <w:sz w:val="20"/>
                <w:szCs w:val="20"/>
              </w:rPr>
            </w:pPr>
            <w:r w:rsidRPr="00EC7395">
              <w:rPr>
                <w:rFonts w:cs="Arial"/>
                <w:b/>
                <w:color w:val="auto"/>
                <w:sz w:val="20"/>
                <w:szCs w:val="20"/>
              </w:rPr>
              <w:t>1</w:t>
            </w:r>
            <w:r w:rsidR="00A76841">
              <w:rPr>
                <w:rFonts w:cs="Arial"/>
                <w:b/>
                <w:color w:val="auto"/>
                <w:sz w:val="20"/>
                <w:szCs w:val="20"/>
              </w:rPr>
              <w:t>21</w:t>
            </w:r>
          </w:p>
        </w:tc>
      </w:tr>
      <w:tr w:rsidR="006E667C" w:rsidRPr="00D42E0B" w:rsidTr="006E667C">
        <w:tc>
          <w:tcPr>
            <w:tcW w:w="4969" w:type="dxa"/>
          </w:tcPr>
          <w:p w:rsidR="006E667C" w:rsidRPr="00273C6C" w:rsidRDefault="006E667C" w:rsidP="006E667C">
            <w:pPr>
              <w:widowControl w:val="0"/>
              <w:spacing w:after="0" w:line="240" w:lineRule="auto"/>
              <w:rPr>
                <w:rFonts w:cs="Arial"/>
                <w:b/>
                <w:color w:val="auto"/>
                <w:sz w:val="20"/>
                <w:szCs w:val="20"/>
              </w:rPr>
            </w:pPr>
          </w:p>
        </w:tc>
        <w:tc>
          <w:tcPr>
            <w:tcW w:w="1439" w:type="dxa"/>
          </w:tcPr>
          <w:p w:rsidR="006E667C" w:rsidRPr="00EC7395" w:rsidRDefault="006E667C" w:rsidP="006E667C">
            <w:pPr>
              <w:widowControl w:val="0"/>
              <w:spacing w:after="0" w:line="240" w:lineRule="auto"/>
              <w:jc w:val="center"/>
              <w:rPr>
                <w:rFonts w:cs="Arial"/>
                <w:b/>
                <w:color w:val="auto"/>
                <w:sz w:val="20"/>
                <w:szCs w:val="20"/>
              </w:rPr>
            </w:pPr>
          </w:p>
        </w:tc>
      </w:tr>
    </w:tbl>
    <w:p w:rsidR="00E51139" w:rsidRPr="00D42E0B" w:rsidRDefault="00E51139" w:rsidP="00B5412B">
      <w:pPr>
        <w:widowControl w:val="0"/>
        <w:jc w:val="center"/>
        <w:rPr>
          <w:rFonts w:cs="Arial"/>
          <w:b/>
          <w:color w:val="548DD4" w:themeColor="text2" w:themeTint="99"/>
          <w:sz w:val="28"/>
          <w:szCs w:val="28"/>
        </w:rPr>
      </w:pPr>
    </w:p>
    <w:p w:rsidR="00E51139" w:rsidRPr="00D42E0B" w:rsidRDefault="00E51139" w:rsidP="00B5412B">
      <w:pPr>
        <w:widowControl w:val="0"/>
        <w:jc w:val="center"/>
        <w:rPr>
          <w:rFonts w:cs="Arial"/>
          <w:b/>
          <w:color w:val="548DD4" w:themeColor="text2" w:themeTint="99"/>
          <w:sz w:val="28"/>
          <w:szCs w:val="28"/>
        </w:rPr>
      </w:pPr>
    </w:p>
    <w:p w:rsidR="00E51139" w:rsidRPr="00D42E0B" w:rsidRDefault="00E51139" w:rsidP="00B5412B">
      <w:pPr>
        <w:widowControl w:val="0"/>
        <w:jc w:val="center"/>
        <w:rPr>
          <w:rFonts w:cs="Arial"/>
          <w:b/>
          <w:color w:val="548DD4" w:themeColor="text2" w:themeTint="99"/>
          <w:sz w:val="28"/>
          <w:szCs w:val="28"/>
        </w:rPr>
      </w:pPr>
    </w:p>
    <w:p w:rsidR="00E51139" w:rsidRPr="00D42E0B" w:rsidRDefault="00E51139" w:rsidP="003C5E34">
      <w:pPr>
        <w:widowControl w:val="0"/>
        <w:rPr>
          <w:rFonts w:cs="Arial"/>
          <w:b/>
          <w:color w:val="548DD4" w:themeColor="text2" w:themeTint="99"/>
          <w:sz w:val="24"/>
          <w:szCs w:val="24"/>
        </w:rPr>
      </w:pPr>
    </w:p>
    <w:p w:rsidR="00E51139" w:rsidRPr="00D42E0B" w:rsidRDefault="00E51139" w:rsidP="003C5E34">
      <w:pPr>
        <w:widowControl w:val="0"/>
        <w:rPr>
          <w:rFonts w:cs="Arial"/>
          <w:b/>
          <w:color w:val="548DD4" w:themeColor="text2" w:themeTint="99"/>
          <w:sz w:val="20"/>
          <w:szCs w:val="20"/>
        </w:rPr>
      </w:pPr>
    </w:p>
    <w:p w:rsidR="00E51139" w:rsidRPr="00D42E0B" w:rsidRDefault="00E51139" w:rsidP="003C5E34">
      <w:pPr>
        <w:widowControl w:val="0"/>
        <w:rPr>
          <w:rFonts w:cs="Arial"/>
          <w:b/>
          <w:color w:val="548DD4" w:themeColor="text2" w:themeTint="99"/>
          <w:sz w:val="20"/>
          <w:szCs w:val="20"/>
        </w:rPr>
      </w:pPr>
    </w:p>
    <w:p w:rsidR="00E51139" w:rsidRPr="00D42E0B" w:rsidRDefault="00E51139" w:rsidP="003C5E34">
      <w:pPr>
        <w:widowControl w:val="0"/>
        <w:rPr>
          <w:rFonts w:cs="Arial"/>
          <w:b/>
          <w:color w:val="548DD4" w:themeColor="text2" w:themeTint="99"/>
          <w:sz w:val="20"/>
          <w:szCs w:val="20"/>
        </w:rPr>
      </w:pPr>
    </w:p>
    <w:p w:rsidR="00E51139" w:rsidRPr="00D42E0B" w:rsidRDefault="00E51139" w:rsidP="003C5E34">
      <w:pPr>
        <w:widowControl w:val="0"/>
        <w:rPr>
          <w:rFonts w:cs="Arial"/>
          <w:b/>
          <w:color w:val="548DD4" w:themeColor="text2" w:themeTint="99"/>
          <w:sz w:val="20"/>
          <w:szCs w:val="20"/>
        </w:rPr>
      </w:pPr>
    </w:p>
    <w:p w:rsidR="00E51139" w:rsidRPr="00D42E0B" w:rsidRDefault="00E51139" w:rsidP="003C5E34">
      <w:pPr>
        <w:widowControl w:val="0"/>
        <w:rPr>
          <w:rFonts w:cs="Arial"/>
          <w:b/>
          <w:color w:val="548DD4" w:themeColor="text2" w:themeTint="99"/>
          <w:sz w:val="20"/>
          <w:szCs w:val="20"/>
        </w:rPr>
      </w:pPr>
    </w:p>
    <w:p w:rsidR="00E51139" w:rsidRPr="00D42E0B" w:rsidRDefault="00E51139" w:rsidP="003C5E34">
      <w:pPr>
        <w:widowControl w:val="0"/>
        <w:rPr>
          <w:rFonts w:cs="Arial"/>
          <w:b/>
          <w:color w:val="548DD4" w:themeColor="text2" w:themeTint="99"/>
          <w:sz w:val="20"/>
          <w:szCs w:val="20"/>
        </w:rPr>
      </w:pPr>
    </w:p>
    <w:p w:rsidR="005D0B95" w:rsidRPr="00D42E0B" w:rsidRDefault="005D0B95" w:rsidP="00F31A9D">
      <w:pPr>
        <w:pStyle w:val="BodyText"/>
        <w:widowControl w:val="0"/>
        <w:rPr>
          <w:rFonts w:cs="Arial"/>
          <w:b/>
          <w:color w:val="548DD4" w:themeColor="text2" w:themeTint="99"/>
          <w:sz w:val="20"/>
          <w:szCs w:val="20"/>
        </w:rPr>
        <w:sectPr w:rsidR="005D0B95" w:rsidRPr="00D42E0B" w:rsidSect="009E5D4C">
          <w:headerReference w:type="default" r:id="rId10"/>
          <w:footerReference w:type="even" r:id="rId11"/>
          <w:footerReference w:type="default" r:id="rId12"/>
          <w:headerReference w:type="first" r:id="rId13"/>
          <w:footerReference w:type="first" r:id="rId14"/>
          <w:pgSz w:w="11906" w:h="16838" w:code="9"/>
          <w:pgMar w:top="1440" w:right="1440" w:bottom="1440" w:left="1440" w:header="544" w:footer="544" w:gutter="0"/>
          <w:pgNumType w:start="0"/>
          <w:cols w:space="708"/>
          <w:titlePg/>
          <w:docGrid w:linePitch="360"/>
        </w:sectPr>
      </w:pPr>
    </w:p>
    <w:p w:rsidR="00E51139" w:rsidRPr="00C345F3" w:rsidRDefault="00C345F3" w:rsidP="00F31A9D">
      <w:pPr>
        <w:pStyle w:val="BodyText"/>
        <w:widowControl w:val="0"/>
        <w:rPr>
          <w:rFonts w:cs="Arial"/>
          <w:b/>
          <w:color w:val="auto"/>
          <w:sz w:val="20"/>
          <w:szCs w:val="20"/>
        </w:rPr>
      </w:pPr>
      <w:r w:rsidRPr="00C345F3">
        <w:rPr>
          <w:rFonts w:cs="Arial"/>
          <w:b/>
          <w:color w:val="auto"/>
          <w:sz w:val="20"/>
          <w:szCs w:val="20"/>
        </w:rPr>
        <w:lastRenderedPageBreak/>
        <w:t xml:space="preserve">NARRATIVE </w:t>
      </w:r>
      <w:r>
        <w:rPr>
          <w:rFonts w:cs="Arial"/>
          <w:b/>
          <w:color w:val="auto"/>
          <w:sz w:val="20"/>
          <w:szCs w:val="20"/>
        </w:rPr>
        <w:t>STATEMENT</w:t>
      </w:r>
      <w:r w:rsidR="00E51139" w:rsidRPr="00C345F3">
        <w:rPr>
          <w:rFonts w:cs="Arial"/>
          <w:b/>
          <w:color w:val="auto"/>
          <w:sz w:val="20"/>
          <w:szCs w:val="20"/>
        </w:rPr>
        <w:t xml:space="preserve"> FOR THE </w:t>
      </w:r>
      <w:r w:rsidR="00CF7B7A" w:rsidRPr="00C345F3">
        <w:rPr>
          <w:rFonts w:cs="Arial"/>
          <w:b/>
          <w:color w:val="auto"/>
          <w:sz w:val="20"/>
          <w:szCs w:val="20"/>
        </w:rPr>
        <w:t>201</w:t>
      </w:r>
      <w:r w:rsidRPr="00C345F3">
        <w:rPr>
          <w:rFonts w:cs="Arial"/>
          <w:b/>
          <w:color w:val="auto"/>
          <w:sz w:val="20"/>
          <w:szCs w:val="20"/>
        </w:rPr>
        <w:t>5</w:t>
      </w:r>
      <w:r w:rsidR="00CF7B7A" w:rsidRPr="00C345F3">
        <w:rPr>
          <w:rFonts w:cs="Arial"/>
          <w:b/>
          <w:color w:val="auto"/>
          <w:sz w:val="20"/>
          <w:szCs w:val="20"/>
        </w:rPr>
        <w:t>/1</w:t>
      </w:r>
      <w:r w:rsidRPr="00C345F3">
        <w:rPr>
          <w:rFonts w:cs="Arial"/>
          <w:b/>
          <w:color w:val="auto"/>
          <w:sz w:val="20"/>
          <w:szCs w:val="20"/>
        </w:rPr>
        <w:t>6</w:t>
      </w:r>
      <w:r w:rsidR="00E51139" w:rsidRPr="00C345F3">
        <w:rPr>
          <w:rFonts w:cs="Arial"/>
          <w:b/>
          <w:color w:val="auto"/>
          <w:sz w:val="20"/>
          <w:szCs w:val="20"/>
        </w:rPr>
        <w:t xml:space="preserve"> FINANCIAL YEAR</w:t>
      </w:r>
    </w:p>
    <w:p w:rsidR="00E51139" w:rsidRPr="00C345F3" w:rsidRDefault="00E51139" w:rsidP="00F31A9D">
      <w:pPr>
        <w:pStyle w:val="BodyText"/>
        <w:widowControl w:val="0"/>
        <w:rPr>
          <w:rFonts w:cs="Arial"/>
          <w:color w:val="auto"/>
          <w:sz w:val="20"/>
          <w:szCs w:val="20"/>
          <w:u w:val="single"/>
        </w:rPr>
      </w:pPr>
      <w:r w:rsidRPr="00C345F3">
        <w:rPr>
          <w:rFonts w:cs="Arial"/>
          <w:color w:val="auto"/>
          <w:sz w:val="20"/>
          <w:szCs w:val="20"/>
          <w:u w:val="single"/>
        </w:rPr>
        <w:t>Welcome</w:t>
      </w:r>
    </w:p>
    <w:p w:rsidR="00E51139" w:rsidRPr="00C345F3" w:rsidRDefault="00E51139" w:rsidP="00F31A9D">
      <w:pPr>
        <w:pStyle w:val="BodyText"/>
        <w:widowControl w:val="0"/>
        <w:rPr>
          <w:rFonts w:cs="Arial"/>
          <w:color w:val="auto"/>
          <w:sz w:val="20"/>
          <w:szCs w:val="20"/>
        </w:rPr>
      </w:pPr>
      <w:r w:rsidRPr="00C345F3">
        <w:rPr>
          <w:rFonts w:cs="Arial"/>
          <w:color w:val="auto"/>
          <w:sz w:val="20"/>
          <w:szCs w:val="20"/>
        </w:rPr>
        <w:t>Welcome to Torbay Council’s Statement of Accounts (“The Accounts”) for the 201</w:t>
      </w:r>
      <w:r w:rsidR="00C345F3" w:rsidRPr="00C345F3">
        <w:rPr>
          <w:rFonts w:cs="Arial"/>
          <w:color w:val="auto"/>
          <w:sz w:val="20"/>
          <w:szCs w:val="20"/>
        </w:rPr>
        <w:t>5</w:t>
      </w:r>
      <w:r w:rsidR="00595944" w:rsidRPr="00C345F3">
        <w:rPr>
          <w:rFonts w:cs="Arial"/>
          <w:color w:val="auto"/>
          <w:sz w:val="20"/>
          <w:szCs w:val="20"/>
        </w:rPr>
        <w:t>/1</w:t>
      </w:r>
      <w:r w:rsidR="00C345F3" w:rsidRPr="00C345F3">
        <w:rPr>
          <w:rFonts w:cs="Arial"/>
          <w:color w:val="auto"/>
          <w:sz w:val="20"/>
          <w:szCs w:val="20"/>
        </w:rPr>
        <w:t>6</w:t>
      </w:r>
      <w:r w:rsidRPr="00C345F3">
        <w:rPr>
          <w:rFonts w:cs="Arial"/>
          <w:color w:val="auto"/>
          <w:sz w:val="20"/>
          <w:szCs w:val="20"/>
        </w:rPr>
        <w:t xml:space="preserve"> financial year ending 31</w:t>
      </w:r>
      <w:r w:rsidRPr="00C345F3">
        <w:rPr>
          <w:rFonts w:cs="Arial"/>
          <w:color w:val="auto"/>
          <w:sz w:val="20"/>
          <w:szCs w:val="20"/>
          <w:vertAlign w:val="superscript"/>
        </w:rPr>
        <w:t>st</w:t>
      </w:r>
      <w:r w:rsidRPr="00C345F3">
        <w:rPr>
          <w:rFonts w:cs="Arial"/>
          <w:color w:val="auto"/>
          <w:sz w:val="20"/>
          <w:szCs w:val="20"/>
        </w:rPr>
        <w:t xml:space="preserve"> March 201</w:t>
      </w:r>
      <w:r w:rsidR="00C345F3" w:rsidRPr="00C345F3">
        <w:rPr>
          <w:rFonts w:cs="Arial"/>
          <w:color w:val="auto"/>
          <w:sz w:val="20"/>
          <w:szCs w:val="20"/>
        </w:rPr>
        <w:t>6</w:t>
      </w:r>
      <w:r w:rsidRPr="00C345F3">
        <w:rPr>
          <w:rFonts w:cs="Arial"/>
          <w:color w:val="auto"/>
          <w:sz w:val="20"/>
          <w:szCs w:val="20"/>
        </w:rPr>
        <w:t>. The Accounts are compiled in accordance with relevant legislation and guidance – primarily International Financial Reporting Standards (IFRS) and the CIPFA Accounting Code of Practice (“the Code”).</w:t>
      </w:r>
    </w:p>
    <w:p w:rsidR="00E51139" w:rsidRDefault="00E51139" w:rsidP="00F31A9D">
      <w:pPr>
        <w:pStyle w:val="BodyText"/>
        <w:widowControl w:val="0"/>
        <w:rPr>
          <w:rFonts w:cs="Arial"/>
          <w:color w:val="auto"/>
          <w:sz w:val="20"/>
          <w:szCs w:val="20"/>
        </w:rPr>
      </w:pPr>
      <w:r w:rsidRPr="00C345F3">
        <w:rPr>
          <w:rFonts w:cs="Arial"/>
          <w:color w:val="auto"/>
          <w:sz w:val="20"/>
          <w:szCs w:val="20"/>
        </w:rPr>
        <w:t xml:space="preserve">The Accounts show a “true and fair” financial picture of the Council’s total income and expenditure in the </w:t>
      </w:r>
      <w:r w:rsidR="00595944" w:rsidRPr="00C345F3">
        <w:rPr>
          <w:rFonts w:cs="Arial"/>
          <w:color w:val="auto"/>
          <w:sz w:val="20"/>
          <w:szCs w:val="20"/>
        </w:rPr>
        <w:t>201</w:t>
      </w:r>
      <w:r w:rsidR="00C345F3" w:rsidRPr="00C345F3">
        <w:rPr>
          <w:rFonts w:cs="Arial"/>
          <w:color w:val="auto"/>
          <w:sz w:val="20"/>
          <w:szCs w:val="20"/>
        </w:rPr>
        <w:t>5</w:t>
      </w:r>
      <w:r w:rsidR="00595944" w:rsidRPr="00C345F3">
        <w:rPr>
          <w:rFonts w:cs="Arial"/>
          <w:color w:val="auto"/>
          <w:sz w:val="20"/>
          <w:szCs w:val="20"/>
        </w:rPr>
        <w:t>/1</w:t>
      </w:r>
      <w:r w:rsidR="00C345F3" w:rsidRPr="00C345F3">
        <w:rPr>
          <w:rFonts w:cs="Arial"/>
          <w:color w:val="auto"/>
          <w:sz w:val="20"/>
          <w:szCs w:val="20"/>
        </w:rPr>
        <w:t>6</w:t>
      </w:r>
      <w:r w:rsidRPr="00C345F3">
        <w:rPr>
          <w:rFonts w:cs="Arial"/>
          <w:color w:val="auto"/>
          <w:sz w:val="20"/>
          <w:szCs w:val="20"/>
        </w:rPr>
        <w:t xml:space="preserve"> financial year and its balance sheet as at 31st March 201</w:t>
      </w:r>
      <w:r w:rsidR="00C345F3" w:rsidRPr="00C345F3">
        <w:rPr>
          <w:rFonts w:cs="Arial"/>
          <w:color w:val="auto"/>
          <w:sz w:val="20"/>
          <w:szCs w:val="20"/>
        </w:rPr>
        <w:t>6</w:t>
      </w:r>
      <w:r w:rsidRPr="00C345F3">
        <w:rPr>
          <w:rFonts w:cs="Arial"/>
          <w:color w:val="auto"/>
          <w:sz w:val="20"/>
          <w:szCs w:val="20"/>
        </w:rPr>
        <w:t>, detailing all the Council’s assets and liabilities with supporting notes to add further explanation.</w:t>
      </w:r>
      <w:r w:rsidR="00800A6B" w:rsidRPr="00C345F3">
        <w:rPr>
          <w:rFonts w:cs="Arial"/>
          <w:color w:val="auto"/>
          <w:sz w:val="20"/>
          <w:szCs w:val="20"/>
        </w:rPr>
        <w:t xml:space="preserve"> </w:t>
      </w:r>
      <w:r w:rsidRPr="00C345F3">
        <w:rPr>
          <w:rFonts w:cs="Arial"/>
          <w:color w:val="auto"/>
          <w:sz w:val="20"/>
          <w:szCs w:val="20"/>
        </w:rPr>
        <w:t xml:space="preserve">The Accounts are prefaced by this </w:t>
      </w:r>
      <w:r w:rsidR="00B44181">
        <w:rPr>
          <w:rFonts w:cs="Arial"/>
          <w:color w:val="auto"/>
          <w:sz w:val="20"/>
          <w:szCs w:val="20"/>
        </w:rPr>
        <w:t xml:space="preserve">Narrative </w:t>
      </w:r>
      <w:r w:rsidR="007E33E1">
        <w:rPr>
          <w:rFonts w:cs="Arial"/>
          <w:color w:val="auto"/>
          <w:sz w:val="20"/>
          <w:szCs w:val="20"/>
        </w:rPr>
        <w:t>Statement</w:t>
      </w:r>
      <w:r w:rsidR="00B44181">
        <w:rPr>
          <w:rFonts w:cs="Arial"/>
          <w:color w:val="auto"/>
          <w:sz w:val="20"/>
          <w:szCs w:val="20"/>
        </w:rPr>
        <w:t xml:space="preserve"> </w:t>
      </w:r>
      <w:r w:rsidRPr="00C345F3">
        <w:rPr>
          <w:rFonts w:cs="Arial"/>
          <w:color w:val="auto"/>
          <w:sz w:val="20"/>
          <w:szCs w:val="20"/>
        </w:rPr>
        <w:t xml:space="preserve">which aims to provide </w:t>
      </w:r>
      <w:r w:rsidR="00B44181">
        <w:rPr>
          <w:rFonts w:cs="Arial"/>
          <w:color w:val="auto"/>
          <w:sz w:val="20"/>
          <w:szCs w:val="20"/>
        </w:rPr>
        <w:t>interested parties an easily understandable guide to the most significant matters reported in the accounts.</w:t>
      </w:r>
    </w:p>
    <w:p w:rsidR="00522D80" w:rsidRDefault="00522D80" w:rsidP="00F31A9D">
      <w:pPr>
        <w:pStyle w:val="BodyText"/>
        <w:widowControl w:val="0"/>
        <w:rPr>
          <w:rFonts w:cs="Arial"/>
          <w:color w:val="auto"/>
          <w:sz w:val="20"/>
          <w:szCs w:val="20"/>
        </w:rPr>
      </w:pPr>
      <w:r>
        <w:rPr>
          <w:rFonts w:cs="Arial"/>
          <w:color w:val="auto"/>
          <w:sz w:val="20"/>
          <w:szCs w:val="20"/>
        </w:rPr>
        <w:t xml:space="preserve">The Council’s key strategy that supports </w:t>
      </w:r>
      <w:r w:rsidR="007E33E1">
        <w:rPr>
          <w:rFonts w:cs="Arial"/>
          <w:color w:val="auto"/>
          <w:sz w:val="20"/>
          <w:szCs w:val="20"/>
        </w:rPr>
        <w:t>the</w:t>
      </w:r>
      <w:r>
        <w:rPr>
          <w:rFonts w:cs="Arial"/>
          <w:color w:val="auto"/>
          <w:sz w:val="20"/>
          <w:szCs w:val="20"/>
        </w:rPr>
        <w:t xml:space="preserve"> </w:t>
      </w:r>
      <w:r w:rsidR="007E33E1">
        <w:rPr>
          <w:rFonts w:cs="Arial"/>
          <w:color w:val="auto"/>
          <w:sz w:val="20"/>
          <w:szCs w:val="20"/>
        </w:rPr>
        <w:t>management</w:t>
      </w:r>
      <w:r>
        <w:rPr>
          <w:rFonts w:cs="Arial"/>
          <w:color w:val="auto"/>
          <w:sz w:val="20"/>
          <w:szCs w:val="20"/>
        </w:rPr>
        <w:t xml:space="preserve"> of its </w:t>
      </w:r>
      <w:r w:rsidR="007E33E1">
        <w:rPr>
          <w:rFonts w:cs="Arial"/>
          <w:color w:val="auto"/>
          <w:sz w:val="20"/>
          <w:szCs w:val="20"/>
        </w:rPr>
        <w:t>activities</w:t>
      </w:r>
      <w:r>
        <w:rPr>
          <w:rFonts w:cs="Arial"/>
          <w:color w:val="auto"/>
          <w:sz w:val="20"/>
          <w:szCs w:val="20"/>
        </w:rPr>
        <w:t xml:space="preserve"> is the Corporate Plan, which is supported (from May 2016) by Corporate Delivery Plans. These are </w:t>
      </w:r>
      <w:r w:rsidR="007E33E1">
        <w:rPr>
          <w:rFonts w:cs="Arial"/>
          <w:color w:val="auto"/>
          <w:sz w:val="20"/>
          <w:szCs w:val="20"/>
        </w:rPr>
        <w:t>available</w:t>
      </w:r>
      <w:r>
        <w:rPr>
          <w:rFonts w:cs="Arial"/>
          <w:color w:val="auto"/>
          <w:sz w:val="20"/>
          <w:szCs w:val="20"/>
        </w:rPr>
        <w:t xml:space="preserve"> from the </w:t>
      </w:r>
      <w:r w:rsidR="007E33E1">
        <w:rPr>
          <w:rFonts w:cs="Arial"/>
          <w:color w:val="auto"/>
          <w:sz w:val="20"/>
          <w:szCs w:val="20"/>
        </w:rPr>
        <w:t>Council</w:t>
      </w:r>
      <w:r>
        <w:rPr>
          <w:rFonts w:cs="Arial"/>
          <w:color w:val="auto"/>
          <w:sz w:val="20"/>
          <w:szCs w:val="20"/>
        </w:rPr>
        <w:t xml:space="preserve"> website:</w:t>
      </w:r>
    </w:p>
    <w:p w:rsidR="00522D80" w:rsidRDefault="00C555E7" w:rsidP="00F31A9D">
      <w:pPr>
        <w:pStyle w:val="BodyText"/>
        <w:widowControl w:val="0"/>
        <w:rPr>
          <w:rFonts w:cs="Arial"/>
          <w:color w:val="auto"/>
          <w:sz w:val="20"/>
          <w:szCs w:val="20"/>
        </w:rPr>
      </w:pPr>
      <w:hyperlink r:id="rId15" w:history="1">
        <w:r w:rsidR="00522D80" w:rsidRPr="007259C9">
          <w:rPr>
            <w:rStyle w:val="Hyperlink"/>
            <w:rFonts w:cs="Arial"/>
            <w:sz w:val="20"/>
            <w:szCs w:val="20"/>
          </w:rPr>
          <w:t>http://www.torbay.gov.uk/index/council/performance/corporateplan</w:t>
        </w:r>
      </w:hyperlink>
    </w:p>
    <w:p w:rsidR="00E51139" w:rsidRPr="007107B4" w:rsidRDefault="00094869" w:rsidP="00F31A9D">
      <w:pPr>
        <w:pStyle w:val="BodyText"/>
        <w:widowControl w:val="0"/>
        <w:rPr>
          <w:rFonts w:cs="Arial"/>
          <w:color w:val="auto"/>
          <w:sz w:val="20"/>
          <w:szCs w:val="20"/>
          <w:u w:val="single"/>
        </w:rPr>
      </w:pPr>
      <w:r w:rsidRPr="007107B4">
        <w:rPr>
          <w:rFonts w:cs="Arial"/>
          <w:color w:val="auto"/>
          <w:sz w:val="20"/>
          <w:szCs w:val="20"/>
          <w:u w:val="single"/>
        </w:rPr>
        <w:t xml:space="preserve"> </w:t>
      </w:r>
      <w:r w:rsidR="00DC1285" w:rsidRPr="007107B4">
        <w:rPr>
          <w:rFonts w:cs="Arial"/>
          <w:color w:val="auto"/>
          <w:sz w:val="20"/>
          <w:szCs w:val="20"/>
          <w:u w:val="single"/>
        </w:rPr>
        <w:t>“</w:t>
      </w:r>
      <w:r w:rsidR="00E51139" w:rsidRPr="007107B4">
        <w:rPr>
          <w:rFonts w:cs="Arial"/>
          <w:color w:val="auto"/>
          <w:sz w:val="20"/>
          <w:szCs w:val="20"/>
          <w:u w:val="single"/>
        </w:rPr>
        <w:t>Pen Picture</w:t>
      </w:r>
      <w:r w:rsidR="00DC1285" w:rsidRPr="007107B4">
        <w:rPr>
          <w:rFonts w:cs="Arial"/>
          <w:color w:val="auto"/>
          <w:sz w:val="20"/>
          <w:szCs w:val="20"/>
          <w:u w:val="single"/>
        </w:rPr>
        <w:t>”</w:t>
      </w:r>
      <w:r w:rsidR="00E51139" w:rsidRPr="007107B4">
        <w:rPr>
          <w:rFonts w:cs="Arial"/>
          <w:color w:val="auto"/>
          <w:sz w:val="20"/>
          <w:szCs w:val="20"/>
          <w:u w:val="single"/>
        </w:rPr>
        <w:t xml:space="preserve"> of Torbay</w:t>
      </w:r>
    </w:p>
    <w:p w:rsidR="00E51139" w:rsidRPr="007107B4" w:rsidRDefault="00E51139" w:rsidP="00F31A9D">
      <w:pPr>
        <w:pStyle w:val="BodyText"/>
        <w:widowControl w:val="0"/>
        <w:rPr>
          <w:rFonts w:cs="Arial"/>
          <w:color w:val="auto"/>
          <w:sz w:val="20"/>
          <w:szCs w:val="20"/>
        </w:rPr>
      </w:pPr>
      <w:r w:rsidRPr="007107B4">
        <w:rPr>
          <w:rFonts w:cs="Arial"/>
          <w:color w:val="auto"/>
          <w:sz w:val="20"/>
          <w:szCs w:val="20"/>
        </w:rPr>
        <w:t>Torbay Council is a unitary Council in the South West of England serving the three coastal towns of Torquay, Paignton and Brixham with a population in excess of 131,000, of which 62,000 are between the ages of 18 and 64.  Further data about the Torbay area can be found on the Council’s website on the following link</w:t>
      </w:r>
    </w:p>
    <w:p w:rsidR="00E51139" w:rsidRPr="007107B4" w:rsidRDefault="00C555E7" w:rsidP="00F31A9D">
      <w:pPr>
        <w:pStyle w:val="BodyText"/>
        <w:widowControl w:val="0"/>
        <w:rPr>
          <w:rFonts w:cs="Arial"/>
          <w:color w:val="auto"/>
          <w:sz w:val="20"/>
          <w:szCs w:val="20"/>
          <w:u w:val="single"/>
        </w:rPr>
      </w:pPr>
      <w:hyperlink r:id="rId16" w:history="1">
        <w:r w:rsidR="00E51139" w:rsidRPr="007107B4">
          <w:rPr>
            <w:rFonts w:cs="Arial"/>
            <w:color w:val="auto"/>
            <w:sz w:val="20"/>
            <w:szCs w:val="20"/>
            <w:u w:val="single"/>
          </w:rPr>
          <w:t>http://www.torbay.gov.uk/index/yourcouncil/factsfigures</w:t>
        </w:r>
      </w:hyperlink>
    </w:p>
    <w:p w:rsidR="00E51139" w:rsidRPr="007107B4" w:rsidRDefault="00E51139" w:rsidP="00F31A9D">
      <w:pPr>
        <w:pStyle w:val="BodyText"/>
        <w:widowControl w:val="0"/>
        <w:rPr>
          <w:rFonts w:cs="Arial"/>
          <w:color w:val="auto"/>
          <w:sz w:val="20"/>
          <w:szCs w:val="20"/>
        </w:rPr>
      </w:pPr>
      <w:r w:rsidRPr="007107B4">
        <w:rPr>
          <w:rFonts w:cs="Arial"/>
          <w:color w:val="auto"/>
          <w:sz w:val="20"/>
          <w:szCs w:val="20"/>
        </w:rPr>
        <w:t xml:space="preserve">As a unitary Council, </w:t>
      </w:r>
      <w:r w:rsidR="00C86063" w:rsidRPr="007107B4">
        <w:rPr>
          <w:rFonts w:cs="Arial"/>
          <w:color w:val="auto"/>
          <w:sz w:val="20"/>
          <w:szCs w:val="20"/>
        </w:rPr>
        <w:t xml:space="preserve">Torbay </w:t>
      </w:r>
      <w:r w:rsidRPr="007107B4">
        <w:rPr>
          <w:rFonts w:cs="Arial"/>
          <w:color w:val="auto"/>
          <w:sz w:val="20"/>
          <w:szCs w:val="20"/>
        </w:rPr>
        <w:t xml:space="preserve">is responsible for a wide range of services including schools, social care, transport, culture, housing and waste. The Council’s budget digest outlines the services that the Council provides and is available on the Council’s website. </w:t>
      </w:r>
    </w:p>
    <w:p w:rsidR="0015131D" w:rsidRPr="0015131D" w:rsidRDefault="00C555E7" w:rsidP="00F31A9D">
      <w:pPr>
        <w:pStyle w:val="BodyText"/>
        <w:widowControl w:val="0"/>
        <w:rPr>
          <w:sz w:val="20"/>
          <w:szCs w:val="20"/>
        </w:rPr>
      </w:pPr>
      <w:hyperlink r:id="rId17" w:history="1">
        <w:r w:rsidR="0015131D" w:rsidRPr="0015131D">
          <w:rPr>
            <w:rStyle w:val="Hyperlink"/>
            <w:sz w:val="20"/>
            <w:szCs w:val="20"/>
          </w:rPr>
          <w:t>http://www.torbay.gov.uk/index/yourcouncil/financialservices/budget/budgetservicedetails.htm</w:t>
        </w:r>
      </w:hyperlink>
    </w:p>
    <w:p w:rsidR="00E51139" w:rsidRPr="00D42E0B" w:rsidRDefault="00E51139" w:rsidP="00F31A9D">
      <w:pPr>
        <w:pStyle w:val="BodyText"/>
        <w:widowControl w:val="0"/>
        <w:rPr>
          <w:rFonts w:cs="Arial"/>
          <w:color w:val="548DD4" w:themeColor="text2" w:themeTint="99"/>
          <w:sz w:val="20"/>
          <w:szCs w:val="20"/>
        </w:rPr>
      </w:pPr>
      <w:r w:rsidRPr="00F67CA1">
        <w:rPr>
          <w:rFonts w:cs="Arial"/>
          <w:color w:val="auto"/>
          <w:sz w:val="20"/>
          <w:szCs w:val="20"/>
        </w:rPr>
        <w:t>Torbay Council has an elected Mayor as well as 36 elected ward councillors. The elected Mayor</w:t>
      </w:r>
      <w:r w:rsidR="0088382C" w:rsidRPr="00F67CA1">
        <w:rPr>
          <w:rFonts w:cs="Arial"/>
          <w:color w:val="auto"/>
          <w:sz w:val="20"/>
          <w:szCs w:val="20"/>
        </w:rPr>
        <w:t xml:space="preserve"> in 201</w:t>
      </w:r>
      <w:r w:rsidR="00F67CA1" w:rsidRPr="00F67CA1">
        <w:rPr>
          <w:rFonts w:cs="Arial"/>
          <w:color w:val="auto"/>
          <w:sz w:val="20"/>
          <w:szCs w:val="20"/>
        </w:rPr>
        <w:t>5</w:t>
      </w:r>
      <w:r w:rsidR="0088382C" w:rsidRPr="00F67CA1">
        <w:rPr>
          <w:rFonts w:cs="Arial"/>
          <w:color w:val="auto"/>
          <w:sz w:val="20"/>
          <w:szCs w:val="20"/>
        </w:rPr>
        <w:t>/1</w:t>
      </w:r>
      <w:r w:rsidR="00F67CA1" w:rsidRPr="00F67CA1">
        <w:rPr>
          <w:rFonts w:cs="Arial"/>
          <w:color w:val="auto"/>
          <w:sz w:val="20"/>
          <w:szCs w:val="20"/>
        </w:rPr>
        <w:t>6</w:t>
      </w:r>
      <w:r w:rsidR="0088382C" w:rsidRPr="00F67CA1">
        <w:rPr>
          <w:rFonts w:cs="Arial"/>
          <w:color w:val="auto"/>
          <w:sz w:val="20"/>
          <w:szCs w:val="20"/>
        </w:rPr>
        <w:t xml:space="preserve"> was</w:t>
      </w:r>
      <w:r w:rsidRPr="00F67CA1">
        <w:rPr>
          <w:rFonts w:cs="Arial"/>
          <w:color w:val="auto"/>
          <w:sz w:val="20"/>
          <w:szCs w:val="20"/>
        </w:rPr>
        <w:t xml:space="preserve"> Gordon Oliver. The </w:t>
      </w:r>
      <w:r w:rsidR="00F67CA1" w:rsidRPr="00F67CA1">
        <w:rPr>
          <w:rFonts w:cs="Arial"/>
          <w:color w:val="auto"/>
          <w:sz w:val="20"/>
          <w:szCs w:val="20"/>
        </w:rPr>
        <w:t>last full</w:t>
      </w:r>
      <w:r w:rsidRPr="00F67CA1">
        <w:rPr>
          <w:rFonts w:cs="Arial"/>
          <w:color w:val="auto"/>
          <w:sz w:val="20"/>
          <w:szCs w:val="20"/>
        </w:rPr>
        <w:t xml:space="preserve"> Council and Mayoral elections </w:t>
      </w:r>
      <w:r w:rsidR="00A23C51" w:rsidRPr="00F67CA1">
        <w:rPr>
          <w:rFonts w:cs="Arial"/>
          <w:color w:val="auto"/>
          <w:sz w:val="20"/>
          <w:szCs w:val="20"/>
        </w:rPr>
        <w:t>were</w:t>
      </w:r>
      <w:r w:rsidRPr="00F67CA1">
        <w:rPr>
          <w:rFonts w:cs="Arial"/>
          <w:color w:val="auto"/>
          <w:sz w:val="20"/>
          <w:szCs w:val="20"/>
        </w:rPr>
        <w:t xml:space="preserve"> May 2015</w:t>
      </w:r>
      <w:r w:rsidR="00375585" w:rsidRPr="00F67CA1">
        <w:rPr>
          <w:rFonts w:cs="Arial"/>
          <w:color w:val="auto"/>
          <w:sz w:val="20"/>
          <w:szCs w:val="20"/>
        </w:rPr>
        <w:t xml:space="preserve"> when Gordon Oliver was re elected along with a </w:t>
      </w:r>
      <w:r w:rsidR="00375585" w:rsidRPr="00C0354C">
        <w:rPr>
          <w:rFonts w:cs="Arial"/>
          <w:color w:val="auto"/>
          <w:sz w:val="20"/>
          <w:szCs w:val="20"/>
        </w:rPr>
        <w:t xml:space="preserve">majority of Conservative party </w:t>
      </w:r>
      <w:r w:rsidR="007E33E1" w:rsidRPr="00C0354C">
        <w:rPr>
          <w:rFonts w:cs="Arial"/>
          <w:color w:val="auto"/>
          <w:sz w:val="20"/>
          <w:szCs w:val="20"/>
        </w:rPr>
        <w:t xml:space="preserve">councillors. In May 2016 there was a </w:t>
      </w:r>
      <w:r w:rsidR="007E33E1">
        <w:rPr>
          <w:rFonts w:cs="Arial"/>
          <w:color w:val="auto"/>
          <w:sz w:val="20"/>
          <w:szCs w:val="20"/>
        </w:rPr>
        <w:t>referendum</w:t>
      </w:r>
      <w:r w:rsidR="007E33E1" w:rsidRPr="00C0354C">
        <w:rPr>
          <w:rFonts w:cs="Arial"/>
          <w:color w:val="auto"/>
          <w:sz w:val="20"/>
          <w:szCs w:val="20"/>
        </w:rPr>
        <w:t xml:space="preserve"> on the f</w:t>
      </w:r>
      <w:r w:rsidR="007E33E1">
        <w:rPr>
          <w:rFonts w:cs="Arial"/>
          <w:color w:val="auto"/>
          <w:sz w:val="20"/>
          <w:szCs w:val="20"/>
        </w:rPr>
        <w:t>uture of the Mayoral system. The</w:t>
      </w:r>
      <w:r w:rsidR="007E33E1" w:rsidRPr="00C0354C">
        <w:rPr>
          <w:rFonts w:cs="Arial"/>
          <w:color w:val="auto"/>
          <w:sz w:val="20"/>
          <w:szCs w:val="20"/>
        </w:rPr>
        <w:t xml:space="preserve"> result of the ballot is that from May 2019 the Council will not have an elected mayor and will instead have a leader and cabinet system of governance.</w:t>
      </w:r>
    </w:p>
    <w:p w:rsidR="00472ACF" w:rsidRPr="00F33C9E" w:rsidRDefault="00D262F1" w:rsidP="00F31A9D">
      <w:pPr>
        <w:pStyle w:val="BodyText"/>
        <w:widowControl w:val="0"/>
        <w:rPr>
          <w:rFonts w:cs="Arial"/>
          <w:color w:val="auto"/>
          <w:sz w:val="20"/>
          <w:szCs w:val="20"/>
          <w:u w:val="single"/>
        </w:rPr>
      </w:pPr>
      <w:r w:rsidRPr="00F33C9E">
        <w:rPr>
          <w:rFonts w:cs="Arial"/>
          <w:color w:val="auto"/>
          <w:sz w:val="20"/>
          <w:szCs w:val="20"/>
          <w:u w:val="single"/>
        </w:rPr>
        <w:t>Significant Events in 201</w:t>
      </w:r>
      <w:r w:rsidR="00F33C9E" w:rsidRPr="00F33C9E">
        <w:rPr>
          <w:rFonts w:cs="Arial"/>
          <w:color w:val="auto"/>
          <w:sz w:val="20"/>
          <w:szCs w:val="20"/>
          <w:u w:val="single"/>
        </w:rPr>
        <w:t>5</w:t>
      </w:r>
      <w:r w:rsidRPr="00F33C9E">
        <w:rPr>
          <w:rFonts w:cs="Arial"/>
          <w:color w:val="auto"/>
          <w:sz w:val="20"/>
          <w:szCs w:val="20"/>
          <w:u w:val="single"/>
        </w:rPr>
        <w:t>/1</w:t>
      </w:r>
      <w:r w:rsidR="00F33C9E" w:rsidRPr="00F33C9E">
        <w:rPr>
          <w:rFonts w:cs="Arial"/>
          <w:color w:val="auto"/>
          <w:sz w:val="20"/>
          <w:szCs w:val="20"/>
          <w:u w:val="single"/>
        </w:rPr>
        <w:t>6</w:t>
      </w:r>
    </w:p>
    <w:p w:rsidR="00E51139" w:rsidRPr="00F33C9E" w:rsidRDefault="00E51139" w:rsidP="00F31A9D">
      <w:pPr>
        <w:pStyle w:val="BodyText"/>
        <w:widowControl w:val="0"/>
        <w:rPr>
          <w:rFonts w:cs="Arial"/>
          <w:color w:val="auto"/>
          <w:sz w:val="20"/>
          <w:szCs w:val="20"/>
        </w:rPr>
      </w:pPr>
      <w:r w:rsidRPr="00F33C9E">
        <w:rPr>
          <w:rFonts w:cs="Arial"/>
          <w:color w:val="auto"/>
          <w:sz w:val="20"/>
          <w:szCs w:val="20"/>
        </w:rPr>
        <w:t>On a national level changes in funding, services and legislation by the Government continue to impact on the Council, its partners and residents.</w:t>
      </w:r>
    </w:p>
    <w:p w:rsidR="00E51139" w:rsidRPr="00D42E0B" w:rsidRDefault="00E51139" w:rsidP="00056421">
      <w:pPr>
        <w:pStyle w:val="BodyText"/>
        <w:widowControl w:val="0"/>
        <w:rPr>
          <w:rFonts w:cs="Arial"/>
          <w:color w:val="548DD4" w:themeColor="text2" w:themeTint="99"/>
          <w:sz w:val="20"/>
          <w:szCs w:val="20"/>
        </w:rPr>
      </w:pPr>
      <w:r w:rsidRPr="00F33C9E">
        <w:rPr>
          <w:rFonts w:cs="Arial"/>
          <w:color w:val="auto"/>
          <w:sz w:val="20"/>
          <w:szCs w:val="20"/>
        </w:rPr>
        <w:t>The Council continued to plan</w:t>
      </w:r>
      <w:r w:rsidR="00DC1285" w:rsidRPr="00F33C9E">
        <w:rPr>
          <w:rFonts w:cs="Arial"/>
          <w:color w:val="auto"/>
          <w:sz w:val="20"/>
          <w:szCs w:val="20"/>
        </w:rPr>
        <w:t xml:space="preserve"> for</w:t>
      </w:r>
      <w:r w:rsidRPr="00F33C9E">
        <w:rPr>
          <w:rFonts w:cs="Arial"/>
          <w:color w:val="auto"/>
          <w:sz w:val="20"/>
          <w:szCs w:val="20"/>
        </w:rPr>
        <w:t xml:space="preserve">, and work with, reduced funding levels for both revenue and capital from Central Government for </w:t>
      </w:r>
      <w:r w:rsidR="00472ACF" w:rsidRPr="00F33C9E">
        <w:rPr>
          <w:rFonts w:cs="Arial"/>
          <w:color w:val="auto"/>
          <w:sz w:val="20"/>
          <w:szCs w:val="20"/>
        </w:rPr>
        <w:t>201</w:t>
      </w:r>
      <w:r w:rsidR="00F33C9E" w:rsidRPr="00F33C9E">
        <w:rPr>
          <w:rFonts w:cs="Arial"/>
          <w:color w:val="auto"/>
          <w:sz w:val="20"/>
          <w:szCs w:val="20"/>
        </w:rPr>
        <w:t>5</w:t>
      </w:r>
      <w:r w:rsidR="00472ACF" w:rsidRPr="00F33C9E">
        <w:rPr>
          <w:rFonts w:cs="Arial"/>
          <w:color w:val="auto"/>
          <w:sz w:val="20"/>
          <w:szCs w:val="20"/>
        </w:rPr>
        <w:t>/1</w:t>
      </w:r>
      <w:r w:rsidR="00F33C9E" w:rsidRPr="00F33C9E">
        <w:rPr>
          <w:rFonts w:cs="Arial"/>
          <w:color w:val="auto"/>
          <w:sz w:val="20"/>
          <w:szCs w:val="20"/>
        </w:rPr>
        <w:t>6</w:t>
      </w:r>
      <w:r w:rsidR="00472ACF" w:rsidRPr="00F33C9E">
        <w:rPr>
          <w:rFonts w:cs="Arial"/>
          <w:color w:val="auto"/>
          <w:sz w:val="20"/>
          <w:szCs w:val="20"/>
        </w:rPr>
        <w:t xml:space="preserve"> </w:t>
      </w:r>
      <w:r w:rsidRPr="00F33C9E">
        <w:rPr>
          <w:rFonts w:cs="Arial"/>
          <w:color w:val="auto"/>
          <w:sz w:val="20"/>
          <w:szCs w:val="20"/>
        </w:rPr>
        <w:t>and future financial years</w:t>
      </w:r>
      <w:r w:rsidR="000D1797" w:rsidRPr="00F33C9E">
        <w:rPr>
          <w:rFonts w:cs="Arial"/>
          <w:color w:val="auto"/>
          <w:sz w:val="20"/>
          <w:szCs w:val="20"/>
        </w:rPr>
        <w:t xml:space="preserve"> as a result on the ongoing “austerity” reductions in pu</w:t>
      </w:r>
      <w:r w:rsidR="003414A5" w:rsidRPr="00F33C9E">
        <w:rPr>
          <w:rFonts w:cs="Arial"/>
          <w:color w:val="auto"/>
          <w:sz w:val="20"/>
          <w:szCs w:val="20"/>
        </w:rPr>
        <w:t>blic</w:t>
      </w:r>
      <w:r w:rsidR="000D1797" w:rsidRPr="00F33C9E">
        <w:rPr>
          <w:rFonts w:cs="Arial"/>
          <w:color w:val="auto"/>
          <w:sz w:val="20"/>
          <w:szCs w:val="20"/>
        </w:rPr>
        <w:t xml:space="preserve"> expenditure</w:t>
      </w:r>
      <w:r w:rsidR="00ED0694">
        <w:rPr>
          <w:rFonts w:cs="Arial"/>
          <w:color w:val="auto"/>
          <w:sz w:val="20"/>
          <w:szCs w:val="20"/>
        </w:rPr>
        <w:t>. A</w:t>
      </w:r>
      <w:r w:rsidRPr="00F33C9E">
        <w:rPr>
          <w:rFonts w:cs="Arial"/>
          <w:color w:val="auto"/>
          <w:sz w:val="20"/>
          <w:szCs w:val="20"/>
        </w:rPr>
        <w:t xml:space="preserve"> further £</w:t>
      </w:r>
      <w:r w:rsidR="00332802" w:rsidRPr="00F33C9E">
        <w:rPr>
          <w:rFonts w:cs="Arial"/>
          <w:color w:val="auto"/>
          <w:sz w:val="20"/>
          <w:szCs w:val="20"/>
        </w:rPr>
        <w:t>1</w:t>
      </w:r>
      <w:r w:rsidR="00F33C9E" w:rsidRPr="00F33C9E">
        <w:rPr>
          <w:rFonts w:cs="Arial"/>
          <w:color w:val="auto"/>
          <w:sz w:val="20"/>
          <w:szCs w:val="20"/>
        </w:rPr>
        <w:t>2</w:t>
      </w:r>
      <w:r w:rsidRPr="00F33C9E">
        <w:rPr>
          <w:rFonts w:cs="Arial"/>
          <w:color w:val="auto"/>
          <w:sz w:val="20"/>
          <w:szCs w:val="20"/>
        </w:rPr>
        <w:t xml:space="preserve">m </w:t>
      </w:r>
      <w:r w:rsidR="00ED0694">
        <w:rPr>
          <w:rFonts w:cs="Arial"/>
          <w:color w:val="auto"/>
          <w:sz w:val="20"/>
          <w:szCs w:val="20"/>
        </w:rPr>
        <w:t>of reductio</w:t>
      </w:r>
      <w:r w:rsidR="00B87FEC">
        <w:rPr>
          <w:rFonts w:cs="Arial"/>
          <w:color w:val="auto"/>
          <w:sz w:val="20"/>
          <w:szCs w:val="20"/>
        </w:rPr>
        <w:t>ns</w:t>
      </w:r>
      <w:r w:rsidR="00ED0694">
        <w:rPr>
          <w:rFonts w:cs="Arial"/>
          <w:color w:val="auto"/>
          <w:sz w:val="20"/>
          <w:szCs w:val="20"/>
        </w:rPr>
        <w:t xml:space="preserve"> were</w:t>
      </w:r>
      <w:r w:rsidRPr="00F33C9E">
        <w:rPr>
          <w:rFonts w:cs="Arial"/>
          <w:color w:val="auto"/>
          <w:sz w:val="20"/>
          <w:szCs w:val="20"/>
        </w:rPr>
        <w:t xml:space="preserve"> required for 201</w:t>
      </w:r>
      <w:r w:rsidR="00F33C9E" w:rsidRPr="00F33C9E">
        <w:rPr>
          <w:rFonts w:cs="Arial"/>
          <w:color w:val="auto"/>
          <w:sz w:val="20"/>
          <w:szCs w:val="20"/>
        </w:rPr>
        <w:t>6</w:t>
      </w:r>
      <w:r w:rsidR="00472ACF" w:rsidRPr="00F33C9E">
        <w:rPr>
          <w:rFonts w:cs="Arial"/>
          <w:color w:val="auto"/>
          <w:sz w:val="20"/>
          <w:szCs w:val="20"/>
        </w:rPr>
        <w:t>/1</w:t>
      </w:r>
      <w:r w:rsidR="00F33C9E" w:rsidRPr="00F33C9E">
        <w:rPr>
          <w:rFonts w:cs="Arial"/>
          <w:color w:val="auto"/>
          <w:sz w:val="20"/>
          <w:szCs w:val="20"/>
        </w:rPr>
        <w:t>7</w:t>
      </w:r>
      <w:r w:rsidR="00E33379" w:rsidRPr="00F33C9E">
        <w:rPr>
          <w:rFonts w:cs="Arial"/>
          <w:color w:val="auto"/>
          <w:sz w:val="20"/>
          <w:szCs w:val="20"/>
        </w:rPr>
        <w:t xml:space="preserve"> and an </w:t>
      </w:r>
      <w:r w:rsidR="003414A5" w:rsidRPr="00F33C9E">
        <w:rPr>
          <w:rFonts w:cs="Arial"/>
          <w:color w:val="auto"/>
          <w:sz w:val="20"/>
          <w:szCs w:val="20"/>
        </w:rPr>
        <w:t>e</w:t>
      </w:r>
      <w:r w:rsidR="00E33379" w:rsidRPr="00F33C9E">
        <w:rPr>
          <w:rFonts w:cs="Arial"/>
          <w:color w:val="auto"/>
          <w:sz w:val="20"/>
          <w:szCs w:val="20"/>
        </w:rPr>
        <w:t>stimate</w:t>
      </w:r>
      <w:r w:rsidR="003414A5" w:rsidRPr="00F33C9E">
        <w:rPr>
          <w:rFonts w:cs="Arial"/>
          <w:color w:val="auto"/>
          <w:sz w:val="20"/>
          <w:szCs w:val="20"/>
        </w:rPr>
        <w:t>d</w:t>
      </w:r>
      <w:r w:rsidR="00E33379" w:rsidRPr="00F33C9E">
        <w:rPr>
          <w:rFonts w:cs="Arial"/>
          <w:color w:val="auto"/>
          <w:sz w:val="20"/>
          <w:szCs w:val="20"/>
        </w:rPr>
        <w:t xml:space="preserve"> funding gap </w:t>
      </w:r>
      <w:r w:rsidR="007E33E1" w:rsidRPr="00F33C9E">
        <w:rPr>
          <w:rFonts w:cs="Arial"/>
          <w:color w:val="auto"/>
          <w:sz w:val="20"/>
          <w:szCs w:val="20"/>
        </w:rPr>
        <w:t>up to</w:t>
      </w:r>
      <w:r w:rsidR="00E33379" w:rsidRPr="00F33C9E">
        <w:rPr>
          <w:rFonts w:cs="Arial"/>
          <w:color w:val="auto"/>
          <w:sz w:val="20"/>
          <w:szCs w:val="20"/>
        </w:rPr>
        <w:t xml:space="preserve"> £</w:t>
      </w:r>
      <w:r w:rsidR="00495D9F">
        <w:rPr>
          <w:rFonts w:cs="Arial"/>
          <w:color w:val="auto"/>
          <w:sz w:val="20"/>
          <w:szCs w:val="20"/>
        </w:rPr>
        <w:t>19</w:t>
      </w:r>
      <w:r w:rsidR="00E33379" w:rsidRPr="00F33C9E">
        <w:rPr>
          <w:rFonts w:cs="Arial"/>
          <w:color w:val="auto"/>
          <w:sz w:val="20"/>
          <w:szCs w:val="20"/>
        </w:rPr>
        <w:t xml:space="preserve"> </w:t>
      </w:r>
      <w:r w:rsidR="00E33379" w:rsidRPr="00F9604F">
        <w:rPr>
          <w:rFonts w:cs="Arial"/>
          <w:color w:val="auto"/>
          <w:sz w:val="20"/>
          <w:szCs w:val="20"/>
        </w:rPr>
        <w:t>million for the following three years</w:t>
      </w:r>
      <w:r w:rsidR="001B1ECD" w:rsidRPr="00F9604F">
        <w:rPr>
          <w:rFonts w:cs="Arial"/>
          <w:color w:val="auto"/>
          <w:sz w:val="20"/>
          <w:szCs w:val="20"/>
        </w:rPr>
        <w:t>.</w:t>
      </w:r>
      <w:r w:rsidRPr="00F9604F">
        <w:rPr>
          <w:rFonts w:cs="Arial"/>
          <w:color w:val="auto"/>
          <w:sz w:val="20"/>
          <w:szCs w:val="20"/>
        </w:rPr>
        <w:t xml:space="preserve"> </w:t>
      </w:r>
      <w:r w:rsidR="002D7861" w:rsidRPr="00F9604F">
        <w:rPr>
          <w:rFonts w:cs="Arial"/>
          <w:color w:val="auto"/>
          <w:sz w:val="20"/>
          <w:szCs w:val="20"/>
        </w:rPr>
        <w:t>The Council set a Co</w:t>
      </w:r>
      <w:r w:rsidR="00DC1285" w:rsidRPr="00F9604F">
        <w:rPr>
          <w:rFonts w:cs="Arial"/>
          <w:color w:val="auto"/>
          <w:sz w:val="20"/>
          <w:szCs w:val="20"/>
        </w:rPr>
        <w:t>uncil</w:t>
      </w:r>
      <w:r w:rsidR="002D7861" w:rsidRPr="00F9604F">
        <w:rPr>
          <w:rFonts w:cs="Arial"/>
          <w:color w:val="auto"/>
          <w:sz w:val="20"/>
          <w:szCs w:val="20"/>
        </w:rPr>
        <w:t xml:space="preserve"> Tax</w:t>
      </w:r>
      <w:r w:rsidR="0004267F" w:rsidRPr="00F9604F">
        <w:rPr>
          <w:rFonts w:cs="Arial"/>
          <w:color w:val="auto"/>
          <w:sz w:val="20"/>
          <w:szCs w:val="20"/>
        </w:rPr>
        <w:t xml:space="preserve"> at the same level as the previous year,</w:t>
      </w:r>
      <w:r w:rsidR="002D7861" w:rsidRPr="00F9604F">
        <w:rPr>
          <w:rFonts w:cs="Arial"/>
          <w:color w:val="auto"/>
          <w:sz w:val="20"/>
          <w:szCs w:val="20"/>
        </w:rPr>
        <w:t xml:space="preserve"> which entitle</w:t>
      </w:r>
      <w:r w:rsidR="006E4E4F" w:rsidRPr="00F9604F">
        <w:rPr>
          <w:rFonts w:cs="Arial"/>
          <w:color w:val="auto"/>
          <w:sz w:val="20"/>
          <w:szCs w:val="20"/>
        </w:rPr>
        <w:t>d</w:t>
      </w:r>
      <w:r w:rsidR="002D7861" w:rsidRPr="00F9604F">
        <w:rPr>
          <w:rFonts w:cs="Arial"/>
          <w:color w:val="auto"/>
          <w:sz w:val="20"/>
          <w:szCs w:val="20"/>
        </w:rPr>
        <w:t xml:space="preserve"> the Co</w:t>
      </w:r>
      <w:r w:rsidR="00B431DB" w:rsidRPr="00F9604F">
        <w:rPr>
          <w:rFonts w:cs="Arial"/>
          <w:color w:val="auto"/>
          <w:sz w:val="20"/>
          <w:szCs w:val="20"/>
        </w:rPr>
        <w:t>uncil</w:t>
      </w:r>
      <w:r w:rsidR="002D7861" w:rsidRPr="00F9604F">
        <w:rPr>
          <w:rFonts w:cs="Arial"/>
          <w:color w:val="auto"/>
          <w:sz w:val="20"/>
          <w:szCs w:val="20"/>
        </w:rPr>
        <w:t xml:space="preserve"> to a council tax </w:t>
      </w:r>
      <w:r w:rsidR="00402FE4" w:rsidRPr="00F9604F">
        <w:rPr>
          <w:rFonts w:cs="Arial"/>
          <w:color w:val="auto"/>
          <w:sz w:val="20"/>
          <w:szCs w:val="20"/>
        </w:rPr>
        <w:t>“</w:t>
      </w:r>
      <w:r w:rsidR="002D7861" w:rsidRPr="00F9604F">
        <w:rPr>
          <w:rFonts w:cs="Arial"/>
          <w:color w:val="auto"/>
          <w:sz w:val="20"/>
          <w:szCs w:val="20"/>
        </w:rPr>
        <w:t>f</w:t>
      </w:r>
      <w:r w:rsidR="00923BBD" w:rsidRPr="00F9604F">
        <w:rPr>
          <w:rFonts w:cs="Arial"/>
          <w:color w:val="auto"/>
          <w:sz w:val="20"/>
          <w:szCs w:val="20"/>
        </w:rPr>
        <w:t xml:space="preserve">reeze” grant equal to a rise of </w:t>
      </w:r>
      <w:r w:rsidR="002D7861" w:rsidRPr="00F9604F">
        <w:rPr>
          <w:rFonts w:cs="Arial"/>
          <w:color w:val="auto"/>
          <w:sz w:val="20"/>
          <w:szCs w:val="20"/>
        </w:rPr>
        <w:t>1%</w:t>
      </w:r>
      <w:r w:rsidR="003414A5" w:rsidRPr="00F9604F">
        <w:rPr>
          <w:rFonts w:cs="Arial"/>
          <w:color w:val="auto"/>
          <w:sz w:val="20"/>
          <w:szCs w:val="20"/>
        </w:rPr>
        <w:t xml:space="preserve"> in Council Tax</w:t>
      </w:r>
      <w:r w:rsidR="002D7861" w:rsidRPr="00F9604F">
        <w:rPr>
          <w:rFonts w:cs="Arial"/>
          <w:color w:val="auto"/>
          <w:sz w:val="20"/>
          <w:szCs w:val="20"/>
        </w:rPr>
        <w:t>.</w:t>
      </w:r>
      <w:r w:rsidR="002D7861" w:rsidRPr="00D42E0B">
        <w:rPr>
          <w:rFonts w:cs="Arial"/>
          <w:color w:val="548DD4" w:themeColor="text2" w:themeTint="99"/>
          <w:sz w:val="20"/>
          <w:szCs w:val="20"/>
        </w:rPr>
        <w:t xml:space="preserve"> </w:t>
      </w:r>
    </w:p>
    <w:p w:rsidR="00BA5848" w:rsidRDefault="00A56BE3" w:rsidP="00056421">
      <w:pPr>
        <w:pStyle w:val="BodyText"/>
        <w:widowControl w:val="0"/>
        <w:rPr>
          <w:rFonts w:cs="Arial"/>
          <w:color w:val="548DD4" w:themeColor="text2" w:themeTint="99"/>
          <w:sz w:val="20"/>
          <w:szCs w:val="20"/>
        </w:rPr>
      </w:pPr>
      <w:r w:rsidRPr="006D2F7D">
        <w:rPr>
          <w:rFonts w:cs="Arial"/>
          <w:color w:val="auto"/>
          <w:sz w:val="20"/>
          <w:szCs w:val="20"/>
        </w:rPr>
        <w:t>For Torbay in 201</w:t>
      </w:r>
      <w:r w:rsidR="006D2F7D" w:rsidRPr="006D2F7D">
        <w:rPr>
          <w:rFonts w:cs="Arial"/>
          <w:color w:val="auto"/>
          <w:sz w:val="20"/>
          <w:szCs w:val="20"/>
        </w:rPr>
        <w:t>5</w:t>
      </w:r>
      <w:r w:rsidRPr="006D2F7D">
        <w:rPr>
          <w:rFonts w:cs="Arial"/>
          <w:color w:val="auto"/>
          <w:sz w:val="20"/>
          <w:szCs w:val="20"/>
        </w:rPr>
        <w:t>/1</w:t>
      </w:r>
      <w:r w:rsidR="006D2F7D" w:rsidRPr="006D2F7D">
        <w:rPr>
          <w:rFonts w:cs="Arial"/>
          <w:color w:val="auto"/>
          <w:sz w:val="20"/>
          <w:szCs w:val="20"/>
        </w:rPr>
        <w:t>6</w:t>
      </w:r>
      <w:r w:rsidRPr="006D2F7D">
        <w:rPr>
          <w:rFonts w:cs="Arial"/>
          <w:color w:val="auto"/>
          <w:sz w:val="20"/>
          <w:szCs w:val="20"/>
        </w:rPr>
        <w:t xml:space="preserve"> its </w:t>
      </w:r>
      <w:r w:rsidR="00BE3AD6" w:rsidRPr="006D2F7D">
        <w:rPr>
          <w:rFonts w:cs="Arial"/>
          <w:color w:val="auto"/>
          <w:sz w:val="20"/>
          <w:szCs w:val="20"/>
        </w:rPr>
        <w:t xml:space="preserve">central government </w:t>
      </w:r>
      <w:r w:rsidRPr="006D2F7D">
        <w:rPr>
          <w:rFonts w:cs="Arial"/>
          <w:color w:val="auto"/>
          <w:sz w:val="20"/>
          <w:szCs w:val="20"/>
        </w:rPr>
        <w:t>funding baseline was £</w:t>
      </w:r>
      <w:r w:rsidR="006D2F7D" w:rsidRPr="006D2F7D">
        <w:rPr>
          <w:rFonts w:cs="Arial"/>
          <w:color w:val="auto"/>
          <w:sz w:val="20"/>
          <w:szCs w:val="20"/>
        </w:rPr>
        <w:t>5</w:t>
      </w:r>
      <w:r w:rsidR="00E5278B">
        <w:rPr>
          <w:rFonts w:cs="Arial"/>
          <w:color w:val="auto"/>
          <w:sz w:val="20"/>
          <w:szCs w:val="20"/>
        </w:rPr>
        <w:t>7</w:t>
      </w:r>
      <w:r w:rsidRPr="006D2F7D">
        <w:rPr>
          <w:rFonts w:cs="Arial"/>
          <w:color w:val="auto"/>
          <w:sz w:val="20"/>
          <w:szCs w:val="20"/>
        </w:rPr>
        <w:t xml:space="preserve">m </w:t>
      </w:r>
      <w:r w:rsidR="006D2F7D" w:rsidRPr="006D2F7D">
        <w:rPr>
          <w:rFonts w:cs="Arial"/>
          <w:color w:val="auto"/>
          <w:sz w:val="20"/>
          <w:szCs w:val="20"/>
        </w:rPr>
        <w:t xml:space="preserve">(£63m 14/15) </w:t>
      </w:r>
      <w:r w:rsidRPr="006D2F7D">
        <w:rPr>
          <w:rFonts w:cs="Arial"/>
          <w:color w:val="auto"/>
          <w:sz w:val="20"/>
          <w:szCs w:val="20"/>
        </w:rPr>
        <w:t>of which £</w:t>
      </w:r>
      <w:r w:rsidR="006D2F7D" w:rsidRPr="006D2F7D">
        <w:rPr>
          <w:rFonts w:cs="Arial"/>
          <w:color w:val="auto"/>
          <w:sz w:val="20"/>
          <w:szCs w:val="20"/>
        </w:rPr>
        <w:t>26</w:t>
      </w:r>
      <w:r w:rsidR="00BE3AD6" w:rsidRPr="006D2F7D">
        <w:rPr>
          <w:rFonts w:cs="Arial"/>
          <w:color w:val="auto"/>
          <w:sz w:val="20"/>
          <w:szCs w:val="20"/>
        </w:rPr>
        <w:t>m (£</w:t>
      </w:r>
      <w:r w:rsidR="006D2F7D" w:rsidRPr="006D2F7D">
        <w:rPr>
          <w:rFonts w:cs="Arial"/>
          <w:color w:val="auto"/>
          <w:sz w:val="20"/>
          <w:szCs w:val="20"/>
        </w:rPr>
        <w:t>35</w:t>
      </w:r>
      <w:r w:rsidRPr="006D2F7D">
        <w:rPr>
          <w:rFonts w:cs="Arial"/>
          <w:color w:val="auto"/>
          <w:sz w:val="20"/>
          <w:szCs w:val="20"/>
        </w:rPr>
        <w:t xml:space="preserve">m </w:t>
      </w:r>
      <w:r w:rsidR="00BE3AD6" w:rsidRPr="006D2F7D">
        <w:rPr>
          <w:rFonts w:cs="Arial"/>
          <w:color w:val="auto"/>
          <w:sz w:val="20"/>
          <w:szCs w:val="20"/>
        </w:rPr>
        <w:t xml:space="preserve">13/14) </w:t>
      </w:r>
      <w:r w:rsidR="000B4161" w:rsidRPr="006D2F7D">
        <w:rPr>
          <w:rFonts w:cs="Arial"/>
          <w:color w:val="auto"/>
          <w:sz w:val="20"/>
          <w:szCs w:val="20"/>
        </w:rPr>
        <w:t>was</w:t>
      </w:r>
      <w:r w:rsidRPr="006D2F7D">
        <w:rPr>
          <w:rFonts w:cs="Arial"/>
          <w:color w:val="auto"/>
          <w:sz w:val="20"/>
          <w:szCs w:val="20"/>
        </w:rPr>
        <w:t xml:space="preserve"> central government “revenue support” grant</w:t>
      </w:r>
      <w:r w:rsidRPr="00E5278B">
        <w:rPr>
          <w:rFonts w:cs="Arial"/>
          <w:color w:val="auto"/>
          <w:sz w:val="20"/>
          <w:szCs w:val="20"/>
        </w:rPr>
        <w:t>, £1</w:t>
      </w:r>
      <w:r w:rsidR="00E5278B" w:rsidRPr="00E5278B">
        <w:rPr>
          <w:rFonts w:cs="Arial"/>
          <w:color w:val="auto"/>
          <w:sz w:val="20"/>
          <w:szCs w:val="20"/>
        </w:rPr>
        <w:t>8</w:t>
      </w:r>
      <w:r w:rsidRPr="00E5278B">
        <w:rPr>
          <w:rFonts w:cs="Arial"/>
          <w:color w:val="auto"/>
          <w:sz w:val="20"/>
          <w:szCs w:val="20"/>
        </w:rPr>
        <w:t xml:space="preserve">m </w:t>
      </w:r>
      <w:r w:rsidR="00E2357A" w:rsidRPr="00E5278B">
        <w:rPr>
          <w:rFonts w:cs="Arial"/>
          <w:color w:val="auto"/>
          <w:sz w:val="20"/>
          <w:szCs w:val="20"/>
        </w:rPr>
        <w:t>(£1</w:t>
      </w:r>
      <w:r w:rsidR="00E5278B" w:rsidRPr="00E5278B">
        <w:rPr>
          <w:rFonts w:cs="Arial"/>
          <w:color w:val="auto"/>
          <w:sz w:val="20"/>
          <w:szCs w:val="20"/>
        </w:rPr>
        <w:t>7</w:t>
      </w:r>
      <w:r w:rsidR="00E2357A" w:rsidRPr="00E5278B">
        <w:rPr>
          <w:rFonts w:cs="Arial"/>
          <w:color w:val="auto"/>
          <w:sz w:val="20"/>
          <w:szCs w:val="20"/>
        </w:rPr>
        <w:t>m 1</w:t>
      </w:r>
      <w:r w:rsidR="00E5278B" w:rsidRPr="00E5278B">
        <w:rPr>
          <w:rFonts w:cs="Arial"/>
          <w:color w:val="auto"/>
          <w:sz w:val="20"/>
          <w:szCs w:val="20"/>
        </w:rPr>
        <w:t>4</w:t>
      </w:r>
      <w:r w:rsidR="00E2357A" w:rsidRPr="00E5278B">
        <w:rPr>
          <w:rFonts w:cs="Arial"/>
          <w:color w:val="auto"/>
          <w:sz w:val="20"/>
          <w:szCs w:val="20"/>
        </w:rPr>
        <w:t>/1</w:t>
      </w:r>
      <w:r w:rsidR="00E5278B" w:rsidRPr="00E5278B">
        <w:rPr>
          <w:rFonts w:cs="Arial"/>
          <w:color w:val="auto"/>
          <w:sz w:val="20"/>
          <w:szCs w:val="20"/>
        </w:rPr>
        <w:t>5</w:t>
      </w:r>
      <w:r w:rsidR="00E2357A" w:rsidRPr="00E5278B">
        <w:rPr>
          <w:rFonts w:cs="Arial"/>
          <w:color w:val="auto"/>
          <w:sz w:val="20"/>
          <w:szCs w:val="20"/>
        </w:rPr>
        <w:t xml:space="preserve">) </w:t>
      </w:r>
      <w:r w:rsidR="000B4161" w:rsidRPr="00E5278B">
        <w:rPr>
          <w:rFonts w:cs="Arial"/>
          <w:color w:val="auto"/>
          <w:sz w:val="20"/>
          <w:szCs w:val="20"/>
        </w:rPr>
        <w:t xml:space="preserve">was </w:t>
      </w:r>
      <w:r w:rsidRPr="00E5278B">
        <w:rPr>
          <w:rFonts w:cs="Arial"/>
          <w:color w:val="auto"/>
          <w:sz w:val="20"/>
          <w:szCs w:val="20"/>
        </w:rPr>
        <w:t>its 49% share of NNDR income and £1</w:t>
      </w:r>
      <w:r w:rsidR="00BE3AD6" w:rsidRPr="00E5278B">
        <w:rPr>
          <w:rFonts w:cs="Arial"/>
          <w:color w:val="auto"/>
          <w:sz w:val="20"/>
          <w:szCs w:val="20"/>
        </w:rPr>
        <w:t>1</w:t>
      </w:r>
      <w:r w:rsidRPr="00E5278B">
        <w:rPr>
          <w:rFonts w:cs="Arial"/>
          <w:color w:val="auto"/>
          <w:sz w:val="20"/>
          <w:szCs w:val="20"/>
        </w:rPr>
        <w:t xml:space="preserve">m </w:t>
      </w:r>
      <w:r w:rsidR="00E2357A" w:rsidRPr="00E5278B">
        <w:rPr>
          <w:rFonts w:cs="Arial"/>
          <w:color w:val="auto"/>
          <w:sz w:val="20"/>
          <w:szCs w:val="20"/>
        </w:rPr>
        <w:t>(£1</w:t>
      </w:r>
      <w:r w:rsidR="00E5278B" w:rsidRPr="00E5278B">
        <w:rPr>
          <w:rFonts w:cs="Arial"/>
          <w:color w:val="auto"/>
          <w:sz w:val="20"/>
          <w:szCs w:val="20"/>
        </w:rPr>
        <w:t>1</w:t>
      </w:r>
      <w:r w:rsidR="00E2357A" w:rsidRPr="00E5278B">
        <w:rPr>
          <w:rFonts w:cs="Arial"/>
          <w:color w:val="auto"/>
          <w:sz w:val="20"/>
          <w:szCs w:val="20"/>
        </w:rPr>
        <w:t>m 1</w:t>
      </w:r>
      <w:r w:rsidR="00E5278B" w:rsidRPr="00E5278B">
        <w:rPr>
          <w:rFonts w:cs="Arial"/>
          <w:color w:val="auto"/>
          <w:sz w:val="20"/>
          <w:szCs w:val="20"/>
        </w:rPr>
        <w:t>4</w:t>
      </w:r>
      <w:r w:rsidR="00E2357A" w:rsidRPr="00E5278B">
        <w:rPr>
          <w:rFonts w:cs="Arial"/>
          <w:color w:val="auto"/>
          <w:sz w:val="20"/>
          <w:szCs w:val="20"/>
        </w:rPr>
        <w:t>/1</w:t>
      </w:r>
      <w:r w:rsidR="00E5278B" w:rsidRPr="00E5278B">
        <w:rPr>
          <w:rFonts w:cs="Arial"/>
          <w:color w:val="auto"/>
          <w:sz w:val="20"/>
          <w:szCs w:val="20"/>
        </w:rPr>
        <w:t>5</w:t>
      </w:r>
      <w:r w:rsidR="00E2357A" w:rsidRPr="00E5278B">
        <w:rPr>
          <w:rFonts w:cs="Arial"/>
          <w:color w:val="auto"/>
          <w:sz w:val="20"/>
          <w:szCs w:val="20"/>
        </w:rPr>
        <w:t xml:space="preserve">) </w:t>
      </w:r>
      <w:r w:rsidRPr="00E5278B">
        <w:rPr>
          <w:rFonts w:cs="Arial"/>
          <w:color w:val="auto"/>
          <w:sz w:val="20"/>
          <w:szCs w:val="20"/>
        </w:rPr>
        <w:t>its “top up” grant</w:t>
      </w:r>
      <w:r w:rsidRPr="00D42E0B">
        <w:rPr>
          <w:rFonts w:cs="Arial"/>
          <w:color w:val="548DD4" w:themeColor="text2" w:themeTint="99"/>
          <w:sz w:val="20"/>
          <w:szCs w:val="20"/>
        </w:rPr>
        <w:t xml:space="preserve">. </w:t>
      </w:r>
    </w:p>
    <w:p w:rsidR="005C6A96" w:rsidRDefault="005C6A96" w:rsidP="00F31A9D">
      <w:pPr>
        <w:pStyle w:val="BodyText"/>
        <w:widowControl w:val="0"/>
        <w:rPr>
          <w:rFonts w:cs="Arial"/>
          <w:color w:val="auto"/>
          <w:sz w:val="20"/>
          <w:szCs w:val="20"/>
        </w:rPr>
      </w:pPr>
      <w:r>
        <w:rPr>
          <w:rFonts w:cs="Arial"/>
          <w:color w:val="auto"/>
          <w:sz w:val="20"/>
          <w:szCs w:val="20"/>
        </w:rPr>
        <w:lastRenderedPageBreak/>
        <w:t>Subsequent to the election of the conservative government in May 201</w:t>
      </w:r>
      <w:r w:rsidR="00D01F02">
        <w:rPr>
          <w:rFonts w:cs="Arial"/>
          <w:color w:val="auto"/>
          <w:sz w:val="20"/>
          <w:szCs w:val="20"/>
        </w:rPr>
        <w:t>5</w:t>
      </w:r>
      <w:r>
        <w:rPr>
          <w:rFonts w:cs="Arial"/>
          <w:color w:val="auto"/>
          <w:sz w:val="20"/>
          <w:szCs w:val="20"/>
        </w:rPr>
        <w:t xml:space="preserve"> the chancellor has confirmed the continuation of the austerity </w:t>
      </w:r>
      <w:r w:rsidR="007E33E1">
        <w:rPr>
          <w:rFonts w:cs="Arial"/>
          <w:color w:val="auto"/>
          <w:sz w:val="20"/>
          <w:szCs w:val="20"/>
        </w:rPr>
        <w:t>reductions</w:t>
      </w:r>
      <w:r>
        <w:rPr>
          <w:rFonts w:cs="Arial"/>
          <w:color w:val="auto"/>
          <w:sz w:val="20"/>
          <w:szCs w:val="20"/>
        </w:rPr>
        <w:t xml:space="preserve"> within</w:t>
      </w:r>
      <w:r w:rsidR="00F93346">
        <w:rPr>
          <w:rFonts w:cs="Arial"/>
          <w:color w:val="auto"/>
          <w:sz w:val="20"/>
          <w:szCs w:val="20"/>
        </w:rPr>
        <w:t xml:space="preserve"> parts of the </w:t>
      </w:r>
      <w:r>
        <w:rPr>
          <w:rFonts w:cs="Arial"/>
          <w:color w:val="auto"/>
          <w:sz w:val="20"/>
          <w:szCs w:val="20"/>
        </w:rPr>
        <w:t>public sector. Local Govern</w:t>
      </w:r>
      <w:r w:rsidR="00F93346">
        <w:rPr>
          <w:rFonts w:cs="Arial"/>
          <w:color w:val="auto"/>
          <w:sz w:val="20"/>
          <w:szCs w:val="20"/>
        </w:rPr>
        <w:t>ment</w:t>
      </w:r>
      <w:r>
        <w:rPr>
          <w:rFonts w:cs="Arial"/>
          <w:color w:val="auto"/>
          <w:sz w:val="20"/>
          <w:szCs w:val="20"/>
        </w:rPr>
        <w:t xml:space="preserve"> is an “unprotected” department and has been identified for further reducti</w:t>
      </w:r>
      <w:r w:rsidR="003E7C8E">
        <w:rPr>
          <w:rFonts w:cs="Arial"/>
          <w:color w:val="auto"/>
          <w:sz w:val="20"/>
          <w:szCs w:val="20"/>
        </w:rPr>
        <w:t>ons o</w:t>
      </w:r>
      <w:r>
        <w:rPr>
          <w:rFonts w:cs="Arial"/>
          <w:color w:val="auto"/>
          <w:sz w:val="20"/>
          <w:szCs w:val="20"/>
        </w:rPr>
        <w:t>ver the next four years of this parliament (2016/17 to 2019/20). In this period central government fundi</w:t>
      </w:r>
      <w:r w:rsidR="00491749">
        <w:rPr>
          <w:rFonts w:cs="Arial"/>
          <w:color w:val="auto"/>
          <w:sz w:val="20"/>
          <w:szCs w:val="20"/>
        </w:rPr>
        <w:t xml:space="preserve">ng </w:t>
      </w:r>
      <w:r>
        <w:rPr>
          <w:rFonts w:cs="Arial"/>
          <w:color w:val="auto"/>
          <w:sz w:val="20"/>
          <w:szCs w:val="20"/>
        </w:rPr>
        <w:t>for</w:t>
      </w:r>
      <w:r w:rsidR="00491749">
        <w:rPr>
          <w:rFonts w:cs="Arial"/>
          <w:color w:val="auto"/>
          <w:sz w:val="20"/>
          <w:szCs w:val="20"/>
        </w:rPr>
        <w:t xml:space="preserve"> </w:t>
      </w:r>
      <w:r>
        <w:rPr>
          <w:rFonts w:cs="Arial"/>
          <w:color w:val="auto"/>
          <w:sz w:val="20"/>
          <w:szCs w:val="20"/>
        </w:rPr>
        <w:t xml:space="preserve">local </w:t>
      </w:r>
      <w:r w:rsidR="007E33E1">
        <w:rPr>
          <w:rFonts w:cs="Arial"/>
          <w:color w:val="auto"/>
          <w:sz w:val="20"/>
          <w:szCs w:val="20"/>
        </w:rPr>
        <w:t>government</w:t>
      </w:r>
      <w:r>
        <w:rPr>
          <w:rFonts w:cs="Arial"/>
          <w:color w:val="auto"/>
          <w:sz w:val="20"/>
          <w:szCs w:val="20"/>
        </w:rPr>
        <w:t xml:space="preserve"> will reduce by 56% or £6.1 billion. </w:t>
      </w:r>
      <w:r w:rsidR="00060894">
        <w:rPr>
          <w:rFonts w:cs="Arial"/>
          <w:color w:val="auto"/>
          <w:sz w:val="20"/>
          <w:szCs w:val="20"/>
        </w:rPr>
        <w:t xml:space="preserve">For Torbay this is a reduction in its Revenue Support Grant from £27m </w:t>
      </w:r>
      <w:r w:rsidR="009124A0">
        <w:rPr>
          <w:rFonts w:cs="Arial"/>
          <w:color w:val="auto"/>
          <w:sz w:val="20"/>
          <w:szCs w:val="20"/>
        </w:rPr>
        <w:t xml:space="preserve">(restated) </w:t>
      </w:r>
      <w:r w:rsidR="00060894">
        <w:rPr>
          <w:rFonts w:cs="Arial"/>
          <w:color w:val="auto"/>
          <w:sz w:val="20"/>
          <w:szCs w:val="20"/>
        </w:rPr>
        <w:t>in 2015/16 to £6m by 2019/20.</w:t>
      </w:r>
    </w:p>
    <w:p w:rsidR="00F334B6" w:rsidRDefault="00F334B6" w:rsidP="00F31A9D">
      <w:pPr>
        <w:pStyle w:val="BodyText"/>
        <w:widowControl w:val="0"/>
        <w:rPr>
          <w:rFonts w:cs="Arial"/>
          <w:color w:val="auto"/>
          <w:sz w:val="20"/>
          <w:szCs w:val="20"/>
        </w:rPr>
      </w:pPr>
      <w:r>
        <w:rPr>
          <w:rFonts w:cs="Arial"/>
          <w:color w:val="auto"/>
          <w:sz w:val="20"/>
          <w:szCs w:val="20"/>
        </w:rPr>
        <w:t xml:space="preserve">In 2015/16 the South Devon Highway became </w:t>
      </w:r>
      <w:r w:rsidR="007E33E1">
        <w:rPr>
          <w:rFonts w:cs="Arial"/>
          <w:color w:val="auto"/>
          <w:sz w:val="20"/>
          <w:szCs w:val="20"/>
        </w:rPr>
        <w:t>operational</w:t>
      </w:r>
      <w:r>
        <w:rPr>
          <w:rFonts w:cs="Arial"/>
          <w:color w:val="auto"/>
          <w:sz w:val="20"/>
          <w:szCs w:val="20"/>
        </w:rPr>
        <w:t>. This was a major scheme costing £120 million of which Torbay</w:t>
      </w:r>
      <w:r w:rsidR="009A2877">
        <w:rPr>
          <w:rFonts w:cs="Arial"/>
          <w:color w:val="auto"/>
          <w:sz w:val="20"/>
          <w:szCs w:val="20"/>
        </w:rPr>
        <w:t>’s contribution</w:t>
      </w:r>
      <w:r>
        <w:rPr>
          <w:rFonts w:cs="Arial"/>
          <w:color w:val="auto"/>
          <w:sz w:val="20"/>
          <w:szCs w:val="20"/>
        </w:rPr>
        <w:t xml:space="preserve"> is around £20m. As the southern </w:t>
      </w:r>
      <w:r w:rsidR="00F6742F">
        <w:rPr>
          <w:rFonts w:cs="Arial"/>
          <w:color w:val="auto"/>
          <w:sz w:val="20"/>
          <w:szCs w:val="20"/>
        </w:rPr>
        <w:t xml:space="preserve">end of the road is within the Torbay boundary the </w:t>
      </w:r>
      <w:r w:rsidR="007E33E1">
        <w:rPr>
          <w:rFonts w:cs="Arial"/>
          <w:color w:val="auto"/>
          <w:sz w:val="20"/>
          <w:szCs w:val="20"/>
        </w:rPr>
        <w:t>Council</w:t>
      </w:r>
      <w:r w:rsidR="00F6742F">
        <w:rPr>
          <w:rFonts w:cs="Arial"/>
          <w:color w:val="auto"/>
          <w:sz w:val="20"/>
          <w:szCs w:val="20"/>
        </w:rPr>
        <w:t xml:space="preserve"> </w:t>
      </w:r>
      <w:r w:rsidR="004B1FF5">
        <w:rPr>
          <w:rFonts w:cs="Arial"/>
          <w:color w:val="auto"/>
          <w:sz w:val="20"/>
          <w:szCs w:val="20"/>
        </w:rPr>
        <w:t xml:space="preserve">has </w:t>
      </w:r>
      <w:r w:rsidR="00F6742F">
        <w:rPr>
          <w:rFonts w:cs="Arial"/>
          <w:color w:val="auto"/>
          <w:sz w:val="20"/>
          <w:szCs w:val="20"/>
        </w:rPr>
        <w:t>recognis</w:t>
      </w:r>
      <w:r w:rsidR="004B1FF5">
        <w:rPr>
          <w:rFonts w:cs="Arial"/>
          <w:color w:val="auto"/>
          <w:sz w:val="20"/>
          <w:szCs w:val="20"/>
        </w:rPr>
        <w:t>ed</w:t>
      </w:r>
      <w:r w:rsidR="00F6742F">
        <w:rPr>
          <w:rFonts w:cs="Arial"/>
          <w:color w:val="auto"/>
          <w:sz w:val="20"/>
          <w:szCs w:val="20"/>
        </w:rPr>
        <w:t xml:space="preserve"> an asset of £8m. </w:t>
      </w:r>
      <w:r>
        <w:rPr>
          <w:rFonts w:cs="Arial"/>
          <w:color w:val="auto"/>
          <w:sz w:val="20"/>
          <w:szCs w:val="20"/>
        </w:rPr>
        <w:t xml:space="preserve"> </w:t>
      </w:r>
    </w:p>
    <w:p w:rsidR="004B1FF5" w:rsidRDefault="004B1FF5" w:rsidP="00F31A9D">
      <w:pPr>
        <w:pStyle w:val="BodyText"/>
        <w:widowControl w:val="0"/>
        <w:rPr>
          <w:rFonts w:cs="Arial"/>
          <w:color w:val="auto"/>
          <w:sz w:val="20"/>
          <w:szCs w:val="20"/>
        </w:rPr>
      </w:pPr>
      <w:r>
        <w:rPr>
          <w:rFonts w:cs="Arial"/>
          <w:color w:val="auto"/>
          <w:sz w:val="20"/>
          <w:szCs w:val="20"/>
        </w:rPr>
        <w:t xml:space="preserve">In April 2015 the Energy From Waste facility went live and started to </w:t>
      </w:r>
      <w:r w:rsidR="007E33E1">
        <w:rPr>
          <w:rFonts w:cs="Arial"/>
          <w:color w:val="auto"/>
          <w:sz w:val="20"/>
          <w:szCs w:val="20"/>
        </w:rPr>
        <w:t>receive</w:t>
      </w:r>
      <w:r>
        <w:rPr>
          <w:rFonts w:cs="Arial"/>
          <w:color w:val="auto"/>
          <w:sz w:val="20"/>
          <w:szCs w:val="20"/>
        </w:rPr>
        <w:t xml:space="preserve"> waste from Torbay, Plymouth and Devon Councils. The plant was fina</w:t>
      </w:r>
      <w:r w:rsidR="00627A4E">
        <w:rPr>
          <w:rFonts w:cs="Arial"/>
          <w:color w:val="auto"/>
          <w:sz w:val="20"/>
          <w:szCs w:val="20"/>
        </w:rPr>
        <w:t>nced</w:t>
      </w:r>
      <w:r>
        <w:rPr>
          <w:rFonts w:cs="Arial"/>
          <w:color w:val="auto"/>
          <w:sz w:val="20"/>
          <w:szCs w:val="20"/>
        </w:rPr>
        <w:t xml:space="preserve"> under a 25 year PFI contract and the </w:t>
      </w:r>
      <w:r w:rsidR="007E33E1">
        <w:rPr>
          <w:rFonts w:cs="Arial"/>
          <w:color w:val="auto"/>
          <w:sz w:val="20"/>
          <w:szCs w:val="20"/>
        </w:rPr>
        <w:t>Council’s</w:t>
      </w:r>
      <w:r>
        <w:rPr>
          <w:rFonts w:cs="Arial"/>
          <w:color w:val="auto"/>
          <w:sz w:val="20"/>
          <w:szCs w:val="20"/>
        </w:rPr>
        <w:t xml:space="preserve"> share of the asset (£33m) and the resultant </w:t>
      </w:r>
      <w:r w:rsidR="007E33E1">
        <w:rPr>
          <w:rFonts w:cs="Arial"/>
          <w:color w:val="auto"/>
          <w:sz w:val="20"/>
          <w:szCs w:val="20"/>
        </w:rPr>
        <w:t>liabilities</w:t>
      </w:r>
      <w:r>
        <w:rPr>
          <w:rFonts w:cs="Arial"/>
          <w:color w:val="auto"/>
          <w:sz w:val="20"/>
          <w:szCs w:val="20"/>
        </w:rPr>
        <w:t xml:space="preserve"> (£33m) ha</w:t>
      </w:r>
      <w:r w:rsidR="00BD0A0C">
        <w:rPr>
          <w:rFonts w:cs="Arial"/>
          <w:color w:val="auto"/>
          <w:sz w:val="20"/>
          <w:szCs w:val="20"/>
        </w:rPr>
        <w:t>ve</w:t>
      </w:r>
      <w:r>
        <w:rPr>
          <w:rFonts w:cs="Arial"/>
          <w:color w:val="auto"/>
          <w:sz w:val="20"/>
          <w:szCs w:val="20"/>
        </w:rPr>
        <w:t xml:space="preserve"> been recognised on the balance sheet.</w:t>
      </w:r>
    </w:p>
    <w:p w:rsidR="0060407F" w:rsidRPr="0060407F" w:rsidRDefault="0060407F" w:rsidP="0060407F">
      <w:pPr>
        <w:pStyle w:val="BodyText"/>
        <w:widowControl w:val="0"/>
        <w:rPr>
          <w:rFonts w:cs="Arial"/>
          <w:color w:val="auto"/>
          <w:sz w:val="20"/>
          <w:szCs w:val="20"/>
        </w:rPr>
      </w:pPr>
      <w:r w:rsidRPr="0060407F">
        <w:rPr>
          <w:rFonts w:cs="Arial"/>
          <w:color w:val="auto"/>
          <w:sz w:val="20"/>
          <w:szCs w:val="20"/>
        </w:rPr>
        <w:t>On 1</w:t>
      </w:r>
      <w:r w:rsidRPr="0060407F">
        <w:rPr>
          <w:rFonts w:cs="Arial"/>
          <w:color w:val="auto"/>
          <w:sz w:val="20"/>
          <w:szCs w:val="20"/>
          <w:vertAlign w:val="superscript"/>
        </w:rPr>
        <w:t>st</w:t>
      </w:r>
      <w:r w:rsidRPr="0060407F">
        <w:rPr>
          <w:rFonts w:cs="Arial"/>
          <w:color w:val="auto"/>
          <w:sz w:val="20"/>
          <w:szCs w:val="20"/>
        </w:rPr>
        <w:t xml:space="preserve"> October 2015 Torbay and Southern Devon Health and Care NHS Trust, who the Council commissioned to provide adult social care was acquired by </w:t>
      </w:r>
      <w:r w:rsidR="00495D9F">
        <w:rPr>
          <w:rFonts w:cs="Arial"/>
          <w:color w:val="auto"/>
          <w:sz w:val="20"/>
          <w:szCs w:val="20"/>
        </w:rPr>
        <w:t xml:space="preserve">Torbay and </w:t>
      </w:r>
      <w:r w:rsidRPr="0060407F">
        <w:rPr>
          <w:rFonts w:cs="Arial"/>
          <w:color w:val="auto"/>
          <w:sz w:val="20"/>
          <w:szCs w:val="20"/>
        </w:rPr>
        <w:t xml:space="preserve">South Devon </w:t>
      </w:r>
      <w:r w:rsidR="00495D9F">
        <w:rPr>
          <w:rFonts w:cs="Arial"/>
          <w:color w:val="auto"/>
          <w:sz w:val="20"/>
          <w:szCs w:val="20"/>
        </w:rPr>
        <w:t>NHS</w:t>
      </w:r>
      <w:r w:rsidRPr="0060407F">
        <w:rPr>
          <w:rFonts w:cs="Arial"/>
          <w:color w:val="auto"/>
          <w:sz w:val="20"/>
          <w:szCs w:val="20"/>
        </w:rPr>
        <w:t xml:space="preserve"> Foundation Trust, to form an “Integrated Care organisation” (ICO). The </w:t>
      </w:r>
      <w:r w:rsidR="007E33E1" w:rsidRPr="0060407F">
        <w:rPr>
          <w:rFonts w:cs="Arial"/>
          <w:color w:val="auto"/>
          <w:sz w:val="20"/>
          <w:szCs w:val="20"/>
        </w:rPr>
        <w:t>Council</w:t>
      </w:r>
      <w:r w:rsidRPr="0060407F">
        <w:rPr>
          <w:rFonts w:cs="Arial"/>
          <w:color w:val="auto"/>
          <w:sz w:val="20"/>
          <w:szCs w:val="20"/>
        </w:rPr>
        <w:t xml:space="preserve"> is now in a three way risk share agreement based on the total </w:t>
      </w:r>
      <w:r w:rsidR="007E33E1" w:rsidRPr="0060407F">
        <w:rPr>
          <w:rFonts w:cs="Arial"/>
          <w:color w:val="auto"/>
          <w:sz w:val="20"/>
          <w:szCs w:val="20"/>
        </w:rPr>
        <w:t>financial</w:t>
      </w:r>
      <w:r w:rsidRPr="0060407F">
        <w:rPr>
          <w:rFonts w:cs="Arial"/>
          <w:color w:val="auto"/>
          <w:sz w:val="20"/>
          <w:szCs w:val="20"/>
        </w:rPr>
        <w:t xml:space="preserve"> performance of the ICO along with the ICO</w:t>
      </w:r>
      <w:r w:rsidR="00814136">
        <w:rPr>
          <w:rFonts w:cs="Arial"/>
          <w:color w:val="auto"/>
          <w:sz w:val="20"/>
          <w:szCs w:val="20"/>
        </w:rPr>
        <w:t xml:space="preserve">. The risk is shared ICO </w:t>
      </w:r>
      <w:r w:rsidRPr="0060407F">
        <w:rPr>
          <w:rFonts w:cs="Arial"/>
          <w:color w:val="auto"/>
          <w:sz w:val="20"/>
          <w:szCs w:val="20"/>
        </w:rPr>
        <w:t>(50% share), Clinical Commissio</w:t>
      </w:r>
      <w:r>
        <w:rPr>
          <w:rFonts w:cs="Arial"/>
          <w:color w:val="auto"/>
          <w:sz w:val="20"/>
          <w:szCs w:val="20"/>
        </w:rPr>
        <w:t>ning</w:t>
      </w:r>
      <w:r w:rsidRPr="0060407F">
        <w:rPr>
          <w:rFonts w:cs="Arial"/>
          <w:color w:val="auto"/>
          <w:sz w:val="20"/>
          <w:szCs w:val="20"/>
        </w:rPr>
        <w:t xml:space="preserve"> Gr</w:t>
      </w:r>
      <w:r>
        <w:rPr>
          <w:rFonts w:cs="Arial"/>
          <w:color w:val="auto"/>
          <w:sz w:val="20"/>
          <w:szCs w:val="20"/>
        </w:rPr>
        <w:t>o</w:t>
      </w:r>
      <w:r w:rsidRPr="0060407F">
        <w:rPr>
          <w:rFonts w:cs="Arial"/>
          <w:color w:val="auto"/>
          <w:sz w:val="20"/>
          <w:szCs w:val="20"/>
        </w:rPr>
        <w:t>up (41%</w:t>
      </w:r>
      <w:r w:rsidR="006275DC">
        <w:rPr>
          <w:rFonts w:cs="Arial"/>
          <w:color w:val="auto"/>
          <w:sz w:val="20"/>
          <w:szCs w:val="20"/>
        </w:rPr>
        <w:t xml:space="preserve"> share</w:t>
      </w:r>
      <w:r w:rsidRPr="0060407F">
        <w:rPr>
          <w:rFonts w:cs="Arial"/>
          <w:color w:val="auto"/>
          <w:sz w:val="20"/>
          <w:szCs w:val="20"/>
        </w:rPr>
        <w:t>)</w:t>
      </w:r>
      <w:r w:rsidR="00814136">
        <w:rPr>
          <w:rFonts w:cs="Arial"/>
          <w:color w:val="auto"/>
          <w:sz w:val="20"/>
          <w:szCs w:val="20"/>
        </w:rPr>
        <w:t xml:space="preserve"> and the</w:t>
      </w:r>
      <w:r w:rsidRPr="0060407F">
        <w:rPr>
          <w:rFonts w:cs="Arial"/>
          <w:color w:val="auto"/>
          <w:sz w:val="20"/>
          <w:szCs w:val="20"/>
        </w:rPr>
        <w:t xml:space="preserve"> </w:t>
      </w:r>
      <w:r w:rsidR="007E33E1" w:rsidRPr="0060407F">
        <w:rPr>
          <w:rFonts w:cs="Arial"/>
          <w:color w:val="auto"/>
          <w:sz w:val="20"/>
          <w:szCs w:val="20"/>
        </w:rPr>
        <w:t>Council</w:t>
      </w:r>
      <w:r w:rsidRPr="0060407F">
        <w:rPr>
          <w:rFonts w:cs="Arial"/>
          <w:color w:val="auto"/>
          <w:sz w:val="20"/>
          <w:szCs w:val="20"/>
        </w:rPr>
        <w:t xml:space="preserve"> share is 9%.</w:t>
      </w:r>
    </w:p>
    <w:p w:rsidR="001630DB" w:rsidRPr="00251F59" w:rsidRDefault="001630DB" w:rsidP="001630DB">
      <w:pPr>
        <w:pStyle w:val="BodyText"/>
        <w:widowControl w:val="0"/>
        <w:rPr>
          <w:rFonts w:cs="Arial"/>
          <w:color w:val="auto"/>
          <w:sz w:val="20"/>
          <w:szCs w:val="20"/>
        </w:rPr>
      </w:pPr>
      <w:r w:rsidRPr="00251F59">
        <w:rPr>
          <w:rFonts w:cs="Arial"/>
          <w:color w:val="auto"/>
          <w:sz w:val="20"/>
          <w:szCs w:val="20"/>
        </w:rPr>
        <w:t xml:space="preserve">In 2015/16 the government has introduced a Better Care </w:t>
      </w:r>
      <w:r w:rsidR="00495D9F">
        <w:rPr>
          <w:rFonts w:cs="Arial"/>
          <w:color w:val="auto"/>
          <w:sz w:val="20"/>
          <w:szCs w:val="20"/>
        </w:rPr>
        <w:t>F</w:t>
      </w:r>
      <w:r w:rsidRPr="00251F59">
        <w:rPr>
          <w:rFonts w:cs="Arial"/>
          <w:color w:val="auto"/>
          <w:sz w:val="20"/>
          <w:szCs w:val="20"/>
        </w:rPr>
        <w:t>und, which is an amalgamation of a number of existing social care and health funding streams into one “pooled budget” which w</w:t>
      </w:r>
      <w:r w:rsidR="00251F59">
        <w:rPr>
          <w:rFonts w:cs="Arial"/>
          <w:color w:val="auto"/>
          <w:sz w:val="20"/>
          <w:szCs w:val="20"/>
        </w:rPr>
        <w:t>as</w:t>
      </w:r>
      <w:r w:rsidRPr="00251F59">
        <w:rPr>
          <w:rFonts w:cs="Arial"/>
          <w:color w:val="auto"/>
          <w:sz w:val="20"/>
          <w:szCs w:val="20"/>
        </w:rPr>
        <w:t xml:space="preserve"> administered jointly by the Council and the (NHS) Clinical Commissioning Group.</w:t>
      </w:r>
    </w:p>
    <w:p w:rsidR="00E51139" w:rsidRDefault="00E51139" w:rsidP="00F31A9D">
      <w:pPr>
        <w:pStyle w:val="BodyText"/>
        <w:widowControl w:val="0"/>
        <w:rPr>
          <w:rFonts w:cs="Arial"/>
          <w:color w:val="auto"/>
          <w:sz w:val="20"/>
          <w:szCs w:val="20"/>
        </w:rPr>
      </w:pPr>
      <w:r w:rsidRPr="001D3908">
        <w:rPr>
          <w:rFonts w:cs="Arial"/>
          <w:color w:val="auto"/>
          <w:sz w:val="20"/>
          <w:szCs w:val="20"/>
        </w:rPr>
        <w:t>Council schools continued to convert to Academy status</w:t>
      </w:r>
      <w:r w:rsidR="0035586A" w:rsidRPr="001D3908">
        <w:rPr>
          <w:rFonts w:cs="Arial"/>
          <w:color w:val="auto"/>
          <w:sz w:val="20"/>
          <w:szCs w:val="20"/>
        </w:rPr>
        <w:t xml:space="preserve"> and are now fully independent of the Council</w:t>
      </w:r>
      <w:r w:rsidRPr="001D3908">
        <w:rPr>
          <w:rFonts w:cs="Arial"/>
          <w:color w:val="auto"/>
          <w:sz w:val="20"/>
          <w:szCs w:val="20"/>
        </w:rPr>
        <w:t>. In Torbay, by 31st March 201</w:t>
      </w:r>
      <w:r w:rsidR="001D3908" w:rsidRPr="001D3908">
        <w:rPr>
          <w:rFonts w:cs="Arial"/>
          <w:color w:val="auto"/>
          <w:sz w:val="20"/>
          <w:szCs w:val="20"/>
        </w:rPr>
        <w:t>6</w:t>
      </w:r>
      <w:r w:rsidRPr="001D3908">
        <w:rPr>
          <w:rFonts w:cs="Arial"/>
          <w:color w:val="auto"/>
          <w:sz w:val="20"/>
          <w:szCs w:val="20"/>
        </w:rPr>
        <w:t xml:space="preserve">, a total of </w:t>
      </w:r>
      <w:r w:rsidR="003B74A4" w:rsidRPr="001D3908">
        <w:rPr>
          <w:rFonts w:cs="Arial"/>
          <w:color w:val="auto"/>
          <w:sz w:val="20"/>
          <w:szCs w:val="20"/>
        </w:rPr>
        <w:t>2</w:t>
      </w:r>
      <w:r w:rsidR="00C545BA">
        <w:rPr>
          <w:rFonts w:cs="Arial"/>
          <w:color w:val="auto"/>
          <w:sz w:val="20"/>
          <w:szCs w:val="20"/>
        </w:rPr>
        <w:t>7</w:t>
      </w:r>
      <w:r w:rsidR="00472ACF" w:rsidRPr="001D3908">
        <w:rPr>
          <w:rFonts w:cs="Arial"/>
          <w:color w:val="auto"/>
          <w:sz w:val="20"/>
          <w:szCs w:val="20"/>
        </w:rPr>
        <w:t xml:space="preserve"> </w:t>
      </w:r>
      <w:r w:rsidRPr="001D3908">
        <w:rPr>
          <w:rFonts w:cs="Arial"/>
          <w:color w:val="auto"/>
          <w:sz w:val="20"/>
          <w:szCs w:val="20"/>
        </w:rPr>
        <w:t>schools had converted</w:t>
      </w:r>
      <w:r w:rsidR="0050728E" w:rsidRPr="001D3908">
        <w:rPr>
          <w:rFonts w:cs="Arial"/>
          <w:color w:val="auto"/>
          <w:sz w:val="20"/>
          <w:szCs w:val="20"/>
        </w:rPr>
        <w:t xml:space="preserve"> with </w:t>
      </w:r>
      <w:r w:rsidR="001D3908" w:rsidRPr="001D3908">
        <w:rPr>
          <w:rFonts w:cs="Arial"/>
          <w:color w:val="auto"/>
          <w:sz w:val="20"/>
          <w:szCs w:val="20"/>
        </w:rPr>
        <w:t>3</w:t>
      </w:r>
      <w:r w:rsidR="00821257" w:rsidRPr="001D3908">
        <w:rPr>
          <w:rFonts w:cs="Arial"/>
          <w:color w:val="auto"/>
          <w:sz w:val="20"/>
          <w:szCs w:val="20"/>
        </w:rPr>
        <w:t xml:space="preserve"> schools convert</w:t>
      </w:r>
      <w:r w:rsidR="0050728E" w:rsidRPr="001D3908">
        <w:rPr>
          <w:rFonts w:cs="Arial"/>
          <w:color w:val="auto"/>
          <w:sz w:val="20"/>
          <w:szCs w:val="20"/>
        </w:rPr>
        <w:t>ing</w:t>
      </w:r>
      <w:r w:rsidR="00821257" w:rsidRPr="001D3908">
        <w:rPr>
          <w:rFonts w:cs="Arial"/>
          <w:color w:val="auto"/>
          <w:sz w:val="20"/>
          <w:szCs w:val="20"/>
        </w:rPr>
        <w:t xml:space="preserve"> in 201</w:t>
      </w:r>
      <w:r w:rsidR="001D3908" w:rsidRPr="001D3908">
        <w:rPr>
          <w:rFonts w:cs="Arial"/>
          <w:color w:val="auto"/>
          <w:sz w:val="20"/>
          <w:szCs w:val="20"/>
        </w:rPr>
        <w:t>5</w:t>
      </w:r>
      <w:r w:rsidR="00472ACF" w:rsidRPr="001D3908">
        <w:rPr>
          <w:rFonts w:cs="Arial"/>
          <w:color w:val="auto"/>
          <w:sz w:val="20"/>
          <w:szCs w:val="20"/>
        </w:rPr>
        <w:t>/1</w:t>
      </w:r>
      <w:r w:rsidR="001D3908" w:rsidRPr="001D3908">
        <w:rPr>
          <w:rFonts w:cs="Arial"/>
          <w:color w:val="auto"/>
          <w:sz w:val="20"/>
          <w:szCs w:val="20"/>
        </w:rPr>
        <w:t>6</w:t>
      </w:r>
      <w:r w:rsidR="00821257" w:rsidRPr="001D3908">
        <w:rPr>
          <w:rFonts w:cs="Arial"/>
          <w:color w:val="auto"/>
          <w:sz w:val="20"/>
          <w:szCs w:val="20"/>
        </w:rPr>
        <w:t xml:space="preserve"> and further </w:t>
      </w:r>
      <w:r w:rsidRPr="001D3908">
        <w:rPr>
          <w:rFonts w:cs="Arial"/>
          <w:color w:val="auto"/>
          <w:sz w:val="20"/>
          <w:szCs w:val="20"/>
        </w:rPr>
        <w:t xml:space="preserve">schools </w:t>
      </w:r>
      <w:r w:rsidR="004F1F27" w:rsidRPr="001D3908">
        <w:rPr>
          <w:rFonts w:cs="Arial"/>
          <w:color w:val="auto"/>
          <w:sz w:val="20"/>
          <w:szCs w:val="20"/>
        </w:rPr>
        <w:t xml:space="preserve">possibly </w:t>
      </w:r>
      <w:r w:rsidRPr="001D3908">
        <w:rPr>
          <w:rFonts w:cs="Arial"/>
          <w:color w:val="auto"/>
          <w:sz w:val="20"/>
          <w:szCs w:val="20"/>
        </w:rPr>
        <w:t xml:space="preserve">due to convert in </w:t>
      </w:r>
      <w:r w:rsidR="00472ACF" w:rsidRPr="001D3908">
        <w:rPr>
          <w:rFonts w:cs="Arial"/>
          <w:color w:val="auto"/>
          <w:sz w:val="20"/>
          <w:szCs w:val="20"/>
        </w:rPr>
        <w:t>201</w:t>
      </w:r>
      <w:r w:rsidR="001D3908" w:rsidRPr="001D3908">
        <w:rPr>
          <w:rFonts w:cs="Arial"/>
          <w:color w:val="auto"/>
          <w:sz w:val="20"/>
          <w:szCs w:val="20"/>
        </w:rPr>
        <w:t>6</w:t>
      </w:r>
      <w:r w:rsidR="00472ACF" w:rsidRPr="001D3908">
        <w:rPr>
          <w:rFonts w:cs="Arial"/>
          <w:color w:val="auto"/>
          <w:sz w:val="20"/>
          <w:szCs w:val="20"/>
        </w:rPr>
        <w:t>/1</w:t>
      </w:r>
      <w:r w:rsidR="001D3908" w:rsidRPr="001D3908">
        <w:rPr>
          <w:rFonts w:cs="Arial"/>
          <w:color w:val="auto"/>
          <w:sz w:val="20"/>
          <w:szCs w:val="20"/>
        </w:rPr>
        <w:t>7</w:t>
      </w:r>
      <w:r w:rsidR="0035586A" w:rsidRPr="001D3908">
        <w:rPr>
          <w:rFonts w:cs="Arial"/>
          <w:color w:val="auto"/>
          <w:sz w:val="20"/>
          <w:szCs w:val="20"/>
        </w:rPr>
        <w:t>.</w:t>
      </w:r>
      <w:r w:rsidRPr="001D3908">
        <w:rPr>
          <w:rFonts w:cs="Arial"/>
          <w:color w:val="auto"/>
          <w:sz w:val="20"/>
          <w:szCs w:val="20"/>
        </w:rPr>
        <w:t xml:space="preserve"> </w:t>
      </w:r>
    </w:p>
    <w:p w:rsidR="00E51139" w:rsidRPr="005621BD" w:rsidRDefault="00E51139" w:rsidP="00F31A9D">
      <w:pPr>
        <w:pStyle w:val="BodyText"/>
        <w:widowControl w:val="0"/>
        <w:rPr>
          <w:rFonts w:cs="Arial"/>
          <w:color w:val="auto"/>
          <w:sz w:val="20"/>
          <w:szCs w:val="20"/>
          <w:u w:val="single"/>
        </w:rPr>
      </w:pPr>
      <w:r w:rsidRPr="005621BD">
        <w:rPr>
          <w:rFonts w:cs="Arial"/>
          <w:color w:val="auto"/>
          <w:sz w:val="20"/>
          <w:szCs w:val="20"/>
          <w:u w:val="single"/>
        </w:rPr>
        <w:t xml:space="preserve">Purpose of Financial Review and Statement of Accounts </w:t>
      </w:r>
    </w:p>
    <w:p w:rsidR="000A6129" w:rsidRPr="005621BD" w:rsidRDefault="00E51139" w:rsidP="00F31A9D">
      <w:pPr>
        <w:pStyle w:val="BodyText"/>
        <w:widowControl w:val="0"/>
        <w:rPr>
          <w:rFonts w:cs="Arial"/>
          <w:color w:val="auto"/>
          <w:sz w:val="20"/>
          <w:szCs w:val="20"/>
        </w:rPr>
      </w:pPr>
      <w:r w:rsidRPr="005621BD">
        <w:rPr>
          <w:rFonts w:cs="Arial"/>
          <w:color w:val="auto"/>
          <w:sz w:val="20"/>
          <w:szCs w:val="20"/>
        </w:rPr>
        <w:t xml:space="preserve">The purpose of the </w:t>
      </w:r>
      <w:r w:rsidRPr="005621BD">
        <w:rPr>
          <w:rFonts w:cs="Arial"/>
          <w:color w:val="auto"/>
          <w:sz w:val="20"/>
          <w:szCs w:val="20"/>
          <w:u w:val="single"/>
        </w:rPr>
        <w:t>Statement of Accounts</w:t>
      </w:r>
      <w:r w:rsidRPr="005621BD">
        <w:rPr>
          <w:rFonts w:cs="Arial"/>
          <w:color w:val="auto"/>
          <w:sz w:val="20"/>
          <w:szCs w:val="20"/>
        </w:rPr>
        <w:t xml:space="preserve"> included in this document is to present to the reader a detailed overview of the Council’s financial position as at the end of March 201</w:t>
      </w:r>
      <w:r w:rsidR="005621BD" w:rsidRPr="005621BD">
        <w:rPr>
          <w:rFonts w:cs="Arial"/>
          <w:color w:val="auto"/>
          <w:sz w:val="20"/>
          <w:szCs w:val="20"/>
        </w:rPr>
        <w:t>6</w:t>
      </w:r>
      <w:r w:rsidRPr="005621BD">
        <w:rPr>
          <w:rFonts w:cs="Arial"/>
          <w:color w:val="auto"/>
          <w:sz w:val="20"/>
          <w:szCs w:val="20"/>
        </w:rPr>
        <w:t xml:space="preserve"> giving information as to the Council’s assets and liabilities at a point in time (31</w:t>
      </w:r>
      <w:r w:rsidRPr="005621BD">
        <w:rPr>
          <w:rFonts w:cs="Arial"/>
          <w:color w:val="auto"/>
          <w:sz w:val="20"/>
          <w:szCs w:val="20"/>
          <w:vertAlign w:val="superscript"/>
        </w:rPr>
        <w:t>st</w:t>
      </w:r>
      <w:r w:rsidRPr="005621BD">
        <w:rPr>
          <w:rFonts w:cs="Arial"/>
          <w:color w:val="auto"/>
          <w:sz w:val="20"/>
          <w:szCs w:val="20"/>
        </w:rPr>
        <w:t xml:space="preserve"> March 201</w:t>
      </w:r>
      <w:r w:rsidR="005621BD" w:rsidRPr="005621BD">
        <w:rPr>
          <w:rFonts w:cs="Arial"/>
          <w:color w:val="auto"/>
          <w:sz w:val="20"/>
          <w:szCs w:val="20"/>
        </w:rPr>
        <w:t>6</w:t>
      </w:r>
      <w:r w:rsidRPr="005621BD">
        <w:rPr>
          <w:rFonts w:cs="Arial"/>
          <w:color w:val="auto"/>
          <w:sz w:val="20"/>
          <w:szCs w:val="20"/>
        </w:rPr>
        <w:t xml:space="preserve">) and detail on the Council’s financial performance during </w:t>
      </w:r>
      <w:r w:rsidR="00472ACF" w:rsidRPr="005621BD">
        <w:rPr>
          <w:rFonts w:cs="Arial"/>
          <w:color w:val="auto"/>
          <w:sz w:val="20"/>
          <w:szCs w:val="20"/>
        </w:rPr>
        <w:t>201</w:t>
      </w:r>
      <w:r w:rsidR="005621BD" w:rsidRPr="005621BD">
        <w:rPr>
          <w:rFonts w:cs="Arial"/>
          <w:color w:val="auto"/>
          <w:sz w:val="20"/>
          <w:szCs w:val="20"/>
        </w:rPr>
        <w:t>5</w:t>
      </w:r>
      <w:r w:rsidR="00472ACF" w:rsidRPr="005621BD">
        <w:rPr>
          <w:rFonts w:cs="Arial"/>
          <w:color w:val="auto"/>
          <w:sz w:val="20"/>
          <w:szCs w:val="20"/>
        </w:rPr>
        <w:t>/1</w:t>
      </w:r>
      <w:r w:rsidR="005621BD" w:rsidRPr="005621BD">
        <w:rPr>
          <w:rFonts w:cs="Arial"/>
          <w:color w:val="auto"/>
          <w:sz w:val="20"/>
          <w:szCs w:val="20"/>
        </w:rPr>
        <w:t>6</w:t>
      </w:r>
      <w:r w:rsidRPr="005621BD">
        <w:rPr>
          <w:rFonts w:cs="Arial"/>
          <w:color w:val="auto"/>
          <w:sz w:val="20"/>
          <w:szCs w:val="20"/>
        </w:rPr>
        <w:t xml:space="preserve">. This information is, where material, supported by notes to the accounts. </w:t>
      </w:r>
      <w:r w:rsidR="000A6129" w:rsidRPr="005621BD">
        <w:rPr>
          <w:rFonts w:cs="Arial"/>
          <w:color w:val="auto"/>
          <w:sz w:val="20"/>
          <w:szCs w:val="20"/>
        </w:rPr>
        <w:t>The Accounts and Audit Regulations require a Statement</w:t>
      </w:r>
      <w:r w:rsidRPr="005621BD">
        <w:rPr>
          <w:rFonts w:cs="Arial"/>
          <w:color w:val="auto"/>
          <w:sz w:val="20"/>
          <w:szCs w:val="20"/>
        </w:rPr>
        <w:t xml:space="preserve"> of Account</w:t>
      </w:r>
      <w:r w:rsidR="000A6129" w:rsidRPr="005621BD">
        <w:rPr>
          <w:rFonts w:cs="Arial"/>
          <w:color w:val="auto"/>
          <w:sz w:val="20"/>
          <w:szCs w:val="20"/>
        </w:rPr>
        <w:t>s</w:t>
      </w:r>
      <w:r w:rsidRPr="005621BD">
        <w:rPr>
          <w:rFonts w:cs="Arial"/>
          <w:color w:val="auto"/>
          <w:sz w:val="20"/>
          <w:szCs w:val="20"/>
        </w:rPr>
        <w:t xml:space="preserve"> to be produced for each financial year by </w:t>
      </w:r>
      <w:r w:rsidR="00621053" w:rsidRPr="005621BD">
        <w:rPr>
          <w:rFonts w:cs="Arial"/>
          <w:color w:val="auto"/>
          <w:sz w:val="20"/>
          <w:szCs w:val="20"/>
        </w:rPr>
        <w:t xml:space="preserve">the </w:t>
      </w:r>
      <w:r w:rsidRPr="005621BD">
        <w:rPr>
          <w:rFonts w:cs="Arial"/>
          <w:color w:val="auto"/>
          <w:sz w:val="20"/>
          <w:szCs w:val="20"/>
        </w:rPr>
        <w:t>end of June</w:t>
      </w:r>
      <w:r w:rsidR="000A6129" w:rsidRPr="005621BD">
        <w:rPr>
          <w:rFonts w:cs="Arial"/>
          <w:color w:val="auto"/>
          <w:sz w:val="20"/>
          <w:szCs w:val="20"/>
        </w:rPr>
        <w:t>.</w:t>
      </w:r>
    </w:p>
    <w:p w:rsidR="00E51139" w:rsidRPr="00BB2406" w:rsidRDefault="00E51139" w:rsidP="00F31A9D">
      <w:pPr>
        <w:pStyle w:val="BodyText"/>
        <w:widowControl w:val="0"/>
        <w:rPr>
          <w:rFonts w:cs="Arial"/>
          <w:color w:val="auto"/>
          <w:sz w:val="20"/>
          <w:szCs w:val="20"/>
        </w:rPr>
      </w:pPr>
      <w:r w:rsidRPr="00BB2406">
        <w:rPr>
          <w:rFonts w:cs="Arial"/>
          <w:color w:val="auto"/>
          <w:sz w:val="20"/>
          <w:szCs w:val="20"/>
        </w:rPr>
        <w:t xml:space="preserve">The format of this Financial Report is this </w:t>
      </w:r>
      <w:r w:rsidR="005621BD" w:rsidRPr="00BB2406">
        <w:rPr>
          <w:rFonts w:cs="Arial"/>
          <w:color w:val="auto"/>
          <w:sz w:val="20"/>
          <w:szCs w:val="20"/>
          <w:u w:val="single"/>
        </w:rPr>
        <w:t>Narrative Statement</w:t>
      </w:r>
      <w:r w:rsidR="005621BD" w:rsidRPr="00BB2406">
        <w:rPr>
          <w:rFonts w:cs="Arial"/>
          <w:color w:val="auto"/>
          <w:sz w:val="20"/>
          <w:szCs w:val="20"/>
        </w:rPr>
        <w:t xml:space="preserve"> </w:t>
      </w:r>
      <w:r w:rsidRPr="00BB2406">
        <w:rPr>
          <w:rFonts w:cs="Arial"/>
          <w:color w:val="auto"/>
          <w:sz w:val="20"/>
          <w:szCs w:val="20"/>
        </w:rPr>
        <w:t xml:space="preserve">followed by the Statement of Accounts including the </w:t>
      </w:r>
      <w:r w:rsidRPr="00BB2406">
        <w:rPr>
          <w:rFonts w:cs="Arial"/>
          <w:color w:val="auto"/>
          <w:sz w:val="20"/>
          <w:szCs w:val="20"/>
          <w:u w:val="single"/>
        </w:rPr>
        <w:t xml:space="preserve">Core Financial Statements for </w:t>
      </w:r>
      <w:r w:rsidR="00472ACF" w:rsidRPr="00BB2406">
        <w:rPr>
          <w:rFonts w:cs="Arial"/>
          <w:color w:val="auto"/>
          <w:sz w:val="20"/>
          <w:szCs w:val="20"/>
          <w:u w:val="single"/>
        </w:rPr>
        <w:t>201</w:t>
      </w:r>
      <w:r w:rsidR="005621BD" w:rsidRPr="00BB2406">
        <w:rPr>
          <w:rFonts w:cs="Arial"/>
          <w:color w:val="auto"/>
          <w:sz w:val="20"/>
          <w:szCs w:val="20"/>
          <w:u w:val="single"/>
        </w:rPr>
        <w:t>5</w:t>
      </w:r>
      <w:r w:rsidR="00472ACF" w:rsidRPr="00BB2406">
        <w:rPr>
          <w:rFonts w:cs="Arial"/>
          <w:color w:val="auto"/>
          <w:sz w:val="20"/>
          <w:szCs w:val="20"/>
          <w:u w:val="single"/>
        </w:rPr>
        <w:t>/1</w:t>
      </w:r>
      <w:r w:rsidR="005621BD" w:rsidRPr="00BB2406">
        <w:rPr>
          <w:rFonts w:cs="Arial"/>
          <w:color w:val="auto"/>
          <w:sz w:val="20"/>
          <w:szCs w:val="20"/>
          <w:u w:val="single"/>
        </w:rPr>
        <w:t>6</w:t>
      </w:r>
      <w:r w:rsidRPr="00BB2406">
        <w:rPr>
          <w:rFonts w:cs="Arial"/>
          <w:color w:val="auto"/>
          <w:sz w:val="20"/>
          <w:szCs w:val="20"/>
        </w:rPr>
        <w:t xml:space="preserve">, and the supporting notes to those core financial statements and </w:t>
      </w:r>
      <w:r w:rsidRPr="00BB2406">
        <w:rPr>
          <w:rFonts w:cs="Arial"/>
          <w:color w:val="auto"/>
          <w:sz w:val="20"/>
          <w:szCs w:val="20"/>
          <w:u w:val="single"/>
        </w:rPr>
        <w:t>Collection Fund Summary Account</w:t>
      </w:r>
      <w:r w:rsidRPr="00BB2406">
        <w:rPr>
          <w:rFonts w:cs="Arial"/>
          <w:color w:val="auto"/>
          <w:sz w:val="20"/>
          <w:szCs w:val="20"/>
        </w:rPr>
        <w:t xml:space="preserve"> (for the accounting for the collection of NNDR and Council Tax) and lastly the </w:t>
      </w:r>
      <w:r w:rsidRPr="00BB2406">
        <w:rPr>
          <w:rFonts w:cs="Arial"/>
          <w:color w:val="auto"/>
          <w:sz w:val="20"/>
          <w:szCs w:val="20"/>
          <w:u w:val="single"/>
        </w:rPr>
        <w:t>Annual Governance Statement</w:t>
      </w:r>
      <w:r w:rsidRPr="00BB2406">
        <w:rPr>
          <w:rFonts w:cs="Arial"/>
          <w:color w:val="auto"/>
          <w:sz w:val="20"/>
          <w:szCs w:val="20"/>
        </w:rPr>
        <w:t>.</w:t>
      </w:r>
    </w:p>
    <w:p w:rsidR="00E51139" w:rsidRPr="00BB2406" w:rsidRDefault="00E51139" w:rsidP="00F31A9D">
      <w:pPr>
        <w:pStyle w:val="BodyText"/>
        <w:widowControl w:val="0"/>
        <w:rPr>
          <w:rFonts w:cs="Arial"/>
          <w:color w:val="auto"/>
          <w:sz w:val="20"/>
          <w:szCs w:val="20"/>
        </w:rPr>
      </w:pPr>
      <w:r w:rsidRPr="00BB2406">
        <w:rPr>
          <w:rFonts w:cs="Arial"/>
          <w:color w:val="auto"/>
          <w:sz w:val="20"/>
          <w:szCs w:val="20"/>
        </w:rPr>
        <w:t>The form and content of these accounts is highly prescribed, by the CIPFA Code of Practice, and is produced on an International Financial Reporting Standards</w:t>
      </w:r>
      <w:r w:rsidR="000A6129" w:rsidRPr="00BB2406">
        <w:rPr>
          <w:rFonts w:cs="Arial"/>
          <w:color w:val="auto"/>
          <w:sz w:val="20"/>
          <w:szCs w:val="20"/>
        </w:rPr>
        <w:t xml:space="preserve"> (IFRS</w:t>
      </w:r>
      <w:r w:rsidRPr="00BB2406">
        <w:rPr>
          <w:rFonts w:cs="Arial"/>
          <w:color w:val="auto"/>
          <w:sz w:val="20"/>
          <w:szCs w:val="20"/>
        </w:rPr>
        <w:t>)</w:t>
      </w:r>
      <w:r w:rsidR="000A6129" w:rsidRPr="00BB2406">
        <w:rPr>
          <w:rFonts w:cs="Arial"/>
          <w:color w:val="auto"/>
          <w:sz w:val="20"/>
          <w:szCs w:val="20"/>
        </w:rPr>
        <w:t xml:space="preserve"> basis</w:t>
      </w:r>
      <w:r w:rsidRPr="00BB2406">
        <w:rPr>
          <w:rFonts w:cs="Arial"/>
          <w:color w:val="auto"/>
          <w:sz w:val="20"/>
          <w:szCs w:val="20"/>
        </w:rPr>
        <w:t>. The classification of costs, income and services under IFRS and the “Code of Practice” is different to the Council’s internal financial reporting</w:t>
      </w:r>
      <w:r w:rsidR="00E524AD">
        <w:rPr>
          <w:rFonts w:cs="Arial"/>
          <w:color w:val="auto"/>
          <w:sz w:val="20"/>
          <w:szCs w:val="20"/>
        </w:rPr>
        <w:t xml:space="preserve"> to management</w:t>
      </w:r>
      <w:r w:rsidRPr="00BB2406">
        <w:rPr>
          <w:rFonts w:cs="Arial"/>
          <w:color w:val="auto"/>
          <w:sz w:val="20"/>
          <w:szCs w:val="20"/>
        </w:rPr>
        <w:t>.</w:t>
      </w:r>
    </w:p>
    <w:p w:rsidR="00E51139" w:rsidRPr="00097A4D" w:rsidRDefault="00E51139" w:rsidP="00F31A9D">
      <w:pPr>
        <w:pStyle w:val="BodyText"/>
        <w:widowControl w:val="0"/>
        <w:rPr>
          <w:rFonts w:cs="Arial"/>
          <w:color w:val="auto"/>
          <w:sz w:val="20"/>
          <w:szCs w:val="20"/>
          <w:u w:val="single"/>
        </w:rPr>
      </w:pPr>
      <w:r w:rsidRPr="00097A4D">
        <w:rPr>
          <w:rFonts w:cs="Arial"/>
          <w:color w:val="auto"/>
          <w:sz w:val="20"/>
          <w:szCs w:val="20"/>
          <w:u w:val="single"/>
        </w:rPr>
        <w:t>External Audit and Public Inspection of the Accounts</w:t>
      </w:r>
    </w:p>
    <w:p w:rsidR="00D14E0D" w:rsidRPr="00097A4D" w:rsidRDefault="00E51139" w:rsidP="00952835">
      <w:pPr>
        <w:pStyle w:val="BodyText"/>
        <w:widowControl w:val="0"/>
        <w:rPr>
          <w:rFonts w:cs="Arial"/>
          <w:color w:val="auto"/>
          <w:sz w:val="20"/>
          <w:szCs w:val="20"/>
        </w:rPr>
      </w:pPr>
      <w:r w:rsidRPr="00097A4D">
        <w:rPr>
          <w:rFonts w:cs="Arial"/>
          <w:color w:val="auto"/>
          <w:sz w:val="20"/>
          <w:szCs w:val="20"/>
        </w:rPr>
        <w:t>The Accounts are subject to a detailed audit by the Council’s external auditor (Grant Thornton</w:t>
      </w:r>
      <w:r w:rsidR="009A394B" w:rsidRPr="00097A4D">
        <w:rPr>
          <w:rFonts w:cs="Arial"/>
          <w:color w:val="auto"/>
          <w:sz w:val="20"/>
          <w:szCs w:val="20"/>
        </w:rPr>
        <w:t xml:space="preserve"> UK LLP</w:t>
      </w:r>
      <w:r w:rsidRPr="00097A4D">
        <w:rPr>
          <w:rFonts w:cs="Arial"/>
          <w:color w:val="auto"/>
          <w:sz w:val="20"/>
          <w:szCs w:val="20"/>
        </w:rPr>
        <w:t>). Under the Accounts and Audit Regulations</w:t>
      </w:r>
      <w:r w:rsidR="00EF4B69" w:rsidRPr="00097A4D">
        <w:rPr>
          <w:rFonts w:cs="Arial"/>
          <w:color w:val="auto"/>
          <w:sz w:val="20"/>
          <w:szCs w:val="20"/>
        </w:rPr>
        <w:t>,</w:t>
      </w:r>
      <w:r w:rsidRPr="00097A4D">
        <w:rPr>
          <w:rFonts w:cs="Arial"/>
          <w:color w:val="auto"/>
          <w:sz w:val="20"/>
          <w:szCs w:val="20"/>
        </w:rPr>
        <w:t xml:space="preserve"> the Accounts, with its supporting documents, are available for public inspection. Full details are available from Financial Services at Torquay Town Hall or on the Council’s website at:- </w:t>
      </w:r>
    </w:p>
    <w:p w:rsidR="00E51139" w:rsidRPr="00097A4D" w:rsidRDefault="00C555E7" w:rsidP="00952835">
      <w:pPr>
        <w:pStyle w:val="BodyText"/>
        <w:widowControl w:val="0"/>
        <w:rPr>
          <w:rFonts w:cs="Arial"/>
          <w:color w:val="auto"/>
          <w:sz w:val="20"/>
          <w:szCs w:val="20"/>
        </w:rPr>
      </w:pPr>
      <w:hyperlink r:id="rId18" w:history="1">
        <w:r w:rsidR="00E51139" w:rsidRPr="00097A4D">
          <w:rPr>
            <w:rStyle w:val="Hyperlink"/>
            <w:rFonts w:cs="Arial"/>
            <w:color w:val="auto"/>
            <w:sz w:val="20"/>
            <w:szCs w:val="20"/>
          </w:rPr>
          <w:t>http://www.torbay.gov.uk/index/council/financial_services/accountsinspection.htm</w:t>
        </w:r>
      </w:hyperlink>
      <w:r w:rsidR="00E51139" w:rsidRPr="00097A4D">
        <w:rPr>
          <w:rFonts w:cs="Arial"/>
          <w:color w:val="auto"/>
          <w:sz w:val="20"/>
          <w:szCs w:val="20"/>
        </w:rPr>
        <w:t xml:space="preserve"> </w:t>
      </w:r>
    </w:p>
    <w:p w:rsidR="00E51139" w:rsidRPr="00097A4D" w:rsidRDefault="00E51139" w:rsidP="00F31A9D">
      <w:pPr>
        <w:pStyle w:val="BodyText"/>
        <w:widowControl w:val="0"/>
        <w:rPr>
          <w:rFonts w:cs="Arial"/>
          <w:color w:val="auto"/>
          <w:sz w:val="20"/>
          <w:szCs w:val="20"/>
          <w:u w:val="single"/>
        </w:rPr>
      </w:pPr>
      <w:r w:rsidRPr="00097A4D">
        <w:rPr>
          <w:rFonts w:cs="Arial"/>
          <w:color w:val="auto"/>
          <w:sz w:val="20"/>
          <w:szCs w:val="20"/>
          <w:u w:val="single"/>
        </w:rPr>
        <w:lastRenderedPageBreak/>
        <w:t>Annual Governance Statement</w:t>
      </w:r>
    </w:p>
    <w:p w:rsidR="00E51139" w:rsidRPr="00097A4D" w:rsidRDefault="00E51139" w:rsidP="00F31A9D">
      <w:pPr>
        <w:pStyle w:val="BodyText"/>
        <w:widowControl w:val="0"/>
        <w:rPr>
          <w:rFonts w:cs="Arial"/>
          <w:color w:val="auto"/>
          <w:sz w:val="20"/>
          <w:szCs w:val="20"/>
        </w:rPr>
      </w:pPr>
      <w:r w:rsidRPr="00097A4D">
        <w:rPr>
          <w:rFonts w:cs="Arial"/>
          <w:color w:val="auto"/>
          <w:sz w:val="20"/>
          <w:szCs w:val="20"/>
        </w:rPr>
        <w:t xml:space="preserve">The Council, under the Accounts and Audit Regulations must approve an Annual Governance Statement prepared in accordance with proper practices in relation to internal controls. The </w:t>
      </w:r>
      <w:r w:rsidR="00472ACF" w:rsidRPr="00097A4D">
        <w:rPr>
          <w:rFonts w:cs="Arial"/>
          <w:color w:val="auto"/>
          <w:sz w:val="20"/>
          <w:szCs w:val="20"/>
        </w:rPr>
        <w:t>201</w:t>
      </w:r>
      <w:r w:rsidR="00097A4D" w:rsidRPr="00097A4D">
        <w:rPr>
          <w:rFonts w:cs="Arial"/>
          <w:color w:val="auto"/>
          <w:sz w:val="20"/>
          <w:szCs w:val="20"/>
        </w:rPr>
        <w:t>5</w:t>
      </w:r>
      <w:r w:rsidR="00472ACF" w:rsidRPr="00097A4D">
        <w:rPr>
          <w:rFonts w:cs="Arial"/>
          <w:color w:val="auto"/>
          <w:sz w:val="20"/>
          <w:szCs w:val="20"/>
        </w:rPr>
        <w:t>/1</w:t>
      </w:r>
      <w:r w:rsidR="00097A4D" w:rsidRPr="00097A4D">
        <w:rPr>
          <w:rFonts w:cs="Arial"/>
          <w:color w:val="auto"/>
          <w:sz w:val="20"/>
          <w:szCs w:val="20"/>
        </w:rPr>
        <w:t>6</w:t>
      </w:r>
      <w:r w:rsidRPr="00097A4D">
        <w:rPr>
          <w:rFonts w:cs="Arial"/>
          <w:color w:val="auto"/>
          <w:sz w:val="20"/>
          <w:szCs w:val="20"/>
        </w:rPr>
        <w:t xml:space="preserve"> statement has been included within this Financial Report, but is not part of the Accounts and is outside the external auditor’s opinion on the Accounts.  </w:t>
      </w:r>
    </w:p>
    <w:p w:rsidR="00E51139" w:rsidRPr="00097A4D" w:rsidRDefault="00E51139" w:rsidP="00F31A9D">
      <w:pPr>
        <w:pStyle w:val="BodyText"/>
        <w:widowControl w:val="0"/>
        <w:rPr>
          <w:rFonts w:cs="Arial"/>
          <w:color w:val="auto"/>
          <w:sz w:val="20"/>
          <w:szCs w:val="20"/>
          <w:u w:val="single"/>
        </w:rPr>
      </w:pPr>
      <w:r w:rsidRPr="00097A4D">
        <w:rPr>
          <w:rFonts w:cs="Arial"/>
          <w:color w:val="auto"/>
          <w:sz w:val="20"/>
          <w:szCs w:val="20"/>
          <w:u w:val="single"/>
        </w:rPr>
        <w:t>Rounding</w:t>
      </w:r>
    </w:p>
    <w:p w:rsidR="00E51139" w:rsidRPr="00097A4D" w:rsidRDefault="00E51139" w:rsidP="00F31A9D">
      <w:pPr>
        <w:pStyle w:val="BodyText"/>
        <w:widowControl w:val="0"/>
        <w:rPr>
          <w:rFonts w:cs="Arial"/>
          <w:color w:val="auto"/>
          <w:sz w:val="20"/>
          <w:szCs w:val="20"/>
        </w:rPr>
      </w:pPr>
      <w:r w:rsidRPr="00097A4D">
        <w:rPr>
          <w:rFonts w:cs="Arial"/>
          <w:color w:val="auto"/>
          <w:sz w:val="20"/>
          <w:szCs w:val="20"/>
        </w:rPr>
        <w:t>The figures in these accounts are presented to the neare</w:t>
      </w:r>
      <w:r w:rsidR="00923BBD" w:rsidRPr="00097A4D">
        <w:rPr>
          <w:rFonts w:cs="Arial"/>
          <w:color w:val="auto"/>
          <w:sz w:val="20"/>
          <w:szCs w:val="20"/>
        </w:rPr>
        <w:t>st £100,000 – (i.e. £0.1</w:t>
      </w:r>
      <w:r w:rsidR="00FB55B3" w:rsidRPr="00097A4D">
        <w:rPr>
          <w:rFonts w:cs="Arial"/>
          <w:color w:val="auto"/>
          <w:sz w:val="20"/>
          <w:szCs w:val="20"/>
        </w:rPr>
        <w:t>m</w:t>
      </w:r>
      <w:r w:rsidRPr="00097A4D">
        <w:rPr>
          <w:rFonts w:cs="Arial"/>
          <w:color w:val="auto"/>
          <w:sz w:val="20"/>
          <w:szCs w:val="20"/>
        </w:rPr>
        <w:t>)</w:t>
      </w:r>
    </w:p>
    <w:p w:rsidR="003F38FC" w:rsidRPr="000F4C1C" w:rsidRDefault="009879D2" w:rsidP="00F31A9D">
      <w:pPr>
        <w:pStyle w:val="BodyText"/>
        <w:widowControl w:val="0"/>
        <w:rPr>
          <w:rFonts w:cs="Arial"/>
          <w:color w:val="auto"/>
          <w:sz w:val="20"/>
          <w:szCs w:val="20"/>
          <w:u w:val="single"/>
        </w:rPr>
      </w:pPr>
      <w:r w:rsidRPr="000F4C1C">
        <w:rPr>
          <w:rFonts w:cs="Arial"/>
          <w:color w:val="auto"/>
          <w:sz w:val="20"/>
          <w:szCs w:val="20"/>
          <w:u w:val="single"/>
        </w:rPr>
        <w:t>“</w:t>
      </w:r>
      <w:r w:rsidR="003F38FC" w:rsidRPr="000F4C1C">
        <w:rPr>
          <w:rFonts w:cs="Arial"/>
          <w:color w:val="auto"/>
          <w:sz w:val="20"/>
          <w:szCs w:val="20"/>
          <w:u w:val="single"/>
        </w:rPr>
        <w:t>Cutting the Clutter</w:t>
      </w:r>
      <w:r w:rsidRPr="000F4C1C">
        <w:rPr>
          <w:rFonts w:cs="Arial"/>
          <w:color w:val="auto"/>
          <w:sz w:val="20"/>
          <w:szCs w:val="20"/>
          <w:u w:val="single"/>
        </w:rPr>
        <w:t>”</w:t>
      </w:r>
    </w:p>
    <w:p w:rsidR="003F38FC" w:rsidRPr="000F4C1C" w:rsidRDefault="003F38FC" w:rsidP="00F31A9D">
      <w:pPr>
        <w:pStyle w:val="BodyText"/>
        <w:widowControl w:val="0"/>
        <w:rPr>
          <w:rFonts w:cs="Arial"/>
          <w:color w:val="auto"/>
          <w:sz w:val="20"/>
          <w:szCs w:val="20"/>
        </w:rPr>
      </w:pPr>
      <w:r w:rsidRPr="000F4C1C">
        <w:rPr>
          <w:rFonts w:cs="Arial"/>
          <w:color w:val="auto"/>
          <w:sz w:val="20"/>
          <w:szCs w:val="20"/>
        </w:rPr>
        <w:t xml:space="preserve">CIPFA, who provide guidance to Councils on the format and content of accounts are encouraging Councils to reduce the length of their accounts by removing </w:t>
      </w:r>
      <w:r w:rsidR="007E33E1" w:rsidRPr="000F4C1C">
        <w:rPr>
          <w:rFonts w:cs="Arial"/>
          <w:color w:val="auto"/>
          <w:sz w:val="20"/>
          <w:szCs w:val="20"/>
        </w:rPr>
        <w:t>unnecessary</w:t>
      </w:r>
      <w:r w:rsidRPr="000F4C1C">
        <w:rPr>
          <w:rFonts w:cs="Arial"/>
          <w:color w:val="auto"/>
          <w:sz w:val="20"/>
          <w:szCs w:val="20"/>
        </w:rPr>
        <w:t xml:space="preserve"> wording, duplicate information and to remove notes that are “not material”. The Co</w:t>
      </w:r>
      <w:r w:rsidR="00F33FDE" w:rsidRPr="000F4C1C">
        <w:rPr>
          <w:rFonts w:cs="Arial"/>
          <w:color w:val="auto"/>
          <w:sz w:val="20"/>
          <w:szCs w:val="20"/>
        </w:rPr>
        <w:t>uncil</w:t>
      </w:r>
      <w:r w:rsidRPr="000F4C1C">
        <w:rPr>
          <w:rFonts w:cs="Arial"/>
          <w:color w:val="auto"/>
          <w:sz w:val="20"/>
          <w:szCs w:val="20"/>
        </w:rPr>
        <w:t xml:space="preserve">, with support from its external auditor, has removed some notes </w:t>
      </w:r>
      <w:r w:rsidR="00F60B1F" w:rsidRPr="000F4C1C">
        <w:rPr>
          <w:rFonts w:cs="Arial"/>
          <w:color w:val="auto"/>
          <w:sz w:val="20"/>
          <w:szCs w:val="20"/>
        </w:rPr>
        <w:t>and accou</w:t>
      </w:r>
      <w:r w:rsidR="00BF1B46" w:rsidRPr="000F4C1C">
        <w:rPr>
          <w:rFonts w:cs="Arial"/>
          <w:color w:val="auto"/>
          <w:sz w:val="20"/>
          <w:szCs w:val="20"/>
        </w:rPr>
        <w:t>nting</w:t>
      </w:r>
      <w:r w:rsidR="00F60B1F" w:rsidRPr="000F4C1C">
        <w:rPr>
          <w:rFonts w:cs="Arial"/>
          <w:color w:val="auto"/>
          <w:sz w:val="20"/>
          <w:szCs w:val="20"/>
        </w:rPr>
        <w:t xml:space="preserve"> polices </w:t>
      </w:r>
      <w:r w:rsidRPr="000F4C1C">
        <w:rPr>
          <w:rFonts w:cs="Arial"/>
          <w:color w:val="auto"/>
          <w:sz w:val="20"/>
          <w:szCs w:val="20"/>
        </w:rPr>
        <w:t>that are not material</w:t>
      </w:r>
      <w:r w:rsidR="00BF1B46" w:rsidRPr="000F4C1C">
        <w:rPr>
          <w:rFonts w:cs="Arial"/>
          <w:color w:val="auto"/>
          <w:sz w:val="20"/>
          <w:szCs w:val="20"/>
        </w:rPr>
        <w:t xml:space="preserve"> or significant</w:t>
      </w:r>
      <w:r w:rsidRPr="000F4C1C">
        <w:rPr>
          <w:rFonts w:cs="Arial"/>
          <w:color w:val="auto"/>
          <w:sz w:val="20"/>
          <w:szCs w:val="20"/>
        </w:rPr>
        <w:t xml:space="preserve">. </w:t>
      </w:r>
      <w:r w:rsidR="006C378D" w:rsidRPr="000F4C1C">
        <w:rPr>
          <w:rFonts w:cs="Arial"/>
          <w:color w:val="auto"/>
          <w:sz w:val="20"/>
          <w:szCs w:val="20"/>
        </w:rPr>
        <w:t>In additio</w:t>
      </w:r>
      <w:r w:rsidR="00F60B1F" w:rsidRPr="000F4C1C">
        <w:rPr>
          <w:rFonts w:cs="Arial"/>
          <w:color w:val="auto"/>
          <w:sz w:val="20"/>
          <w:szCs w:val="20"/>
        </w:rPr>
        <w:t xml:space="preserve">n a number of tables have been </w:t>
      </w:r>
      <w:r w:rsidR="007E33E1" w:rsidRPr="000F4C1C">
        <w:rPr>
          <w:rFonts w:cs="Arial"/>
          <w:color w:val="auto"/>
          <w:sz w:val="20"/>
          <w:szCs w:val="20"/>
        </w:rPr>
        <w:t>reformatted</w:t>
      </w:r>
      <w:r w:rsidR="00F60B1F" w:rsidRPr="000F4C1C">
        <w:rPr>
          <w:rFonts w:cs="Arial"/>
          <w:color w:val="auto"/>
          <w:sz w:val="20"/>
          <w:szCs w:val="20"/>
        </w:rPr>
        <w:t xml:space="preserve"> for both clarity and to combine information. </w:t>
      </w:r>
      <w:r w:rsidR="007E33E1" w:rsidRPr="000F4C1C">
        <w:rPr>
          <w:rFonts w:cs="Arial"/>
          <w:color w:val="auto"/>
          <w:sz w:val="20"/>
          <w:szCs w:val="20"/>
        </w:rPr>
        <w:t>Materiality</w:t>
      </w:r>
      <w:r w:rsidRPr="000F4C1C">
        <w:rPr>
          <w:rFonts w:cs="Arial"/>
          <w:color w:val="auto"/>
          <w:sz w:val="20"/>
          <w:szCs w:val="20"/>
        </w:rPr>
        <w:t xml:space="preserve"> has been taken to be values under £4m.</w:t>
      </w:r>
      <w:r w:rsidR="00710D1B" w:rsidRPr="000F4C1C">
        <w:rPr>
          <w:rFonts w:cs="Arial"/>
          <w:color w:val="auto"/>
          <w:sz w:val="20"/>
          <w:szCs w:val="20"/>
        </w:rPr>
        <w:t xml:space="preserve"> However, despite this the Accounts are a technical document and due to statutory requirements it is still a lengthy and complicated document.</w:t>
      </w:r>
    </w:p>
    <w:p w:rsidR="00E51139" w:rsidRPr="000F4C1C" w:rsidRDefault="00E51139" w:rsidP="00F31A9D">
      <w:pPr>
        <w:pStyle w:val="BodyText"/>
        <w:widowControl w:val="0"/>
        <w:rPr>
          <w:rFonts w:cs="Arial"/>
          <w:color w:val="auto"/>
          <w:sz w:val="20"/>
          <w:szCs w:val="20"/>
          <w:u w:val="single"/>
        </w:rPr>
      </w:pPr>
      <w:r w:rsidRPr="000F4C1C">
        <w:rPr>
          <w:rFonts w:cs="Arial"/>
          <w:color w:val="auto"/>
          <w:sz w:val="20"/>
          <w:szCs w:val="20"/>
          <w:u w:val="single"/>
        </w:rPr>
        <w:t>Overview of Financial Performance</w:t>
      </w:r>
    </w:p>
    <w:p w:rsidR="00E91F49" w:rsidRDefault="00E51139" w:rsidP="00F31A9D">
      <w:pPr>
        <w:pStyle w:val="BodyText"/>
        <w:widowControl w:val="0"/>
        <w:rPr>
          <w:rFonts w:cs="Arial"/>
          <w:color w:val="auto"/>
          <w:sz w:val="20"/>
          <w:szCs w:val="20"/>
        </w:rPr>
      </w:pPr>
      <w:r w:rsidRPr="000F4C1C">
        <w:rPr>
          <w:rFonts w:cs="Arial"/>
          <w:color w:val="auto"/>
          <w:sz w:val="20"/>
          <w:szCs w:val="20"/>
        </w:rPr>
        <w:t>This was again a very challenging financial year for the Council with the requirement to make reductions of £</w:t>
      </w:r>
      <w:r w:rsidR="000F4C1C" w:rsidRPr="000F4C1C">
        <w:rPr>
          <w:rFonts w:cs="Arial"/>
          <w:color w:val="auto"/>
          <w:sz w:val="20"/>
          <w:szCs w:val="20"/>
        </w:rPr>
        <w:t>11</w:t>
      </w:r>
      <w:r w:rsidRPr="000F4C1C">
        <w:rPr>
          <w:rFonts w:cs="Arial"/>
          <w:color w:val="auto"/>
          <w:sz w:val="20"/>
          <w:szCs w:val="20"/>
        </w:rPr>
        <w:t xml:space="preserve">m as well as facing increasing demand for </w:t>
      </w:r>
      <w:r w:rsidR="00710D1B" w:rsidRPr="000F4C1C">
        <w:rPr>
          <w:rFonts w:cs="Arial"/>
          <w:color w:val="auto"/>
          <w:sz w:val="20"/>
          <w:szCs w:val="20"/>
        </w:rPr>
        <w:t xml:space="preserve">childrens’ </w:t>
      </w:r>
      <w:r w:rsidRPr="000F4C1C">
        <w:rPr>
          <w:rFonts w:cs="Arial"/>
          <w:color w:val="auto"/>
          <w:sz w:val="20"/>
          <w:szCs w:val="20"/>
        </w:rPr>
        <w:t>social care services. Childrens s</w:t>
      </w:r>
      <w:r w:rsidR="00710D1B" w:rsidRPr="000F4C1C">
        <w:rPr>
          <w:rFonts w:cs="Arial"/>
          <w:color w:val="auto"/>
          <w:sz w:val="20"/>
          <w:szCs w:val="20"/>
        </w:rPr>
        <w:t>afeguarding and wellbeing</w:t>
      </w:r>
      <w:r w:rsidRPr="00D42E0B">
        <w:rPr>
          <w:rFonts w:cs="Arial"/>
          <w:color w:val="548DD4" w:themeColor="text2" w:themeTint="99"/>
          <w:sz w:val="20"/>
          <w:szCs w:val="20"/>
        </w:rPr>
        <w:t xml:space="preserve">, </w:t>
      </w:r>
      <w:r w:rsidRPr="00E91F49">
        <w:rPr>
          <w:rFonts w:cs="Arial"/>
          <w:color w:val="auto"/>
          <w:sz w:val="20"/>
          <w:szCs w:val="20"/>
        </w:rPr>
        <w:t xml:space="preserve">due primarily to rising numbers and costs, was significantly over its budget allocation by </w:t>
      </w:r>
      <w:r w:rsidR="00370BAC" w:rsidRPr="00E91F49">
        <w:rPr>
          <w:rFonts w:cs="Arial"/>
          <w:color w:val="auto"/>
          <w:sz w:val="20"/>
          <w:szCs w:val="20"/>
        </w:rPr>
        <w:t xml:space="preserve">over </w:t>
      </w:r>
      <w:r w:rsidRPr="00E91F49">
        <w:rPr>
          <w:rFonts w:cs="Arial"/>
          <w:color w:val="auto"/>
          <w:sz w:val="20"/>
          <w:szCs w:val="20"/>
        </w:rPr>
        <w:t>£</w:t>
      </w:r>
      <w:r w:rsidR="00E91F49" w:rsidRPr="00E91F49">
        <w:rPr>
          <w:rFonts w:cs="Arial"/>
          <w:color w:val="auto"/>
          <w:sz w:val="20"/>
          <w:szCs w:val="20"/>
        </w:rPr>
        <w:t>5</w:t>
      </w:r>
      <w:r w:rsidR="00495D9F">
        <w:rPr>
          <w:rFonts w:cs="Arial"/>
          <w:color w:val="auto"/>
          <w:sz w:val="20"/>
          <w:szCs w:val="20"/>
        </w:rPr>
        <w:t>m</w:t>
      </w:r>
      <w:r w:rsidR="00FB55B3" w:rsidRPr="00E91F49">
        <w:rPr>
          <w:rFonts w:cs="Arial"/>
          <w:color w:val="auto"/>
          <w:sz w:val="20"/>
          <w:szCs w:val="20"/>
        </w:rPr>
        <w:t xml:space="preserve"> </w:t>
      </w:r>
      <w:r w:rsidR="00D21DD8" w:rsidRPr="00E91F49">
        <w:rPr>
          <w:rFonts w:cs="Arial"/>
          <w:color w:val="auto"/>
          <w:sz w:val="20"/>
          <w:szCs w:val="20"/>
        </w:rPr>
        <w:t xml:space="preserve">before </w:t>
      </w:r>
      <w:r w:rsidR="00F33FDE" w:rsidRPr="00E91F49">
        <w:rPr>
          <w:rFonts w:cs="Arial"/>
          <w:color w:val="auto"/>
          <w:sz w:val="20"/>
          <w:szCs w:val="20"/>
        </w:rPr>
        <w:t xml:space="preserve">the </w:t>
      </w:r>
      <w:r w:rsidR="00D21DD8" w:rsidRPr="00E91F49">
        <w:rPr>
          <w:rFonts w:cs="Arial"/>
          <w:color w:val="auto"/>
          <w:sz w:val="20"/>
          <w:szCs w:val="20"/>
        </w:rPr>
        <w:t xml:space="preserve">application of </w:t>
      </w:r>
      <w:r w:rsidR="00E91F49" w:rsidRPr="00E91F49">
        <w:rPr>
          <w:rFonts w:cs="Arial"/>
          <w:color w:val="auto"/>
          <w:sz w:val="20"/>
          <w:szCs w:val="20"/>
        </w:rPr>
        <w:t xml:space="preserve">the planned use of </w:t>
      </w:r>
      <w:r w:rsidR="005B60D0" w:rsidRPr="00E91F49">
        <w:rPr>
          <w:rFonts w:cs="Arial"/>
          <w:color w:val="auto"/>
          <w:sz w:val="20"/>
          <w:szCs w:val="20"/>
        </w:rPr>
        <w:t>£</w:t>
      </w:r>
      <w:r w:rsidR="00E91F49" w:rsidRPr="00E91F49">
        <w:rPr>
          <w:rFonts w:cs="Arial"/>
          <w:color w:val="auto"/>
          <w:sz w:val="20"/>
          <w:szCs w:val="20"/>
        </w:rPr>
        <w:t>2.3</w:t>
      </w:r>
      <w:r w:rsidR="005B60D0" w:rsidRPr="00E91F49">
        <w:rPr>
          <w:rFonts w:cs="Arial"/>
          <w:color w:val="auto"/>
          <w:sz w:val="20"/>
          <w:szCs w:val="20"/>
        </w:rPr>
        <w:t xml:space="preserve">m of </w:t>
      </w:r>
      <w:r w:rsidR="00D21DD8" w:rsidRPr="00E91F49">
        <w:rPr>
          <w:rFonts w:cs="Arial"/>
          <w:color w:val="auto"/>
          <w:sz w:val="20"/>
          <w:szCs w:val="20"/>
        </w:rPr>
        <w:t>earmarked reserves</w:t>
      </w:r>
      <w:r w:rsidR="00B4533C" w:rsidRPr="00E91F49">
        <w:rPr>
          <w:rFonts w:cs="Arial"/>
          <w:color w:val="auto"/>
          <w:sz w:val="20"/>
          <w:szCs w:val="20"/>
        </w:rPr>
        <w:t xml:space="preserve"> </w:t>
      </w:r>
      <w:r w:rsidR="00E91F49" w:rsidRPr="00E91F49">
        <w:rPr>
          <w:rFonts w:cs="Arial"/>
          <w:color w:val="auto"/>
          <w:sz w:val="20"/>
          <w:szCs w:val="20"/>
        </w:rPr>
        <w:t xml:space="preserve">for </w:t>
      </w:r>
      <w:r w:rsidR="0027696C" w:rsidRPr="00E91F49">
        <w:rPr>
          <w:rFonts w:cs="Arial"/>
          <w:color w:val="auto"/>
          <w:sz w:val="20"/>
          <w:szCs w:val="20"/>
        </w:rPr>
        <w:t>childrens services</w:t>
      </w:r>
      <w:r w:rsidR="00E91F49" w:rsidRPr="00E91F49">
        <w:rPr>
          <w:rFonts w:cs="Arial"/>
          <w:color w:val="auto"/>
          <w:sz w:val="20"/>
          <w:szCs w:val="20"/>
        </w:rPr>
        <w:t>.</w:t>
      </w:r>
      <w:r w:rsidR="004203C3">
        <w:rPr>
          <w:rFonts w:cs="Arial"/>
          <w:color w:val="auto"/>
          <w:sz w:val="20"/>
          <w:szCs w:val="20"/>
        </w:rPr>
        <w:t xml:space="preserve"> There was additional </w:t>
      </w:r>
      <w:r w:rsidR="007E33E1">
        <w:rPr>
          <w:rFonts w:cs="Arial"/>
          <w:color w:val="auto"/>
          <w:sz w:val="20"/>
          <w:szCs w:val="20"/>
        </w:rPr>
        <w:t>pressures</w:t>
      </w:r>
      <w:r w:rsidR="004203C3">
        <w:rPr>
          <w:rFonts w:cs="Arial"/>
          <w:color w:val="auto"/>
          <w:sz w:val="20"/>
          <w:szCs w:val="20"/>
        </w:rPr>
        <w:t xml:space="preserve"> from adult social care resulting in an overspend of £0.6m.</w:t>
      </w:r>
      <w:r w:rsidR="00E91F49" w:rsidRPr="00E91F49">
        <w:rPr>
          <w:rFonts w:cs="Arial"/>
          <w:color w:val="auto"/>
          <w:sz w:val="20"/>
          <w:szCs w:val="20"/>
        </w:rPr>
        <w:t xml:space="preserve"> I</w:t>
      </w:r>
      <w:r w:rsidRPr="00E91F49">
        <w:rPr>
          <w:rFonts w:cs="Arial"/>
          <w:color w:val="auto"/>
          <w:sz w:val="20"/>
          <w:szCs w:val="20"/>
        </w:rPr>
        <w:t>n addition the Council incurred £</w:t>
      </w:r>
      <w:r w:rsidR="001F0F1A" w:rsidRPr="00E91F49">
        <w:rPr>
          <w:rFonts w:cs="Arial"/>
          <w:color w:val="auto"/>
          <w:sz w:val="20"/>
          <w:szCs w:val="20"/>
        </w:rPr>
        <w:t>0.</w:t>
      </w:r>
      <w:r w:rsidR="00E91F49" w:rsidRPr="00E91F49">
        <w:rPr>
          <w:rFonts w:cs="Arial"/>
          <w:color w:val="auto"/>
          <w:sz w:val="20"/>
          <w:szCs w:val="20"/>
        </w:rPr>
        <w:t>4</w:t>
      </w:r>
      <w:r w:rsidRPr="00E91F49">
        <w:rPr>
          <w:rFonts w:cs="Arial"/>
          <w:color w:val="auto"/>
          <w:sz w:val="20"/>
          <w:szCs w:val="20"/>
        </w:rPr>
        <w:t xml:space="preserve">m of costs associated with staff </w:t>
      </w:r>
      <w:r w:rsidR="003808D6" w:rsidRPr="00E91F49">
        <w:rPr>
          <w:rFonts w:cs="Arial"/>
          <w:color w:val="auto"/>
          <w:sz w:val="20"/>
          <w:szCs w:val="20"/>
        </w:rPr>
        <w:t>exit pac</w:t>
      </w:r>
      <w:r w:rsidR="0091392C" w:rsidRPr="00E91F49">
        <w:rPr>
          <w:rFonts w:cs="Arial"/>
          <w:color w:val="auto"/>
          <w:sz w:val="20"/>
          <w:szCs w:val="20"/>
        </w:rPr>
        <w:t>k</w:t>
      </w:r>
      <w:r w:rsidR="003808D6" w:rsidRPr="00E91F49">
        <w:rPr>
          <w:rFonts w:cs="Arial"/>
          <w:color w:val="auto"/>
          <w:sz w:val="20"/>
          <w:szCs w:val="20"/>
        </w:rPr>
        <w:t>ages r</w:t>
      </w:r>
      <w:r w:rsidRPr="00E91F49">
        <w:rPr>
          <w:rFonts w:cs="Arial"/>
          <w:color w:val="auto"/>
          <w:sz w:val="20"/>
          <w:szCs w:val="20"/>
        </w:rPr>
        <w:t>esulting from reductions in funding</w:t>
      </w:r>
      <w:r w:rsidR="00E0477C">
        <w:rPr>
          <w:rFonts w:cs="Arial"/>
          <w:color w:val="auto"/>
          <w:sz w:val="20"/>
          <w:szCs w:val="20"/>
        </w:rPr>
        <w:t xml:space="preserve">. </w:t>
      </w:r>
    </w:p>
    <w:p w:rsidR="00E51139" w:rsidRPr="00D42E0B" w:rsidRDefault="004203C3" w:rsidP="00F31A9D">
      <w:pPr>
        <w:pStyle w:val="BodyText"/>
        <w:widowControl w:val="0"/>
        <w:rPr>
          <w:rFonts w:cs="Arial"/>
          <w:color w:val="548DD4" w:themeColor="text2" w:themeTint="99"/>
          <w:sz w:val="20"/>
          <w:szCs w:val="20"/>
        </w:rPr>
      </w:pPr>
      <w:r w:rsidRPr="008F1729">
        <w:rPr>
          <w:rFonts w:cs="Arial"/>
          <w:color w:val="auto"/>
          <w:sz w:val="20"/>
          <w:szCs w:val="20"/>
        </w:rPr>
        <w:t xml:space="preserve">As a result of these </w:t>
      </w:r>
      <w:r w:rsidR="00E51139" w:rsidRPr="008F1729">
        <w:rPr>
          <w:rFonts w:cs="Arial"/>
          <w:color w:val="auto"/>
          <w:sz w:val="20"/>
          <w:szCs w:val="20"/>
        </w:rPr>
        <w:t>significant service pressures</w:t>
      </w:r>
      <w:r w:rsidRPr="008F1729">
        <w:rPr>
          <w:rFonts w:cs="Arial"/>
          <w:color w:val="auto"/>
          <w:sz w:val="20"/>
          <w:szCs w:val="20"/>
        </w:rPr>
        <w:t xml:space="preserve"> in social care</w:t>
      </w:r>
      <w:r w:rsidR="00E51139" w:rsidRPr="008F1729">
        <w:rPr>
          <w:rFonts w:cs="Arial"/>
          <w:color w:val="auto"/>
          <w:sz w:val="20"/>
          <w:szCs w:val="20"/>
        </w:rPr>
        <w:t xml:space="preserve">, the Council’s financial performance in </w:t>
      </w:r>
      <w:r w:rsidR="009E3BF1" w:rsidRPr="008F1729">
        <w:rPr>
          <w:rFonts w:cs="Arial"/>
          <w:color w:val="auto"/>
          <w:sz w:val="20"/>
          <w:szCs w:val="20"/>
        </w:rPr>
        <w:t>201</w:t>
      </w:r>
      <w:r w:rsidRPr="008F1729">
        <w:rPr>
          <w:rFonts w:cs="Arial"/>
          <w:color w:val="auto"/>
          <w:sz w:val="20"/>
          <w:szCs w:val="20"/>
        </w:rPr>
        <w:t>5</w:t>
      </w:r>
      <w:r w:rsidR="002249DB" w:rsidRPr="008F1729">
        <w:rPr>
          <w:rFonts w:cs="Arial"/>
          <w:color w:val="auto"/>
          <w:sz w:val="20"/>
          <w:szCs w:val="20"/>
        </w:rPr>
        <w:t>/1</w:t>
      </w:r>
      <w:r w:rsidRPr="008F1729">
        <w:rPr>
          <w:rFonts w:cs="Arial"/>
          <w:color w:val="auto"/>
          <w:sz w:val="20"/>
          <w:szCs w:val="20"/>
        </w:rPr>
        <w:t>6</w:t>
      </w:r>
      <w:r w:rsidR="00E51139" w:rsidRPr="008F1729">
        <w:rPr>
          <w:rFonts w:cs="Arial"/>
          <w:color w:val="auto"/>
          <w:sz w:val="20"/>
          <w:szCs w:val="20"/>
        </w:rPr>
        <w:t xml:space="preserve"> </w:t>
      </w:r>
      <w:r w:rsidR="001F58D9" w:rsidRPr="008F1729">
        <w:rPr>
          <w:rFonts w:cs="Arial"/>
          <w:color w:val="auto"/>
          <w:sz w:val="20"/>
          <w:szCs w:val="20"/>
        </w:rPr>
        <w:t>was an overspend of £1.</w:t>
      </w:r>
      <w:r w:rsidR="00605298">
        <w:rPr>
          <w:rFonts w:cs="Arial"/>
          <w:color w:val="auto"/>
          <w:sz w:val="20"/>
          <w:szCs w:val="20"/>
        </w:rPr>
        <w:t>6</w:t>
      </w:r>
      <w:r w:rsidR="001F58D9" w:rsidRPr="008F1729">
        <w:rPr>
          <w:rFonts w:cs="Arial"/>
          <w:color w:val="auto"/>
          <w:sz w:val="20"/>
          <w:szCs w:val="20"/>
        </w:rPr>
        <w:t>m.</w:t>
      </w:r>
      <w:r w:rsidR="008F1729" w:rsidRPr="008F1729">
        <w:rPr>
          <w:rFonts w:cs="Arial"/>
          <w:color w:val="auto"/>
          <w:sz w:val="20"/>
          <w:szCs w:val="20"/>
        </w:rPr>
        <w:t xml:space="preserve"> This overspend was funded</w:t>
      </w:r>
      <w:r w:rsidR="00495D9F">
        <w:rPr>
          <w:rFonts w:cs="Arial"/>
          <w:color w:val="auto"/>
          <w:sz w:val="20"/>
          <w:szCs w:val="20"/>
        </w:rPr>
        <w:t>,</w:t>
      </w:r>
      <w:r w:rsidR="008F1729" w:rsidRPr="008F1729">
        <w:rPr>
          <w:rFonts w:cs="Arial"/>
          <w:color w:val="auto"/>
          <w:sz w:val="20"/>
          <w:szCs w:val="20"/>
        </w:rPr>
        <w:t xml:space="preserve"> as planned</w:t>
      </w:r>
      <w:r w:rsidR="00495D9F">
        <w:rPr>
          <w:rFonts w:cs="Arial"/>
          <w:color w:val="auto"/>
          <w:sz w:val="20"/>
          <w:szCs w:val="20"/>
        </w:rPr>
        <w:t>,</w:t>
      </w:r>
      <w:r w:rsidR="008F1729" w:rsidRPr="008F1729">
        <w:rPr>
          <w:rFonts w:cs="Arial"/>
          <w:color w:val="auto"/>
          <w:sz w:val="20"/>
          <w:szCs w:val="20"/>
        </w:rPr>
        <w:t xml:space="preserve"> within the 2016/17 budget from an earmarked </w:t>
      </w:r>
      <w:r w:rsidR="007E33E1" w:rsidRPr="008F1729">
        <w:rPr>
          <w:rFonts w:cs="Arial"/>
          <w:color w:val="auto"/>
          <w:sz w:val="20"/>
          <w:szCs w:val="20"/>
        </w:rPr>
        <w:t>reserve</w:t>
      </w:r>
      <w:r w:rsidR="008F1729" w:rsidRPr="008F1729">
        <w:rPr>
          <w:rFonts w:cs="Arial"/>
          <w:color w:val="auto"/>
          <w:sz w:val="20"/>
          <w:szCs w:val="20"/>
        </w:rPr>
        <w:t xml:space="preserve"> with that reserve repaid in full from an allocation within the 2016/17 budget.</w:t>
      </w:r>
      <w:r w:rsidR="0012051B" w:rsidRPr="00D42E0B">
        <w:rPr>
          <w:rFonts w:cs="Arial"/>
          <w:color w:val="548DD4" w:themeColor="text2" w:themeTint="99"/>
          <w:sz w:val="20"/>
          <w:szCs w:val="20"/>
        </w:rPr>
        <w:t xml:space="preserve"> </w:t>
      </w:r>
    </w:p>
    <w:p w:rsidR="00E51139" w:rsidRPr="009812D7" w:rsidRDefault="00E51139" w:rsidP="00F31A9D">
      <w:pPr>
        <w:pStyle w:val="BodyText"/>
        <w:widowControl w:val="0"/>
        <w:rPr>
          <w:rFonts w:cs="Arial"/>
          <w:color w:val="auto"/>
          <w:sz w:val="20"/>
          <w:szCs w:val="20"/>
        </w:rPr>
      </w:pPr>
      <w:r w:rsidRPr="009812D7">
        <w:rPr>
          <w:rFonts w:cs="Arial"/>
          <w:color w:val="auto"/>
          <w:sz w:val="20"/>
          <w:szCs w:val="20"/>
        </w:rPr>
        <w:t xml:space="preserve">The Council’s gross expenditure in the year was </w:t>
      </w:r>
      <w:r w:rsidR="00981B9B" w:rsidRPr="009812D7">
        <w:rPr>
          <w:rFonts w:cs="Arial"/>
          <w:color w:val="auto"/>
          <w:sz w:val="20"/>
          <w:szCs w:val="20"/>
        </w:rPr>
        <w:t xml:space="preserve">over </w:t>
      </w:r>
      <w:r w:rsidRPr="009812D7">
        <w:rPr>
          <w:rFonts w:cs="Arial"/>
          <w:color w:val="auto"/>
          <w:sz w:val="20"/>
          <w:szCs w:val="20"/>
        </w:rPr>
        <w:t>£</w:t>
      </w:r>
      <w:r w:rsidR="00EC068B" w:rsidRPr="009812D7">
        <w:rPr>
          <w:rFonts w:cs="Arial"/>
          <w:color w:val="auto"/>
          <w:sz w:val="20"/>
          <w:szCs w:val="20"/>
        </w:rPr>
        <w:t>300</w:t>
      </w:r>
      <w:r w:rsidRPr="009812D7">
        <w:rPr>
          <w:rFonts w:cs="Arial"/>
          <w:color w:val="auto"/>
          <w:sz w:val="20"/>
          <w:szCs w:val="20"/>
        </w:rPr>
        <w:t xml:space="preserve">m for revenue (day to day) spend and </w:t>
      </w:r>
      <w:r w:rsidR="00EC068B" w:rsidRPr="009812D7">
        <w:rPr>
          <w:rFonts w:cs="Arial"/>
          <w:color w:val="auto"/>
          <w:sz w:val="20"/>
          <w:szCs w:val="20"/>
        </w:rPr>
        <w:t xml:space="preserve">over </w:t>
      </w:r>
      <w:r w:rsidRPr="009812D7">
        <w:rPr>
          <w:rFonts w:cs="Arial"/>
          <w:color w:val="auto"/>
          <w:sz w:val="20"/>
          <w:szCs w:val="20"/>
        </w:rPr>
        <w:t>£</w:t>
      </w:r>
      <w:r w:rsidR="00DD7EAB" w:rsidRPr="009812D7">
        <w:rPr>
          <w:rFonts w:cs="Arial"/>
          <w:color w:val="auto"/>
          <w:sz w:val="20"/>
          <w:szCs w:val="20"/>
        </w:rPr>
        <w:t>2</w:t>
      </w:r>
      <w:r w:rsidR="00274E84" w:rsidRPr="009812D7">
        <w:rPr>
          <w:rFonts w:cs="Arial"/>
          <w:color w:val="auto"/>
          <w:sz w:val="20"/>
          <w:szCs w:val="20"/>
        </w:rPr>
        <w:t>2</w:t>
      </w:r>
      <w:r w:rsidR="00FB55B3" w:rsidRPr="009812D7">
        <w:rPr>
          <w:rFonts w:cs="Arial"/>
          <w:color w:val="auto"/>
          <w:sz w:val="20"/>
          <w:szCs w:val="20"/>
        </w:rPr>
        <w:t>m</w:t>
      </w:r>
      <w:r w:rsidRPr="009812D7">
        <w:rPr>
          <w:rFonts w:cs="Arial"/>
          <w:color w:val="auto"/>
          <w:sz w:val="20"/>
          <w:szCs w:val="20"/>
        </w:rPr>
        <w:t xml:space="preserve"> for capital (spend on long term assets such as roads and schools).</w:t>
      </w:r>
    </w:p>
    <w:p w:rsidR="00E51139" w:rsidRPr="00D42E0B" w:rsidRDefault="00E51139" w:rsidP="00F31A9D">
      <w:pPr>
        <w:pStyle w:val="BodyText"/>
        <w:widowControl w:val="0"/>
        <w:rPr>
          <w:rFonts w:cs="Arial"/>
          <w:strike/>
          <w:color w:val="548DD4" w:themeColor="text2" w:themeTint="99"/>
          <w:sz w:val="20"/>
          <w:szCs w:val="20"/>
        </w:rPr>
      </w:pPr>
      <w:r w:rsidRPr="004E5F91">
        <w:rPr>
          <w:rFonts w:cs="Arial"/>
          <w:color w:val="auto"/>
          <w:sz w:val="20"/>
          <w:szCs w:val="20"/>
        </w:rPr>
        <w:t xml:space="preserve">The Council’s </w:t>
      </w:r>
      <w:r w:rsidRPr="004E5F91">
        <w:rPr>
          <w:rFonts w:cs="Arial"/>
          <w:color w:val="auto"/>
          <w:sz w:val="20"/>
          <w:szCs w:val="20"/>
          <w:u w:val="single"/>
        </w:rPr>
        <w:t xml:space="preserve">Comprehensive Income and Expenditure </w:t>
      </w:r>
      <w:r w:rsidR="00C82813" w:rsidRPr="004E5F91">
        <w:rPr>
          <w:rFonts w:cs="Arial"/>
          <w:color w:val="auto"/>
          <w:sz w:val="20"/>
          <w:szCs w:val="20"/>
          <w:u w:val="single"/>
        </w:rPr>
        <w:t>Statement</w:t>
      </w:r>
      <w:r w:rsidRPr="004E5F91">
        <w:rPr>
          <w:rFonts w:cs="Arial"/>
          <w:color w:val="auto"/>
          <w:sz w:val="20"/>
          <w:szCs w:val="20"/>
        </w:rPr>
        <w:t xml:space="preserve"> (</w:t>
      </w:r>
      <w:r w:rsidR="00C82813" w:rsidRPr="004E5F91">
        <w:rPr>
          <w:rFonts w:cs="Arial"/>
          <w:color w:val="auto"/>
          <w:sz w:val="20"/>
          <w:szCs w:val="20"/>
        </w:rPr>
        <w:t>C</w:t>
      </w:r>
      <w:r w:rsidRPr="004E5F91">
        <w:rPr>
          <w:rFonts w:cs="Arial"/>
          <w:color w:val="auto"/>
          <w:sz w:val="20"/>
          <w:szCs w:val="20"/>
        </w:rPr>
        <w:t>IE</w:t>
      </w:r>
      <w:r w:rsidR="00C82813" w:rsidRPr="004E5F91">
        <w:rPr>
          <w:rFonts w:cs="Arial"/>
          <w:color w:val="auto"/>
          <w:sz w:val="20"/>
          <w:szCs w:val="20"/>
        </w:rPr>
        <w:t>S</w:t>
      </w:r>
      <w:r w:rsidRPr="004E5F91">
        <w:rPr>
          <w:rFonts w:cs="Arial"/>
          <w:color w:val="auto"/>
          <w:sz w:val="20"/>
          <w:szCs w:val="20"/>
        </w:rPr>
        <w:t xml:space="preserve">) is the Councils income and expenditure presented on an IFRS basis. This includes </w:t>
      </w:r>
      <w:r w:rsidR="00AF1DA3" w:rsidRPr="004E5F91">
        <w:rPr>
          <w:rFonts w:cs="Arial"/>
          <w:color w:val="auto"/>
          <w:sz w:val="20"/>
          <w:szCs w:val="20"/>
        </w:rPr>
        <w:t xml:space="preserve">earlier recognition of grants, based on conditions attached to the grant rather than matching the grant to expenditure and </w:t>
      </w:r>
      <w:r w:rsidRPr="004E5F91">
        <w:rPr>
          <w:rFonts w:cs="Arial"/>
          <w:color w:val="auto"/>
          <w:sz w:val="20"/>
          <w:szCs w:val="20"/>
        </w:rPr>
        <w:t>a number of “non cash” items such as depreciation</w:t>
      </w:r>
      <w:r w:rsidR="00AF1DA3" w:rsidRPr="004E5F91">
        <w:rPr>
          <w:rFonts w:cs="Arial"/>
          <w:color w:val="auto"/>
          <w:sz w:val="20"/>
          <w:szCs w:val="20"/>
        </w:rPr>
        <w:t xml:space="preserve"> and</w:t>
      </w:r>
      <w:r w:rsidRPr="004E5F91">
        <w:rPr>
          <w:rFonts w:cs="Arial"/>
          <w:color w:val="auto"/>
          <w:sz w:val="20"/>
          <w:szCs w:val="20"/>
        </w:rPr>
        <w:t xml:space="preserve"> pension assumptions, which should then allow the Council’s accounts to be comparable to other sector </w:t>
      </w:r>
      <w:r w:rsidRPr="009812D7">
        <w:rPr>
          <w:rFonts w:cs="Arial"/>
          <w:color w:val="auto"/>
          <w:sz w:val="20"/>
          <w:szCs w:val="20"/>
        </w:rPr>
        <w:t>accounts. The total for th</w:t>
      </w:r>
      <w:r w:rsidR="00254D38" w:rsidRPr="009812D7">
        <w:rPr>
          <w:rFonts w:cs="Arial"/>
          <w:color w:val="auto"/>
          <w:sz w:val="20"/>
          <w:szCs w:val="20"/>
        </w:rPr>
        <w:t>e Provision of Services fo</w:t>
      </w:r>
      <w:r w:rsidRPr="009812D7">
        <w:rPr>
          <w:rFonts w:cs="Arial"/>
          <w:color w:val="auto"/>
          <w:sz w:val="20"/>
          <w:szCs w:val="20"/>
        </w:rPr>
        <w:t xml:space="preserve">r </w:t>
      </w:r>
      <w:r w:rsidR="009E3BF1" w:rsidRPr="009812D7">
        <w:rPr>
          <w:rFonts w:cs="Arial"/>
          <w:color w:val="auto"/>
          <w:sz w:val="20"/>
          <w:szCs w:val="20"/>
        </w:rPr>
        <w:t>201</w:t>
      </w:r>
      <w:r w:rsidR="004E5F91" w:rsidRPr="009812D7">
        <w:rPr>
          <w:rFonts w:cs="Arial"/>
          <w:color w:val="auto"/>
          <w:sz w:val="20"/>
          <w:szCs w:val="20"/>
        </w:rPr>
        <w:t>5</w:t>
      </w:r>
      <w:r w:rsidR="009E3BF1" w:rsidRPr="009812D7">
        <w:rPr>
          <w:rFonts w:cs="Arial"/>
          <w:color w:val="auto"/>
          <w:sz w:val="20"/>
          <w:szCs w:val="20"/>
        </w:rPr>
        <w:t>/1</w:t>
      </w:r>
      <w:r w:rsidR="004E5F91" w:rsidRPr="009812D7">
        <w:rPr>
          <w:rFonts w:cs="Arial"/>
          <w:color w:val="auto"/>
          <w:sz w:val="20"/>
          <w:szCs w:val="20"/>
        </w:rPr>
        <w:t>6</w:t>
      </w:r>
      <w:r w:rsidRPr="009812D7">
        <w:rPr>
          <w:rFonts w:cs="Arial"/>
          <w:color w:val="auto"/>
          <w:sz w:val="20"/>
          <w:szCs w:val="20"/>
        </w:rPr>
        <w:t xml:space="preserve"> is a deficit of £</w:t>
      </w:r>
      <w:r w:rsidR="009812D7" w:rsidRPr="009812D7">
        <w:rPr>
          <w:rFonts w:cs="Arial"/>
          <w:color w:val="auto"/>
          <w:sz w:val="20"/>
          <w:szCs w:val="20"/>
        </w:rPr>
        <w:t>26</w:t>
      </w:r>
      <w:r w:rsidRPr="009812D7">
        <w:rPr>
          <w:rFonts w:cs="Arial"/>
          <w:color w:val="auto"/>
          <w:sz w:val="20"/>
          <w:szCs w:val="20"/>
        </w:rPr>
        <w:t>m. The key reason</w:t>
      </w:r>
      <w:r w:rsidR="00030A17" w:rsidRPr="009812D7">
        <w:rPr>
          <w:rFonts w:cs="Arial"/>
          <w:color w:val="auto"/>
          <w:sz w:val="20"/>
          <w:szCs w:val="20"/>
        </w:rPr>
        <w:t>s</w:t>
      </w:r>
      <w:r w:rsidRPr="009812D7">
        <w:rPr>
          <w:rFonts w:cs="Arial"/>
          <w:color w:val="auto"/>
          <w:sz w:val="20"/>
          <w:szCs w:val="20"/>
        </w:rPr>
        <w:t xml:space="preserve"> for this deficit is a loss on asset disposals of £</w:t>
      </w:r>
      <w:r w:rsidR="008C6829" w:rsidRPr="009812D7">
        <w:rPr>
          <w:rFonts w:cs="Arial"/>
          <w:color w:val="auto"/>
          <w:sz w:val="20"/>
          <w:szCs w:val="20"/>
        </w:rPr>
        <w:t>1</w:t>
      </w:r>
      <w:r w:rsidR="009812D7" w:rsidRPr="009812D7">
        <w:rPr>
          <w:rFonts w:cs="Arial"/>
          <w:color w:val="auto"/>
          <w:sz w:val="20"/>
          <w:szCs w:val="20"/>
        </w:rPr>
        <w:t>4</w:t>
      </w:r>
      <w:r w:rsidRPr="009812D7">
        <w:rPr>
          <w:rFonts w:cs="Arial"/>
          <w:color w:val="auto"/>
          <w:sz w:val="20"/>
          <w:szCs w:val="20"/>
        </w:rPr>
        <w:t>m arising from the transfer of schools from the Council to become Academy schools</w:t>
      </w:r>
      <w:r w:rsidR="00211D51" w:rsidRPr="009812D7">
        <w:rPr>
          <w:rFonts w:cs="Arial"/>
          <w:color w:val="auto"/>
          <w:sz w:val="20"/>
          <w:szCs w:val="20"/>
        </w:rPr>
        <w:t xml:space="preserve"> combined with deprec</w:t>
      </w:r>
      <w:r w:rsidR="00BD552B" w:rsidRPr="009812D7">
        <w:rPr>
          <w:rFonts w:cs="Arial"/>
          <w:color w:val="auto"/>
          <w:sz w:val="20"/>
          <w:szCs w:val="20"/>
        </w:rPr>
        <w:t>i</w:t>
      </w:r>
      <w:r w:rsidR="00211D51" w:rsidRPr="009812D7">
        <w:rPr>
          <w:rFonts w:cs="Arial"/>
          <w:color w:val="auto"/>
          <w:sz w:val="20"/>
          <w:szCs w:val="20"/>
        </w:rPr>
        <w:t>ation and impairment charges of £</w:t>
      </w:r>
      <w:r w:rsidR="008C6829" w:rsidRPr="009812D7">
        <w:rPr>
          <w:rFonts w:cs="Arial"/>
          <w:color w:val="auto"/>
          <w:sz w:val="20"/>
          <w:szCs w:val="20"/>
        </w:rPr>
        <w:t>1</w:t>
      </w:r>
      <w:r w:rsidR="009812D7" w:rsidRPr="009812D7">
        <w:rPr>
          <w:rFonts w:cs="Arial"/>
          <w:color w:val="auto"/>
          <w:sz w:val="20"/>
          <w:szCs w:val="20"/>
        </w:rPr>
        <w:t>6</w:t>
      </w:r>
      <w:r w:rsidR="00211D51" w:rsidRPr="009812D7">
        <w:rPr>
          <w:rFonts w:cs="Arial"/>
          <w:color w:val="auto"/>
          <w:sz w:val="20"/>
          <w:szCs w:val="20"/>
        </w:rPr>
        <w:t>m</w:t>
      </w:r>
      <w:r w:rsidRPr="009812D7">
        <w:rPr>
          <w:rFonts w:cs="Arial"/>
          <w:color w:val="auto"/>
          <w:sz w:val="20"/>
          <w:szCs w:val="20"/>
        </w:rPr>
        <w:t>.</w:t>
      </w:r>
    </w:p>
    <w:p w:rsidR="00DA120A" w:rsidRPr="00D42E0B" w:rsidRDefault="00E51139" w:rsidP="00F31A9D">
      <w:pPr>
        <w:pStyle w:val="BodyText"/>
        <w:widowControl w:val="0"/>
        <w:rPr>
          <w:rFonts w:cs="Arial"/>
          <w:color w:val="548DD4" w:themeColor="text2" w:themeTint="99"/>
          <w:sz w:val="20"/>
          <w:szCs w:val="20"/>
        </w:rPr>
      </w:pPr>
      <w:r w:rsidRPr="004E5F91">
        <w:rPr>
          <w:rFonts w:cs="Arial"/>
          <w:color w:val="auto"/>
          <w:sz w:val="20"/>
          <w:szCs w:val="20"/>
        </w:rPr>
        <w:t xml:space="preserve">The total from the Comprehensive Income and Expenditure statement is reflected in the </w:t>
      </w:r>
      <w:r w:rsidRPr="004E5F91">
        <w:rPr>
          <w:rFonts w:cs="Arial"/>
          <w:color w:val="auto"/>
          <w:sz w:val="20"/>
          <w:szCs w:val="20"/>
          <w:u w:val="single"/>
        </w:rPr>
        <w:t xml:space="preserve">Movement of Reserves statement </w:t>
      </w:r>
      <w:r w:rsidRPr="004E5F91">
        <w:rPr>
          <w:rFonts w:cs="Arial"/>
          <w:color w:val="auto"/>
          <w:sz w:val="20"/>
          <w:szCs w:val="20"/>
        </w:rPr>
        <w:t xml:space="preserve">which then adds the impact of any reserve movements to usable reserves and unusable reserves to get to the “bottom line” Council position for </w:t>
      </w:r>
      <w:r w:rsidR="009E3BF1" w:rsidRPr="004E5F91">
        <w:rPr>
          <w:rFonts w:cs="Arial"/>
          <w:color w:val="auto"/>
          <w:sz w:val="20"/>
          <w:szCs w:val="20"/>
        </w:rPr>
        <w:t>201</w:t>
      </w:r>
      <w:r w:rsidR="004E5F91" w:rsidRPr="004E5F91">
        <w:rPr>
          <w:rFonts w:cs="Arial"/>
          <w:color w:val="auto"/>
          <w:sz w:val="20"/>
          <w:szCs w:val="20"/>
        </w:rPr>
        <w:t>5</w:t>
      </w:r>
      <w:r w:rsidR="009E3BF1" w:rsidRPr="004E5F91">
        <w:rPr>
          <w:rFonts w:cs="Arial"/>
          <w:color w:val="auto"/>
          <w:sz w:val="20"/>
          <w:szCs w:val="20"/>
        </w:rPr>
        <w:t>/1</w:t>
      </w:r>
      <w:r w:rsidR="004E5F91" w:rsidRPr="004E5F91">
        <w:rPr>
          <w:rFonts w:cs="Arial"/>
          <w:color w:val="auto"/>
          <w:sz w:val="20"/>
          <w:szCs w:val="20"/>
        </w:rPr>
        <w:t>6</w:t>
      </w:r>
      <w:r w:rsidRPr="004E5F91">
        <w:rPr>
          <w:rFonts w:cs="Arial"/>
          <w:color w:val="auto"/>
          <w:sz w:val="20"/>
          <w:szCs w:val="20"/>
        </w:rPr>
        <w:t xml:space="preserve">. Within this is the reversal of a number of accounting entries made under IFRS that appear in the Council’s Comprehensive Income and Expenditure statement such as depreciation and pension assumptions, which are allowed, under statute, to be reversed to ensure that these entries do not have a “cash” impact on the Council Tax payer. After these adjustments the Council’s net outturn for the year was </w:t>
      </w:r>
      <w:r w:rsidR="000F7A6D" w:rsidRPr="004E5F91">
        <w:rPr>
          <w:rFonts w:cs="Arial"/>
          <w:color w:val="auto"/>
          <w:sz w:val="20"/>
          <w:szCs w:val="20"/>
        </w:rPr>
        <w:t xml:space="preserve">a </w:t>
      </w:r>
      <w:r w:rsidR="00112063" w:rsidRPr="004E5F91">
        <w:rPr>
          <w:rFonts w:cs="Arial"/>
          <w:color w:val="auto"/>
          <w:sz w:val="20"/>
          <w:szCs w:val="20"/>
        </w:rPr>
        <w:t xml:space="preserve">break even position, </w:t>
      </w:r>
      <w:r w:rsidRPr="004E5F91">
        <w:rPr>
          <w:rFonts w:cs="Arial"/>
          <w:color w:val="auto"/>
          <w:sz w:val="20"/>
          <w:szCs w:val="20"/>
        </w:rPr>
        <w:t>which matches the Council’s internal financial reporting position</w:t>
      </w:r>
      <w:r w:rsidRPr="006A4741">
        <w:rPr>
          <w:rFonts w:cs="Arial"/>
          <w:color w:val="auto"/>
          <w:sz w:val="20"/>
          <w:szCs w:val="20"/>
        </w:rPr>
        <w:t xml:space="preserve">. This statement shows that the Council’s usable reserves had a net </w:t>
      </w:r>
      <w:r w:rsidR="00412E9D" w:rsidRPr="006A4741">
        <w:rPr>
          <w:rFonts w:cs="Arial"/>
          <w:color w:val="auto"/>
          <w:sz w:val="20"/>
          <w:szCs w:val="20"/>
        </w:rPr>
        <w:t>decrease</w:t>
      </w:r>
      <w:r w:rsidRPr="006A4741">
        <w:rPr>
          <w:rFonts w:cs="Arial"/>
          <w:color w:val="auto"/>
          <w:sz w:val="20"/>
          <w:szCs w:val="20"/>
        </w:rPr>
        <w:t xml:space="preserve"> of £</w:t>
      </w:r>
      <w:r w:rsidR="006A4741" w:rsidRPr="006A4741">
        <w:rPr>
          <w:rFonts w:cs="Arial"/>
          <w:color w:val="auto"/>
          <w:sz w:val="20"/>
          <w:szCs w:val="20"/>
        </w:rPr>
        <w:t>9</w:t>
      </w:r>
      <w:r w:rsidRPr="006A4741">
        <w:rPr>
          <w:rFonts w:cs="Arial"/>
          <w:color w:val="auto"/>
          <w:sz w:val="20"/>
          <w:szCs w:val="20"/>
        </w:rPr>
        <w:t xml:space="preserve">m. This was primarily a </w:t>
      </w:r>
      <w:r w:rsidR="00EF4ED1" w:rsidRPr="006A4741">
        <w:rPr>
          <w:rFonts w:cs="Arial"/>
          <w:color w:val="auto"/>
          <w:sz w:val="20"/>
          <w:szCs w:val="20"/>
        </w:rPr>
        <w:t>decrease</w:t>
      </w:r>
      <w:r w:rsidRPr="006A4741">
        <w:rPr>
          <w:rFonts w:cs="Arial"/>
          <w:color w:val="auto"/>
          <w:sz w:val="20"/>
          <w:szCs w:val="20"/>
        </w:rPr>
        <w:t xml:space="preserve"> in </w:t>
      </w:r>
      <w:r w:rsidR="00EF4ED1" w:rsidRPr="006A4741">
        <w:rPr>
          <w:rFonts w:cs="Arial"/>
          <w:color w:val="auto"/>
          <w:sz w:val="20"/>
          <w:szCs w:val="20"/>
        </w:rPr>
        <w:t xml:space="preserve">earmarked </w:t>
      </w:r>
      <w:r w:rsidRPr="006A4741">
        <w:rPr>
          <w:rFonts w:cs="Arial"/>
          <w:color w:val="auto"/>
          <w:sz w:val="20"/>
          <w:szCs w:val="20"/>
        </w:rPr>
        <w:t>revenue reserves of £</w:t>
      </w:r>
      <w:r w:rsidR="00D12FA2">
        <w:rPr>
          <w:rFonts w:cs="Arial"/>
          <w:color w:val="auto"/>
          <w:sz w:val="20"/>
          <w:szCs w:val="20"/>
        </w:rPr>
        <w:t>6</w:t>
      </w:r>
      <w:r w:rsidRPr="006A4741">
        <w:rPr>
          <w:rFonts w:cs="Arial"/>
          <w:color w:val="auto"/>
          <w:sz w:val="20"/>
          <w:szCs w:val="20"/>
        </w:rPr>
        <w:t xml:space="preserve">m </w:t>
      </w:r>
      <w:r w:rsidR="00EF4ED1" w:rsidRPr="006A4741">
        <w:rPr>
          <w:rFonts w:cs="Arial"/>
          <w:color w:val="auto"/>
          <w:sz w:val="20"/>
          <w:szCs w:val="20"/>
        </w:rPr>
        <w:t>and the use of £</w:t>
      </w:r>
      <w:r w:rsidR="00D12FA2">
        <w:rPr>
          <w:rFonts w:cs="Arial"/>
          <w:color w:val="auto"/>
          <w:sz w:val="20"/>
          <w:szCs w:val="20"/>
        </w:rPr>
        <w:t>3</w:t>
      </w:r>
      <w:r w:rsidR="00EF4ED1" w:rsidRPr="006A4741">
        <w:rPr>
          <w:rFonts w:cs="Arial"/>
          <w:color w:val="auto"/>
          <w:sz w:val="20"/>
          <w:szCs w:val="20"/>
        </w:rPr>
        <w:t xml:space="preserve">m </w:t>
      </w:r>
      <w:r w:rsidR="00DA120A" w:rsidRPr="006A4741">
        <w:rPr>
          <w:rFonts w:cs="Arial"/>
          <w:color w:val="auto"/>
          <w:sz w:val="20"/>
          <w:szCs w:val="20"/>
        </w:rPr>
        <w:t xml:space="preserve">from capital grants </w:t>
      </w:r>
      <w:r w:rsidR="006A4741" w:rsidRPr="006A4741">
        <w:rPr>
          <w:rFonts w:cs="Arial"/>
          <w:color w:val="auto"/>
          <w:sz w:val="20"/>
          <w:szCs w:val="20"/>
        </w:rPr>
        <w:t xml:space="preserve">and capital </w:t>
      </w:r>
      <w:r w:rsidR="007E33E1" w:rsidRPr="006A4741">
        <w:rPr>
          <w:rFonts w:cs="Arial"/>
          <w:color w:val="auto"/>
          <w:sz w:val="20"/>
          <w:szCs w:val="20"/>
        </w:rPr>
        <w:t>receipts</w:t>
      </w:r>
      <w:r w:rsidR="006A4741" w:rsidRPr="006A4741">
        <w:rPr>
          <w:rFonts w:cs="Arial"/>
          <w:color w:val="auto"/>
          <w:sz w:val="20"/>
          <w:szCs w:val="20"/>
        </w:rPr>
        <w:t xml:space="preserve"> </w:t>
      </w:r>
      <w:r w:rsidR="00DA120A" w:rsidRPr="006A4741">
        <w:rPr>
          <w:rFonts w:cs="Arial"/>
          <w:color w:val="auto"/>
          <w:sz w:val="20"/>
          <w:szCs w:val="20"/>
        </w:rPr>
        <w:t xml:space="preserve">to </w:t>
      </w:r>
      <w:r w:rsidR="00DA120A" w:rsidRPr="006A4741">
        <w:rPr>
          <w:rFonts w:cs="Arial"/>
          <w:color w:val="auto"/>
          <w:sz w:val="20"/>
          <w:szCs w:val="20"/>
        </w:rPr>
        <w:lastRenderedPageBreak/>
        <w:t>fund capi</w:t>
      </w:r>
      <w:r w:rsidR="00B572B8" w:rsidRPr="006A4741">
        <w:rPr>
          <w:rFonts w:cs="Arial"/>
          <w:color w:val="auto"/>
          <w:sz w:val="20"/>
          <w:szCs w:val="20"/>
        </w:rPr>
        <w:t>t</w:t>
      </w:r>
      <w:r w:rsidR="00DA120A" w:rsidRPr="006A4741">
        <w:rPr>
          <w:rFonts w:cs="Arial"/>
          <w:color w:val="auto"/>
          <w:sz w:val="20"/>
          <w:szCs w:val="20"/>
        </w:rPr>
        <w:t>al expenditure in the year.</w:t>
      </w:r>
      <w:r w:rsidRPr="00D42E0B">
        <w:rPr>
          <w:rFonts w:cs="Arial"/>
          <w:color w:val="548DD4" w:themeColor="text2" w:themeTint="99"/>
          <w:sz w:val="20"/>
          <w:szCs w:val="20"/>
        </w:rPr>
        <w:t xml:space="preserve"> </w:t>
      </w:r>
    </w:p>
    <w:p w:rsidR="000017D4" w:rsidRDefault="00E51139" w:rsidP="00F31A9D">
      <w:pPr>
        <w:pStyle w:val="BodyText"/>
        <w:widowControl w:val="0"/>
        <w:rPr>
          <w:rFonts w:cs="Arial"/>
          <w:color w:val="auto"/>
          <w:sz w:val="20"/>
          <w:szCs w:val="20"/>
        </w:rPr>
      </w:pPr>
      <w:r w:rsidRPr="005B2FA4">
        <w:rPr>
          <w:rFonts w:cs="Arial"/>
          <w:color w:val="auto"/>
          <w:sz w:val="20"/>
          <w:szCs w:val="20"/>
        </w:rPr>
        <w:t xml:space="preserve">The Council also spent </w:t>
      </w:r>
      <w:r w:rsidR="005B2FA4">
        <w:rPr>
          <w:rFonts w:cs="Arial"/>
          <w:color w:val="auto"/>
          <w:sz w:val="20"/>
          <w:szCs w:val="20"/>
        </w:rPr>
        <w:t xml:space="preserve">over </w:t>
      </w:r>
      <w:r w:rsidRPr="005B2FA4">
        <w:rPr>
          <w:rFonts w:cs="Arial"/>
          <w:color w:val="auto"/>
          <w:sz w:val="20"/>
          <w:szCs w:val="20"/>
        </w:rPr>
        <w:t>£</w:t>
      </w:r>
      <w:r w:rsidR="00166397" w:rsidRPr="005B2FA4">
        <w:rPr>
          <w:rFonts w:cs="Arial"/>
          <w:color w:val="auto"/>
          <w:sz w:val="20"/>
          <w:szCs w:val="20"/>
        </w:rPr>
        <w:t>2</w:t>
      </w:r>
      <w:r w:rsidR="005B2FA4">
        <w:rPr>
          <w:rFonts w:cs="Arial"/>
          <w:color w:val="auto"/>
          <w:sz w:val="20"/>
          <w:szCs w:val="20"/>
        </w:rPr>
        <w:t>2</w:t>
      </w:r>
      <w:r w:rsidRPr="005B2FA4">
        <w:rPr>
          <w:rFonts w:cs="Arial"/>
          <w:color w:val="auto"/>
          <w:sz w:val="20"/>
          <w:szCs w:val="20"/>
        </w:rPr>
        <w:t xml:space="preserve">m on capital projects including schemes such as </w:t>
      </w:r>
      <w:r w:rsidR="003F1602" w:rsidRPr="005B2FA4">
        <w:rPr>
          <w:rFonts w:cs="Arial"/>
          <w:color w:val="auto"/>
          <w:sz w:val="20"/>
          <w:szCs w:val="20"/>
        </w:rPr>
        <w:t xml:space="preserve">South Devon Link Road and a number of school projects. </w:t>
      </w:r>
      <w:r w:rsidRPr="005B2FA4">
        <w:rPr>
          <w:rFonts w:cs="Arial"/>
          <w:color w:val="auto"/>
          <w:sz w:val="20"/>
          <w:szCs w:val="20"/>
        </w:rPr>
        <w:t xml:space="preserve">This total is </w:t>
      </w:r>
      <w:r w:rsidR="003F1602" w:rsidRPr="005B2FA4">
        <w:rPr>
          <w:rFonts w:cs="Arial"/>
          <w:color w:val="auto"/>
          <w:sz w:val="20"/>
          <w:szCs w:val="20"/>
        </w:rPr>
        <w:t xml:space="preserve">similar to recent </w:t>
      </w:r>
      <w:r w:rsidRPr="005B2FA4">
        <w:rPr>
          <w:rFonts w:cs="Arial"/>
          <w:color w:val="auto"/>
          <w:sz w:val="20"/>
          <w:szCs w:val="20"/>
        </w:rPr>
        <w:t>years</w:t>
      </w:r>
      <w:r w:rsidR="000017D4">
        <w:rPr>
          <w:rFonts w:cs="Arial"/>
          <w:color w:val="auto"/>
          <w:sz w:val="20"/>
          <w:szCs w:val="20"/>
        </w:rPr>
        <w:t>.</w:t>
      </w:r>
    </w:p>
    <w:p w:rsidR="00E51139" w:rsidRPr="00D42E0B" w:rsidRDefault="00E51139" w:rsidP="00F31A9D">
      <w:pPr>
        <w:pStyle w:val="BodyText"/>
        <w:widowControl w:val="0"/>
        <w:rPr>
          <w:rFonts w:cs="Arial"/>
          <w:color w:val="548DD4" w:themeColor="text2" w:themeTint="99"/>
          <w:sz w:val="20"/>
          <w:szCs w:val="20"/>
        </w:rPr>
      </w:pPr>
      <w:r w:rsidRPr="00EF4C26">
        <w:rPr>
          <w:rFonts w:cs="Arial"/>
          <w:color w:val="auto"/>
          <w:sz w:val="20"/>
          <w:szCs w:val="20"/>
        </w:rPr>
        <w:t>On the balance sheet there were some significant changes in year</w:t>
      </w:r>
      <w:r w:rsidR="00490FE6" w:rsidRPr="00EF4C26">
        <w:rPr>
          <w:rFonts w:cs="Arial"/>
          <w:color w:val="auto"/>
          <w:sz w:val="20"/>
          <w:szCs w:val="20"/>
        </w:rPr>
        <w:t xml:space="preserve">. There was a </w:t>
      </w:r>
      <w:r w:rsidR="00EF4C26" w:rsidRPr="00EF4C26">
        <w:rPr>
          <w:rFonts w:cs="Arial"/>
          <w:color w:val="auto"/>
          <w:sz w:val="20"/>
          <w:szCs w:val="20"/>
        </w:rPr>
        <w:t xml:space="preserve">net </w:t>
      </w:r>
      <w:r w:rsidR="007E33E1" w:rsidRPr="00EF4C26">
        <w:rPr>
          <w:rFonts w:cs="Arial"/>
          <w:color w:val="auto"/>
          <w:sz w:val="20"/>
          <w:szCs w:val="20"/>
        </w:rPr>
        <w:t>increase</w:t>
      </w:r>
      <w:r w:rsidR="00EF4C26" w:rsidRPr="00EF4C26">
        <w:rPr>
          <w:rFonts w:cs="Arial"/>
          <w:color w:val="auto"/>
          <w:sz w:val="20"/>
          <w:szCs w:val="20"/>
        </w:rPr>
        <w:t xml:space="preserve"> of £27m increase in the carrying value of the Council's property, plant and </w:t>
      </w:r>
      <w:r w:rsidR="007E33E1" w:rsidRPr="00EF4C26">
        <w:rPr>
          <w:rFonts w:cs="Arial"/>
          <w:color w:val="auto"/>
          <w:sz w:val="20"/>
          <w:szCs w:val="20"/>
        </w:rPr>
        <w:t>equipment</w:t>
      </w:r>
      <w:r w:rsidR="00EF4C26" w:rsidRPr="00EF4C26">
        <w:rPr>
          <w:rFonts w:cs="Arial"/>
          <w:color w:val="auto"/>
          <w:sz w:val="20"/>
          <w:szCs w:val="20"/>
        </w:rPr>
        <w:t xml:space="preserve">. This was </w:t>
      </w:r>
      <w:r w:rsidR="00495D9F">
        <w:rPr>
          <w:rFonts w:cs="Arial"/>
          <w:color w:val="auto"/>
          <w:sz w:val="20"/>
          <w:szCs w:val="20"/>
        </w:rPr>
        <w:t xml:space="preserve">primarily </w:t>
      </w:r>
      <w:r w:rsidR="00EF4C26" w:rsidRPr="00EF4C26">
        <w:rPr>
          <w:rFonts w:cs="Arial"/>
          <w:color w:val="auto"/>
          <w:sz w:val="20"/>
          <w:szCs w:val="20"/>
        </w:rPr>
        <w:t xml:space="preserve">the result of the </w:t>
      </w:r>
      <w:r w:rsidR="007E33E1">
        <w:rPr>
          <w:rFonts w:cs="Arial"/>
          <w:color w:val="auto"/>
          <w:sz w:val="20"/>
          <w:szCs w:val="20"/>
        </w:rPr>
        <w:t>recognition</w:t>
      </w:r>
      <w:r w:rsidR="00EF4C26" w:rsidRPr="00EF4C26">
        <w:rPr>
          <w:rFonts w:cs="Arial"/>
          <w:color w:val="auto"/>
          <w:sz w:val="20"/>
          <w:szCs w:val="20"/>
        </w:rPr>
        <w:t xml:space="preserve"> of £33m as the </w:t>
      </w:r>
      <w:r w:rsidR="007E33E1" w:rsidRPr="00EF4C26">
        <w:rPr>
          <w:rFonts w:cs="Arial"/>
          <w:color w:val="auto"/>
          <w:sz w:val="20"/>
          <w:szCs w:val="20"/>
        </w:rPr>
        <w:t>Councils</w:t>
      </w:r>
      <w:r w:rsidR="00EF4C26" w:rsidRPr="00EF4C26">
        <w:rPr>
          <w:rFonts w:cs="Arial"/>
          <w:color w:val="auto"/>
          <w:sz w:val="20"/>
          <w:szCs w:val="20"/>
        </w:rPr>
        <w:t xml:space="preserve"> share of the </w:t>
      </w:r>
      <w:r w:rsidR="007E33E1" w:rsidRPr="00EF4C26">
        <w:rPr>
          <w:rFonts w:cs="Arial"/>
          <w:color w:val="auto"/>
          <w:sz w:val="20"/>
          <w:szCs w:val="20"/>
        </w:rPr>
        <w:t>Energy</w:t>
      </w:r>
      <w:r w:rsidR="00EF4C26" w:rsidRPr="00EF4C26">
        <w:rPr>
          <w:rFonts w:cs="Arial"/>
          <w:color w:val="auto"/>
          <w:sz w:val="20"/>
          <w:szCs w:val="20"/>
        </w:rPr>
        <w:t xml:space="preserve"> From Waste Facility in Plymouth</w:t>
      </w:r>
      <w:r w:rsidR="00495D9F">
        <w:rPr>
          <w:rFonts w:cs="Arial"/>
          <w:color w:val="auto"/>
          <w:sz w:val="20"/>
          <w:szCs w:val="20"/>
        </w:rPr>
        <w:t xml:space="preserve"> and</w:t>
      </w:r>
      <w:r w:rsidR="00EF4C26" w:rsidRPr="00EF4C26">
        <w:rPr>
          <w:rFonts w:cs="Arial"/>
          <w:color w:val="auto"/>
          <w:sz w:val="20"/>
          <w:szCs w:val="20"/>
        </w:rPr>
        <w:t xml:space="preserve"> capital expenditure </w:t>
      </w:r>
      <w:r w:rsidR="007E33E1" w:rsidRPr="00EF4C26">
        <w:rPr>
          <w:rFonts w:cs="Arial"/>
          <w:color w:val="auto"/>
          <w:sz w:val="20"/>
          <w:szCs w:val="20"/>
        </w:rPr>
        <w:t>in year</w:t>
      </w:r>
      <w:r w:rsidR="00EF4C26" w:rsidRPr="00EF4C26">
        <w:rPr>
          <w:rFonts w:cs="Arial"/>
          <w:color w:val="auto"/>
          <w:sz w:val="20"/>
          <w:szCs w:val="20"/>
        </w:rPr>
        <w:t xml:space="preserve"> including the £8m </w:t>
      </w:r>
      <w:r w:rsidR="007E33E1" w:rsidRPr="00EF4C26">
        <w:rPr>
          <w:rFonts w:cs="Arial"/>
          <w:color w:val="auto"/>
          <w:sz w:val="20"/>
          <w:szCs w:val="20"/>
        </w:rPr>
        <w:t>recognition</w:t>
      </w:r>
      <w:r w:rsidR="00EF4C26" w:rsidRPr="00EF4C26">
        <w:rPr>
          <w:rFonts w:cs="Arial"/>
          <w:color w:val="auto"/>
          <w:sz w:val="20"/>
          <w:szCs w:val="20"/>
        </w:rPr>
        <w:t xml:space="preserve"> of the Council's </w:t>
      </w:r>
      <w:r w:rsidR="007E33E1" w:rsidRPr="00EF4C26">
        <w:rPr>
          <w:rFonts w:cs="Arial"/>
          <w:color w:val="auto"/>
          <w:sz w:val="20"/>
          <w:szCs w:val="20"/>
        </w:rPr>
        <w:t>share</w:t>
      </w:r>
      <w:r w:rsidR="00EF4C26" w:rsidRPr="00EF4C26">
        <w:rPr>
          <w:rFonts w:cs="Arial"/>
          <w:color w:val="auto"/>
          <w:sz w:val="20"/>
          <w:szCs w:val="20"/>
        </w:rPr>
        <w:t xml:space="preserve"> </w:t>
      </w:r>
      <w:r w:rsidR="007E33E1" w:rsidRPr="00EF4C26">
        <w:rPr>
          <w:rFonts w:cs="Arial"/>
          <w:color w:val="auto"/>
          <w:sz w:val="20"/>
          <w:szCs w:val="20"/>
        </w:rPr>
        <w:t>of</w:t>
      </w:r>
      <w:r w:rsidR="00EF4C26" w:rsidRPr="00EF4C26">
        <w:rPr>
          <w:rFonts w:cs="Arial"/>
          <w:color w:val="auto"/>
          <w:sz w:val="20"/>
          <w:szCs w:val="20"/>
        </w:rPr>
        <w:t xml:space="preserve"> the South Devon Highway. These increases were offset in part by a </w:t>
      </w:r>
      <w:r w:rsidR="00EF4C26" w:rsidRPr="00794B8B">
        <w:rPr>
          <w:rFonts w:cs="Arial"/>
          <w:color w:val="auto"/>
          <w:sz w:val="20"/>
          <w:szCs w:val="20"/>
        </w:rPr>
        <w:t>r</w:t>
      </w:r>
      <w:r w:rsidRPr="00794B8B">
        <w:rPr>
          <w:rFonts w:cs="Arial"/>
          <w:color w:val="auto"/>
          <w:sz w:val="20"/>
          <w:szCs w:val="20"/>
        </w:rPr>
        <w:t>eduction in the value of the Council’s property assets related to the transfer of schools to academy status</w:t>
      </w:r>
      <w:r w:rsidR="00490FE6" w:rsidRPr="00794B8B">
        <w:rPr>
          <w:rFonts w:cs="Arial"/>
          <w:color w:val="auto"/>
          <w:sz w:val="20"/>
          <w:szCs w:val="20"/>
        </w:rPr>
        <w:t xml:space="preserve"> of £</w:t>
      </w:r>
      <w:r w:rsidR="008C6829" w:rsidRPr="00794B8B">
        <w:rPr>
          <w:rFonts w:cs="Arial"/>
          <w:color w:val="auto"/>
          <w:sz w:val="20"/>
          <w:szCs w:val="20"/>
        </w:rPr>
        <w:t>1</w:t>
      </w:r>
      <w:r w:rsidR="00D12FA2">
        <w:rPr>
          <w:rFonts w:cs="Arial"/>
          <w:color w:val="auto"/>
          <w:sz w:val="20"/>
          <w:szCs w:val="20"/>
        </w:rPr>
        <w:t>4</w:t>
      </w:r>
      <w:r w:rsidR="00490FE6" w:rsidRPr="00794B8B">
        <w:rPr>
          <w:rFonts w:cs="Arial"/>
          <w:color w:val="auto"/>
          <w:sz w:val="20"/>
          <w:szCs w:val="20"/>
        </w:rPr>
        <w:t>m</w:t>
      </w:r>
      <w:r w:rsidRPr="00794B8B">
        <w:rPr>
          <w:rFonts w:cs="Arial"/>
          <w:color w:val="auto"/>
          <w:sz w:val="20"/>
          <w:szCs w:val="20"/>
        </w:rPr>
        <w:t>.</w:t>
      </w:r>
      <w:r w:rsidRPr="00EF4C26">
        <w:rPr>
          <w:rFonts w:cs="Arial"/>
          <w:color w:val="auto"/>
          <w:sz w:val="20"/>
          <w:szCs w:val="20"/>
        </w:rPr>
        <w:t xml:space="preserve"> Any borrowing or other liability associated with capital expenditure on these assets in previous years remains with the Council.  </w:t>
      </w:r>
      <w:r w:rsidR="00F75797" w:rsidRPr="00EF4C26">
        <w:rPr>
          <w:rFonts w:cs="Arial"/>
          <w:color w:val="auto"/>
          <w:sz w:val="20"/>
          <w:szCs w:val="20"/>
        </w:rPr>
        <w:t xml:space="preserve">There was a £17m decrease in the Council’s pension liability </w:t>
      </w:r>
      <w:r w:rsidR="00D12FA2">
        <w:rPr>
          <w:rFonts w:cs="Arial"/>
          <w:color w:val="auto"/>
          <w:sz w:val="20"/>
          <w:szCs w:val="20"/>
        </w:rPr>
        <w:t xml:space="preserve">primarily </w:t>
      </w:r>
      <w:r w:rsidR="00F75797" w:rsidRPr="00EF4C26">
        <w:rPr>
          <w:rFonts w:cs="Arial"/>
          <w:color w:val="auto"/>
          <w:sz w:val="20"/>
          <w:szCs w:val="20"/>
        </w:rPr>
        <w:t>arisi</w:t>
      </w:r>
      <w:r w:rsidR="00CB7F26" w:rsidRPr="00EF4C26">
        <w:rPr>
          <w:rFonts w:cs="Arial"/>
          <w:color w:val="auto"/>
          <w:sz w:val="20"/>
          <w:szCs w:val="20"/>
        </w:rPr>
        <w:t>ng</w:t>
      </w:r>
      <w:r w:rsidR="00F75797">
        <w:rPr>
          <w:rFonts w:cs="Arial"/>
          <w:color w:val="auto"/>
          <w:sz w:val="20"/>
          <w:szCs w:val="20"/>
        </w:rPr>
        <w:t xml:space="preserve"> from</w:t>
      </w:r>
      <w:r w:rsidR="00CB7F26">
        <w:rPr>
          <w:rFonts w:cs="Arial"/>
          <w:color w:val="auto"/>
          <w:sz w:val="20"/>
          <w:szCs w:val="20"/>
        </w:rPr>
        <w:t xml:space="preserve"> </w:t>
      </w:r>
      <w:r w:rsidR="00F75797">
        <w:rPr>
          <w:rFonts w:cs="Arial"/>
          <w:color w:val="auto"/>
          <w:sz w:val="20"/>
          <w:szCs w:val="20"/>
        </w:rPr>
        <w:t>changes in d</w:t>
      </w:r>
      <w:r w:rsidR="00CB7F26">
        <w:rPr>
          <w:rFonts w:cs="Arial"/>
          <w:color w:val="auto"/>
          <w:sz w:val="20"/>
          <w:szCs w:val="20"/>
        </w:rPr>
        <w:t>iscount</w:t>
      </w:r>
      <w:r w:rsidR="00F75797">
        <w:rPr>
          <w:rFonts w:cs="Arial"/>
          <w:color w:val="auto"/>
          <w:sz w:val="20"/>
          <w:szCs w:val="20"/>
        </w:rPr>
        <w:t xml:space="preserve"> rates used to </w:t>
      </w:r>
      <w:r w:rsidR="007E33E1">
        <w:rPr>
          <w:rFonts w:cs="Arial"/>
          <w:color w:val="auto"/>
          <w:sz w:val="20"/>
          <w:szCs w:val="20"/>
        </w:rPr>
        <w:t>calculate</w:t>
      </w:r>
      <w:r w:rsidR="00F75797">
        <w:rPr>
          <w:rFonts w:cs="Arial"/>
          <w:color w:val="auto"/>
          <w:sz w:val="20"/>
          <w:szCs w:val="20"/>
        </w:rPr>
        <w:t xml:space="preserve"> the liability. </w:t>
      </w:r>
      <w:r w:rsidRPr="00F75797">
        <w:rPr>
          <w:rFonts w:cs="Arial"/>
          <w:color w:val="auto"/>
          <w:sz w:val="20"/>
          <w:szCs w:val="20"/>
        </w:rPr>
        <w:t xml:space="preserve">The Council’s general fund reserve </w:t>
      </w:r>
      <w:r w:rsidR="00D168BB" w:rsidRPr="00F75797">
        <w:rPr>
          <w:rFonts w:cs="Arial"/>
          <w:color w:val="auto"/>
          <w:sz w:val="20"/>
          <w:szCs w:val="20"/>
        </w:rPr>
        <w:t>remained at £4.4</w:t>
      </w:r>
      <w:r w:rsidR="0088707E" w:rsidRPr="00F75797">
        <w:rPr>
          <w:rFonts w:cs="Arial"/>
          <w:color w:val="auto"/>
          <w:sz w:val="20"/>
          <w:szCs w:val="20"/>
        </w:rPr>
        <w:t>m</w:t>
      </w:r>
      <w:r w:rsidRPr="00F75797">
        <w:rPr>
          <w:rFonts w:cs="Arial"/>
          <w:color w:val="auto"/>
          <w:sz w:val="20"/>
          <w:szCs w:val="20"/>
        </w:rPr>
        <w:t xml:space="preserve">, which is equivalent to </w:t>
      </w:r>
      <w:r w:rsidR="008353C5" w:rsidRPr="00F75797">
        <w:rPr>
          <w:rFonts w:cs="Arial"/>
          <w:color w:val="auto"/>
          <w:sz w:val="20"/>
          <w:szCs w:val="20"/>
        </w:rPr>
        <w:t>4</w:t>
      </w:r>
      <w:r w:rsidRPr="00F75797">
        <w:rPr>
          <w:rFonts w:cs="Arial"/>
          <w:color w:val="auto"/>
          <w:sz w:val="20"/>
          <w:szCs w:val="20"/>
        </w:rPr>
        <w:t>% of the Council’s 201</w:t>
      </w:r>
      <w:r w:rsidR="00F75797" w:rsidRPr="00F75797">
        <w:rPr>
          <w:rFonts w:cs="Arial"/>
          <w:color w:val="auto"/>
          <w:sz w:val="20"/>
          <w:szCs w:val="20"/>
        </w:rPr>
        <w:t>6</w:t>
      </w:r>
      <w:r w:rsidR="000C18A4" w:rsidRPr="00F75797">
        <w:rPr>
          <w:rFonts w:cs="Arial"/>
          <w:color w:val="auto"/>
          <w:sz w:val="20"/>
          <w:szCs w:val="20"/>
        </w:rPr>
        <w:t>/1</w:t>
      </w:r>
      <w:r w:rsidR="00F75797" w:rsidRPr="00F75797">
        <w:rPr>
          <w:rFonts w:cs="Arial"/>
          <w:color w:val="auto"/>
          <w:sz w:val="20"/>
          <w:szCs w:val="20"/>
        </w:rPr>
        <w:t>7</w:t>
      </w:r>
      <w:r w:rsidRPr="00F75797">
        <w:rPr>
          <w:rFonts w:cs="Arial"/>
          <w:color w:val="auto"/>
          <w:sz w:val="20"/>
          <w:szCs w:val="20"/>
        </w:rPr>
        <w:t xml:space="preserve"> net revenue budget</w:t>
      </w:r>
      <w:r w:rsidR="00B316E6" w:rsidRPr="00F75797">
        <w:rPr>
          <w:rFonts w:cs="Arial"/>
          <w:color w:val="auto"/>
          <w:sz w:val="20"/>
          <w:szCs w:val="20"/>
        </w:rPr>
        <w:t xml:space="preserve"> which is considered to be </w:t>
      </w:r>
      <w:r w:rsidR="00DB03C8" w:rsidRPr="00F75797">
        <w:rPr>
          <w:rFonts w:cs="Arial"/>
          <w:color w:val="auto"/>
          <w:sz w:val="20"/>
          <w:szCs w:val="20"/>
        </w:rPr>
        <w:t xml:space="preserve">close to a </w:t>
      </w:r>
      <w:r w:rsidR="00B316E6" w:rsidRPr="00F75797">
        <w:rPr>
          <w:rFonts w:cs="Arial"/>
          <w:color w:val="auto"/>
          <w:sz w:val="20"/>
          <w:szCs w:val="20"/>
        </w:rPr>
        <w:t>prudent level</w:t>
      </w:r>
      <w:r w:rsidRPr="00F75797">
        <w:rPr>
          <w:rFonts w:cs="Arial"/>
          <w:color w:val="auto"/>
          <w:sz w:val="20"/>
          <w:szCs w:val="20"/>
        </w:rPr>
        <w:t>.</w:t>
      </w:r>
    </w:p>
    <w:p w:rsidR="00783360" w:rsidRPr="0060380F" w:rsidRDefault="00E51139" w:rsidP="00F31A9D">
      <w:pPr>
        <w:pStyle w:val="BodyText"/>
        <w:widowControl w:val="0"/>
        <w:rPr>
          <w:rFonts w:cs="Arial"/>
          <w:color w:val="auto"/>
          <w:sz w:val="20"/>
          <w:szCs w:val="20"/>
        </w:rPr>
      </w:pPr>
      <w:r w:rsidRPr="0060380F">
        <w:rPr>
          <w:rFonts w:cs="Arial"/>
          <w:color w:val="auto"/>
          <w:sz w:val="20"/>
          <w:szCs w:val="20"/>
        </w:rPr>
        <w:t>Overall the Council’s net assets were</w:t>
      </w:r>
      <w:r w:rsidR="0060380F" w:rsidRPr="0060380F">
        <w:rPr>
          <w:rFonts w:cs="Arial"/>
          <w:color w:val="auto"/>
          <w:sz w:val="20"/>
          <w:szCs w:val="20"/>
        </w:rPr>
        <w:t xml:space="preserve"> </w:t>
      </w:r>
      <w:r w:rsidR="007E33E1" w:rsidRPr="0060380F">
        <w:rPr>
          <w:rFonts w:cs="Arial"/>
          <w:color w:val="auto"/>
          <w:sz w:val="20"/>
          <w:szCs w:val="20"/>
        </w:rPr>
        <w:t>higher than</w:t>
      </w:r>
      <w:r w:rsidRPr="0060380F">
        <w:rPr>
          <w:rFonts w:cs="Arial"/>
          <w:color w:val="auto"/>
          <w:sz w:val="20"/>
          <w:szCs w:val="20"/>
        </w:rPr>
        <w:t xml:space="preserve"> the previous year by £</w:t>
      </w:r>
      <w:r w:rsidR="008C6829" w:rsidRPr="0060380F">
        <w:rPr>
          <w:rFonts w:cs="Arial"/>
          <w:color w:val="auto"/>
          <w:sz w:val="20"/>
          <w:szCs w:val="20"/>
        </w:rPr>
        <w:t>5</w:t>
      </w:r>
      <w:r w:rsidRPr="0060380F">
        <w:rPr>
          <w:rFonts w:cs="Arial"/>
          <w:color w:val="auto"/>
          <w:sz w:val="20"/>
          <w:szCs w:val="20"/>
        </w:rPr>
        <w:t>m</w:t>
      </w:r>
      <w:r w:rsidR="00783360" w:rsidRPr="0060380F">
        <w:rPr>
          <w:rFonts w:cs="Arial"/>
          <w:color w:val="auto"/>
          <w:sz w:val="20"/>
          <w:szCs w:val="20"/>
        </w:rPr>
        <w:t>.</w:t>
      </w:r>
    </w:p>
    <w:p w:rsidR="00E51139" w:rsidRPr="0020591F" w:rsidRDefault="00E51139" w:rsidP="00F31A9D">
      <w:pPr>
        <w:pStyle w:val="BodyText"/>
        <w:widowControl w:val="0"/>
        <w:rPr>
          <w:rFonts w:cs="Arial"/>
          <w:color w:val="auto"/>
          <w:sz w:val="20"/>
          <w:szCs w:val="20"/>
          <w:u w:val="single"/>
        </w:rPr>
      </w:pPr>
      <w:r w:rsidRPr="0020591F">
        <w:rPr>
          <w:rFonts w:cs="Arial"/>
          <w:color w:val="auto"/>
          <w:sz w:val="20"/>
          <w:szCs w:val="20"/>
          <w:u w:val="single"/>
        </w:rPr>
        <w:t xml:space="preserve">Torbay </w:t>
      </w:r>
      <w:r w:rsidR="005D6F00" w:rsidRPr="0020591F">
        <w:rPr>
          <w:rFonts w:cs="Arial"/>
          <w:color w:val="auto"/>
          <w:sz w:val="20"/>
          <w:szCs w:val="20"/>
          <w:u w:val="single"/>
        </w:rPr>
        <w:t>“</w:t>
      </w:r>
      <w:r w:rsidRPr="0020591F">
        <w:rPr>
          <w:rFonts w:cs="Arial"/>
          <w:color w:val="auto"/>
          <w:sz w:val="20"/>
          <w:szCs w:val="20"/>
          <w:u w:val="single"/>
        </w:rPr>
        <w:t>Group</w:t>
      </w:r>
      <w:r w:rsidR="005D6F00" w:rsidRPr="0020591F">
        <w:rPr>
          <w:rFonts w:cs="Arial"/>
          <w:color w:val="auto"/>
          <w:sz w:val="20"/>
          <w:szCs w:val="20"/>
          <w:u w:val="single"/>
        </w:rPr>
        <w:t>”</w:t>
      </w:r>
      <w:r w:rsidRPr="0020591F">
        <w:rPr>
          <w:rFonts w:cs="Arial"/>
          <w:color w:val="auto"/>
          <w:sz w:val="20"/>
          <w:szCs w:val="20"/>
          <w:u w:val="single"/>
        </w:rPr>
        <w:t xml:space="preserve"> </w:t>
      </w:r>
      <w:r w:rsidR="005D6F00" w:rsidRPr="0020591F">
        <w:rPr>
          <w:rFonts w:cs="Arial"/>
          <w:color w:val="auto"/>
          <w:sz w:val="20"/>
          <w:szCs w:val="20"/>
          <w:u w:val="single"/>
        </w:rPr>
        <w:t>Companies</w:t>
      </w:r>
      <w:r w:rsidRPr="0020591F">
        <w:rPr>
          <w:rFonts w:cs="Arial"/>
          <w:color w:val="auto"/>
          <w:sz w:val="20"/>
          <w:szCs w:val="20"/>
          <w:u w:val="single"/>
        </w:rPr>
        <w:t xml:space="preserve"> – Overview of Financial Performance</w:t>
      </w:r>
    </w:p>
    <w:p w:rsidR="00A40910" w:rsidRPr="0020591F" w:rsidRDefault="00E51139" w:rsidP="00A40910">
      <w:pPr>
        <w:pStyle w:val="BodyText"/>
        <w:widowControl w:val="0"/>
        <w:rPr>
          <w:rFonts w:cs="Arial"/>
          <w:color w:val="auto"/>
          <w:sz w:val="20"/>
          <w:szCs w:val="20"/>
          <w:lang w:eastAsia="en-GB"/>
        </w:rPr>
      </w:pPr>
      <w:r w:rsidRPr="0020591F">
        <w:rPr>
          <w:rFonts w:cs="Arial"/>
          <w:color w:val="auto"/>
          <w:sz w:val="20"/>
          <w:szCs w:val="20"/>
        </w:rPr>
        <w:t xml:space="preserve">The Council has interests in a number of companies. </w:t>
      </w:r>
      <w:r w:rsidR="00A40910" w:rsidRPr="0020591F">
        <w:rPr>
          <w:rFonts w:cs="Arial"/>
          <w:color w:val="auto"/>
          <w:sz w:val="20"/>
          <w:szCs w:val="20"/>
          <w:lang w:eastAsia="en-GB"/>
        </w:rPr>
        <w:t>For 201</w:t>
      </w:r>
      <w:r w:rsidR="0020591F" w:rsidRPr="0020591F">
        <w:rPr>
          <w:rFonts w:cs="Arial"/>
          <w:color w:val="auto"/>
          <w:sz w:val="20"/>
          <w:szCs w:val="20"/>
          <w:lang w:eastAsia="en-GB"/>
        </w:rPr>
        <w:t>5</w:t>
      </w:r>
      <w:r w:rsidR="00A40910" w:rsidRPr="0020591F">
        <w:rPr>
          <w:rFonts w:cs="Arial"/>
          <w:color w:val="auto"/>
          <w:sz w:val="20"/>
          <w:szCs w:val="20"/>
          <w:lang w:eastAsia="en-GB"/>
        </w:rPr>
        <w:t>/1</w:t>
      </w:r>
      <w:r w:rsidR="0020591F" w:rsidRPr="0020591F">
        <w:rPr>
          <w:rFonts w:cs="Arial"/>
          <w:color w:val="auto"/>
          <w:sz w:val="20"/>
          <w:szCs w:val="20"/>
          <w:lang w:eastAsia="en-GB"/>
        </w:rPr>
        <w:t>6</w:t>
      </w:r>
      <w:r w:rsidR="00A40910" w:rsidRPr="0020591F">
        <w:rPr>
          <w:rFonts w:cs="Arial"/>
          <w:color w:val="auto"/>
          <w:sz w:val="20"/>
          <w:szCs w:val="20"/>
          <w:lang w:eastAsia="en-GB"/>
        </w:rPr>
        <w:t xml:space="preserve"> the value of the Council’s interests in these companies, after consolidation of inter group balances, is not considered to be sufficiently material to require the production of group accounts for the Council.</w:t>
      </w:r>
      <w:r w:rsidR="005F48BE">
        <w:rPr>
          <w:rFonts w:cs="Arial"/>
          <w:color w:val="auto"/>
          <w:sz w:val="20"/>
          <w:szCs w:val="20"/>
          <w:lang w:eastAsia="en-GB"/>
        </w:rPr>
        <w:t xml:space="preserve"> In 2015/16 the Co</w:t>
      </w:r>
      <w:r w:rsidR="009C5554">
        <w:rPr>
          <w:rFonts w:cs="Arial"/>
          <w:color w:val="auto"/>
          <w:sz w:val="20"/>
          <w:szCs w:val="20"/>
          <w:lang w:eastAsia="en-GB"/>
        </w:rPr>
        <w:t>uncil</w:t>
      </w:r>
      <w:r w:rsidR="005F48BE">
        <w:rPr>
          <w:rFonts w:cs="Arial"/>
          <w:color w:val="auto"/>
          <w:sz w:val="20"/>
          <w:szCs w:val="20"/>
          <w:lang w:eastAsia="en-GB"/>
        </w:rPr>
        <w:t xml:space="preserve"> dispose</w:t>
      </w:r>
      <w:r w:rsidR="009C5554">
        <w:rPr>
          <w:rFonts w:cs="Arial"/>
          <w:color w:val="auto"/>
          <w:sz w:val="20"/>
          <w:szCs w:val="20"/>
          <w:lang w:eastAsia="en-GB"/>
        </w:rPr>
        <w:t>d</w:t>
      </w:r>
      <w:r w:rsidR="005F48BE">
        <w:rPr>
          <w:rFonts w:cs="Arial"/>
          <w:color w:val="auto"/>
          <w:sz w:val="20"/>
          <w:szCs w:val="20"/>
          <w:lang w:eastAsia="en-GB"/>
        </w:rPr>
        <w:t xml:space="preserve"> of its 25% interest in PLUSS at nil consideration.</w:t>
      </w:r>
    </w:p>
    <w:p w:rsidR="00923BBD" w:rsidRPr="0020591F" w:rsidRDefault="00A40910" w:rsidP="00F31A9D">
      <w:pPr>
        <w:pStyle w:val="BodyText"/>
        <w:widowControl w:val="0"/>
        <w:rPr>
          <w:rFonts w:cs="Arial"/>
          <w:color w:val="auto"/>
          <w:sz w:val="20"/>
          <w:szCs w:val="20"/>
        </w:rPr>
      </w:pPr>
      <w:r w:rsidRPr="0020591F">
        <w:rPr>
          <w:rFonts w:cs="Arial"/>
          <w:color w:val="auto"/>
          <w:sz w:val="20"/>
          <w:szCs w:val="20"/>
        </w:rPr>
        <w:t>An overview of these companies financial performance in the year, based on draft 201</w:t>
      </w:r>
      <w:r w:rsidR="0020591F" w:rsidRPr="0020591F">
        <w:rPr>
          <w:rFonts w:cs="Arial"/>
          <w:color w:val="auto"/>
          <w:sz w:val="20"/>
          <w:szCs w:val="20"/>
        </w:rPr>
        <w:t>5</w:t>
      </w:r>
      <w:r w:rsidRPr="0020591F">
        <w:rPr>
          <w:rFonts w:cs="Arial"/>
          <w:color w:val="auto"/>
          <w:sz w:val="20"/>
          <w:szCs w:val="20"/>
        </w:rPr>
        <w:t>/1</w:t>
      </w:r>
      <w:r w:rsidR="0020591F" w:rsidRPr="0020591F">
        <w:rPr>
          <w:rFonts w:cs="Arial"/>
          <w:color w:val="auto"/>
          <w:sz w:val="20"/>
          <w:szCs w:val="20"/>
        </w:rPr>
        <w:t>6</w:t>
      </w:r>
      <w:r w:rsidRPr="0020591F">
        <w:rPr>
          <w:rFonts w:cs="Arial"/>
          <w:color w:val="auto"/>
          <w:sz w:val="20"/>
          <w:szCs w:val="20"/>
        </w:rPr>
        <w:t xml:space="preserve"> accounts, is shown in the table below.</w:t>
      </w:r>
    </w:p>
    <w:tbl>
      <w:tblPr>
        <w:tblStyle w:val="ListTable3-Accent51"/>
        <w:tblW w:w="0" w:type="auto"/>
        <w:tblBorders>
          <w:insideH w:val="single" w:sz="6" w:space="0" w:color="4BACC6" w:themeColor="accent5"/>
          <w:insideV w:val="single" w:sz="6" w:space="0" w:color="4BACC6" w:themeColor="accent5"/>
        </w:tblBorders>
        <w:tblLayout w:type="fixed"/>
        <w:tblLook w:val="01E0"/>
      </w:tblPr>
      <w:tblGrid>
        <w:gridCol w:w="2660"/>
        <w:gridCol w:w="1417"/>
        <w:gridCol w:w="1418"/>
        <w:gridCol w:w="1134"/>
        <w:gridCol w:w="1701"/>
        <w:gridCol w:w="912"/>
      </w:tblGrid>
      <w:tr w:rsidR="0085068C" w:rsidRPr="00D42E0B" w:rsidTr="00373CCD">
        <w:trPr>
          <w:cnfStyle w:val="100000000000"/>
        </w:trPr>
        <w:tc>
          <w:tcPr>
            <w:cnfStyle w:val="001000000100"/>
            <w:tcW w:w="2660" w:type="dxa"/>
            <w:tcBorders>
              <w:bottom w:val="none" w:sz="0" w:space="0" w:color="auto"/>
              <w:right w:val="none" w:sz="0" w:space="0" w:color="auto"/>
            </w:tcBorders>
          </w:tcPr>
          <w:p w:rsidR="00E51139" w:rsidRPr="0002406C" w:rsidRDefault="00E51139" w:rsidP="00CE6D72">
            <w:pPr>
              <w:pStyle w:val="BodyText"/>
              <w:widowControl w:val="0"/>
              <w:jc w:val="center"/>
              <w:rPr>
                <w:rFonts w:cs="Arial"/>
                <w:b w:val="0"/>
                <w:color w:val="auto"/>
                <w:sz w:val="20"/>
                <w:szCs w:val="20"/>
              </w:rPr>
            </w:pPr>
            <w:r w:rsidRPr="0002406C">
              <w:rPr>
                <w:rFonts w:cs="Arial"/>
                <w:b w:val="0"/>
                <w:color w:val="auto"/>
                <w:sz w:val="20"/>
                <w:szCs w:val="20"/>
              </w:rPr>
              <w:t>Entity</w:t>
            </w:r>
          </w:p>
        </w:tc>
        <w:tc>
          <w:tcPr>
            <w:cnfStyle w:val="000010000000"/>
            <w:tcW w:w="1417" w:type="dxa"/>
            <w:tcBorders>
              <w:left w:val="none" w:sz="0" w:space="0" w:color="auto"/>
              <w:right w:val="none" w:sz="0" w:space="0" w:color="auto"/>
            </w:tcBorders>
          </w:tcPr>
          <w:p w:rsidR="00E51139" w:rsidRPr="0002406C" w:rsidRDefault="00E51139" w:rsidP="00CE6D72">
            <w:pPr>
              <w:pStyle w:val="BodyText"/>
              <w:widowControl w:val="0"/>
              <w:jc w:val="center"/>
              <w:rPr>
                <w:rFonts w:cs="Arial"/>
                <w:b w:val="0"/>
                <w:color w:val="auto"/>
                <w:sz w:val="20"/>
                <w:szCs w:val="20"/>
              </w:rPr>
            </w:pPr>
            <w:r w:rsidRPr="0002406C">
              <w:rPr>
                <w:rFonts w:cs="Arial"/>
                <w:b w:val="0"/>
                <w:color w:val="auto"/>
                <w:sz w:val="20"/>
                <w:szCs w:val="20"/>
              </w:rPr>
              <w:t>Assessed Relationship</w:t>
            </w:r>
          </w:p>
        </w:tc>
        <w:tc>
          <w:tcPr>
            <w:tcW w:w="1418" w:type="dxa"/>
          </w:tcPr>
          <w:p w:rsidR="00E51139" w:rsidRPr="0002406C" w:rsidRDefault="00E51139" w:rsidP="00CE6D72">
            <w:pPr>
              <w:pStyle w:val="BodyText"/>
              <w:widowControl w:val="0"/>
              <w:jc w:val="center"/>
              <w:cnfStyle w:val="100000000000"/>
              <w:rPr>
                <w:rFonts w:cs="Arial"/>
                <w:b w:val="0"/>
                <w:color w:val="auto"/>
                <w:sz w:val="20"/>
                <w:szCs w:val="20"/>
              </w:rPr>
            </w:pPr>
            <w:r w:rsidRPr="0002406C">
              <w:rPr>
                <w:rFonts w:cs="Arial"/>
                <w:b w:val="0"/>
                <w:color w:val="auto"/>
                <w:sz w:val="20"/>
                <w:szCs w:val="20"/>
              </w:rPr>
              <w:t>Council Shareholding /Control</w:t>
            </w:r>
          </w:p>
        </w:tc>
        <w:tc>
          <w:tcPr>
            <w:cnfStyle w:val="000010000000"/>
            <w:tcW w:w="1134" w:type="dxa"/>
            <w:tcBorders>
              <w:left w:val="none" w:sz="0" w:space="0" w:color="auto"/>
              <w:right w:val="none" w:sz="0" w:space="0" w:color="auto"/>
            </w:tcBorders>
          </w:tcPr>
          <w:p w:rsidR="00E51139" w:rsidRPr="0002406C" w:rsidRDefault="00E51139" w:rsidP="005F1171">
            <w:pPr>
              <w:pStyle w:val="BodyText"/>
              <w:widowControl w:val="0"/>
              <w:jc w:val="center"/>
              <w:rPr>
                <w:rFonts w:cs="Arial"/>
                <w:b w:val="0"/>
                <w:color w:val="auto"/>
                <w:sz w:val="20"/>
                <w:szCs w:val="20"/>
              </w:rPr>
            </w:pPr>
            <w:r w:rsidRPr="0002406C">
              <w:rPr>
                <w:rFonts w:cs="Arial"/>
                <w:b w:val="0"/>
                <w:color w:val="auto"/>
                <w:sz w:val="20"/>
                <w:szCs w:val="20"/>
              </w:rPr>
              <w:t>Turnover £m</w:t>
            </w:r>
          </w:p>
        </w:tc>
        <w:tc>
          <w:tcPr>
            <w:tcW w:w="1701" w:type="dxa"/>
          </w:tcPr>
          <w:p w:rsidR="00E51139" w:rsidRPr="0002406C" w:rsidRDefault="00E51139" w:rsidP="00120BC5">
            <w:pPr>
              <w:pStyle w:val="BodyText"/>
              <w:widowControl w:val="0"/>
              <w:jc w:val="center"/>
              <w:cnfStyle w:val="100000000000"/>
              <w:rPr>
                <w:rFonts w:cs="Arial"/>
                <w:b w:val="0"/>
                <w:color w:val="auto"/>
                <w:sz w:val="20"/>
                <w:szCs w:val="20"/>
              </w:rPr>
            </w:pPr>
            <w:r w:rsidRPr="0002406C">
              <w:rPr>
                <w:rFonts w:cs="Arial"/>
                <w:b w:val="0"/>
                <w:color w:val="auto"/>
                <w:sz w:val="20"/>
                <w:szCs w:val="20"/>
              </w:rPr>
              <w:t xml:space="preserve">Surplus/(Deficit) for year £m </w:t>
            </w:r>
          </w:p>
        </w:tc>
        <w:tc>
          <w:tcPr>
            <w:cnfStyle w:val="000100001000"/>
            <w:tcW w:w="912" w:type="dxa"/>
            <w:tcBorders>
              <w:left w:val="none" w:sz="0" w:space="0" w:color="auto"/>
              <w:bottom w:val="none" w:sz="0" w:space="0" w:color="auto"/>
            </w:tcBorders>
          </w:tcPr>
          <w:p w:rsidR="00E51139" w:rsidRPr="0002406C" w:rsidRDefault="00E51139" w:rsidP="00CE6D72">
            <w:pPr>
              <w:pStyle w:val="BodyText"/>
              <w:widowControl w:val="0"/>
              <w:jc w:val="center"/>
              <w:rPr>
                <w:rFonts w:cs="Arial"/>
                <w:b w:val="0"/>
                <w:color w:val="auto"/>
                <w:sz w:val="20"/>
                <w:szCs w:val="20"/>
              </w:rPr>
            </w:pPr>
            <w:r w:rsidRPr="0002406C">
              <w:rPr>
                <w:rFonts w:cs="Arial"/>
                <w:b w:val="0"/>
                <w:color w:val="auto"/>
                <w:sz w:val="20"/>
                <w:szCs w:val="20"/>
              </w:rPr>
              <w:t>Net Equity £m</w:t>
            </w:r>
          </w:p>
        </w:tc>
      </w:tr>
      <w:tr w:rsidR="00E51139" w:rsidRPr="00D42E0B" w:rsidTr="00373CCD">
        <w:trPr>
          <w:cnfStyle w:val="000000100000"/>
          <w:trHeight w:val="586"/>
        </w:trPr>
        <w:tc>
          <w:tcPr>
            <w:cnfStyle w:val="001000000000"/>
            <w:tcW w:w="2660" w:type="dxa"/>
            <w:tcBorders>
              <w:top w:val="none" w:sz="0" w:space="0" w:color="auto"/>
              <w:bottom w:val="none" w:sz="0" w:space="0" w:color="auto"/>
              <w:right w:val="none" w:sz="0" w:space="0" w:color="auto"/>
            </w:tcBorders>
          </w:tcPr>
          <w:p w:rsidR="00E51139" w:rsidRPr="00B524B1" w:rsidRDefault="00E51139" w:rsidP="00C468DF">
            <w:pPr>
              <w:pStyle w:val="BodyText"/>
              <w:widowControl w:val="0"/>
              <w:rPr>
                <w:rFonts w:cs="Arial"/>
                <w:b w:val="0"/>
                <w:color w:val="auto"/>
                <w:sz w:val="20"/>
                <w:szCs w:val="20"/>
              </w:rPr>
            </w:pPr>
            <w:r w:rsidRPr="00B524B1">
              <w:rPr>
                <w:rFonts w:cs="Arial"/>
                <w:b w:val="0"/>
                <w:color w:val="auto"/>
                <w:sz w:val="20"/>
                <w:szCs w:val="20"/>
              </w:rPr>
              <w:t>Torbay Economic Development Co</w:t>
            </w:r>
            <w:r w:rsidR="005D3181" w:rsidRPr="00B524B1">
              <w:rPr>
                <w:rFonts w:cs="Arial"/>
                <w:b w:val="0"/>
                <w:color w:val="auto"/>
                <w:sz w:val="20"/>
                <w:szCs w:val="20"/>
              </w:rPr>
              <w:t xml:space="preserve">mpany </w:t>
            </w:r>
            <w:r w:rsidR="00E90833" w:rsidRPr="00B524B1">
              <w:rPr>
                <w:rFonts w:cs="Arial"/>
                <w:b w:val="0"/>
                <w:color w:val="auto"/>
                <w:sz w:val="20"/>
                <w:szCs w:val="20"/>
              </w:rPr>
              <w:t>Ltd</w:t>
            </w:r>
          </w:p>
        </w:tc>
        <w:tc>
          <w:tcPr>
            <w:cnfStyle w:val="000010000000"/>
            <w:tcW w:w="1417" w:type="dxa"/>
            <w:tcBorders>
              <w:top w:val="none" w:sz="0" w:space="0" w:color="auto"/>
              <w:left w:val="none" w:sz="0" w:space="0" w:color="auto"/>
              <w:bottom w:val="none" w:sz="0" w:space="0" w:color="auto"/>
              <w:right w:val="none" w:sz="0" w:space="0" w:color="auto"/>
            </w:tcBorders>
          </w:tcPr>
          <w:p w:rsidR="00E51139" w:rsidRPr="00B524B1" w:rsidRDefault="00E51139" w:rsidP="004821DB">
            <w:pPr>
              <w:pStyle w:val="BodyText"/>
              <w:widowControl w:val="0"/>
              <w:jc w:val="center"/>
              <w:rPr>
                <w:rFonts w:cs="Arial"/>
                <w:color w:val="auto"/>
                <w:sz w:val="20"/>
                <w:szCs w:val="20"/>
              </w:rPr>
            </w:pPr>
            <w:r w:rsidRPr="00B524B1">
              <w:rPr>
                <w:rFonts w:cs="Arial"/>
                <w:color w:val="auto"/>
                <w:sz w:val="20"/>
                <w:szCs w:val="20"/>
              </w:rPr>
              <w:t>Subsidiary</w:t>
            </w:r>
          </w:p>
        </w:tc>
        <w:tc>
          <w:tcPr>
            <w:tcW w:w="1418" w:type="dxa"/>
            <w:tcBorders>
              <w:top w:val="none" w:sz="0" w:space="0" w:color="auto"/>
              <w:bottom w:val="none" w:sz="0" w:space="0" w:color="auto"/>
            </w:tcBorders>
          </w:tcPr>
          <w:p w:rsidR="00E51139" w:rsidRPr="00B524B1" w:rsidRDefault="00E51139" w:rsidP="004821DB">
            <w:pPr>
              <w:pStyle w:val="BodyText"/>
              <w:widowControl w:val="0"/>
              <w:jc w:val="center"/>
              <w:cnfStyle w:val="000000100000"/>
              <w:rPr>
                <w:rFonts w:cs="Arial"/>
                <w:color w:val="auto"/>
                <w:sz w:val="20"/>
                <w:szCs w:val="20"/>
              </w:rPr>
            </w:pPr>
            <w:r w:rsidRPr="00B524B1">
              <w:rPr>
                <w:rFonts w:cs="Arial"/>
                <w:color w:val="auto"/>
                <w:sz w:val="20"/>
                <w:szCs w:val="20"/>
              </w:rPr>
              <w:t>100%</w:t>
            </w:r>
          </w:p>
        </w:tc>
        <w:tc>
          <w:tcPr>
            <w:cnfStyle w:val="000010000000"/>
            <w:tcW w:w="1134" w:type="dxa"/>
            <w:tcBorders>
              <w:top w:val="none" w:sz="0" w:space="0" w:color="auto"/>
              <w:left w:val="none" w:sz="0" w:space="0" w:color="auto"/>
              <w:bottom w:val="none" w:sz="0" w:space="0" w:color="auto"/>
              <w:right w:val="none" w:sz="0" w:space="0" w:color="auto"/>
            </w:tcBorders>
          </w:tcPr>
          <w:p w:rsidR="00E51139" w:rsidRPr="00B524B1" w:rsidRDefault="00A74BC8" w:rsidP="00B524B1">
            <w:pPr>
              <w:pStyle w:val="BodyText"/>
              <w:widowControl w:val="0"/>
              <w:jc w:val="center"/>
              <w:rPr>
                <w:rFonts w:cs="Arial"/>
                <w:color w:val="auto"/>
                <w:sz w:val="20"/>
                <w:szCs w:val="20"/>
              </w:rPr>
            </w:pPr>
            <w:r w:rsidRPr="00B524B1">
              <w:rPr>
                <w:rFonts w:cs="Arial"/>
                <w:color w:val="auto"/>
                <w:sz w:val="20"/>
                <w:szCs w:val="20"/>
              </w:rPr>
              <w:t>£</w:t>
            </w:r>
            <w:r w:rsidR="00B524B1" w:rsidRPr="00B524B1">
              <w:rPr>
                <w:rFonts w:cs="Arial"/>
                <w:color w:val="auto"/>
                <w:sz w:val="20"/>
                <w:szCs w:val="20"/>
              </w:rPr>
              <w:t>5.0</w:t>
            </w:r>
            <w:r w:rsidRPr="00B524B1">
              <w:rPr>
                <w:rFonts w:cs="Arial"/>
                <w:color w:val="auto"/>
                <w:sz w:val="20"/>
                <w:szCs w:val="20"/>
              </w:rPr>
              <w:t>m</w:t>
            </w:r>
          </w:p>
        </w:tc>
        <w:tc>
          <w:tcPr>
            <w:tcW w:w="1701" w:type="dxa"/>
            <w:tcBorders>
              <w:top w:val="none" w:sz="0" w:space="0" w:color="auto"/>
              <w:bottom w:val="none" w:sz="0" w:space="0" w:color="auto"/>
            </w:tcBorders>
          </w:tcPr>
          <w:p w:rsidR="00E51139" w:rsidRPr="00B524B1" w:rsidRDefault="00A74BC8" w:rsidP="00B524B1">
            <w:pPr>
              <w:pStyle w:val="BodyText"/>
              <w:widowControl w:val="0"/>
              <w:jc w:val="center"/>
              <w:cnfStyle w:val="000000100000"/>
              <w:rPr>
                <w:rFonts w:cs="Arial"/>
                <w:color w:val="auto"/>
                <w:sz w:val="20"/>
                <w:szCs w:val="20"/>
              </w:rPr>
            </w:pPr>
            <w:r w:rsidRPr="00B524B1">
              <w:rPr>
                <w:rFonts w:cs="Arial"/>
                <w:color w:val="auto"/>
                <w:sz w:val="20"/>
                <w:szCs w:val="20"/>
              </w:rPr>
              <w:t>£</w:t>
            </w:r>
            <w:r w:rsidR="00E93FCB" w:rsidRPr="00B524B1">
              <w:rPr>
                <w:rFonts w:cs="Arial"/>
                <w:color w:val="auto"/>
                <w:sz w:val="20"/>
                <w:szCs w:val="20"/>
              </w:rPr>
              <w:t>1</w:t>
            </w:r>
            <w:r w:rsidR="00B524B1" w:rsidRPr="00B524B1">
              <w:rPr>
                <w:rFonts w:cs="Arial"/>
                <w:color w:val="auto"/>
                <w:sz w:val="20"/>
                <w:szCs w:val="20"/>
              </w:rPr>
              <w:t>.2</w:t>
            </w:r>
            <w:r w:rsidRPr="00B524B1">
              <w:rPr>
                <w:rFonts w:cs="Arial"/>
                <w:color w:val="auto"/>
                <w:sz w:val="20"/>
                <w:szCs w:val="20"/>
              </w:rPr>
              <w:t>m</w:t>
            </w:r>
          </w:p>
        </w:tc>
        <w:tc>
          <w:tcPr>
            <w:cnfStyle w:val="000100000000"/>
            <w:tcW w:w="912" w:type="dxa"/>
            <w:tcBorders>
              <w:top w:val="none" w:sz="0" w:space="0" w:color="auto"/>
              <w:left w:val="none" w:sz="0" w:space="0" w:color="auto"/>
              <w:bottom w:val="none" w:sz="0" w:space="0" w:color="auto"/>
            </w:tcBorders>
          </w:tcPr>
          <w:p w:rsidR="00E51139" w:rsidRPr="00B524B1" w:rsidRDefault="00A74BC8" w:rsidP="00B524B1">
            <w:pPr>
              <w:pStyle w:val="BodyText"/>
              <w:widowControl w:val="0"/>
              <w:jc w:val="center"/>
              <w:rPr>
                <w:rFonts w:cs="Arial"/>
                <w:color w:val="auto"/>
                <w:sz w:val="20"/>
                <w:szCs w:val="20"/>
              </w:rPr>
            </w:pPr>
            <w:r w:rsidRPr="00B524B1">
              <w:rPr>
                <w:rFonts w:cs="Arial"/>
                <w:b w:val="0"/>
                <w:color w:val="auto"/>
                <w:sz w:val="20"/>
                <w:szCs w:val="20"/>
              </w:rPr>
              <w:t>£</w:t>
            </w:r>
            <w:r w:rsidR="00B524B1" w:rsidRPr="00B524B1">
              <w:rPr>
                <w:rFonts w:cs="Arial"/>
                <w:b w:val="0"/>
                <w:color w:val="auto"/>
                <w:sz w:val="20"/>
                <w:szCs w:val="20"/>
              </w:rPr>
              <w:t>2.3</w:t>
            </w:r>
            <w:r w:rsidRPr="00B524B1">
              <w:rPr>
                <w:rFonts w:cs="Arial"/>
                <w:b w:val="0"/>
                <w:color w:val="auto"/>
                <w:sz w:val="20"/>
                <w:szCs w:val="20"/>
              </w:rPr>
              <w:t>m</w:t>
            </w:r>
          </w:p>
        </w:tc>
      </w:tr>
      <w:tr w:rsidR="00E51139" w:rsidRPr="00D42E0B" w:rsidTr="00373CCD">
        <w:trPr>
          <w:trHeight w:val="508"/>
        </w:trPr>
        <w:tc>
          <w:tcPr>
            <w:cnfStyle w:val="001000000000"/>
            <w:tcW w:w="2660" w:type="dxa"/>
            <w:tcBorders>
              <w:right w:val="none" w:sz="0" w:space="0" w:color="auto"/>
            </w:tcBorders>
          </w:tcPr>
          <w:p w:rsidR="00E51139" w:rsidRPr="0015669D" w:rsidRDefault="00E51139" w:rsidP="00C468DF">
            <w:pPr>
              <w:pStyle w:val="BodyText"/>
              <w:widowControl w:val="0"/>
              <w:rPr>
                <w:rFonts w:cs="Arial"/>
                <w:b w:val="0"/>
                <w:color w:val="auto"/>
                <w:sz w:val="20"/>
                <w:szCs w:val="20"/>
              </w:rPr>
            </w:pPr>
            <w:r w:rsidRPr="0015669D">
              <w:rPr>
                <w:rFonts w:cs="Arial"/>
                <w:b w:val="0"/>
                <w:color w:val="auto"/>
                <w:sz w:val="20"/>
                <w:szCs w:val="20"/>
              </w:rPr>
              <w:t>English Riviera Tourism Company</w:t>
            </w:r>
            <w:r w:rsidR="00E90833" w:rsidRPr="0015669D">
              <w:rPr>
                <w:rFonts w:cs="Arial"/>
                <w:b w:val="0"/>
                <w:color w:val="auto"/>
                <w:sz w:val="20"/>
                <w:szCs w:val="20"/>
              </w:rPr>
              <w:t xml:space="preserve"> Ltd</w:t>
            </w:r>
          </w:p>
        </w:tc>
        <w:tc>
          <w:tcPr>
            <w:cnfStyle w:val="000010000000"/>
            <w:tcW w:w="1417" w:type="dxa"/>
            <w:tcBorders>
              <w:left w:val="none" w:sz="0" w:space="0" w:color="auto"/>
              <w:right w:val="none" w:sz="0" w:space="0" w:color="auto"/>
            </w:tcBorders>
          </w:tcPr>
          <w:p w:rsidR="00E51139" w:rsidRPr="0015669D" w:rsidRDefault="00E51139" w:rsidP="004821DB">
            <w:pPr>
              <w:pStyle w:val="BodyText"/>
              <w:widowControl w:val="0"/>
              <w:jc w:val="center"/>
              <w:rPr>
                <w:rFonts w:cs="Arial"/>
                <w:bCs/>
                <w:color w:val="auto"/>
                <w:sz w:val="20"/>
                <w:szCs w:val="20"/>
              </w:rPr>
            </w:pPr>
            <w:r w:rsidRPr="0015669D">
              <w:rPr>
                <w:rFonts w:cs="Arial"/>
                <w:bCs/>
                <w:color w:val="auto"/>
                <w:sz w:val="20"/>
                <w:szCs w:val="20"/>
              </w:rPr>
              <w:t>Subsidiary</w:t>
            </w:r>
          </w:p>
        </w:tc>
        <w:tc>
          <w:tcPr>
            <w:tcW w:w="1418" w:type="dxa"/>
          </w:tcPr>
          <w:p w:rsidR="00E51139" w:rsidRPr="0015669D" w:rsidRDefault="00E51139" w:rsidP="004821DB">
            <w:pPr>
              <w:pStyle w:val="BodyText"/>
              <w:widowControl w:val="0"/>
              <w:jc w:val="center"/>
              <w:cnfStyle w:val="000000000000"/>
              <w:rPr>
                <w:rFonts w:cs="Arial"/>
                <w:bCs/>
                <w:color w:val="auto"/>
                <w:sz w:val="20"/>
                <w:szCs w:val="20"/>
              </w:rPr>
            </w:pPr>
            <w:r w:rsidRPr="0015669D">
              <w:rPr>
                <w:rFonts w:cs="Arial"/>
                <w:bCs/>
                <w:color w:val="auto"/>
                <w:sz w:val="20"/>
                <w:szCs w:val="20"/>
              </w:rPr>
              <w:t>100%</w:t>
            </w:r>
          </w:p>
        </w:tc>
        <w:tc>
          <w:tcPr>
            <w:cnfStyle w:val="000010000000"/>
            <w:tcW w:w="1134" w:type="dxa"/>
            <w:tcBorders>
              <w:left w:val="none" w:sz="0" w:space="0" w:color="auto"/>
              <w:right w:val="none" w:sz="0" w:space="0" w:color="auto"/>
            </w:tcBorders>
          </w:tcPr>
          <w:p w:rsidR="00E51139" w:rsidRPr="0015669D" w:rsidRDefault="001F4249" w:rsidP="0015669D">
            <w:pPr>
              <w:pStyle w:val="BodyText"/>
              <w:widowControl w:val="0"/>
              <w:jc w:val="center"/>
              <w:rPr>
                <w:rFonts w:cs="Arial"/>
                <w:bCs/>
                <w:color w:val="auto"/>
                <w:sz w:val="20"/>
                <w:szCs w:val="20"/>
              </w:rPr>
            </w:pPr>
            <w:r w:rsidRPr="0015669D">
              <w:rPr>
                <w:rFonts w:cs="Arial"/>
                <w:bCs/>
                <w:color w:val="auto"/>
                <w:sz w:val="20"/>
                <w:szCs w:val="20"/>
              </w:rPr>
              <w:t>£0.</w:t>
            </w:r>
            <w:r w:rsidR="0015669D" w:rsidRPr="0015669D">
              <w:rPr>
                <w:rFonts w:cs="Arial"/>
                <w:bCs/>
                <w:color w:val="auto"/>
                <w:sz w:val="20"/>
                <w:szCs w:val="20"/>
              </w:rPr>
              <w:t>5</w:t>
            </w:r>
            <w:r w:rsidRPr="0015669D">
              <w:rPr>
                <w:rFonts w:cs="Arial"/>
                <w:bCs/>
                <w:color w:val="auto"/>
                <w:sz w:val="20"/>
                <w:szCs w:val="20"/>
              </w:rPr>
              <w:t>m</w:t>
            </w:r>
          </w:p>
        </w:tc>
        <w:tc>
          <w:tcPr>
            <w:tcW w:w="1701" w:type="dxa"/>
          </w:tcPr>
          <w:p w:rsidR="00E51139" w:rsidRPr="0015669D" w:rsidRDefault="00E93FCB" w:rsidP="0015669D">
            <w:pPr>
              <w:pStyle w:val="BodyText"/>
              <w:widowControl w:val="0"/>
              <w:jc w:val="center"/>
              <w:cnfStyle w:val="000000000000"/>
              <w:rPr>
                <w:rFonts w:cs="Arial"/>
                <w:bCs/>
                <w:color w:val="auto"/>
                <w:sz w:val="20"/>
                <w:szCs w:val="20"/>
              </w:rPr>
            </w:pPr>
            <w:r w:rsidRPr="0015669D">
              <w:rPr>
                <w:rFonts w:cs="Arial"/>
                <w:bCs/>
                <w:color w:val="auto"/>
                <w:sz w:val="20"/>
                <w:szCs w:val="20"/>
              </w:rPr>
              <w:t>£0.</w:t>
            </w:r>
            <w:r w:rsidR="0015669D" w:rsidRPr="0015669D">
              <w:rPr>
                <w:rFonts w:cs="Arial"/>
                <w:bCs/>
                <w:color w:val="auto"/>
                <w:sz w:val="20"/>
                <w:szCs w:val="20"/>
              </w:rPr>
              <w:t>1</w:t>
            </w:r>
            <w:r w:rsidRPr="0015669D">
              <w:rPr>
                <w:rFonts w:cs="Arial"/>
                <w:bCs/>
                <w:color w:val="auto"/>
                <w:sz w:val="20"/>
                <w:szCs w:val="20"/>
              </w:rPr>
              <w:t>m</w:t>
            </w:r>
          </w:p>
        </w:tc>
        <w:tc>
          <w:tcPr>
            <w:cnfStyle w:val="000100000000"/>
            <w:tcW w:w="912" w:type="dxa"/>
            <w:tcBorders>
              <w:left w:val="none" w:sz="0" w:space="0" w:color="auto"/>
            </w:tcBorders>
          </w:tcPr>
          <w:p w:rsidR="00E51139" w:rsidRPr="0015669D" w:rsidRDefault="00E93FCB" w:rsidP="0015669D">
            <w:pPr>
              <w:pStyle w:val="BodyText"/>
              <w:widowControl w:val="0"/>
              <w:jc w:val="center"/>
              <w:rPr>
                <w:rFonts w:cs="Arial"/>
                <w:color w:val="auto"/>
                <w:sz w:val="20"/>
                <w:szCs w:val="20"/>
              </w:rPr>
            </w:pPr>
            <w:r w:rsidRPr="0015669D">
              <w:rPr>
                <w:rFonts w:cs="Arial"/>
                <w:b w:val="0"/>
                <w:color w:val="auto"/>
                <w:sz w:val="20"/>
                <w:szCs w:val="20"/>
              </w:rPr>
              <w:t>(£</w:t>
            </w:r>
            <w:r w:rsidR="001F4249" w:rsidRPr="0015669D">
              <w:rPr>
                <w:rFonts w:cs="Arial"/>
                <w:b w:val="0"/>
                <w:color w:val="auto"/>
                <w:sz w:val="20"/>
                <w:szCs w:val="20"/>
              </w:rPr>
              <w:t>0</w:t>
            </w:r>
            <w:r w:rsidRPr="0015669D">
              <w:rPr>
                <w:rFonts w:cs="Arial"/>
                <w:b w:val="0"/>
                <w:color w:val="auto"/>
                <w:sz w:val="20"/>
                <w:szCs w:val="20"/>
              </w:rPr>
              <w:t>.</w:t>
            </w:r>
            <w:r w:rsidR="0015669D" w:rsidRPr="0015669D">
              <w:rPr>
                <w:rFonts w:cs="Arial"/>
                <w:b w:val="0"/>
                <w:color w:val="auto"/>
                <w:sz w:val="20"/>
                <w:szCs w:val="20"/>
              </w:rPr>
              <w:t>2</w:t>
            </w:r>
            <w:r w:rsidRPr="0015669D">
              <w:rPr>
                <w:rFonts w:cs="Arial"/>
                <w:b w:val="0"/>
                <w:color w:val="auto"/>
                <w:sz w:val="20"/>
                <w:szCs w:val="20"/>
              </w:rPr>
              <w:t>m)</w:t>
            </w:r>
          </w:p>
        </w:tc>
      </w:tr>
      <w:tr w:rsidR="00E51139" w:rsidRPr="00D42E0B" w:rsidTr="00373CCD">
        <w:trPr>
          <w:cnfStyle w:val="000000100000"/>
          <w:trHeight w:val="532"/>
        </w:trPr>
        <w:tc>
          <w:tcPr>
            <w:cnfStyle w:val="001000000000"/>
            <w:tcW w:w="2660" w:type="dxa"/>
            <w:tcBorders>
              <w:top w:val="none" w:sz="0" w:space="0" w:color="auto"/>
              <w:bottom w:val="none" w:sz="0" w:space="0" w:color="auto"/>
              <w:right w:val="none" w:sz="0" w:space="0" w:color="auto"/>
            </w:tcBorders>
          </w:tcPr>
          <w:p w:rsidR="00E51139" w:rsidRPr="0002406C" w:rsidRDefault="00E51139" w:rsidP="00C468DF">
            <w:pPr>
              <w:pStyle w:val="BodyText"/>
              <w:widowControl w:val="0"/>
              <w:rPr>
                <w:rFonts w:cs="Arial"/>
                <w:b w:val="0"/>
                <w:color w:val="auto"/>
                <w:sz w:val="20"/>
                <w:szCs w:val="20"/>
              </w:rPr>
            </w:pPr>
            <w:r w:rsidRPr="0002406C">
              <w:rPr>
                <w:rFonts w:cs="Arial"/>
                <w:b w:val="0"/>
                <w:color w:val="auto"/>
                <w:sz w:val="20"/>
                <w:szCs w:val="20"/>
              </w:rPr>
              <w:t>Oldway</w:t>
            </w:r>
            <w:r w:rsidR="00E90833" w:rsidRPr="0002406C">
              <w:rPr>
                <w:rFonts w:cs="Arial"/>
                <w:b w:val="0"/>
                <w:color w:val="auto"/>
                <w:sz w:val="20"/>
                <w:szCs w:val="20"/>
              </w:rPr>
              <w:t xml:space="preserve"> Mansion </w:t>
            </w:r>
            <w:r w:rsidR="005F1171" w:rsidRPr="0002406C">
              <w:rPr>
                <w:rFonts w:cs="Arial"/>
                <w:b w:val="0"/>
                <w:color w:val="auto"/>
                <w:sz w:val="20"/>
                <w:szCs w:val="20"/>
              </w:rPr>
              <w:t xml:space="preserve"> Management Co </w:t>
            </w:r>
            <w:r w:rsidR="00E90833" w:rsidRPr="0002406C">
              <w:rPr>
                <w:rFonts w:cs="Arial"/>
                <w:b w:val="0"/>
                <w:color w:val="auto"/>
                <w:sz w:val="20"/>
                <w:szCs w:val="20"/>
              </w:rPr>
              <w:t>Ltd</w:t>
            </w:r>
          </w:p>
        </w:tc>
        <w:tc>
          <w:tcPr>
            <w:cnfStyle w:val="000010000000"/>
            <w:tcW w:w="1417" w:type="dxa"/>
            <w:tcBorders>
              <w:top w:val="none" w:sz="0" w:space="0" w:color="auto"/>
              <w:left w:val="none" w:sz="0" w:space="0" w:color="auto"/>
              <w:bottom w:val="none" w:sz="0" w:space="0" w:color="auto"/>
              <w:right w:val="none" w:sz="0" w:space="0" w:color="auto"/>
            </w:tcBorders>
          </w:tcPr>
          <w:p w:rsidR="00E51139" w:rsidRPr="0002406C" w:rsidRDefault="00E51139" w:rsidP="004821DB">
            <w:pPr>
              <w:pStyle w:val="BodyText"/>
              <w:widowControl w:val="0"/>
              <w:jc w:val="center"/>
              <w:rPr>
                <w:rFonts w:cs="Arial"/>
                <w:color w:val="auto"/>
                <w:sz w:val="20"/>
                <w:szCs w:val="20"/>
              </w:rPr>
            </w:pPr>
            <w:r w:rsidRPr="0002406C">
              <w:rPr>
                <w:rFonts w:cs="Arial"/>
                <w:color w:val="auto"/>
                <w:sz w:val="20"/>
                <w:szCs w:val="20"/>
              </w:rPr>
              <w:t>Subsidiary</w:t>
            </w:r>
          </w:p>
        </w:tc>
        <w:tc>
          <w:tcPr>
            <w:tcW w:w="1418" w:type="dxa"/>
            <w:tcBorders>
              <w:top w:val="none" w:sz="0" w:space="0" w:color="auto"/>
              <w:bottom w:val="none" w:sz="0" w:space="0" w:color="auto"/>
            </w:tcBorders>
          </w:tcPr>
          <w:p w:rsidR="00E51139" w:rsidRPr="0002406C" w:rsidRDefault="00E51139" w:rsidP="004821DB">
            <w:pPr>
              <w:pStyle w:val="BodyText"/>
              <w:widowControl w:val="0"/>
              <w:jc w:val="center"/>
              <w:cnfStyle w:val="000000100000"/>
              <w:rPr>
                <w:rFonts w:cs="Arial"/>
                <w:color w:val="auto"/>
                <w:sz w:val="20"/>
                <w:szCs w:val="20"/>
              </w:rPr>
            </w:pPr>
            <w:r w:rsidRPr="0002406C">
              <w:rPr>
                <w:rFonts w:cs="Arial"/>
                <w:color w:val="auto"/>
                <w:sz w:val="20"/>
                <w:szCs w:val="20"/>
              </w:rPr>
              <w:t>100%</w:t>
            </w:r>
          </w:p>
        </w:tc>
        <w:tc>
          <w:tcPr>
            <w:cnfStyle w:val="000010000000"/>
            <w:tcW w:w="1134" w:type="dxa"/>
            <w:tcBorders>
              <w:top w:val="none" w:sz="0" w:space="0" w:color="auto"/>
              <w:left w:val="none" w:sz="0" w:space="0" w:color="auto"/>
              <w:bottom w:val="none" w:sz="0" w:space="0" w:color="auto"/>
              <w:right w:val="none" w:sz="0" w:space="0" w:color="auto"/>
            </w:tcBorders>
          </w:tcPr>
          <w:p w:rsidR="00E51139" w:rsidRPr="0002406C" w:rsidRDefault="008D2F8B" w:rsidP="006210CF">
            <w:pPr>
              <w:pStyle w:val="BodyText"/>
              <w:widowControl w:val="0"/>
              <w:jc w:val="center"/>
              <w:rPr>
                <w:rFonts w:cs="Arial"/>
                <w:color w:val="auto"/>
                <w:sz w:val="20"/>
                <w:szCs w:val="20"/>
              </w:rPr>
            </w:pPr>
            <w:r w:rsidRPr="0002406C">
              <w:rPr>
                <w:rFonts w:cs="Arial"/>
                <w:color w:val="auto"/>
                <w:sz w:val="20"/>
                <w:szCs w:val="20"/>
              </w:rPr>
              <w:t>£0.1m</w:t>
            </w:r>
          </w:p>
        </w:tc>
        <w:tc>
          <w:tcPr>
            <w:tcW w:w="1701" w:type="dxa"/>
            <w:tcBorders>
              <w:top w:val="none" w:sz="0" w:space="0" w:color="auto"/>
              <w:bottom w:val="none" w:sz="0" w:space="0" w:color="auto"/>
            </w:tcBorders>
          </w:tcPr>
          <w:p w:rsidR="00E51139" w:rsidRPr="0002406C" w:rsidRDefault="008D2F8B" w:rsidP="006210CF">
            <w:pPr>
              <w:pStyle w:val="BodyText"/>
              <w:widowControl w:val="0"/>
              <w:jc w:val="center"/>
              <w:cnfStyle w:val="000000100000"/>
              <w:rPr>
                <w:rFonts w:cs="Arial"/>
                <w:color w:val="auto"/>
                <w:sz w:val="20"/>
                <w:szCs w:val="20"/>
              </w:rPr>
            </w:pPr>
            <w:r w:rsidRPr="0002406C">
              <w:rPr>
                <w:rFonts w:cs="Arial"/>
                <w:color w:val="auto"/>
                <w:sz w:val="20"/>
                <w:szCs w:val="20"/>
              </w:rPr>
              <w:t>0</w:t>
            </w:r>
          </w:p>
        </w:tc>
        <w:tc>
          <w:tcPr>
            <w:cnfStyle w:val="000100000000"/>
            <w:tcW w:w="912" w:type="dxa"/>
            <w:tcBorders>
              <w:top w:val="none" w:sz="0" w:space="0" w:color="auto"/>
              <w:left w:val="none" w:sz="0" w:space="0" w:color="auto"/>
              <w:bottom w:val="none" w:sz="0" w:space="0" w:color="auto"/>
            </w:tcBorders>
          </w:tcPr>
          <w:p w:rsidR="00E51139" w:rsidRPr="0002406C" w:rsidRDefault="008D2F8B" w:rsidP="006210CF">
            <w:pPr>
              <w:pStyle w:val="BodyText"/>
              <w:widowControl w:val="0"/>
              <w:jc w:val="center"/>
              <w:rPr>
                <w:rFonts w:cs="Arial"/>
                <w:color w:val="auto"/>
                <w:sz w:val="20"/>
                <w:szCs w:val="20"/>
              </w:rPr>
            </w:pPr>
            <w:r w:rsidRPr="0002406C">
              <w:rPr>
                <w:rFonts w:cs="Arial"/>
                <w:b w:val="0"/>
                <w:color w:val="auto"/>
                <w:sz w:val="20"/>
                <w:szCs w:val="20"/>
              </w:rPr>
              <w:t>0</w:t>
            </w:r>
          </w:p>
        </w:tc>
      </w:tr>
      <w:tr w:rsidR="00E51139" w:rsidRPr="00D42E0B" w:rsidTr="00373CCD">
        <w:tc>
          <w:tcPr>
            <w:cnfStyle w:val="001000000000"/>
            <w:tcW w:w="2660" w:type="dxa"/>
            <w:tcBorders>
              <w:right w:val="none" w:sz="0" w:space="0" w:color="auto"/>
            </w:tcBorders>
          </w:tcPr>
          <w:p w:rsidR="00E51139" w:rsidRPr="00373CCD" w:rsidRDefault="00E51139" w:rsidP="00062C56">
            <w:pPr>
              <w:pStyle w:val="BodyText"/>
              <w:widowControl w:val="0"/>
              <w:rPr>
                <w:rFonts w:cs="Arial"/>
                <w:b w:val="0"/>
                <w:color w:val="auto"/>
                <w:sz w:val="20"/>
                <w:szCs w:val="20"/>
              </w:rPr>
            </w:pPr>
            <w:r w:rsidRPr="00373CCD">
              <w:rPr>
                <w:rFonts w:cs="Arial"/>
                <w:b w:val="0"/>
                <w:color w:val="auto"/>
                <w:sz w:val="20"/>
                <w:szCs w:val="20"/>
              </w:rPr>
              <w:t>TOR2</w:t>
            </w:r>
            <w:r w:rsidR="00E90833" w:rsidRPr="00373CCD">
              <w:rPr>
                <w:rFonts w:cs="Arial"/>
                <w:b w:val="0"/>
                <w:color w:val="auto"/>
                <w:sz w:val="20"/>
                <w:szCs w:val="20"/>
              </w:rPr>
              <w:t xml:space="preserve"> Ltd</w:t>
            </w:r>
            <w:r w:rsidR="00C3708F" w:rsidRPr="00373CCD">
              <w:rPr>
                <w:rFonts w:cs="Arial"/>
                <w:b w:val="0"/>
                <w:color w:val="auto"/>
                <w:sz w:val="20"/>
                <w:szCs w:val="20"/>
              </w:rPr>
              <w:t xml:space="preserve"> (</w:t>
            </w:r>
            <w:r w:rsidR="00EE1379" w:rsidRPr="00373CCD">
              <w:rPr>
                <w:rFonts w:cs="Arial"/>
                <w:b w:val="0"/>
                <w:color w:val="auto"/>
                <w:sz w:val="20"/>
                <w:szCs w:val="20"/>
              </w:rPr>
              <w:t xml:space="preserve">to </w:t>
            </w:r>
            <w:r w:rsidR="00C3708F" w:rsidRPr="00373CCD">
              <w:rPr>
                <w:rFonts w:cs="Arial"/>
                <w:b w:val="0"/>
                <w:color w:val="auto"/>
                <w:sz w:val="20"/>
                <w:szCs w:val="20"/>
              </w:rPr>
              <w:t xml:space="preserve"> 30/06/1</w:t>
            </w:r>
            <w:r w:rsidR="00062C56" w:rsidRPr="00373CCD">
              <w:rPr>
                <w:rFonts w:cs="Arial"/>
                <w:b w:val="0"/>
                <w:color w:val="auto"/>
                <w:sz w:val="20"/>
                <w:szCs w:val="20"/>
              </w:rPr>
              <w:t>5</w:t>
            </w:r>
            <w:r w:rsidR="00C3708F" w:rsidRPr="00373CCD">
              <w:rPr>
                <w:rFonts w:cs="Arial"/>
                <w:b w:val="0"/>
                <w:color w:val="auto"/>
                <w:sz w:val="20"/>
                <w:szCs w:val="20"/>
              </w:rPr>
              <w:t>)</w:t>
            </w:r>
          </w:p>
        </w:tc>
        <w:tc>
          <w:tcPr>
            <w:cnfStyle w:val="000010000000"/>
            <w:tcW w:w="1417" w:type="dxa"/>
            <w:tcBorders>
              <w:left w:val="none" w:sz="0" w:space="0" w:color="auto"/>
              <w:right w:val="none" w:sz="0" w:space="0" w:color="auto"/>
            </w:tcBorders>
          </w:tcPr>
          <w:p w:rsidR="00E51139" w:rsidRPr="00373CCD" w:rsidRDefault="00E51139" w:rsidP="004821DB">
            <w:pPr>
              <w:pStyle w:val="BodyText"/>
              <w:widowControl w:val="0"/>
              <w:jc w:val="center"/>
              <w:rPr>
                <w:rFonts w:cs="Arial"/>
                <w:bCs/>
                <w:color w:val="auto"/>
                <w:sz w:val="20"/>
                <w:szCs w:val="20"/>
              </w:rPr>
            </w:pPr>
            <w:r w:rsidRPr="00373CCD">
              <w:rPr>
                <w:rFonts w:cs="Arial"/>
                <w:bCs/>
                <w:color w:val="auto"/>
                <w:sz w:val="20"/>
                <w:szCs w:val="20"/>
              </w:rPr>
              <w:t>Associate</w:t>
            </w:r>
          </w:p>
        </w:tc>
        <w:tc>
          <w:tcPr>
            <w:tcW w:w="1418" w:type="dxa"/>
          </w:tcPr>
          <w:p w:rsidR="00E51139" w:rsidRPr="00373CCD" w:rsidRDefault="00E51139" w:rsidP="004821DB">
            <w:pPr>
              <w:pStyle w:val="BodyText"/>
              <w:widowControl w:val="0"/>
              <w:jc w:val="center"/>
              <w:cnfStyle w:val="000000000000"/>
              <w:rPr>
                <w:rFonts w:cs="Arial"/>
                <w:bCs/>
                <w:color w:val="auto"/>
                <w:sz w:val="20"/>
                <w:szCs w:val="20"/>
              </w:rPr>
            </w:pPr>
            <w:r w:rsidRPr="00373CCD">
              <w:rPr>
                <w:rFonts w:cs="Arial"/>
                <w:bCs/>
                <w:color w:val="auto"/>
                <w:sz w:val="20"/>
                <w:szCs w:val="20"/>
              </w:rPr>
              <w:t>19.99%</w:t>
            </w:r>
          </w:p>
        </w:tc>
        <w:tc>
          <w:tcPr>
            <w:cnfStyle w:val="000010000000"/>
            <w:tcW w:w="1134" w:type="dxa"/>
            <w:tcBorders>
              <w:left w:val="none" w:sz="0" w:space="0" w:color="auto"/>
              <w:right w:val="none" w:sz="0" w:space="0" w:color="auto"/>
            </w:tcBorders>
          </w:tcPr>
          <w:p w:rsidR="00E51139" w:rsidRPr="00373CCD" w:rsidRDefault="00A74BC8" w:rsidP="00062C56">
            <w:pPr>
              <w:pStyle w:val="BodyText"/>
              <w:widowControl w:val="0"/>
              <w:jc w:val="center"/>
              <w:rPr>
                <w:rFonts w:cs="Arial"/>
                <w:bCs/>
                <w:color w:val="auto"/>
                <w:sz w:val="20"/>
                <w:szCs w:val="20"/>
              </w:rPr>
            </w:pPr>
            <w:r w:rsidRPr="00373CCD">
              <w:rPr>
                <w:rFonts w:cs="Arial"/>
                <w:bCs/>
                <w:color w:val="auto"/>
                <w:sz w:val="20"/>
                <w:szCs w:val="20"/>
              </w:rPr>
              <w:t>£</w:t>
            </w:r>
            <w:r w:rsidR="00062C56" w:rsidRPr="00373CCD">
              <w:rPr>
                <w:rFonts w:cs="Arial"/>
                <w:bCs/>
                <w:color w:val="auto"/>
                <w:sz w:val="20"/>
                <w:szCs w:val="20"/>
              </w:rPr>
              <w:t>15</w:t>
            </w:r>
            <w:r w:rsidR="00C467A7" w:rsidRPr="00373CCD">
              <w:rPr>
                <w:rFonts w:cs="Arial"/>
                <w:bCs/>
                <w:color w:val="auto"/>
                <w:sz w:val="20"/>
                <w:szCs w:val="20"/>
              </w:rPr>
              <w:t>.</w:t>
            </w:r>
            <w:r w:rsidR="00062C56" w:rsidRPr="00373CCD">
              <w:rPr>
                <w:rFonts w:cs="Arial"/>
                <w:bCs/>
                <w:color w:val="auto"/>
                <w:sz w:val="20"/>
                <w:szCs w:val="20"/>
              </w:rPr>
              <w:t>1</w:t>
            </w:r>
            <w:r w:rsidRPr="00373CCD">
              <w:rPr>
                <w:rFonts w:cs="Arial"/>
                <w:bCs/>
                <w:color w:val="auto"/>
                <w:sz w:val="20"/>
                <w:szCs w:val="20"/>
              </w:rPr>
              <w:t>m</w:t>
            </w:r>
          </w:p>
        </w:tc>
        <w:tc>
          <w:tcPr>
            <w:tcW w:w="1701" w:type="dxa"/>
          </w:tcPr>
          <w:p w:rsidR="00E51139" w:rsidRPr="00373CCD" w:rsidRDefault="00A74BC8" w:rsidP="00062C56">
            <w:pPr>
              <w:pStyle w:val="BodyText"/>
              <w:widowControl w:val="0"/>
              <w:jc w:val="center"/>
              <w:cnfStyle w:val="000000000000"/>
              <w:rPr>
                <w:rFonts w:cs="Arial"/>
                <w:bCs/>
                <w:color w:val="auto"/>
                <w:sz w:val="20"/>
                <w:szCs w:val="20"/>
              </w:rPr>
            </w:pPr>
            <w:r w:rsidRPr="00373CCD">
              <w:rPr>
                <w:rFonts w:cs="Arial"/>
                <w:bCs/>
                <w:color w:val="auto"/>
                <w:sz w:val="20"/>
                <w:szCs w:val="20"/>
              </w:rPr>
              <w:t>£0.</w:t>
            </w:r>
            <w:r w:rsidR="00062C56" w:rsidRPr="00373CCD">
              <w:rPr>
                <w:rFonts w:cs="Arial"/>
                <w:bCs/>
                <w:color w:val="auto"/>
                <w:sz w:val="20"/>
                <w:szCs w:val="20"/>
              </w:rPr>
              <w:t>5</w:t>
            </w:r>
            <w:r w:rsidRPr="00373CCD">
              <w:rPr>
                <w:rFonts w:cs="Arial"/>
                <w:bCs/>
                <w:color w:val="auto"/>
                <w:sz w:val="20"/>
                <w:szCs w:val="20"/>
              </w:rPr>
              <w:t>m</w:t>
            </w:r>
          </w:p>
        </w:tc>
        <w:tc>
          <w:tcPr>
            <w:cnfStyle w:val="000100000000"/>
            <w:tcW w:w="912" w:type="dxa"/>
            <w:tcBorders>
              <w:left w:val="none" w:sz="0" w:space="0" w:color="auto"/>
            </w:tcBorders>
          </w:tcPr>
          <w:p w:rsidR="00E51139" w:rsidRPr="00373CCD" w:rsidRDefault="00A74BC8" w:rsidP="00062C56">
            <w:pPr>
              <w:pStyle w:val="BodyText"/>
              <w:widowControl w:val="0"/>
              <w:jc w:val="center"/>
              <w:rPr>
                <w:rFonts w:cs="Arial"/>
                <w:b w:val="0"/>
                <w:color w:val="auto"/>
                <w:sz w:val="20"/>
                <w:szCs w:val="20"/>
              </w:rPr>
            </w:pPr>
            <w:r w:rsidRPr="00373CCD">
              <w:rPr>
                <w:rFonts w:cs="Arial"/>
                <w:b w:val="0"/>
                <w:color w:val="auto"/>
                <w:sz w:val="20"/>
                <w:szCs w:val="20"/>
              </w:rPr>
              <w:t>(£</w:t>
            </w:r>
            <w:r w:rsidR="00C467A7" w:rsidRPr="00373CCD">
              <w:rPr>
                <w:rFonts w:cs="Arial"/>
                <w:b w:val="0"/>
                <w:color w:val="auto"/>
                <w:sz w:val="20"/>
                <w:szCs w:val="20"/>
              </w:rPr>
              <w:t>1.</w:t>
            </w:r>
            <w:r w:rsidR="00062C56" w:rsidRPr="00373CCD">
              <w:rPr>
                <w:rFonts w:cs="Arial"/>
                <w:b w:val="0"/>
                <w:color w:val="auto"/>
                <w:sz w:val="20"/>
                <w:szCs w:val="20"/>
              </w:rPr>
              <w:t>0</w:t>
            </w:r>
            <w:r w:rsidRPr="00373CCD">
              <w:rPr>
                <w:rFonts w:cs="Arial"/>
                <w:b w:val="0"/>
                <w:color w:val="auto"/>
                <w:sz w:val="20"/>
                <w:szCs w:val="20"/>
              </w:rPr>
              <w:t>m)</w:t>
            </w:r>
          </w:p>
        </w:tc>
      </w:tr>
      <w:tr w:rsidR="00E51139" w:rsidRPr="00D42E0B" w:rsidTr="00373CCD">
        <w:trPr>
          <w:cnfStyle w:val="010000000000"/>
        </w:trPr>
        <w:tc>
          <w:tcPr>
            <w:cnfStyle w:val="001000000001"/>
            <w:tcW w:w="2660" w:type="dxa"/>
            <w:tcBorders>
              <w:top w:val="none" w:sz="0" w:space="0" w:color="auto"/>
              <w:right w:val="none" w:sz="0" w:space="0" w:color="auto"/>
            </w:tcBorders>
          </w:tcPr>
          <w:p w:rsidR="00E51139" w:rsidRPr="006B046C" w:rsidRDefault="006B046C" w:rsidP="00C468DF">
            <w:pPr>
              <w:pStyle w:val="BodyText"/>
              <w:widowControl w:val="0"/>
              <w:rPr>
                <w:rFonts w:cs="Arial"/>
                <w:b w:val="0"/>
                <w:color w:val="auto"/>
                <w:sz w:val="20"/>
                <w:szCs w:val="20"/>
              </w:rPr>
            </w:pPr>
            <w:r w:rsidRPr="006B046C">
              <w:rPr>
                <w:rFonts w:cs="Arial"/>
                <w:b w:val="0"/>
                <w:color w:val="auto"/>
                <w:sz w:val="20"/>
                <w:szCs w:val="20"/>
              </w:rPr>
              <w:t xml:space="preserve">CSW Group Ltd </w:t>
            </w:r>
            <w:r w:rsidRPr="006B046C">
              <w:rPr>
                <w:rFonts w:cs="Arial"/>
                <w:b w:val="0"/>
                <w:color w:val="auto"/>
                <w:sz w:val="18"/>
                <w:szCs w:val="18"/>
              </w:rPr>
              <w:t xml:space="preserve">(formally </w:t>
            </w:r>
            <w:r w:rsidR="00E51139" w:rsidRPr="006B046C">
              <w:rPr>
                <w:rFonts w:cs="Arial"/>
                <w:b w:val="0"/>
                <w:color w:val="auto"/>
                <w:sz w:val="18"/>
                <w:szCs w:val="18"/>
              </w:rPr>
              <w:t>Careers SW</w:t>
            </w:r>
            <w:r w:rsidR="00E90833" w:rsidRPr="006B046C">
              <w:rPr>
                <w:rFonts w:cs="Arial"/>
                <w:b w:val="0"/>
                <w:color w:val="auto"/>
                <w:sz w:val="18"/>
                <w:szCs w:val="18"/>
              </w:rPr>
              <w:t xml:space="preserve"> Ltd</w:t>
            </w:r>
            <w:r w:rsidRPr="006B046C">
              <w:rPr>
                <w:rFonts w:cs="Arial"/>
                <w:b w:val="0"/>
                <w:color w:val="auto"/>
                <w:sz w:val="18"/>
                <w:szCs w:val="18"/>
              </w:rPr>
              <w:t>)</w:t>
            </w:r>
          </w:p>
        </w:tc>
        <w:tc>
          <w:tcPr>
            <w:cnfStyle w:val="000010000000"/>
            <w:tcW w:w="1417" w:type="dxa"/>
            <w:tcBorders>
              <w:top w:val="none" w:sz="0" w:space="0" w:color="auto"/>
              <w:left w:val="none" w:sz="0" w:space="0" w:color="auto"/>
              <w:right w:val="none" w:sz="0" w:space="0" w:color="auto"/>
            </w:tcBorders>
          </w:tcPr>
          <w:p w:rsidR="00E51139" w:rsidRPr="00373CCD" w:rsidRDefault="00E51139" w:rsidP="004821DB">
            <w:pPr>
              <w:pStyle w:val="BodyText"/>
              <w:widowControl w:val="0"/>
              <w:jc w:val="center"/>
              <w:rPr>
                <w:rFonts w:cs="Arial"/>
                <w:b w:val="0"/>
                <w:color w:val="auto"/>
                <w:sz w:val="20"/>
                <w:szCs w:val="20"/>
              </w:rPr>
            </w:pPr>
            <w:r w:rsidRPr="00373CCD">
              <w:rPr>
                <w:rFonts w:cs="Arial"/>
                <w:b w:val="0"/>
                <w:color w:val="auto"/>
                <w:sz w:val="20"/>
                <w:szCs w:val="20"/>
              </w:rPr>
              <w:t>Associate</w:t>
            </w:r>
          </w:p>
        </w:tc>
        <w:tc>
          <w:tcPr>
            <w:tcW w:w="1418" w:type="dxa"/>
            <w:tcBorders>
              <w:top w:val="none" w:sz="0" w:space="0" w:color="auto"/>
            </w:tcBorders>
          </w:tcPr>
          <w:p w:rsidR="00E51139" w:rsidRPr="00373CCD" w:rsidRDefault="00E51139" w:rsidP="004821DB">
            <w:pPr>
              <w:pStyle w:val="BodyText"/>
              <w:widowControl w:val="0"/>
              <w:jc w:val="center"/>
              <w:cnfStyle w:val="010000000000"/>
              <w:rPr>
                <w:rFonts w:cs="Arial"/>
                <w:b w:val="0"/>
                <w:color w:val="auto"/>
                <w:sz w:val="20"/>
                <w:szCs w:val="20"/>
              </w:rPr>
            </w:pPr>
            <w:r w:rsidRPr="00373CCD">
              <w:rPr>
                <w:rFonts w:cs="Arial"/>
                <w:b w:val="0"/>
                <w:color w:val="auto"/>
                <w:sz w:val="20"/>
                <w:szCs w:val="20"/>
              </w:rPr>
              <w:t>25%</w:t>
            </w:r>
          </w:p>
        </w:tc>
        <w:tc>
          <w:tcPr>
            <w:cnfStyle w:val="000010000000"/>
            <w:tcW w:w="1134" w:type="dxa"/>
            <w:tcBorders>
              <w:top w:val="none" w:sz="0" w:space="0" w:color="auto"/>
              <w:left w:val="none" w:sz="0" w:space="0" w:color="auto"/>
              <w:right w:val="none" w:sz="0" w:space="0" w:color="auto"/>
            </w:tcBorders>
          </w:tcPr>
          <w:p w:rsidR="00E51139" w:rsidRPr="00373CCD" w:rsidRDefault="0068619E" w:rsidP="00373CCD">
            <w:pPr>
              <w:pStyle w:val="BodyText"/>
              <w:widowControl w:val="0"/>
              <w:jc w:val="center"/>
              <w:rPr>
                <w:rFonts w:cs="Arial"/>
                <w:b w:val="0"/>
                <w:color w:val="auto"/>
                <w:sz w:val="20"/>
                <w:szCs w:val="20"/>
              </w:rPr>
            </w:pPr>
            <w:r w:rsidRPr="00373CCD">
              <w:rPr>
                <w:rFonts w:cs="Arial"/>
                <w:b w:val="0"/>
                <w:color w:val="auto"/>
                <w:sz w:val="20"/>
                <w:szCs w:val="20"/>
              </w:rPr>
              <w:t>£</w:t>
            </w:r>
            <w:r w:rsidR="00373CCD" w:rsidRPr="00373CCD">
              <w:rPr>
                <w:rFonts w:cs="Arial"/>
                <w:b w:val="0"/>
                <w:color w:val="auto"/>
                <w:sz w:val="20"/>
                <w:szCs w:val="20"/>
              </w:rPr>
              <w:t>7.7</w:t>
            </w:r>
            <w:r w:rsidRPr="00373CCD">
              <w:rPr>
                <w:rFonts w:cs="Arial"/>
                <w:b w:val="0"/>
                <w:color w:val="auto"/>
                <w:sz w:val="20"/>
                <w:szCs w:val="20"/>
              </w:rPr>
              <w:t>m</w:t>
            </w:r>
          </w:p>
        </w:tc>
        <w:tc>
          <w:tcPr>
            <w:tcW w:w="1701" w:type="dxa"/>
            <w:tcBorders>
              <w:top w:val="none" w:sz="0" w:space="0" w:color="auto"/>
            </w:tcBorders>
          </w:tcPr>
          <w:p w:rsidR="00E51139" w:rsidRPr="00373CCD" w:rsidRDefault="0068619E" w:rsidP="0068619E">
            <w:pPr>
              <w:pStyle w:val="BodyText"/>
              <w:widowControl w:val="0"/>
              <w:jc w:val="center"/>
              <w:cnfStyle w:val="010000000000"/>
              <w:rPr>
                <w:rFonts w:cs="Arial"/>
                <w:b w:val="0"/>
                <w:color w:val="auto"/>
                <w:sz w:val="20"/>
                <w:szCs w:val="20"/>
              </w:rPr>
            </w:pPr>
            <w:r w:rsidRPr="00373CCD">
              <w:rPr>
                <w:rFonts w:cs="Arial"/>
                <w:b w:val="0"/>
                <w:color w:val="auto"/>
                <w:sz w:val="20"/>
                <w:szCs w:val="20"/>
              </w:rPr>
              <w:t>£0.1m</w:t>
            </w:r>
          </w:p>
        </w:tc>
        <w:tc>
          <w:tcPr>
            <w:cnfStyle w:val="000100000010"/>
            <w:tcW w:w="912" w:type="dxa"/>
            <w:tcBorders>
              <w:top w:val="none" w:sz="0" w:space="0" w:color="auto"/>
              <w:left w:val="none" w:sz="0" w:space="0" w:color="auto"/>
            </w:tcBorders>
          </w:tcPr>
          <w:p w:rsidR="00E51139" w:rsidRPr="00373CCD" w:rsidRDefault="0068619E" w:rsidP="00373CCD">
            <w:pPr>
              <w:pStyle w:val="BodyText"/>
              <w:widowControl w:val="0"/>
              <w:jc w:val="center"/>
              <w:rPr>
                <w:rFonts w:cs="Arial"/>
                <w:b w:val="0"/>
                <w:color w:val="auto"/>
                <w:sz w:val="20"/>
                <w:szCs w:val="20"/>
              </w:rPr>
            </w:pPr>
            <w:r w:rsidRPr="00373CCD">
              <w:rPr>
                <w:rFonts w:cs="Arial"/>
                <w:b w:val="0"/>
                <w:color w:val="auto"/>
                <w:sz w:val="20"/>
                <w:szCs w:val="20"/>
              </w:rPr>
              <w:t>£1.</w:t>
            </w:r>
            <w:r w:rsidR="00373CCD" w:rsidRPr="00373CCD">
              <w:rPr>
                <w:rFonts w:cs="Arial"/>
                <w:b w:val="0"/>
                <w:color w:val="auto"/>
                <w:sz w:val="20"/>
                <w:szCs w:val="20"/>
              </w:rPr>
              <w:t>5</w:t>
            </w:r>
            <w:r w:rsidRPr="00373CCD">
              <w:rPr>
                <w:rFonts w:cs="Arial"/>
                <w:b w:val="0"/>
                <w:color w:val="auto"/>
                <w:sz w:val="20"/>
                <w:szCs w:val="20"/>
              </w:rPr>
              <w:t>m</w:t>
            </w:r>
          </w:p>
        </w:tc>
      </w:tr>
    </w:tbl>
    <w:p w:rsidR="006418A0" w:rsidRPr="00D42E0B" w:rsidRDefault="006418A0" w:rsidP="00F31A9D">
      <w:pPr>
        <w:pStyle w:val="BodyText"/>
        <w:widowControl w:val="0"/>
        <w:rPr>
          <w:rFonts w:cs="Arial"/>
          <w:color w:val="548DD4" w:themeColor="text2" w:themeTint="99"/>
          <w:sz w:val="20"/>
          <w:szCs w:val="20"/>
          <w:u w:val="single"/>
        </w:rPr>
      </w:pPr>
    </w:p>
    <w:p w:rsidR="00E51139" w:rsidRPr="00741CE8" w:rsidRDefault="000F4D20" w:rsidP="00F31A9D">
      <w:pPr>
        <w:pStyle w:val="BodyText"/>
        <w:widowControl w:val="0"/>
        <w:rPr>
          <w:rFonts w:cs="Arial"/>
          <w:color w:val="auto"/>
          <w:sz w:val="20"/>
          <w:szCs w:val="20"/>
          <w:u w:val="single"/>
        </w:rPr>
      </w:pPr>
      <w:r w:rsidRPr="00741CE8">
        <w:rPr>
          <w:rFonts w:cs="Arial"/>
          <w:color w:val="auto"/>
          <w:sz w:val="20"/>
          <w:szCs w:val="20"/>
          <w:u w:val="single"/>
        </w:rPr>
        <w:t>K</w:t>
      </w:r>
      <w:r w:rsidR="00E51139" w:rsidRPr="00741CE8">
        <w:rPr>
          <w:rFonts w:cs="Arial"/>
          <w:color w:val="auto"/>
          <w:sz w:val="20"/>
          <w:szCs w:val="20"/>
          <w:u w:val="single"/>
        </w:rPr>
        <w:t>ey Financial Ratios</w:t>
      </w:r>
    </w:p>
    <w:p w:rsidR="00E51139" w:rsidRDefault="00E51139" w:rsidP="00A25870">
      <w:pPr>
        <w:pStyle w:val="BodyText"/>
        <w:widowControl w:val="0"/>
        <w:rPr>
          <w:rFonts w:cs="Arial"/>
          <w:bCs/>
          <w:color w:val="auto"/>
          <w:sz w:val="20"/>
          <w:szCs w:val="20"/>
        </w:rPr>
      </w:pPr>
      <w:r w:rsidRPr="00741CE8">
        <w:rPr>
          <w:rFonts w:cs="Arial"/>
          <w:bCs/>
          <w:color w:val="auto"/>
          <w:sz w:val="20"/>
          <w:szCs w:val="20"/>
        </w:rPr>
        <w:t>The following “basket” of rat</w:t>
      </w:r>
      <w:r w:rsidR="00D84891" w:rsidRPr="00741CE8">
        <w:rPr>
          <w:rFonts w:cs="Arial"/>
          <w:bCs/>
          <w:color w:val="auto"/>
          <w:sz w:val="20"/>
          <w:szCs w:val="20"/>
        </w:rPr>
        <w:t>ios</w:t>
      </w:r>
      <w:r w:rsidRPr="00741CE8">
        <w:rPr>
          <w:rFonts w:cs="Arial"/>
          <w:bCs/>
          <w:color w:val="auto"/>
          <w:sz w:val="20"/>
          <w:szCs w:val="20"/>
        </w:rPr>
        <w:t xml:space="preserve"> </w:t>
      </w:r>
      <w:r w:rsidR="00181033" w:rsidRPr="00741CE8">
        <w:rPr>
          <w:rFonts w:cs="Arial"/>
          <w:bCs/>
          <w:color w:val="auto"/>
          <w:sz w:val="20"/>
          <w:szCs w:val="20"/>
        </w:rPr>
        <w:t>is</w:t>
      </w:r>
      <w:r w:rsidRPr="00741CE8">
        <w:rPr>
          <w:rFonts w:cs="Arial"/>
          <w:bCs/>
          <w:color w:val="auto"/>
          <w:sz w:val="20"/>
          <w:szCs w:val="20"/>
        </w:rPr>
        <w:t xml:space="preserve"> to provide a snapshot of the financial performance of the Council.</w:t>
      </w:r>
    </w:p>
    <w:p w:rsidR="00693CFF" w:rsidRDefault="00693CFF" w:rsidP="00A25870">
      <w:pPr>
        <w:pStyle w:val="BodyText"/>
        <w:widowControl w:val="0"/>
        <w:rPr>
          <w:rFonts w:cs="Arial"/>
          <w:bCs/>
          <w:color w:val="auto"/>
          <w:sz w:val="20"/>
          <w:szCs w:val="20"/>
        </w:rPr>
      </w:pPr>
    </w:p>
    <w:p w:rsidR="00693CFF" w:rsidRPr="00741CE8" w:rsidRDefault="00693CFF" w:rsidP="00A25870">
      <w:pPr>
        <w:pStyle w:val="BodyText"/>
        <w:widowControl w:val="0"/>
        <w:rPr>
          <w:rFonts w:cs="Arial"/>
          <w:bCs/>
          <w:color w:val="auto"/>
          <w:sz w:val="20"/>
          <w:szCs w:val="20"/>
        </w:rPr>
      </w:pPr>
    </w:p>
    <w:tbl>
      <w:tblPr>
        <w:tblStyle w:val="ListTable3-Accent51"/>
        <w:tblW w:w="9156" w:type="dxa"/>
        <w:tblLook w:val="01E0"/>
      </w:tblPr>
      <w:tblGrid>
        <w:gridCol w:w="7196"/>
        <w:gridCol w:w="992"/>
        <w:gridCol w:w="968"/>
      </w:tblGrid>
      <w:tr w:rsidR="00CF7B7A" w:rsidRPr="00D42E0B" w:rsidTr="00A25870">
        <w:trPr>
          <w:cnfStyle w:val="100000000000"/>
          <w:trHeight w:val="431"/>
        </w:trPr>
        <w:tc>
          <w:tcPr>
            <w:cnfStyle w:val="001000000100"/>
            <w:tcW w:w="7196" w:type="dxa"/>
          </w:tcPr>
          <w:p w:rsidR="00CF7B7A" w:rsidRPr="00ED1E17" w:rsidRDefault="00CF7B7A" w:rsidP="005F1171">
            <w:pPr>
              <w:pStyle w:val="BodyText"/>
              <w:widowControl w:val="0"/>
              <w:jc w:val="center"/>
              <w:rPr>
                <w:rFonts w:cs="Arial"/>
                <w:b w:val="0"/>
                <w:color w:val="auto"/>
                <w:sz w:val="20"/>
                <w:szCs w:val="20"/>
              </w:rPr>
            </w:pPr>
          </w:p>
        </w:tc>
        <w:tc>
          <w:tcPr>
            <w:cnfStyle w:val="000010000000"/>
            <w:tcW w:w="992" w:type="dxa"/>
          </w:tcPr>
          <w:p w:rsidR="00CF7B7A" w:rsidRPr="00ED1E17" w:rsidRDefault="00A25870" w:rsidP="00ED1E17">
            <w:pPr>
              <w:pStyle w:val="BodyText"/>
              <w:widowControl w:val="0"/>
              <w:rPr>
                <w:rFonts w:cs="Arial"/>
                <w:b w:val="0"/>
                <w:color w:val="auto"/>
                <w:sz w:val="20"/>
                <w:szCs w:val="20"/>
              </w:rPr>
            </w:pPr>
            <w:r w:rsidRPr="00ED1E17">
              <w:rPr>
                <w:rFonts w:cs="Arial"/>
                <w:b w:val="0"/>
                <w:color w:val="auto"/>
                <w:sz w:val="20"/>
                <w:szCs w:val="20"/>
              </w:rPr>
              <w:t>201</w:t>
            </w:r>
            <w:r w:rsidR="00ED1E17" w:rsidRPr="00ED1E17">
              <w:rPr>
                <w:rFonts w:cs="Arial"/>
                <w:b w:val="0"/>
                <w:color w:val="auto"/>
                <w:sz w:val="20"/>
                <w:szCs w:val="20"/>
              </w:rPr>
              <w:t>4</w:t>
            </w:r>
            <w:r w:rsidRPr="00ED1E17">
              <w:rPr>
                <w:rFonts w:cs="Arial"/>
                <w:b w:val="0"/>
                <w:color w:val="auto"/>
                <w:sz w:val="20"/>
                <w:szCs w:val="20"/>
              </w:rPr>
              <w:t>/1</w:t>
            </w:r>
            <w:r w:rsidR="00ED1E17" w:rsidRPr="00ED1E17">
              <w:rPr>
                <w:rFonts w:cs="Arial"/>
                <w:b w:val="0"/>
                <w:color w:val="auto"/>
                <w:sz w:val="20"/>
                <w:szCs w:val="20"/>
              </w:rPr>
              <w:t>5</w:t>
            </w:r>
          </w:p>
        </w:tc>
        <w:tc>
          <w:tcPr>
            <w:cnfStyle w:val="000100001000"/>
            <w:tcW w:w="968" w:type="dxa"/>
          </w:tcPr>
          <w:p w:rsidR="00CF7B7A" w:rsidRPr="00DE1BC0" w:rsidRDefault="00CF7B7A" w:rsidP="00ED1E17">
            <w:pPr>
              <w:pStyle w:val="BodyText"/>
              <w:widowControl w:val="0"/>
              <w:rPr>
                <w:rFonts w:cs="Arial"/>
                <w:color w:val="auto"/>
                <w:sz w:val="20"/>
                <w:szCs w:val="20"/>
              </w:rPr>
            </w:pPr>
            <w:r w:rsidRPr="00DE1BC0">
              <w:rPr>
                <w:rFonts w:cs="Arial"/>
                <w:color w:val="auto"/>
                <w:sz w:val="20"/>
                <w:szCs w:val="20"/>
              </w:rPr>
              <w:t>201</w:t>
            </w:r>
            <w:r w:rsidR="00ED1E17" w:rsidRPr="00DE1BC0">
              <w:rPr>
                <w:rFonts w:cs="Arial"/>
                <w:color w:val="auto"/>
                <w:sz w:val="20"/>
                <w:szCs w:val="20"/>
              </w:rPr>
              <w:t>5</w:t>
            </w:r>
            <w:r w:rsidRPr="00DE1BC0">
              <w:rPr>
                <w:rFonts w:cs="Arial"/>
                <w:color w:val="auto"/>
                <w:sz w:val="20"/>
                <w:szCs w:val="20"/>
              </w:rPr>
              <w:t>/1</w:t>
            </w:r>
            <w:r w:rsidR="00ED1E17" w:rsidRPr="00DE1BC0">
              <w:rPr>
                <w:rFonts w:cs="Arial"/>
                <w:color w:val="auto"/>
                <w:sz w:val="20"/>
                <w:szCs w:val="20"/>
              </w:rPr>
              <w:t>6</w:t>
            </w:r>
          </w:p>
        </w:tc>
      </w:tr>
      <w:tr w:rsidR="00CF7B7A" w:rsidRPr="00D42E0B" w:rsidTr="00A25870">
        <w:trPr>
          <w:cnfStyle w:val="000000100000"/>
          <w:trHeight w:val="253"/>
        </w:trPr>
        <w:tc>
          <w:tcPr>
            <w:cnfStyle w:val="001000000000"/>
            <w:tcW w:w="7196" w:type="dxa"/>
          </w:tcPr>
          <w:p w:rsidR="00CF7B7A" w:rsidRPr="00ED1E17" w:rsidRDefault="00CF7B7A" w:rsidP="00A25870">
            <w:pPr>
              <w:pStyle w:val="BodyText"/>
              <w:widowControl w:val="0"/>
              <w:rPr>
                <w:rFonts w:cs="Arial"/>
                <w:b w:val="0"/>
                <w:color w:val="auto"/>
                <w:sz w:val="20"/>
                <w:szCs w:val="20"/>
              </w:rPr>
            </w:pPr>
            <w:r w:rsidRPr="00ED1E17">
              <w:rPr>
                <w:rFonts w:cs="Arial"/>
                <w:b w:val="0"/>
                <w:color w:val="auto"/>
                <w:sz w:val="20"/>
                <w:szCs w:val="20"/>
              </w:rPr>
              <w:t>Uncommitted General Fund Balance / Annual Budgeted Net</w:t>
            </w:r>
            <w:r w:rsidR="00A25870" w:rsidRPr="00ED1E17">
              <w:rPr>
                <w:rFonts w:cs="Arial"/>
                <w:b w:val="0"/>
                <w:color w:val="auto"/>
                <w:sz w:val="20"/>
                <w:szCs w:val="20"/>
              </w:rPr>
              <w:t xml:space="preserve"> Expenditure</w:t>
            </w:r>
          </w:p>
        </w:tc>
        <w:tc>
          <w:tcPr>
            <w:cnfStyle w:val="000010000000"/>
            <w:tcW w:w="992" w:type="dxa"/>
          </w:tcPr>
          <w:p w:rsidR="00CF7B7A" w:rsidRPr="00ED1E17" w:rsidRDefault="00CF7B7A" w:rsidP="00ED1E17">
            <w:pPr>
              <w:pStyle w:val="BodyText"/>
              <w:widowControl w:val="0"/>
              <w:jc w:val="center"/>
              <w:rPr>
                <w:rFonts w:cs="Arial"/>
                <w:color w:val="auto"/>
                <w:sz w:val="20"/>
                <w:szCs w:val="20"/>
              </w:rPr>
            </w:pPr>
            <w:r w:rsidRPr="00ED1E17">
              <w:rPr>
                <w:rFonts w:cs="Arial"/>
                <w:color w:val="auto"/>
                <w:sz w:val="20"/>
                <w:szCs w:val="20"/>
              </w:rPr>
              <w:t>3.</w:t>
            </w:r>
            <w:r w:rsidR="00ED1E17" w:rsidRPr="00ED1E17">
              <w:rPr>
                <w:rFonts w:cs="Arial"/>
                <w:color w:val="auto"/>
                <w:sz w:val="20"/>
                <w:szCs w:val="20"/>
              </w:rPr>
              <w:t>8</w:t>
            </w:r>
            <w:r w:rsidRPr="00ED1E17">
              <w:rPr>
                <w:rFonts w:cs="Arial"/>
                <w:color w:val="auto"/>
                <w:sz w:val="20"/>
                <w:szCs w:val="20"/>
              </w:rPr>
              <w:t>%</w:t>
            </w:r>
          </w:p>
        </w:tc>
        <w:tc>
          <w:tcPr>
            <w:cnfStyle w:val="000100000000"/>
            <w:tcW w:w="968" w:type="dxa"/>
          </w:tcPr>
          <w:p w:rsidR="00CF7B7A" w:rsidRPr="00DE1BC0" w:rsidRDefault="00DE1BC0" w:rsidP="00DE1BC0">
            <w:pPr>
              <w:pStyle w:val="BodyText"/>
              <w:widowControl w:val="0"/>
              <w:jc w:val="center"/>
              <w:rPr>
                <w:rFonts w:cs="Arial"/>
                <w:b w:val="0"/>
                <w:color w:val="auto"/>
                <w:sz w:val="20"/>
                <w:szCs w:val="20"/>
              </w:rPr>
            </w:pPr>
            <w:r w:rsidRPr="00DE1BC0">
              <w:rPr>
                <w:rFonts w:cs="Arial"/>
                <w:b w:val="0"/>
                <w:color w:val="auto"/>
                <w:sz w:val="20"/>
                <w:szCs w:val="20"/>
              </w:rPr>
              <w:t>4.0</w:t>
            </w:r>
            <w:r w:rsidR="00CD07BE" w:rsidRPr="00DE1BC0">
              <w:rPr>
                <w:rFonts w:cs="Arial"/>
                <w:b w:val="0"/>
                <w:color w:val="auto"/>
                <w:sz w:val="20"/>
                <w:szCs w:val="20"/>
              </w:rPr>
              <w:t>%</w:t>
            </w:r>
          </w:p>
        </w:tc>
      </w:tr>
      <w:tr w:rsidR="00CF7B7A" w:rsidRPr="00D42E0B" w:rsidTr="00A25870">
        <w:tc>
          <w:tcPr>
            <w:cnfStyle w:val="001000000000"/>
            <w:tcW w:w="7196" w:type="dxa"/>
          </w:tcPr>
          <w:p w:rsidR="00CF7B7A" w:rsidRPr="00ED1E17" w:rsidRDefault="00CF7B7A" w:rsidP="00A25870">
            <w:pPr>
              <w:pStyle w:val="BodyText"/>
              <w:widowControl w:val="0"/>
              <w:rPr>
                <w:rFonts w:cs="Arial"/>
                <w:b w:val="0"/>
                <w:color w:val="auto"/>
                <w:sz w:val="20"/>
                <w:szCs w:val="20"/>
              </w:rPr>
            </w:pPr>
            <w:r w:rsidRPr="00ED1E17">
              <w:rPr>
                <w:rFonts w:cs="Arial"/>
                <w:b w:val="0"/>
                <w:color w:val="auto"/>
                <w:sz w:val="20"/>
                <w:szCs w:val="20"/>
              </w:rPr>
              <w:t xml:space="preserve">Movement to/(from) the </w:t>
            </w:r>
            <w:r w:rsidR="00A25870" w:rsidRPr="00ED1E17">
              <w:rPr>
                <w:rFonts w:cs="Arial"/>
                <w:b w:val="0"/>
                <w:color w:val="auto"/>
                <w:sz w:val="20"/>
                <w:szCs w:val="20"/>
              </w:rPr>
              <w:t>Uncommitted General Fund Balance</w:t>
            </w:r>
          </w:p>
        </w:tc>
        <w:tc>
          <w:tcPr>
            <w:cnfStyle w:val="000010000000"/>
            <w:tcW w:w="992" w:type="dxa"/>
          </w:tcPr>
          <w:p w:rsidR="00CF7B7A" w:rsidRPr="00ED1E17" w:rsidRDefault="00ED1E17" w:rsidP="00ED1E17">
            <w:pPr>
              <w:pStyle w:val="BodyText"/>
              <w:widowControl w:val="0"/>
              <w:jc w:val="center"/>
              <w:rPr>
                <w:rFonts w:cs="Arial"/>
                <w:color w:val="auto"/>
                <w:sz w:val="20"/>
                <w:szCs w:val="20"/>
              </w:rPr>
            </w:pPr>
            <w:r w:rsidRPr="00ED1E17">
              <w:rPr>
                <w:rFonts w:cs="Arial"/>
                <w:color w:val="auto"/>
                <w:sz w:val="20"/>
                <w:szCs w:val="20"/>
              </w:rPr>
              <w:t>£14k</w:t>
            </w:r>
          </w:p>
        </w:tc>
        <w:tc>
          <w:tcPr>
            <w:cnfStyle w:val="000100000000"/>
            <w:tcW w:w="968" w:type="dxa"/>
          </w:tcPr>
          <w:p w:rsidR="00CF7B7A" w:rsidRPr="00DE1BC0" w:rsidRDefault="00CD07BE" w:rsidP="005F1171">
            <w:pPr>
              <w:pStyle w:val="BodyText"/>
              <w:widowControl w:val="0"/>
              <w:jc w:val="center"/>
              <w:rPr>
                <w:rFonts w:cs="Arial"/>
                <w:b w:val="0"/>
                <w:color w:val="auto"/>
                <w:sz w:val="20"/>
                <w:szCs w:val="20"/>
              </w:rPr>
            </w:pPr>
            <w:r w:rsidRPr="00DE1BC0">
              <w:rPr>
                <w:rFonts w:cs="Arial"/>
                <w:b w:val="0"/>
                <w:color w:val="auto"/>
                <w:sz w:val="20"/>
                <w:szCs w:val="20"/>
              </w:rPr>
              <w:t>£</w:t>
            </w:r>
            <w:r w:rsidR="00DE1BC0" w:rsidRPr="00DE1BC0">
              <w:rPr>
                <w:rFonts w:cs="Arial"/>
                <w:b w:val="0"/>
                <w:color w:val="auto"/>
                <w:sz w:val="20"/>
                <w:szCs w:val="20"/>
              </w:rPr>
              <w:t>0</w:t>
            </w:r>
          </w:p>
        </w:tc>
      </w:tr>
      <w:tr w:rsidR="00CF7B7A" w:rsidRPr="00D42E0B" w:rsidTr="00A25870">
        <w:trPr>
          <w:cnfStyle w:val="000000100000"/>
        </w:trPr>
        <w:tc>
          <w:tcPr>
            <w:cnfStyle w:val="001000000000"/>
            <w:tcW w:w="7196" w:type="dxa"/>
          </w:tcPr>
          <w:p w:rsidR="00CF7B7A" w:rsidRPr="00ED1E17" w:rsidRDefault="00CF7B7A" w:rsidP="00A25870">
            <w:pPr>
              <w:pStyle w:val="BodyText"/>
              <w:widowControl w:val="0"/>
              <w:rPr>
                <w:rFonts w:cs="Arial"/>
                <w:b w:val="0"/>
                <w:color w:val="auto"/>
                <w:sz w:val="20"/>
                <w:szCs w:val="20"/>
              </w:rPr>
            </w:pPr>
            <w:r w:rsidRPr="00ED1E17">
              <w:rPr>
                <w:rFonts w:cs="Arial"/>
                <w:b w:val="0"/>
                <w:color w:val="auto"/>
                <w:sz w:val="20"/>
                <w:szCs w:val="20"/>
              </w:rPr>
              <w:t>Council Tax  In-year</w:t>
            </w:r>
            <w:r w:rsidR="00A25870" w:rsidRPr="00ED1E17">
              <w:rPr>
                <w:rFonts w:cs="Arial"/>
                <w:b w:val="0"/>
                <w:color w:val="auto"/>
                <w:sz w:val="20"/>
                <w:szCs w:val="20"/>
              </w:rPr>
              <w:t xml:space="preserve"> collection rate</w:t>
            </w:r>
          </w:p>
        </w:tc>
        <w:tc>
          <w:tcPr>
            <w:cnfStyle w:val="000010000000"/>
            <w:tcW w:w="992" w:type="dxa"/>
          </w:tcPr>
          <w:p w:rsidR="00CF7B7A" w:rsidRPr="00ED1E17" w:rsidRDefault="00CF7B7A" w:rsidP="00ED1E17">
            <w:pPr>
              <w:pStyle w:val="BodyText"/>
              <w:widowControl w:val="0"/>
              <w:jc w:val="center"/>
              <w:rPr>
                <w:rFonts w:cs="Arial"/>
                <w:color w:val="auto"/>
                <w:sz w:val="20"/>
                <w:szCs w:val="20"/>
              </w:rPr>
            </w:pPr>
            <w:r w:rsidRPr="00ED1E17">
              <w:rPr>
                <w:rFonts w:cs="Arial"/>
                <w:color w:val="auto"/>
                <w:sz w:val="20"/>
                <w:szCs w:val="20"/>
              </w:rPr>
              <w:t>9</w:t>
            </w:r>
            <w:r w:rsidR="00ED1E17" w:rsidRPr="00ED1E17">
              <w:rPr>
                <w:rFonts w:cs="Arial"/>
                <w:color w:val="auto"/>
                <w:sz w:val="20"/>
                <w:szCs w:val="20"/>
              </w:rPr>
              <w:t>5.5</w:t>
            </w:r>
            <w:r w:rsidRPr="00ED1E17">
              <w:rPr>
                <w:rFonts w:cs="Arial"/>
                <w:color w:val="auto"/>
                <w:sz w:val="20"/>
                <w:szCs w:val="20"/>
              </w:rPr>
              <w:t>%</w:t>
            </w:r>
          </w:p>
        </w:tc>
        <w:tc>
          <w:tcPr>
            <w:cnfStyle w:val="000100000000"/>
            <w:tcW w:w="968" w:type="dxa"/>
          </w:tcPr>
          <w:p w:rsidR="00CF7B7A" w:rsidRPr="00ED1E17" w:rsidRDefault="0034574F" w:rsidP="00ED1E17">
            <w:pPr>
              <w:pStyle w:val="BodyText"/>
              <w:widowControl w:val="0"/>
              <w:jc w:val="center"/>
              <w:rPr>
                <w:rFonts w:cs="Arial"/>
                <w:b w:val="0"/>
                <w:color w:val="auto"/>
                <w:sz w:val="20"/>
                <w:szCs w:val="20"/>
              </w:rPr>
            </w:pPr>
            <w:r w:rsidRPr="00ED1E17">
              <w:rPr>
                <w:rFonts w:cs="Arial"/>
                <w:b w:val="0"/>
                <w:color w:val="auto"/>
                <w:sz w:val="20"/>
                <w:szCs w:val="20"/>
              </w:rPr>
              <w:t>95.</w:t>
            </w:r>
            <w:r w:rsidR="00ED1E17" w:rsidRPr="00ED1E17">
              <w:rPr>
                <w:rFonts w:cs="Arial"/>
                <w:b w:val="0"/>
                <w:color w:val="auto"/>
                <w:sz w:val="20"/>
                <w:szCs w:val="20"/>
              </w:rPr>
              <w:t>7</w:t>
            </w:r>
            <w:r w:rsidRPr="00ED1E17">
              <w:rPr>
                <w:rFonts w:cs="Arial"/>
                <w:b w:val="0"/>
                <w:color w:val="auto"/>
                <w:sz w:val="20"/>
                <w:szCs w:val="20"/>
              </w:rPr>
              <w:t>%</w:t>
            </w:r>
          </w:p>
        </w:tc>
      </w:tr>
      <w:tr w:rsidR="00CF7B7A" w:rsidRPr="00D42E0B" w:rsidTr="00A25870">
        <w:tc>
          <w:tcPr>
            <w:cnfStyle w:val="001000000000"/>
            <w:tcW w:w="7196" w:type="dxa"/>
          </w:tcPr>
          <w:p w:rsidR="00CF7B7A" w:rsidRPr="00ED1E17" w:rsidRDefault="00CF7B7A" w:rsidP="00A25870">
            <w:pPr>
              <w:pStyle w:val="BodyText"/>
              <w:widowControl w:val="0"/>
              <w:rPr>
                <w:rFonts w:cs="Arial"/>
                <w:b w:val="0"/>
                <w:color w:val="auto"/>
                <w:sz w:val="20"/>
                <w:szCs w:val="20"/>
              </w:rPr>
            </w:pPr>
            <w:r w:rsidRPr="00ED1E17">
              <w:rPr>
                <w:rFonts w:cs="Arial"/>
                <w:b w:val="0"/>
                <w:color w:val="auto"/>
                <w:sz w:val="20"/>
                <w:szCs w:val="20"/>
              </w:rPr>
              <w:t>Council Tax Income / Overall Funding (CT, NNDR &amp; RSG)</w:t>
            </w:r>
          </w:p>
        </w:tc>
        <w:tc>
          <w:tcPr>
            <w:cnfStyle w:val="000010000000"/>
            <w:tcW w:w="992" w:type="dxa"/>
          </w:tcPr>
          <w:p w:rsidR="00CF7B7A" w:rsidRPr="00ED1E17" w:rsidRDefault="00CF7B7A" w:rsidP="00ED1E17">
            <w:pPr>
              <w:pStyle w:val="BodyText"/>
              <w:widowControl w:val="0"/>
              <w:jc w:val="center"/>
              <w:rPr>
                <w:rFonts w:cs="Arial"/>
                <w:color w:val="auto"/>
                <w:sz w:val="20"/>
                <w:szCs w:val="20"/>
              </w:rPr>
            </w:pPr>
            <w:r w:rsidRPr="00ED1E17">
              <w:rPr>
                <w:rFonts w:cs="Arial"/>
                <w:color w:val="auto"/>
                <w:sz w:val="20"/>
                <w:szCs w:val="20"/>
              </w:rPr>
              <w:t>4</w:t>
            </w:r>
            <w:r w:rsidR="00ED1E17" w:rsidRPr="00ED1E17">
              <w:rPr>
                <w:rFonts w:cs="Arial"/>
                <w:color w:val="auto"/>
                <w:sz w:val="20"/>
                <w:szCs w:val="20"/>
              </w:rPr>
              <w:t>5</w:t>
            </w:r>
            <w:r w:rsidRPr="00ED1E17">
              <w:rPr>
                <w:rFonts w:cs="Arial"/>
                <w:color w:val="auto"/>
                <w:sz w:val="20"/>
                <w:szCs w:val="20"/>
              </w:rPr>
              <w:t>%</w:t>
            </w:r>
          </w:p>
        </w:tc>
        <w:tc>
          <w:tcPr>
            <w:cnfStyle w:val="000100000000"/>
            <w:tcW w:w="968" w:type="dxa"/>
          </w:tcPr>
          <w:p w:rsidR="00CF7B7A" w:rsidRPr="00150693" w:rsidRDefault="00F757ED" w:rsidP="00150693">
            <w:pPr>
              <w:pStyle w:val="BodyText"/>
              <w:widowControl w:val="0"/>
              <w:jc w:val="center"/>
              <w:rPr>
                <w:rFonts w:cs="Arial"/>
                <w:b w:val="0"/>
                <w:color w:val="auto"/>
                <w:sz w:val="20"/>
                <w:szCs w:val="20"/>
              </w:rPr>
            </w:pPr>
            <w:r w:rsidRPr="00150693">
              <w:rPr>
                <w:rFonts w:cs="Arial"/>
                <w:b w:val="0"/>
                <w:color w:val="auto"/>
                <w:sz w:val="20"/>
                <w:szCs w:val="20"/>
              </w:rPr>
              <w:t>4</w:t>
            </w:r>
            <w:r w:rsidR="00150693" w:rsidRPr="00150693">
              <w:rPr>
                <w:rFonts w:cs="Arial"/>
                <w:b w:val="0"/>
                <w:color w:val="auto"/>
                <w:sz w:val="20"/>
                <w:szCs w:val="20"/>
              </w:rPr>
              <w:t>8</w:t>
            </w:r>
            <w:r w:rsidRPr="00150693">
              <w:rPr>
                <w:rFonts w:cs="Arial"/>
                <w:b w:val="0"/>
                <w:color w:val="auto"/>
                <w:sz w:val="20"/>
                <w:szCs w:val="20"/>
              </w:rPr>
              <w:t>%</w:t>
            </w:r>
          </w:p>
        </w:tc>
      </w:tr>
      <w:tr w:rsidR="00CF7B7A" w:rsidRPr="00D42E0B" w:rsidTr="00A25870">
        <w:trPr>
          <w:cnfStyle w:val="000000100000"/>
        </w:trPr>
        <w:tc>
          <w:tcPr>
            <w:cnfStyle w:val="001000000000"/>
            <w:tcW w:w="7196" w:type="dxa"/>
          </w:tcPr>
          <w:p w:rsidR="00CF7B7A" w:rsidRPr="00ED1E17" w:rsidRDefault="00CF7B7A" w:rsidP="00A25870">
            <w:pPr>
              <w:pStyle w:val="BodyText"/>
              <w:widowControl w:val="0"/>
              <w:rPr>
                <w:rFonts w:cs="Arial"/>
                <w:b w:val="0"/>
                <w:color w:val="auto"/>
                <w:sz w:val="20"/>
                <w:szCs w:val="20"/>
              </w:rPr>
            </w:pPr>
            <w:r w:rsidRPr="00ED1E17">
              <w:rPr>
                <w:rFonts w:cs="Arial"/>
                <w:b w:val="0"/>
                <w:color w:val="auto"/>
                <w:sz w:val="20"/>
                <w:szCs w:val="20"/>
              </w:rPr>
              <w:t>Actual outturn compared to budget (before Council approved outturn report)</w:t>
            </w:r>
          </w:p>
        </w:tc>
        <w:tc>
          <w:tcPr>
            <w:cnfStyle w:val="000010000000"/>
            <w:tcW w:w="992" w:type="dxa"/>
          </w:tcPr>
          <w:p w:rsidR="00CF7B7A" w:rsidRPr="00ED1E17" w:rsidRDefault="00CF7B7A" w:rsidP="00ED1E17">
            <w:pPr>
              <w:pStyle w:val="BodyText"/>
              <w:widowControl w:val="0"/>
              <w:jc w:val="center"/>
              <w:rPr>
                <w:rFonts w:cs="Arial"/>
                <w:color w:val="auto"/>
                <w:sz w:val="20"/>
                <w:szCs w:val="20"/>
              </w:rPr>
            </w:pPr>
            <w:r w:rsidRPr="00ED1E17">
              <w:rPr>
                <w:rFonts w:cs="Arial"/>
                <w:color w:val="auto"/>
                <w:sz w:val="20"/>
                <w:szCs w:val="20"/>
              </w:rPr>
              <w:t>(£0.</w:t>
            </w:r>
            <w:r w:rsidR="00ED1E17" w:rsidRPr="00ED1E17">
              <w:rPr>
                <w:rFonts w:cs="Arial"/>
                <w:color w:val="auto"/>
                <w:sz w:val="20"/>
                <w:szCs w:val="20"/>
              </w:rPr>
              <w:t>3</w:t>
            </w:r>
            <w:r w:rsidRPr="00ED1E17">
              <w:rPr>
                <w:rFonts w:cs="Arial"/>
                <w:color w:val="auto"/>
                <w:sz w:val="20"/>
                <w:szCs w:val="20"/>
              </w:rPr>
              <w:t>m)</w:t>
            </w:r>
          </w:p>
        </w:tc>
        <w:tc>
          <w:tcPr>
            <w:cnfStyle w:val="000100000000"/>
            <w:tcW w:w="968" w:type="dxa"/>
          </w:tcPr>
          <w:p w:rsidR="00CF7B7A" w:rsidRPr="00DE1BC0" w:rsidRDefault="00DE1BC0" w:rsidP="002D71C3">
            <w:pPr>
              <w:pStyle w:val="BodyText"/>
              <w:widowControl w:val="0"/>
              <w:jc w:val="center"/>
              <w:rPr>
                <w:rFonts w:cs="Arial"/>
                <w:b w:val="0"/>
                <w:color w:val="auto"/>
                <w:sz w:val="20"/>
                <w:szCs w:val="20"/>
              </w:rPr>
            </w:pPr>
            <w:r w:rsidRPr="00DE1BC0">
              <w:rPr>
                <w:rFonts w:cs="Arial"/>
                <w:b w:val="0"/>
                <w:color w:val="auto"/>
                <w:sz w:val="20"/>
                <w:szCs w:val="20"/>
              </w:rPr>
              <w:t>£1.</w:t>
            </w:r>
            <w:r w:rsidR="002D71C3">
              <w:rPr>
                <w:rFonts w:cs="Arial"/>
                <w:b w:val="0"/>
                <w:color w:val="auto"/>
                <w:sz w:val="20"/>
                <w:szCs w:val="20"/>
              </w:rPr>
              <w:t>7</w:t>
            </w:r>
            <w:r w:rsidRPr="00DE1BC0">
              <w:rPr>
                <w:rFonts w:cs="Arial"/>
                <w:b w:val="0"/>
                <w:color w:val="auto"/>
                <w:sz w:val="20"/>
                <w:szCs w:val="20"/>
              </w:rPr>
              <w:t>m</w:t>
            </w:r>
          </w:p>
        </w:tc>
      </w:tr>
      <w:tr w:rsidR="00CF7B7A" w:rsidRPr="00D42E0B" w:rsidTr="00A25870">
        <w:tc>
          <w:tcPr>
            <w:cnfStyle w:val="001000000000"/>
            <w:tcW w:w="7196" w:type="dxa"/>
          </w:tcPr>
          <w:p w:rsidR="00CF7B7A" w:rsidRPr="00ED1E17" w:rsidRDefault="00CF7B7A" w:rsidP="00A25870">
            <w:pPr>
              <w:pStyle w:val="BodyText"/>
              <w:widowControl w:val="0"/>
              <w:rPr>
                <w:rFonts w:cs="Arial"/>
                <w:b w:val="0"/>
                <w:color w:val="auto"/>
                <w:sz w:val="20"/>
                <w:szCs w:val="20"/>
              </w:rPr>
            </w:pPr>
            <w:r w:rsidRPr="00ED1E17">
              <w:rPr>
                <w:rFonts w:cs="Arial"/>
                <w:b w:val="0"/>
                <w:color w:val="auto"/>
                <w:sz w:val="20"/>
                <w:szCs w:val="20"/>
              </w:rPr>
              <w:t>Actual outturn compared to budget</w:t>
            </w:r>
            <w:r w:rsidR="0034574F" w:rsidRPr="00ED1E17">
              <w:rPr>
                <w:rFonts w:cs="Arial"/>
                <w:b w:val="0"/>
                <w:color w:val="auto"/>
                <w:sz w:val="20"/>
                <w:szCs w:val="20"/>
              </w:rPr>
              <w:t xml:space="preserve"> - %</w:t>
            </w:r>
          </w:p>
        </w:tc>
        <w:tc>
          <w:tcPr>
            <w:cnfStyle w:val="000010000000"/>
            <w:tcW w:w="992" w:type="dxa"/>
          </w:tcPr>
          <w:p w:rsidR="00CF7B7A" w:rsidRPr="00ED1E17" w:rsidRDefault="00CF7B7A" w:rsidP="00ED1E17">
            <w:pPr>
              <w:pStyle w:val="BodyText"/>
              <w:widowControl w:val="0"/>
              <w:jc w:val="center"/>
              <w:rPr>
                <w:rFonts w:cs="Arial"/>
                <w:color w:val="auto"/>
                <w:sz w:val="20"/>
                <w:szCs w:val="20"/>
              </w:rPr>
            </w:pPr>
            <w:r w:rsidRPr="00ED1E17">
              <w:rPr>
                <w:rFonts w:cs="Arial"/>
                <w:color w:val="auto"/>
                <w:sz w:val="20"/>
                <w:szCs w:val="20"/>
              </w:rPr>
              <w:t>(0.</w:t>
            </w:r>
            <w:r w:rsidR="00ED1E17" w:rsidRPr="00ED1E17">
              <w:rPr>
                <w:rFonts w:cs="Arial"/>
                <w:color w:val="auto"/>
                <w:sz w:val="20"/>
                <w:szCs w:val="20"/>
              </w:rPr>
              <w:t>2</w:t>
            </w:r>
            <w:r w:rsidRPr="00ED1E17">
              <w:rPr>
                <w:rFonts w:cs="Arial"/>
                <w:color w:val="auto"/>
                <w:sz w:val="20"/>
                <w:szCs w:val="20"/>
              </w:rPr>
              <w:t>%)</w:t>
            </w:r>
          </w:p>
        </w:tc>
        <w:tc>
          <w:tcPr>
            <w:cnfStyle w:val="000100000000"/>
            <w:tcW w:w="968" w:type="dxa"/>
          </w:tcPr>
          <w:p w:rsidR="00CF7B7A" w:rsidRPr="00DE1BC0" w:rsidRDefault="00DE1BC0" w:rsidP="002D71C3">
            <w:pPr>
              <w:pStyle w:val="BodyText"/>
              <w:widowControl w:val="0"/>
              <w:jc w:val="center"/>
              <w:rPr>
                <w:rFonts w:cs="Arial"/>
                <w:b w:val="0"/>
                <w:color w:val="auto"/>
                <w:sz w:val="20"/>
                <w:szCs w:val="20"/>
              </w:rPr>
            </w:pPr>
            <w:r w:rsidRPr="00DE1BC0">
              <w:rPr>
                <w:rFonts w:cs="Arial"/>
                <w:b w:val="0"/>
                <w:color w:val="auto"/>
                <w:sz w:val="20"/>
                <w:szCs w:val="20"/>
              </w:rPr>
              <w:t>1.</w:t>
            </w:r>
            <w:r w:rsidR="002D71C3">
              <w:rPr>
                <w:rFonts w:cs="Arial"/>
                <w:b w:val="0"/>
                <w:color w:val="auto"/>
                <w:sz w:val="20"/>
                <w:szCs w:val="20"/>
              </w:rPr>
              <w:t>6</w:t>
            </w:r>
            <w:r w:rsidRPr="00DE1BC0">
              <w:rPr>
                <w:rFonts w:cs="Arial"/>
                <w:b w:val="0"/>
                <w:color w:val="auto"/>
                <w:sz w:val="20"/>
                <w:szCs w:val="20"/>
              </w:rPr>
              <w:t>%</w:t>
            </w:r>
          </w:p>
        </w:tc>
      </w:tr>
      <w:tr w:rsidR="00CF7B7A" w:rsidRPr="00D42E0B" w:rsidTr="00A25870">
        <w:trPr>
          <w:cnfStyle w:val="000000100000"/>
        </w:trPr>
        <w:tc>
          <w:tcPr>
            <w:cnfStyle w:val="001000000000"/>
            <w:tcW w:w="7196" w:type="dxa"/>
          </w:tcPr>
          <w:p w:rsidR="00CF7B7A" w:rsidRPr="00ED1E17" w:rsidRDefault="00CF7B7A" w:rsidP="00A25870">
            <w:pPr>
              <w:pStyle w:val="BodyText"/>
              <w:widowControl w:val="0"/>
              <w:rPr>
                <w:rFonts w:cs="Arial"/>
                <w:b w:val="0"/>
                <w:color w:val="auto"/>
                <w:sz w:val="20"/>
                <w:szCs w:val="20"/>
              </w:rPr>
            </w:pPr>
            <w:r w:rsidRPr="00ED1E17">
              <w:rPr>
                <w:rFonts w:cs="Arial"/>
                <w:b w:val="0"/>
                <w:color w:val="auto"/>
                <w:sz w:val="20"/>
                <w:szCs w:val="20"/>
              </w:rPr>
              <w:t xml:space="preserve">Capital Financing Requirement </w:t>
            </w:r>
          </w:p>
        </w:tc>
        <w:tc>
          <w:tcPr>
            <w:cnfStyle w:val="000010000000"/>
            <w:tcW w:w="992" w:type="dxa"/>
          </w:tcPr>
          <w:p w:rsidR="00CF7B7A" w:rsidRPr="00ED1E17" w:rsidRDefault="00CF7B7A" w:rsidP="00A25870">
            <w:pPr>
              <w:pStyle w:val="BodyText"/>
              <w:widowControl w:val="0"/>
              <w:jc w:val="center"/>
              <w:rPr>
                <w:rFonts w:cs="Arial"/>
                <w:color w:val="auto"/>
                <w:sz w:val="20"/>
                <w:szCs w:val="20"/>
              </w:rPr>
            </w:pPr>
            <w:r w:rsidRPr="00ED1E17">
              <w:rPr>
                <w:rFonts w:cs="Arial"/>
                <w:color w:val="auto"/>
                <w:sz w:val="20"/>
                <w:szCs w:val="20"/>
              </w:rPr>
              <w:t>£135m</w:t>
            </w:r>
          </w:p>
        </w:tc>
        <w:tc>
          <w:tcPr>
            <w:cnfStyle w:val="000100000000"/>
            <w:tcW w:w="968" w:type="dxa"/>
          </w:tcPr>
          <w:p w:rsidR="00CF7B7A" w:rsidRPr="00E54879" w:rsidRDefault="0034574F" w:rsidP="00323BFD">
            <w:pPr>
              <w:pStyle w:val="BodyText"/>
              <w:widowControl w:val="0"/>
              <w:jc w:val="center"/>
              <w:rPr>
                <w:rFonts w:cs="Arial"/>
                <w:b w:val="0"/>
                <w:color w:val="auto"/>
                <w:sz w:val="20"/>
                <w:szCs w:val="20"/>
              </w:rPr>
            </w:pPr>
            <w:r w:rsidRPr="00323BFD">
              <w:rPr>
                <w:rFonts w:cs="Arial"/>
                <w:b w:val="0"/>
                <w:color w:val="auto"/>
                <w:sz w:val="20"/>
                <w:szCs w:val="20"/>
              </w:rPr>
              <w:t>£1</w:t>
            </w:r>
            <w:r w:rsidR="00323BFD" w:rsidRPr="00323BFD">
              <w:rPr>
                <w:rFonts w:cs="Arial"/>
                <w:b w:val="0"/>
                <w:color w:val="auto"/>
                <w:sz w:val="20"/>
                <w:szCs w:val="20"/>
              </w:rPr>
              <w:t>51</w:t>
            </w:r>
            <w:r w:rsidRPr="00323BFD">
              <w:rPr>
                <w:rFonts w:cs="Arial"/>
                <w:b w:val="0"/>
                <w:color w:val="auto"/>
                <w:sz w:val="20"/>
                <w:szCs w:val="20"/>
              </w:rPr>
              <w:t>m</w:t>
            </w:r>
          </w:p>
        </w:tc>
      </w:tr>
      <w:tr w:rsidR="00CF7B7A" w:rsidRPr="00D42E0B" w:rsidTr="00A25870">
        <w:tc>
          <w:tcPr>
            <w:cnfStyle w:val="001000000000"/>
            <w:tcW w:w="7196" w:type="dxa"/>
            <w:tcBorders>
              <w:bottom w:val="single" w:sz="4" w:space="0" w:color="4BACC6" w:themeColor="accent5"/>
            </w:tcBorders>
          </w:tcPr>
          <w:p w:rsidR="00CF7B7A" w:rsidRPr="00ED1E17" w:rsidRDefault="00CF7B7A" w:rsidP="00A25870">
            <w:pPr>
              <w:pStyle w:val="BodyText"/>
              <w:widowControl w:val="0"/>
              <w:rPr>
                <w:rFonts w:cs="Arial"/>
                <w:b w:val="0"/>
                <w:color w:val="auto"/>
                <w:sz w:val="20"/>
                <w:szCs w:val="20"/>
              </w:rPr>
            </w:pPr>
            <w:r w:rsidRPr="00ED1E17">
              <w:rPr>
                <w:rFonts w:cs="Arial"/>
                <w:b w:val="0"/>
                <w:color w:val="auto"/>
                <w:sz w:val="20"/>
                <w:szCs w:val="20"/>
              </w:rPr>
              <w:t>External Debt levels (principal)</w:t>
            </w:r>
          </w:p>
        </w:tc>
        <w:tc>
          <w:tcPr>
            <w:cnfStyle w:val="000010000000"/>
            <w:tcW w:w="992" w:type="dxa"/>
            <w:tcBorders>
              <w:bottom w:val="single" w:sz="4" w:space="0" w:color="4BACC6" w:themeColor="accent5"/>
            </w:tcBorders>
          </w:tcPr>
          <w:p w:rsidR="00CF7B7A" w:rsidRPr="00ED1E17" w:rsidRDefault="00CF7B7A" w:rsidP="00A25870">
            <w:pPr>
              <w:pStyle w:val="BodyText"/>
              <w:widowControl w:val="0"/>
              <w:jc w:val="center"/>
              <w:rPr>
                <w:rFonts w:cs="Arial"/>
                <w:color w:val="auto"/>
                <w:sz w:val="20"/>
                <w:szCs w:val="20"/>
              </w:rPr>
            </w:pPr>
            <w:r w:rsidRPr="00ED1E17">
              <w:rPr>
                <w:rFonts w:cs="Arial"/>
                <w:color w:val="auto"/>
                <w:sz w:val="20"/>
                <w:szCs w:val="20"/>
              </w:rPr>
              <w:t>£138m</w:t>
            </w:r>
          </w:p>
        </w:tc>
        <w:tc>
          <w:tcPr>
            <w:cnfStyle w:val="000100000000"/>
            <w:tcW w:w="968" w:type="dxa"/>
            <w:tcBorders>
              <w:bottom w:val="single" w:sz="4" w:space="0" w:color="4BACC6" w:themeColor="accent5"/>
            </w:tcBorders>
          </w:tcPr>
          <w:p w:rsidR="00CF7B7A" w:rsidRPr="00B53658" w:rsidRDefault="0034574F" w:rsidP="0034574F">
            <w:pPr>
              <w:pStyle w:val="BodyText"/>
              <w:widowControl w:val="0"/>
              <w:jc w:val="center"/>
              <w:rPr>
                <w:rFonts w:cs="Arial"/>
                <w:b w:val="0"/>
                <w:color w:val="auto"/>
                <w:sz w:val="20"/>
                <w:szCs w:val="20"/>
              </w:rPr>
            </w:pPr>
            <w:r w:rsidRPr="00B53658">
              <w:rPr>
                <w:rFonts w:cs="Arial"/>
                <w:b w:val="0"/>
                <w:color w:val="auto"/>
                <w:sz w:val="20"/>
                <w:szCs w:val="20"/>
              </w:rPr>
              <w:t>£138m</w:t>
            </w:r>
          </w:p>
        </w:tc>
      </w:tr>
      <w:tr w:rsidR="00CF7B7A" w:rsidRPr="00D42E0B" w:rsidTr="001D7474">
        <w:trPr>
          <w:cnfStyle w:val="010000000000"/>
          <w:trHeight w:val="549"/>
        </w:trPr>
        <w:tc>
          <w:tcPr>
            <w:cnfStyle w:val="001000000001"/>
            <w:tcW w:w="7196" w:type="dxa"/>
            <w:tcBorders>
              <w:top w:val="single" w:sz="4" w:space="0" w:color="4BACC6" w:themeColor="accent5"/>
            </w:tcBorders>
          </w:tcPr>
          <w:p w:rsidR="00CF7B7A" w:rsidRPr="00ED1E17" w:rsidRDefault="00CF7B7A" w:rsidP="0085010D">
            <w:pPr>
              <w:pStyle w:val="BodyText"/>
              <w:widowControl w:val="0"/>
              <w:rPr>
                <w:rFonts w:cs="Arial"/>
                <w:b w:val="0"/>
                <w:color w:val="auto"/>
                <w:sz w:val="20"/>
                <w:szCs w:val="20"/>
              </w:rPr>
            </w:pPr>
            <w:r w:rsidRPr="00ED1E17">
              <w:rPr>
                <w:rFonts w:cs="Arial"/>
                <w:b w:val="0"/>
                <w:color w:val="auto"/>
                <w:sz w:val="20"/>
                <w:szCs w:val="20"/>
              </w:rPr>
              <w:t>Ratio of net financing costs to net revenue (excluding revenue contributions).</w:t>
            </w:r>
          </w:p>
        </w:tc>
        <w:tc>
          <w:tcPr>
            <w:cnfStyle w:val="000010000000"/>
            <w:tcW w:w="992" w:type="dxa"/>
            <w:tcBorders>
              <w:top w:val="single" w:sz="4" w:space="0" w:color="4BACC6" w:themeColor="accent5"/>
            </w:tcBorders>
          </w:tcPr>
          <w:p w:rsidR="00CF7B7A" w:rsidRPr="00ED1E17" w:rsidRDefault="00ED1E17" w:rsidP="00ED1E17">
            <w:pPr>
              <w:pStyle w:val="BodyText"/>
              <w:widowControl w:val="0"/>
              <w:jc w:val="center"/>
              <w:rPr>
                <w:rFonts w:cs="Arial"/>
                <w:b w:val="0"/>
                <w:color w:val="auto"/>
                <w:sz w:val="20"/>
                <w:szCs w:val="20"/>
              </w:rPr>
            </w:pPr>
            <w:r w:rsidRPr="00ED1E17">
              <w:rPr>
                <w:rFonts w:cs="Arial"/>
                <w:b w:val="0"/>
                <w:color w:val="auto"/>
                <w:sz w:val="20"/>
                <w:szCs w:val="20"/>
              </w:rPr>
              <w:t>9</w:t>
            </w:r>
            <w:r w:rsidR="00CF7B7A" w:rsidRPr="00ED1E17">
              <w:rPr>
                <w:rFonts w:cs="Arial"/>
                <w:b w:val="0"/>
                <w:color w:val="auto"/>
                <w:sz w:val="20"/>
                <w:szCs w:val="20"/>
              </w:rPr>
              <w:t>%</w:t>
            </w:r>
          </w:p>
        </w:tc>
        <w:tc>
          <w:tcPr>
            <w:cnfStyle w:val="000100000010"/>
            <w:tcW w:w="968" w:type="dxa"/>
            <w:tcBorders>
              <w:top w:val="single" w:sz="4" w:space="0" w:color="4BACC6" w:themeColor="accent5"/>
            </w:tcBorders>
          </w:tcPr>
          <w:p w:rsidR="00CF7B7A" w:rsidRPr="00733213" w:rsidRDefault="000B3F67" w:rsidP="000B3F67">
            <w:pPr>
              <w:pStyle w:val="BodyText"/>
              <w:widowControl w:val="0"/>
              <w:jc w:val="center"/>
              <w:rPr>
                <w:rFonts w:cs="Arial"/>
                <w:b w:val="0"/>
                <w:color w:val="auto"/>
                <w:sz w:val="20"/>
                <w:szCs w:val="20"/>
              </w:rPr>
            </w:pPr>
            <w:r w:rsidRPr="00733213">
              <w:rPr>
                <w:rFonts w:cs="Arial"/>
                <w:b w:val="0"/>
                <w:color w:val="auto"/>
                <w:sz w:val="20"/>
                <w:szCs w:val="20"/>
              </w:rPr>
              <w:t>9%</w:t>
            </w:r>
          </w:p>
        </w:tc>
      </w:tr>
    </w:tbl>
    <w:p w:rsidR="009C691F" w:rsidRDefault="009C691F" w:rsidP="00F31A9D">
      <w:pPr>
        <w:pStyle w:val="BodyText"/>
        <w:widowControl w:val="0"/>
        <w:rPr>
          <w:rFonts w:cs="Arial"/>
          <w:color w:val="auto"/>
          <w:sz w:val="20"/>
          <w:szCs w:val="20"/>
          <w:u w:val="single"/>
        </w:rPr>
      </w:pPr>
    </w:p>
    <w:p w:rsidR="00E51139" w:rsidRPr="00264CAB" w:rsidRDefault="00E51139" w:rsidP="00F31A9D">
      <w:pPr>
        <w:pStyle w:val="BodyText"/>
        <w:widowControl w:val="0"/>
        <w:rPr>
          <w:rFonts w:cs="Arial"/>
          <w:color w:val="auto"/>
          <w:sz w:val="20"/>
          <w:szCs w:val="20"/>
          <w:u w:val="single"/>
        </w:rPr>
      </w:pPr>
      <w:r w:rsidRPr="00264CAB">
        <w:rPr>
          <w:rFonts w:cs="Arial"/>
          <w:color w:val="auto"/>
          <w:sz w:val="20"/>
          <w:szCs w:val="20"/>
          <w:u w:val="single"/>
        </w:rPr>
        <w:t>Forward Financial look</w:t>
      </w:r>
    </w:p>
    <w:p w:rsidR="00E51139" w:rsidRPr="00264CAB" w:rsidRDefault="00E51139" w:rsidP="00F31A9D">
      <w:pPr>
        <w:pStyle w:val="BodyText"/>
        <w:widowControl w:val="0"/>
        <w:rPr>
          <w:rFonts w:cs="Arial"/>
          <w:color w:val="auto"/>
          <w:sz w:val="20"/>
          <w:szCs w:val="20"/>
        </w:rPr>
      </w:pPr>
      <w:r w:rsidRPr="00264CAB">
        <w:rPr>
          <w:rFonts w:cs="Arial"/>
          <w:color w:val="auto"/>
          <w:sz w:val="20"/>
          <w:szCs w:val="20"/>
        </w:rPr>
        <w:t>The Council has a rolling three year “Medium Term Resource Plan” which supports service planning for future years.  There are a number of significant issues that are impacting on the Council, its finances and its service delivery. These include:</w:t>
      </w:r>
    </w:p>
    <w:p w:rsidR="00264CAB" w:rsidRPr="00271306" w:rsidRDefault="00264CAB" w:rsidP="00264CAB">
      <w:pPr>
        <w:autoSpaceDE w:val="0"/>
        <w:autoSpaceDN w:val="0"/>
        <w:adjustRightInd w:val="0"/>
        <w:ind w:left="720"/>
        <w:jc w:val="both"/>
        <w:rPr>
          <w:sz w:val="20"/>
          <w:szCs w:val="20"/>
        </w:rPr>
      </w:pPr>
      <w:r w:rsidRPr="00271306">
        <w:rPr>
          <w:sz w:val="20"/>
          <w:szCs w:val="20"/>
        </w:rPr>
        <w:t xml:space="preserve">The budget challenges for future years where the Council’s Revenue Support Grant is expected to be cut at a similar level to recent years cannot be understated. These are significant budget reductions and with </w:t>
      </w:r>
      <w:r>
        <w:rPr>
          <w:sz w:val="20"/>
          <w:szCs w:val="20"/>
        </w:rPr>
        <w:t>over</w:t>
      </w:r>
      <w:r w:rsidRPr="00271306">
        <w:rPr>
          <w:sz w:val="20"/>
          <w:szCs w:val="20"/>
        </w:rPr>
        <w:t xml:space="preserve"> 60% of Council net budget allocated to social care the challenge to get a robust budget that provides the statutory services the Council must provide is immense. </w:t>
      </w:r>
    </w:p>
    <w:p w:rsidR="00264CAB" w:rsidRDefault="00264CAB" w:rsidP="00264CAB">
      <w:pPr>
        <w:ind w:left="720"/>
        <w:rPr>
          <w:sz w:val="20"/>
          <w:szCs w:val="20"/>
        </w:rPr>
      </w:pPr>
      <w:r w:rsidRPr="00F9397B">
        <w:rPr>
          <w:sz w:val="20"/>
          <w:szCs w:val="20"/>
        </w:rPr>
        <w:t xml:space="preserve">The </w:t>
      </w:r>
      <w:r w:rsidRPr="00264CAB">
        <w:rPr>
          <w:sz w:val="20"/>
          <w:szCs w:val="20"/>
        </w:rPr>
        <w:t>Local Government Finance Settlement</w:t>
      </w:r>
      <w:r w:rsidRPr="00F9397B">
        <w:rPr>
          <w:sz w:val="20"/>
          <w:szCs w:val="20"/>
        </w:rPr>
        <w:t xml:space="preserve"> for 2016/17 was finalised in February 2016.</w:t>
      </w:r>
      <w:r>
        <w:rPr>
          <w:sz w:val="20"/>
          <w:szCs w:val="20"/>
        </w:rPr>
        <w:t xml:space="preserve"> This settlement combined with a number of related announcements, such as a review of </w:t>
      </w:r>
      <w:r w:rsidR="00BC0715">
        <w:rPr>
          <w:sz w:val="20"/>
          <w:szCs w:val="20"/>
        </w:rPr>
        <w:t xml:space="preserve">national </w:t>
      </w:r>
      <w:r>
        <w:rPr>
          <w:sz w:val="20"/>
          <w:szCs w:val="20"/>
        </w:rPr>
        <w:t xml:space="preserve">funding </w:t>
      </w:r>
      <w:r w:rsidR="007A23FB">
        <w:rPr>
          <w:sz w:val="20"/>
          <w:szCs w:val="20"/>
        </w:rPr>
        <w:t xml:space="preserve">distribution </w:t>
      </w:r>
      <w:r>
        <w:rPr>
          <w:sz w:val="20"/>
          <w:szCs w:val="20"/>
        </w:rPr>
        <w:t xml:space="preserve">between councils, will lead to a very challenging and uncertain period for local government. </w:t>
      </w:r>
    </w:p>
    <w:p w:rsidR="00264CAB" w:rsidRDefault="00264CAB" w:rsidP="00264CAB">
      <w:pPr>
        <w:ind w:left="720"/>
        <w:rPr>
          <w:sz w:val="20"/>
          <w:szCs w:val="20"/>
        </w:rPr>
      </w:pPr>
      <w:r>
        <w:rPr>
          <w:sz w:val="20"/>
          <w:szCs w:val="20"/>
        </w:rPr>
        <w:t>In the settlement DCLG have allowed Councils with social care responsibilities to increase (each year) their council tax income by 2% per annum, subject to the increase being allocated to support adult social care.</w:t>
      </w:r>
    </w:p>
    <w:p w:rsidR="00264CAB" w:rsidRPr="00F9397B" w:rsidRDefault="00264CAB" w:rsidP="00264CAB">
      <w:pPr>
        <w:ind w:left="720"/>
        <w:rPr>
          <w:sz w:val="20"/>
          <w:szCs w:val="20"/>
        </w:rPr>
      </w:pPr>
      <w:r>
        <w:rPr>
          <w:sz w:val="20"/>
          <w:szCs w:val="20"/>
        </w:rPr>
        <w:t xml:space="preserve">DCLG have announced with the 2016/17 Revenue Support Grant and the </w:t>
      </w:r>
      <w:r w:rsidR="00155AB4">
        <w:rPr>
          <w:sz w:val="20"/>
          <w:szCs w:val="20"/>
        </w:rPr>
        <w:t xml:space="preserve">grant for the </w:t>
      </w:r>
      <w:r>
        <w:rPr>
          <w:sz w:val="20"/>
          <w:szCs w:val="20"/>
        </w:rPr>
        <w:t xml:space="preserve">following three years which councils are able to accept. This should allow Councils to be able to plan with some certainty as RSG reduces. If Councils wish to accept the four year settlement then they need to </w:t>
      </w:r>
      <w:r w:rsidRPr="00264CAB">
        <w:rPr>
          <w:sz w:val="20"/>
          <w:szCs w:val="20"/>
        </w:rPr>
        <w:t>publish an efficiency plan</w:t>
      </w:r>
      <w:r>
        <w:rPr>
          <w:sz w:val="20"/>
          <w:szCs w:val="20"/>
        </w:rPr>
        <w:t xml:space="preserve"> and submit to DCLG by 14</w:t>
      </w:r>
      <w:r w:rsidRPr="00B43CF5">
        <w:rPr>
          <w:sz w:val="20"/>
          <w:szCs w:val="20"/>
          <w:vertAlign w:val="superscript"/>
        </w:rPr>
        <w:t>th</w:t>
      </w:r>
      <w:r>
        <w:rPr>
          <w:sz w:val="20"/>
          <w:szCs w:val="20"/>
        </w:rPr>
        <w:t xml:space="preserve"> October 2016. This plan will outline how the Council will achieve a balanced budget over the next four years. For Torbay its Revenue Support Grant (RSG) reduces from £27m </w:t>
      </w:r>
      <w:r w:rsidR="0037662D">
        <w:rPr>
          <w:sz w:val="20"/>
          <w:szCs w:val="20"/>
        </w:rPr>
        <w:t xml:space="preserve">(restated) </w:t>
      </w:r>
      <w:r>
        <w:rPr>
          <w:sz w:val="20"/>
          <w:szCs w:val="20"/>
        </w:rPr>
        <w:t>in 2015/16 to £6m in 2019/20. Nationally this is a £6 billion or 56% reduction in DCLG funding for local government.</w:t>
      </w:r>
    </w:p>
    <w:p w:rsidR="00264CAB" w:rsidRPr="00E7147D" w:rsidRDefault="00264CAB" w:rsidP="00264CAB">
      <w:pPr>
        <w:ind w:left="720"/>
        <w:rPr>
          <w:sz w:val="20"/>
          <w:szCs w:val="20"/>
        </w:rPr>
      </w:pPr>
      <w:r w:rsidRPr="00E7147D">
        <w:rPr>
          <w:sz w:val="20"/>
          <w:szCs w:val="20"/>
        </w:rPr>
        <w:t>The government also confirmed its intention to allow councils to keep 100% (or 98% for Torb</w:t>
      </w:r>
      <w:r>
        <w:rPr>
          <w:sz w:val="20"/>
          <w:szCs w:val="20"/>
        </w:rPr>
        <w:t>ay, 2% Fire) of NNDR</w:t>
      </w:r>
      <w:r w:rsidRPr="00E7147D">
        <w:rPr>
          <w:sz w:val="20"/>
          <w:szCs w:val="20"/>
        </w:rPr>
        <w:t xml:space="preserve"> income “by the end of parliament”. When the change in funding happens it will be fiscally neutral with </w:t>
      </w:r>
      <w:r>
        <w:rPr>
          <w:sz w:val="20"/>
          <w:szCs w:val="20"/>
        </w:rPr>
        <w:t xml:space="preserve">RSG removed completely, </w:t>
      </w:r>
      <w:r w:rsidRPr="00E7147D">
        <w:rPr>
          <w:sz w:val="20"/>
          <w:szCs w:val="20"/>
        </w:rPr>
        <w:t>other grant funding being reduced (Public Health Grant?) and more responsi</w:t>
      </w:r>
      <w:r>
        <w:rPr>
          <w:sz w:val="20"/>
          <w:szCs w:val="20"/>
        </w:rPr>
        <w:t>bilities</w:t>
      </w:r>
      <w:r w:rsidRPr="00E7147D">
        <w:rPr>
          <w:sz w:val="20"/>
          <w:szCs w:val="20"/>
        </w:rPr>
        <w:t xml:space="preserve"> being passed to Councils (Attendance Allowances?)</w:t>
      </w:r>
      <w:r>
        <w:rPr>
          <w:sz w:val="20"/>
          <w:szCs w:val="20"/>
        </w:rPr>
        <w:t xml:space="preserve">. </w:t>
      </w:r>
    </w:p>
    <w:p w:rsidR="001630DB" w:rsidRDefault="001630DB" w:rsidP="001630DB">
      <w:pPr>
        <w:autoSpaceDE w:val="0"/>
        <w:autoSpaceDN w:val="0"/>
        <w:adjustRightInd w:val="0"/>
        <w:ind w:left="720"/>
        <w:jc w:val="both"/>
        <w:rPr>
          <w:sz w:val="20"/>
          <w:szCs w:val="20"/>
        </w:rPr>
      </w:pPr>
      <w:r>
        <w:rPr>
          <w:sz w:val="20"/>
          <w:szCs w:val="20"/>
        </w:rPr>
        <w:lastRenderedPageBreak/>
        <w:t xml:space="preserve">Based on the proposed change by the end of this parliament it is likely that Torbay will be primarily reliant on council tax and NNDR income for its funding. This move does present risks to Torbay due the potential variations in income however this does provide a very </w:t>
      </w:r>
      <w:r w:rsidRPr="001630DB">
        <w:rPr>
          <w:sz w:val="20"/>
          <w:szCs w:val="20"/>
        </w:rPr>
        <w:t xml:space="preserve">strong incentive to councils to plan for and achieve </w:t>
      </w:r>
      <w:r w:rsidR="007E33E1" w:rsidRPr="001630DB">
        <w:rPr>
          <w:sz w:val="20"/>
          <w:szCs w:val="20"/>
        </w:rPr>
        <w:t>tax base</w:t>
      </w:r>
      <w:r w:rsidRPr="001630DB">
        <w:rPr>
          <w:sz w:val="20"/>
          <w:szCs w:val="20"/>
        </w:rPr>
        <w:t xml:space="preserve"> growth</w:t>
      </w:r>
      <w:r>
        <w:rPr>
          <w:sz w:val="20"/>
          <w:szCs w:val="20"/>
        </w:rPr>
        <w:t xml:space="preserve"> in both these areas. </w:t>
      </w:r>
    </w:p>
    <w:p w:rsidR="00E51139" w:rsidRPr="001630DB" w:rsidRDefault="001630DB" w:rsidP="00386736">
      <w:pPr>
        <w:pStyle w:val="BodyText"/>
        <w:widowControl w:val="0"/>
        <w:ind w:left="720"/>
        <w:rPr>
          <w:rFonts w:cs="Arial"/>
          <w:color w:val="auto"/>
          <w:sz w:val="20"/>
          <w:szCs w:val="20"/>
        </w:rPr>
      </w:pPr>
      <w:r>
        <w:rPr>
          <w:rFonts w:cs="Arial"/>
          <w:color w:val="auto"/>
          <w:sz w:val="20"/>
          <w:szCs w:val="20"/>
        </w:rPr>
        <w:t>Impact</w:t>
      </w:r>
      <w:r w:rsidR="00E51139" w:rsidRPr="001630DB">
        <w:rPr>
          <w:rFonts w:cs="Arial"/>
          <w:color w:val="auto"/>
          <w:sz w:val="20"/>
          <w:szCs w:val="20"/>
        </w:rPr>
        <w:t xml:space="preserve"> of the economic conditions</w:t>
      </w:r>
      <w:r w:rsidR="00775F90" w:rsidRPr="001630DB">
        <w:rPr>
          <w:rFonts w:cs="Arial"/>
          <w:color w:val="auto"/>
          <w:sz w:val="20"/>
          <w:szCs w:val="20"/>
        </w:rPr>
        <w:t>. There is evidence of some economic recovery within Torbay</w:t>
      </w:r>
      <w:r w:rsidR="00E51139" w:rsidRPr="001630DB">
        <w:rPr>
          <w:rFonts w:cs="Arial"/>
          <w:color w:val="auto"/>
          <w:sz w:val="20"/>
          <w:szCs w:val="20"/>
        </w:rPr>
        <w:t xml:space="preserve"> </w:t>
      </w:r>
      <w:r w:rsidR="00775F90" w:rsidRPr="001630DB">
        <w:rPr>
          <w:rFonts w:cs="Arial"/>
          <w:color w:val="auto"/>
          <w:sz w:val="20"/>
          <w:szCs w:val="20"/>
        </w:rPr>
        <w:t>however there is still a</w:t>
      </w:r>
      <w:r w:rsidR="009441FB" w:rsidRPr="001630DB">
        <w:rPr>
          <w:rFonts w:cs="Arial"/>
          <w:color w:val="auto"/>
          <w:sz w:val="20"/>
          <w:szCs w:val="20"/>
        </w:rPr>
        <w:t>n</w:t>
      </w:r>
      <w:r w:rsidR="00775F90" w:rsidRPr="001630DB">
        <w:rPr>
          <w:rFonts w:cs="Arial"/>
          <w:color w:val="auto"/>
          <w:sz w:val="20"/>
          <w:szCs w:val="20"/>
        </w:rPr>
        <w:t xml:space="preserve"> </w:t>
      </w:r>
      <w:r w:rsidR="001E6914" w:rsidRPr="001630DB">
        <w:rPr>
          <w:rFonts w:cs="Arial"/>
          <w:color w:val="auto"/>
          <w:sz w:val="20"/>
          <w:szCs w:val="20"/>
        </w:rPr>
        <w:t xml:space="preserve">ongoing </w:t>
      </w:r>
      <w:r w:rsidR="00775F90" w:rsidRPr="001630DB">
        <w:rPr>
          <w:rFonts w:cs="Arial"/>
          <w:color w:val="auto"/>
          <w:sz w:val="20"/>
          <w:szCs w:val="20"/>
        </w:rPr>
        <w:t xml:space="preserve">negative impact on services such </w:t>
      </w:r>
      <w:r w:rsidR="007E33E1" w:rsidRPr="001630DB">
        <w:rPr>
          <w:rFonts w:cs="Arial"/>
          <w:color w:val="auto"/>
          <w:sz w:val="20"/>
          <w:szCs w:val="20"/>
        </w:rPr>
        <w:t>as NNDR</w:t>
      </w:r>
      <w:r w:rsidR="00775F90" w:rsidRPr="001630DB">
        <w:rPr>
          <w:rFonts w:cs="Arial"/>
          <w:color w:val="auto"/>
          <w:sz w:val="20"/>
          <w:szCs w:val="20"/>
        </w:rPr>
        <w:t xml:space="preserve"> income</w:t>
      </w:r>
      <w:r w:rsidR="00CF0601" w:rsidRPr="001630DB">
        <w:rPr>
          <w:rFonts w:cs="Arial"/>
          <w:color w:val="auto"/>
          <w:sz w:val="20"/>
          <w:szCs w:val="20"/>
        </w:rPr>
        <w:t xml:space="preserve"> and collection</w:t>
      </w:r>
      <w:r w:rsidR="00775F90" w:rsidRPr="001630DB">
        <w:rPr>
          <w:rFonts w:cs="Arial"/>
          <w:color w:val="auto"/>
          <w:sz w:val="20"/>
          <w:szCs w:val="20"/>
        </w:rPr>
        <w:t>.</w:t>
      </w:r>
      <w:r>
        <w:rPr>
          <w:rFonts w:cs="Arial"/>
          <w:color w:val="auto"/>
          <w:sz w:val="20"/>
          <w:szCs w:val="20"/>
        </w:rPr>
        <w:t xml:space="preserve"> It is likely that the UK economy will </w:t>
      </w:r>
      <w:r w:rsidR="007E33E1">
        <w:rPr>
          <w:rFonts w:cs="Arial"/>
          <w:color w:val="auto"/>
          <w:sz w:val="20"/>
          <w:szCs w:val="20"/>
        </w:rPr>
        <w:t>continue</w:t>
      </w:r>
      <w:r>
        <w:rPr>
          <w:rFonts w:cs="Arial"/>
          <w:color w:val="auto"/>
          <w:sz w:val="20"/>
          <w:szCs w:val="20"/>
        </w:rPr>
        <w:t xml:space="preserve"> to experience a reduction in economic growth, linked in part to the world economy. As a result of this demand for so</w:t>
      </w:r>
      <w:r w:rsidR="00643B5F">
        <w:rPr>
          <w:rFonts w:cs="Arial"/>
          <w:color w:val="auto"/>
          <w:sz w:val="20"/>
          <w:szCs w:val="20"/>
        </w:rPr>
        <w:t>me</w:t>
      </w:r>
      <w:r>
        <w:rPr>
          <w:rFonts w:cs="Arial"/>
          <w:color w:val="auto"/>
          <w:sz w:val="20"/>
          <w:szCs w:val="20"/>
        </w:rPr>
        <w:t xml:space="preserve"> council services </w:t>
      </w:r>
      <w:r w:rsidR="007E33E1">
        <w:rPr>
          <w:rFonts w:cs="Arial"/>
          <w:color w:val="auto"/>
          <w:sz w:val="20"/>
          <w:szCs w:val="20"/>
        </w:rPr>
        <w:t>will</w:t>
      </w:r>
      <w:r>
        <w:rPr>
          <w:rFonts w:cs="Arial"/>
          <w:color w:val="auto"/>
          <w:sz w:val="20"/>
          <w:szCs w:val="20"/>
        </w:rPr>
        <w:t xml:space="preserve"> increase along with increased volatil</w:t>
      </w:r>
      <w:r w:rsidR="006051AE">
        <w:rPr>
          <w:rFonts w:cs="Arial"/>
          <w:color w:val="auto"/>
          <w:sz w:val="20"/>
          <w:szCs w:val="20"/>
        </w:rPr>
        <w:t>ity</w:t>
      </w:r>
      <w:r>
        <w:rPr>
          <w:rFonts w:cs="Arial"/>
          <w:color w:val="auto"/>
          <w:sz w:val="20"/>
          <w:szCs w:val="20"/>
        </w:rPr>
        <w:t xml:space="preserve"> of so</w:t>
      </w:r>
      <w:r w:rsidR="006051AE">
        <w:rPr>
          <w:rFonts w:cs="Arial"/>
          <w:color w:val="auto"/>
          <w:sz w:val="20"/>
          <w:szCs w:val="20"/>
        </w:rPr>
        <w:t>me</w:t>
      </w:r>
      <w:r>
        <w:rPr>
          <w:rFonts w:cs="Arial"/>
          <w:color w:val="auto"/>
          <w:sz w:val="20"/>
          <w:szCs w:val="20"/>
        </w:rPr>
        <w:t xml:space="preserve"> inco</w:t>
      </w:r>
      <w:r w:rsidR="00546719">
        <w:rPr>
          <w:rFonts w:cs="Arial"/>
          <w:color w:val="auto"/>
          <w:sz w:val="20"/>
          <w:szCs w:val="20"/>
        </w:rPr>
        <w:t>me</w:t>
      </w:r>
      <w:r>
        <w:rPr>
          <w:rFonts w:cs="Arial"/>
          <w:color w:val="auto"/>
          <w:sz w:val="20"/>
          <w:szCs w:val="20"/>
        </w:rPr>
        <w:t xml:space="preserve"> streams such as NNDR income which will become an increasing risk as </w:t>
      </w:r>
      <w:r w:rsidR="007E33E1">
        <w:rPr>
          <w:rFonts w:cs="Arial"/>
          <w:color w:val="auto"/>
          <w:sz w:val="20"/>
          <w:szCs w:val="20"/>
        </w:rPr>
        <w:t>Council</w:t>
      </w:r>
      <w:r>
        <w:rPr>
          <w:rFonts w:cs="Arial"/>
          <w:color w:val="auto"/>
          <w:sz w:val="20"/>
          <w:szCs w:val="20"/>
        </w:rPr>
        <w:t xml:space="preserve"> reliance on these income streams increases.</w:t>
      </w:r>
    </w:p>
    <w:p w:rsidR="00E51139" w:rsidRPr="001630DB" w:rsidRDefault="00E51139" w:rsidP="00386736">
      <w:pPr>
        <w:pStyle w:val="BodyText"/>
        <w:widowControl w:val="0"/>
        <w:ind w:left="720"/>
        <w:rPr>
          <w:rFonts w:cs="Arial"/>
          <w:color w:val="auto"/>
          <w:sz w:val="20"/>
          <w:szCs w:val="20"/>
        </w:rPr>
      </w:pPr>
      <w:r w:rsidRPr="001630DB">
        <w:rPr>
          <w:rFonts w:cs="Arial"/>
          <w:color w:val="auto"/>
          <w:sz w:val="20"/>
          <w:szCs w:val="20"/>
        </w:rPr>
        <w:t>Ongoing impact of the demographic trends within the Council area, such as an increasing demand for adult and</w:t>
      </w:r>
      <w:r w:rsidR="009441FB" w:rsidRPr="001630DB">
        <w:rPr>
          <w:rFonts w:cs="Arial"/>
          <w:color w:val="auto"/>
          <w:sz w:val="20"/>
          <w:szCs w:val="20"/>
        </w:rPr>
        <w:t>,</w:t>
      </w:r>
      <w:r w:rsidRPr="001630DB">
        <w:rPr>
          <w:rFonts w:cs="Arial"/>
          <w:color w:val="auto"/>
          <w:sz w:val="20"/>
          <w:szCs w:val="20"/>
        </w:rPr>
        <w:t xml:space="preserve"> in particular</w:t>
      </w:r>
      <w:r w:rsidR="009441FB" w:rsidRPr="001630DB">
        <w:rPr>
          <w:rFonts w:cs="Arial"/>
          <w:color w:val="auto"/>
          <w:sz w:val="20"/>
          <w:szCs w:val="20"/>
        </w:rPr>
        <w:t>,</w:t>
      </w:r>
      <w:r w:rsidRPr="001630DB">
        <w:rPr>
          <w:rFonts w:cs="Arial"/>
          <w:color w:val="auto"/>
          <w:sz w:val="20"/>
          <w:szCs w:val="20"/>
        </w:rPr>
        <w:t xml:space="preserve"> for child</w:t>
      </w:r>
      <w:r w:rsidR="00196151" w:rsidRPr="001630DB">
        <w:rPr>
          <w:rFonts w:cs="Arial"/>
          <w:color w:val="auto"/>
          <w:sz w:val="20"/>
          <w:szCs w:val="20"/>
        </w:rPr>
        <w:t>rens</w:t>
      </w:r>
      <w:r w:rsidRPr="001630DB">
        <w:rPr>
          <w:rFonts w:cs="Arial"/>
          <w:color w:val="auto"/>
          <w:sz w:val="20"/>
          <w:szCs w:val="20"/>
        </w:rPr>
        <w:t xml:space="preserve"> social care plus changes in pupil numbers throughout the area </w:t>
      </w:r>
      <w:r w:rsidR="00196151" w:rsidRPr="001630DB">
        <w:rPr>
          <w:rFonts w:cs="Arial"/>
          <w:color w:val="auto"/>
          <w:sz w:val="20"/>
          <w:szCs w:val="20"/>
        </w:rPr>
        <w:t xml:space="preserve">increasing </w:t>
      </w:r>
      <w:r w:rsidRPr="001630DB">
        <w:rPr>
          <w:rFonts w:cs="Arial"/>
          <w:color w:val="auto"/>
          <w:sz w:val="20"/>
          <w:szCs w:val="20"/>
        </w:rPr>
        <w:t xml:space="preserve">demand for school places. </w:t>
      </w:r>
    </w:p>
    <w:p w:rsidR="00E51139" w:rsidRDefault="00E51139" w:rsidP="00386736">
      <w:pPr>
        <w:pStyle w:val="BodyText"/>
        <w:widowControl w:val="0"/>
        <w:ind w:left="720"/>
        <w:rPr>
          <w:rFonts w:cs="Arial"/>
          <w:color w:val="auto"/>
          <w:sz w:val="20"/>
          <w:szCs w:val="20"/>
        </w:rPr>
      </w:pPr>
      <w:r w:rsidRPr="00E17214">
        <w:rPr>
          <w:rFonts w:cs="Arial"/>
          <w:color w:val="auto"/>
          <w:sz w:val="20"/>
          <w:szCs w:val="20"/>
        </w:rPr>
        <w:t>Th</w:t>
      </w:r>
      <w:r w:rsidR="002120FE" w:rsidRPr="00E17214">
        <w:rPr>
          <w:rFonts w:cs="Arial"/>
          <w:color w:val="auto"/>
          <w:sz w:val="20"/>
          <w:szCs w:val="20"/>
        </w:rPr>
        <w:t>e</w:t>
      </w:r>
      <w:r w:rsidRPr="00E17214">
        <w:rPr>
          <w:rFonts w:cs="Arial"/>
          <w:color w:val="auto"/>
          <w:sz w:val="20"/>
          <w:szCs w:val="20"/>
        </w:rPr>
        <w:t xml:space="preserve"> combination of significantly reducing funding and rising demand is a significant challenge for the Council as</w:t>
      </w:r>
      <w:r w:rsidR="002120FE" w:rsidRPr="00E17214">
        <w:rPr>
          <w:rFonts w:cs="Arial"/>
          <w:color w:val="auto"/>
          <w:sz w:val="20"/>
          <w:szCs w:val="20"/>
        </w:rPr>
        <w:t>,</w:t>
      </w:r>
      <w:r w:rsidRPr="00E17214">
        <w:rPr>
          <w:rFonts w:cs="Arial"/>
          <w:color w:val="auto"/>
          <w:sz w:val="20"/>
          <w:szCs w:val="20"/>
        </w:rPr>
        <w:t xml:space="preserve"> to </w:t>
      </w:r>
      <w:r w:rsidR="002120FE" w:rsidRPr="00E17214">
        <w:rPr>
          <w:rFonts w:cs="Arial"/>
          <w:color w:val="auto"/>
          <w:sz w:val="20"/>
          <w:szCs w:val="20"/>
        </w:rPr>
        <w:t xml:space="preserve">achieve </w:t>
      </w:r>
      <w:r w:rsidRPr="00E17214">
        <w:rPr>
          <w:rFonts w:cs="Arial"/>
          <w:color w:val="auto"/>
          <w:sz w:val="20"/>
          <w:szCs w:val="20"/>
        </w:rPr>
        <w:t>these levels of reductions</w:t>
      </w:r>
      <w:r w:rsidR="002120FE" w:rsidRPr="00E17214">
        <w:rPr>
          <w:rFonts w:cs="Arial"/>
          <w:color w:val="auto"/>
          <w:sz w:val="20"/>
          <w:szCs w:val="20"/>
        </w:rPr>
        <w:t>,</w:t>
      </w:r>
      <w:r w:rsidRPr="00E17214">
        <w:rPr>
          <w:rFonts w:cs="Arial"/>
          <w:color w:val="auto"/>
          <w:sz w:val="20"/>
          <w:szCs w:val="20"/>
        </w:rPr>
        <w:t xml:space="preserve"> </w:t>
      </w:r>
      <w:r w:rsidR="002120FE" w:rsidRPr="00E17214">
        <w:rPr>
          <w:rFonts w:cs="Arial"/>
          <w:color w:val="auto"/>
          <w:sz w:val="20"/>
          <w:szCs w:val="20"/>
        </w:rPr>
        <w:t xml:space="preserve">this </w:t>
      </w:r>
      <w:r w:rsidRPr="00E17214">
        <w:rPr>
          <w:rFonts w:cs="Arial"/>
          <w:color w:val="auto"/>
          <w:sz w:val="20"/>
          <w:szCs w:val="20"/>
        </w:rPr>
        <w:t xml:space="preserve">will have a major impact on the quantity and quality of services the Council will be able to </w:t>
      </w:r>
      <w:r w:rsidR="007E33E1" w:rsidRPr="00E17214">
        <w:rPr>
          <w:rFonts w:cs="Arial"/>
          <w:color w:val="auto"/>
          <w:sz w:val="20"/>
          <w:szCs w:val="20"/>
        </w:rPr>
        <w:t>provide</w:t>
      </w:r>
      <w:r w:rsidRPr="00E17214">
        <w:rPr>
          <w:rFonts w:cs="Arial"/>
          <w:color w:val="auto"/>
          <w:sz w:val="20"/>
          <w:szCs w:val="20"/>
        </w:rPr>
        <w:t xml:space="preserve"> in the future.</w:t>
      </w:r>
      <w:r w:rsidR="007848D0">
        <w:rPr>
          <w:rFonts w:cs="Arial"/>
          <w:color w:val="auto"/>
          <w:sz w:val="20"/>
          <w:szCs w:val="20"/>
        </w:rPr>
        <w:t xml:space="preserve"> The </w:t>
      </w:r>
      <w:r w:rsidR="007E33E1">
        <w:rPr>
          <w:rFonts w:cs="Arial"/>
          <w:color w:val="auto"/>
          <w:sz w:val="20"/>
          <w:szCs w:val="20"/>
        </w:rPr>
        <w:t>forecast</w:t>
      </w:r>
      <w:r w:rsidR="007848D0">
        <w:rPr>
          <w:rFonts w:cs="Arial"/>
          <w:color w:val="auto"/>
          <w:sz w:val="20"/>
          <w:szCs w:val="20"/>
        </w:rPr>
        <w:t xml:space="preserve"> level of savings required to </w:t>
      </w:r>
      <w:r w:rsidR="007E33E1">
        <w:rPr>
          <w:rFonts w:cs="Arial"/>
          <w:color w:val="auto"/>
          <w:sz w:val="20"/>
          <w:szCs w:val="20"/>
        </w:rPr>
        <w:t>achieve</w:t>
      </w:r>
      <w:r w:rsidR="007848D0">
        <w:rPr>
          <w:rFonts w:cs="Arial"/>
          <w:color w:val="auto"/>
          <w:sz w:val="20"/>
          <w:szCs w:val="20"/>
        </w:rPr>
        <w:t xml:space="preserve"> </w:t>
      </w:r>
      <w:r w:rsidR="007E33E1">
        <w:rPr>
          <w:rFonts w:cs="Arial"/>
          <w:color w:val="auto"/>
          <w:sz w:val="20"/>
          <w:szCs w:val="20"/>
        </w:rPr>
        <w:t>a</w:t>
      </w:r>
      <w:r w:rsidR="007848D0">
        <w:rPr>
          <w:rFonts w:cs="Arial"/>
          <w:color w:val="auto"/>
          <w:sz w:val="20"/>
          <w:szCs w:val="20"/>
        </w:rPr>
        <w:t xml:space="preserve"> balanced budget for 2017/18 to 2019/20 is </w:t>
      </w:r>
      <w:r w:rsidR="00085F32">
        <w:rPr>
          <w:rFonts w:cs="Arial"/>
          <w:color w:val="auto"/>
          <w:sz w:val="20"/>
          <w:szCs w:val="20"/>
        </w:rPr>
        <w:t xml:space="preserve">up to </w:t>
      </w:r>
      <w:r w:rsidR="007848D0">
        <w:rPr>
          <w:rFonts w:cs="Arial"/>
          <w:color w:val="auto"/>
          <w:sz w:val="20"/>
          <w:szCs w:val="20"/>
        </w:rPr>
        <w:t>£1</w:t>
      </w:r>
      <w:r w:rsidR="00085F32">
        <w:rPr>
          <w:rFonts w:cs="Arial"/>
          <w:color w:val="auto"/>
          <w:sz w:val="20"/>
          <w:szCs w:val="20"/>
        </w:rPr>
        <w:t>9</w:t>
      </w:r>
      <w:r w:rsidR="007848D0">
        <w:rPr>
          <w:rFonts w:cs="Arial"/>
          <w:color w:val="auto"/>
          <w:sz w:val="20"/>
          <w:szCs w:val="20"/>
        </w:rPr>
        <w:t>m.</w:t>
      </w:r>
      <w:r w:rsidR="00725043">
        <w:rPr>
          <w:rFonts w:cs="Arial"/>
          <w:color w:val="auto"/>
          <w:sz w:val="20"/>
          <w:szCs w:val="20"/>
        </w:rPr>
        <w:t xml:space="preserve"> This is in </w:t>
      </w:r>
      <w:r w:rsidR="007E33E1">
        <w:rPr>
          <w:rFonts w:cs="Arial"/>
          <w:color w:val="auto"/>
          <w:sz w:val="20"/>
          <w:szCs w:val="20"/>
        </w:rPr>
        <w:t>addition</w:t>
      </w:r>
      <w:r w:rsidR="00725043">
        <w:rPr>
          <w:rFonts w:cs="Arial"/>
          <w:color w:val="auto"/>
          <w:sz w:val="20"/>
          <w:szCs w:val="20"/>
        </w:rPr>
        <w:t xml:space="preserve"> to the £12m of savings required to balance the 2016/17 </w:t>
      </w:r>
      <w:r w:rsidR="007B7E91">
        <w:rPr>
          <w:rFonts w:cs="Arial"/>
          <w:color w:val="auto"/>
          <w:sz w:val="20"/>
          <w:szCs w:val="20"/>
        </w:rPr>
        <w:t xml:space="preserve">revenue </w:t>
      </w:r>
      <w:r w:rsidR="00725043">
        <w:rPr>
          <w:rFonts w:cs="Arial"/>
          <w:color w:val="auto"/>
          <w:sz w:val="20"/>
          <w:szCs w:val="20"/>
        </w:rPr>
        <w:t>budget.</w:t>
      </w:r>
    </w:p>
    <w:p w:rsidR="00E524C2" w:rsidRPr="00E17214" w:rsidRDefault="00E524C2" w:rsidP="00386736">
      <w:pPr>
        <w:pStyle w:val="BodyText"/>
        <w:widowControl w:val="0"/>
        <w:ind w:left="720"/>
        <w:rPr>
          <w:rFonts w:cs="Arial"/>
          <w:color w:val="auto"/>
          <w:sz w:val="20"/>
          <w:szCs w:val="20"/>
        </w:rPr>
      </w:pPr>
      <w:r>
        <w:rPr>
          <w:rFonts w:cs="Arial"/>
          <w:color w:val="auto"/>
          <w:sz w:val="20"/>
          <w:szCs w:val="20"/>
        </w:rPr>
        <w:t xml:space="preserve">In June 2016 the United Kingdom held a referendum on future membership of the European </w:t>
      </w:r>
      <w:r w:rsidR="008A6F36">
        <w:rPr>
          <w:rFonts w:cs="Arial"/>
          <w:color w:val="auto"/>
          <w:sz w:val="20"/>
          <w:szCs w:val="20"/>
        </w:rPr>
        <w:t>Union</w:t>
      </w:r>
      <w:r>
        <w:rPr>
          <w:rFonts w:cs="Arial"/>
          <w:color w:val="auto"/>
          <w:sz w:val="20"/>
          <w:szCs w:val="20"/>
        </w:rPr>
        <w:t xml:space="preserve">. The result was a majority for “leave”. The impact on the UK and the </w:t>
      </w:r>
      <w:r w:rsidR="008A6F36">
        <w:rPr>
          <w:rFonts w:cs="Arial"/>
          <w:color w:val="auto"/>
          <w:sz w:val="20"/>
          <w:szCs w:val="20"/>
        </w:rPr>
        <w:t>Council</w:t>
      </w:r>
      <w:r>
        <w:rPr>
          <w:rFonts w:cs="Arial"/>
          <w:color w:val="auto"/>
          <w:sz w:val="20"/>
          <w:szCs w:val="20"/>
        </w:rPr>
        <w:t xml:space="preserve"> is unclear at present</w:t>
      </w:r>
      <w:r w:rsidR="008A6F36">
        <w:rPr>
          <w:rFonts w:cs="Arial"/>
          <w:color w:val="auto"/>
          <w:sz w:val="20"/>
          <w:szCs w:val="20"/>
        </w:rPr>
        <w:t xml:space="preserve"> although there is likely to be period of economic and political uncertainly which could impact on future Council funding and income. </w:t>
      </w:r>
      <w:r>
        <w:rPr>
          <w:rFonts w:cs="Arial"/>
          <w:color w:val="auto"/>
          <w:sz w:val="20"/>
          <w:szCs w:val="20"/>
        </w:rPr>
        <w:t xml:space="preserve"> </w:t>
      </w:r>
    </w:p>
    <w:p w:rsidR="00E51139" w:rsidRPr="00210DA0" w:rsidRDefault="00E51139" w:rsidP="00F31A9D">
      <w:pPr>
        <w:pStyle w:val="BodyText"/>
        <w:widowControl w:val="0"/>
        <w:rPr>
          <w:rFonts w:cs="Arial"/>
          <w:b/>
          <w:color w:val="auto"/>
          <w:sz w:val="20"/>
          <w:szCs w:val="20"/>
        </w:rPr>
      </w:pPr>
      <w:r w:rsidRPr="00210DA0">
        <w:rPr>
          <w:rFonts w:cs="Arial"/>
          <w:b/>
          <w:color w:val="auto"/>
          <w:sz w:val="20"/>
          <w:szCs w:val="20"/>
        </w:rPr>
        <w:t>Revenue Budget:</w:t>
      </w:r>
    </w:p>
    <w:p w:rsidR="00923BBD" w:rsidRPr="00210DA0" w:rsidRDefault="00800A6B" w:rsidP="00F31A9D">
      <w:pPr>
        <w:pStyle w:val="BodyText"/>
        <w:widowControl w:val="0"/>
        <w:rPr>
          <w:rFonts w:cs="Arial"/>
          <w:color w:val="auto"/>
          <w:sz w:val="20"/>
          <w:szCs w:val="20"/>
        </w:rPr>
      </w:pPr>
      <w:r w:rsidRPr="00210DA0">
        <w:rPr>
          <w:rFonts w:cs="Arial"/>
          <w:color w:val="auto"/>
          <w:sz w:val="20"/>
          <w:szCs w:val="20"/>
        </w:rPr>
        <w:t>The Council has established procedures for reporting financial information. In addition to internal monitoring, where in some more volatile budgets the monitoring is weekly but mostly monthly, the Council reports its revenue and capital financial performance on a quarterly basis to its Overview and Scrutiny Board and to Council. These reports can be accessed</w:t>
      </w:r>
      <w:r w:rsidR="001E6914" w:rsidRPr="00210DA0">
        <w:rPr>
          <w:rFonts w:cs="Arial"/>
          <w:color w:val="auto"/>
          <w:sz w:val="20"/>
          <w:szCs w:val="20"/>
        </w:rPr>
        <w:t xml:space="preserve"> by looking at Council reports on the Council’s website.</w:t>
      </w:r>
    </w:p>
    <w:p w:rsidR="00E51139" w:rsidRPr="00210DA0" w:rsidRDefault="00E51139" w:rsidP="00F31A9D">
      <w:pPr>
        <w:pStyle w:val="BodyText"/>
        <w:widowControl w:val="0"/>
        <w:rPr>
          <w:rFonts w:cs="Arial"/>
          <w:color w:val="auto"/>
          <w:sz w:val="20"/>
          <w:szCs w:val="20"/>
          <w:u w:val="single"/>
        </w:rPr>
      </w:pPr>
      <w:r w:rsidRPr="00210DA0">
        <w:rPr>
          <w:rFonts w:cs="Arial"/>
          <w:color w:val="auto"/>
          <w:sz w:val="20"/>
          <w:szCs w:val="20"/>
          <w:u w:val="single"/>
        </w:rPr>
        <w:t>Funding</w:t>
      </w:r>
    </w:p>
    <w:p w:rsidR="00E51139" w:rsidRPr="00210DA0" w:rsidRDefault="00E51139" w:rsidP="00F31A9D">
      <w:pPr>
        <w:pStyle w:val="BodyText"/>
        <w:widowControl w:val="0"/>
        <w:rPr>
          <w:rFonts w:cs="Arial"/>
          <w:color w:val="auto"/>
          <w:sz w:val="20"/>
          <w:szCs w:val="20"/>
        </w:rPr>
      </w:pPr>
      <w:r w:rsidRPr="00210DA0">
        <w:rPr>
          <w:rFonts w:cs="Arial"/>
          <w:color w:val="auto"/>
          <w:sz w:val="20"/>
          <w:szCs w:val="20"/>
        </w:rPr>
        <w:t>In February 201</w:t>
      </w:r>
      <w:r w:rsidR="00210DA0" w:rsidRPr="00210DA0">
        <w:rPr>
          <w:rFonts w:cs="Arial"/>
          <w:color w:val="auto"/>
          <w:sz w:val="20"/>
          <w:szCs w:val="20"/>
        </w:rPr>
        <w:t>5</w:t>
      </w:r>
      <w:r w:rsidRPr="00210DA0">
        <w:rPr>
          <w:rFonts w:cs="Arial"/>
          <w:color w:val="auto"/>
          <w:sz w:val="20"/>
          <w:szCs w:val="20"/>
        </w:rPr>
        <w:t xml:space="preserve"> t</w:t>
      </w:r>
      <w:r w:rsidR="00276032" w:rsidRPr="00210DA0">
        <w:rPr>
          <w:rFonts w:cs="Arial"/>
          <w:color w:val="auto"/>
          <w:sz w:val="20"/>
          <w:szCs w:val="20"/>
        </w:rPr>
        <w:t>he Council set a budget for 201</w:t>
      </w:r>
      <w:r w:rsidR="00210DA0" w:rsidRPr="00210DA0">
        <w:rPr>
          <w:rFonts w:cs="Arial"/>
          <w:color w:val="auto"/>
          <w:sz w:val="20"/>
          <w:szCs w:val="20"/>
        </w:rPr>
        <w:t>5</w:t>
      </w:r>
      <w:r w:rsidR="00276032" w:rsidRPr="00210DA0">
        <w:rPr>
          <w:rFonts w:cs="Arial"/>
          <w:color w:val="auto"/>
          <w:sz w:val="20"/>
          <w:szCs w:val="20"/>
        </w:rPr>
        <w:t>/1</w:t>
      </w:r>
      <w:r w:rsidR="00210DA0" w:rsidRPr="00210DA0">
        <w:rPr>
          <w:rFonts w:cs="Arial"/>
          <w:color w:val="auto"/>
          <w:sz w:val="20"/>
          <w:szCs w:val="20"/>
        </w:rPr>
        <w:t>6</w:t>
      </w:r>
      <w:r w:rsidRPr="00210DA0">
        <w:rPr>
          <w:rFonts w:cs="Arial"/>
          <w:color w:val="auto"/>
          <w:sz w:val="20"/>
          <w:szCs w:val="20"/>
        </w:rPr>
        <w:t xml:space="preserve"> of </w:t>
      </w:r>
      <w:r w:rsidR="00D625A1" w:rsidRPr="00210DA0">
        <w:rPr>
          <w:rFonts w:cs="Arial"/>
          <w:color w:val="auto"/>
          <w:sz w:val="20"/>
          <w:szCs w:val="20"/>
        </w:rPr>
        <w:t>£11</w:t>
      </w:r>
      <w:r w:rsidR="00210DA0" w:rsidRPr="00210DA0">
        <w:rPr>
          <w:rFonts w:cs="Arial"/>
          <w:color w:val="auto"/>
          <w:sz w:val="20"/>
          <w:szCs w:val="20"/>
        </w:rPr>
        <w:t>0</w:t>
      </w:r>
      <w:r w:rsidR="00D625A1" w:rsidRPr="00210DA0">
        <w:rPr>
          <w:rFonts w:cs="Arial"/>
          <w:color w:val="auto"/>
          <w:sz w:val="20"/>
          <w:szCs w:val="20"/>
        </w:rPr>
        <w:t>m (</w:t>
      </w:r>
      <w:r w:rsidRPr="00210DA0">
        <w:rPr>
          <w:rFonts w:cs="Arial"/>
          <w:color w:val="auto"/>
          <w:sz w:val="20"/>
          <w:szCs w:val="20"/>
        </w:rPr>
        <w:t>£</w:t>
      </w:r>
      <w:r w:rsidR="000A4544" w:rsidRPr="00210DA0">
        <w:rPr>
          <w:rFonts w:cs="Arial"/>
          <w:color w:val="auto"/>
          <w:sz w:val="20"/>
          <w:szCs w:val="20"/>
        </w:rPr>
        <w:t>1</w:t>
      </w:r>
      <w:r w:rsidR="00210DA0" w:rsidRPr="00210DA0">
        <w:rPr>
          <w:rFonts w:cs="Arial"/>
          <w:color w:val="auto"/>
          <w:sz w:val="20"/>
          <w:szCs w:val="20"/>
        </w:rPr>
        <w:t>16</w:t>
      </w:r>
      <w:r w:rsidRPr="00210DA0">
        <w:rPr>
          <w:rFonts w:cs="Arial"/>
          <w:color w:val="auto"/>
          <w:sz w:val="20"/>
          <w:szCs w:val="20"/>
        </w:rPr>
        <w:t>m</w:t>
      </w:r>
      <w:r w:rsidR="00D625A1" w:rsidRPr="00210DA0">
        <w:rPr>
          <w:rFonts w:cs="Arial"/>
          <w:color w:val="auto"/>
          <w:sz w:val="20"/>
          <w:szCs w:val="20"/>
        </w:rPr>
        <w:t xml:space="preserve"> 1</w:t>
      </w:r>
      <w:r w:rsidR="00210DA0" w:rsidRPr="00210DA0">
        <w:rPr>
          <w:rFonts w:cs="Arial"/>
          <w:color w:val="auto"/>
          <w:sz w:val="20"/>
          <w:szCs w:val="20"/>
        </w:rPr>
        <w:t>4</w:t>
      </w:r>
      <w:r w:rsidR="00D625A1" w:rsidRPr="00210DA0">
        <w:rPr>
          <w:rFonts w:cs="Arial"/>
          <w:color w:val="auto"/>
          <w:sz w:val="20"/>
          <w:szCs w:val="20"/>
        </w:rPr>
        <w:t>/1</w:t>
      </w:r>
      <w:r w:rsidR="00210DA0" w:rsidRPr="00210DA0">
        <w:rPr>
          <w:rFonts w:cs="Arial"/>
          <w:color w:val="auto"/>
          <w:sz w:val="20"/>
          <w:szCs w:val="20"/>
        </w:rPr>
        <w:t>5</w:t>
      </w:r>
      <w:r w:rsidR="00D625A1" w:rsidRPr="00210DA0">
        <w:rPr>
          <w:rFonts w:cs="Arial"/>
          <w:color w:val="auto"/>
          <w:sz w:val="20"/>
          <w:szCs w:val="20"/>
        </w:rPr>
        <w:t>)</w:t>
      </w:r>
      <w:r w:rsidRPr="00210DA0">
        <w:rPr>
          <w:rFonts w:cs="Arial"/>
          <w:color w:val="auto"/>
          <w:sz w:val="20"/>
          <w:szCs w:val="20"/>
        </w:rPr>
        <w:t xml:space="preserve">, which was to be funded as shown in the table below. This resulted in a zero percent </w:t>
      </w:r>
      <w:r w:rsidR="009929FE" w:rsidRPr="00210DA0">
        <w:rPr>
          <w:rFonts w:cs="Arial"/>
          <w:color w:val="auto"/>
          <w:sz w:val="20"/>
          <w:szCs w:val="20"/>
        </w:rPr>
        <w:t xml:space="preserve">“freeze” </w:t>
      </w:r>
      <w:r w:rsidRPr="00210DA0">
        <w:rPr>
          <w:rFonts w:cs="Arial"/>
          <w:color w:val="auto"/>
          <w:sz w:val="20"/>
          <w:szCs w:val="20"/>
        </w:rPr>
        <w:t>in the level of Council Tax</w:t>
      </w:r>
      <w:r w:rsidR="00F475AD" w:rsidRPr="00210DA0">
        <w:rPr>
          <w:rFonts w:cs="Arial"/>
          <w:color w:val="auto"/>
          <w:sz w:val="20"/>
          <w:szCs w:val="20"/>
        </w:rPr>
        <w:t xml:space="preserve"> for Torbay Council</w:t>
      </w:r>
      <w:r w:rsidRPr="00210DA0">
        <w:rPr>
          <w:rFonts w:cs="Arial"/>
          <w:color w:val="auto"/>
          <w:sz w:val="20"/>
          <w:szCs w:val="20"/>
        </w:rPr>
        <w:t>.</w:t>
      </w:r>
    </w:p>
    <w:tbl>
      <w:tblPr>
        <w:tblStyle w:val="ListTable3-Accent51"/>
        <w:tblW w:w="9061" w:type="dxa"/>
        <w:tblInd w:w="108" w:type="dxa"/>
        <w:tblLook w:val="01E0"/>
      </w:tblPr>
      <w:tblGrid>
        <w:gridCol w:w="5030"/>
        <w:gridCol w:w="1596"/>
        <w:gridCol w:w="1257"/>
        <w:gridCol w:w="1178"/>
      </w:tblGrid>
      <w:tr w:rsidR="00F8548B" w:rsidRPr="00D42E0B" w:rsidTr="005A4C12">
        <w:trPr>
          <w:cnfStyle w:val="100000000000"/>
          <w:trHeight w:val="466"/>
        </w:trPr>
        <w:tc>
          <w:tcPr>
            <w:cnfStyle w:val="001000000100"/>
            <w:tcW w:w="5030" w:type="dxa"/>
          </w:tcPr>
          <w:p w:rsidR="00F8548B" w:rsidRPr="00210DA0" w:rsidRDefault="00F8548B" w:rsidP="00F8548B">
            <w:pPr>
              <w:pStyle w:val="BodyText"/>
              <w:widowControl w:val="0"/>
              <w:jc w:val="right"/>
              <w:rPr>
                <w:rFonts w:cs="Arial"/>
                <w:color w:val="auto"/>
                <w:sz w:val="20"/>
                <w:szCs w:val="20"/>
              </w:rPr>
            </w:pPr>
            <w:r w:rsidRPr="00210DA0">
              <w:rPr>
                <w:rFonts w:cs="Arial"/>
                <w:b w:val="0"/>
                <w:color w:val="auto"/>
                <w:sz w:val="20"/>
                <w:szCs w:val="20"/>
              </w:rPr>
              <w:t xml:space="preserve">   </w:t>
            </w:r>
          </w:p>
        </w:tc>
        <w:tc>
          <w:tcPr>
            <w:cnfStyle w:val="000100001000"/>
            <w:tcW w:w="4031" w:type="dxa"/>
            <w:gridSpan w:val="3"/>
          </w:tcPr>
          <w:p w:rsidR="00F8548B" w:rsidRPr="00210DA0" w:rsidRDefault="00F8548B" w:rsidP="00210DA0">
            <w:pPr>
              <w:pStyle w:val="BodyText"/>
              <w:widowControl w:val="0"/>
              <w:rPr>
                <w:rFonts w:cs="Arial"/>
                <w:color w:val="auto"/>
                <w:sz w:val="20"/>
                <w:szCs w:val="20"/>
              </w:rPr>
            </w:pPr>
            <w:r w:rsidRPr="00210DA0">
              <w:rPr>
                <w:rFonts w:cs="Arial"/>
                <w:b w:val="0"/>
                <w:color w:val="auto"/>
                <w:sz w:val="20"/>
                <w:szCs w:val="20"/>
              </w:rPr>
              <w:t xml:space="preserve">     201</w:t>
            </w:r>
            <w:r w:rsidR="00210DA0">
              <w:rPr>
                <w:rFonts w:cs="Arial"/>
                <w:b w:val="0"/>
                <w:color w:val="auto"/>
                <w:sz w:val="20"/>
                <w:szCs w:val="20"/>
              </w:rPr>
              <w:t>4</w:t>
            </w:r>
            <w:r w:rsidRPr="00210DA0">
              <w:rPr>
                <w:rFonts w:cs="Arial"/>
                <w:b w:val="0"/>
                <w:color w:val="auto"/>
                <w:sz w:val="20"/>
                <w:szCs w:val="20"/>
              </w:rPr>
              <w:t>/1</w:t>
            </w:r>
            <w:r w:rsidR="00210DA0">
              <w:rPr>
                <w:rFonts w:cs="Arial"/>
                <w:b w:val="0"/>
                <w:color w:val="auto"/>
                <w:sz w:val="20"/>
                <w:szCs w:val="20"/>
              </w:rPr>
              <w:t>5</w:t>
            </w:r>
            <w:r w:rsidRPr="00210DA0">
              <w:rPr>
                <w:rFonts w:cs="Arial"/>
                <w:color w:val="auto"/>
                <w:sz w:val="20"/>
                <w:szCs w:val="20"/>
              </w:rPr>
              <w:t xml:space="preserve">              201</w:t>
            </w:r>
            <w:r w:rsidR="00210DA0">
              <w:rPr>
                <w:rFonts w:cs="Arial"/>
                <w:color w:val="auto"/>
                <w:sz w:val="20"/>
                <w:szCs w:val="20"/>
              </w:rPr>
              <w:t>5</w:t>
            </w:r>
            <w:r w:rsidRPr="00210DA0">
              <w:rPr>
                <w:rFonts w:cs="Arial"/>
                <w:color w:val="auto"/>
                <w:sz w:val="20"/>
                <w:szCs w:val="20"/>
              </w:rPr>
              <w:t>/1</w:t>
            </w:r>
            <w:r w:rsidR="00210DA0">
              <w:rPr>
                <w:rFonts w:cs="Arial"/>
                <w:color w:val="auto"/>
                <w:sz w:val="20"/>
                <w:szCs w:val="20"/>
              </w:rPr>
              <w:t>6</w:t>
            </w:r>
          </w:p>
        </w:tc>
      </w:tr>
      <w:tr w:rsidR="00F8548B" w:rsidRPr="00D42E0B" w:rsidTr="005A4C12">
        <w:trPr>
          <w:cnfStyle w:val="000000100000"/>
          <w:trHeight w:hRule="exact" w:val="432"/>
        </w:trPr>
        <w:tc>
          <w:tcPr>
            <w:cnfStyle w:val="001000000000"/>
            <w:tcW w:w="5030" w:type="dxa"/>
          </w:tcPr>
          <w:p w:rsidR="00F8548B" w:rsidRPr="00210DA0" w:rsidRDefault="00F8548B" w:rsidP="00CE6D72">
            <w:pPr>
              <w:pStyle w:val="BodyText"/>
              <w:widowControl w:val="0"/>
              <w:rPr>
                <w:rFonts w:cs="Arial"/>
                <w:b w:val="0"/>
                <w:color w:val="auto"/>
                <w:sz w:val="20"/>
                <w:szCs w:val="20"/>
              </w:rPr>
            </w:pPr>
          </w:p>
        </w:tc>
        <w:tc>
          <w:tcPr>
            <w:cnfStyle w:val="000010000000"/>
            <w:tcW w:w="1596" w:type="dxa"/>
          </w:tcPr>
          <w:p w:rsidR="00F8548B" w:rsidRPr="00210DA0" w:rsidRDefault="00F8548B" w:rsidP="00CF7B7A">
            <w:pPr>
              <w:pStyle w:val="BodyText"/>
              <w:widowControl w:val="0"/>
              <w:jc w:val="center"/>
              <w:rPr>
                <w:rFonts w:cs="Arial"/>
                <w:color w:val="auto"/>
                <w:sz w:val="20"/>
                <w:szCs w:val="20"/>
              </w:rPr>
            </w:pPr>
            <w:r w:rsidRPr="00210DA0">
              <w:rPr>
                <w:rFonts w:cs="Arial"/>
                <w:color w:val="auto"/>
                <w:sz w:val="20"/>
                <w:szCs w:val="20"/>
              </w:rPr>
              <w:t>£ m</w:t>
            </w:r>
          </w:p>
        </w:tc>
        <w:tc>
          <w:tcPr>
            <w:tcW w:w="1257" w:type="dxa"/>
          </w:tcPr>
          <w:p w:rsidR="00F8548B" w:rsidRPr="00210DA0" w:rsidRDefault="00F8548B" w:rsidP="00E35B50">
            <w:pPr>
              <w:pStyle w:val="BodyText"/>
              <w:widowControl w:val="0"/>
              <w:jc w:val="center"/>
              <w:cnfStyle w:val="000000100000"/>
              <w:rPr>
                <w:rFonts w:cs="Arial"/>
                <w:color w:val="auto"/>
                <w:sz w:val="20"/>
                <w:szCs w:val="20"/>
              </w:rPr>
            </w:pPr>
            <w:r w:rsidRPr="00210DA0">
              <w:rPr>
                <w:rFonts w:cs="Arial"/>
                <w:color w:val="auto"/>
                <w:sz w:val="20"/>
                <w:szCs w:val="20"/>
              </w:rPr>
              <w:t>£ m</w:t>
            </w:r>
          </w:p>
        </w:tc>
        <w:tc>
          <w:tcPr>
            <w:cnfStyle w:val="000100000000"/>
            <w:tcW w:w="1178" w:type="dxa"/>
            <w:tcBorders>
              <w:left w:val="single" w:sz="4" w:space="0" w:color="4BACC6" w:themeColor="accent5"/>
            </w:tcBorders>
          </w:tcPr>
          <w:p w:rsidR="00F8548B" w:rsidRPr="00210DA0" w:rsidRDefault="00F8548B" w:rsidP="00E35B50">
            <w:pPr>
              <w:pStyle w:val="BodyText"/>
              <w:widowControl w:val="0"/>
              <w:jc w:val="center"/>
              <w:rPr>
                <w:rFonts w:cs="Arial"/>
                <w:b w:val="0"/>
                <w:color w:val="auto"/>
                <w:sz w:val="16"/>
                <w:szCs w:val="16"/>
              </w:rPr>
            </w:pPr>
            <w:r w:rsidRPr="00210DA0">
              <w:rPr>
                <w:rFonts w:cs="Arial"/>
                <w:b w:val="0"/>
                <w:color w:val="auto"/>
                <w:sz w:val="16"/>
                <w:szCs w:val="16"/>
              </w:rPr>
              <w:t>% change</w:t>
            </w:r>
          </w:p>
        </w:tc>
      </w:tr>
      <w:tr w:rsidR="00210DA0" w:rsidRPr="00D42E0B" w:rsidTr="005A4C12">
        <w:trPr>
          <w:trHeight w:hRule="exact" w:val="275"/>
        </w:trPr>
        <w:tc>
          <w:tcPr>
            <w:cnfStyle w:val="001000000000"/>
            <w:tcW w:w="5030" w:type="dxa"/>
          </w:tcPr>
          <w:p w:rsidR="00210DA0" w:rsidRPr="00210DA0" w:rsidRDefault="00210DA0" w:rsidP="00CE6D72">
            <w:pPr>
              <w:pStyle w:val="BodyText"/>
              <w:widowControl w:val="0"/>
              <w:rPr>
                <w:rFonts w:cs="Arial"/>
                <w:b w:val="0"/>
                <w:color w:val="auto"/>
                <w:sz w:val="20"/>
                <w:szCs w:val="20"/>
              </w:rPr>
            </w:pPr>
            <w:r w:rsidRPr="00210DA0">
              <w:rPr>
                <w:rFonts w:cs="Arial"/>
                <w:b w:val="0"/>
                <w:color w:val="auto"/>
                <w:sz w:val="20"/>
                <w:szCs w:val="20"/>
              </w:rPr>
              <w:t>Net Budget Requirement</w:t>
            </w:r>
          </w:p>
        </w:tc>
        <w:tc>
          <w:tcPr>
            <w:cnfStyle w:val="000010000000"/>
            <w:tcW w:w="1596" w:type="dxa"/>
          </w:tcPr>
          <w:p w:rsidR="00210DA0" w:rsidRPr="00210DA0" w:rsidRDefault="00210DA0" w:rsidP="009066C8">
            <w:pPr>
              <w:pStyle w:val="BodyText"/>
              <w:widowControl w:val="0"/>
              <w:jc w:val="center"/>
              <w:rPr>
                <w:rFonts w:cs="Arial"/>
                <w:color w:val="auto"/>
                <w:sz w:val="20"/>
                <w:szCs w:val="20"/>
              </w:rPr>
            </w:pPr>
            <w:r w:rsidRPr="00210DA0">
              <w:rPr>
                <w:rFonts w:cs="Arial"/>
                <w:color w:val="auto"/>
                <w:sz w:val="20"/>
                <w:szCs w:val="20"/>
              </w:rPr>
              <w:t>116</w:t>
            </w:r>
          </w:p>
        </w:tc>
        <w:tc>
          <w:tcPr>
            <w:tcW w:w="1257" w:type="dxa"/>
          </w:tcPr>
          <w:p w:rsidR="00210DA0" w:rsidRPr="00210DA0" w:rsidRDefault="00210DA0" w:rsidP="00210DA0">
            <w:pPr>
              <w:pStyle w:val="BodyText"/>
              <w:widowControl w:val="0"/>
              <w:jc w:val="center"/>
              <w:cnfStyle w:val="000000000000"/>
              <w:rPr>
                <w:rFonts w:cs="Arial"/>
                <w:b/>
                <w:color w:val="auto"/>
                <w:sz w:val="20"/>
                <w:szCs w:val="20"/>
              </w:rPr>
            </w:pPr>
            <w:r w:rsidRPr="00210DA0">
              <w:rPr>
                <w:rFonts w:cs="Arial"/>
                <w:b/>
                <w:color w:val="auto"/>
                <w:sz w:val="20"/>
                <w:szCs w:val="20"/>
              </w:rPr>
              <w:t>110</w:t>
            </w:r>
          </w:p>
        </w:tc>
        <w:tc>
          <w:tcPr>
            <w:cnfStyle w:val="000100000000"/>
            <w:tcW w:w="1178" w:type="dxa"/>
            <w:tcBorders>
              <w:left w:val="single" w:sz="4" w:space="0" w:color="4BACC6" w:themeColor="accent5"/>
            </w:tcBorders>
          </w:tcPr>
          <w:p w:rsidR="00210DA0" w:rsidRPr="00210DA0" w:rsidRDefault="00210DA0" w:rsidP="00E35B50">
            <w:pPr>
              <w:pStyle w:val="BodyText"/>
              <w:widowControl w:val="0"/>
              <w:jc w:val="center"/>
              <w:rPr>
                <w:rFonts w:cs="Arial"/>
                <w:b w:val="0"/>
                <w:color w:val="auto"/>
                <w:sz w:val="20"/>
                <w:szCs w:val="20"/>
              </w:rPr>
            </w:pPr>
            <w:r w:rsidRPr="00210DA0">
              <w:rPr>
                <w:rFonts w:cs="Arial"/>
                <w:b w:val="0"/>
                <w:color w:val="auto"/>
                <w:sz w:val="20"/>
                <w:szCs w:val="20"/>
              </w:rPr>
              <w:t>(5%)</w:t>
            </w:r>
          </w:p>
        </w:tc>
      </w:tr>
      <w:tr w:rsidR="00210DA0" w:rsidRPr="00D42E0B" w:rsidTr="005A4C12">
        <w:trPr>
          <w:cnfStyle w:val="000000100000"/>
          <w:trHeight w:hRule="exact" w:val="275"/>
        </w:trPr>
        <w:tc>
          <w:tcPr>
            <w:cnfStyle w:val="001000000000"/>
            <w:tcW w:w="5030" w:type="dxa"/>
          </w:tcPr>
          <w:p w:rsidR="00210DA0" w:rsidRPr="00210DA0" w:rsidRDefault="00210DA0" w:rsidP="005260D4">
            <w:pPr>
              <w:pStyle w:val="BodyText"/>
              <w:widowControl w:val="0"/>
              <w:rPr>
                <w:rFonts w:cs="Arial"/>
                <w:b w:val="0"/>
                <w:color w:val="auto"/>
                <w:sz w:val="20"/>
                <w:szCs w:val="20"/>
              </w:rPr>
            </w:pPr>
            <w:r w:rsidRPr="00210DA0">
              <w:rPr>
                <w:rFonts w:cs="Arial"/>
                <w:b w:val="0"/>
                <w:color w:val="auto"/>
                <w:sz w:val="20"/>
                <w:szCs w:val="20"/>
              </w:rPr>
              <w:t xml:space="preserve">Local Services Support &amp; Education </w:t>
            </w:r>
            <w:r w:rsidR="00CC1D6E">
              <w:rPr>
                <w:rFonts w:cs="Arial"/>
                <w:b w:val="0"/>
                <w:color w:val="auto"/>
                <w:sz w:val="20"/>
                <w:szCs w:val="20"/>
              </w:rPr>
              <w:t xml:space="preserve">Services </w:t>
            </w:r>
            <w:r w:rsidRPr="00210DA0">
              <w:rPr>
                <w:rFonts w:cs="Arial"/>
                <w:b w:val="0"/>
                <w:color w:val="auto"/>
                <w:sz w:val="20"/>
                <w:szCs w:val="20"/>
              </w:rPr>
              <w:t xml:space="preserve">Grant </w:t>
            </w:r>
          </w:p>
        </w:tc>
        <w:tc>
          <w:tcPr>
            <w:cnfStyle w:val="000010000000"/>
            <w:tcW w:w="1596" w:type="dxa"/>
          </w:tcPr>
          <w:p w:rsidR="00210DA0" w:rsidRPr="00210DA0" w:rsidRDefault="00210DA0" w:rsidP="009066C8">
            <w:pPr>
              <w:pStyle w:val="BodyText"/>
              <w:widowControl w:val="0"/>
              <w:jc w:val="center"/>
              <w:rPr>
                <w:rFonts w:cs="Arial"/>
                <w:color w:val="auto"/>
                <w:sz w:val="20"/>
                <w:szCs w:val="20"/>
              </w:rPr>
            </w:pPr>
            <w:r w:rsidRPr="00210DA0">
              <w:rPr>
                <w:rFonts w:cs="Arial"/>
                <w:color w:val="auto"/>
                <w:sz w:val="20"/>
                <w:szCs w:val="20"/>
              </w:rPr>
              <w:t>(1)</w:t>
            </w:r>
          </w:p>
        </w:tc>
        <w:tc>
          <w:tcPr>
            <w:tcW w:w="1257" w:type="dxa"/>
          </w:tcPr>
          <w:p w:rsidR="00210DA0" w:rsidRPr="00210DA0" w:rsidRDefault="00210DA0" w:rsidP="005260D4">
            <w:pPr>
              <w:pStyle w:val="BodyText"/>
              <w:widowControl w:val="0"/>
              <w:jc w:val="center"/>
              <w:cnfStyle w:val="000000100000"/>
              <w:rPr>
                <w:rFonts w:cs="Arial"/>
                <w:b/>
                <w:color w:val="auto"/>
                <w:sz w:val="20"/>
                <w:szCs w:val="20"/>
              </w:rPr>
            </w:pPr>
            <w:r w:rsidRPr="00210DA0">
              <w:rPr>
                <w:rFonts w:cs="Arial"/>
                <w:b/>
                <w:color w:val="auto"/>
                <w:sz w:val="20"/>
                <w:szCs w:val="20"/>
              </w:rPr>
              <w:t>(1)</w:t>
            </w:r>
          </w:p>
        </w:tc>
        <w:tc>
          <w:tcPr>
            <w:cnfStyle w:val="000100000000"/>
            <w:tcW w:w="1178" w:type="dxa"/>
            <w:tcBorders>
              <w:left w:val="single" w:sz="4" w:space="0" w:color="4BACC6" w:themeColor="accent5"/>
            </w:tcBorders>
          </w:tcPr>
          <w:p w:rsidR="00210DA0" w:rsidRPr="00210DA0" w:rsidRDefault="00210DA0" w:rsidP="00E35B50">
            <w:pPr>
              <w:pStyle w:val="BodyText"/>
              <w:widowControl w:val="0"/>
              <w:jc w:val="center"/>
              <w:rPr>
                <w:rFonts w:cs="Arial"/>
                <w:b w:val="0"/>
                <w:color w:val="auto"/>
                <w:sz w:val="20"/>
                <w:szCs w:val="20"/>
              </w:rPr>
            </w:pPr>
            <w:r w:rsidRPr="00210DA0">
              <w:rPr>
                <w:rFonts w:cs="Arial"/>
                <w:b w:val="0"/>
                <w:color w:val="auto"/>
                <w:sz w:val="20"/>
                <w:szCs w:val="20"/>
              </w:rPr>
              <w:t>0</w:t>
            </w:r>
          </w:p>
        </w:tc>
      </w:tr>
      <w:tr w:rsidR="00210DA0" w:rsidRPr="00D42E0B" w:rsidTr="005A4C12">
        <w:trPr>
          <w:trHeight w:hRule="exact" w:val="275"/>
        </w:trPr>
        <w:tc>
          <w:tcPr>
            <w:cnfStyle w:val="001000000000"/>
            <w:tcW w:w="5030" w:type="dxa"/>
          </w:tcPr>
          <w:p w:rsidR="00210DA0" w:rsidRPr="00210DA0" w:rsidRDefault="00210DA0" w:rsidP="00CE6D72">
            <w:pPr>
              <w:pStyle w:val="BodyText"/>
              <w:widowControl w:val="0"/>
              <w:rPr>
                <w:rFonts w:cs="Arial"/>
                <w:b w:val="0"/>
                <w:color w:val="auto"/>
                <w:sz w:val="20"/>
                <w:szCs w:val="20"/>
              </w:rPr>
            </w:pPr>
            <w:r w:rsidRPr="00210DA0">
              <w:rPr>
                <w:rFonts w:cs="Arial"/>
                <w:b w:val="0"/>
                <w:color w:val="auto"/>
                <w:sz w:val="20"/>
                <w:szCs w:val="20"/>
              </w:rPr>
              <w:t>NNDR Rate Retention</w:t>
            </w:r>
          </w:p>
        </w:tc>
        <w:tc>
          <w:tcPr>
            <w:cnfStyle w:val="000010000000"/>
            <w:tcW w:w="1596" w:type="dxa"/>
          </w:tcPr>
          <w:p w:rsidR="00210DA0" w:rsidRPr="00210DA0" w:rsidRDefault="00210DA0" w:rsidP="009066C8">
            <w:pPr>
              <w:pStyle w:val="BodyText"/>
              <w:widowControl w:val="0"/>
              <w:jc w:val="center"/>
              <w:rPr>
                <w:rFonts w:cs="Arial"/>
                <w:color w:val="auto"/>
                <w:sz w:val="20"/>
                <w:szCs w:val="20"/>
              </w:rPr>
            </w:pPr>
            <w:r w:rsidRPr="00210DA0">
              <w:rPr>
                <w:rFonts w:cs="Arial"/>
                <w:color w:val="auto"/>
                <w:sz w:val="20"/>
                <w:szCs w:val="20"/>
              </w:rPr>
              <w:t>(28)</w:t>
            </w:r>
          </w:p>
        </w:tc>
        <w:tc>
          <w:tcPr>
            <w:tcW w:w="1257" w:type="dxa"/>
          </w:tcPr>
          <w:p w:rsidR="00210DA0" w:rsidRPr="00210DA0" w:rsidRDefault="00210DA0" w:rsidP="00210DA0">
            <w:pPr>
              <w:pStyle w:val="BodyText"/>
              <w:widowControl w:val="0"/>
              <w:jc w:val="center"/>
              <w:cnfStyle w:val="000000000000"/>
              <w:rPr>
                <w:rFonts w:cs="Arial"/>
                <w:b/>
                <w:color w:val="auto"/>
                <w:sz w:val="20"/>
                <w:szCs w:val="20"/>
              </w:rPr>
            </w:pPr>
            <w:r w:rsidRPr="00210DA0">
              <w:rPr>
                <w:rFonts w:cs="Arial"/>
                <w:b/>
                <w:color w:val="auto"/>
                <w:sz w:val="20"/>
                <w:szCs w:val="20"/>
              </w:rPr>
              <w:t>(29)</w:t>
            </w:r>
          </w:p>
        </w:tc>
        <w:tc>
          <w:tcPr>
            <w:cnfStyle w:val="000100000000"/>
            <w:tcW w:w="1178" w:type="dxa"/>
            <w:tcBorders>
              <w:left w:val="single" w:sz="4" w:space="0" w:color="4BACC6" w:themeColor="accent5"/>
            </w:tcBorders>
          </w:tcPr>
          <w:p w:rsidR="00210DA0" w:rsidRPr="00210DA0" w:rsidRDefault="00210DA0" w:rsidP="00E35B50">
            <w:pPr>
              <w:pStyle w:val="BodyText"/>
              <w:widowControl w:val="0"/>
              <w:jc w:val="center"/>
              <w:rPr>
                <w:rFonts w:cs="Arial"/>
                <w:b w:val="0"/>
                <w:color w:val="auto"/>
                <w:sz w:val="20"/>
                <w:szCs w:val="20"/>
              </w:rPr>
            </w:pPr>
            <w:r w:rsidRPr="00210DA0">
              <w:rPr>
                <w:rFonts w:cs="Arial"/>
                <w:b w:val="0"/>
                <w:color w:val="auto"/>
                <w:sz w:val="20"/>
                <w:szCs w:val="20"/>
              </w:rPr>
              <w:t>4%</w:t>
            </w:r>
          </w:p>
        </w:tc>
      </w:tr>
      <w:tr w:rsidR="00210DA0" w:rsidRPr="00D42E0B" w:rsidTr="005A4C12">
        <w:trPr>
          <w:cnfStyle w:val="000000100000"/>
          <w:trHeight w:hRule="exact" w:val="275"/>
        </w:trPr>
        <w:tc>
          <w:tcPr>
            <w:cnfStyle w:val="001000000000"/>
            <w:tcW w:w="5030" w:type="dxa"/>
          </w:tcPr>
          <w:p w:rsidR="00210DA0" w:rsidRPr="00210DA0" w:rsidRDefault="00210DA0" w:rsidP="00CE6D72">
            <w:pPr>
              <w:pStyle w:val="BodyText"/>
              <w:widowControl w:val="0"/>
              <w:rPr>
                <w:rFonts w:cs="Arial"/>
                <w:b w:val="0"/>
                <w:color w:val="auto"/>
                <w:sz w:val="20"/>
                <w:szCs w:val="20"/>
              </w:rPr>
            </w:pPr>
            <w:r w:rsidRPr="00210DA0">
              <w:rPr>
                <w:rFonts w:cs="Arial"/>
                <w:b w:val="0"/>
                <w:color w:val="auto"/>
                <w:sz w:val="20"/>
                <w:szCs w:val="20"/>
              </w:rPr>
              <w:t>Revenue Support Grant</w:t>
            </w:r>
          </w:p>
        </w:tc>
        <w:tc>
          <w:tcPr>
            <w:cnfStyle w:val="000010000000"/>
            <w:tcW w:w="1596" w:type="dxa"/>
          </w:tcPr>
          <w:p w:rsidR="00210DA0" w:rsidRPr="00210DA0" w:rsidRDefault="00210DA0" w:rsidP="009066C8">
            <w:pPr>
              <w:pStyle w:val="BodyText"/>
              <w:widowControl w:val="0"/>
              <w:jc w:val="center"/>
              <w:rPr>
                <w:rFonts w:cs="Arial"/>
                <w:color w:val="auto"/>
                <w:sz w:val="20"/>
                <w:szCs w:val="20"/>
              </w:rPr>
            </w:pPr>
            <w:r w:rsidRPr="00210DA0">
              <w:rPr>
                <w:rFonts w:cs="Arial"/>
                <w:color w:val="auto"/>
                <w:sz w:val="20"/>
                <w:szCs w:val="20"/>
              </w:rPr>
              <w:t>(35)</w:t>
            </w:r>
          </w:p>
        </w:tc>
        <w:tc>
          <w:tcPr>
            <w:tcW w:w="1257" w:type="dxa"/>
          </w:tcPr>
          <w:p w:rsidR="00210DA0" w:rsidRPr="00210DA0" w:rsidRDefault="00210DA0" w:rsidP="00210DA0">
            <w:pPr>
              <w:pStyle w:val="BodyText"/>
              <w:widowControl w:val="0"/>
              <w:jc w:val="center"/>
              <w:cnfStyle w:val="000000100000"/>
              <w:rPr>
                <w:rFonts w:cs="Arial"/>
                <w:b/>
                <w:color w:val="auto"/>
                <w:sz w:val="20"/>
                <w:szCs w:val="20"/>
              </w:rPr>
            </w:pPr>
            <w:r w:rsidRPr="00210DA0">
              <w:rPr>
                <w:rFonts w:cs="Arial"/>
                <w:b/>
                <w:color w:val="auto"/>
                <w:sz w:val="20"/>
                <w:szCs w:val="20"/>
              </w:rPr>
              <w:t>(26)</w:t>
            </w:r>
          </w:p>
        </w:tc>
        <w:tc>
          <w:tcPr>
            <w:cnfStyle w:val="000100000000"/>
            <w:tcW w:w="1178" w:type="dxa"/>
            <w:tcBorders>
              <w:left w:val="single" w:sz="4" w:space="0" w:color="4BACC6" w:themeColor="accent5"/>
            </w:tcBorders>
          </w:tcPr>
          <w:p w:rsidR="00210DA0" w:rsidRPr="00210DA0" w:rsidRDefault="00210DA0" w:rsidP="00E35B50">
            <w:pPr>
              <w:pStyle w:val="BodyText"/>
              <w:widowControl w:val="0"/>
              <w:jc w:val="center"/>
              <w:rPr>
                <w:rFonts w:cs="Arial"/>
                <w:b w:val="0"/>
                <w:color w:val="auto"/>
                <w:sz w:val="20"/>
                <w:szCs w:val="20"/>
              </w:rPr>
            </w:pPr>
            <w:r w:rsidRPr="00210DA0">
              <w:rPr>
                <w:rFonts w:cs="Arial"/>
                <w:b w:val="0"/>
                <w:color w:val="auto"/>
                <w:sz w:val="20"/>
                <w:szCs w:val="20"/>
              </w:rPr>
              <w:t>(26%)</w:t>
            </w:r>
          </w:p>
        </w:tc>
      </w:tr>
      <w:tr w:rsidR="00210DA0" w:rsidRPr="00D42E0B" w:rsidTr="005A4C12">
        <w:trPr>
          <w:trHeight w:hRule="exact" w:val="275"/>
        </w:trPr>
        <w:tc>
          <w:tcPr>
            <w:cnfStyle w:val="001000000000"/>
            <w:tcW w:w="5030" w:type="dxa"/>
          </w:tcPr>
          <w:p w:rsidR="00210DA0" w:rsidRPr="00210DA0" w:rsidRDefault="00210DA0" w:rsidP="00CE6D72">
            <w:pPr>
              <w:pStyle w:val="BodyText"/>
              <w:widowControl w:val="0"/>
              <w:rPr>
                <w:rFonts w:cs="Arial"/>
                <w:b w:val="0"/>
                <w:color w:val="auto"/>
                <w:sz w:val="20"/>
                <w:szCs w:val="20"/>
              </w:rPr>
            </w:pPr>
            <w:r w:rsidRPr="00210DA0">
              <w:rPr>
                <w:rFonts w:cs="Arial"/>
                <w:b w:val="0"/>
                <w:color w:val="auto"/>
                <w:sz w:val="20"/>
                <w:szCs w:val="20"/>
              </w:rPr>
              <w:t>Council Tax Payers</w:t>
            </w:r>
          </w:p>
        </w:tc>
        <w:tc>
          <w:tcPr>
            <w:cnfStyle w:val="000010000000"/>
            <w:tcW w:w="1596" w:type="dxa"/>
          </w:tcPr>
          <w:p w:rsidR="00210DA0" w:rsidRPr="00210DA0" w:rsidRDefault="00210DA0" w:rsidP="009066C8">
            <w:pPr>
              <w:pStyle w:val="BodyText"/>
              <w:widowControl w:val="0"/>
              <w:jc w:val="center"/>
              <w:rPr>
                <w:rFonts w:cs="Arial"/>
                <w:color w:val="auto"/>
                <w:sz w:val="20"/>
                <w:szCs w:val="20"/>
              </w:rPr>
            </w:pPr>
            <w:r w:rsidRPr="00210DA0">
              <w:rPr>
                <w:rFonts w:cs="Arial"/>
                <w:color w:val="auto"/>
                <w:sz w:val="20"/>
                <w:szCs w:val="20"/>
              </w:rPr>
              <w:t>(53)</w:t>
            </w:r>
          </w:p>
        </w:tc>
        <w:tc>
          <w:tcPr>
            <w:tcW w:w="1257" w:type="dxa"/>
          </w:tcPr>
          <w:p w:rsidR="00210DA0" w:rsidRPr="00210DA0" w:rsidRDefault="00210DA0" w:rsidP="00A76DAE">
            <w:pPr>
              <w:pStyle w:val="BodyText"/>
              <w:widowControl w:val="0"/>
              <w:jc w:val="center"/>
              <w:cnfStyle w:val="000000000000"/>
              <w:rPr>
                <w:rFonts w:cs="Arial"/>
                <w:b/>
                <w:color w:val="auto"/>
                <w:sz w:val="20"/>
                <w:szCs w:val="20"/>
              </w:rPr>
            </w:pPr>
            <w:r w:rsidRPr="00210DA0">
              <w:rPr>
                <w:rFonts w:cs="Arial"/>
                <w:b/>
                <w:color w:val="auto"/>
                <w:sz w:val="20"/>
                <w:szCs w:val="20"/>
              </w:rPr>
              <w:t>(53)</w:t>
            </w:r>
          </w:p>
        </w:tc>
        <w:tc>
          <w:tcPr>
            <w:cnfStyle w:val="000100000000"/>
            <w:tcW w:w="1178" w:type="dxa"/>
            <w:tcBorders>
              <w:left w:val="single" w:sz="4" w:space="0" w:color="4BACC6" w:themeColor="accent5"/>
            </w:tcBorders>
          </w:tcPr>
          <w:p w:rsidR="00210DA0" w:rsidRPr="00210DA0" w:rsidRDefault="00210DA0" w:rsidP="00E35B50">
            <w:pPr>
              <w:pStyle w:val="BodyText"/>
              <w:widowControl w:val="0"/>
              <w:jc w:val="center"/>
              <w:rPr>
                <w:rFonts w:cs="Arial"/>
                <w:b w:val="0"/>
                <w:color w:val="auto"/>
                <w:sz w:val="20"/>
                <w:szCs w:val="20"/>
              </w:rPr>
            </w:pPr>
            <w:r w:rsidRPr="00210DA0">
              <w:rPr>
                <w:rFonts w:cs="Arial"/>
                <w:b w:val="0"/>
                <w:color w:val="auto"/>
                <w:sz w:val="20"/>
                <w:szCs w:val="20"/>
              </w:rPr>
              <w:t>0</w:t>
            </w:r>
          </w:p>
        </w:tc>
      </w:tr>
      <w:tr w:rsidR="00210DA0" w:rsidRPr="00D42E0B" w:rsidTr="005A4C12">
        <w:trPr>
          <w:cnfStyle w:val="000000100000"/>
          <w:trHeight w:hRule="exact" w:val="275"/>
        </w:trPr>
        <w:tc>
          <w:tcPr>
            <w:cnfStyle w:val="001000000000"/>
            <w:tcW w:w="5030" w:type="dxa"/>
          </w:tcPr>
          <w:p w:rsidR="00210DA0" w:rsidRPr="00210DA0" w:rsidRDefault="00210DA0" w:rsidP="00CE6D72">
            <w:pPr>
              <w:pStyle w:val="BodyText"/>
              <w:widowControl w:val="0"/>
              <w:rPr>
                <w:rFonts w:cs="Arial"/>
                <w:color w:val="auto"/>
                <w:sz w:val="20"/>
                <w:szCs w:val="20"/>
              </w:rPr>
            </w:pPr>
            <w:r w:rsidRPr="00210DA0">
              <w:rPr>
                <w:rFonts w:cs="Arial"/>
                <w:b w:val="0"/>
                <w:color w:val="auto"/>
                <w:sz w:val="20"/>
                <w:szCs w:val="20"/>
              </w:rPr>
              <w:t>Collection Fund (Surplus)/deficit</w:t>
            </w:r>
          </w:p>
        </w:tc>
        <w:tc>
          <w:tcPr>
            <w:cnfStyle w:val="000010000000"/>
            <w:tcW w:w="1596" w:type="dxa"/>
          </w:tcPr>
          <w:p w:rsidR="00210DA0" w:rsidRPr="00210DA0" w:rsidRDefault="00210DA0" w:rsidP="009066C8">
            <w:pPr>
              <w:pStyle w:val="BodyText"/>
              <w:widowControl w:val="0"/>
              <w:jc w:val="center"/>
              <w:rPr>
                <w:rFonts w:cs="Arial"/>
                <w:color w:val="auto"/>
                <w:sz w:val="20"/>
                <w:szCs w:val="20"/>
              </w:rPr>
            </w:pPr>
            <w:r w:rsidRPr="00210DA0">
              <w:rPr>
                <w:rFonts w:cs="Arial"/>
                <w:color w:val="auto"/>
                <w:sz w:val="20"/>
                <w:szCs w:val="20"/>
              </w:rPr>
              <w:t>1</w:t>
            </w:r>
          </w:p>
        </w:tc>
        <w:tc>
          <w:tcPr>
            <w:tcW w:w="1257" w:type="dxa"/>
          </w:tcPr>
          <w:p w:rsidR="00210DA0" w:rsidRPr="00210DA0" w:rsidRDefault="00210DA0" w:rsidP="00E35B50">
            <w:pPr>
              <w:pStyle w:val="BodyText"/>
              <w:widowControl w:val="0"/>
              <w:jc w:val="center"/>
              <w:cnfStyle w:val="000000100000"/>
              <w:rPr>
                <w:rFonts w:cs="Arial"/>
                <w:b/>
                <w:color w:val="auto"/>
                <w:sz w:val="20"/>
                <w:szCs w:val="20"/>
              </w:rPr>
            </w:pPr>
            <w:r w:rsidRPr="00210DA0">
              <w:rPr>
                <w:rFonts w:cs="Arial"/>
                <w:b/>
                <w:color w:val="auto"/>
                <w:sz w:val="20"/>
                <w:szCs w:val="20"/>
              </w:rPr>
              <w:t>(1)</w:t>
            </w:r>
          </w:p>
        </w:tc>
        <w:tc>
          <w:tcPr>
            <w:cnfStyle w:val="000100000000"/>
            <w:tcW w:w="1178" w:type="dxa"/>
            <w:tcBorders>
              <w:left w:val="single" w:sz="4" w:space="0" w:color="4BACC6" w:themeColor="accent5"/>
            </w:tcBorders>
          </w:tcPr>
          <w:p w:rsidR="00210DA0" w:rsidRPr="00210DA0" w:rsidRDefault="00210DA0" w:rsidP="00E35B50">
            <w:pPr>
              <w:pStyle w:val="BodyText"/>
              <w:widowControl w:val="0"/>
              <w:jc w:val="center"/>
              <w:rPr>
                <w:rFonts w:cs="Arial"/>
                <w:b w:val="0"/>
                <w:color w:val="auto"/>
                <w:sz w:val="20"/>
                <w:szCs w:val="20"/>
              </w:rPr>
            </w:pPr>
            <w:r w:rsidRPr="00210DA0">
              <w:rPr>
                <w:rFonts w:cs="Arial"/>
                <w:b w:val="0"/>
                <w:color w:val="auto"/>
                <w:sz w:val="20"/>
                <w:szCs w:val="20"/>
              </w:rPr>
              <w:t>200%</w:t>
            </w:r>
          </w:p>
        </w:tc>
      </w:tr>
      <w:tr w:rsidR="00210DA0" w:rsidRPr="00D42E0B" w:rsidTr="005A4C12">
        <w:trPr>
          <w:trHeight w:hRule="exact" w:val="275"/>
        </w:trPr>
        <w:tc>
          <w:tcPr>
            <w:cnfStyle w:val="001000000000"/>
            <w:tcW w:w="5030" w:type="dxa"/>
          </w:tcPr>
          <w:p w:rsidR="00210DA0" w:rsidRPr="00210DA0" w:rsidRDefault="00210DA0" w:rsidP="00CE6D72">
            <w:pPr>
              <w:pStyle w:val="BodyText"/>
              <w:widowControl w:val="0"/>
              <w:rPr>
                <w:rFonts w:cs="Arial"/>
                <w:b w:val="0"/>
                <w:color w:val="auto"/>
                <w:sz w:val="20"/>
                <w:szCs w:val="20"/>
              </w:rPr>
            </w:pPr>
          </w:p>
        </w:tc>
        <w:tc>
          <w:tcPr>
            <w:cnfStyle w:val="000010000000"/>
            <w:tcW w:w="1596" w:type="dxa"/>
          </w:tcPr>
          <w:p w:rsidR="00210DA0" w:rsidRPr="00210DA0" w:rsidRDefault="00210DA0" w:rsidP="009066C8">
            <w:pPr>
              <w:pStyle w:val="BodyText"/>
              <w:widowControl w:val="0"/>
              <w:jc w:val="center"/>
              <w:rPr>
                <w:rFonts w:cs="Arial"/>
                <w:color w:val="auto"/>
                <w:sz w:val="20"/>
                <w:szCs w:val="20"/>
              </w:rPr>
            </w:pPr>
            <w:r w:rsidRPr="00210DA0">
              <w:rPr>
                <w:rFonts w:cs="Arial"/>
                <w:color w:val="auto"/>
                <w:sz w:val="20"/>
                <w:szCs w:val="20"/>
              </w:rPr>
              <w:t>£</w:t>
            </w:r>
          </w:p>
        </w:tc>
        <w:tc>
          <w:tcPr>
            <w:tcW w:w="1257" w:type="dxa"/>
            <w:tcBorders>
              <w:bottom w:val="single" w:sz="4" w:space="0" w:color="4BACC6" w:themeColor="accent5"/>
            </w:tcBorders>
          </w:tcPr>
          <w:p w:rsidR="00210DA0" w:rsidRPr="00210DA0" w:rsidRDefault="00210DA0" w:rsidP="00E35B50">
            <w:pPr>
              <w:pStyle w:val="BodyText"/>
              <w:widowControl w:val="0"/>
              <w:jc w:val="center"/>
              <w:cnfStyle w:val="000000000000"/>
              <w:rPr>
                <w:rFonts w:cs="Arial"/>
                <w:b/>
                <w:color w:val="auto"/>
                <w:sz w:val="20"/>
                <w:szCs w:val="20"/>
              </w:rPr>
            </w:pPr>
            <w:r w:rsidRPr="00210DA0">
              <w:rPr>
                <w:rFonts w:cs="Arial"/>
                <w:b/>
                <w:color w:val="auto"/>
                <w:sz w:val="20"/>
                <w:szCs w:val="20"/>
              </w:rPr>
              <w:t>£</w:t>
            </w:r>
          </w:p>
        </w:tc>
        <w:tc>
          <w:tcPr>
            <w:cnfStyle w:val="000100000000"/>
            <w:tcW w:w="1178" w:type="dxa"/>
            <w:tcBorders>
              <w:left w:val="single" w:sz="4" w:space="0" w:color="4BACC6" w:themeColor="accent5"/>
              <w:bottom w:val="single" w:sz="4" w:space="0" w:color="4BACC6" w:themeColor="accent5"/>
            </w:tcBorders>
          </w:tcPr>
          <w:p w:rsidR="00210DA0" w:rsidRPr="00210DA0" w:rsidRDefault="00210DA0" w:rsidP="00E35B50">
            <w:pPr>
              <w:pStyle w:val="BodyText"/>
              <w:widowControl w:val="0"/>
              <w:jc w:val="center"/>
              <w:rPr>
                <w:rFonts w:cs="Arial"/>
                <w:b w:val="0"/>
                <w:color w:val="auto"/>
                <w:sz w:val="20"/>
                <w:szCs w:val="20"/>
              </w:rPr>
            </w:pPr>
          </w:p>
        </w:tc>
      </w:tr>
      <w:tr w:rsidR="00210DA0" w:rsidRPr="00D42E0B" w:rsidTr="005A4C12">
        <w:trPr>
          <w:cnfStyle w:val="000000100000"/>
          <w:trHeight w:hRule="exact" w:val="275"/>
        </w:trPr>
        <w:tc>
          <w:tcPr>
            <w:cnfStyle w:val="001000000000"/>
            <w:tcW w:w="5030" w:type="dxa"/>
          </w:tcPr>
          <w:p w:rsidR="00210DA0" w:rsidRPr="00210DA0" w:rsidRDefault="00210DA0" w:rsidP="00CE6D72">
            <w:pPr>
              <w:pStyle w:val="BodyText"/>
              <w:widowControl w:val="0"/>
              <w:rPr>
                <w:rFonts w:cs="Arial"/>
                <w:b w:val="0"/>
                <w:color w:val="auto"/>
                <w:sz w:val="20"/>
                <w:szCs w:val="20"/>
              </w:rPr>
            </w:pPr>
            <w:r w:rsidRPr="00210DA0">
              <w:rPr>
                <w:rFonts w:cs="Arial"/>
                <w:b w:val="0"/>
                <w:color w:val="auto"/>
                <w:sz w:val="20"/>
                <w:szCs w:val="20"/>
              </w:rPr>
              <w:t>Band D Council Tax – Torbay Council Only</w:t>
            </w:r>
          </w:p>
        </w:tc>
        <w:tc>
          <w:tcPr>
            <w:cnfStyle w:val="000010000000"/>
            <w:tcW w:w="1596" w:type="dxa"/>
          </w:tcPr>
          <w:p w:rsidR="00210DA0" w:rsidRPr="00210DA0" w:rsidRDefault="00210DA0" w:rsidP="009066C8">
            <w:pPr>
              <w:pStyle w:val="BodyText"/>
              <w:widowControl w:val="0"/>
              <w:jc w:val="center"/>
              <w:rPr>
                <w:rFonts w:cs="Arial"/>
                <w:color w:val="auto"/>
                <w:sz w:val="20"/>
                <w:szCs w:val="20"/>
              </w:rPr>
            </w:pPr>
            <w:r w:rsidRPr="00210DA0">
              <w:rPr>
                <w:rFonts w:cs="Arial"/>
                <w:color w:val="auto"/>
                <w:sz w:val="20"/>
                <w:szCs w:val="20"/>
              </w:rPr>
              <w:t>£1,261.17</w:t>
            </w:r>
          </w:p>
        </w:tc>
        <w:tc>
          <w:tcPr>
            <w:tcW w:w="1257" w:type="dxa"/>
          </w:tcPr>
          <w:p w:rsidR="00210DA0" w:rsidRPr="00210DA0" w:rsidRDefault="00210DA0" w:rsidP="003D33C8">
            <w:pPr>
              <w:pStyle w:val="BodyText"/>
              <w:widowControl w:val="0"/>
              <w:jc w:val="center"/>
              <w:cnfStyle w:val="000000100000"/>
              <w:rPr>
                <w:rFonts w:cs="Arial"/>
                <w:b/>
                <w:color w:val="auto"/>
                <w:sz w:val="20"/>
                <w:szCs w:val="20"/>
              </w:rPr>
            </w:pPr>
            <w:r w:rsidRPr="00210DA0">
              <w:rPr>
                <w:rFonts w:cs="Arial"/>
                <w:b/>
                <w:color w:val="auto"/>
                <w:sz w:val="20"/>
                <w:szCs w:val="20"/>
              </w:rPr>
              <w:t>£1,261.17</w:t>
            </w:r>
          </w:p>
        </w:tc>
        <w:tc>
          <w:tcPr>
            <w:cnfStyle w:val="000100000000"/>
            <w:tcW w:w="1178" w:type="dxa"/>
            <w:tcBorders>
              <w:left w:val="single" w:sz="4" w:space="0" w:color="4BACC6" w:themeColor="accent5"/>
            </w:tcBorders>
          </w:tcPr>
          <w:p w:rsidR="00210DA0" w:rsidRPr="00210DA0" w:rsidRDefault="00210DA0" w:rsidP="00E35B50">
            <w:pPr>
              <w:pStyle w:val="BodyText"/>
              <w:widowControl w:val="0"/>
              <w:jc w:val="center"/>
              <w:rPr>
                <w:rFonts w:cs="Arial"/>
                <w:b w:val="0"/>
                <w:color w:val="auto"/>
                <w:sz w:val="20"/>
                <w:szCs w:val="20"/>
              </w:rPr>
            </w:pPr>
            <w:r w:rsidRPr="00210DA0">
              <w:rPr>
                <w:rFonts w:cs="Arial"/>
                <w:b w:val="0"/>
                <w:color w:val="auto"/>
                <w:sz w:val="20"/>
                <w:szCs w:val="20"/>
              </w:rPr>
              <w:t>0</w:t>
            </w:r>
          </w:p>
        </w:tc>
      </w:tr>
      <w:tr w:rsidR="00210DA0" w:rsidRPr="00D42E0B" w:rsidTr="005A4C12">
        <w:trPr>
          <w:cnfStyle w:val="010000000000"/>
          <w:trHeight w:hRule="exact" w:val="551"/>
        </w:trPr>
        <w:tc>
          <w:tcPr>
            <w:cnfStyle w:val="001000000001"/>
            <w:tcW w:w="5030" w:type="dxa"/>
            <w:tcBorders>
              <w:top w:val="single" w:sz="4" w:space="0" w:color="4BACC6" w:themeColor="accent5"/>
            </w:tcBorders>
          </w:tcPr>
          <w:p w:rsidR="00210DA0" w:rsidRPr="00210DA0" w:rsidRDefault="00210DA0" w:rsidP="00CE6D72">
            <w:pPr>
              <w:pStyle w:val="BodyText"/>
              <w:widowControl w:val="0"/>
              <w:rPr>
                <w:rFonts w:cs="Arial"/>
                <w:b w:val="0"/>
                <w:color w:val="auto"/>
                <w:sz w:val="20"/>
                <w:szCs w:val="20"/>
              </w:rPr>
            </w:pPr>
            <w:r w:rsidRPr="00210DA0">
              <w:rPr>
                <w:rFonts w:cs="Arial"/>
                <w:b w:val="0"/>
                <w:color w:val="auto"/>
                <w:sz w:val="20"/>
                <w:szCs w:val="20"/>
              </w:rPr>
              <w:t>Band D Council Tax – including Police, Fire and Brixham Town Council</w:t>
            </w:r>
          </w:p>
        </w:tc>
        <w:tc>
          <w:tcPr>
            <w:cnfStyle w:val="000010000000"/>
            <w:tcW w:w="1596" w:type="dxa"/>
            <w:tcBorders>
              <w:top w:val="single" w:sz="4" w:space="0" w:color="4BACC6" w:themeColor="accent5"/>
            </w:tcBorders>
          </w:tcPr>
          <w:p w:rsidR="00210DA0" w:rsidRPr="00210DA0" w:rsidRDefault="00210DA0" w:rsidP="009066C8">
            <w:pPr>
              <w:pStyle w:val="BodyText"/>
              <w:widowControl w:val="0"/>
              <w:jc w:val="center"/>
              <w:rPr>
                <w:rFonts w:cs="Arial"/>
                <w:b w:val="0"/>
                <w:color w:val="auto"/>
                <w:sz w:val="20"/>
                <w:szCs w:val="20"/>
              </w:rPr>
            </w:pPr>
            <w:r w:rsidRPr="00210DA0">
              <w:rPr>
                <w:rFonts w:cs="Arial"/>
                <w:b w:val="0"/>
                <w:color w:val="auto"/>
                <w:sz w:val="20"/>
                <w:szCs w:val="20"/>
              </w:rPr>
              <w:t>£1,538.71</w:t>
            </w:r>
          </w:p>
        </w:tc>
        <w:tc>
          <w:tcPr>
            <w:tcW w:w="1257" w:type="dxa"/>
            <w:tcBorders>
              <w:top w:val="single" w:sz="4" w:space="0" w:color="4BACC6" w:themeColor="accent5"/>
            </w:tcBorders>
          </w:tcPr>
          <w:p w:rsidR="00210DA0" w:rsidRPr="00210DA0" w:rsidRDefault="00210DA0" w:rsidP="00210DA0">
            <w:pPr>
              <w:pStyle w:val="BodyText"/>
              <w:widowControl w:val="0"/>
              <w:jc w:val="center"/>
              <w:cnfStyle w:val="010000000000"/>
              <w:rPr>
                <w:rFonts w:cs="Arial"/>
                <w:b w:val="0"/>
                <w:color w:val="auto"/>
                <w:sz w:val="20"/>
                <w:szCs w:val="20"/>
              </w:rPr>
            </w:pPr>
            <w:r w:rsidRPr="00210DA0">
              <w:rPr>
                <w:rFonts w:cs="Arial"/>
                <w:b w:val="0"/>
                <w:color w:val="auto"/>
                <w:sz w:val="20"/>
                <w:szCs w:val="20"/>
              </w:rPr>
              <w:t>£1,548.06</w:t>
            </w:r>
          </w:p>
        </w:tc>
        <w:tc>
          <w:tcPr>
            <w:cnfStyle w:val="000100000010"/>
            <w:tcW w:w="1178" w:type="dxa"/>
            <w:tcBorders>
              <w:top w:val="single" w:sz="4" w:space="0" w:color="4BACC6" w:themeColor="accent5"/>
              <w:left w:val="single" w:sz="4" w:space="0" w:color="4BACC6" w:themeColor="accent5"/>
            </w:tcBorders>
          </w:tcPr>
          <w:p w:rsidR="00210DA0" w:rsidRPr="00210DA0" w:rsidRDefault="008B24F5" w:rsidP="00E35B50">
            <w:pPr>
              <w:pStyle w:val="BodyText"/>
              <w:widowControl w:val="0"/>
              <w:jc w:val="center"/>
              <w:rPr>
                <w:rFonts w:cs="Arial"/>
                <w:b w:val="0"/>
                <w:color w:val="auto"/>
                <w:sz w:val="20"/>
                <w:szCs w:val="20"/>
              </w:rPr>
            </w:pPr>
            <w:r>
              <w:rPr>
                <w:rFonts w:cs="Arial"/>
                <w:b w:val="0"/>
                <w:color w:val="auto"/>
                <w:sz w:val="20"/>
                <w:szCs w:val="20"/>
              </w:rPr>
              <w:t>0.6%</w:t>
            </w:r>
          </w:p>
        </w:tc>
      </w:tr>
    </w:tbl>
    <w:p w:rsidR="00800A6B" w:rsidRDefault="00800A6B" w:rsidP="00F31A9D">
      <w:pPr>
        <w:rPr>
          <w:rFonts w:cs="Arial"/>
          <w:color w:val="548DD4" w:themeColor="text2" w:themeTint="99"/>
          <w:sz w:val="20"/>
          <w:szCs w:val="20"/>
          <w:u w:val="single"/>
        </w:rPr>
      </w:pPr>
    </w:p>
    <w:p w:rsidR="00A3521F" w:rsidRDefault="00A3521F" w:rsidP="00B52806">
      <w:pPr>
        <w:rPr>
          <w:rFonts w:cs="Arial"/>
          <w:color w:val="auto"/>
          <w:sz w:val="20"/>
          <w:szCs w:val="20"/>
          <w:u w:val="single"/>
        </w:rPr>
      </w:pPr>
      <w:r w:rsidRPr="00A3521F">
        <w:rPr>
          <w:rFonts w:cs="Arial"/>
          <w:noProof/>
          <w:color w:val="auto"/>
          <w:sz w:val="20"/>
          <w:szCs w:val="20"/>
          <w:u w:val="single"/>
          <w:lang w:eastAsia="en-GB"/>
        </w:rPr>
        <w:drawing>
          <wp:inline distT="0" distB="0" distL="0" distR="0">
            <wp:extent cx="5630487" cy="3200227"/>
            <wp:effectExtent l="19050" t="0" r="27363" b="173"/>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2806" w:rsidRPr="0078134E" w:rsidRDefault="00B52806" w:rsidP="00B52806">
      <w:pPr>
        <w:rPr>
          <w:rFonts w:cs="Arial"/>
          <w:color w:val="auto"/>
          <w:sz w:val="20"/>
          <w:szCs w:val="20"/>
          <w:u w:val="single"/>
        </w:rPr>
      </w:pPr>
      <w:r w:rsidRPr="0078134E">
        <w:rPr>
          <w:rFonts w:cs="Arial"/>
          <w:color w:val="auto"/>
          <w:sz w:val="20"/>
          <w:szCs w:val="20"/>
          <w:u w:val="single"/>
        </w:rPr>
        <w:t>Expenditure</w:t>
      </w:r>
    </w:p>
    <w:p w:rsidR="00E51139" w:rsidRDefault="00E51139" w:rsidP="003E023B">
      <w:pPr>
        <w:rPr>
          <w:rFonts w:cs="Arial"/>
          <w:color w:val="auto"/>
          <w:sz w:val="20"/>
          <w:szCs w:val="20"/>
        </w:rPr>
      </w:pPr>
      <w:r w:rsidRPr="0078134E">
        <w:rPr>
          <w:rFonts w:cs="Arial"/>
          <w:color w:val="auto"/>
          <w:sz w:val="20"/>
          <w:szCs w:val="20"/>
        </w:rPr>
        <w:t>In July 201</w:t>
      </w:r>
      <w:r w:rsidR="00C90830">
        <w:rPr>
          <w:rFonts w:cs="Arial"/>
          <w:color w:val="auto"/>
          <w:sz w:val="20"/>
          <w:szCs w:val="20"/>
        </w:rPr>
        <w:t>6</w:t>
      </w:r>
      <w:r w:rsidRPr="0078134E">
        <w:rPr>
          <w:rFonts w:cs="Arial"/>
          <w:color w:val="auto"/>
          <w:sz w:val="20"/>
          <w:szCs w:val="20"/>
        </w:rPr>
        <w:t xml:space="preserve"> the Council </w:t>
      </w:r>
      <w:r w:rsidR="001D7474">
        <w:rPr>
          <w:rFonts w:cs="Arial"/>
          <w:color w:val="auto"/>
          <w:sz w:val="20"/>
          <w:szCs w:val="20"/>
        </w:rPr>
        <w:t>r</w:t>
      </w:r>
      <w:r w:rsidRPr="0078134E">
        <w:rPr>
          <w:rFonts w:cs="Arial"/>
          <w:color w:val="auto"/>
          <w:sz w:val="20"/>
          <w:szCs w:val="20"/>
        </w:rPr>
        <w:t>eceive</w:t>
      </w:r>
      <w:r w:rsidR="001D7474">
        <w:rPr>
          <w:rFonts w:cs="Arial"/>
          <w:color w:val="auto"/>
          <w:sz w:val="20"/>
          <w:szCs w:val="20"/>
        </w:rPr>
        <w:t>d</w:t>
      </w:r>
      <w:r w:rsidRPr="0078134E">
        <w:rPr>
          <w:rFonts w:cs="Arial"/>
          <w:color w:val="auto"/>
          <w:sz w:val="20"/>
          <w:szCs w:val="20"/>
        </w:rPr>
        <w:t xml:space="preserve"> a revenue outturn report detailing income and expenditure in 201</w:t>
      </w:r>
      <w:r w:rsidR="0078134E" w:rsidRPr="0078134E">
        <w:rPr>
          <w:rFonts w:cs="Arial"/>
          <w:color w:val="auto"/>
          <w:sz w:val="20"/>
          <w:szCs w:val="20"/>
        </w:rPr>
        <w:t>5</w:t>
      </w:r>
      <w:r w:rsidR="00276032" w:rsidRPr="0078134E">
        <w:rPr>
          <w:rFonts w:cs="Arial"/>
          <w:color w:val="auto"/>
          <w:sz w:val="20"/>
          <w:szCs w:val="20"/>
        </w:rPr>
        <w:t>/1</w:t>
      </w:r>
      <w:r w:rsidR="0078134E" w:rsidRPr="0078134E">
        <w:rPr>
          <w:rFonts w:cs="Arial"/>
          <w:color w:val="auto"/>
          <w:sz w:val="20"/>
          <w:szCs w:val="20"/>
        </w:rPr>
        <w:t>6</w:t>
      </w:r>
      <w:r w:rsidRPr="0078134E">
        <w:rPr>
          <w:rFonts w:cs="Arial"/>
          <w:color w:val="auto"/>
          <w:sz w:val="20"/>
          <w:szCs w:val="20"/>
        </w:rPr>
        <w:t xml:space="preserve"> and reasons for any variances. The report can be obtained from the Council’s website. The summary of budget and expenditure by service in </w:t>
      </w:r>
      <w:r w:rsidR="00276032" w:rsidRPr="0078134E">
        <w:rPr>
          <w:rFonts w:cs="Arial"/>
          <w:color w:val="auto"/>
          <w:sz w:val="20"/>
          <w:szCs w:val="20"/>
        </w:rPr>
        <w:t>201</w:t>
      </w:r>
      <w:r w:rsidR="0078134E" w:rsidRPr="0078134E">
        <w:rPr>
          <w:rFonts w:cs="Arial"/>
          <w:color w:val="auto"/>
          <w:sz w:val="20"/>
          <w:szCs w:val="20"/>
        </w:rPr>
        <w:t>5</w:t>
      </w:r>
      <w:r w:rsidR="00276032" w:rsidRPr="0078134E">
        <w:rPr>
          <w:rFonts w:cs="Arial"/>
          <w:color w:val="auto"/>
          <w:sz w:val="20"/>
          <w:szCs w:val="20"/>
        </w:rPr>
        <w:t>/1</w:t>
      </w:r>
      <w:r w:rsidR="0078134E" w:rsidRPr="0078134E">
        <w:rPr>
          <w:rFonts w:cs="Arial"/>
          <w:color w:val="auto"/>
          <w:sz w:val="20"/>
          <w:szCs w:val="20"/>
        </w:rPr>
        <w:t>6</w:t>
      </w:r>
      <w:r w:rsidR="00052E68" w:rsidRPr="0078134E">
        <w:rPr>
          <w:rFonts w:cs="Arial"/>
          <w:color w:val="auto"/>
          <w:sz w:val="20"/>
          <w:szCs w:val="20"/>
        </w:rPr>
        <w:t xml:space="preserve"> after </w:t>
      </w:r>
      <w:r w:rsidR="00B047E7" w:rsidRPr="0078134E">
        <w:rPr>
          <w:rFonts w:cs="Arial"/>
          <w:color w:val="auto"/>
          <w:sz w:val="20"/>
          <w:szCs w:val="20"/>
        </w:rPr>
        <w:t>carry</w:t>
      </w:r>
      <w:r w:rsidR="00052E68" w:rsidRPr="0078134E">
        <w:rPr>
          <w:rFonts w:cs="Arial"/>
          <w:color w:val="auto"/>
          <w:sz w:val="20"/>
          <w:szCs w:val="20"/>
        </w:rPr>
        <w:t xml:space="preserve"> forwards</w:t>
      </w:r>
      <w:r w:rsidR="00922431" w:rsidRPr="0078134E">
        <w:rPr>
          <w:rFonts w:cs="Arial"/>
          <w:color w:val="auto"/>
          <w:sz w:val="20"/>
          <w:szCs w:val="20"/>
        </w:rPr>
        <w:t>,</w:t>
      </w:r>
      <w:r w:rsidRPr="0078134E">
        <w:rPr>
          <w:rFonts w:cs="Arial"/>
          <w:color w:val="auto"/>
          <w:sz w:val="20"/>
          <w:szCs w:val="20"/>
        </w:rPr>
        <w:t xml:space="preserve"> as presented in that report</w:t>
      </w:r>
      <w:r w:rsidR="00922431" w:rsidRPr="0078134E">
        <w:rPr>
          <w:rFonts w:cs="Arial"/>
          <w:color w:val="auto"/>
          <w:sz w:val="20"/>
          <w:szCs w:val="20"/>
        </w:rPr>
        <w:t>,</w:t>
      </w:r>
      <w:r w:rsidRPr="0078134E">
        <w:rPr>
          <w:rFonts w:cs="Arial"/>
          <w:color w:val="auto"/>
          <w:sz w:val="20"/>
          <w:szCs w:val="20"/>
        </w:rPr>
        <w:t xml:space="preserve"> is shown </w:t>
      </w:r>
      <w:r w:rsidR="00646C23" w:rsidRPr="0078134E">
        <w:rPr>
          <w:rFonts w:cs="Arial"/>
          <w:color w:val="auto"/>
          <w:sz w:val="20"/>
          <w:szCs w:val="20"/>
        </w:rPr>
        <w:t>in the table below:</w:t>
      </w:r>
      <w:r w:rsidRPr="0078134E">
        <w:rPr>
          <w:rFonts w:cs="Arial"/>
          <w:color w:val="auto"/>
          <w:sz w:val="20"/>
          <w:szCs w:val="20"/>
        </w:rPr>
        <w:t xml:space="preserve"> </w:t>
      </w:r>
    </w:p>
    <w:p w:rsidR="00E8353B" w:rsidRPr="0078134E" w:rsidRDefault="001146DD" w:rsidP="003E023B">
      <w:pPr>
        <w:rPr>
          <w:rFonts w:cs="Arial"/>
          <w:color w:val="auto"/>
          <w:sz w:val="20"/>
          <w:szCs w:val="20"/>
        </w:rPr>
      </w:pPr>
      <w:r w:rsidRPr="001146DD">
        <w:rPr>
          <w:rFonts w:cs="Arial"/>
          <w:noProof/>
          <w:color w:val="auto"/>
          <w:sz w:val="20"/>
          <w:szCs w:val="20"/>
          <w:lang w:eastAsia="en-GB"/>
        </w:rPr>
        <w:drawing>
          <wp:inline distT="0" distB="0" distL="0" distR="0">
            <wp:extent cx="5680075" cy="3546475"/>
            <wp:effectExtent l="0" t="0" r="0" b="0"/>
            <wp:docPr id="1"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146DD" w:rsidRPr="00D42E0B" w:rsidRDefault="001146DD" w:rsidP="001146DD">
      <w:pPr>
        <w:tabs>
          <w:tab w:val="left" w:pos="360"/>
        </w:tabs>
        <w:spacing w:line="240" w:lineRule="auto"/>
        <w:rPr>
          <w:rFonts w:cs="Arial"/>
          <w:b/>
          <w:color w:val="548DD4" w:themeColor="text2" w:themeTint="99"/>
          <w:szCs w:val="24"/>
        </w:rPr>
      </w:pPr>
    </w:p>
    <w:tbl>
      <w:tblPr>
        <w:tblW w:w="8566" w:type="dxa"/>
        <w:tblInd w:w="453" w:type="dxa"/>
        <w:tblLook w:val="04A0"/>
      </w:tblPr>
      <w:tblGrid>
        <w:gridCol w:w="2349"/>
        <w:gridCol w:w="1559"/>
        <w:gridCol w:w="1559"/>
        <w:gridCol w:w="1559"/>
        <w:gridCol w:w="1540"/>
      </w:tblGrid>
      <w:tr w:rsidR="001146DD" w:rsidRPr="0033712F" w:rsidTr="00AD2E2A">
        <w:trPr>
          <w:trHeight w:val="1155"/>
        </w:trPr>
        <w:tc>
          <w:tcPr>
            <w:tcW w:w="234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146DD" w:rsidRPr="00604297" w:rsidRDefault="001146DD" w:rsidP="00093118">
            <w:pPr>
              <w:spacing w:after="0" w:line="240" w:lineRule="auto"/>
              <w:jc w:val="center"/>
              <w:rPr>
                <w:rFonts w:eastAsia="Times New Roman" w:cs="Arial"/>
                <w:b/>
                <w:bCs/>
                <w:sz w:val="20"/>
                <w:szCs w:val="20"/>
                <w:lang w:eastAsia="en-GB"/>
              </w:rPr>
            </w:pPr>
            <w:r w:rsidRPr="00604297">
              <w:rPr>
                <w:rFonts w:eastAsia="Times New Roman" w:cs="Arial"/>
                <w:b/>
                <w:bCs/>
                <w:sz w:val="20"/>
                <w:szCs w:val="20"/>
                <w:lang w:eastAsia="en-GB"/>
              </w:rPr>
              <w:lastRenderedPageBreak/>
              <w:t>Service</w:t>
            </w:r>
          </w:p>
        </w:tc>
        <w:tc>
          <w:tcPr>
            <w:tcW w:w="4677" w:type="dxa"/>
            <w:gridSpan w:val="3"/>
            <w:tcBorders>
              <w:top w:val="single" w:sz="8" w:space="0" w:color="auto"/>
              <w:left w:val="nil"/>
              <w:bottom w:val="single" w:sz="4" w:space="0" w:color="auto"/>
              <w:right w:val="single" w:sz="4" w:space="0" w:color="auto"/>
            </w:tcBorders>
            <w:shd w:val="clear" w:color="auto" w:fill="auto"/>
            <w:vAlign w:val="center"/>
            <w:hideMark/>
          </w:tcPr>
          <w:p w:rsidR="001146DD" w:rsidRPr="00604297" w:rsidRDefault="001146DD" w:rsidP="00093118">
            <w:pPr>
              <w:spacing w:after="0" w:line="240" w:lineRule="auto"/>
              <w:jc w:val="center"/>
              <w:rPr>
                <w:rFonts w:eastAsia="Times New Roman" w:cs="Arial"/>
                <w:b/>
                <w:bCs/>
                <w:sz w:val="20"/>
                <w:szCs w:val="20"/>
                <w:lang w:eastAsia="en-GB"/>
              </w:rPr>
            </w:pPr>
            <w:r w:rsidRPr="00604297">
              <w:rPr>
                <w:rFonts w:eastAsia="Times New Roman" w:cs="Arial"/>
                <w:b/>
                <w:bCs/>
                <w:sz w:val="20"/>
                <w:szCs w:val="20"/>
                <w:lang w:eastAsia="en-GB"/>
              </w:rPr>
              <w:t>2015/16 Budget- revised</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rsidR="001146DD" w:rsidRPr="00604297" w:rsidRDefault="001146DD" w:rsidP="00093118">
            <w:pPr>
              <w:spacing w:after="0" w:line="240" w:lineRule="auto"/>
              <w:jc w:val="center"/>
              <w:rPr>
                <w:rFonts w:eastAsia="Times New Roman" w:cs="Arial"/>
                <w:b/>
                <w:bCs/>
                <w:sz w:val="20"/>
                <w:szCs w:val="20"/>
                <w:lang w:eastAsia="en-GB"/>
              </w:rPr>
            </w:pPr>
            <w:r w:rsidRPr="00604297">
              <w:rPr>
                <w:rFonts w:eastAsia="Times New Roman" w:cs="Arial"/>
                <w:b/>
                <w:bCs/>
                <w:sz w:val="20"/>
                <w:szCs w:val="20"/>
                <w:lang w:eastAsia="en-GB"/>
              </w:rPr>
              <w:t>Forecast Full Year Variance as at Qtr 4</w:t>
            </w:r>
          </w:p>
        </w:tc>
      </w:tr>
      <w:tr w:rsidR="001146DD" w:rsidRPr="0033712F" w:rsidTr="00AD2E2A">
        <w:trPr>
          <w:trHeight w:val="585"/>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 </w:t>
            </w:r>
          </w:p>
        </w:tc>
        <w:tc>
          <w:tcPr>
            <w:tcW w:w="1559" w:type="dxa"/>
            <w:tcBorders>
              <w:top w:val="nil"/>
              <w:left w:val="nil"/>
              <w:bottom w:val="dotted" w:sz="4" w:space="0" w:color="auto"/>
              <w:right w:val="single" w:sz="4" w:space="0" w:color="auto"/>
            </w:tcBorders>
            <w:shd w:val="clear" w:color="auto" w:fill="auto"/>
            <w:vAlign w:val="bottom"/>
            <w:hideMark/>
          </w:tcPr>
          <w:p w:rsidR="001146DD" w:rsidRPr="00604297" w:rsidRDefault="001146DD" w:rsidP="00093118">
            <w:pPr>
              <w:spacing w:after="0" w:line="240" w:lineRule="auto"/>
              <w:jc w:val="center"/>
              <w:rPr>
                <w:rFonts w:eastAsia="Times New Roman" w:cs="Arial"/>
                <w:sz w:val="20"/>
                <w:szCs w:val="20"/>
                <w:lang w:eastAsia="en-GB"/>
              </w:rPr>
            </w:pPr>
            <w:r w:rsidRPr="00604297">
              <w:rPr>
                <w:rFonts w:eastAsia="Times New Roman" w:cs="Arial"/>
                <w:sz w:val="20"/>
                <w:szCs w:val="20"/>
                <w:lang w:eastAsia="en-GB"/>
              </w:rPr>
              <w:t>Expenditure £000s</w:t>
            </w:r>
          </w:p>
        </w:tc>
        <w:tc>
          <w:tcPr>
            <w:tcW w:w="1559" w:type="dxa"/>
            <w:tcBorders>
              <w:top w:val="nil"/>
              <w:left w:val="nil"/>
              <w:bottom w:val="dotted" w:sz="4" w:space="0" w:color="auto"/>
              <w:right w:val="single" w:sz="4" w:space="0" w:color="auto"/>
            </w:tcBorders>
            <w:shd w:val="clear" w:color="auto" w:fill="auto"/>
            <w:vAlign w:val="bottom"/>
            <w:hideMark/>
          </w:tcPr>
          <w:p w:rsidR="001146DD" w:rsidRPr="00604297" w:rsidRDefault="001146DD" w:rsidP="00093118">
            <w:pPr>
              <w:spacing w:after="0" w:line="240" w:lineRule="auto"/>
              <w:jc w:val="center"/>
              <w:rPr>
                <w:rFonts w:eastAsia="Times New Roman" w:cs="Arial"/>
                <w:sz w:val="20"/>
                <w:szCs w:val="20"/>
                <w:lang w:eastAsia="en-GB"/>
              </w:rPr>
            </w:pPr>
            <w:r w:rsidRPr="00604297">
              <w:rPr>
                <w:rFonts w:eastAsia="Times New Roman" w:cs="Arial"/>
                <w:sz w:val="20"/>
                <w:szCs w:val="20"/>
                <w:lang w:eastAsia="en-GB"/>
              </w:rPr>
              <w:t>Income     £000's</w:t>
            </w:r>
          </w:p>
        </w:tc>
        <w:tc>
          <w:tcPr>
            <w:tcW w:w="1559" w:type="dxa"/>
            <w:tcBorders>
              <w:top w:val="nil"/>
              <w:left w:val="nil"/>
              <w:bottom w:val="dotted" w:sz="4" w:space="0" w:color="auto"/>
              <w:right w:val="single" w:sz="4" w:space="0" w:color="auto"/>
            </w:tcBorders>
            <w:shd w:val="clear" w:color="auto" w:fill="auto"/>
            <w:vAlign w:val="bottom"/>
            <w:hideMark/>
          </w:tcPr>
          <w:p w:rsidR="001146DD" w:rsidRPr="00604297" w:rsidRDefault="001146DD" w:rsidP="00093118">
            <w:pPr>
              <w:spacing w:after="0" w:line="240" w:lineRule="auto"/>
              <w:jc w:val="center"/>
              <w:rPr>
                <w:rFonts w:eastAsia="Times New Roman" w:cs="Arial"/>
                <w:sz w:val="20"/>
                <w:szCs w:val="20"/>
                <w:lang w:eastAsia="en-GB"/>
              </w:rPr>
            </w:pPr>
            <w:r w:rsidRPr="00604297">
              <w:rPr>
                <w:rFonts w:eastAsia="Times New Roman" w:cs="Arial"/>
                <w:sz w:val="20"/>
                <w:szCs w:val="20"/>
                <w:lang w:eastAsia="en-GB"/>
              </w:rPr>
              <w:t>Net £000's</w:t>
            </w:r>
          </w:p>
        </w:tc>
        <w:tc>
          <w:tcPr>
            <w:tcW w:w="1540" w:type="dxa"/>
            <w:tcBorders>
              <w:top w:val="nil"/>
              <w:left w:val="nil"/>
              <w:bottom w:val="dotted" w:sz="4" w:space="0" w:color="auto"/>
              <w:right w:val="single" w:sz="4" w:space="0" w:color="auto"/>
            </w:tcBorders>
            <w:shd w:val="clear" w:color="auto" w:fill="auto"/>
            <w:vAlign w:val="bottom"/>
            <w:hideMark/>
          </w:tcPr>
          <w:p w:rsidR="001146DD" w:rsidRPr="00604297" w:rsidRDefault="001146DD" w:rsidP="00093118">
            <w:pPr>
              <w:spacing w:after="0" w:line="240" w:lineRule="auto"/>
              <w:jc w:val="center"/>
              <w:rPr>
                <w:rFonts w:eastAsia="Times New Roman" w:cs="Arial"/>
                <w:sz w:val="20"/>
                <w:szCs w:val="20"/>
                <w:lang w:eastAsia="en-GB"/>
              </w:rPr>
            </w:pPr>
            <w:r w:rsidRPr="00604297">
              <w:rPr>
                <w:rFonts w:eastAsia="Times New Roman" w:cs="Arial"/>
                <w:sz w:val="20"/>
                <w:szCs w:val="20"/>
                <w:lang w:eastAsia="en-GB"/>
              </w:rPr>
              <w:t>£000's</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Adult Social Care</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42,598</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-802</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41,796</w:t>
            </w:r>
          </w:p>
        </w:tc>
        <w:tc>
          <w:tcPr>
            <w:tcW w:w="1540"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582</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Children's Services</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83,496</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-54,751</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28,745</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2,83</w:t>
            </w:r>
            <w:r w:rsidR="001E57A2">
              <w:rPr>
                <w:rFonts w:eastAsia="Times New Roman" w:cs="Arial"/>
                <w:b/>
                <w:bCs/>
                <w:sz w:val="20"/>
                <w:szCs w:val="20"/>
                <w:lang w:eastAsia="en-GB"/>
              </w:rPr>
              <w:t>2</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Public Health</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9,751</w:t>
            </w:r>
          </w:p>
        </w:tc>
        <w:tc>
          <w:tcPr>
            <w:tcW w:w="1559"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-9664</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87</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-12</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b/>
                <w:bCs/>
                <w:sz w:val="20"/>
                <w:szCs w:val="20"/>
                <w:lang w:eastAsia="en-GB"/>
              </w:rPr>
            </w:pPr>
            <w:r w:rsidRPr="00604297">
              <w:rPr>
                <w:rFonts w:eastAsia="Times New Roman" w:cs="Arial"/>
                <w:b/>
                <w:bCs/>
                <w:sz w:val="20"/>
                <w:szCs w:val="20"/>
                <w:lang w:eastAsia="en-GB"/>
              </w:rPr>
              <w:t>Joint Commissioning</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135,845</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-65,217</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70,628</w:t>
            </w:r>
          </w:p>
        </w:tc>
        <w:tc>
          <w:tcPr>
            <w:tcW w:w="1540"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3,40</w:t>
            </w:r>
            <w:r w:rsidR="001E57A2">
              <w:rPr>
                <w:rFonts w:eastAsia="Times New Roman" w:cs="Arial"/>
                <w:b/>
                <w:bCs/>
                <w:sz w:val="20"/>
                <w:szCs w:val="20"/>
                <w:lang w:eastAsia="en-GB"/>
              </w:rPr>
              <w:t>2</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color w:val="538ED5"/>
                <w:sz w:val="20"/>
                <w:szCs w:val="20"/>
                <w:lang w:eastAsia="en-GB"/>
              </w:rPr>
            </w:pPr>
            <w:r w:rsidRPr="00604297">
              <w:rPr>
                <w:rFonts w:eastAsia="Times New Roman" w:cs="Arial"/>
                <w:color w:val="538ED5"/>
                <w:sz w:val="20"/>
                <w:szCs w:val="20"/>
                <w:lang w:eastAsia="en-GB"/>
              </w:rPr>
              <w:t>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color w:val="538ED5"/>
                <w:sz w:val="20"/>
                <w:szCs w:val="20"/>
                <w:lang w:eastAsia="en-GB"/>
              </w:rPr>
            </w:pPr>
            <w:r w:rsidRPr="00604297">
              <w:rPr>
                <w:rFonts w:eastAsia="Times New Roman" w:cs="Arial"/>
                <w:color w:val="538ED5"/>
                <w:sz w:val="20"/>
                <w:szCs w:val="20"/>
                <w:lang w:eastAsia="en-GB"/>
              </w:rPr>
              <w:t> </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b/>
                <w:bCs/>
                <w:color w:val="538ED5"/>
                <w:sz w:val="20"/>
                <w:szCs w:val="20"/>
                <w:lang w:eastAsia="en-GB"/>
              </w:rPr>
            </w:pPr>
            <w:r w:rsidRPr="00604297">
              <w:rPr>
                <w:rFonts w:eastAsia="Times New Roman" w:cs="Arial"/>
                <w:b/>
                <w:bCs/>
                <w:color w:val="538ED5"/>
                <w:sz w:val="20"/>
                <w:szCs w:val="20"/>
                <w:lang w:eastAsia="en-GB"/>
              </w:rPr>
              <w:t> </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Community Services</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32,262</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-7,193</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25,069</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-2</w:t>
            </w:r>
            <w:r w:rsidR="00BD77B2">
              <w:rPr>
                <w:rFonts w:eastAsia="Times New Roman" w:cs="Arial"/>
                <w:b/>
                <w:bCs/>
                <w:sz w:val="20"/>
                <w:szCs w:val="20"/>
                <w:lang w:eastAsia="en-GB"/>
              </w:rPr>
              <w:t>60</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Customer Services</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73,922</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-69,567</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4,355</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-37</w:t>
            </w:r>
            <w:r w:rsidR="00BD77B2">
              <w:rPr>
                <w:rFonts w:eastAsia="Times New Roman" w:cs="Arial"/>
                <w:b/>
                <w:bCs/>
                <w:sz w:val="20"/>
                <w:szCs w:val="20"/>
                <w:lang w:eastAsia="en-GB"/>
              </w:rPr>
              <w:t>6</w:t>
            </w:r>
          </w:p>
        </w:tc>
      </w:tr>
      <w:tr w:rsidR="001146DD" w:rsidRPr="006C15F5" w:rsidTr="0015759E">
        <w:trPr>
          <w:trHeight w:val="6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b/>
                <w:bCs/>
                <w:sz w:val="20"/>
                <w:szCs w:val="20"/>
                <w:lang w:eastAsia="en-GB"/>
              </w:rPr>
            </w:pPr>
            <w:r w:rsidRPr="00604297">
              <w:rPr>
                <w:rFonts w:eastAsia="Times New Roman" w:cs="Arial"/>
                <w:b/>
                <w:bCs/>
                <w:sz w:val="20"/>
                <w:szCs w:val="20"/>
                <w:lang w:eastAsia="en-GB"/>
              </w:rPr>
              <w:t>AD Community &amp; Customer Services</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106,184</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-76,760</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29,424</w:t>
            </w:r>
          </w:p>
        </w:tc>
        <w:tc>
          <w:tcPr>
            <w:tcW w:w="1540"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sz w:val="20"/>
                <w:szCs w:val="20"/>
                <w:lang w:eastAsia="en-GB"/>
              </w:rPr>
            </w:pPr>
            <w:r w:rsidRPr="00604297">
              <w:rPr>
                <w:rFonts w:eastAsia="Times New Roman" w:cs="Arial"/>
                <w:b/>
                <w:sz w:val="20"/>
                <w:szCs w:val="20"/>
                <w:lang w:eastAsia="en-GB"/>
              </w:rPr>
              <w:t>-63</w:t>
            </w:r>
            <w:r w:rsidR="00BD77B2">
              <w:rPr>
                <w:rFonts w:eastAsia="Times New Roman" w:cs="Arial"/>
                <w:b/>
                <w:sz w:val="20"/>
                <w:szCs w:val="20"/>
                <w:lang w:eastAsia="en-GB"/>
              </w:rPr>
              <w:t>6</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b/>
                <w:bCs/>
                <w:sz w:val="20"/>
                <w:szCs w:val="20"/>
                <w:lang w:eastAsia="en-GB"/>
              </w:rPr>
            </w:pPr>
            <w:r w:rsidRPr="00604297">
              <w:rPr>
                <w:rFonts w:eastAsia="Times New Roman" w:cs="Arial"/>
                <w:b/>
                <w:bCs/>
                <w:sz w:val="20"/>
                <w:szCs w:val="20"/>
                <w:lang w:eastAsia="en-GB"/>
              </w:rPr>
              <w:t>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color w:val="548DD4" w:themeColor="text2" w:themeTint="99"/>
                <w:sz w:val="20"/>
                <w:szCs w:val="20"/>
                <w:lang w:eastAsia="en-GB"/>
              </w:rPr>
            </w:pPr>
            <w:r w:rsidRPr="00604297">
              <w:rPr>
                <w:rFonts w:eastAsia="Times New Roman" w:cs="Arial"/>
                <w:b/>
                <w:bCs/>
                <w:color w:val="548DD4" w:themeColor="text2" w:themeTint="99"/>
                <w:sz w:val="20"/>
                <w:szCs w:val="20"/>
                <w:lang w:eastAsia="en-GB"/>
              </w:rPr>
              <w:t>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color w:val="548DD4" w:themeColor="text2" w:themeTint="99"/>
                <w:sz w:val="20"/>
                <w:szCs w:val="20"/>
                <w:lang w:eastAsia="en-GB"/>
              </w:rPr>
            </w:pPr>
            <w:r w:rsidRPr="00604297">
              <w:rPr>
                <w:rFonts w:eastAsia="Times New Roman" w:cs="Arial"/>
                <w:b/>
                <w:bCs/>
                <w:color w:val="548DD4" w:themeColor="text2" w:themeTint="99"/>
                <w:sz w:val="20"/>
                <w:szCs w:val="20"/>
                <w:lang w:eastAsia="en-GB"/>
              </w:rPr>
              <w:t>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color w:val="538ED5"/>
                <w:sz w:val="20"/>
                <w:szCs w:val="20"/>
                <w:lang w:eastAsia="en-GB"/>
              </w:rPr>
            </w:pPr>
            <w:r w:rsidRPr="00604297">
              <w:rPr>
                <w:rFonts w:eastAsia="Times New Roman" w:cs="Arial"/>
                <w:b/>
                <w:bCs/>
                <w:color w:val="538ED5"/>
                <w:sz w:val="20"/>
                <w:szCs w:val="20"/>
                <w:lang w:eastAsia="en-GB"/>
              </w:rPr>
              <w:t> </w:t>
            </w:r>
          </w:p>
        </w:tc>
        <w:tc>
          <w:tcPr>
            <w:tcW w:w="1540"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color w:val="538ED5"/>
                <w:sz w:val="20"/>
                <w:szCs w:val="20"/>
                <w:lang w:eastAsia="en-GB"/>
              </w:rPr>
            </w:pPr>
            <w:r w:rsidRPr="00604297">
              <w:rPr>
                <w:rFonts w:eastAsia="Times New Roman" w:cs="Arial"/>
                <w:b/>
                <w:bCs/>
                <w:color w:val="538ED5"/>
                <w:sz w:val="20"/>
                <w:szCs w:val="20"/>
                <w:lang w:eastAsia="en-GB"/>
              </w:rPr>
              <w:t> </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Commercial Services</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6,269</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-2,011</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4,258</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-366</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 xml:space="preserve">Finance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21,152</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-15,352</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5,800</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605298">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w:t>
            </w:r>
            <w:r w:rsidR="00605298">
              <w:rPr>
                <w:rFonts w:eastAsia="Times New Roman" w:cs="Arial"/>
                <w:b/>
                <w:bCs/>
                <w:sz w:val="20"/>
                <w:szCs w:val="20"/>
                <w:lang w:eastAsia="en-GB"/>
              </w:rPr>
              <w:t>408</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Business Services</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5,972</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-10,117</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-4,145</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-25</w:t>
            </w:r>
            <w:r w:rsidR="00BD77B2">
              <w:rPr>
                <w:rFonts w:eastAsia="Times New Roman" w:cs="Arial"/>
                <w:b/>
                <w:bCs/>
                <w:sz w:val="20"/>
                <w:szCs w:val="20"/>
                <w:lang w:eastAsia="en-GB"/>
              </w:rPr>
              <w:t>6</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Regeneration &amp; assets</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7,016</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-2,420</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4,596</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-247</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Spatial Planning</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1,184</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-825</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359</w:t>
            </w:r>
          </w:p>
        </w:tc>
        <w:tc>
          <w:tcPr>
            <w:tcW w:w="1540" w:type="dxa"/>
            <w:tcBorders>
              <w:top w:val="nil"/>
              <w:left w:val="nil"/>
              <w:bottom w:val="dotted" w:sz="4" w:space="0" w:color="auto"/>
              <w:right w:val="single" w:sz="4" w:space="0" w:color="auto"/>
            </w:tcBorders>
            <w:shd w:val="clear" w:color="auto" w:fill="auto"/>
            <w:noWrap/>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182</w:t>
            </w:r>
          </w:p>
        </w:tc>
      </w:tr>
      <w:tr w:rsidR="001146DD" w:rsidRPr="0033712F" w:rsidTr="0015759E">
        <w:trPr>
          <w:trHeight w:val="6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b/>
                <w:bCs/>
                <w:sz w:val="20"/>
                <w:szCs w:val="20"/>
                <w:lang w:eastAsia="en-GB"/>
              </w:rPr>
            </w:pPr>
            <w:r w:rsidRPr="00604297">
              <w:rPr>
                <w:rFonts w:eastAsia="Times New Roman" w:cs="Arial"/>
                <w:b/>
                <w:bCs/>
                <w:sz w:val="20"/>
                <w:szCs w:val="20"/>
                <w:lang w:eastAsia="en-GB"/>
              </w:rPr>
              <w:t>AD Corporate &amp; Business Services</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41,593</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-30,725</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10,868</w:t>
            </w:r>
          </w:p>
        </w:tc>
        <w:tc>
          <w:tcPr>
            <w:tcW w:w="1540"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605298">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w:t>
            </w:r>
            <w:r w:rsidR="00605298">
              <w:rPr>
                <w:rFonts w:eastAsia="Times New Roman" w:cs="Arial"/>
                <w:b/>
                <w:bCs/>
                <w:sz w:val="20"/>
                <w:szCs w:val="20"/>
                <w:lang w:eastAsia="en-GB"/>
              </w:rPr>
              <w:t>1,095</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color w:val="538ED5"/>
                <w:sz w:val="20"/>
                <w:szCs w:val="20"/>
                <w:lang w:eastAsia="en-GB"/>
              </w:rPr>
            </w:pPr>
            <w:r w:rsidRPr="00604297">
              <w:rPr>
                <w:rFonts w:eastAsia="Times New Roman" w:cs="Arial"/>
                <w:color w:val="538ED5"/>
                <w:sz w:val="20"/>
                <w:szCs w:val="20"/>
                <w:lang w:eastAsia="en-GB"/>
              </w:rPr>
              <w:t>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color w:val="548DD4" w:themeColor="text2" w:themeTint="99"/>
                <w:sz w:val="20"/>
                <w:szCs w:val="20"/>
                <w:lang w:eastAsia="en-GB"/>
              </w:rPr>
            </w:pPr>
            <w:r w:rsidRPr="00604297">
              <w:rPr>
                <w:rFonts w:eastAsia="Times New Roman" w:cs="Arial"/>
                <w:color w:val="548DD4" w:themeColor="text2" w:themeTint="99"/>
                <w:sz w:val="20"/>
                <w:szCs w:val="20"/>
                <w:lang w:eastAsia="en-GB"/>
              </w:rPr>
              <w:t>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color w:val="548DD4" w:themeColor="text2" w:themeTint="99"/>
                <w:sz w:val="20"/>
                <w:szCs w:val="20"/>
                <w:lang w:eastAsia="en-GB"/>
              </w:rPr>
            </w:pPr>
            <w:r w:rsidRPr="00604297">
              <w:rPr>
                <w:rFonts w:eastAsia="Times New Roman" w:cs="Arial"/>
                <w:color w:val="548DD4" w:themeColor="text2" w:themeTint="99"/>
                <w:sz w:val="20"/>
                <w:szCs w:val="20"/>
                <w:lang w:eastAsia="en-GB"/>
              </w:rPr>
              <w:t> </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color w:val="538ED5"/>
                <w:sz w:val="20"/>
                <w:szCs w:val="20"/>
                <w:lang w:eastAsia="en-GB"/>
              </w:rPr>
            </w:pPr>
            <w:r w:rsidRPr="00604297">
              <w:rPr>
                <w:rFonts w:eastAsia="Times New Roman" w:cs="Arial"/>
                <w:color w:val="538ED5"/>
                <w:sz w:val="20"/>
                <w:szCs w:val="20"/>
                <w:lang w:eastAsia="en-GB"/>
              </w:rPr>
              <w:t> </w:t>
            </w:r>
          </w:p>
        </w:tc>
        <w:tc>
          <w:tcPr>
            <w:tcW w:w="1540"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color w:val="538ED5"/>
                <w:sz w:val="20"/>
                <w:szCs w:val="20"/>
                <w:lang w:eastAsia="en-GB"/>
              </w:rPr>
            </w:pPr>
            <w:r w:rsidRPr="00604297">
              <w:rPr>
                <w:rFonts w:eastAsia="Times New Roman" w:cs="Arial"/>
                <w:b/>
                <w:bCs/>
                <w:color w:val="538ED5"/>
                <w:sz w:val="20"/>
                <w:szCs w:val="20"/>
                <w:lang w:eastAsia="en-GB"/>
              </w:rPr>
              <w:t> </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b/>
                <w:bCs/>
                <w:sz w:val="20"/>
                <w:szCs w:val="20"/>
                <w:lang w:eastAsia="en-GB"/>
              </w:rPr>
            </w:pPr>
            <w:r w:rsidRPr="00604297">
              <w:rPr>
                <w:rFonts w:eastAsia="Times New Roman" w:cs="Arial"/>
                <w:b/>
                <w:bCs/>
                <w:sz w:val="20"/>
                <w:szCs w:val="20"/>
                <w:lang w:eastAsia="en-GB"/>
              </w:rPr>
              <w:t>Total Expenditure</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283,622</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-172,702</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110,920</w:t>
            </w:r>
          </w:p>
        </w:tc>
        <w:tc>
          <w:tcPr>
            <w:tcW w:w="1540"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605298">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1,</w:t>
            </w:r>
            <w:r w:rsidR="00605298">
              <w:rPr>
                <w:rFonts w:eastAsia="Times New Roman" w:cs="Arial"/>
                <w:b/>
                <w:bCs/>
                <w:sz w:val="20"/>
                <w:szCs w:val="20"/>
                <w:lang w:eastAsia="en-GB"/>
              </w:rPr>
              <w:t>671</w:t>
            </w:r>
          </w:p>
        </w:tc>
      </w:tr>
      <w:tr w:rsidR="001146DD" w:rsidRPr="0033712F" w:rsidTr="0015759E">
        <w:trPr>
          <w:trHeight w:val="300"/>
        </w:trPr>
        <w:tc>
          <w:tcPr>
            <w:tcW w:w="2349" w:type="dxa"/>
            <w:tcBorders>
              <w:top w:val="nil"/>
              <w:left w:val="single" w:sz="8" w:space="0" w:color="auto"/>
              <w:bottom w:val="dotted" w:sz="4" w:space="0" w:color="auto"/>
              <w:right w:val="single" w:sz="4" w:space="0" w:color="auto"/>
            </w:tcBorders>
            <w:shd w:val="clear" w:color="auto" w:fill="auto"/>
            <w:hideMark/>
          </w:tcPr>
          <w:p w:rsidR="001146DD" w:rsidRPr="00604297" w:rsidRDefault="001146DD" w:rsidP="00093118">
            <w:pPr>
              <w:spacing w:after="0" w:line="240" w:lineRule="auto"/>
              <w:rPr>
                <w:rFonts w:eastAsia="Times New Roman" w:cs="Arial"/>
                <w:sz w:val="20"/>
                <w:szCs w:val="20"/>
                <w:lang w:eastAsia="en-GB"/>
              </w:rPr>
            </w:pPr>
            <w:r w:rsidRPr="00604297">
              <w:rPr>
                <w:rFonts w:eastAsia="Times New Roman" w:cs="Arial"/>
                <w:sz w:val="20"/>
                <w:szCs w:val="20"/>
                <w:lang w:eastAsia="en-GB"/>
              </w:rPr>
              <w:t>Sources of Funding</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-110,920</w:t>
            </w:r>
          </w:p>
        </w:tc>
        <w:tc>
          <w:tcPr>
            <w:tcW w:w="1559"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sz w:val="20"/>
                <w:szCs w:val="20"/>
                <w:lang w:eastAsia="en-GB"/>
              </w:rPr>
            </w:pPr>
            <w:r w:rsidRPr="00604297">
              <w:rPr>
                <w:rFonts w:eastAsia="Times New Roman" w:cs="Arial"/>
                <w:sz w:val="20"/>
                <w:szCs w:val="20"/>
                <w:lang w:eastAsia="en-GB"/>
              </w:rPr>
              <w:t>-110,920</w:t>
            </w:r>
          </w:p>
        </w:tc>
        <w:tc>
          <w:tcPr>
            <w:tcW w:w="1540" w:type="dxa"/>
            <w:tcBorders>
              <w:top w:val="nil"/>
              <w:left w:val="nil"/>
              <w:bottom w:val="dotted" w:sz="4" w:space="0" w:color="auto"/>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-99</w:t>
            </w:r>
          </w:p>
        </w:tc>
      </w:tr>
      <w:tr w:rsidR="001146DD" w:rsidRPr="0033712F" w:rsidTr="0015759E">
        <w:trPr>
          <w:trHeight w:val="315"/>
        </w:trPr>
        <w:tc>
          <w:tcPr>
            <w:tcW w:w="2349" w:type="dxa"/>
            <w:tcBorders>
              <w:top w:val="nil"/>
              <w:left w:val="single" w:sz="8" w:space="0" w:color="auto"/>
              <w:bottom w:val="nil"/>
              <w:right w:val="single" w:sz="4" w:space="0" w:color="auto"/>
            </w:tcBorders>
            <w:shd w:val="clear" w:color="auto" w:fill="auto"/>
            <w:hideMark/>
          </w:tcPr>
          <w:p w:rsidR="001146DD" w:rsidRPr="00604297" w:rsidRDefault="001146DD" w:rsidP="00093118">
            <w:pPr>
              <w:spacing w:after="0" w:line="240" w:lineRule="auto"/>
              <w:rPr>
                <w:rFonts w:eastAsia="Times New Roman" w:cs="Arial"/>
                <w:b/>
                <w:bCs/>
                <w:sz w:val="20"/>
                <w:szCs w:val="20"/>
                <w:lang w:eastAsia="en-GB"/>
              </w:rPr>
            </w:pPr>
            <w:r w:rsidRPr="00604297">
              <w:rPr>
                <w:rFonts w:eastAsia="Times New Roman" w:cs="Arial"/>
                <w:b/>
                <w:bCs/>
                <w:sz w:val="20"/>
                <w:szCs w:val="20"/>
                <w:lang w:eastAsia="en-GB"/>
              </w:rPr>
              <w:t>Net Expenditure</w:t>
            </w:r>
          </w:p>
        </w:tc>
        <w:tc>
          <w:tcPr>
            <w:tcW w:w="1559" w:type="dxa"/>
            <w:tcBorders>
              <w:top w:val="nil"/>
              <w:left w:val="nil"/>
              <w:bottom w:val="nil"/>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283,622</w:t>
            </w:r>
          </w:p>
        </w:tc>
        <w:tc>
          <w:tcPr>
            <w:tcW w:w="1559" w:type="dxa"/>
            <w:tcBorders>
              <w:top w:val="nil"/>
              <w:left w:val="nil"/>
              <w:bottom w:val="nil"/>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-283,622</w:t>
            </w:r>
          </w:p>
        </w:tc>
        <w:tc>
          <w:tcPr>
            <w:tcW w:w="1559" w:type="dxa"/>
            <w:tcBorders>
              <w:top w:val="nil"/>
              <w:left w:val="nil"/>
              <w:bottom w:val="nil"/>
              <w:right w:val="single" w:sz="4" w:space="0" w:color="auto"/>
            </w:tcBorders>
            <w:shd w:val="clear" w:color="auto" w:fill="auto"/>
            <w:vAlign w:val="center"/>
            <w:hideMark/>
          </w:tcPr>
          <w:p w:rsidR="001146DD" w:rsidRPr="00604297" w:rsidRDefault="001146DD" w:rsidP="0015759E">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0</w:t>
            </w:r>
          </w:p>
        </w:tc>
        <w:tc>
          <w:tcPr>
            <w:tcW w:w="1540" w:type="dxa"/>
            <w:tcBorders>
              <w:top w:val="nil"/>
              <w:left w:val="nil"/>
              <w:bottom w:val="nil"/>
              <w:right w:val="single" w:sz="4" w:space="0" w:color="auto"/>
            </w:tcBorders>
            <w:shd w:val="clear" w:color="auto" w:fill="auto"/>
            <w:vAlign w:val="center"/>
            <w:hideMark/>
          </w:tcPr>
          <w:p w:rsidR="001146DD" w:rsidRPr="00604297" w:rsidRDefault="001146DD" w:rsidP="00605298">
            <w:pPr>
              <w:spacing w:after="0" w:line="240" w:lineRule="auto"/>
              <w:jc w:val="right"/>
              <w:rPr>
                <w:rFonts w:eastAsia="Times New Roman" w:cs="Arial"/>
                <w:b/>
                <w:bCs/>
                <w:sz w:val="20"/>
                <w:szCs w:val="20"/>
                <w:lang w:eastAsia="en-GB"/>
              </w:rPr>
            </w:pPr>
            <w:r w:rsidRPr="00604297">
              <w:rPr>
                <w:rFonts w:eastAsia="Times New Roman" w:cs="Arial"/>
                <w:b/>
                <w:bCs/>
                <w:sz w:val="20"/>
                <w:szCs w:val="20"/>
                <w:lang w:eastAsia="en-GB"/>
              </w:rPr>
              <w:t>1,</w:t>
            </w:r>
            <w:r w:rsidR="00605298">
              <w:rPr>
                <w:rFonts w:eastAsia="Times New Roman" w:cs="Arial"/>
                <w:b/>
                <w:bCs/>
                <w:sz w:val="20"/>
                <w:szCs w:val="20"/>
                <w:lang w:eastAsia="en-GB"/>
              </w:rPr>
              <w:t>572</w:t>
            </w:r>
          </w:p>
        </w:tc>
      </w:tr>
      <w:tr w:rsidR="00BD77B2" w:rsidRPr="0033712F" w:rsidTr="0015759E">
        <w:trPr>
          <w:trHeight w:val="315"/>
        </w:trPr>
        <w:tc>
          <w:tcPr>
            <w:tcW w:w="2349" w:type="dxa"/>
            <w:tcBorders>
              <w:top w:val="nil"/>
              <w:left w:val="single" w:sz="8" w:space="0" w:color="auto"/>
              <w:bottom w:val="nil"/>
              <w:right w:val="single" w:sz="4" w:space="0" w:color="auto"/>
            </w:tcBorders>
            <w:shd w:val="clear" w:color="auto" w:fill="auto"/>
            <w:hideMark/>
          </w:tcPr>
          <w:p w:rsidR="00BD77B2" w:rsidRPr="00604297" w:rsidRDefault="00BD77B2" w:rsidP="00093118">
            <w:pPr>
              <w:spacing w:after="0" w:line="240" w:lineRule="auto"/>
              <w:rPr>
                <w:rFonts w:eastAsia="Times New Roman" w:cs="Arial"/>
                <w:b/>
                <w:bCs/>
                <w:sz w:val="20"/>
                <w:szCs w:val="20"/>
                <w:lang w:eastAsia="en-GB"/>
              </w:rPr>
            </w:pPr>
            <w:r>
              <w:rPr>
                <w:rFonts w:eastAsia="Times New Roman" w:cs="Arial"/>
                <w:b/>
                <w:bCs/>
                <w:sz w:val="20"/>
                <w:szCs w:val="20"/>
                <w:lang w:eastAsia="en-GB"/>
              </w:rPr>
              <w:t xml:space="preserve">Use of </w:t>
            </w:r>
            <w:r w:rsidR="00C25DE7">
              <w:rPr>
                <w:rFonts w:eastAsia="Times New Roman" w:cs="Arial"/>
                <w:b/>
                <w:bCs/>
                <w:sz w:val="20"/>
                <w:szCs w:val="20"/>
                <w:lang w:eastAsia="en-GB"/>
              </w:rPr>
              <w:t xml:space="preserve">Earmarked </w:t>
            </w:r>
            <w:r>
              <w:rPr>
                <w:rFonts w:eastAsia="Times New Roman" w:cs="Arial"/>
                <w:b/>
                <w:bCs/>
                <w:sz w:val="20"/>
                <w:szCs w:val="20"/>
                <w:lang w:eastAsia="en-GB"/>
              </w:rPr>
              <w:t>Reserve</w:t>
            </w:r>
          </w:p>
        </w:tc>
        <w:tc>
          <w:tcPr>
            <w:tcW w:w="1559" w:type="dxa"/>
            <w:tcBorders>
              <w:top w:val="nil"/>
              <w:left w:val="nil"/>
              <w:bottom w:val="nil"/>
              <w:right w:val="single" w:sz="4" w:space="0" w:color="auto"/>
            </w:tcBorders>
            <w:shd w:val="clear" w:color="auto" w:fill="auto"/>
            <w:vAlign w:val="center"/>
            <w:hideMark/>
          </w:tcPr>
          <w:p w:rsidR="00BD77B2" w:rsidRPr="00604297" w:rsidRDefault="00BD77B2" w:rsidP="0015759E">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p>
        </w:tc>
        <w:tc>
          <w:tcPr>
            <w:tcW w:w="1559" w:type="dxa"/>
            <w:tcBorders>
              <w:top w:val="nil"/>
              <w:left w:val="nil"/>
              <w:bottom w:val="nil"/>
              <w:right w:val="single" w:sz="4" w:space="0" w:color="auto"/>
            </w:tcBorders>
            <w:shd w:val="clear" w:color="auto" w:fill="auto"/>
            <w:vAlign w:val="center"/>
            <w:hideMark/>
          </w:tcPr>
          <w:p w:rsidR="00BD77B2" w:rsidRPr="00604297" w:rsidRDefault="00BD77B2" w:rsidP="0015759E">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p>
        </w:tc>
        <w:tc>
          <w:tcPr>
            <w:tcW w:w="1559" w:type="dxa"/>
            <w:tcBorders>
              <w:top w:val="nil"/>
              <w:left w:val="nil"/>
              <w:bottom w:val="nil"/>
              <w:right w:val="single" w:sz="4" w:space="0" w:color="auto"/>
            </w:tcBorders>
            <w:shd w:val="clear" w:color="auto" w:fill="auto"/>
            <w:vAlign w:val="center"/>
            <w:hideMark/>
          </w:tcPr>
          <w:p w:rsidR="00BD77B2" w:rsidRPr="00604297" w:rsidRDefault="00BD77B2" w:rsidP="0015759E">
            <w:pPr>
              <w:spacing w:after="0" w:line="240" w:lineRule="auto"/>
              <w:jc w:val="right"/>
              <w:rPr>
                <w:rFonts w:eastAsia="Times New Roman" w:cs="Arial"/>
                <w:b/>
                <w:bCs/>
                <w:sz w:val="20"/>
                <w:szCs w:val="20"/>
                <w:lang w:eastAsia="en-GB"/>
              </w:rPr>
            </w:pPr>
            <w:r>
              <w:rPr>
                <w:rFonts w:eastAsia="Times New Roman" w:cs="Arial"/>
                <w:b/>
                <w:bCs/>
                <w:sz w:val="20"/>
                <w:szCs w:val="20"/>
                <w:lang w:eastAsia="en-GB"/>
              </w:rPr>
              <w:t>-</w:t>
            </w:r>
          </w:p>
        </w:tc>
        <w:tc>
          <w:tcPr>
            <w:tcW w:w="1540" w:type="dxa"/>
            <w:tcBorders>
              <w:top w:val="nil"/>
              <w:left w:val="nil"/>
              <w:bottom w:val="nil"/>
              <w:right w:val="single" w:sz="4" w:space="0" w:color="auto"/>
            </w:tcBorders>
            <w:shd w:val="clear" w:color="auto" w:fill="auto"/>
            <w:vAlign w:val="center"/>
            <w:hideMark/>
          </w:tcPr>
          <w:p w:rsidR="00BD77B2" w:rsidRPr="00604297" w:rsidRDefault="00BD77B2" w:rsidP="00605298">
            <w:pPr>
              <w:spacing w:after="0" w:line="240" w:lineRule="auto"/>
              <w:jc w:val="right"/>
              <w:rPr>
                <w:rFonts w:eastAsia="Times New Roman" w:cs="Arial"/>
                <w:b/>
                <w:bCs/>
                <w:sz w:val="20"/>
                <w:szCs w:val="20"/>
                <w:lang w:eastAsia="en-GB"/>
              </w:rPr>
            </w:pPr>
            <w:r>
              <w:rPr>
                <w:rFonts w:eastAsia="Times New Roman" w:cs="Arial"/>
                <w:b/>
                <w:bCs/>
                <w:sz w:val="20"/>
                <w:szCs w:val="20"/>
                <w:lang w:eastAsia="en-GB"/>
              </w:rPr>
              <w:t>(1,</w:t>
            </w:r>
            <w:r w:rsidR="00605298">
              <w:rPr>
                <w:rFonts w:eastAsia="Times New Roman" w:cs="Arial"/>
                <w:b/>
                <w:bCs/>
                <w:sz w:val="20"/>
                <w:szCs w:val="20"/>
                <w:lang w:eastAsia="en-GB"/>
              </w:rPr>
              <w:t>572</w:t>
            </w:r>
            <w:r>
              <w:rPr>
                <w:rFonts w:eastAsia="Times New Roman" w:cs="Arial"/>
                <w:b/>
                <w:bCs/>
                <w:sz w:val="20"/>
                <w:szCs w:val="20"/>
                <w:lang w:eastAsia="en-GB"/>
              </w:rPr>
              <w:t>)</w:t>
            </w:r>
          </w:p>
        </w:tc>
      </w:tr>
      <w:tr w:rsidR="00BD77B2" w:rsidRPr="0033712F" w:rsidTr="00AD2E2A">
        <w:trPr>
          <w:trHeight w:val="315"/>
        </w:trPr>
        <w:tc>
          <w:tcPr>
            <w:tcW w:w="2349" w:type="dxa"/>
            <w:tcBorders>
              <w:top w:val="nil"/>
              <w:left w:val="single" w:sz="8" w:space="0" w:color="auto"/>
              <w:bottom w:val="single" w:sz="8" w:space="0" w:color="auto"/>
              <w:right w:val="single" w:sz="4" w:space="0" w:color="auto"/>
            </w:tcBorders>
            <w:shd w:val="clear" w:color="auto" w:fill="auto"/>
            <w:hideMark/>
          </w:tcPr>
          <w:p w:rsidR="00BD77B2" w:rsidRPr="00604297" w:rsidRDefault="00BD77B2" w:rsidP="00093118">
            <w:pPr>
              <w:spacing w:after="0" w:line="240" w:lineRule="auto"/>
              <w:rPr>
                <w:rFonts w:eastAsia="Times New Roman" w:cs="Arial"/>
                <w:b/>
                <w:bCs/>
                <w:sz w:val="20"/>
                <w:szCs w:val="20"/>
                <w:lang w:eastAsia="en-GB"/>
              </w:rPr>
            </w:pPr>
            <w:r>
              <w:rPr>
                <w:rFonts w:eastAsia="Times New Roman" w:cs="Arial"/>
                <w:b/>
                <w:bCs/>
                <w:sz w:val="20"/>
                <w:szCs w:val="20"/>
                <w:lang w:eastAsia="en-GB"/>
              </w:rPr>
              <w:t>2015/16 Balance</w:t>
            </w:r>
          </w:p>
        </w:tc>
        <w:tc>
          <w:tcPr>
            <w:tcW w:w="1559" w:type="dxa"/>
            <w:tcBorders>
              <w:top w:val="nil"/>
              <w:left w:val="nil"/>
              <w:bottom w:val="single" w:sz="8" w:space="0" w:color="auto"/>
              <w:right w:val="single" w:sz="4" w:space="0" w:color="auto"/>
            </w:tcBorders>
            <w:shd w:val="clear" w:color="auto" w:fill="auto"/>
            <w:hideMark/>
          </w:tcPr>
          <w:p w:rsidR="00BD77B2" w:rsidRPr="00604297" w:rsidRDefault="00BD77B2" w:rsidP="00093118">
            <w:pPr>
              <w:spacing w:after="0" w:line="240" w:lineRule="auto"/>
              <w:jc w:val="right"/>
              <w:rPr>
                <w:rFonts w:eastAsia="Times New Roman" w:cs="Arial"/>
                <w:b/>
                <w:bCs/>
                <w:sz w:val="20"/>
                <w:szCs w:val="20"/>
                <w:lang w:eastAsia="en-GB"/>
              </w:rPr>
            </w:pPr>
          </w:p>
        </w:tc>
        <w:tc>
          <w:tcPr>
            <w:tcW w:w="1559" w:type="dxa"/>
            <w:tcBorders>
              <w:top w:val="nil"/>
              <w:left w:val="nil"/>
              <w:bottom w:val="single" w:sz="8" w:space="0" w:color="auto"/>
              <w:right w:val="single" w:sz="4" w:space="0" w:color="auto"/>
            </w:tcBorders>
            <w:shd w:val="clear" w:color="auto" w:fill="auto"/>
            <w:hideMark/>
          </w:tcPr>
          <w:p w:rsidR="00BD77B2" w:rsidRPr="00604297" w:rsidRDefault="00BD77B2" w:rsidP="00093118">
            <w:pPr>
              <w:spacing w:after="0" w:line="240" w:lineRule="auto"/>
              <w:jc w:val="right"/>
              <w:rPr>
                <w:rFonts w:eastAsia="Times New Roman" w:cs="Arial"/>
                <w:b/>
                <w:bCs/>
                <w:sz w:val="20"/>
                <w:szCs w:val="20"/>
                <w:lang w:eastAsia="en-GB"/>
              </w:rPr>
            </w:pPr>
          </w:p>
        </w:tc>
        <w:tc>
          <w:tcPr>
            <w:tcW w:w="1559" w:type="dxa"/>
            <w:tcBorders>
              <w:top w:val="nil"/>
              <w:left w:val="nil"/>
              <w:bottom w:val="single" w:sz="8" w:space="0" w:color="auto"/>
              <w:right w:val="single" w:sz="4" w:space="0" w:color="auto"/>
            </w:tcBorders>
            <w:shd w:val="clear" w:color="auto" w:fill="auto"/>
            <w:hideMark/>
          </w:tcPr>
          <w:p w:rsidR="00BD77B2" w:rsidRPr="00604297" w:rsidRDefault="00BD77B2" w:rsidP="00093118">
            <w:pPr>
              <w:spacing w:after="0" w:line="240" w:lineRule="auto"/>
              <w:jc w:val="right"/>
              <w:rPr>
                <w:rFonts w:eastAsia="Times New Roman" w:cs="Arial"/>
                <w:b/>
                <w:bCs/>
                <w:sz w:val="20"/>
                <w:szCs w:val="20"/>
                <w:lang w:eastAsia="en-GB"/>
              </w:rPr>
            </w:pPr>
          </w:p>
        </w:tc>
        <w:tc>
          <w:tcPr>
            <w:tcW w:w="1540" w:type="dxa"/>
            <w:tcBorders>
              <w:top w:val="nil"/>
              <w:left w:val="nil"/>
              <w:bottom w:val="single" w:sz="8" w:space="0" w:color="auto"/>
              <w:right w:val="single" w:sz="4" w:space="0" w:color="auto"/>
            </w:tcBorders>
            <w:shd w:val="clear" w:color="auto" w:fill="auto"/>
            <w:hideMark/>
          </w:tcPr>
          <w:p w:rsidR="00BD77B2" w:rsidRPr="00604297" w:rsidRDefault="00BD77B2" w:rsidP="00093118">
            <w:pPr>
              <w:spacing w:after="0" w:line="240" w:lineRule="auto"/>
              <w:jc w:val="right"/>
              <w:rPr>
                <w:rFonts w:eastAsia="Times New Roman" w:cs="Arial"/>
                <w:b/>
                <w:bCs/>
                <w:sz w:val="20"/>
                <w:szCs w:val="20"/>
                <w:lang w:eastAsia="en-GB"/>
              </w:rPr>
            </w:pPr>
            <w:r>
              <w:rPr>
                <w:rFonts w:eastAsia="Times New Roman" w:cs="Arial"/>
                <w:b/>
                <w:bCs/>
                <w:sz w:val="20"/>
                <w:szCs w:val="20"/>
                <w:lang w:eastAsia="en-GB"/>
              </w:rPr>
              <w:t>0</w:t>
            </w:r>
          </w:p>
        </w:tc>
      </w:tr>
    </w:tbl>
    <w:p w:rsidR="005A4C12" w:rsidRPr="00D42E0B" w:rsidRDefault="005A4C12" w:rsidP="001146DD">
      <w:pPr>
        <w:tabs>
          <w:tab w:val="left" w:pos="360"/>
        </w:tabs>
        <w:spacing w:line="240" w:lineRule="auto"/>
        <w:rPr>
          <w:rFonts w:cs="Arial"/>
          <w:b/>
          <w:color w:val="548DD4" w:themeColor="text2" w:themeTint="99"/>
          <w:szCs w:val="24"/>
        </w:rPr>
      </w:pPr>
    </w:p>
    <w:p w:rsidR="003911E1" w:rsidRPr="00D42E0B" w:rsidRDefault="003911E1" w:rsidP="00F31A9D">
      <w:pPr>
        <w:pStyle w:val="BodyText"/>
        <w:widowControl w:val="0"/>
        <w:rPr>
          <w:rFonts w:cs="Arial"/>
          <w:b/>
          <w:color w:val="548DD4" w:themeColor="text2" w:themeTint="99"/>
          <w:sz w:val="20"/>
          <w:szCs w:val="20"/>
        </w:rPr>
      </w:pPr>
    </w:p>
    <w:p w:rsidR="003911E1" w:rsidRPr="00D42E0B" w:rsidRDefault="00C650AF" w:rsidP="00C650AF">
      <w:pPr>
        <w:pStyle w:val="BodyText"/>
        <w:widowControl w:val="0"/>
        <w:ind w:left="142"/>
        <w:rPr>
          <w:rFonts w:cs="Arial"/>
          <w:b/>
          <w:color w:val="548DD4" w:themeColor="text2" w:themeTint="99"/>
          <w:sz w:val="20"/>
          <w:szCs w:val="20"/>
        </w:rPr>
      </w:pPr>
      <w:r w:rsidRPr="00D42E0B">
        <w:rPr>
          <w:rFonts w:cs="Arial"/>
          <w:b/>
          <w:noProof/>
          <w:color w:val="548DD4" w:themeColor="text2" w:themeTint="99"/>
          <w:sz w:val="20"/>
          <w:szCs w:val="20"/>
          <w:lang w:eastAsia="en-GB"/>
        </w:rPr>
        <w:lastRenderedPageBreak/>
        <w:drawing>
          <wp:inline distT="0" distB="0" distL="0" distR="0">
            <wp:extent cx="5630487" cy="3200227"/>
            <wp:effectExtent l="19050" t="0" r="27363" b="173"/>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C425D" w:rsidRPr="00D42E0B" w:rsidRDefault="00AC425D" w:rsidP="00F31A9D">
      <w:pPr>
        <w:pStyle w:val="BodyText"/>
        <w:widowControl w:val="0"/>
        <w:rPr>
          <w:rFonts w:cs="Arial"/>
          <w:b/>
          <w:color w:val="548DD4" w:themeColor="text2" w:themeTint="99"/>
          <w:sz w:val="20"/>
          <w:szCs w:val="20"/>
        </w:rPr>
      </w:pPr>
    </w:p>
    <w:p w:rsidR="00E51139" w:rsidRPr="00C87259" w:rsidRDefault="00E51139" w:rsidP="00F31A9D">
      <w:pPr>
        <w:pStyle w:val="BodyText"/>
        <w:widowControl w:val="0"/>
        <w:rPr>
          <w:rFonts w:cs="Arial"/>
          <w:b/>
          <w:color w:val="auto"/>
          <w:sz w:val="20"/>
          <w:szCs w:val="20"/>
        </w:rPr>
      </w:pPr>
      <w:r w:rsidRPr="00C87259">
        <w:rPr>
          <w:rFonts w:cs="Arial"/>
          <w:b/>
          <w:color w:val="auto"/>
          <w:sz w:val="20"/>
          <w:szCs w:val="20"/>
        </w:rPr>
        <w:t>Capital Budget:</w:t>
      </w:r>
    </w:p>
    <w:p w:rsidR="00E51139" w:rsidRPr="00C87259" w:rsidRDefault="00E51139" w:rsidP="00F31A9D">
      <w:pPr>
        <w:pStyle w:val="BodyText"/>
        <w:widowControl w:val="0"/>
        <w:rPr>
          <w:rFonts w:cs="Arial"/>
          <w:color w:val="auto"/>
          <w:sz w:val="20"/>
          <w:szCs w:val="20"/>
        </w:rPr>
      </w:pPr>
      <w:r w:rsidRPr="00C87259">
        <w:rPr>
          <w:rFonts w:cs="Arial"/>
          <w:color w:val="auto"/>
          <w:sz w:val="20"/>
          <w:szCs w:val="20"/>
        </w:rPr>
        <w:t>The Council in July 201</w:t>
      </w:r>
      <w:r w:rsidR="00C87259" w:rsidRPr="00C87259">
        <w:rPr>
          <w:rFonts w:cs="Arial"/>
          <w:color w:val="auto"/>
          <w:sz w:val="20"/>
          <w:szCs w:val="20"/>
        </w:rPr>
        <w:t>6</w:t>
      </w:r>
      <w:r w:rsidRPr="00C87259">
        <w:rPr>
          <w:rFonts w:cs="Arial"/>
          <w:color w:val="auto"/>
          <w:sz w:val="20"/>
          <w:szCs w:val="20"/>
        </w:rPr>
        <w:t xml:space="preserve"> receive</w:t>
      </w:r>
      <w:r w:rsidR="00FA6023">
        <w:rPr>
          <w:rFonts w:cs="Arial"/>
          <w:color w:val="auto"/>
          <w:sz w:val="20"/>
          <w:szCs w:val="20"/>
        </w:rPr>
        <w:t>d</w:t>
      </w:r>
      <w:r w:rsidRPr="00C87259">
        <w:rPr>
          <w:rFonts w:cs="Arial"/>
          <w:color w:val="auto"/>
          <w:sz w:val="20"/>
          <w:szCs w:val="20"/>
        </w:rPr>
        <w:t xml:space="preserve"> a capital outturn report detailing income and expenditure in year and reasons for any variances, which can be obtained from the Council’s website.</w:t>
      </w:r>
    </w:p>
    <w:p w:rsidR="00E51139" w:rsidRPr="00B77A42" w:rsidRDefault="00E51139" w:rsidP="00F31A9D">
      <w:pPr>
        <w:pStyle w:val="BodyText"/>
        <w:widowControl w:val="0"/>
        <w:rPr>
          <w:rFonts w:cs="Arial"/>
          <w:b/>
          <w:color w:val="auto"/>
          <w:sz w:val="20"/>
          <w:szCs w:val="20"/>
          <w:u w:val="single"/>
        </w:rPr>
      </w:pPr>
      <w:r w:rsidRPr="00B77A42">
        <w:rPr>
          <w:rFonts w:cs="Arial"/>
          <w:b/>
          <w:color w:val="auto"/>
          <w:sz w:val="20"/>
          <w:szCs w:val="20"/>
          <w:u w:val="single"/>
        </w:rPr>
        <w:t>Funding</w:t>
      </w:r>
    </w:p>
    <w:p w:rsidR="00E51139" w:rsidRPr="00B77A42" w:rsidRDefault="00E51139" w:rsidP="00F31A9D">
      <w:pPr>
        <w:pStyle w:val="BodyText"/>
        <w:widowControl w:val="0"/>
        <w:rPr>
          <w:rFonts w:cs="Arial"/>
          <w:color w:val="auto"/>
          <w:sz w:val="20"/>
          <w:szCs w:val="20"/>
        </w:rPr>
      </w:pPr>
      <w:r w:rsidRPr="00B77A42">
        <w:rPr>
          <w:rFonts w:cs="Arial"/>
          <w:color w:val="auto"/>
          <w:sz w:val="20"/>
          <w:szCs w:val="20"/>
        </w:rPr>
        <w:t>The Council spent £</w:t>
      </w:r>
      <w:r w:rsidR="0083163E" w:rsidRPr="00B77A42">
        <w:rPr>
          <w:rFonts w:cs="Arial"/>
          <w:color w:val="auto"/>
          <w:sz w:val="20"/>
          <w:szCs w:val="20"/>
        </w:rPr>
        <w:t>2</w:t>
      </w:r>
      <w:r w:rsidR="00B77A42" w:rsidRPr="00B77A42">
        <w:rPr>
          <w:rFonts w:cs="Arial"/>
          <w:color w:val="auto"/>
          <w:sz w:val="20"/>
          <w:szCs w:val="20"/>
        </w:rPr>
        <w:t>2.6</w:t>
      </w:r>
      <w:r w:rsidR="00F8001F" w:rsidRPr="00B77A42">
        <w:rPr>
          <w:rFonts w:cs="Arial"/>
          <w:color w:val="auto"/>
          <w:sz w:val="20"/>
          <w:szCs w:val="20"/>
        </w:rPr>
        <w:t>m</w:t>
      </w:r>
      <w:r w:rsidRPr="00B77A42">
        <w:rPr>
          <w:rFonts w:cs="Arial"/>
          <w:color w:val="auto"/>
          <w:sz w:val="20"/>
          <w:szCs w:val="20"/>
        </w:rPr>
        <w:t xml:space="preserve"> on capital expenditure in </w:t>
      </w:r>
      <w:r w:rsidR="00F56229" w:rsidRPr="00B77A42">
        <w:rPr>
          <w:rFonts w:cs="Arial"/>
          <w:color w:val="auto"/>
          <w:sz w:val="20"/>
          <w:szCs w:val="20"/>
        </w:rPr>
        <w:t>201</w:t>
      </w:r>
      <w:r w:rsidR="00C90830">
        <w:rPr>
          <w:rFonts w:cs="Arial"/>
          <w:color w:val="auto"/>
          <w:sz w:val="20"/>
          <w:szCs w:val="20"/>
        </w:rPr>
        <w:t>5</w:t>
      </w:r>
      <w:r w:rsidR="00F56229" w:rsidRPr="00B77A42">
        <w:rPr>
          <w:rFonts w:cs="Arial"/>
          <w:color w:val="auto"/>
          <w:sz w:val="20"/>
          <w:szCs w:val="20"/>
        </w:rPr>
        <w:t>/1</w:t>
      </w:r>
      <w:r w:rsidR="00C90830">
        <w:rPr>
          <w:rFonts w:cs="Arial"/>
          <w:color w:val="auto"/>
          <w:sz w:val="20"/>
          <w:szCs w:val="20"/>
        </w:rPr>
        <w:t>6</w:t>
      </w:r>
      <w:r w:rsidRPr="00B77A42">
        <w:rPr>
          <w:rFonts w:cs="Arial"/>
          <w:color w:val="auto"/>
          <w:sz w:val="20"/>
          <w:szCs w:val="20"/>
        </w:rPr>
        <w:t xml:space="preserve"> </w:t>
      </w:r>
      <w:r w:rsidR="00B77A42" w:rsidRPr="00B77A42">
        <w:rPr>
          <w:rFonts w:cs="Arial"/>
          <w:color w:val="auto"/>
          <w:sz w:val="20"/>
          <w:szCs w:val="20"/>
        </w:rPr>
        <w:t xml:space="preserve">(£20.4m 14/15) </w:t>
      </w:r>
      <w:r w:rsidRPr="00B77A42">
        <w:rPr>
          <w:rFonts w:cs="Arial"/>
          <w:color w:val="auto"/>
          <w:sz w:val="20"/>
          <w:szCs w:val="20"/>
        </w:rPr>
        <w:t>and this funding is shown in the table below.</w:t>
      </w:r>
    </w:p>
    <w:tbl>
      <w:tblPr>
        <w:tblStyle w:val="ListTable3-Accent51"/>
        <w:tblW w:w="8930" w:type="dxa"/>
        <w:tblInd w:w="250" w:type="dxa"/>
        <w:tblLayout w:type="fixed"/>
        <w:tblLook w:val="0000"/>
      </w:tblPr>
      <w:tblGrid>
        <w:gridCol w:w="4394"/>
        <w:gridCol w:w="1560"/>
        <w:gridCol w:w="1417"/>
        <w:gridCol w:w="1559"/>
      </w:tblGrid>
      <w:tr w:rsidR="00E51139" w:rsidRPr="00D42E0B" w:rsidTr="00373F87">
        <w:trPr>
          <w:cnfStyle w:val="000000100000"/>
          <w:trHeight w:val="508"/>
        </w:trPr>
        <w:tc>
          <w:tcPr>
            <w:cnfStyle w:val="000010000000"/>
            <w:tcW w:w="4394" w:type="dxa"/>
            <w:shd w:val="clear" w:color="auto" w:fill="4BACC6" w:themeFill="accent5"/>
          </w:tcPr>
          <w:p w:rsidR="00E51139" w:rsidRPr="00D42E0B" w:rsidRDefault="00E51139" w:rsidP="00E85DE1">
            <w:pPr>
              <w:pStyle w:val="BodyText"/>
              <w:widowControl w:val="0"/>
              <w:rPr>
                <w:rFonts w:cs="Arial"/>
                <w:bCs/>
                <w:color w:val="548DD4" w:themeColor="text2" w:themeTint="99"/>
                <w:sz w:val="20"/>
                <w:szCs w:val="20"/>
              </w:rPr>
            </w:pPr>
          </w:p>
        </w:tc>
        <w:tc>
          <w:tcPr>
            <w:tcW w:w="1560" w:type="dxa"/>
            <w:shd w:val="clear" w:color="auto" w:fill="4BACC6" w:themeFill="accent5"/>
          </w:tcPr>
          <w:p w:rsidR="00E51139" w:rsidRPr="00DC657C" w:rsidRDefault="001E779A" w:rsidP="00E85DE1">
            <w:pPr>
              <w:pStyle w:val="BodyText"/>
              <w:widowControl w:val="0"/>
              <w:jc w:val="center"/>
              <w:cnfStyle w:val="000000100000"/>
              <w:rPr>
                <w:rFonts w:cs="Arial"/>
                <w:bCs/>
                <w:color w:val="auto"/>
                <w:sz w:val="20"/>
                <w:szCs w:val="20"/>
              </w:rPr>
            </w:pPr>
            <w:r w:rsidRPr="00DC657C">
              <w:rPr>
                <w:rFonts w:cs="Arial"/>
                <w:bCs/>
                <w:color w:val="auto"/>
                <w:sz w:val="20"/>
                <w:szCs w:val="20"/>
              </w:rPr>
              <w:t>Latest</w:t>
            </w:r>
            <w:r w:rsidR="00E51139" w:rsidRPr="00DC657C">
              <w:rPr>
                <w:rFonts w:cs="Arial"/>
                <w:bCs/>
                <w:color w:val="auto"/>
                <w:sz w:val="20"/>
                <w:szCs w:val="20"/>
              </w:rPr>
              <w:t xml:space="preserve"> Budget</w:t>
            </w:r>
            <w:r w:rsidR="00E85DE1" w:rsidRPr="00DC657C">
              <w:rPr>
                <w:rFonts w:cs="Arial"/>
                <w:bCs/>
                <w:color w:val="auto"/>
                <w:sz w:val="20"/>
                <w:szCs w:val="20"/>
              </w:rPr>
              <w:t xml:space="preserve"> </w:t>
            </w:r>
            <w:r w:rsidR="00E51139" w:rsidRPr="00DC657C">
              <w:rPr>
                <w:rFonts w:cs="Arial"/>
                <w:bCs/>
                <w:color w:val="auto"/>
                <w:sz w:val="18"/>
                <w:szCs w:val="18"/>
              </w:rPr>
              <w:t>£m</w:t>
            </w:r>
          </w:p>
        </w:tc>
        <w:tc>
          <w:tcPr>
            <w:cnfStyle w:val="000010000000"/>
            <w:tcW w:w="1417" w:type="dxa"/>
            <w:shd w:val="clear" w:color="auto" w:fill="4BACC6" w:themeFill="accent5"/>
          </w:tcPr>
          <w:p w:rsidR="00E51139" w:rsidRPr="00DC657C" w:rsidRDefault="00E85DE1" w:rsidP="00E85DE1">
            <w:pPr>
              <w:pStyle w:val="BodyText"/>
              <w:widowControl w:val="0"/>
              <w:jc w:val="center"/>
              <w:rPr>
                <w:rFonts w:cs="Arial"/>
                <w:bCs/>
                <w:color w:val="auto"/>
                <w:sz w:val="20"/>
                <w:szCs w:val="20"/>
              </w:rPr>
            </w:pPr>
            <w:r w:rsidRPr="00DC657C">
              <w:rPr>
                <w:rFonts w:cs="Arial"/>
                <w:bCs/>
                <w:color w:val="auto"/>
                <w:sz w:val="20"/>
                <w:szCs w:val="20"/>
              </w:rPr>
              <w:t xml:space="preserve">Outturn       </w:t>
            </w:r>
            <w:r w:rsidR="00E51139" w:rsidRPr="00DC657C">
              <w:rPr>
                <w:rFonts w:cs="Arial"/>
                <w:bCs/>
                <w:color w:val="auto"/>
                <w:sz w:val="18"/>
                <w:szCs w:val="18"/>
              </w:rPr>
              <w:t>£m</w:t>
            </w:r>
          </w:p>
        </w:tc>
        <w:tc>
          <w:tcPr>
            <w:tcW w:w="1559" w:type="dxa"/>
            <w:shd w:val="clear" w:color="auto" w:fill="4BACC6" w:themeFill="accent5"/>
          </w:tcPr>
          <w:p w:rsidR="00E51139" w:rsidRPr="00DC657C" w:rsidRDefault="00E51139" w:rsidP="00E85DE1">
            <w:pPr>
              <w:pStyle w:val="BodyText"/>
              <w:widowControl w:val="0"/>
              <w:jc w:val="center"/>
              <w:cnfStyle w:val="000000100000"/>
              <w:rPr>
                <w:rFonts w:cs="Arial"/>
                <w:bCs/>
                <w:color w:val="auto"/>
                <w:sz w:val="20"/>
                <w:szCs w:val="20"/>
              </w:rPr>
            </w:pPr>
            <w:r w:rsidRPr="00DC657C">
              <w:rPr>
                <w:rFonts w:cs="Arial"/>
                <w:bCs/>
                <w:color w:val="auto"/>
                <w:sz w:val="20"/>
                <w:szCs w:val="20"/>
              </w:rPr>
              <w:t>Variation</w:t>
            </w:r>
            <w:r w:rsidR="00E85DE1" w:rsidRPr="00DC657C">
              <w:rPr>
                <w:rFonts w:cs="Arial"/>
                <w:bCs/>
                <w:color w:val="auto"/>
                <w:sz w:val="20"/>
                <w:szCs w:val="20"/>
              </w:rPr>
              <w:t xml:space="preserve">      </w:t>
            </w:r>
            <w:r w:rsidRPr="00DC657C">
              <w:rPr>
                <w:rFonts w:cs="Arial"/>
                <w:bCs/>
                <w:color w:val="auto"/>
                <w:sz w:val="18"/>
                <w:szCs w:val="18"/>
              </w:rPr>
              <w:t>£m</w:t>
            </w:r>
          </w:p>
        </w:tc>
      </w:tr>
      <w:tr w:rsidR="00E51139" w:rsidRPr="00D42E0B" w:rsidTr="00373F87">
        <w:trPr>
          <w:trHeight w:hRule="exact" w:val="284"/>
        </w:trPr>
        <w:tc>
          <w:tcPr>
            <w:cnfStyle w:val="000010000000"/>
            <w:tcW w:w="4394" w:type="dxa"/>
          </w:tcPr>
          <w:p w:rsidR="00E51139" w:rsidRPr="00887579" w:rsidRDefault="00E51139" w:rsidP="00887579">
            <w:pPr>
              <w:rPr>
                <w:rFonts w:cs="Arial"/>
                <w:color w:val="auto"/>
                <w:sz w:val="20"/>
                <w:szCs w:val="20"/>
              </w:rPr>
            </w:pPr>
            <w:r w:rsidRPr="00887579">
              <w:rPr>
                <w:rFonts w:cs="Arial"/>
                <w:color w:val="auto"/>
                <w:sz w:val="20"/>
                <w:szCs w:val="20"/>
              </w:rPr>
              <w:t xml:space="preserve">Borrowing – </w:t>
            </w:r>
            <w:r w:rsidR="00F17635" w:rsidRPr="00887579">
              <w:rPr>
                <w:rFonts w:cs="Arial"/>
                <w:color w:val="auto"/>
                <w:sz w:val="20"/>
                <w:szCs w:val="20"/>
              </w:rPr>
              <w:t>Unsupported (Prudential Code )</w:t>
            </w:r>
          </w:p>
        </w:tc>
        <w:tc>
          <w:tcPr>
            <w:tcW w:w="1560" w:type="dxa"/>
          </w:tcPr>
          <w:p w:rsidR="00E51139" w:rsidRPr="00DC657C" w:rsidRDefault="00DC657C" w:rsidP="00204530">
            <w:pPr>
              <w:jc w:val="center"/>
              <w:cnfStyle w:val="000000000000"/>
              <w:rPr>
                <w:rFonts w:cs="Arial"/>
                <w:color w:val="auto"/>
                <w:sz w:val="20"/>
                <w:szCs w:val="20"/>
              </w:rPr>
            </w:pPr>
            <w:r w:rsidRPr="00DC657C">
              <w:rPr>
                <w:rFonts w:cs="Arial"/>
                <w:color w:val="auto"/>
                <w:sz w:val="20"/>
                <w:szCs w:val="20"/>
              </w:rPr>
              <w:t>12.9</w:t>
            </w:r>
          </w:p>
        </w:tc>
        <w:tc>
          <w:tcPr>
            <w:cnfStyle w:val="000010000000"/>
            <w:tcW w:w="1417" w:type="dxa"/>
          </w:tcPr>
          <w:p w:rsidR="00E51139" w:rsidRPr="00F17635" w:rsidRDefault="00F17635" w:rsidP="00F17635">
            <w:pPr>
              <w:jc w:val="center"/>
              <w:rPr>
                <w:rFonts w:cs="Arial"/>
                <w:color w:val="auto"/>
                <w:sz w:val="20"/>
                <w:szCs w:val="20"/>
              </w:rPr>
            </w:pPr>
            <w:r w:rsidRPr="00F17635">
              <w:rPr>
                <w:rFonts w:cs="Arial"/>
                <w:color w:val="auto"/>
                <w:sz w:val="20"/>
                <w:szCs w:val="20"/>
              </w:rPr>
              <w:t>7.7</w:t>
            </w:r>
          </w:p>
        </w:tc>
        <w:tc>
          <w:tcPr>
            <w:tcW w:w="1559" w:type="dxa"/>
          </w:tcPr>
          <w:p w:rsidR="00E51139" w:rsidRPr="0018373F" w:rsidRDefault="0018373F" w:rsidP="00D3154E">
            <w:pPr>
              <w:jc w:val="center"/>
              <w:cnfStyle w:val="000000000000"/>
              <w:rPr>
                <w:rFonts w:cs="Arial"/>
                <w:color w:val="auto"/>
                <w:sz w:val="20"/>
                <w:szCs w:val="20"/>
              </w:rPr>
            </w:pPr>
            <w:r w:rsidRPr="0018373F">
              <w:rPr>
                <w:rFonts w:cs="Arial"/>
                <w:color w:val="auto"/>
                <w:sz w:val="20"/>
                <w:szCs w:val="20"/>
              </w:rPr>
              <w:t>(5.2)</w:t>
            </w:r>
          </w:p>
        </w:tc>
      </w:tr>
      <w:tr w:rsidR="00E51139" w:rsidRPr="00D42E0B" w:rsidTr="00373F87">
        <w:trPr>
          <w:cnfStyle w:val="000000100000"/>
          <w:trHeight w:hRule="exact" w:val="284"/>
        </w:trPr>
        <w:tc>
          <w:tcPr>
            <w:cnfStyle w:val="000010000000"/>
            <w:tcW w:w="4394" w:type="dxa"/>
          </w:tcPr>
          <w:p w:rsidR="00E51139" w:rsidRPr="00F17635" w:rsidRDefault="00E51139" w:rsidP="003D2562">
            <w:pPr>
              <w:rPr>
                <w:rFonts w:cs="Arial"/>
                <w:color w:val="auto"/>
                <w:sz w:val="20"/>
                <w:szCs w:val="20"/>
              </w:rPr>
            </w:pPr>
            <w:r w:rsidRPr="00F17635">
              <w:rPr>
                <w:rFonts w:cs="Arial"/>
                <w:color w:val="auto"/>
                <w:sz w:val="20"/>
                <w:szCs w:val="20"/>
              </w:rPr>
              <w:t>Grants</w:t>
            </w:r>
          </w:p>
        </w:tc>
        <w:tc>
          <w:tcPr>
            <w:tcW w:w="1560" w:type="dxa"/>
          </w:tcPr>
          <w:p w:rsidR="00E51139" w:rsidRPr="00DC657C" w:rsidRDefault="00DC657C" w:rsidP="00D3154E">
            <w:pPr>
              <w:jc w:val="center"/>
              <w:cnfStyle w:val="000000100000"/>
              <w:rPr>
                <w:rFonts w:cs="Arial"/>
                <w:color w:val="auto"/>
                <w:sz w:val="20"/>
                <w:szCs w:val="20"/>
              </w:rPr>
            </w:pPr>
            <w:r w:rsidRPr="00DC657C">
              <w:rPr>
                <w:rFonts w:cs="Arial"/>
                <w:color w:val="auto"/>
                <w:sz w:val="20"/>
                <w:szCs w:val="20"/>
              </w:rPr>
              <w:t>13.4</w:t>
            </w:r>
          </w:p>
        </w:tc>
        <w:tc>
          <w:tcPr>
            <w:cnfStyle w:val="000010000000"/>
            <w:tcW w:w="1417" w:type="dxa"/>
          </w:tcPr>
          <w:p w:rsidR="00E51139" w:rsidRPr="00F17635" w:rsidRDefault="00895822" w:rsidP="00F17635">
            <w:pPr>
              <w:jc w:val="center"/>
              <w:rPr>
                <w:rFonts w:cs="Arial"/>
                <w:color w:val="auto"/>
                <w:sz w:val="20"/>
                <w:szCs w:val="20"/>
              </w:rPr>
            </w:pPr>
            <w:r w:rsidRPr="00F17635">
              <w:rPr>
                <w:rFonts w:cs="Arial"/>
                <w:color w:val="auto"/>
                <w:sz w:val="20"/>
                <w:szCs w:val="20"/>
              </w:rPr>
              <w:t>1</w:t>
            </w:r>
            <w:r w:rsidR="00F17635" w:rsidRPr="00F17635">
              <w:rPr>
                <w:rFonts w:cs="Arial"/>
                <w:color w:val="auto"/>
                <w:sz w:val="20"/>
                <w:szCs w:val="20"/>
              </w:rPr>
              <w:t>0.5</w:t>
            </w:r>
          </w:p>
        </w:tc>
        <w:tc>
          <w:tcPr>
            <w:tcW w:w="1559" w:type="dxa"/>
          </w:tcPr>
          <w:p w:rsidR="00E51139" w:rsidRPr="0018373F" w:rsidRDefault="0018373F" w:rsidP="00D3154E">
            <w:pPr>
              <w:jc w:val="center"/>
              <w:cnfStyle w:val="000000100000"/>
              <w:rPr>
                <w:rFonts w:cs="Arial"/>
                <w:color w:val="auto"/>
                <w:sz w:val="20"/>
                <w:szCs w:val="20"/>
              </w:rPr>
            </w:pPr>
            <w:r w:rsidRPr="0018373F">
              <w:rPr>
                <w:rFonts w:cs="Arial"/>
                <w:color w:val="auto"/>
                <w:sz w:val="20"/>
                <w:szCs w:val="20"/>
              </w:rPr>
              <w:t>(2.9)</w:t>
            </w:r>
          </w:p>
        </w:tc>
      </w:tr>
      <w:tr w:rsidR="00E51139" w:rsidRPr="00D42E0B" w:rsidTr="00373F87">
        <w:trPr>
          <w:trHeight w:hRule="exact" w:val="284"/>
        </w:trPr>
        <w:tc>
          <w:tcPr>
            <w:cnfStyle w:val="000010000000"/>
            <w:tcW w:w="4394" w:type="dxa"/>
          </w:tcPr>
          <w:p w:rsidR="00E51139" w:rsidRPr="00F17635" w:rsidRDefault="00E51139" w:rsidP="003D2562">
            <w:pPr>
              <w:rPr>
                <w:rFonts w:cs="Arial"/>
                <w:color w:val="auto"/>
                <w:sz w:val="20"/>
                <w:szCs w:val="20"/>
              </w:rPr>
            </w:pPr>
            <w:r w:rsidRPr="00F17635">
              <w:rPr>
                <w:rFonts w:cs="Arial"/>
                <w:color w:val="auto"/>
                <w:sz w:val="20"/>
                <w:szCs w:val="20"/>
              </w:rPr>
              <w:t>Other Contributions</w:t>
            </w:r>
          </w:p>
        </w:tc>
        <w:tc>
          <w:tcPr>
            <w:tcW w:w="1560" w:type="dxa"/>
          </w:tcPr>
          <w:p w:rsidR="00E51139" w:rsidRPr="00DC657C" w:rsidRDefault="00DC657C" w:rsidP="003D2562">
            <w:pPr>
              <w:jc w:val="center"/>
              <w:cnfStyle w:val="000000000000"/>
              <w:rPr>
                <w:rFonts w:cs="Arial"/>
                <w:color w:val="auto"/>
                <w:sz w:val="20"/>
                <w:szCs w:val="20"/>
              </w:rPr>
            </w:pPr>
            <w:r w:rsidRPr="00DC657C">
              <w:rPr>
                <w:rFonts w:cs="Arial"/>
                <w:color w:val="auto"/>
                <w:sz w:val="20"/>
                <w:szCs w:val="20"/>
              </w:rPr>
              <w:t>0.4</w:t>
            </w:r>
          </w:p>
        </w:tc>
        <w:tc>
          <w:tcPr>
            <w:cnfStyle w:val="000010000000"/>
            <w:tcW w:w="1417" w:type="dxa"/>
          </w:tcPr>
          <w:p w:rsidR="00E51139" w:rsidRPr="00F17635" w:rsidRDefault="00AE7136" w:rsidP="00D3154E">
            <w:pPr>
              <w:jc w:val="center"/>
              <w:rPr>
                <w:rFonts w:cs="Arial"/>
                <w:color w:val="auto"/>
                <w:sz w:val="20"/>
                <w:szCs w:val="20"/>
              </w:rPr>
            </w:pPr>
            <w:r w:rsidRPr="00F17635">
              <w:rPr>
                <w:rFonts w:cs="Arial"/>
                <w:color w:val="auto"/>
                <w:sz w:val="20"/>
                <w:szCs w:val="20"/>
              </w:rPr>
              <w:t>0.</w:t>
            </w:r>
            <w:r w:rsidR="00F17635" w:rsidRPr="00F17635">
              <w:rPr>
                <w:rFonts w:cs="Arial"/>
                <w:color w:val="auto"/>
                <w:sz w:val="20"/>
                <w:szCs w:val="20"/>
              </w:rPr>
              <w:t>2</w:t>
            </w:r>
          </w:p>
        </w:tc>
        <w:tc>
          <w:tcPr>
            <w:tcW w:w="1559" w:type="dxa"/>
          </w:tcPr>
          <w:p w:rsidR="00E51139" w:rsidRPr="0018373F" w:rsidRDefault="0018373F" w:rsidP="00AE7136">
            <w:pPr>
              <w:jc w:val="center"/>
              <w:cnfStyle w:val="000000000000"/>
              <w:rPr>
                <w:rFonts w:cs="Arial"/>
                <w:color w:val="auto"/>
                <w:sz w:val="20"/>
                <w:szCs w:val="20"/>
              </w:rPr>
            </w:pPr>
            <w:r w:rsidRPr="0018373F">
              <w:rPr>
                <w:rFonts w:cs="Arial"/>
                <w:color w:val="auto"/>
                <w:sz w:val="20"/>
                <w:szCs w:val="20"/>
              </w:rPr>
              <w:t>(0.2)</w:t>
            </w:r>
          </w:p>
        </w:tc>
      </w:tr>
      <w:tr w:rsidR="00E51139" w:rsidRPr="00D42E0B" w:rsidTr="00373F87">
        <w:trPr>
          <w:cnfStyle w:val="000000100000"/>
          <w:trHeight w:hRule="exact" w:val="284"/>
        </w:trPr>
        <w:tc>
          <w:tcPr>
            <w:cnfStyle w:val="000010000000"/>
            <w:tcW w:w="4394" w:type="dxa"/>
          </w:tcPr>
          <w:p w:rsidR="00E51139" w:rsidRPr="00F17635" w:rsidRDefault="00E51139" w:rsidP="003D2562">
            <w:pPr>
              <w:rPr>
                <w:rFonts w:cs="Arial"/>
                <w:color w:val="auto"/>
                <w:sz w:val="20"/>
                <w:szCs w:val="20"/>
              </w:rPr>
            </w:pPr>
            <w:r w:rsidRPr="00F17635">
              <w:rPr>
                <w:rFonts w:cs="Arial"/>
                <w:color w:val="auto"/>
                <w:sz w:val="20"/>
                <w:szCs w:val="20"/>
              </w:rPr>
              <w:t>Revenue &amp; Reserves</w:t>
            </w:r>
          </w:p>
        </w:tc>
        <w:tc>
          <w:tcPr>
            <w:tcW w:w="1560" w:type="dxa"/>
          </w:tcPr>
          <w:p w:rsidR="00E51139" w:rsidRPr="00DC657C" w:rsidRDefault="00DC657C" w:rsidP="00D3154E">
            <w:pPr>
              <w:jc w:val="center"/>
              <w:cnfStyle w:val="000000100000"/>
              <w:rPr>
                <w:rFonts w:cs="Arial"/>
                <w:color w:val="auto"/>
                <w:sz w:val="20"/>
                <w:szCs w:val="20"/>
              </w:rPr>
            </w:pPr>
            <w:r w:rsidRPr="00DC657C">
              <w:rPr>
                <w:rFonts w:cs="Arial"/>
                <w:color w:val="auto"/>
                <w:sz w:val="20"/>
                <w:szCs w:val="20"/>
              </w:rPr>
              <w:t>0.9</w:t>
            </w:r>
          </w:p>
        </w:tc>
        <w:tc>
          <w:tcPr>
            <w:cnfStyle w:val="000010000000"/>
            <w:tcW w:w="1417" w:type="dxa"/>
          </w:tcPr>
          <w:p w:rsidR="00E51139" w:rsidRPr="00F17635" w:rsidRDefault="00895822" w:rsidP="005F2086">
            <w:pPr>
              <w:jc w:val="center"/>
              <w:rPr>
                <w:rFonts w:cs="Arial"/>
                <w:color w:val="auto"/>
                <w:sz w:val="20"/>
                <w:szCs w:val="20"/>
              </w:rPr>
            </w:pPr>
            <w:r w:rsidRPr="00F17635">
              <w:rPr>
                <w:rFonts w:cs="Arial"/>
                <w:color w:val="auto"/>
                <w:sz w:val="20"/>
                <w:szCs w:val="20"/>
              </w:rPr>
              <w:t>1.</w:t>
            </w:r>
            <w:r w:rsidR="00F17635" w:rsidRPr="00F17635">
              <w:rPr>
                <w:rFonts w:cs="Arial"/>
                <w:color w:val="auto"/>
                <w:sz w:val="20"/>
                <w:szCs w:val="20"/>
              </w:rPr>
              <w:t>5</w:t>
            </w:r>
          </w:p>
        </w:tc>
        <w:tc>
          <w:tcPr>
            <w:tcW w:w="1559" w:type="dxa"/>
          </w:tcPr>
          <w:p w:rsidR="00E51139" w:rsidRPr="0018373F" w:rsidRDefault="0018373F" w:rsidP="00D3154E">
            <w:pPr>
              <w:jc w:val="center"/>
              <w:cnfStyle w:val="000000100000"/>
              <w:rPr>
                <w:rFonts w:cs="Arial"/>
                <w:color w:val="auto"/>
                <w:sz w:val="20"/>
                <w:szCs w:val="20"/>
              </w:rPr>
            </w:pPr>
            <w:r w:rsidRPr="0018373F">
              <w:rPr>
                <w:rFonts w:cs="Arial"/>
                <w:color w:val="auto"/>
                <w:sz w:val="20"/>
                <w:szCs w:val="20"/>
              </w:rPr>
              <w:t>0.6</w:t>
            </w:r>
          </w:p>
        </w:tc>
      </w:tr>
      <w:tr w:rsidR="00E51139" w:rsidRPr="00D42E0B" w:rsidTr="00373F87">
        <w:trPr>
          <w:trHeight w:hRule="exact" w:val="284"/>
        </w:trPr>
        <w:tc>
          <w:tcPr>
            <w:cnfStyle w:val="000010000000"/>
            <w:tcW w:w="4394" w:type="dxa"/>
          </w:tcPr>
          <w:p w:rsidR="00E51139" w:rsidRPr="00F17635" w:rsidRDefault="00E51139" w:rsidP="003D2562">
            <w:pPr>
              <w:rPr>
                <w:rFonts w:cs="Arial"/>
                <w:color w:val="auto"/>
                <w:sz w:val="20"/>
                <w:szCs w:val="20"/>
              </w:rPr>
            </w:pPr>
            <w:r w:rsidRPr="00F17635">
              <w:rPr>
                <w:rFonts w:cs="Arial"/>
                <w:color w:val="auto"/>
                <w:sz w:val="20"/>
                <w:szCs w:val="20"/>
              </w:rPr>
              <w:t>Capital Receipts</w:t>
            </w:r>
          </w:p>
        </w:tc>
        <w:tc>
          <w:tcPr>
            <w:tcW w:w="1560" w:type="dxa"/>
          </w:tcPr>
          <w:p w:rsidR="00E51139" w:rsidRPr="00DC657C" w:rsidRDefault="00DC657C" w:rsidP="00DC657C">
            <w:pPr>
              <w:jc w:val="center"/>
              <w:cnfStyle w:val="000000000000"/>
              <w:rPr>
                <w:rFonts w:cs="Arial"/>
                <w:color w:val="auto"/>
                <w:sz w:val="20"/>
                <w:szCs w:val="20"/>
              </w:rPr>
            </w:pPr>
            <w:r w:rsidRPr="00DC657C">
              <w:rPr>
                <w:rFonts w:cs="Arial"/>
                <w:color w:val="auto"/>
                <w:sz w:val="20"/>
                <w:szCs w:val="20"/>
              </w:rPr>
              <w:t>1.0</w:t>
            </w:r>
          </w:p>
        </w:tc>
        <w:tc>
          <w:tcPr>
            <w:cnfStyle w:val="000010000000"/>
            <w:tcW w:w="1417" w:type="dxa"/>
          </w:tcPr>
          <w:p w:rsidR="00E51139" w:rsidRPr="00F17635" w:rsidRDefault="00F17635" w:rsidP="00204530">
            <w:pPr>
              <w:jc w:val="center"/>
              <w:rPr>
                <w:rFonts w:cs="Arial"/>
                <w:color w:val="auto"/>
                <w:sz w:val="20"/>
                <w:szCs w:val="20"/>
              </w:rPr>
            </w:pPr>
            <w:r w:rsidRPr="00F17635">
              <w:rPr>
                <w:rFonts w:cs="Arial"/>
                <w:color w:val="auto"/>
                <w:sz w:val="20"/>
                <w:szCs w:val="20"/>
              </w:rPr>
              <w:t>2.7</w:t>
            </w:r>
          </w:p>
        </w:tc>
        <w:tc>
          <w:tcPr>
            <w:tcW w:w="1559" w:type="dxa"/>
          </w:tcPr>
          <w:p w:rsidR="00E51139" w:rsidRPr="0018373F" w:rsidRDefault="0018373F" w:rsidP="00D3154E">
            <w:pPr>
              <w:jc w:val="center"/>
              <w:cnfStyle w:val="000000000000"/>
              <w:rPr>
                <w:rFonts w:cs="Arial"/>
                <w:color w:val="auto"/>
                <w:sz w:val="20"/>
                <w:szCs w:val="20"/>
              </w:rPr>
            </w:pPr>
            <w:r w:rsidRPr="0018373F">
              <w:rPr>
                <w:rFonts w:cs="Arial"/>
                <w:color w:val="auto"/>
                <w:sz w:val="20"/>
                <w:szCs w:val="20"/>
              </w:rPr>
              <w:t>1.7</w:t>
            </w:r>
          </w:p>
        </w:tc>
      </w:tr>
      <w:tr w:rsidR="00E51139" w:rsidRPr="00D42E0B" w:rsidTr="00373F87">
        <w:trPr>
          <w:cnfStyle w:val="000000100000"/>
          <w:trHeight w:hRule="exact" w:val="284"/>
        </w:trPr>
        <w:tc>
          <w:tcPr>
            <w:cnfStyle w:val="000010000000"/>
            <w:tcW w:w="4394" w:type="dxa"/>
          </w:tcPr>
          <w:p w:rsidR="00E51139" w:rsidRPr="00F17635" w:rsidRDefault="00E51139" w:rsidP="003D2562">
            <w:pPr>
              <w:rPr>
                <w:rFonts w:cs="Arial"/>
                <w:b/>
                <w:color w:val="auto"/>
                <w:sz w:val="20"/>
                <w:szCs w:val="20"/>
              </w:rPr>
            </w:pPr>
            <w:r w:rsidRPr="00F17635">
              <w:rPr>
                <w:rFonts w:cs="Arial"/>
                <w:b/>
                <w:color w:val="auto"/>
                <w:sz w:val="20"/>
                <w:szCs w:val="20"/>
              </w:rPr>
              <w:t>Total Funding</w:t>
            </w:r>
          </w:p>
        </w:tc>
        <w:tc>
          <w:tcPr>
            <w:tcW w:w="1560" w:type="dxa"/>
          </w:tcPr>
          <w:p w:rsidR="00E51139" w:rsidRPr="00DC657C" w:rsidRDefault="00DC657C" w:rsidP="00D3154E">
            <w:pPr>
              <w:pStyle w:val="Header"/>
              <w:jc w:val="center"/>
              <w:cnfStyle w:val="000000100000"/>
              <w:rPr>
                <w:rFonts w:cs="Arial"/>
                <w:b/>
                <w:color w:val="auto"/>
                <w:sz w:val="20"/>
                <w:szCs w:val="20"/>
              </w:rPr>
            </w:pPr>
            <w:r w:rsidRPr="00DC657C">
              <w:rPr>
                <w:rFonts w:cs="Arial"/>
                <w:b/>
                <w:color w:val="auto"/>
                <w:sz w:val="20"/>
                <w:szCs w:val="20"/>
              </w:rPr>
              <w:t>28.6</w:t>
            </w:r>
          </w:p>
        </w:tc>
        <w:tc>
          <w:tcPr>
            <w:cnfStyle w:val="000010000000"/>
            <w:tcW w:w="1417" w:type="dxa"/>
          </w:tcPr>
          <w:p w:rsidR="00E51139" w:rsidRPr="00F17635" w:rsidRDefault="00D3154E" w:rsidP="00F17635">
            <w:pPr>
              <w:pStyle w:val="Header"/>
              <w:jc w:val="center"/>
              <w:rPr>
                <w:rFonts w:cs="Arial"/>
                <w:b/>
                <w:color w:val="auto"/>
                <w:sz w:val="20"/>
                <w:szCs w:val="20"/>
              </w:rPr>
            </w:pPr>
            <w:r w:rsidRPr="00F17635">
              <w:rPr>
                <w:rFonts w:cs="Arial"/>
                <w:b/>
                <w:color w:val="auto"/>
                <w:sz w:val="20"/>
                <w:szCs w:val="20"/>
              </w:rPr>
              <w:t>2</w:t>
            </w:r>
            <w:r w:rsidR="00F17635" w:rsidRPr="00F17635">
              <w:rPr>
                <w:rFonts w:cs="Arial"/>
                <w:b/>
                <w:color w:val="auto"/>
                <w:sz w:val="20"/>
                <w:szCs w:val="20"/>
              </w:rPr>
              <w:t>2.6</w:t>
            </w:r>
          </w:p>
        </w:tc>
        <w:tc>
          <w:tcPr>
            <w:tcW w:w="1559" w:type="dxa"/>
          </w:tcPr>
          <w:p w:rsidR="00E51139" w:rsidRPr="0018373F" w:rsidRDefault="0018373F" w:rsidP="00D3154E">
            <w:pPr>
              <w:pStyle w:val="Header"/>
              <w:jc w:val="center"/>
              <w:cnfStyle w:val="000000100000"/>
              <w:rPr>
                <w:rFonts w:cs="Arial"/>
                <w:b/>
                <w:color w:val="auto"/>
                <w:sz w:val="20"/>
                <w:szCs w:val="20"/>
              </w:rPr>
            </w:pPr>
            <w:r w:rsidRPr="0018373F">
              <w:rPr>
                <w:rFonts w:cs="Arial"/>
                <w:b/>
                <w:color w:val="auto"/>
                <w:sz w:val="20"/>
                <w:szCs w:val="20"/>
              </w:rPr>
              <w:t>(6.0)</w:t>
            </w:r>
          </w:p>
        </w:tc>
      </w:tr>
    </w:tbl>
    <w:p w:rsidR="00DD0861" w:rsidRPr="00D42E0B" w:rsidRDefault="00DD0861" w:rsidP="00F31A9D">
      <w:pPr>
        <w:pStyle w:val="BodyText"/>
        <w:widowControl w:val="0"/>
        <w:rPr>
          <w:rFonts w:cs="Arial"/>
          <w:strike/>
          <w:color w:val="548DD4" w:themeColor="text2" w:themeTint="99"/>
          <w:sz w:val="20"/>
          <w:szCs w:val="20"/>
        </w:rPr>
      </w:pPr>
    </w:p>
    <w:p w:rsidR="00F82C04" w:rsidRPr="00666512" w:rsidRDefault="00E51139" w:rsidP="00F31A9D">
      <w:pPr>
        <w:pStyle w:val="BodyText"/>
        <w:widowControl w:val="0"/>
        <w:rPr>
          <w:rFonts w:cs="Arial"/>
          <w:color w:val="auto"/>
          <w:sz w:val="20"/>
          <w:szCs w:val="20"/>
        </w:rPr>
      </w:pPr>
      <w:r w:rsidRPr="00666512">
        <w:rPr>
          <w:rFonts w:cs="Arial"/>
          <w:color w:val="auto"/>
          <w:sz w:val="20"/>
          <w:szCs w:val="20"/>
        </w:rPr>
        <w:t xml:space="preserve">The </w:t>
      </w:r>
      <w:r w:rsidR="00FF5065" w:rsidRPr="00666512">
        <w:rPr>
          <w:rFonts w:cs="Arial"/>
          <w:color w:val="auto"/>
          <w:sz w:val="20"/>
          <w:szCs w:val="20"/>
        </w:rPr>
        <w:t xml:space="preserve">capital </w:t>
      </w:r>
      <w:r w:rsidRPr="00666512">
        <w:rPr>
          <w:rFonts w:cs="Arial"/>
          <w:color w:val="auto"/>
          <w:sz w:val="20"/>
          <w:szCs w:val="20"/>
        </w:rPr>
        <w:t>expenditure in the year of £</w:t>
      </w:r>
      <w:r w:rsidR="0083163E" w:rsidRPr="00666512">
        <w:rPr>
          <w:rFonts w:cs="Arial"/>
          <w:color w:val="auto"/>
          <w:sz w:val="20"/>
          <w:szCs w:val="20"/>
        </w:rPr>
        <w:t>2</w:t>
      </w:r>
      <w:r w:rsidR="00666512" w:rsidRPr="00666512">
        <w:rPr>
          <w:rFonts w:cs="Arial"/>
          <w:color w:val="auto"/>
          <w:sz w:val="20"/>
          <w:szCs w:val="20"/>
        </w:rPr>
        <w:t>2.6</w:t>
      </w:r>
      <w:r w:rsidR="00F8001F" w:rsidRPr="00666512">
        <w:rPr>
          <w:rFonts w:cs="Arial"/>
          <w:color w:val="auto"/>
          <w:sz w:val="20"/>
          <w:szCs w:val="20"/>
        </w:rPr>
        <w:t>m</w:t>
      </w:r>
      <w:r w:rsidRPr="00666512">
        <w:rPr>
          <w:rFonts w:cs="Arial"/>
          <w:color w:val="auto"/>
          <w:sz w:val="20"/>
          <w:szCs w:val="20"/>
        </w:rPr>
        <w:t xml:space="preserve"> </w:t>
      </w:r>
      <w:r w:rsidR="00DE5F3E" w:rsidRPr="00666512">
        <w:rPr>
          <w:rFonts w:cs="Arial"/>
          <w:color w:val="auto"/>
          <w:sz w:val="20"/>
          <w:szCs w:val="20"/>
        </w:rPr>
        <w:t xml:space="preserve">based on </w:t>
      </w:r>
      <w:r w:rsidRPr="00666512">
        <w:rPr>
          <w:rFonts w:cs="Arial"/>
          <w:color w:val="auto"/>
          <w:sz w:val="20"/>
          <w:szCs w:val="20"/>
        </w:rPr>
        <w:t>the four management divisions that the Council reports on for internal reporting are as follows:</w:t>
      </w:r>
    </w:p>
    <w:tbl>
      <w:tblPr>
        <w:tblStyle w:val="ListTable3-Accent51"/>
        <w:tblW w:w="8931" w:type="dxa"/>
        <w:tblInd w:w="108" w:type="dxa"/>
        <w:tblLayout w:type="fixed"/>
        <w:tblLook w:val="0000"/>
      </w:tblPr>
      <w:tblGrid>
        <w:gridCol w:w="4962"/>
        <w:gridCol w:w="992"/>
        <w:gridCol w:w="1134"/>
        <w:gridCol w:w="850"/>
        <w:gridCol w:w="993"/>
      </w:tblGrid>
      <w:tr w:rsidR="00E51139" w:rsidRPr="00D42E0B" w:rsidTr="00A66A3D">
        <w:trPr>
          <w:cnfStyle w:val="000000100000"/>
        </w:trPr>
        <w:tc>
          <w:tcPr>
            <w:cnfStyle w:val="000010000000"/>
            <w:tcW w:w="4962" w:type="dxa"/>
            <w:shd w:val="clear" w:color="auto" w:fill="4BACC6" w:themeFill="accent5"/>
          </w:tcPr>
          <w:p w:rsidR="00E51139" w:rsidRPr="00A66A3D" w:rsidRDefault="00E51139" w:rsidP="003D2562">
            <w:pPr>
              <w:pStyle w:val="Quick1"/>
              <w:numPr>
                <w:ilvl w:val="0"/>
                <w:numId w:val="0"/>
              </w:numPr>
              <w:jc w:val="left"/>
              <w:rPr>
                <w:rFonts w:ascii="Arial" w:hAnsi="Arial" w:cs="Arial"/>
                <w:sz w:val="20"/>
              </w:rPr>
            </w:pPr>
          </w:p>
        </w:tc>
        <w:tc>
          <w:tcPr>
            <w:tcW w:w="992" w:type="dxa"/>
            <w:shd w:val="clear" w:color="auto" w:fill="4BACC6" w:themeFill="accent5"/>
          </w:tcPr>
          <w:p w:rsidR="00E51139" w:rsidRPr="00A66A3D" w:rsidRDefault="001E779A" w:rsidP="001E779A">
            <w:pPr>
              <w:pStyle w:val="Quick1"/>
              <w:numPr>
                <w:ilvl w:val="0"/>
                <w:numId w:val="0"/>
              </w:numPr>
              <w:jc w:val="center"/>
              <w:cnfStyle w:val="000000100000"/>
              <w:rPr>
                <w:rFonts w:ascii="Arial" w:hAnsi="Arial" w:cs="Arial"/>
                <w:sz w:val="20"/>
              </w:rPr>
            </w:pPr>
            <w:r w:rsidRPr="00A66A3D">
              <w:rPr>
                <w:rFonts w:ascii="Arial" w:hAnsi="Arial" w:cs="Arial"/>
                <w:sz w:val="20"/>
              </w:rPr>
              <w:t>Latest</w:t>
            </w:r>
            <w:r w:rsidR="00E51139" w:rsidRPr="00A66A3D">
              <w:rPr>
                <w:rFonts w:ascii="Arial" w:hAnsi="Arial" w:cs="Arial"/>
                <w:sz w:val="20"/>
              </w:rPr>
              <w:t xml:space="preserve"> Budget</w:t>
            </w:r>
          </w:p>
        </w:tc>
        <w:tc>
          <w:tcPr>
            <w:cnfStyle w:val="000010000000"/>
            <w:tcW w:w="1134" w:type="dxa"/>
            <w:shd w:val="clear" w:color="auto" w:fill="4BACC6" w:themeFill="accent5"/>
          </w:tcPr>
          <w:p w:rsidR="00732FBE" w:rsidRPr="00A66A3D" w:rsidRDefault="00732FBE" w:rsidP="003D2562">
            <w:pPr>
              <w:pStyle w:val="Quick1"/>
              <w:numPr>
                <w:ilvl w:val="0"/>
                <w:numId w:val="0"/>
              </w:numPr>
              <w:jc w:val="center"/>
              <w:rPr>
                <w:rFonts w:ascii="Arial" w:hAnsi="Arial" w:cs="Arial"/>
                <w:sz w:val="20"/>
              </w:rPr>
            </w:pPr>
          </w:p>
          <w:p w:rsidR="00E51139" w:rsidRPr="00A66A3D" w:rsidRDefault="00E51139" w:rsidP="003D2562">
            <w:pPr>
              <w:pStyle w:val="Quick1"/>
              <w:numPr>
                <w:ilvl w:val="0"/>
                <w:numId w:val="0"/>
              </w:numPr>
              <w:jc w:val="center"/>
              <w:rPr>
                <w:rFonts w:ascii="Arial" w:hAnsi="Arial" w:cs="Arial"/>
                <w:sz w:val="20"/>
              </w:rPr>
            </w:pPr>
            <w:r w:rsidRPr="00A66A3D">
              <w:rPr>
                <w:rFonts w:ascii="Arial" w:hAnsi="Arial" w:cs="Arial"/>
                <w:sz w:val="20"/>
              </w:rPr>
              <w:t>Outturn</w:t>
            </w:r>
          </w:p>
        </w:tc>
        <w:tc>
          <w:tcPr>
            <w:tcW w:w="850" w:type="dxa"/>
            <w:shd w:val="clear" w:color="auto" w:fill="4BACC6" w:themeFill="accent5"/>
          </w:tcPr>
          <w:p w:rsidR="00E51139" w:rsidRPr="00A66A3D" w:rsidRDefault="00E51139" w:rsidP="003D2562">
            <w:pPr>
              <w:pStyle w:val="Quick1"/>
              <w:numPr>
                <w:ilvl w:val="0"/>
                <w:numId w:val="0"/>
              </w:numPr>
              <w:jc w:val="center"/>
              <w:cnfStyle w:val="000000100000"/>
              <w:rPr>
                <w:rFonts w:ascii="Arial" w:hAnsi="Arial" w:cs="Arial"/>
                <w:sz w:val="20"/>
              </w:rPr>
            </w:pPr>
          </w:p>
          <w:p w:rsidR="00E51139" w:rsidRPr="00A66A3D" w:rsidRDefault="00E51139" w:rsidP="00732FBE">
            <w:pPr>
              <w:pStyle w:val="Quick1"/>
              <w:numPr>
                <w:ilvl w:val="0"/>
                <w:numId w:val="0"/>
              </w:numPr>
              <w:jc w:val="center"/>
              <w:cnfStyle w:val="000000100000"/>
              <w:rPr>
                <w:rFonts w:ascii="Arial" w:hAnsi="Arial" w:cs="Arial"/>
                <w:sz w:val="20"/>
              </w:rPr>
            </w:pPr>
            <w:r w:rsidRPr="00A66A3D">
              <w:rPr>
                <w:rFonts w:ascii="Arial" w:hAnsi="Arial" w:cs="Arial"/>
                <w:sz w:val="20"/>
              </w:rPr>
              <w:t>Spent</w:t>
            </w:r>
          </w:p>
        </w:tc>
        <w:tc>
          <w:tcPr>
            <w:cnfStyle w:val="000010000000"/>
            <w:tcW w:w="993" w:type="dxa"/>
            <w:shd w:val="clear" w:color="auto" w:fill="4BACC6" w:themeFill="accent5"/>
          </w:tcPr>
          <w:p w:rsidR="00E51139" w:rsidRPr="00A66A3D" w:rsidRDefault="00E51139" w:rsidP="003D2562">
            <w:pPr>
              <w:pStyle w:val="Quick1"/>
              <w:numPr>
                <w:ilvl w:val="0"/>
                <w:numId w:val="0"/>
              </w:numPr>
              <w:jc w:val="center"/>
              <w:rPr>
                <w:rFonts w:ascii="Arial" w:hAnsi="Arial" w:cs="Arial"/>
                <w:sz w:val="20"/>
              </w:rPr>
            </w:pPr>
          </w:p>
          <w:p w:rsidR="00E51139" w:rsidRPr="00A66A3D" w:rsidRDefault="00E51139" w:rsidP="003D2562">
            <w:pPr>
              <w:pStyle w:val="Quick1"/>
              <w:numPr>
                <w:ilvl w:val="0"/>
                <w:numId w:val="0"/>
              </w:numPr>
              <w:jc w:val="center"/>
              <w:rPr>
                <w:rFonts w:ascii="Arial" w:hAnsi="Arial" w:cs="Arial"/>
                <w:sz w:val="20"/>
              </w:rPr>
            </w:pPr>
            <w:r w:rsidRPr="00A66A3D">
              <w:rPr>
                <w:rFonts w:ascii="Arial" w:hAnsi="Arial" w:cs="Arial"/>
                <w:sz w:val="20"/>
              </w:rPr>
              <w:t xml:space="preserve">Variation </w:t>
            </w:r>
          </w:p>
        </w:tc>
      </w:tr>
      <w:tr w:rsidR="00E51139" w:rsidRPr="00D42E0B" w:rsidTr="00A66A3D">
        <w:trPr>
          <w:trHeight w:hRule="exact" w:val="284"/>
        </w:trPr>
        <w:tc>
          <w:tcPr>
            <w:cnfStyle w:val="000010000000"/>
            <w:tcW w:w="4962" w:type="dxa"/>
            <w:shd w:val="clear" w:color="auto" w:fill="4BACC6" w:themeFill="accent5"/>
          </w:tcPr>
          <w:p w:rsidR="00E51139" w:rsidRPr="00A66A3D" w:rsidRDefault="00E51139" w:rsidP="003D2562">
            <w:pPr>
              <w:pStyle w:val="Quick1"/>
              <w:numPr>
                <w:ilvl w:val="0"/>
                <w:numId w:val="0"/>
              </w:numPr>
              <w:jc w:val="left"/>
              <w:rPr>
                <w:rFonts w:ascii="Arial" w:hAnsi="Arial" w:cs="Arial"/>
                <w:sz w:val="20"/>
              </w:rPr>
            </w:pPr>
          </w:p>
        </w:tc>
        <w:tc>
          <w:tcPr>
            <w:tcW w:w="992" w:type="dxa"/>
            <w:shd w:val="clear" w:color="auto" w:fill="4BACC6" w:themeFill="accent5"/>
          </w:tcPr>
          <w:p w:rsidR="00E51139" w:rsidRPr="00A66A3D" w:rsidRDefault="00E51139" w:rsidP="003D2562">
            <w:pPr>
              <w:pStyle w:val="Quick1"/>
              <w:numPr>
                <w:ilvl w:val="0"/>
                <w:numId w:val="0"/>
              </w:numPr>
              <w:jc w:val="center"/>
              <w:cnfStyle w:val="000000000000"/>
              <w:rPr>
                <w:rFonts w:ascii="Arial" w:hAnsi="Arial" w:cs="Arial"/>
                <w:sz w:val="18"/>
                <w:szCs w:val="18"/>
              </w:rPr>
            </w:pPr>
            <w:r w:rsidRPr="00A66A3D">
              <w:rPr>
                <w:rFonts w:ascii="Arial" w:hAnsi="Arial" w:cs="Arial"/>
                <w:sz w:val="18"/>
                <w:szCs w:val="18"/>
              </w:rPr>
              <w:t>£m</w:t>
            </w:r>
          </w:p>
        </w:tc>
        <w:tc>
          <w:tcPr>
            <w:cnfStyle w:val="000010000000"/>
            <w:tcW w:w="1134" w:type="dxa"/>
            <w:shd w:val="clear" w:color="auto" w:fill="4BACC6" w:themeFill="accent5"/>
          </w:tcPr>
          <w:p w:rsidR="00E51139" w:rsidRPr="00A66A3D" w:rsidRDefault="00E51139" w:rsidP="003D2562">
            <w:pPr>
              <w:jc w:val="center"/>
              <w:rPr>
                <w:rFonts w:cs="Arial"/>
                <w:color w:val="auto"/>
                <w:sz w:val="18"/>
                <w:szCs w:val="18"/>
              </w:rPr>
            </w:pPr>
            <w:r w:rsidRPr="00A66A3D">
              <w:rPr>
                <w:rFonts w:cs="Arial"/>
                <w:color w:val="auto"/>
                <w:sz w:val="18"/>
                <w:szCs w:val="18"/>
              </w:rPr>
              <w:t>£m</w:t>
            </w:r>
          </w:p>
        </w:tc>
        <w:tc>
          <w:tcPr>
            <w:tcW w:w="850" w:type="dxa"/>
            <w:shd w:val="clear" w:color="auto" w:fill="4BACC6" w:themeFill="accent5"/>
          </w:tcPr>
          <w:p w:rsidR="00E51139" w:rsidRPr="00A66A3D" w:rsidRDefault="00E51139" w:rsidP="003D2562">
            <w:pPr>
              <w:jc w:val="center"/>
              <w:cnfStyle w:val="000000000000"/>
              <w:rPr>
                <w:rFonts w:cs="Arial"/>
                <w:color w:val="auto"/>
                <w:sz w:val="18"/>
                <w:szCs w:val="18"/>
              </w:rPr>
            </w:pPr>
            <w:r w:rsidRPr="00A66A3D">
              <w:rPr>
                <w:rFonts w:cs="Arial"/>
                <w:color w:val="auto"/>
                <w:sz w:val="18"/>
                <w:szCs w:val="18"/>
              </w:rPr>
              <w:t>%</w:t>
            </w:r>
          </w:p>
        </w:tc>
        <w:tc>
          <w:tcPr>
            <w:cnfStyle w:val="000010000000"/>
            <w:tcW w:w="993" w:type="dxa"/>
            <w:shd w:val="clear" w:color="auto" w:fill="4BACC6" w:themeFill="accent5"/>
          </w:tcPr>
          <w:p w:rsidR="00E51139" w:rsidRPr="00A66A3D" w:rsidRDefault="00E51139" w:rsidP="003D2562">
            <w:pPr>
              <w:jc w:val="center"/>
              <w:rPr>
                <w:rFonts w:cs="Arial"/>
                <w:color w:val="auto"/>
                <w:sz w:val="18"/>
                <w:szCs w:val="18"/>
              </w:rPr>
            </w:pPr>
            <w:r w:rsidRPr="00A66A3D">
              <w:rPr>
                <w:rFonts w:cs="Arial"/>
                <w:color w:val="auto"/>
                <w:sz w:val="18"/>
                <w:szCs w:val="18"/>
              </w:rPr>
              <w:t>£m</w:t>
            </w:r>
          </w:p>
        </w:tc>
      </w:tr>
      <w:tr w:rsidR="00E51139" w:rsidRPr="00D42E0B" w:rsidTr="00A66A3D">
        <w:trPr>
          <w:cnfStyle w:val="000000100000"/>
          <w:trHeight w:hRule="exact" w:val="284"/>
        </w:trPr>
        <w:tc>
          <w:tcPr>
            <w:cnfStyle w:val="000010000000"/>
            <w:tcW w:w="4962" w:type="dxa"/>
          </w:tcPr>
          <w:p w:rsidR="00E51139" w:rsidRPr="00A66A3D" w:rsidRDefault="00A66A3D" w:rsidP="00A66A3D">
            <w:pPr>
              <w:pStyle w:val="BodyTextIndent2"/>
              <w:ind w:left="0"/>
              <w:rPr>
                <w:rFonts w:cs="Arial"/>
                <w:color w:val="auto"/>
                <w:sz w:val="20"/>
                <w:szCs w:val="20"/>
              </w:rPr>
            </w:pPr>
            <w:r w:rsidRPr="00A66A3D">
              <w:rPr>
                <w:rFonts w:cs="Arial"/>
                <w:color w:val="auto"/>
                <w:sz w:val="20"/>
                <w:szCs w:val="20"/>
              </w:rPr>
              <w:t xml:space="preserve">Joint </w:t>
            </w:r>
            <w:r w:rsidR="007E33E1">
              <w:rPr>
                <w:rFonts w:cs="Arial"/>
                <w:color w:val="auto"/>
                <w:sz w:val="20"/>
                <w:szCs w:val="20"/>
              </w:rPr>
              <w:t>Commissioning</w:t>
            </w:r>
            <w:r w:rsidRPr="00A66A3D">
              <w:rPr>
                <w:rFonts w:cs="Arial"/>
                <w:color w:val="auto"/>
                <w:sz w:val="20"/>
                <w:szCs w:val="20"/>
              </w:rPr>
              <w:t xml:space="preserve"> – Childrens and Adults</w:t>
            </w:r>
          </w:p>
        </w:tc>
        <w:tc>
          <w:tcPr>
            <w:tcW w:w="992" w:type="dxa"/>
          </w:tcPr>
          <w:p w:rsidR="00E51139" w:rsidRPr="00A66A3D" w:rsidRDefault="00A66A3D" w:rsidP="006372E8">
            <w:pPr>
              <w:pStyle w:val="BodyTextIndent2"/>
              <w:ind w:left="0"/>
              <w:jc w:val="center"/>
              <w:cnfStyle w:val="000000100000"/>
              <w:rPr>
                <w:rFonts w:cs="Arial"/>
                <w:color w:val="auto"/>
                <w:sz w:val="20"/>
                <w:szCs w:val="20"/>
              </w:rPr>
            </w:pPr>
            <w:r w:rsidRPr="00A66A3D">
              <w:rPr>
                <w:rFonts w:cs="Arial"/>
                <w:color w:val="auto"/>
                <w:sz w:val="20"/>
                <w:szCs w:val="20"/>
              </w:rPr>
              <w:t>6.</w:t>
            </w:r>
            <w:r w:rsidR="006372E8">
              <w:rPr>
                <w:rFonts w:cs="Arial"/>
                <w:color w:val="auto"/>
                <w:sz w:val="20"/>
                <w:szCs w:val="20"/>
              </w:rPr>
              <w:t>0</w:t>
            </w:r>
          </w:p>
        </w:tc>
        <w:tc>
          <w:tcPr>
            <w:cnfStyle w:val="000010000000"/>
            <w:tcW w:w="1134" w:type="dxa"/>
          </w:tcPr>
          <w:p w:rsidR="00E51139" w:rsidRPr="00A66A3D" w:rsidRDefault="00A66A3D" w:rsidP="00D3154E">
            <w:pPr>
              <w:pStyle w:val="BodyTextIndent2"/>
              <w:ind w:left="0"/>
              <w:jc w:val="center"/>
              <w:rPr>
                <w:rFonts w:cs="Arial"/>
                <w:color w:val="auto"/>
                <w:sz w:val="20"/>
                <w:szCs w:val="20"/>
              </w:rPr>
            </w:pPr>
            <w:r w:rsidRPr="00A66A3D">
              <w:rPr>
                <w:rFonts w:cs="Arial"/>
                <w:color w:val="auto"/>
                <w:sz w:val="20"/>
                <w:szCs w:val="20"/>
              </w:rPr>
              <w:t>5.2</w:t>
            </w:r>
          </w:p>
        </w:tc>
        <w:tc>
          <w:tcPr>
            <w:tcW w:w="850" w:type="dxa"/>
          </w:tcPr>
          <w:p w:rsidR="00E51139" w:rsidRPr="00A66A3D" w:rsidRDefault="00A66A3D" w:rsidP="008D2C0C">
            <w:pPr>
              <w:pStyle w:val="Quick1"/>
              <w:numPr>
                <w:ilvl w:val="0"/>
                <w:numId w:val="0"/>
              </w:numPr>
              <w:jc w:val="center"/>
              <w:cnfStyle w:val="000000100000"/>
              <w:rPr>
                <w:rFonts w:ascii="Arial" w:hAnsi="Arial" w:cs="Arial"/>
                <w:sz w:val="20"/>
              </w:rPr>
            </w:pPr>
            <w:r w:rsidRPr="00A66A3D">
              <w:rPr>
                <w:rFonts w:ascii="Arial" w:hAnsi="Arial" w:cs="Arial"/>
                <w:sz w:val="20"/>
              </w:rPr>
              <w:t>8</w:t>
            </w:r>
            <w:r w:rsidR="008D2C0C">
              <w:rPr>
                <w:rFonts w:ascii="Arial" w:hAnsi="Arial" w:cs="Arial"/>
                <w:sz w:val="20"/>
              </w:rPr>
              <w:t>7</w:t>
            </w:r>
          </w:p>
        </w:tc>
        <w:tc>
          <w:tcPr>
            <w:cnfStyle w:val="000010000000"/>
            <w:tcW w:w="993" w:type="dxa"/>
          </w:tcPr>
          <w:p w:rsidR="00E51139" w:rsidRPr="00A66A3D" w:rsidRDefault="00A66A3D" w:rsidP="008D2C0C">
            <w:pPr>
              <w:pStyle w:val="BodyTextIndent2"/>
              <w:ind w:left="0"/>
              <w:jc w:val="center"/>
              <w:rPr>
                <w:rFonts w:cs="Arial"/>
                <w:color w:val="auto"/>
                <w:sz w:val="20"/>
                <w:szCs w:val="20"/>
              </w:rPr>
            </w:pPr>
            <w:r w:rsidRPr="00A66A3D">
              <w:rPr>
                <w:rFonts w:cs="Arial"/>
                <w:color w:val="auto"/>
                <w:sz w:val="20"/>
                <w:szCs w:val="20"/>
              </w:rPr>
              <w:t>(</w:t>
            </w:r>
            <w:r w:rsidR="008D2C0C">
              <w:rPr>
                <w:rFonts w:cs="Arial"/>
                <w:color w:val="auto"/>
                <w:sz w:val="20"/>
                <w:szCs w:val="20"/>
              </w:rPr>
              <w:t>0.8</w:t>
            </w:r>
            <w:r w:rsidRPr="00A66A3D">
              <w:rPr>
                <w:rFonts w:cs="Arial"/>
                <w:color w:val="auto"/>
                <w:sz w:val="20"/>
                <w:szCs w:val="20"/>
              </w:rPr>
              <w:t>)</w:t>
            </w:r>
          </w:p>
        </w:tc>
      </w:tr>
      <w:tr w:rsidR="00E51139" w:rsidRPr="00D42E0B" w:rsidTr="00A66A3D">
        <w:trPr>
          <w:trHeight w:hRule="exact" w:val="298"/>
        </w:trPr>
        <w:tc>
          <w:tcPr>
            <w:cnfStyle w:val="000010000000"/>
            <w:tcW w:w="4962" w:type="dxa"/>
          </w:tcPr>
          <w:p w:rsidR="00E51139" w:rsidRPr="00A66A3D" w:rsidRDefault="00A66A3D" w:rsidP="00F0243D">
            <w:pPr>
              <w:pStyle w:val="BodyTextIndent2"/>
              <w:ind w:left="0"/>
              <w:rPr>
                <w:rFonts w:cs="Arial"/>
                <w:color w:val="auto"/>
                <w:sz w:val="20"/>
                <w:szCs w:val="20"/>
              </w:rPr>
            </w:pPr>
            <w:r w:rsidRPr="00A66A3D">
              <w:rPr>
                <w:rFonts w:cs="Arial"/>
                <w:color w:val="auto"/>
                <w:sz w:val="20"/>
                <w:szCs w:val="20"/>
              </w:rPr>
              <w:t xml:space="preserve">Joint Operations – </w:t>
            </w:r>
            <w:r w:rsidR="007E33E1" w:rsidRPr="00A66A3D">
              <w:rPr>
                <w:rFonts w:cs="Arial"/>
                <w:color w:val="auto"/>
                <w:sz w:val="20"/>
                <w:szCs w:val="20"/>
              </w:rPr>
              <w:t>Community</w:t>
            </w:r>
            <w:r w:rsidRPr="00A66A3D">
              <w:rPr>
                <w:rFonts w:cs="Arial"/>
                <w:color w:val="auto"/>
                <w:sz w:val="20"/>
                <w:szCs w:val="20"/>
              </w:rPr>
              <w:t xml:space="preserve"> &amp; Customer Services</w:t>
            </w:r>
          </w:p>
        </w:tc>
        <w:tc>
          <w:tcPr>
            <w:tcW w:w="992" w:type="dxa"/>
          </w:tcPr>
          <w:p w:rsidR="00E51139" w:rsidRPr="00A66A3D" w:rsidRDefault="00A66A3D" w:rsidP="00083796">
            <w:pPr>
              <w:pStyle w:val="BodyTextIndent2"/>
              <w:ind w:left="0"/>
              <w:jc w:val="center"/>
              <w:cnfStyle w:val="000000000000"/>
              <w:rPr>
                <w:rFonts w:cs="Arial"/>
                <w:color w:val="auto"/>
                <w:sz w:val="20"/>
                <w:szCs w:val="20"/>
              </w:rPr>
            </w:pPr>
            <w:r w:rsidRPr="00A66A3D">
              <w:rPr>
                <w:rFonts w:cs="Arial"/>
                <w:color w:val="auto"/>
                <w:sz w:val="20"/>
                <w:szCs w:val="20"/>
              </w:rPr>
              <w:t>1</w:t>
            </w:r>
            <w:r w:rsidR="006372E8">
              <w:rPr>
                <w:rFonts w:cs="Arial"/>
                <w:color w:val="auto"/>
                <w:sz w:val="20"/>
                <w:szCs w:val="20"/>
              </w:rPr>
              <w:t>9.2</w:t>
            </w:r>
          </w:p>
        </w:tc>
        <w:tc>
          <w:tcPr>
            <w:cnfStyle w:val="000010000000"/>
            <w:tcW w:w="1134" w:type="dxa"/>
          </w:tcPr>
          <w:p w:rsidR="00E51139" w:rsidRPr="00A66A3D" w:rsidRDefault="00A66A3D" w:rsidP="00D3154E">
            <w:pPr>
              <w:pStyle w:val="BodyTextIndent2"/>
              <w:ind w:left="0"/>
              <w:jc w:val="center"/>
              <w:rPr>
                <w:rFonts w:cs="Arial"/>
                <w:color w:val="auto"/>
                <w:sz w:val="20"/>
                <w:szCs w:val="20"/>
              </w:rPr>
            </w:pPr>
            <w:r w:rsidRPr="00A66A3D">
              <w:rPr>
                <w:rFonts w:cs="Arial"/>
                <w:color w:val="auto"/>
                <w:sz w:val="20"/>
                <w:szCs w:val="20"/>
              </w:rPr>
              <w:t>14.6</w:t>
            </w:r>
          </w:p>
        </w:tc>
        <w:tc>
          <w:tcPr>
            <w:tcW w:w="850" w:type="dxa"/>
          </w:tcPr>
          <w:p w:rsidR="00E51139" w:rsidRPr="00A66A3D" w:rsidRDefault="00A66A3D" w:rsidP="00D3154E">
            <w:pPr>
              <w:pStyle w:val="Quick1"/>
              <w:numPr>
                <w:ilvl w:val="0"/>
                <w:numId w:val="0"/>
              </w:numPr>
              <w:jc w:val="center"/>
              <w:cnfStyle w:val="000000000000"/>
              <w:rPr>
                <w:rFonts w:ascii="Arial" w:hAnsi="Arial" w:cs="Arial"/>
                <w:sz w:val="20"/>
              </w:rPr>
            </w:pPr>
            <w:r w:rsidRPr="00A66A3D">
              <w:rPr>
                <w:rFonts w:ascii="Arial" w:hAnsi="Arial" w:cs="Arial"/>
                <w:sz w:val="20"/>
              </w:rPr>
              <w:t>7</w:t>
            </w:r>
            <w:r w:rsidR="008D2C0C">
              <w:rPr>
                <w:rFonts w:ascii="Arial" w:hAnsi="Arial" w:cs="Arial"/>
                <w:sz w:val="20"/>
              </w:rPr>
              <w:t>6</w:t>
            </w:r>
          </w:p>
        </w:tc>
        <w:tc>
          <w:tcPr>
            <w:cnfStyle w:val="000010000000"/>
            <w:tcW w:w="993" w:type="dxa"/>
          </w:tcPr>
          <w:p w:rsidR="00E51139" w:rsidRPr="00A66A3D" w:rsidRDefault="00A66A3D" w:rsidP="00264A88">
            <w:pPr>
              <w:pStyle w:val="BodyTextIndent2"/>
              <w:ind w:left="0"/>
              <w:jc w:val="center"/>
              <w:rPr>
                <w:rFonts w:cs="Arial"/>
                <w:color w:val="auto"/>
                <w:sz w:val="20"/>
                <w:szCs w:val="20"/>
              </w:rPr>
            </w:pPr>
            <w:r w:rsidRPr="00A66A3D">
              <w:rPr>
                <w:rFonts w:cs="Arial"/>
                <w:color w:val="auto"/>
                <w:sz w:val="20"/>
                <w:szCs w:val="20"/>
              </w:rPr>
              <w:t>(</w:t>
            </w:r>
            <w:r w:rsidR="00264A88">
              <w:rPr>
                <w:rFonts w:cs="Arial"/>
                <w:color w:val="auto"/>
                <w:sz w:val="20"/>
                <w:szCs w:val="20"/>
              </w:rPr>
              <w:t>4</w:t>
            </w:r>
            <w:r w:rsidRPr="00A66A3D">
              <w:rPr>
                <w:rFonts w:cs="Arial"/>
                <w:color w:val="auto"/>
                <w:sz w:val="20"/>
                <w:szCs w:val="20"/>
              </w:rPr>
              <w:t>.</w:t>
            </w:r>
            <w:r w:rsidR="008D2C0C">
              <w:rPr>
                <w:rFonts w:cs="Arial"/>
                <w:color w:val="auto"/>
                <w:sz w:val="20"/>
                <w:szCs w:val="20"/>
              </w:rPr>
              <w:t>6</w:t>
            </w:r>
            <w:r w:rsidRPr="00A66A3D">
              <w:rPr>
                <w:rFonts w:cs="Arial"/>
                <w:color w:val="auto"/>
                <w:sz w:val="20"/>
                <w:szCs w:val="20"/>
              </w:rPr>
              <w:t>)</w:t>
            </w:r>
          </w:p>
        </w:tc>
      </w:tr>
      <w:tr w:rsidR="00E51139" w:rsidRPr="00D42E0B" w:rsidTr="00A66A3D">
        <w:trPr>
          <w:cnfStyle w:val="000000100000"/>
          <w:trHeight w:hRule="exact" w:val="284"/>
        </w:trPr>
        <w:tc>
          <w:tcPr>
            <w:cnfStyle w:val="000010000000"/>
            <w:tcW w:w="4962" w:type="dxa"/>
          </w:tcPr>
          <w:p w:rsidR="00E51139" w:rsidRPr="00A66A3D" w:rsidRDefault="00A66A3D" w:rsidP="00823942">
            <w:pPr>
              <w:pStyle w:val="BodyTextIndent2"/>
              <w:ind w:left="0"/>
              <w:rPr>
                <w:rFonts w:cs="Arial"/>
                <w:color w:val="auto"/>
                <w:sz w:val="20"/>
                <w:szCs w:val="20"/>
              </w:rPr>
            </w:pPr>
            <w:r w:rsidRPr="00A66A3D">
              <w:rPr>
                <w:rFonts w:cs="Arial"/>
                <w:color w:val="auto"/>
                <w:sz w:val="20"/>
                <w:szCs w:val="20"/>
              </w:rPr>
              <w:t>Joint Operations – Corporate &amp; Business Services</w:t>
            </w:r>
          </w:p>
        </w:tc>
        <w:tc>
          <w:tcPr>
            <w:tcW w:w="992" w:type="dxa"/>
          </w:tcPr>
          <w:p w:rsidR="00E51139" w:rsidRPr="00A66A3D" w:rsidRDefault="00A66A3D" w:rsidP="00083796">
            <w:pPr>
              <w:pStyle w:val="BodyTextIndent2"/>
              <w:ind w:left="0"/>
              <w:jc w:val="center"/>
              <w:cnfStyle w:val="000000100000"/>
              <w:rPr>
                <w:rFonts w:cs="Arial"/>
                <w:color w:val="auto"/>
                <w:sz w:val="20"/>
                <w:szCs w:val="20"/>
              </w:rPr>
            </w:pPr>
            <w:r w:rsidRPr="00A66A3D">
              <w:rPr>
                <w:rFonts w:cs="Arial"/>
                <w:color w:val="auto"/>
                <w:sz w:val="20"/>
                <w:szCs w:val="20"/>
              </w:rPr>
              <w:t>3.</w:t>
            </w:r>
            <w:r w:rsidR="006372E8">
              <w:rPr>
                <w:rFonts w:cs="Arial"/>
                <w:color w:val="auto"/>
                <w:sz w:val="20"/>
                <w:szCs w:val="20"/>
              </w:rPr>
              <w:t>4</w:t>
            </w:r>
          </w:p>
        </w:tc>
        <w:tc>
          <w:tcPr>
            <w:cnfStyle w:val="000010000000"/>
            <w:tcW w:w="1134" w:type="dxa"/>
          </w:tcPr>
          <w:p w:rsidR="00E51139" w:rsidRPr="00A66A3D" w:rsidRDefault="00A66A3D" w:rsidP="00D3154E">
            <w:pPr>
              <w:pStyle w:val="BodyTextIndent2"/>
              <w:ind w:left="0"/>
              <w:jc w:val="center"/>
              <w:rPr>
                <w:rFonts w:cs="Arial"/>
                <w:color w:val="auto"/>
                <w:sz w:val="20"/>
                <w:szCs w:val="20"/>
              </w:rPr>
            </w:pPr>
            <w:r w:rsidRPr="00A66A3D">
              <w:rPr>
                <w:rFonts w:cs="Arial"/>
                <w:color w:val="auto"/>
                <w:sz w:val="20"/>
                <w:szCs w:val="20"/>
              </w:rPr>
              <w:t>2.8</w:t>
            </w:r>
          </w:p>
        </w:tc>
        <w:tc>
          <w:tcPr>
            <w:tcW w:w="850" w:type="dxa"/>
          </w:tcPr>
          <w:p w:rsidR="00E51139" w:rsidRPr="00A66A3D" w:rsidRDefault="00A66A3D" w:rsidP="008D2C0C">
            <w:pPr>
              <w:pStyle w:val="Quick1"/>
              <w:numPr>
                <w:ilvl w:val="0"/>
                <w:numId w:val="0"/>
              </w:numPr>
              <w:jc w:val="center"/>
              <w:cnfStyle w:val="000000100000"/>
              <w:rPr>
                <w:rFonts w:ascii="Arial" w:hAnsi="Arial" w:cs="Arial"/>
                <w:sz w:val="20"/>
              </w:rPr>
            </w:pPr>
            <w:r w:rsidRPr="00A66A3D">
              <w:rPr>
                <w:rFonts w:ascii="Arial" w:hAnsi="Arial" w:cs="Arial"/>
                <w:sz w:val="20"/>
              </w:rPr>
              <w:t>8</w:t>
            </w:r>
            <w:r w:rsidR="008D2C0C">
              <w:rPr>
                <w:rFonts w:ascii="Arial" w:hAnsi="Arial" w:cs="Arial"/>
                <w:sz w:val="20"/>
              </w:rPr>
              <w:t>2</w:t>
            </w:r>
          </w:p>
        </w:tc>
        <w:tc>
          <w:tcPr>
            <w:cnfStyle w:val="000010000000"/>
            <w:tcW w:w="993" w:type="dxa"/>
          </w:tcPr>
          <w:p w:rsidR="00E51139" w:rsidRPr="00A66A3D" w:rsidRDefault="00A66A3D" w:rsidP="008D2C0C">
            <w:pPr>
              <w:pStyle w:val="BodyTextIndent2"/>
              <w:ind w:left="0"/>
              <w:jc w:val="center"/>
              <w:rPr>
                <w:rFonts w:cs="Arial"/>
                <w:color w:val="auto"/>
                <w:sz w:val="20"/>
                <w:szCs w:val="20"/>
              </w:rPr>
            </w:pPr>
            <w:r w:rsidRPr="00A66A3D">
              <w:rPr>
                <w:rFonts w:cs="Arial"/>
                <w:color w:val="auto"/>
                <w:sz w:val="20"/>
                <w:szCs w:val="20"/>
              </w:rPr>
              <w:t>(0.</w:t>
            </w:r>
            <w:r w:rsidR="008D2C0C">
              <w:rPr>
                <w:rFonts w:cs="Arial"/>
                <w:color w:val="auto"/>
                <w:sz w:val="20"/>
                <w:szCs w:val="20"/>
              </w:rPr>
              <w:t>6</w:t>
            </w:r>
            <w:r w:rsidRPr="00A66A3D">
              <w:rPr>
                <w:rFonts w:cs="Arial"/>
                <w:color w:val="auto"/>
                <w:sz w:val="20"/>
                <w:szCs w:val="20"/>
              </w:rPr>
              <w:t>)</w:t>
            </w:r>
          </w:p>
        </w:tc>
      </w:tr>
      <w:tr w:rsidR="00E51139" w:rsidRPr="00D42E0B" w:rsidTr="00A66A3D">
        <w:trPr>
          <w:trHeight w:hRule="exact" w:val="284"/>
        </w:trPr>
        <w:tc>
          <w:tcPr>
            <w:cnfStyle w:val="000010000000"/>
            <w:tcW w:w="4962" w:type="dxa"/>
          </w:tcPr>
          <w:p w:rsidR="00E51139" w:rsidRPr="00A66A3D" w:rsidRDefault="004825A2" w:rsidP="00F0243D">
            <w:pPr>
              <w:pStyle w:val="Quick1"/>
              <w:numPr>
                <w:ilvl w:val="0"/>
                <w:numId w:val="0"/>
              </w:numPr>
              <w:jc w:val="left"/>
              <w:rPr>
                <w:rFonts w:ascii="Arial" w:hAnsi="Arial" w:cs="Arial"/>
                <w:b/>
                <w:sz w:val="20"/>
              </w:rPr>
            </w:pPr>
            <w:r w:rsidRPr="00A66A3D">
              <w:rPr>
                <w:rFonts w:ascii="Arial" w:hAnsi="Arial" w:cs="Arial"/>
                <w:b/>
                <w:sz w:val="20"/>
              </w:rPr>
              <w:t>Total</w:t>
            </w:r>
          </w:p>
          <w:p w:rsidR="00E51139" w:rsidRPr="00A66A3D" w:rsidRDefault="00E51139" w:rsidP="00F0243D">
            <w:pPr>
              <w:pStyle w:val="Quick1"/>
              <w:numPr>
                <w:ilvl w:val="0"/>
                <w:numId w:val="0"/>
              </w:numPr>
              <w:jc w:val="left"/>
              <w:rPr>
                <w:rFonts w:ascii="Arial" w:hAnsi="Arial" w:cs="Arial"/>
                <w:b/>
                <w:sz w:val="20"/>
              </w:rPr>
            </w:pPr>
          </w:p>
        </w:tc>
        <w:tc>
          <w:tcPr>
            <w:tcW w:w="992" w:type="dxa"/>
          </w:tcPr>
          <w:p w:rsidR="00E51139" w:rsidRPr="00A66A3D" w:rsidRDefault="00A66A3D" w:rsidP="00D3154E">
            <w:pPr>
              <w:pStyle w:val="Quick1"/>
              <w:numPr>
                <w:ilvl w:val="0"/>
                <w:numId w:val="0"/>
              </w:numPr>
              <w:jc w:val="center"/>
              <w:cnfStyle w:val="000000000000"/>
              <w:rPr>
                <w:rFonts w:ascii="Arial" w:hAnsi="Arial" w:cs="Arial"/>
                <w:b/>
                <w:sz w:val="20"/>
              </w:rPr>
            </w:pPr>
            <w:r w:rsidRPr="00A66A3D">
              <w:rPr>
                <w:rFonts w:ascii="Arial" w:hAnsi="Arial" w:cs="Arial"/>
                <w:b/>
                <w:sz w:val="20"/>
              </w:rPr>
              <w:t>28.</w:t>
            </w:r>
            <w:r w:rsidR="006372E8">
              <w:rPr>
                <w:rFonts w:ascii="Arial" w:hAnsi="Arial" w:cs="Arial"/>
                <w:b/>
                <w:sz w:val="20"/>
              </w:rPr>
              <w:t>6</w:t>
            </w:r>
          </w:p>
        </w:tc>
        <w:tc>
          <w:tcPr>
            <w:cnfStyle w:val="000010000000"/>
            <w:tcW w:w="1134" w:type="dxa"/>
          </w:tcPr>
          <w:p w:rsidR="00E51139" w:rsidRPr="00A66A3D" w:rsidRDefault="00A66A3D" w:rsidP="00445DBA">
            <w:pPr>
              <w:pStyle w:val="Quick1"/>
              <w:numPr>
                <w:ilvl w:val="0"/>
                <w:numId w:val="0"/>
              </w:numPr>
              <w:jc w:val="center"/>
              <w:rPr>
                <w:rFonts w:ascii="Arial" w:hAnsi="Arial" w:cs="Arial"/>
                <w:b/>
                <w:sz w:val="20"/>
              </w:rPr>
            </w:pPr>
            <w:r w:rsidRPr="00A66A3D">
              <w:rPr>
                <w:rFonts w:ascii="Arial" w:hAnsi="Arial" w:cs="Arial"/>
                <w:b/>
                <w:sz w:val="20"/>
              </w:rPr>
              <w:t>22.6</w:t>
            </w:r>
          </w:p>
        </w:tc>
        <w:tc>
          <w:tcPr>
            <w:tcW w:w="850" w:type="dxa"/>
          </w:tcPr>
          <w:p w:rsidR="00E51139" w:rsidRPr="00A66A3D" w:rsidRDefault="008D2C0C" w:rsidP="008D2C0C">
            <w:pPr>
              <w:pStyle w:val="Quick1"/>
              <w:numPr>
                <w:ilvl w:val="0"/>
                <w:numId w:val="0"/>
              </w:numPr>
              <w:jc w:val="center"/>
              <w:cnfStyle w:val="000000000000"/>
              <w:rPr>
                <w:rFonts w:ascii="Arial" w:hAnsi="Arial" w:cs="Arial"/>
                <w:b/>
                <w:sz w:val="20"/>
              </w:rPr>
            </w:pPr>
            <w:r>
              <w:rPr>
                <w:rFonts w:ascii="Arial" w:hAnsi="Arial" w:cs="Arial"/>
                <w:b/>
                <w:sz w:val="20"/>
              </w:rPr>
              <w:t>79</w:t>
            </w:r>
          </w:p>
        </w:tc>
        <w:tc>
          <w:tcPr>
            <w:cnfStyle w:val="000010000000"/>
            <w:tcW w:w="993" w:type="dxa"/>
          </w:tcPr>
          <w:p w:rsidR="00E51139" w:rsidRPr="00A66A3D" w:rsidRDefault="00A66A3D" w:rsidP="008D2C0C">
            <w:pPr>
              <w:pStyle w:val="Quick1"/>
              <w:numPr>
                <w:ilvl w:val="0"/>
                <w:numId w:val="0"/>
              </w:numPr>
              <w:jc w:val="center"/>
              <w:rPr>
                <w:rFonts w:ascii="Arial" w:hAnsi="Arial" w:cs="Arial"/>
                <w:b/>
                <w:sz w:val="20"/>
              </w:rPr>
            </w:pPr>
            <w:r w:rsidRPr="00A66A3D">
              <w:rPr>
                <w:rFonts w:ascii="Arial" w:hAnsi="Arial" w:cs="Arial"/>
                <w:b/>
                <w:sz w:val="20"/>
              </w:rPr>
              <w:t>(</w:t>
            </w:r>
            <w:r w:rsidR="008D2C0C">
              <w:rPr>
                <w:rFonts w:ascii="Arial" w:hAnsi="Arial" w:cs="Arial"/>
                <w:b/>
                <w:sz w:val="20"/>
              </w:rPr>
              <w:t>6.0</w:t>
            </w:r>
            <w:r w:rsidRPr="00A66A3D">
              <w:rPr>
                <w:rFonts w:ascii="Arial" w:hAnsi="Arial" w:cs="Arial"/>
                <w:b/>
                <w:sz w:val="20"/>
              </w:rPr>
              <w:t>)</w:t>
            </w:r>
          </w:p>
        </w:tc>
      </w:tr>
    </w:tbl>
    <w:p w:rsidR="00E51139" w:rsidRPr="00A66A3D" w:rsidRDefault="00E51139" w:rsidP="00F31A9D">
      <w:pPr>
        <w:pStyle w:val="BodyText"/>
        <w:widowControl w:val="0"/>
        <w:rPr>
          <w:rFonts w:cs="Arial"/>
          <w:color w:val="auto"/>
          <w:sz w:val="20"/>
          <w:szCs w:val="20"/>
          <w:u w:val="single"/>
        </w:rPr>
      </w:pPr>
      <w:r w:rsidRPr="00A66A3D">
        <w:rPr>
          <w:rFonts w:cs="Arial"/>
          <w:color w:val="auto"/>
          <w:sz w:val="20"/>
          <w:szCs w:val="20"/>
          <w:u w:val="single"/>
        </w:rPr>
        <w:lastRenderedPageBreak/>
        <w:t>Material Assets or Liabilities acquired</w:t>
      </w:r>
    </w:p>
    <w:p w:rsidR="00E51139" w:rsidRPr="00A66A3D" w:rsidRDefault="00E51139" w:rsidP="00F31A9D">
      <w:pPr>
        <w:pStyle w:val="BodyText"/>
        <w:widowControl w:val="0"/>
        <w:rPr>
          <w:rFonts w:cs="Arial"/>
          <w:color w:val="auto"/>
          <w:sz w:val="20"/>
          <w:szCs w:val="20"/>
          <w:u w:val="single"/>
        </w:rPr>
      </w:pPr>
      <w:r w:rsidRPr="00A66A3D">
        <w:rPr>
          <w:rFonts w:cs="Arial"/>
          <w:color w:val="auto"/>
          <w:sz w:val="20"/>
          <w:szCs w:val="20"/>
          <w:u w:val="single"/>
        </w:rPr>
        <w:t>Assets:</w:t>
      </w:r>
    </w:p>
    <w:p w:rsidR="00DD0861" w:rsidRPr="00965753" w:rsidRDefault="00E51139" w:rsidP="00F31A9D">
      <w:pPr>
        <w:pStyle w:val="BodyText"/>
        <w:widowControl w:val="0"/>
        <w:rPr>
          <w:rFonts w:cs="Arial"/>
          <w:color w:val="auto"/>
          <w:sz w:val="20"/>
          <w:szCs w:val="20"/>
        </w:rPr>
      </w:pPr>
      <w:r w:rsidRPr="00A66A3D">
        <w:rPr>
          <w:rFonts w:cs="Arial"/>
          <w:color w:val="auto"/>
          <w:sz w:val="20"/>
          <w:szCs w:val="20"/>
        </w:rPr>
        <w:t>The Council spent £</w:t>
      </w:r>
      <w:r w:rsidR="0083163E" w:rsidRPr="00A66A3D">
        <w:rPr>
          <w:rFonts w:cs="Arial"/>
          <w:color w:val="auto"/>
          <w:sz w:val="20"/>
          <w:szCs w:val="20"/>
        </w:rPr>
        <w:t>2</w:t>
      </w:r>
      <w:r w:rsidR="00A66A3D" w:rsidRPr="00A66A3D">
        <w:rPr>
          <w:rFonts w:cs="Arial"/>
          <w:color w:val="auto"/>
          <w:sz w:val="20"/>
          <w:szCs w:val="20"/>
        </w:rPr>
        <w:t>2.6</w:t>
      </w:r>
      <w:r w:rsidR="00073BF7" w:rsidRPr="00A66A3D">
        <w:rPr>
          <w:rFonts w:cs="Arial"/>
          <w:color w:val="auto"/>
          <w:sz w:val="20"/>
          <w:szCs w:val="20"/>
        </w:rPr>
        <w:t>m</w:t>
      </w:r>
      <w:r w:rsidRPr="00A66A3D">
        <w:rPr>
          <w:rFonts w:cs="Arial"/>
          <w:color w:val="auto"/>
          <w:sz w:val="20"/>
          <w:szCs w:val="20"/>
        </w:rPr>
        <w:t xml:space="preserve"> on capital assets of which £</w:t>
      </w:r>
      <w:r w:rsidR="00FF5065" w:rsidRPr="00A66A3D">
        <w:rPr>
          <w:rFonts w:cs="Arial"/>
          <w:color w:val="auto"/>
          <w:sz w:val="20"/>
          <w:szCs w:val="20"/>
        </w:rPr>
        <w:t>1</w:t>
      </w:r>
      <w:r w:rsidR="00A66A3D" w:rsidRPr="00A66A3D">
        <w:rPr>
          <w:rFonts w:cs="Arial"/>
          <w:color w:val="auto"/>
          <w:sz w:val="20"/>
          <w:szCs w:val="20"/>
        </w:rPr>
        <w:t>8.9</w:t>
      </w:r>
      <w:r w:rsidRPr="00A66A3D">
        <w:rPr>
          <w:rFonts w:cs="Arial"/>
          <w:color w:val="auto"/>
          <w:sz w:val="20"/>
          <w:szCs w:val="20"/>
        </w:rPr>
        <w:t>m was added to the value of the Council’s non current assets (before any in year revaluation). The balance of £</w:t>
      </w:r>
      <w:r w:rsidR="00A66A3D" w:rsidRPr="00A66A3D">
        <w:rPr>
          <w:rFonts w:cs="Arial"/>
          <w:color w:val="auto"/>
          <w:sz w:val="20"/>
          <w:szCs w:val="20"/>
        </w:rPr>
        <w:t>3.7</w:t>
      </w:r>
      <w:r w:rsidRPr="00A66A3D">
        <w:rPr>
          <w:rFonts w:cs="Arial"/>
          <w:color w:val="auto"/>
          <w:sz w:val="20"/>
          <w:szCs w:val="20"/>
        </w:rPr>
        <w:t xml:space="preserve">m was capital expenditure on assets the Council does not recognise as its own, such as </w:t>
      </w:r>
      <w:r w:rsidR="000D04B3" w:rsidRPr="00A66A3D">
        <w:rPr>
          <w:rFonts w:cs="Arial"/>
          <w:color w:val="auto"/>
          <w:sz w:val="20"/>
          <w:szCs w:val="20"/>
        </w:rPr>
        <w:t xml:space="preserve">academy </w:t>
      </w:r>
      <w:r w:rsidR="00DC4D9E" w:rsidRPr="00A66A3D">
        <w:rPr>
          <w:rFonts w:cs="Arial"/>
          <w:color w:val="auto"/>
          <w:sz w:val="20"/>
          <w:szCs w:val="20"/>
        </w:rPr>
        <w:t>schools</w:t>
      </w:r>
      <w:r w:rsidR="00A66A3D" w:rsidRPr="00A66A3D">
        <w:rPr>
          <w:rFonts w:cs="Arial"/>
          <w:color w:val="auto"/>
          <w:sz w:val="20"/>
          <w:szCs w:val="20"/>
        </w:rPr>
        <w:t>,</w:t>
      </w:r>
      <w:r w:rsidR="00DC4D9E" w:rsidRPr="00A66A3D">
        <w:rPr>
          <w:rFonts w:cs="Arial"/>
          <w:color w:val="auto"/>
          <w:sz w:val="20"/>
          <w:szCs w:val="20"/>
        </w:rPr>
        <w:t xml:space="preserve"> capital grants</w:t>
      </w:r>
      <w:r w:rsidR="00A66A3D" w:rsidRPr="00A66A3D">
        <w:rPr>
          <w:rFonts w:cs="Arial"/>
          <w:color w:val="auto"/>
          <w:sz w:val="20"/>
          <w:szCs w:val="20"/>
        </w:rPr>
        <w:t xml:space="preserve"> and loans for a capital purpose</w:t>
      </w:r>
      <w:r w:rsidR="00DC4D9E" w:rsidRPr="00A66A3D">
        <w:rPr>
          <w:rFonts w:cs="Arial"/>
          <w:color w:val="auto"/>
          <w:sz w:val="20"/>
          <w:szCs w:val="20"/>
        </w:rPr>
        <w:t>.</w:t>
      </w:r>
      <w:r w:rsidR="00DC4D9E" w:rsidRPr="00D42E0B">
        <w:rPr>
          <w:rFonts w:cs="Arial"/>
          <w:color w:val="548DD4" w:themeColor="text2" w:themeTint="99"/>
          <w:sz w:val="20"/>
          <w:szCs w:val="20"/>
        </w:rPr>
        <w:t xml:space="preserve">  </w:t>
      </w:r>
      <w:r w:rsidR="003D33C8" w:rsidRPr="007702C3">
        <w:rPr>
          <w:rFonts w:cs="Arial"/>
          <w:color w:val="auto"/>
          <w:sz w:val="20"/>
          <w:szCs w:val="20"/>
        </w:rPr>
        <w:t xml:space="preserve">The Council’s capital outturn report </w:t>
      </w:r>
      <w:r w:rsidR="00E868CA">
        <w:rPr>
          <w:rFonts w:cs="Arial"/>
          <w:color w:val="auto"/>
          <w:sz w:val="20"/>
          <w:szCs w:val="20"/>
        </w:rPr>
        <w:t>was</w:t>
      </w:r>
      <w:r w:rsidR="007702C3" w:rsidRPr="007702C3">
        <w:rPr>
          <w:rFonts w:cs="Arial"/>
          <w:color w:val="auto"/>
          <w:sz w:val="20"/>
          <w:szCs w:val="20"/>
        </w:rPr>
        <w:t xml:space="preserve"> </w:t>
      </w:r>
      <w:r w:rsidR="003D33C8" w:rsidRPr="007702C3">
        <w:rPr>
          <w:rFonts w:cs="Arial"/>
          <w:color w:val="auto"/>
          <w:sz w:val="20"/>
          <w:szCs w:val="20"/>
        </w:rPr>
        <w:t xml:space="preserve">presented to Council </w:t>
      </w:r>
      <w:r w:rsidR="007E33E1" w:rsidRPr="007702C3">
        <w:rPr>
          <w:rFonts w:cs="Arial"/>
          <w:color w:val="auto"/>
          <w:sz w:val="20"/>
          <w:szCs w:val="20"/>
        </w:rPr>
        <w:t>at the</w:t>
      </w:r>
      <w:r w:rsidR="003D33C8" w:rsidRPr="007702C3">
        <w:rPr>
          <w:rFonts w:cs="Arial"/>
          <w:color w:val="auto"/>
          <w:sz w:val="20"/>
          <w:szCs w:val="20"/>
        </w:rPr>
        <w:t xml:space="preserve"> July 201</w:t>
      </w:r>
      <w:r w:rsidR="00232D85">
        <w:rPr>
          <w:rFonts w:cs="Arial"/>
          <w:color w:val="auto"/>
          <w:sz w:val="20"/>
          <w:szCs w:val="20"/>
        </w:rPr>
        <w:t>6</w:t>
      </w:r>
      <w:r w:rsidR="003D33C8" w:rsidRPr="007702C3">
        <w:rPr>
          <w:rFonts w:cs="Arial"/>
          <w:color w:val="auto"/>
          <w:sz w:val="20"/>
          <w:szCs w:val="20"/>
        </w:rPr>
        <w:t xml:space="preserve"> meeting which contained details of expenditure on individual schemes.</w:t>
      </w:r>
      <w:r w:rsidR="003D33C8" w:rsidRPr="00D42E0B">
        <w:rPr>
          <w:rFonts w:cs="Arial"/>
          <w:color w:val="548DD4" w:themeColor="text2" w:themeTint="99"/>
          <w:sz w:val="20"/>
          <w:szCs w:val="20"/>
        </w:rPr>
        <w:t xml:space="preserve"> </w:t>
      </w:r>
      <w:r w:rsidR="00DC4D9E" w:rsidRPr="00965753">
        <w:rPr>
          <w:rFonts w:cs="Arial"/>
          <w:color w:val="auto"/>
          <w:sz w:val="20"/>
          <w:szCs w:val="20"/>
        </w:rPr>
        <w:t>A summary of capital expenditure in 201</w:t>
      </w:r>
      <w:r w:rsidR="00965753" w:rsidRPr="00965753">
        <w:rPr>
          <w:rFonts w:cs="Arial"/>
          <w:color w:val="auto"/>
          <w:sz w:val="20"/>
          <w:szCs w:val="20"/>
        </w:rPr>
        <w:t>5</w:t>
      </w:r>
      <w:r w:rsidR="00DC4D9E" w:rsidRPr="00965753">
        <w:rPr>
          <w:rFonts w:cs="Arial"/>
          <w:color w:val="auto"/>
          <w:sz w:val="20"/>
          <w:szCs w:val="20"/>
        </w:rPr>
        <w:t>/1</w:t>
      </w:r>
      <w:r w:rsidR="00965753" w:rsidRPr="00965753">
        <w:rPr>
          <w:rFonts w:cs="Arial"/>
          <w:color w:val="auto"/>
          <w:sz w:val="20"/>
          <w:szCs w:val="20"/>
        </w:rPr>
        <w:t>6</w:t>
      </w:r>
      <w:r w:rsidR="00DC4D9E" w:rsidRPr="00965753">
        <w:rPr>
          <w:rFonts w:cs="Arial"/>
          <w:color w:val="auto"/>
          <w:sz w:val="20"/>
          <w:szCs w:val="20"/>
        </w:rPr>
        <w:t xml:space="preserve"> is shown below:-</w:t>
      </w:r>
    </w:p>
    <w:p w:rsidR="008B6BCA" w:rsidRPr="00D42E0B" w:rsidRDefault="008B6BCA" w:rsidP="00F31A9D">
      <w:pPr>
        <w:pStyle w:val="BodyText"/>
        <w:widowControl w:val="0"/>
        <w:rPr>
          <w:rFonts w:cs="Arial"/>
          <w:color w:val="548DD4" w:themeColor="text2" w:themeTint="99"/>
          <w:sz w:val="20"/>
          <w:szCs w:val="20"/>
          <w:u w:val="single"/>
        </w:rPr>
      </w:pPr>
    </w:p>
    <w:tbl>
      <w:tblPr>
        <w:tblStyle w:val="GridTable4-Accent51"/>
        <w:tblpPr w:leftFromText="180" w:rightFromText="180" w:vertAnchor="text" w:horzAnchor="margin" w:tblpXSpec="center" w:tblpY="-71"/>
        <w:tblW w:w="0" w:type="auto"/>
        <w:tblLayout w:type="fixed"/>
        <w:tblLook w:val="01E0"/>
      </w:tblPr>
      <w:tblGrid>
        <w:gridCol w:w="3227"/>
        <w:gridCol w:w="992"/>
        <w:gridCol w:w="3827"/>
        <w:gridCol w:w="993"/>
      </w:tblGrid>
      <w:tr w:rsidR="00D77989" w:rsidRPr="00D42E0B" w:rsidTr="00F50875">
        <w:trPr>
          <w:cnfStyle w:val="100000000000"/>
          <w:trHeight w:hRule="exact" w:val="284"/>
        </w:trPr>
        <w:tc>
          <w:tcPr>
            <w:cnfStyle w:val="001000000000"/>
            <w:tcW w:w="4219" w:type="dxa"/>
            <w:gridSpan w:val="2"/>
            <w:tcBorders>
              <w:right w:val="single" w:sz="2" w:space="0" w:color="4BACC6" w:themeColor="accent5"/>
            </w:tcBorders>
          </w:tcPr>
          <w:p w:rsidR="00D77989" w:rsidRPr="00965753" w:rsidRDefault="00D77989" w:rsidP="00965753">
            <w:pPr>
              <w:pStyle w:val="BodyText"/>
              <w:widowControl w:val="0"/>
              <w:spacing w:line="240" w:lineRule="exact"/>
              <w:jc w:val="center"/>
              <w:rPr>
                <w:rFonts w:cs="Arial"/>
                <w:b w:val="0"/>
                <w:color w:val="auto"/>
                <w:sz w:val="20"/>
                <w:szCs w:val="20"/>
              </w:rPr>
            </w:pPr>
            <w:r w:rsidRPr="00965753">
              <w:rPr>
                <w:rFonts w:cs="Arial"/>
                <w:b w:val="0"/>
                <w:color w:val="auto"/>
                <w:sz w:val="20"/>
                <w:szCs w:val="20"/>
              </w:rPr>
              <w:t>201</w:t>
            </w:r>
            <w:r w:rsidR="00965753" w:rsidRPr="00965753">
              <w:rPr>
                <w:rFonts w:cs="Arial"/>
                <w:b w:val="0"/>
                <w:color w:val="auto"/>
                <w:sz w:val="20"/>
                <w:szCs w:val="20"/>
              </w:rPr>
              <w:t>4</w:t>
            </w:r>
            <w:r w:rsidRPr="00965753">
              <w:rPr>
                <w:rFonts w:cs="Arial"/>
                <w:b w:val="0"/>
                <w:color w:val="auto"/>
                <w:sz w:val="20"/>
                <w:szCs w:val="20"/>
              </w:rPr>
              <w:t>/1</w:t>
            </w:r>
            <w:r w:rsidR="00965753" w:rsidRPr="00965753">
              <w:rPr>
                <w:rFonts w:cs="Arial"/>
                <w:b w:val="0"/>
                <w:color w:val="auto"/>
                <w:sz w:val="20"/>
                <w:szCs w:val="20"/>
              </w:rPr>
              <w:t>5</w:t>
            </w:r>
          </w:p>
        </w:tc>
        <w:tc>
          <w:tcPr>
            <w:cnfStyle w:val="000100000000"/>
            <w:tcW w:w="4820" w:type="dxa"/>
            <w:gridSpan w:val="2"/>
            <w:tcBorders>
              <w:left w:val="single" w:sz="2" w:space="0" w:color="4BACC6" w:themeColor="accent5"/>
            </w:tcBorders>
          </w:tcPr>
          <w:p w:rsidR="00D77989" w:rsidRPr="00965753" w:rsidRDefault="00D77989" w:rsidP="00965753">
            <w:pPr>
              <w:pStyle w:val="BodyText"/>
              <w:widowControl w:val="0"/>
              <w:spacing w:line="240" w:lineRule="exact"/>
              <w:jc w:val="center"/>
              <w:rPr>
                <w:rFonts w:cs="Arial"/>
                <w:color w:val="auto"/>
                <w:sz w:val="20"/>
                <w:szCs w:val="20"/>
              </w:rPr>
            </w:pPr>
            <w:r w:rsidRPr="00965753">
              <w:rPr>
                <w:rFonts w:cs="Arial"/>
                <w:color w:val="auto"/>
                <w:sz w:val="20"/>
                <w:szCs w:val="20"/>
              </w:rPr>
              <w:t>201</w:t>
            </w:r>
            <w:r w:rsidR="00965753">
              <w:rPr>
                <w:rFonts w:cs="Arial"/>
                <w:color w:val="auto"/>
                <w:sz w:val="20"/>
                <w:szCs w:val="20"/>
              </w:rPr>
              <w:t>5</w:t>
            </w:r>
            <w:r w:rsidRPr="00965753">
              <w:rPr>
                <w:rFonts w:cs="Arial"/>
                <w:color w:val="auto"/>
                <w:sz w:val="20"/>
                <w:szCs w:val="20"/>
              </w:rPr>
              <w:t>/1</w:t>
            </w:r>
            <w:r w:rsidR="00965753">
              <w:rPr>
                <w:rFonts w:cs="Arial"/>
                <w:color w:val="auto"/>
                <w:sz w:val="20"/>
                <w:szCs w:val="20"/>
              </w:rPr>
              <w:t>6</w:t>
            </w:r>
          </w:p>
        </w:tc>
      </w:tr>
      <w:tr w:rsidR="00F50875" w:rsidRPr="00D42E0B" w:rsidTr="00C852D5">
        <w:trPr>
          <w:cnfStyle w:val="000000100000"/>
          <w:trHeight w:hRule="exact" w:val="568"/>
        </w:trPr>
        <w:tc>
          <w:tcPr>
            <w:cnfStyle w:val="001000000000"/>
            <w:tcW w:w="3227" w:type="dxa"/>
            <w:tcBorders>
              <w:right w:val="single" w:sz="2" w:space="0" w:color="4BACC6" w:themeColor="accent5"/>
            </w:tcBorders>
            <w:shd w:val="clear" w:color="auto" w:fill="4BACC6" w:themeFill="accent5"/>
          </w:tcPr>
          <w:p w:rsidR="00D77989" w:rsidRPr="00965753" w:rsidRDefault="00D77989" w:rsidP="00E17024">
            <w:pPr>
              <w:pStyle w:val="BodyText"/>
              <w:widowControl w:val="0"/>
              <w:rPr>
                <w:rFonts w:cs="Arial"/>
                <w:b w:val="0"/>
                <w:color w:val="auto"/>
                <w:sz w:val="20"/>
                <w:szCs w:val="20"/>
              </w:rPr>
            </w:pPr>
            <w:r w:rsidRPr="00965753">
              <w:rPr>
                <w:rFonts w:cs="Arial"/>
                <w:b w:val="0"/>
                <w:color w:val="auto"/>
                <w:sz w:val="20"/>
                <w:szCs w:val="20"/>
              </w:rPr>
              <w:t>Scheme</w:t>
            </w:r>
          </w:p>
        </w:tc>
        <w:tc>
          <w:tcPr>
            <w:cnfStyle w:val="000010000000"/>
            <w:tcW w:w="992" w:type="dxa"/>
            <w:tcBorders>
              <w:left w:val="single" w:sz="2" w:space="0" w:color="4BACC6" w:themeColor="accent5"/>
              <w:right w:val="single" w:sz="2" w:space="0" w:color="4BACC6" w:themeColor="accent5"/>
            </w:tcBorders>
            <w:shd w:val="clear" w:color="auto" w:fill="4BACC6" w:themeFill="accent5"/>
          </w:tcPr>
          <w:p w:rsidR="00D77989" w:rsidRPr="00965753" w:rsidRDefault="00D77989" w:rsidP="00E17024">
            <w:pPr>
              <w:pStyle w:val="BodyText"/>
              <w:widowControl w:val="0"/>
              <w:spacing w:line="240" w:lineRule="exact"/>
              <w:jc w:val="center"/>
              <w:rPr>
                <w:rFonts w:cs="Arial"/>
                <w:color w:val="auto"/>
                <w:sz w:val="18"/>
                <w:szCs w:val="18"/>
              </w:rPr>
            </w:pPr>
            <w:r w:rsidRPr="00965753">
              <w:rPr>
                <w:rFonts w:cs="Arial"/>
                <w:color w:val="auto"/>
                <w:sz w:val="20"/>
                <w:szCs w:val="20"/>
              </w:rPr>
              <w:t xml:space="preserve">Spend </w:t>
            </w:r>
            <w:r w:rsidRPr="00965753">
              <w:rPr>
                <w:rFonts w:cs="Arial"/>
                <w:color w:val="auto"/>
                <w:sz w:val="18"/>
                <w:szCs w:val="18"/>
              </w:rPr>
              <w:t>£m</w:t>
            </w:r>
          </w:p>
          <w:p w:rsidR="00D77989" w:rsidRPr="00965753" w:rsidRDefault="00D77989" w:rsidP="00E17024">
            <w:pPr>
              <w:pStyle w:val="BodyText"/>
              <w:widowControl w:val="0"/>
              <w:spacing w:line="240" w:lineRule="exact"/>
              <w:jc w:val="center"/>
              <w:rPr>
                <w:rFonts w:cs="Arial"/>
                <w:color w:val="auto"/>
                <w:sz w:val="20"/>
                <w:szCs w:val="20"/>
              </w:rPr>
            </w:pPr>
          </w:p>
          <w:p w:rsidR="00D77989" w:rsidRPr="00965753" w:rsidRDefault="00D77989" w:rsidP="00E17024">
            <w:pPr>
              <w:pStyle w:val="BodyText"/>
              <w:widowControl w:val="0"/>
              <w:spacing w:line="240" w:lineRule="exact"/>
              <w:jc w:val="center"/>
              <w:rPr>
                <w:rFonts w:cs="Arial"/>
                <w:color w:val="auto"/>
                <w:sz w:val="20"/>
                <w:szCs w:val="20"/>
              </w:rPr>
            </w:pPr>
            <w:r w:rsidRPr="00965753">
              <w:rPr>
                <w:rFonts w:cs="Arial"/>
                <w:color w:val="auto"/>
                <w:sz w:val="20"/>
                <w:szCs w:val="20"/>
              </w:rPr>
              <w:t xml:space="preserve"> ££</w:t>
            </w:r>
          </w:p>
        </w:tc>
        <w:tc>
          <w:tcPr>
            <w:tcW w:w="3827" w:type="dxa"/>
            <w:tcBorders>
              <w:left w:val="single" w:sz="2" w:space="0" w:color="4BACC6" w:themeColor="accent5"/>
              <w:right w:val="single" w:sz="4" w:space="0" w:color="4BACC6"/>
            </w:tcBorders>
            <w:shd w:val="clear" w:color="auto" w:fill="4BACC6" w:themeFill="accent5"/>
          </w:tcPr>
          <w:p w:rsidR="00D77989" w:rsidRPr="00965753" w:rsidRDefault="00D77989" w:rsidP="00D66D23">
            <w:pPr>
              <w:pStyle w:val="BodyText"/>
              <w:widowControl w:val="0"/>
              <w:spacing w:line="240" w:lineRule="exact"/>
              <w:jc w:val="center"/>
              <w:cnfStyle w:val="000000100000"/>
              <w:rPr>
                <w:rFonts w:cs="Arial"/>
                <w:b/>
                <w:color w:val="auto"/>
                <w:sz w:val="20"/>
                <w:szCs w:val="20"/>
              </w:rPr>
            </w:pPr>
            <w:r w:rsidRPr="00965753">
              <w:rPr>
                <w:rFonts w:cs="Arial"/>
                <w:b/>
                <w:color w:val="auto"/>
                <w:sz w:val="20"/>
                <w:szCs w:val="20"/>
              </w:rPr>
              <w:t>Scheme</w:t>
            </w:r>
          </w:p>
        </w:tc>
        <w:tc>
          <w:tcPr>
            <w:cnfStyle w:val="000100000000"/>
            <w:tcW w:w="993" w:type="dxa"/>
            <w:tcBorders>
              <w:left w:val="single" w:sz="4" w:space="0" w:color="4BACC6"/>
            </w:tcBorders>
            <w:shd w:val="clear" w:color="auto" w:fill="4BACC6" w:themeFill="accent5"/>
          </w:tcPr>
          <w:p w:rsidR="00D77989" w:rsidRPr="00965753" w:rsidRDefault="00D77989" w:rsidP="00D66D23">
            <w:pPr>
              <w:pStyle w:val="BodyText"/>
              <w:widowControl w:val="0"/>
              <w:spacing w:line="240" w:lineRule="exact"/>
              <w:jc w:val="center"/>
              <w:rPr>
                <w:rFonts w:cs="Arial"/>
                <w:color w:val="auto"/>
                <w:sz w:val="20"/>
                <w:szCs w:val="20"/>
              </w:rPr>
            </w:pPr>
            <w:r w:rsidRPr="00965753">
              <w:rPr>
                <w:rFonts w:cs="Arial"/>
                <w:color w:val="auto"/>
                <w:sz w:val="20"/>
                <w:szCs w:val="20"/>
              </w:rPr>
              <w:t>Spend £m</w:t>
            </w:r>
          </w:p>
        </w:tc>
      </w:tr>
      <w:tr w:rsidR="00965753" w:rsidRPr="00D42E0B" w:rsidTr="00C852D5">
        <w:trPr>
          <w:trHeight w:hRule="exact" w:val="284"/>
        </w:trPr>
        <w:tc>
          <w:tcPr>
            <w:cnfStyle w:val="001000000000"/>
            <w:tcW w:w="3227" w:type="dxa"/>
            <w:shd w:val="clear" w:color="auto" w:fill="auto"/>
          </w:tcPr>
          <w:p w:rsidR="00965753" w:rsidRPr="00965753" w:rsidRDefault="00965753" w:rsidP="00965753">
            <w:pPr>
              <w:pStyle w:val="BodyText"/>
              <w:widowControl w:val="0"/>
              <w:rPr>
                <w:rFonts w:cs="Arial"/>
                <w:b w:val="0"/>
                <w:color w:val="auto"/>
                <w:sz w:val="20"/>
                <w:szCs w:val="20"/>
              </w:rPr>
            </w:pPr>
            <w:r w:rsidRPr="00965753">
              <w:rPr>
                <w:rFonts w:cs="Arial"/>
                <w:b w:val="0"/>
                <w:color w:val="auto"/>
                <w:sz w:val="20"/>
                <w:szCs w:val="20"/>
              </w:rPr>
              <w:t>Cockington Primary School</w:t>
            </w:r>
          </w:p>
        </w:tc>
        <w:tc>
          <w:tcPr>
            <w:cnfStyle w:val="000010000000"/>
            <w:tcW w:w="992" w:type="dxa"/>
            <w:shd w:val="clear" w:color="auto" w:fill="auto"/>
          </w:tcPr>
          <w:p w:rsidR="00965753" w:rsidRPr="00965753" w:rsidRDefault="00965753" w:rsidP="00965753">
            <w:pPr>
              <w:pStyle w:val="BodyText"/>
              <w:widowControl w:val="0"/>
              <w:jc w:val="center"/>
              <w:rPr>
                <w:rFonts w:cs="Arial"/>
                <w:color w:val="auto"/>
                <w:sz w:val="20"/>
                <w:szCs w:val="20"/>
              </w:rPr>
            </w:pPr>
            <w:r w:rsidRPr="00965753">
              <w:rPr>
                <w:rFonts w:cs="Arial"/>
                <w:color w:val="auto"/>
                <w:sz w:val="20"/>
                <w:szCs w:val="20"/>
              </w:rPr>
              <w:t>2.5</w:t>
            </w:r>
          </w:p>
        </w:tc>
        <w:tc>
          <w:tcPr>
            <w:tcW w:w="3827" w:type="dxa"/>
            <w:tcBorders>
              <w:right w:val="single" w:sz="4" w:space="0" w:color="4BACC6"/>
            </w:tcBorders>
            <w:shd w:val="clear" w:color="auto" w:fill="auto"/>
          </w:tcPr>
          <w:p w:rsidR="00965753" w:rsidRPr="00E34296" w:rsidRDefault="00E34296" w:rsidP="00E34296">
            <w:pPr>
              <w:pStyle w:val="BodyText"/>
              <w:widowControl w:val="0"/>
              <w:cnfStyle w:val="000000000000"/>
              <w:rPr>
                <w:rFonts w:cs="Arial"/>
                <w:color w:val="auto"/>
                <w:sz w:val="20"/>
                <w:szCs w:val="20"/>
              </w:rPr>
            </w:pPr>
            <w:r w:rsidRPr="00E34296">
              <w:rPr>
                <w:rFonts w:cs="Arial"/>
                <w:color w:val="auto"/>
                <w:sz w:val="20"/>
                <w:szCs w:val="20"/>
              </w:rPr>
              <w:t>Disabled Facilit</w:t>
            </w:r>
            <w:r>
              <w:rPr>
                <w:rFonts w:cs="Arial"/>
                <w:color w:val="auto"/>
                <w:sz w:val="20"/>
                <w:szCs w:val="20"/>
              </w:rPr>
              <w:t>ies</w:t>
            </w:r>
            <w:r w:rsidRPr="00E34296">
              <w:rPr>
                <w:rFonts w:cs="Arial"/>
                <w:color w:val="auto"/>
                <w:sz w:val="20"/>
                <w:szCs w:val="20"/>
              </w:rPr>
              <w:t xml:space="preserve"> Grants</w:t>
            </w:r>
          </w:p>
        </w:tc>
        <w:tc>
          <w:tcPr>
            <w:cnfStyle w:val="000100000000"/>
            <w:tcW w:w="993" w:type="dxa"/>
            <w:tcBorders>
              <w:left w:val="single" w:sz="4" w:space="0" w:color="4BACC6"/>
            </w:tcBorders>
            <w:shd w:val="clear" w:color="auto" w:fill="auto"/>
          </w:tcPr>
          <w:p w:rsidR="00965753" w:rsidRPr="00E34296" w:rsidRDefault="00E34296" w:rsidP="00965753">
            <w:pPr>
              <w:pStyle w:val="BodyText"/>
              <w:widowControl w:val="0"/>
              <w:jc w:val="center"/>
              <w:rPr>
                <w:rFonts w:cs="Arial"/>
                <w:color w:val="auto"/>
                <w:sz w:val="20"/>
                <w:szCs w:val="20"/>
              </w:rPr>
            </w:pPr>
            <w:r w:rsidRPr="00E34296">
              <w:rPr>
                <w:rFonts w:cs="Arial"/>
                <w:color w:val="auto"/>
                <w:sz w:val="20"/>
                <w:szCs w:val="20"/>
              </w:rPr>
              <w:t>1.0</w:t>
            </w:r>
          </w:p>
        </w:tc>
      </w:tr>
      <w:tr w:rsidR="00965753" w:rsidRPr="00D42E0B" w:rsidTr="00C852D5">
        <w:trPr>
          <w:cnfStyle w:val="000000100000"/>
          <w:trHeight w:hRule="exact" w:val="284"/>
        </w:trPr>
        <w:tc>
          <w:tcPr>
            <w:cnfStyle w:val="001000000000"/>
            <w:tcW w:w="3227" w:type="dxa"/>
            <w:shd w:val="clear" w:color="auto" w:fill="auto"/>
          </w:tcPr>
          <w:p w:rsidR="00965753" w:rsidRPr="00965753" w:rsidRDefault="00965753" w:rsidP="00965753">
            <w:pPr>
              <w:pStyle w:val="BodyText"/>
              <w:widowControl w:val="0"/>
              <w:rPr>
                <w:rFonts w:cs="Arial"/>
                <w:b w:val="0"/>
                <w:color w:val="auto"/>
                <w:sz w:val="20"/>
                <w:szCs w:val="20"/>
              </w:rPr>
            </w:pPr>
            <w:r w:rsidRPr="00965753">
              <w:rPr>
                <w:rFonts w:cs="Arial"/>
                <w:b w:val="0"/>
                <w:color w:val="auto"/>
                <w:sz w:val="20"/>
                <w:szCs w:val="20"/>
              </w:rPr>
              <w:t xml:space="preserve">South Devon </w:t>
            </w:r>
            <w:r w:rsidR="00B72CA7">
              <w:rPr>
                <w:rFonts w:cs="Arial"/>
                <w:b w:val="0"/>
                <w:color w:val="auto"/>
                <w:sz w:val="20"/>
                <w:szCs w:val="20"/>
              </w:rPr>
              <w:t>Highway</w:t>
            </w:r>
          </w:p>
        </w:tc>
        <w:tc>
          <w:tcPr>
            <w:cnfStyle w:val="000010000000"/>
            <w:tcW w:w="992" w:type="dxa"/>
            <w:shd w:val="clear" w:color="auto" w:fill="auto"/>
          </w:tcPr>
          <w:p w:rsidR="00965753" w:rsidRPr="00965753" w:rsidRDefault="00965753" w:rsidP="00965753">
            <w:pPr>
              <w:pStyle w:val="BodyText"/>
              <w:widowControl w:val="0"/>
              <w:jc w:val="center"/>
              <w:rPr>
                <w:rFonts w:cs="Arial"/>
                <w:color w:val="auto"/>
                <w:sz w:val="20"/>
                <w:szCs w:val="20"/>
              </w:rPr>
            </w:pPr>
            <w:r w:rsidRPr="00965753">
              <w:rPr>
                <w:rFonts w:cs="Arial"/>
                <w:color w:val="auto"/>
                <w:sz w:val="20"/>
                <w:szCs w:val="20"/>
              </w:rPr>
              <w:t>2.8</w:t>
            </w:r>
          </w:p>
        </w:tc>
        <w:tc>
          <w:tcPr>
            <w:tcW w:w="3827" w:type="dxa"/>
            <w:tcBorders>
              <w:right w:val="single" w:sz="4" w:space="0" w:color="4BACC6"/>
            </w:tcBorders>
            <w:shd w:val="clear" w:color="auto" w:fill="auto"/>
          </w:tcPr>
          <w:p w:rsidR="00965753" w:rsidRPr="00B72CA7" w:rsidRDefault="00965753" w:rsidP="00965753">
            <w:pPr>
              <w:pStyle w:val="BodyText"/>
              <w:widowControl w:val="0"/>
              <w:cnfStyle w:val="000000100000"/>
              <w:rPr>
                <w:rFonts w:cs="Arial"/>
                <w:color w:val="auto"/>
                <w:sz w:val="20"/>
                <w:szCs w:val="20"/>
              </w:rPr>
            </w:pPr>
            <w:r w:rsidRPr="00B72CA7">
              <w:rPr>
                <w:rFonts w:cs="Arial"/>
                <w:color w:val="auto"/>
                <w:sz w:val="20"/>
                <w:szCs w:val="20"/>
              </w:rPr>
              <w:t xml:space="preserve">South Devon </w:t>
            </w:r>
            <w:r w:rsidR="00B72CA7" w:rsidRPr="00B72CA7">
              <w:rPr>
                <w:rFonts w:cs="Arial"/>
                <w:color w:val="auto"/>
                <w:sz w:val="20"/>
                <w:szCs w:val="20"/>
              </w:rPr>
              <w:t>Highway</w:t>
            </w:r>
          </w:p>
        </w:tc>
        <w:tc>
          <w:tcPr>
            <w:cnfStyle w:val="000100000000"/>
            <w:tcW w:w="993" w:type="dxa"/>
            <w:tcBorders>
              <w:left w:val="single" w:sz="4" w:space="0" w:color="4BACC6"/>
            </w:tcBorders>
            <w:shd w:val="clear" w:color="auto" w:fill="auto"/>
          </w:tcPr>
          <w:p w:rsidR="00965753" w:rsidRPr="00B72CA7" w:rsidRDefault="00B72CA7" w:rsidP="00965753">
            <w:pPr>
              <w:pStyle w:val="BodyText"/>
              <w:widowControl w:val="0"/>
              <w:jc w:val="center"/>
              <w:rPr>
                <w:rFonts w:cs="Arial"/>
                <w:color w:val="auto"/>
                <w:sz w:val="20"/>
                <w:szCs w:val="20"/>
              </w:rPr>
            </w:pPr>
            <w:r w:rsidRPr="00B72CA7">
              <w:rPr>
                <w:rFonts w:cs="Arial"/>
                <w:color w:val="auto"/>
                <w:sz w:val="20"/>
                <w:szCs w:val="20"/>
              </w:rPr>
              <w:t>8.6</w:t>
            </w:r>
          </w:p>
        </w:tc>
      </w:tr>
      <w:tr w:rsidR="00965753" w:rsidRPr="00D42E0B" w:rsidTr="00C852D5">
        <w:trPr>
          <w:trHeight w:hRule="exact" w:val="284"/>
        </w:trPr>
        <w:tc>
          <w:tcPr>
            <w:cnfStyle w:val="001000000000"/>
            <w:tcW w:w="3227" w:type="dxa"/>
            <w:shd w:val="clear" w:color="auto" w:fill="auto"/>
          </w:tcPr>
          <w:p w:rsidR="00965753" w:rsidRPr="00965753" w:rsidRDefault="00965753" w:rsidP="00965753">
            <w:pPr>
              <w:pStyle w:val="BodyText"/>
              <w:widowControl w:val="0"/>
              <w:rPr>
                <w:rFonts w:cs="Arial"/>
                <w:b w:val="0"/>
                <w:color w:val="auto"/>
                <w:sz w:val="20"/>
                <w:szCs w:val="20"/>
              </w:rPr>
            </w:pPr>
            <w:r w:rsidRPr="00965753">
              <w:rPr>
                <w:rFonts w:cs="Arial"/>
                <w:b w:val="0"/>
                <w:color w:val="auto"/>
                <w:sz w:val="20"/>
                <w:szCs w:val="20"/>
              </w:rPr>
              <w:t>White Rock Primary School</w:t>
            </w:r>
          </w:p>
        </w:tc>
        <w:tc>
          <w:tcPr>
            <w:cnfStyle w:val="000010000000"/>
            <w:tcW w:w="992" w:type="dxa"/>
            <w:shd w:val="clear" w:color="auto" w:fill="auto"/>
          </w:tcPr>
          <w:p w:rsidR="00965753" w:rsidRPr="00965753" w:rsidRDefault="00965753" w:rsidP="00965753">
            <w:pPr>
              <w:pStyle w:val="BodyText"/>
              <w:widowControl w:val="0"/>
              <w:jc w:val="center"/>
              <w:rPr>
                <w:rFonts w:cs="Arial"/>
                <w:color w:val="auto"/>
                <w:sz w:val="20"/>
                <w:szCs w:val="20"/>
              </w:rPr>
            </w:pPr>
            <w:r w:rsidRPr="00965753">
              <w:rPr>
                <w:rFonts w:cs="Arial"/>
                <w:color w:val="auto"/>
                <w:sz w:val="20"/>
                <w:szCs w:val="20"/>
              </w:rPr>
              <w:t>1.1</w:t>
            </w:r>
          </w:p>
        </w:tc>
        <w:tc>
          <w:tcPr>
            <w:tcW w:w="3827" w:type="dxa"/>
            <w:tcBorders>
              <w:right w:val="single" w:sz="4" w:space="0" w:color="4BACC6"/>
            </w:tcBorders>
            <w:shd w:val="clear" w:color="auto" w:fill="auto"/>
          </w:tcPr>
          <w:p w:rsidR="00965753" w:rsidRPr="00E34296" w:rsidRDefault="00965753" w:rsidP="00965753">
            <w:pPr>
              <w:pStyle w:val="BodyText"/>
              <w:widowControl w:val="0"/>
              <w:cnfStyle w:val="000000000000"/>
              <w:rPr>
                <w:rFonts w:cs="Arial"/>
                <w:color w:val="auto"/>
                <w:sz w:val="20"/>
                <w:szCs w:val="20"/>
              </w:rPr>
            </w:pPr>
            <w:r w:rsidRPr="00E34296">
              <w:rPr>
                <w:rFonts w:cs="Arial"/>
                <w:color w:val="auto"/>
                <w:sz w:val="20"/>
                <w:szCs w:val="20"/>
              </w:rPr>
              <w:t>White Rock Primary School</w:t>
            </w:r>
          </w:p>
        </w:tc>
        <w:tc>
          <w:tcPr>
            <w:cnfStyle w:val="000100000000"/>
            <w:tcW w:w="993" w:type="dxa"/>
            <w:tcBorders>
              <w:left w:val="single" w:sz="4" w:space="0" w:color="4BACC6"/>
            </w:tcBorders>
            <w:shd w:val="clear" w:color="auto" w:fill="auto"/>
          </w:tcPr>
          <w:p w:rsidR="00965753" w:rsidRPr="00E34296" w:rsidRDefault="00E34296" w:rsidP="00E34296">
            <w:pPr>
              <w:pStyle w:val="BodyText"/>
              <w:widowControl w:val="0"/>
              <w:jc w:val="center"/>
              <w:rPr>
                <w:rFonts w:cs="Arial"/>
                <w:color w:val="auto"/>
                <w:sz w:val="20"/>
                <w:szCs w:val="20"/>
              </w:rPr>
            </w:pPr>
            <w:r w:rsidRPr="00E34296">
              <w:rPr>
                <w:rFonts w:cs="Arial"/>
                <w:color w:val="auto"/>
                <w:sz w:val="20"/>
                <w:szCs w:val="20"/>
              </w:rPr>
              <w:t>2.4</w:t>
            </w:r>
          </w:p>
        </w:tc>
      </w:tr>
      <w:tr w:rsidR="00965753" w:rsidRPr="00D42E0B" w:rsidTr="00C852D5">
        <w:trPr>
          <w:cnfStyle w:val="000000100000"/>
          <w:trHeight w:hRule="exact" w:val="284"/>
        </w:trPr>
        <w:tc>
          <w:tcPr>
            <w:cnfStyle w:val="001000000000"/>
            <w:tcW w:w="3227" w:type="dxa"/>
            <w:shd w:val="clear" w:color="auto" w:fill="auto"/>
          </w:tcPr>
          <w:p w:rsidR="00965753" w:rsidRPr="00965753" w:rsidRDefault="00965753" w:rsidP="00965753">
            <w:pPr>
              <w:pStyle w:val="BodyText"/>
              <w:widowControl w:val="0"/>
              <w:rPr>
                <w:rFonts w:cs="Arial"/>
                <w:b w:val="0"/>
                <w:color w:val="auto"/>
                <w:sz w:val="20"/>
                <w:szCs w:val="20"/>
              </w:rPr>
            </w:pPr>
            <w:r w:rsidRPr="00965753">
              <w:rPr>
                <w:rFonts w:cs="Arial"/>
                <w:b w:val="0"/>
                <w:color w:val="auto"/>
                <w:sz w:val="20"/>
                <w:szCs w:val="20"/>
              </w:rPr>
              <w:t>Beach Huts</w:t>
            </w:r>
          </w:p>
        </w:tc>
        <w:tc>
          <w:tcPr>
            <w:cnfStyle w:val="000010000000"/>
            <w:tcW w:w="992" w:type="dxa"/>
            <w:shd w:val="clear" w:color="auto" w:fill="auto"/>
          </w:tcPr>
          <w:p w:rsidR="00965753" w:rsidRPr="00965753" w:rsidRDefault="00965753" w:rsidP="00965753">
            <w:pPr>
              <w:pStyle w:val="BodyText"/>
              <w:widowControl w:val="0"/>
              <w:jc w:val="center"/>
              <w:rPr>
                <w:rFonts w:cs="Arial"/>
                <w:color w:val="auto"/>
                <w:sz w:val="20"/>
                <w:szCs w:val="20"/>
              </w:rPr>
            </w:pPr>
            <w:r w:rsidRPr="00965753">
              <w:rPr>
                <w:rFonts w:cs="Arial"/>
                <w:color w:val="auto"/>
                <w:sz w:val="20"/>
                <w:szCs w:val="20"/>
              </w:rPr>
              <w:t>1.8</w:t>
            </w:r>
          </w:p>
        </w:tc>
        <w:tc>
          <w:tcPr>
            <w:tcW w:w="3827" w:type="dxa"/>
            <w:tcBorders>
              <w:right w:val="single" w:sz="4" w:space="0" w:color="4BACC6"/>
            </w:tcBorders>
            <w:shd w:val="clear" w:color="auto" w:fill="auto"/>
          </w:tcPr>
          <w:p w:rsidR="00965753" w:rsidRPr="00E34296" w:rsidRDefault="00E34296" w:rsidP="00E34296">
            <w:pPr>
              <w:pStyle w:val="BodyText"/>
              <w:widowControl w:val="0"/>
              <w:cnfStyle w:val="000000100000"/>
              <w:rPr>
                <w:rFonts w:cs="Arial"/>
                <w:color w:val="auto"/>
                <w:sz w:val="20"/>
                <w:szCs w:val="20"/>
              </w:rPr>
            </w:pPr>
            <w:r w:rsidRPr="00E34296">
              <w:rPr>
                <w:rFonts w:cs="Arial"/>
                <w:color w:val="auto"/>
                <w:sz w:val="20"/>
                <w:szCs w:val="20"/>
              </w:rPr>
              <w:t>Transport Schemes</w:t>
            </w:r>
          </w:p>
        </w:tc>
        <w:tc>
          <w:tcPr>
            <w:cnfStyle w:val="000100000000"/>
            <w:tcW w:w="993" w:type="dxa"/>
            <w:tcBorders>
              <w:left w:val="single" w:sz="4" w:space="0" w:color="4BACC6"/>
            </w:tcBorders>
            <w:shd w:val="clear" w:color="auto" w:fill="auto"/>
          </w:tcPr>
          <w:p w:rsidR="00965753" w:rsidRPr="00E34296" w:rsidRDefault="00E34296" w:rsidP="00965753">
            <w:pPr>
              <w:pStyle w:val="BodyText"/>
              <w:widowControl w:val="0"/>
              <w:jc w:val="center"/>
              <w:rPr>
                <w:rFonts w:cs="Arial"/>
                <w:color w:val="auto"/>
                <w:sz w:val="20"/>
                <w:szCs w:val="20"/>
              </w:rPr>
            </w:pPr>
            <w:r w:rsidRPr="00E34296">
              <w:rPr>
                <w:rFonts w:cs="Arial"/>
                <w:color w:val="auto"/>
                <w:sz w:val="20"/>
                <w:szCs w:val="20"/>
              </w:rPr>
              <w:t>4.6</w:t>
            </w:r>
          </w:p>
        </w:tc>
      </w:tr>
      <w:tr w:rsidR="00965753" w:rsidRPr="00D42E0B" w:rsidTr="00C852D5">
        <w:trPr>
          <w:trHeight w:hRule="exact" w:val="284"/>
        </w:trPr>
        <w:tc>
          <w:tcPr>
            <w:cnfStyle w:val="001000000000"/>
            <w:tcW w:w="3227" w:type="dxa"/>
            <w:shd w:val="clear" w:color="auto" w:fill="auto"/>
          </w:tcPr>
          <w:p w:rsidR="00965753" w:rsidRPr="00965753" w:rsidRDefault="00965753" w:rsidP="00965753">
            <w:pPr>
              <w:pStyle w:val="BodyText"/>
              <w:widowControl w:val="0"/>
              <w:rPr>
                <w:rFonts w:cs="Arial"/>
                <w:b w:val="0"/>
                <w:color w:val="auto"/>
                <w:sz w:val="20"/>
                <w:szCs w:val="20"/>
              </w:rPr>
            </w:pPr>
            <w:r w:rsidRPr="00965753">
              <w:rPr>
                <w:rFonts w:cs="Arial"/>
                <w:b w:val="0"/>
                <w:color w:val="auto"/>
                <w:sz w:val="20"/>
                <w:szCs w:val="20"/>
              </w:rPr>
              <w:t>Torquay Harbour Pontoons</w:t>
            </w:r>
          </w:p>
        </w:tc>
        <w:tc>
          <w:tcPr>
            <w:cnfStyle w:val="000010000000"/>
            <w:tcW w:w="992" w:type="dxa"/>
            <w:shd w:val="clear" w:color="auto" w:fill="auto"/>
          </w:tcPr>
          <w:p w:rsidR="00965753" w:rsidRPr="00965753" w:rsidRDefault="00965753" w:rsidP="00965753">
            <w:pPr>
              <w:pStyle w:val="BodyText"/>
              <w:widowControl w:val="0"/>
              <w:jc w:val="center"/>
              <w:rPr>
                <w:rFonts w:cs="Arial"/>
                <w:color w:val="auto"/>
                <w:sz w:val="20"/>
                <w:szCs w:val="20"/>
              </w:rPr>
            </w:pPr>
            <w:r w:rsidRPr="00965753">
              <w:rPr>
                <w:rFonts w:cs="Arial"/>
                <w:color w:val="auto"/>
                <w:sz w:val="20"/>
                <w:szCs w:val="20"/>
              </w:rPr>
              <w:t>0.8</w:t>
            </w:r>
          </w:p>
        </w:tc>
        <w:tc>
          <w:tcPr>
            <w:tcW w:w="3827" w:type="dxa"/>
            <w:tcBorders>
              <w:right w:val="single" w:sz="4" w:space="0" w:color="4BACC6"/>
            </w:tcBorders>
            <w:shd w:val="clear" w:color="auto" w:fill="auto"/>
          </w:tcPr>
          <w:p w:rsidR="00965753" w:rsidRPr="00E34296" w:rsidRDefault="00E34296" w:rsidP="00965753">
            <w:pPr>
              <w:pStyle w:val="BodyText"/>
              <w:widowControl w:val="0"/>
              <w:cnfStyle w:val="000000000000"/>
              <w:rPr>
                <w:rFonts w:cs="Arial"/>
                <w:color w:val="auto"/>
                <w:sz w:val="20"/>
                <w:szCs w:val="20"/>
              </w:rPr>
            </w:pPr>
            <w:r w:rsidRPr="00E34296">
              <w:rPr>
                <w:rFonts w:cs="Arial"/>
                <w:color w:val="auto"/>
                <w:sz w:val="20"/>
                <w:szCs w:val="20"/>
              </w:rPr>
              <w:t>TDA – Capital Grants &amp; Loans</w:t>
            </w:r>
          </w:p>
        </w:tc>
        <w:tc>
          <w:tcPr>
            <w:cnfStyle w:val="000100000000"/>
            <w:tcW w:w="993" w:type="dxa"/>
            <w:tcBorders>
              <w:left w:val="single" w:sz="4" w:space="0" w:color="4BACC6"/>
            </w:tcBorders>
            <w:shd w:val="clear" w:color="auto" w:fill="auto"/>
          </w:tcPr>
          <w:p w:rsidR="00965753" w:rsidRPr="00E34296" w:rsidRDefault="00E34296" w:rsidP="00965753">
            <w:pPr>
              <w:pStyle w:val="BodyText"/>
              <w:widowControl w:val="0"/>
              <w:jc w:val="center"/>
              <w:rPr>
                <w:rFonts w:cs="Arial"/>
                <w:color w:val="auto"/>
                <w:sz w:val="20"/>
                <w:szCs w:val="20"/>
              </w:rPr>
            </w:pPr>
            <w:r w:rsidRPr="00E34296">
              <w:rPr>
                <w:rFonts w:cs="Arial"/>
                <w:color w:val="auto"/>
                <w:sz w:val="20"/>
                <w:szCs w:val="20"/>
              </w:rPr>
              <w:t>1.3</w:t>
            </w:r>
          </w:p>
        </w:tc>
      </w:tr>
      <w:tr w:rsidR="00965753" w:rsidRPr="00D42E0B" w:rsidTr="00C731F3">
        <w:trPr>
          <w:cnfStyle w:val="000000100000"/>
          <w:trHeight w:hRule="exact" w:val="284"/>
        </w:trPr>
        <w:tc>
          <w:tcPr>
            <w:cnfStyle w:val="001000000000"/>
            <w:tcW w:w="3227" w:type="dxa"/>
            <w:tcBorders>
              <w:bottom w:val="single" w:sz="4" w:space="0" w:color="92CDDC" w:themeColor="accent5" w:themeTint="99"/>
            </w:tcBorders>
            <w:shd w:val="clear" w:color="auto" w:fill="auto"/>
          </w:tcPr>
          <w:p w:rsidR="00965753" w:rsidRPr="00965753" w:rsidRDefault="00965753" w:rsidP="00965753">
            <w:pPr>
              <w:pStyle w:val="BodyText"/>
              <w:widowControl w:val="0"/>
              <w:rPr>
                <w:rFonts w:cs="Arial"/>
                <w:b w:val="0"/>
                <w:color w:val="auto"/>
                <w:sz w:val="20"/>
                <w:szCs w:val="20"/>
              </w:rPr>
            </w:pPr>
            <w:r w:rsidRPr="00965753">
              <w:rPr>
                <w:rFonts w:cs="Arial"/>
                <w:b w:val="0"/>
                <w:color w:val="auto"/>
                <w:sz w:val="20"/>
                <w:szCs w:val="20"/>
              </w:rPr>
              <w:t>Other Schemes</w:t>
            </w:r>
          </w:p>
        </w:tc>
        <w:tc>
          <w:tcPr>
            <w:cnfStyle w:val="000010000000"/>
            <w:tcW w:w="992" w:type="dxa"/>
            <w:tcBorders>
              <w:bottom w:val="single" w:sz="4" w:space="0" w:color="92CDDC" w:themeColor="accent5" w:themeTint="99"/>
            </w:tcBorders>
            <w:shd w:val="clear" w:color="auto" w:fill="auto"/>
          </w:tcPr>
          <w:p w:rsidR="00965753" w:rsidRPr="00965753" w:rsidRDefault="00965753" w:rsidP="00965753">
            <w:pPr>
              <w:pStyle w:val="BodyText"/>
              <w:widowControl w:val="0"/>
              <w:jc w:val="center"/>
              <w:rPr>
                <w:rFonts w:cs="Arial"/>
                <w:color w:val="auto"/>
                <w:sz w:val="20"/>
                <w:szCs w:val="20"/>
              </w:rPr>
            </w:pPr>
            <w:r w:rsidRPr="00965753">
              <w:rPr>
                <w:rFonts w:cs="Arial"/>
                <w:color w:val="auto"/>
                <w:sz w:val="20"/>
                <w:szCs w:val="20"/>
              </w:rPr>
              <w:t>11.4</w:t>
            </w:r>
          </w:p>
        </w:tc>
        <w:tc>
          <w:tcPr>
            <w:tcW w:w="3827" w:type="dxa"/>
            <w:tcBorders>
              <w:bottom w:val="single" w:sz="4" w:space="0" w:color="92CDDC" w:themeColor="accent5" w:themeTint="99"/>
              <w:right w:val="single" w:sz="4" w:space="0" w:color="4BACC6"/>
            </w:tcBorders>
            <w:shd w:val="clear" w:color="auto" w:fill="auto"/>
          </w:tcPr>
          <w:p w:rsidR="00965753" w:rsidRPr="006D072E" w:rsidRDefault="00965753" w:rsidP="00965753">
            <w:pPr>
              <w:pStyle w:val="BodyText"/>
              <w:widowControl w:val="0"/>
              <w:cnfStyle w:val="000000100000"/>
              <w:rPr>
                <w:rFonts w:cs="Arial"/>
                <w:color w:val="auto"/>
                <w:sz w:val="20"/>
                <w:szCs w:val="20"/>
              </w:rPr>
            </w:pPr>
            <w:r w:rsidRPr="006D072E">
              <w:rPr>
                <w:rFonts w:cs="Arial"/>
                <w:color w:val="auto"/>
                <w:sz w:val="20"/>
                <w:szCs w:val="20"/>
              </w:rPr>
              <w:t>Other Schemes</w:t>
            </w:r>
          </w:p>
        </w:tc>
        <w:tc>
          <w:tcPr>
            <w:cnfStyle w:val="000100000000"/>
            <w:tcW w:w="993" w:type="dxa"/>
            <w:tcBorders>
              <w:left w:val="single" w:sz="4" w:space="0" w:color="4BACC6"/>
              <w:bottom w:val="single" w:sz="4" w:space="0" w:color="92CDDC" w:themeColor="accent5" w:themeTint="99"/>
            </w:tcBorders>
            <w:shd w:val="clear" w:color="auto" w:fill="auto"/>
          </w:tcPr>
          <w:p w:rsidR="00965753" w:rsidRPr="006D072E" w:rsidRDefault="006D072E" w:rsidP="00965753">
            <w:pPr>
              <w:pStyle w:val="BodyText"/>
              <w:widowControl w:val="0"/>
              <w:jc w:val="center"/>
              <w:rPr>
                <w:rFonts w:cs="Arial"/>
                <w:color w:val="auto"/>
                <w:sz w:val="20"/>
                <w:szCs w:val="20"/>
              </w:rPr>
            </w:pPr>
            <w:r w:rsidRPr="006D072E">
              <w:rPr>
                <w:rFonts w:cs="Arial"/>
                <w:color w:val="auto"/>
                <w:sz w:val="20"/>
                <w:szCs w:val="20"/>
              </w:rPr>
              <w:t>4.7</w:t>
            </w:r>
          </w:p>
        </w:tc>
      </w:tr>
      <w:tr w:rsidR="00965753" w:rsidRPr="00D42E0B" w:rsidTr="00C731F3">
        <w:trPr>
          <w:cnfStyle w:val="010000000000"/>
          <w:trHeight w:hRule="exact" w:val="400"/>
        </w:trPr>
        <w:tc>
          <w:tcPr>
            <w:cnfStyle w:val="001000000000"/>
            <w:tcW w:w="3227" w:type="dxa"/>
            <w:tcBorders>
              <w:top w:val="single" w:sz="4" w:space="0" w:color="92CDDC" w:themeColor="accent5" w:themeTint="99"/>
              <w:bottom w:val="single" w:sz="4" w:space="0" w:color="92CDDC" w:themeColor="accent5" w:themeTint="99"/>
            </w:tcBorders>
            <w:shd w:val="clear" w:color="auto" w:fill="auto"/>
          </w:tcPr>
          <w:p w:rsidR="00965753" w:rsidRPr="00965753" w:rsidRDefault="00965753" w:rsidP="00965753">
            <w:pPr>
              <w:pStyle w:val="BodyText"/>
              <w:widowControl w:val="0"/>
              <w:rPr>
                <w:rFonts w:cs="Arial"/>
                <w:b w:val="0"/>
                <w:color w:val="auto"/>
                <w:sz w:val="20"/>
                <w:szCs w:val="20"/>
              </w:rPr>
            </w:pPr>
            <w:r w:rsidRPr="00965753">
              <w:rPr>
                <w:rFonts w:cs="Arial"/>
                <w:b w:val="0"/>
                <w:color w:val="auto"/>
                <w:sz w:val="20"/>
                <w:szCs w:val="20"/>
              </w:rPr>
              <w:t>2014/15 Total</w:t>
            </w:r>
          </w:p>
        </w:tc>
        <w:tc>
          <w:tcPr>
            <w:cnfStyle w:val="000010000000"/>
            <w:tcW w:w="992" w:type="dxa"/>
            <w:tcBorders>
              <w:top w:val="single" w:sz="4" w:space="0" w:color="92CDDC" w:themeColor="accent5" w:themeTint="99"/>
              <w:bottom w:val="single" w:sz="4" w:space="0" w:color="92CDDC" w:themeColor="accent5" w:themeTint="99"/>
            </w:tcBorders>
            <w:shd w:val="clear" w:color="auto" w:fill="auto"/>
          </w:tcPr>
          <w:p w:rsidR="00965753" w:rsidRPr="00965753" w:rsidRDefault="00965753" w:rsidP="00965753">
            <w:pPr>
              <w:pStyle w:val="BodyText"/>
              <w:widowControl w:val="0"/>
              <w:jc w:val="center"/>
              <w:rPr>
                <w:rFonts w:cs="Arial"/>
                <w:b w:val="0"/>
                <w:color w:val="auto"/>
                <w:sz w:val="20"/>
                <w:szCs w:val="20"/>
              </w:rPr>
            </w:pPr>
            <w:r w:rsidRPr="00965753">
              <w:rPr>
                <w:rFonts w:cs="Arial"/>
                <w:b w:val="0"/>
                <w:color w:val="auto"/>
                <w:sz w:val="20"/>
                <w:szCs w:val="20"/>
              </w:rPr>
              <w:t>20.4</w:t>
            </w:r>
          </w:p>
        </w:tc>
        <w:tc>
          <w:tcPr>
            <w:tcW w:w="3827" w:type="dxa"/>
            <w:tcBorders>
              <w:top w:val="single" w:sz="4" w:space="0" w:color="92CDDC" w:themeColor="accent5" w:themeTint="99"/>
              <w:bottom w:val="single" w:sz="4" w:space="0" w:color="92CDDC" w:themeColor="accent5" w:themeTint="99"/>
              <w:right w:val="single" w:sz="4" w:space="0" w:color="4BACC6"/>
            </w:tcBorders>
            <w:shd w:val="clear" w:color="auto" w:fill="auto"/>
          </w:tcPr>
          <w:p w:rsidR="00965753" w:rsidRPr="00965753" w:rsidRDefault="00965753" w:rsidP="00965753">
            <w:pPr>
              <w:pStyle w:val="BodyText"/>
              <w:widowControl w:val="0"/>
              <w:cnfStyle w:val="010000000000"/>
              <w:rPr>
                <w:rFonts w:cs="Arial"/>
                <w:color w:val="auto"/>
                <w:sz w:val="20"/>
                <w:szCs w:val="20"/>
              </w:rPr>
            </w:pPr>
            <w:r w:rsidRPr="00965753">
              <w:rPr>
                <w:rFonts w:cs="Arial"/>
                <w:color w:val="auto"/>
                <w:sz w:val="20"/>
                <w:szCs w:val="20"/>
              </w:rPr>
              <w:t>201</w:t>
            </w:r>
            <w:r>
              <w:rPr>
                <w:rFonts w:cs="Arial"/>
                <w:color w:val="auto"/>
                <w:sz w:val="20"/>
                <w:szCs w:val="20"/>
              </w:rPr>
              <w:t>5</w:t>
            </w:r>
            <w:r w:rsidRPr="00965753">
              <w:rPr>
                <w:rFonts w:cs="Arial"/>
                <w:color w:val="auto"/>
                <w:sz w:val="20"/>
                <w:szCs w:val="20"/>
              </w:rPr>
              <w:t>/1</w:t>
            </w:r>
            <w:r>
              <w:rPr>
                <w:rFonts w:cs="Arial"/>
                <w:color w:val="auto"/>
                <w:sz w:val="20"/>
                <w:szCs w:val="20"/>
              </w:rPr>
              <w:t>6</w:t>
            </w:r>
            <w:r w:rsidRPr="00965753">
              <w:rPr>
                <w:rFonts w:cs="Arial"/>
                <w:color w:val="auto"/>
                <w:sz w:val="20"/>
                <w:szCs w:val="20"/>
              </w:rPr>
              <w:t xml:space="preserve"> Total</w:t>
            </w:r>
          </w:p>
          <w:p w:rsidR="00965753" w:rsidRPr="00965753" w:rsidRDefault="00965753" w:rsidP="00965753">
            <w:pPr>
              <w:pStyle w:val="BodyText"/>
              <w:widowControl w:val="0"/>
              <w:cnfStyle w:val="010000000000"/>
              <w:rPr>
                <w:rFonts w:cs="Arial"/>
                <w:color w:val="auto"/>
                <w:sz w:val="20"/>
                <w:szCs w:val="20"/>
              </w:rPr>
            </w:pPr>
          </w:p>
        </w:tc>
        <w:tc>
          <w:tcPr>
            <w:cnfStyle w:val="000100000000"/>
            <w:tcW w:w="993" w:type="dxa"/>
            <w:tcBorders>
              <w:top w:val="single" w:sz="4" w:space="0" w:color="92CDDC" w:themeColor="accent5" w:themeTint="99"/>
              <w:left w:val="single" w:sz="4" w:space="0" w:color="4BACC6"/>
              <w:bottom w:val="single" w:sz="4" w:space="0" w:color="92CDDC" w:themeColor="accent5" w:themeTint="99"/>
            </w:tcBorders>
            <w:shd w:val="clear" w:color="auto" w:fill="auto"/>
          </w:tcPr>
          <w:p w:rsidR="00965753" w:rsidRPr="00965753" w:rsidRDefault="00965753" w:rsidP="00965753">
            <w:pPr>
              <w:pStyle w:val="BodyText"/>
              <w:widowControl w:val="0"/>
              <w:jc w:val="center"/>
              <w:rPr>
                <w:rFonts w:cs="Arial"/>
                <w:color w:val="auto"/>
                <w:sz w:val="20"/>
                <w:szCs w:val="20"/>
              </w:rPr>
            </w:pPr>
            <w:r w:rsidRPr="00965753">
              <w:rPr>
                <w:rFonts w:cs="Arial"/>
                <w:color w:val="auto"/>
                <w:sz w:val="20"/>
                <w:szCs w:val="20"/>
              </w:rPr>
              <w:t>22.6</w:t>
            </w:r>
          </w:p>
        </w:tc>
      </w:tr>
    </w:tbl>
    <w:p w:rsidR="00E51139" w:rsidRPr="00C87259" w:rsidRDefault="00E51139" w:rsidP="00F31A9D">
      <w:pPr>
        <w:pStyle w:val="BodyText"/>
        <w:widowControl w:val="0"/>
        <w:rPr>
          <w:rFonts w:cs="Arial"/>
          <w:color w:val="auto"/>
          <w:sz w:val="20"/>
          <w:szCs w:val="20"/>
          <w:u w:val="single"/>
        </w:rPr>
      </w:pPr>
      <w:r w:rsidRPr="00C87259">
        <w:rPr>
          <w:rFonts w:cs="Arial"/>
          <w:color w:val="auto"/>
          <w:sz w:val="20"/>
          <w:szCs w:val="20"/>
          <w:u w:val="single"/>
        </w:rPr>
        <w:t>Liabilities</w:t>
      </w:r>
    </w:p>
    <w:p w:rsidR="00E51139" w:rsidRPr="00C87259" w:rsidRDefault="00E51139" w:rsidP="00F31A9D">
      <w:pPr>
        <w:pStyle w:val="BodyText"/>
        <w:widowControl w:val="0"/>
        <w:rPr>
          <w:rFonts w:cs="Arial"/>
          <w:color w:val="auto"/>
          <w:sz w:val="20"/>
          <w:szCs w:val="20"/>
        </w:rPr>
      </w:pPr>
      <w:r w:rsidRPr="00C87259">
        <w:rPr>
          <w:rFonts w:cs="Arial"/>
          <w:color w:val="auto"/>
          <w:sz w:val="20"/>
          <w:szCs w:val="20"/>
        </w:rPr>
        <w:t>No significant liabilities were acquired by the Council in 201</w:t>
      </w:r>
      <w:r w:rsidR="00C87259" w:rsidRPr="00C87259">
        <w:rPr>
          <w:rFonts w:cs="Arial"/>
          <w:color w:val="auto"/>
          <w:sz w:val="20"/>
          <w:szCs w:val="20"/>
        </w:rPr>
        <w:t>5</w:t>
      </w:r>
      <w:r w:rsidR="001F2591" w:rsidRPr="00C87259">
        <w:rPr>
          <w:rFonts w:cs="Arial"/>
          <w:color w:val="auto"/>
          <w:sz w:val="20"/>
          <w:szCs w:val="20"/>
        </w:rPr>
        <w:t>/1</w:t>
      </w:r>
      <w:r w:rsidR="00C87259" w:rsidRPr="00C87259">
        <w:rPr>
          <w:rFonts w:cs="Arial"/>
          <w:color w:val="auto"/>
          <w:sz w:val="20"/>
          <w:szCs w:val="20"/>
        </w:rPr>
        <w:t>6</w:t>
      </w:r>
      <w:r w:rsidR="003B70D3">
        <w:rPr>
          <w:rFonts w:cs="Arial"/>
          <w:color w:val="auto"/>
          <w:sz w:val="20"/>
          <w:szCs w:val="20"/>
        </w:rPr>
        <w:t xml:space="preserve"> with the exception of the Energy From Waste Facility.</w:t>
      </w:r>
    </w:p>
    <w:p w:rsidR="008A2ED1" w:rsidRDefault="008A2ED1" w:rsidP="00F31A9D">
      <w:pPr>
        <w:pStyle w:val="BodyText"/>
        <w:widowControl w:val="0"/>
        <w:rPr>
          <w:rFonts w:cs="Arial"/>
          <w:color w:val="auto"/>
          <w:sz w:val="20"/>
          <w:szCs w:val="20"/>
          <w:u w:val="single"/>
        </w:rPr>
      </w:pPr>
      <w:r>
        <w:rPr>
          <w:rFonts w:cs="Arial"/>
          <w:color w:val="auto"/>
          <w:sz w:val="20"/>
          <w:szCs w:val="20"/>
          <w:u w:val="single"/>
        </w:rPr>
        <w:t xml:space="preserve">Energy From Waste </w:t>
      </w:r>
    </w:p>
    <w:p w:rsidR="002D2F8B" w:rsidRDefault="00EE7626" w:rsidP="00F31A9D">
      <w:pPr>
        <w:pStyle w:val="BodyText"/>
        <w:widowControl w:val="0"/>
        <w:rPr>
          <w:rFonts w:cs="Arial"/>
          <w:color w:val="auto"/>
          <w:sz w:val="20"/>
          <w:szCs w:val="20"/>
        </w:rPr>
      </w:pPr>
      <w:r w:rsidRPr="00EE7626">
        <w:rPr>
          <w:rFonts w:cs="Arial"/>
          <w:color w:val="auto"/>
          <w:sz w:val="20"/>
          <w:szCs w:val="20"/>
        </w:rPr>
        <w:t>2015/16 was the first year of operation of the E</w:t>
      </w:r>
      <w:r>
        <w:rPr>
          <w:rFonts w:cs="Arial"/>
          <w:color w:val="auto"/>
          <w:sz w:val="20"/>
          <w:szCs w:val="20"/>
        </w:rPr>
        <w:t xml:space="preserve">nergy From Waste PFI </w:t>
      </w:r>
      <w:r w:rsidRPr="00EE7626">
        <w:rPr>
          <w:rFonts w:cs="Arial"/>
          <w:color w:val="auto"/>
          <w:sz w:val="20"/>
          <w:szCs w:val="20"/>
        </w:rPr>
        <w:t xml:space="preserve">service concession arrangement to treat and render inert </w:t>
      </w:r>
      <w:r w:rsidR="0047642C">
        <w:rPr>
          <w:rFonts w:cs="Arial"/>
          <w:color w:val="auto"/>
          <w:sz w:val="20"/>
          <w:szCs w:val="20"/>
        </w:rPr>
        <w:t>(</w:t>
      </w:r>
      <w:r w:rsidR="00DF4F8F">
        <w:rPr>
          <w:rFonts w:cs="Arial"/>
          <w:color w:val="auto"/>
          <w:sz w:val="20"/>
          <w:szCs w:val="20"/>
        </w:rPr>
        <w:t xml:space="preserve">primarily </w:t>
      </w:r>
      <w:r w:rsidR="0047642C">
        <w:rPr>
          <w:rFonts w:cs="Arial"/>
          <w:color w:val="auto"/>
          <w:sz w:val="20"/>
          <w:szCs w:val="20"/>
        </w:rPr>
        <w:t xml:space="preserve">domestic) </w:t>
      </w:r>
      <w:r w:rsidRPr="00EE7626">
        <w:rPr>
          <w:rFonts w:cs="Arial"/>
          <w:color w:val="auto"/>
          <w:sz w:val="20"/>
          <w:szCs w:val="20"/>
        </w:rPr>
        <w:t xml:space="preserve">waste that otherwise would have been disposed of in landfill sites.  Plymouth City Council, Torbay Council and Devon County Council </w:t>
      </w:r>
      <w:r>
        <w:rPr>
          <w:rFonts w:cs="Arial"/>
          <w:color w:val="auto"/>
          <w:sz w:val="20"/>
          <w:szCs w:val="20"/>
        </w:rPr>
        <w:t xml:space="preserve">jointly </w:t>
      </w:r>
      <w:r w:rsidRPr="00EE7626">
        <w:rPr>
          <w:rFonts w:cs="Arial"/>
          <w:color w:val="auto"/>
          <w:sz w:val="20"/>
          <w:szCs w:val="20"/>
        </w:rPr>
        <w:t>appointed MVV</w:t>
      </w:r>
      <w:r>
        <w:rPr>
          <w:rFonts w:cs="Arial"/>
          <w:color w:val="auto"/>
          <w:sz w:val="20"/>
          <w:szCs w:val="20"/>
        </w:rPr>
        <w:t xml:space="preserve"> </w:t>
      </w:r>
      <w:r w:rsidRPr="00EE7626">
        <w:rPr>
          <w:rFonts w:cs="Arial"/>
          <w:color w:val="auto"/>
          <w:sz w:val="20"/>
          <w:szCs w:val="20"/>
        </w:rPr>
        <w:t>U</w:t>
      </w:r>
      <w:r>
        <w:rPr>
          <w:rFonts w:cs="Arial"/>
          <w:color w:val="auto"/>
          <w:sz w:val="20"/>
          <w:szCs w:val="20"/>
        </w:rPr>
        <w:t>mwelt</w:t>
      </w:r>
      <w:r w:rsidRPr="00EE7626">
        <w:rPr>
          <w:rFonts w:cs="Arial"/>
          <w:color w:val="auto"/>
          <w:sz w:val="20"/>
          <w:szCs w:val="20"/>
        </w:rPr>
        <w:t xml:space="preserve"> under a fixed price contract to finance, construct and design the 245,000 tonne capacity facility and to maintain it to a minimum acceptable condition over a 24 year term, but with an option to extend operations for another 5 years</w:t>
      </w:r>
      <w:r w:rsidR="002D2F8B">
        <w:rPr>
          <w:rFonts w:cs="Arial"/>
          <w:color w:val="auto"/>
          <w:sz w:val="20"/>
          <w:szCs w:val="20"/>
        </w:rPr>
        <w:t>.</w:t>
      </w:r>
    </w:p>
    <w:p w:rsidR="002D2F8B" w:rsidRDefault="002D2F8B" w:rsidP="00F31A9D">
      <w:pPr>
        <w:pStyle w:val="BodyText"/>
        <w:widowControl w:val="0"/>
        <w:rPr>
          <w:rFonts w:cs="Arial"/>
          <w:color w:val="auto"/>
          <w:sz w:val="20"/>
          <w:szCs w:val="20"/>
        </w:rPr>
      </w:pPr>
      <w:r>
        <w:rPr>
          <w:rFonts w:cs="Arial"/>
          <w:color w:val="auto"/>
          <w:sz w:val="20"/>
          <w:szCs w:val="20"/>
        </w:rPr>
        <w:t xml:space="preserve">Torbay Council </w:t>
      </w:r>
      <w:r w:rsidR="004668D4">
        <w:rPr>
          <w:rFonts w:cs="Arial"/>
          <w:color w:val="auto"/>
          <w:sz w:val="20"/>
          <w:szCs w:val="20"/>
        </w:rPr>
        <w:t>is expected to provide 17% of the total of all three Cou</w:t>
      </w:r>
      <w:r w:rsidR="00161E71">
        <w:rPr>
          <w:rFonts w:cs="Arial"/>
          <w:color w:val="auto"/>
          <w:sz w:val="20"/>
          <w:szCs w:val="20"/>
        </w:rPr>
        <w:t>ncils</w:t>
      </w:r>
      <w:r w:rsidR="00544960">
        <w:rPr>
          <w:rFonts w:cs="Arial"/>
          <w:color w:val="auto"/>
          <w:sz w:val="20"/>
          <w:szCs w:val="20"/>
        </w:rPr>
        <w:t>’</w:t>
      </w:r>
      <w:r w:rsidR="004668D4">
        <w:rPr>
          <w:rFonts w:cs="Arial"/>
          <w:color w:val="auto"/>
          <w:sz w:val="20"/>
          <w:szCs w:val="20"/>
        </w:rPr>
        <w:t xml:space="preserve"> tonnage at an annual cost of £3m</w:t>
      </w:r>
      <w:r w:rsidR="00544960">
        <w:rPr>
          <w:rFonts w:cs="Arial"/>
          <w:color w:val="auto"/>
          <w:sz w:val="20"/>
          <w:szCs w:val="20"/>
        </w:rPr>
        <w:t>:</w:t>
      </w:r>
      <w:r w:rsidR="00A40ECF">
        <w:rPr>
          <w:rFonts w:cs="Arial"/>
          <w:color w:val="auto"/>
          <w:sz w:val="20"/>
          <w:szCs w:val="20"/>
        </w:rPr>
        <w:t xml:space="preserve"> </w:t>
      </w:r>
      <w:r w:rsidR="00161E71">
        <w:rPr>
          <w:rFonts w:cs="Arial"/>
          <w:color w:val="auto"/>
          <w:sz w:val="20"/>
          <w:szCs w:val="20"/>
        </w:rPr>
        <w:t xml:space="preserve">(Plymouth </w:t>
      </w:r>
      <w:r w:rsidR="00947C5E">
        <w:rPr>
          <w:rFonts w:cs="Arial"/>
          <w:color w:val="auto"/>
          <w:sz w:val="20"/>
          <w:szCs w:val="20"/>
        </w:rPr>
        <w:t xml:space="preserve">tonnage is </w:t>
      </w:r>
      <w:r w:rsidR="00161E71">
        <w:rPr>
          <w:rFonts w:cs="Arial"/>
          <w:color w:val="auto"/>
          <w:sz w:val="20"/>
          <w:szCs w:val="20"/>
        </w:rPr>
        <w:t>48% and Devon</w:t>
      </w:r>
      <w:r w:rsidR="00947C5E">
        <w:rPr>
          <w:rFonts w:cs="Arial"/>
          <w:color w:val="auto"/>
          <w:sz w:val="20"/>
          <w:szCs w:val="20"/>
        </w:rPr>
        <w:t>’s tonnage is</w:t>
      </w:r>
      <w:r w:rsidR="00161E71">
        <w:rPr>
          <w:rFonts w:cs="Arial"/>
          <w:color w:val="auto"/>
          <w:sz w:val="20"/>
          <w:szCs w:val="20"/>
        </w:rPr>
        <w:t xml:space="preserve"> 35%). </w:t>
      </w:r>
      <w:r w:rsidR="00A40ECF">
        <w:rPr>
          <w:rFonts w:cs="Arial"/>
          <w:color w:val="auto"/>
          <w:sz w:val="20"/>
          <w:szCs w:val="20"/>
        </w:rPr>
        <w:t>The three Co</w:t>
      </w:r>
      <w:r w:rsidR="00161E71">
        <w:rPr>
          <w:rFonts w:cs="Arial"/>
          <w:color w:val="auto"/>
          <w:sz w:val="20"/>
          <w:szCs w:val="20"/>
        </w:rPr>
        <w:t>uncil’s</w:t>
      </w:r>
      <w:r w:rsidR="00A40ECF">
        <w:rPr>
          <w:rFonts w:cs="Arial"/>
          <w:color w:val="auto"/>
          <w:sz w:val="20"/>
          <w:szCs w:val="20"/>
        </w:rPr>
        <w:t xml:space="preserve"> have assessed the </w:t>
      </w:r>
      <w:r w:rsidR="00947C5E">
        <w:rPr>
          <w:rFonts w:cs="Arial"/>
          <w:color w:val="auto"/>
          <w:sz w:val="20"/>
          <w:szCs w:val="20"/>
        </w:rPr>
        <w:t>Facility</w:t>
      </w:r>
      <w:r w:rsidR="00A40ECF">
        <w:rPr>
          <w:rFonts w:cs="Arial"/>
          <w:color w:val="auto"/>
          <w:sz w:val="20"/>
          <w:szCs w:val="20"/>
        </w:rPr>
        <w:t xml:space="preserve"> to be “on bal</w:t>
      </w:r>
      <w:r w:rsidR="00C30A60">
        <w:rPr>
          <w:rFonts w:cs="Arial"/>
          <w:color w:val="auto"/>
          <w:sz w:val="20"/>
          <w:szCs w:val="20"/>
        </w:rPr>
        <w:t>ance</w:t>
      </w:r>
      <w:r w:rsidR="00A40ECF">
        <w:rPr>
          <w:rFonts w:cs="Arial"/>
          <w:color w:val="auto"/>
          <w:sz w:val="20"/>
          <w:szCs w:val="20"/>
        </w:rPr>
        <w:t>” sheet. As a result Torbay has initially recognised an asset of £33m, equivalent to its 17% share of the facility and al</w:t>
      </w:r>
      <w:r w:rsidR="002C351A">
        <w:rPr>
          <w:rFonts w:cs="Arial"/>
          <w:color w:val="auto"/>
          <w:sz w:val="20"/>
          <w:szCs w:val="20"/>
        </w:rPr>
        <w:t>so</w:t>
      </w:r>
      <w:r w:rsidR="00A40ECF">
        <w:rPr>
          <w:rFonts w:cs="Arial"/>
          <w:color w:val="auto"/>
          <w:sz w:val="20"/>
          <w:szCs w:val="20"/>
        </w:rPr>
        <w:t xml:space="preserve"> recognised </w:t>
      </w:r>
      <w:r w:rsidR="00947C5E">
        <w:rPr>
          <w:rFonts w:cs="Arial"/>
          <w:color w:val="auto"/>
          <w:sz w:val="20"/>
          <w:szCs w:val="20"/>
        </w:rPr>
        <w:t>liabilities</w:t>
      </w:r>
      <w:r w:rsidR="00A40ECF">
        <w:rPr>
          <w:rFonts w:cs="Arial"/>
          <w:color w:val="auto"/>
          <w:sz w:val="20"/>
          <w:szCs w:val="20"/>
        </w:rPr>
        <w:t xml:space="preserve"> to the value of £33m. As the three </w:t>
      </w:r>
      <w:r w:rsidR="00947C5E">
        <w:rPr>
          <w:rFonts w:cs="Arial"/>
          <w:color w:val="auto"/>
          <w:sz w:val="20"/>
          <w:szCs w:val="20"/>
        </w:rPr>
        <w:t>Council’s</w:t>
      </w:r>
      <w:r w:rsidR="00A40ECF">
        <w:rPr>
          <w:rFonts w:cs="Arial"/>
          <w:color w:val="auto"/>
          <w:sz w:val="20"/>
          <w:szCs w:val="20"/>
        </w:rPr>
        <w:t xml:space="preserve"> only fund 37% of the facilities estimated income with the bal</w:t>
      </w:r>
      <w:r w:rsidR="009F368B">
        <w:rPr>
          <w:rFonts w:cs="Arial"/>
          <w:color w:val="auto"/>
          <w:sz w:val="20"/>
          <w:szCs w:val="20"/>
        </w:rPr>
        <w:t xml:space="preserve">ance </w:t>
      </w:r>
      <w:r w:rsidR="00A40ECF">
        <w:rPr>
          <w:rFonts w:cs="Arial"/>
          <w:color w:val="auto"/>
          <w:sz w:val="20"/>
          <w:szCs w:val="20"/>
        </w:rPr>
        <w:t>of 63% bei</w:t>
      </w:r>
      <w:r w:rsidR="009F368B">
        <w:rPr>
          <w:rFonts w:cs="Arial"/>
          <w:color w:val="auto"/>
          <w:sz w:val="20"/>
          <w:szCs w:val="20"/>
        </w:rPr>
        <w:t>ng</w:t>
      </w:r>
      <w:r w:rsidR="00A40ECF">
        <w:rPr>
          <w:rFonts w:cs="Arial"/>
          <w:color w:val="auto"/>
          <w:sz w:val="20"/>
          <w:szCs w:val="20"/>
        </w:rPr>
        <w:t xml:space="preserve"> paid for by other customers, the lia</w:t>
      </w:r>
      <w:r w:rsidR="002E7B77">
        <w:rPr>
          <w:rFonts w:cs="Arial"/>
          <w:color w:val="auto"/>
          <w:sz w:val="20"/>
          <w:szCs w:val="20"/>
        </w:rPr>
        <w:t>bility</w:t>
      </w:r>
      <w:r w:rsidR="00A40ECF">
        <w:rPr>
          <w:rFonts w:cs="Arial"/>
          <w:color w:val="auto"/>
          <w:sz w:val="20"/>
          <w:szCs w:val="20"/>
        </w:rPr>
        <w:t xml:space="preserve"> of £33m is </w:t>
      </w:r>
      <w:r w:rsidR="00C67678">
        <w:rPr>
          <w:rFonts w:cs="Arial"/>
          <w:color w:val="auto"/>
          <w:sz w:val="20"/>
          <w:szCs w:val="20"/>
        </w:rPr>
        <w:t>split:</w:t>
      </w:r>
      <w:r w:rsidR="00A40ECF">
        <w:rPr>
          <w:rFonts w:cs="Arial"/>
          <w:color w:val="auto"/>
          <w:sz w:val="20"/>
          <w:szCs w:val="20"/>
        </w:rPr>
        <w:t xml:space="preserve"> £12m (37%) as Torbay’s </w:t>
      </w:r>
      <w:r w:rsidR="00C67678">
        <w:rPr>
          <w:rFonts w:cs="Arial"/>
          <w:color w:val="auto"/>
          <w:sz w:val="20"/>
          <w:szCs w:val="20"/>
        </w:rPr>
        <w:t>own</w:t>
      </w:r>
      <w:r w:rsidR="00A40ECF">
        <w:rPr>
          <w:rFonts w:cs="Arial"/>
          <w:color w:val="auto"/>
          <w:sz w:val="20"/>
          <w:szCs w:val="20"/>
        </w:rPr>
        <w:t xml:space="preserve"> l</w:t>
      </w:r>
      <w:r w:rsidR="00C67678">
        <w:rPr>
          <w:rFonts w:cs="Arial"/>
          <w:color w:val="auto"/>
          <w:sz w:val="20"/>
          <w:szCs w:val="20"/>
        </w:rPr>
        <w:t>iability</w:t>
      </w:r>
      <w:r w:rsidR="00A40ECF">
        <w:rPr>
          <w:rFonts w:cs="Arial"/>
          <w:color w:val="auto"/>
          <w:sz w:val="20"/>
          <w:szCs w:val="20"/>
        </w:rPr>
        <w:t xml:space="preserve"> and £21m (63%) as deferred income.  </w:t>
      </w:r>
    </w:p>
    <w:p w:rsidR="00E51139" w:rsidRPr="00601EFE" w:rsidRDefault="00EE7626" w:rsidP="00F31A9D">
      <w:pPr>
        <w:pStyle w:val="BodyText"/>
        <w:widowControl w:val="0"/>
        <w:rPr>
          <w:rFonts w:cs="Arial"/>
          <w:color w:val="auto"/>
          <w:sz w:val="20"/>
          <w:szCs w:val="20"/>
          <w:u w:val="single"/>
        </w:rPr>
      </w:pPr>
      <w:r w:rsidRPr="008A2ED1">
        <w:rPr>
          <w:rFonts w:cs="Arial"/>
          <w:color w:val="auto"/>
          <w:sz w:val="20"/>
          <w:szCs w:val="20"/>
        </w:rPr>
        <w:t xml:space="preserve"> </w:t>
      </w:r>
      <w:r w:rsidR="00E51139" w:rsidRPr="00601EFE">
        <w:rPr>
          <w:rFonts w:cs="Arial"/>
          <w:color w:val="auto"/>
          <w:sz w:val="20"/>
          <w:szCs w:val="20"/>
          <w:u w:val="single"/>
        </w:rPr>
        <w:t>Significance of Pension liability</w:t>
      </w:r>
    </w:p>
    <w:p w:rsidR="00650992" w:rsidRPr="00601EFE" w:rsidRDefault="00E51139" w:rsidP="002F0134">
      <w:pPr>
        <w:pStyle w:val="BodyText"/>
        <w:widowControl w:val="0"/>
        <w:rPr>
          <w:rFonts w:cs="Arial"/>
          <w:color w:val="auto"/>
          <w:sz w:val="20"/>
          <w:szCs w:val="20"/>
        </w:rPr>
      </w:pPr>
      <w:r w:rsidRPr="00601EFE">
        <w:rPr>
          <w:rFonts w:cs="Arial"/>
          <w:color w:val="auto"/>
          <w:sz w:val="20"/>
          <w:szCs w:val="20"/>
        </w:rPr>
        <w:t xml:space="preserve">The Council’s employees can be members of the Devon County Council Local Government Pension Scheme. As a defined benefit scheme the Council is liable for any surplus or deficit on the fund. The Council’s liability is calculated on an annual basis by the fund’s actuary. This value estimates the liability </w:t>
      </w:r>
      <w:r w:rsidR="00061CCD" w:rsidRPr="00601EFE">
        <w:rPr>
          <w:rFonts w:cs="Arial"/>
          <w:color w:val="auto"/>
          <w:sz w:val="20"/>
          <w:szCs w:val="20"/>
        </w:rPr>
        <w:t>of</w:t>
      </w:r>
      <w:r w:rsidRPr="00601EFE">
        <w:rPr>
          <w:rFonts w:cs="Arial"/>
          <w:color w:val="auto"/>
          <w:sz w:val="20"/>
          <w:szCs w:val="20"/>
        </w:rPr>
        <w:t xml:space="preserve"> the Council if all liabilities were to be realised at a point in time. In reality the impact on the Council is spread over a long period of time, (over current and future pensioners lives), with the Council reducing the deficit by its employers’ contributions to the fund over the long term (over 25 years). </w:t>
      </w:r>
      <w:r w:rsidR="00136430">
        <w:rPr>
          <w:rFonts w:cs="Arial"/>
          <w:color w:val="auto"/>
          <w:sz w:val="20"/>
          <w:szCs w:val="20"/>
        </w:rPr>
        <w:t>The triennial review of the fund took place as at 31</w:t>
      </w:r>
      <w:r w:rsidR="00136430" w:rsidRPr="00136430">
        <w:rPr>
          <w:rFonts w:cs="Arial"/>
          <w:color w:val="auto"/>
          <w:sz w:val="20"/>
          <w:szCs w:val="20"/>
          <w:vertAlign w:val="superscript"/>
        </w:rPr>
        <w:t>st</w:t>
      </w:r>
      <w:r w:rsidR="00136430">
        <w:rPr>
          <w:rFonts w:cs="Arial"/>
          <w:color w:val="auto"/>
          <w:sz w:val="20"/>
          <w:szCs w:val="20"/>
        </w:rPr>
        <w:t xml:space="preserve"> March 2016 which will impact on </w:t>
      </w:r>
      <w:r w:rsidR="00136430">
        <w:rPr>
          <w:rFonts w:cs="Arial"/>
          <w:color w:val="auto"/>
          <w:sz w:val="20"/>
          <w:szCs w:val="20"/>
        </w:rPr>
        <w:lastRenderedPageBreak/>
        <w:t>employer contribution rates from April 2017.</w:t>
      </w:r>
    </w:p>
    <w:p w:rsidR="00E51139" w:rsidRPr="00601EFE" w:rsidRDefault="00E51139" w:rsidP="002F0134">
      <w:pPr>
        <w:pStyle w:val="BodyText"/>
        <w:widowControl w:val="0"/>
        <w:rPr>
          <w:rFonts w:cs="Arial"/>
          <w:color w:val="auto"/>
          <w:sz w:val="20"/>
          <w:szCs w:val="20"/>
        </w:rPr>
      </w:pPr>
      <w:r w:rsidRPr="00601EFE">
        <w:rPr>
          <w:rFonts w:cs="Arial"/>
          <w:color w:val="auto"/>
          <w:sz w:val="20"/>
          <w:szCs w:val="20"/>
        </w:rPr>
        <w:t>The Council’s liability as at 31</w:t>
      </w:r>
      <w:r w:rsidRPr="00601EFE">
        <w:rPr>
          <w:rFonts w:cs="Arial"/>
          <w:color w:val="auto"/>
          <w:sz w:val="20"/>
          <w:szCs w:val="20"/>
          <w:vertAlign w:val="superscript"/>
        </w:rPr>
        <w:t>st</w:t>
      </w:r>
      <w:r w:rsidRPr="00601EFE">
        <w:rPr>
          <w:rFonts w:cs="Arial"/>
          <w:color w:val="auto"/>
          <w:sz w:val="20"/>
          <w:szCs w:val="20"/>
        </w:rPr>
        <w:t xml:space="preserve"> March 201</w:t>
      </w:r>
      <w:r w:rsidR="00645623" w:rsidRPr="00601EFE">
        <w:rPr>
          <w:rFonts w:cs="Arial"/>
          <w:color w:val="auto"/>
          <w:sz w:val="20"/>
          <w:szCs w:val="20"/>
        </w:rPr>
        <w:t>6</w:t>
      </w:r>
      <w:r w:rsidRPr="00601EFE">
        <w:rPr>
          <w:rFonts w:cs="Arial"/>
          <w:color w:val="auto"/>
          <w:sz w:val="20"/>
          <w:szCs w:val="20"/>
        </w:rPr>
        <w:t xml:space="preserve"> is assessed at £</w:t>
      </w:r>
      <w:r w:rsidR="006C3321" w:rsidRPr="00601EFE">
        <w:rPr>
          <w:rFonts w:cs="Arial"/>
          <w:color w:val="auto"/>
          <w:sz w:val="20"/>
          <w:szCs w:val="20"/>
        </w:rPr>
        <w:t>1</w:t>
      </w:r>
      <w:r w:rsidR="00645623" w:rsidRPr="00601EFE">
        <w:rPr>
          <w:rFonts w:cs="Arial"/>
          <w:color w:val="auto"/>
          <w:sz w:val="20"/>
          <w:szCs w:val="20"/>
        </w:rPr>
        <w:t>51m</w:t>
      </w:r>
      <w:r w:rsidR="001C664A">
        <w:rPr>
          <w:rFonts w:cs="Arial"/>
          <w:color w:val="auto"/>
          <w:sz w:val="20"/>
          <w:szCs w:val="20"/>
        </w:rPr>
        <w:t xml:space="preserve"> (£168m 14/15</w:t>
      </w:r>
      <w:r w:rsidR="007E33E1">
        <w:rPr>
          <w:rFonts w:cs="Arial"/>
          <w:color w:val="auto"/>
          <w:sz w:val="20"/>
          <w:szCs w:val="20"/>
        </w:rPr>
        <w:t>),</w:t>
      </w:r>
      <w:r w:rsidRPr="00601EFE">
        <w:rPr>
          <w:rFonts w:cs="Arial"/>
          <w:color w:val="auto"/>
          <w:sz w:val="20"/>
          <w:szCs w:val="20"/>
        </w:rPr>
        <w:t xml:space="preserve"> a £</w:t>
      </w:r>
      <w:r w:rsidR="00645623" w:rsidRPr="00601EFE">
        <w:rPr>
          <w:rFonts w:cs="Arial"/>
          <w:color w:val="auto"/>
          <w:sz w:val="20"/>
          <w:szCs w:val="20"/>
        </w:rPr>
        <w:t>17</w:t>
      </w:r>
      <w:r w:rsidR="00FB55B3" w:rsidRPr="00601EFE">
        <w:rPr>
          <w:rFonts w:cs="Arial"/>
          <w:color w:val="auto"/>
          <w:sz w:val="20"/>
          <w:szCs w:val="20"/>
        </w:rPr>
        <w:t>m</w:t>
      </w:r>
      <w:r w:rsidRPr="00601EFE">
        <w:rPr>
          <w:rFonts w:cs="Arial"/>
          <w:color w:val="auto"/>
          <w:sz w:val="20"/>
          <w:szCs w:val="20"/>
        </w:rPr>
        <w:t xml:space="preserve"> </w:t>
      </w:r>
      <w:r w:rsidR="00645623" w:rsidRPr="00601EFE">
        <w:rPr>
          <w:rFonts w:cs="Arial"/>
          <w:color w:val="auto"/>
          <w:sz w:val="20"/>
          <w:szCs w:val="20"/>
        </w:rPr>
        <w:t>de</w:t>
      </w:r>
      <w:r w:rsidRPr="00601EFE">
        <w:rPr>
          <w:rFonts w:cs="Arial"/>
          <w:color w:val="auto"/>
          <w:sz w:val="20"/>
          <w:szCs w:val="20"/>
        </w:rPr>
        <w:t>crease</w:t>
      </w:r>
      <w:r w:rsidR="00ED68CA" w:rsidRPr="00601EFE">
        <w:rPr>
          <w:rFonts w:cs="Arial"/>
          <w:color w:val="auto"/>
          <w:sz w:val="20"/>
          <w:szCs w:val="20"/>
        </w:rPr>
        <w:t>, primarily due to actuarial “remeasurements” of the pension scheme liabilities and assets.</w:t>
      </w:r>
      <w:r w:rsidRPr="00601EFE">
        <w:rPr>
          <w:rFonts w:cs="Arial"/>
          <w:color w:val="auto"/>
          <w:sz w:val="20"/>
          <w:szCs w:val="20"/>
        </w:rPr>
        <w:t xml:space="preserve"> </w:t>
      </w:r>
      <w:r w:rsidRPr="00601EFE">
        <w:rPr>
          <w:rFonts w:cs="Arial"/>
          <w:color w:val="auto"/>
          <w:sz w:val="20"/>
          <w:szCs w:val="20"/>
        </w:rPr>
        <w:tab/>
      </w:r>
      <w:r w:rsidR="0035630E" w:rsidRPr="00601EFE">
        <w:rPr>
          <w:rFonts w:cs="Arial"/>
          <w:color w:val="auto"/>
          <w:sz w:val="20"/>
          <w:szCs w:val="20"/>
        </w:rPr>
        <w:t>In particular the actuary changed the discount rate in the liability calculation to 3.</w:t>
      </w:r>
      <w:r w:rsidR="00645623" w:rsidRPr="00601EFE">
        <w:rPr>
          <w:rFonts w:cs="Arial"/>
          <w:color w:val="auto"/>
          <w:sz w:val="20"/>
          <w:szCs w:val="20"/>
        </w:rPr>
        <w:t>7</w:t>
      </w:r>
      <w:r w:rsidR="0035630E" w:rsidRPr="00601EFE">
        <w:rPr>
          <w:rFonts w:cs="Arial"/>
          <w:color w:val="auto"/>
          <w:sz w:val="20"/>
          <w:szCs w:val="20"/>
        </w:rPr>
        <w:t xml:space="preserve">% from </w:t>
      </w:r>
      <w:r w:rsidR="00645623" w:rsidRPr="00601EFE">
        <w:rPr>
          <w:rFonts w:cs="Arial"/>
          <w:color w:val="auto"/>
          <w:sz w:val="20"/>
          <w:szCs w:val="20"/>
        </w:rPr>
        <w:t>3.3</w:t>
      </w:r>
      <w:r w:rsidR="0035630E" w:rsidRPr="00601EFE">
        <w:rPr>
          <w:rFonts w:cs="Arial"/>
          <w:color w:val="auto"/>
          <w:sz w:val="20"/>
          <w:szCs w:val="20"/>
        </w:rPr>
        <w:t>%</w:t>
      </w:r>
      <w:r w:rsidR="00645623" w:rsidRPr="00601EFE">
        <w:rPr>
          <w:rFonts w:cs="Arial"/>
          <w:color w:val="auto"/>
          <w:sz w:val="20"/>
          <w:szCs w:val="20"/>
        </w:rPr>
        <w:t>.</w:t>
      </w:r>
    </w:p>
    <w:p w:rsidR="00E51139" w:rsidRPr="005136A2" w:rsidRDefault="00E51139" w:rsidP="00F31A9D">
      <w:pPr>
        <w:pStyle w:val="BodyText"/>
        <w:widowControl w:val="0"/>
        <w:rPr>
          <w:rFonts w:cs="Arial"/>
          <w:color w:val="auto"/>
          <w:sz w:val="20"/>
          <w:szCs w:val="20"/>
          <w:u w:val="single"/>
        </w:rPr>
      </w:pPr>
      <w:r w:rsidRPr="005136A2">
        <w:rPr>
          <w:rFonts w:cs="Arial"/>
          <w:color w:val="auto"/>
          <w:sz w:val="20"/>
          <w:szCs w:val="20"/>
          <w:u w:val="single"/>
        </w:rPr>
        <w:t xml:space="preserve">Explanation of any </w:t>
      </w:r>
      <w:r w:rsidR="008B5036" w:rsidRPr="005136A2">
        <w:rPr>
          <w:rFonts w:cs="Arial"/>
          <w:color w:val="auto"/>
          <w:sz w:val="20"/>
          <w:szCs w:val="20"/>
          <w:u w:val="single"/>
        </w:rPr>
        <w:t>“</w:t>
      </w:r>
      <w:r w:rsidRPr="005136A2">
        <w:rPr>
          <w:rFonts w:cs="Arial"/>
          <w:color w:val="auto"/>
          <w:sz w:val="20"/>
          <w:szCs w:val="20"/>
          <w:u w:val="single"/>
        </w:rPr>
        <w:t>unusual</w:t>
      </w:r>
      <w:r w:rsidR="008B5036" w:rsidRPr="005136A2">
        <w:rPr>
          <w:rFonts w:cs="Arial"/>
          <w:color w:val="auto"/>
          <w:sz w:val="20"/>
          <w:szCs w:val="20"/>
          <w:u w:val="single"/>
        </w:rPr>
        <w:t>”</w:t>
      </w:r>
      <w:r w:rsidRPr="005136A2">
        <w:rPr>
          <w:rFonts w:cs="Arial"/>
          <w:color w:val="auto"/>
          <w:sz w:val="20"/>
          <w:szCs w:val="20"/>
          <w:u w:val="single"/>
        </w:rPr>
        <w:t xml:space="preserve"> costs/income</w:t>
      </w:r>
    </w:p>
    <w:p w:rsidR="00E51139" w:rsidRPr="005136A2" w:rsidRDefault="00E51139" w:rsidP="00F31A9D">
      <w:pPr>
        <w:pStyle w:val="BodyText"/>
        <w:widowControl w:val="0"/>
        <w:rPr>
          <w:rFonts w:cs="Arial"/>
          <w:color w:val="auto"/>
          <w:sz w:val="20"/>
          <w:szCs w:val="20"/>
        </w:rPr>
      </w:pPr>
      <w:r w:rsidRPr="005136A2">
        <w:rPr>
          <w:rFonts w:cs="Arial"/>
          <w:color w:val="auto"/>
          <w:sz w:val="20"/>
          <w:szCs w:val="20"/>
        </w:rPr>
        <w:t xml:space="preserve">There were a number of </w:t>
      </w:r>
      <w:r w:rsidR="008B5036" w:rsidRPr="005136A2">
        <w:rPr>
          <w:rFonts w:cs="Arial"/>
          <w:color w:val="auto"/>
          <w:sz w:val="20"/>
          <w:szCs w:val="20"/>
        </w:rPr>
        <w:t>“</w:t>
      </w:r>
      <w:r w:rsidRPr="005136A2">
        <w:rPr>
          <w:rFonts w:cs="Arial"/>
          <w:color w:val="auto"/>
          <w:sz w:val="20"/>
          <w:szCs w:val="20"/>
        </w:rPr>
        <w:t>unusual</w:t>
      </w:r>
      <w:r w:rsidR="008B5036" w:rsidRPr="005136A2">
        <w:rPr>
          <w:rFonts w:cs="Arial"/>
          <w:color w:val="auto"/>
          <w:sz w:val="20"/>
          <w:szCs w:val="20"/>
        </w:rPr>
        <w:t>”</w:t>
      </w:r>
      <w:r w:rsidRPr="005136A2">
        <w:rPr>
          <w:rFonts w:cs="Arial"/>
          <w:color w:val="auto"/>
          <w:sz w:val="20"/>
          <w:szCs w:val="20"/>
        </w:rPr>
        <w:t xml:space="preserve"> costs within the income and expenditure account in 201</w:t>
      </w:r>
      <w:r w:rsidR="005136A2" w:rsidRPr="005136A2">
        <w:rPr>
          <w:rFonts w:cs="Arial"/>
          <w:color w:val="auto"/>
          <w:sz w:val="20"/>
          <w:szCs w:val="20"/>
        </w:rPr>
        <w:t>5</w:t>
      </w:r>
      <w:r w:rsidR="001F2591" w:rsidRPr="005136A2">
        <w:rPr>
          <w:rFonts w:cs="Arial"/>
          <w:color w:val="auto"/>
          <w:sz w:val="20"/>
          <w:szCs w:val="20"/>
        </w:rPr>
        <w:t>/1</w:t>
      </w:r>
      <w:r w:rsidR="005136A2" w:rsidRPr="005136A2">
        <w:rPr>
          <w:rFonts w:cs="Arial"/>
          <w:color w:val="auto"/>
          <w:sz w:val="20"/>
          <w:szCs w:val="20"/>
        </w:rPr>
        <w:t>6</w:t>
      </w:r>
      <w:r w:rsidRPr="005136A2">
        <w:rPr>
          <w:rFonts w:cs="Arial"/>
          <w:color w:val="auto"/>
          <w:sz w:val="20"/>
          <w:szCs w:val="20"/>
        </w:rPr>
        <w:t>. These include:</w:t>
      </w:r>
    </w:p>
    <w:p w:rsidR="00E51139" w:rsidRPr="00703E1F" w:rsidRDefault="00E51139" w:rsidP="00F31A9D">
      <w:pPr>
        <w:pStyle w:val="BodyText"/>
        <w:widowControl w:val="0"/>
        <w:rPr>
          <w:rFonts w:cs="Arial"/>
          <w:color w:val="auto"/>
          <w:sz w:val="20"/>
          <w:szCs w:val="20"/>
        </w:rPr>
      </w:pPr>
      <w:r w:rsidRPr="00703E1F">
        <w:rPr>
          <w:rFonts w:cs="Arial"/>
          <w:color w:val="auto"/>
          <w:sz w:val="20"/>
          <w:szCs w:val="20"/>
        </w:rPr>
        <w:t xml:space="preserve">As a result of the budget reductions a total of </w:t>
      </w:r>
      <w:r w:rsidR="00F17A9E" w:rsidRPr="00703E1F">
        <w:rPr>
          <w:rFonts w:cs="Arial"/>
          <w:color w:val="auto"/>
          <w:sz w:val="20"/>
          <w:szCs w:val="20"/>
        </w:rPr>
        <w:t>£</w:t>
      </w:r>
      <w:r w:rsidR="00E5337D" w:rsidRPr="00703E1F">
        <w:rPr>
          <w:rFonts w:cs="Arial"/>
          <w:color w:val="auto"/>
          <w:sz w:val="20"/>
          <w:szCs w:val="20"/>
        </w:rPr>
        <w:t>0.</w:t>
      </w:r>
      <w:r w:rsidR="00703E1F" w:rsidRPr="00703E1F">
        <w:rPr>
          <w:rFonts w:cs="Arial"/>
          <w:color w:val="auto"/>
          <w:sz w:val="20"/>
          <w:szCs w:val="20"/>
        </w:rPr>
        <w:t>4</w:t>
      </w:r>
      <w:r w:rsidR="00E5337D" w:rsidRPr="00703E1F">
        <w:rPr>
          <w:rFonts w:cs="Arial"/>
          <w:color w:val="auto"/>
          <w:sz w:val="20"/>
          <w:szCs w:val="20"/>
        </w:rPr>
        <w:t>m</w:t>
      </w:r>
      <w:r w:rsidR="00F17A9E" w:rsidRPr="00703E1F">
        <w:rPr>
          <w:rFonts w:cs="Arial"/>
          <w:color w:val="auto"/>
          <w:sz w:val="20"/>
          <w:szCs w:val="20"/>
        </w:rPr>
        <w:t xml:space="preserve"> (</w:t>
      </w:r>
      <w:r w:rsidRPr="00703E1F">
        <w:rPr>
          <w:rFonts w:cs="Arial"/>
          <w:color w:val="auto"/>
          <w:sz w:val="20"/>
          <w:szCs w:val="20"/>
        </w:rPr>
        <w:t>£</w:t>
      </w:r>
      <w:r w:rsidR="00114E74" w:rsidRPr="00703E1F">
        <w:rPr>
          <w:rFonts w:cs="Arial"/>
          <w:color w:val="auto"/>
          <w:sz w:val="20"/>
          <w:szCs w:val="20"/>
        </w:rPr>
        <w:t>0.</w:t>
      </w:r>
      <w:r w:rsidR="00703E1F" w:rsidRPr="00703E1F">
        <w:rPr>
          <w:rFonts w:cs="Arial"/>
          <w:color w:val="auto"/>
          <w:sz w:val="20"/>
          <w:szCs w:val="20"/>
        </w:rPr>
        <w:t>5</w:t>
      </w:r>
      <w:r w:rsidRPr="00703E1F">
        <w:rPr>
          <w:rFonts w:cs="Arial"/>
          <w:color w:val="auto"/>
          <w:sz w:val="20"/>
          <w:szCs w:val="20"/>
        </w:rPr>
        <w:t xml:space="preserve">m </w:t>
      </w:r>
      <w:r w:rsidR="00F17A9E" w:rsidRPr="00703E1F">
        <w:rPr>
          <w:rFonts w:cs="Arial"/>
          <w:color w:val="auto"/>
          <w:sz w:val="20"/>
          <w:szCs w:val="20"/>
        </w:rPr>
        <w:t>1</w:t>
      </w:r>
      <w:r w:rsidR="00703E1F" w:rsidRPr="00703E1F">
        <w:rPr>
          <w:rFonts w:cs="Arial"/>
          <w:color w:val="auto"/>
          <w:sz w:val="20"/>
          <w:szCs w:val="20"/>
        </w:rPr>
        <w:t>4</w:t>
      </w:r>
      <w:r w:rsidR="00F17A9E" w:rsidRPr="00703E1F">
        <w:rPr>
          <w:rFonts w:cs="Arial"/>
          <w:color w:val="auto"/>
          <w:sz w:val="20"/>
          <w:szCs w:val="20"/>
        </w:rPr>
        <w:t>/1</w:t>
      </w:r>
      <w:r w:rsidR="00703E1F" w:rsidRPr="00703E1F">
        <w:rPr>
          <w:rFonts w:cs="Arial"/>
          <w:color w:val="auto"/>
          <w:sz w:val="20"/>
          <w:szCs w:val="20"/>
        </w:rPr>
        <w:t>5</w:t>
      </w:r>
      <w:r w:rsidR="00F17A9E" w:rsidRPr="00703E1F">
        <w:rPr>
          <w:rFonts w:cs="Arial"/>
          <w:color w:val="auto"/>
          <w:sz w:val="20"/>
          <w:szCs w:val="20"/>
        </w:rPr>
        <w:t xml:space="preserve">) </w:t>
      </w:r>
      <w:r w:rsidRPr="00703E1F">
        <w:rPr>
          <w:rFonts w:cs="Arial"/>
          <w:color w:val="auto"/>
          <w:sz w:val="20"/>
          <w:szCs w:val="20"/>
        </w:rPr>
        <w:t xml:space="preserve">of costs in relation to </w:t>
      </w:r>
      <w:r w:rsidR="006960AB" w:rsidRPr="00703E1F">
        <w:rPr>
          <w:rFonts w:cs="Arial"/>
          <w:color w:val="auto"/>
          <w:sz w:val="20"/>
          <w:szCs w:val="20"/>
        </w:rPr>
        <w:t xml:space="preserve">a </w:t>
      </w:r>
      <w:r w:rsidRPr="00BE0F34">
        <w:rPr>
          <w:rFonts w:cs="Arial"/>
          <w:color w:val="auto"/>
          <w:sz w:val="20"/>
          <w:szCs w:val="20"/>
        </w:rPr>
        <w:t>reduction</w:t>
      </w:r>
      <w:r w:rsidR="006960AB" w:rsidRPr="00BE0F34">
        <w:rPr>
          <w:rFonts w:cs="Arial"/>
          <w:color w:val="auto"/>
          <w:sz w:val="20"/>
          <w:szCs w:val="20"/>
        </w:rPr>
        <w:t xml:space="preserve"> of </w:t>
      </w:r>
      <w:r w:rsidR="00BE0F34" w:rsidRPr="00BE0F34">
        <w:rPr>
          <w:rFonts w:cs="Arial"/>
          <w:color w:val="auto"/>
          <w:sz w:val="20"/>
          <w:szCs w:val="20"/>
        </w:rPr>
        <w:t>18</w:t>
      </w:r>
      <w:r w:rsidR="006960AB" w:rsidRPr="00BE0F34">
        <w:rPr>
          <w:rFonts w:cs="Arial"/>
          <w:color w:val="auto"/>
          <w:sz w:val="20"/>
          <w:szCs w:val="20"/>
        </w:rPr>
        <w:t xml:space="preserve"> staff</w:t>
      </w:r>
      <w:r w:rsidR="006960AB" w:rsidRPr="00703E1F">
        <w:rPr>
          <w:rFonts w:cs="Arial"/>
          <w:color w:val="auto"/>
          <w:sz w:val="20"/>
          <w:szCs w:val="20"/>
        </w:rPr>
        <w:t xml:space="preserve"> </w:t>
      </w:r>
      <w:r w:rsidRPr="00703E1F">
        <w:rPr>
          <w:rFonts w:cs="Arial"/>
          <w:color w:val="auto"/>
          <w:sz w:val="20"/>
          <w:szCs w:val="20"/>
        </w:rPr>
        <w:t xml:space="preserve">were incurred of which </w:t>
      </w:r>
      <w:r w:rsidR="00F17A9E" w:rsidRPr="00703E1F">
        <w:rPr>
          <w:rFonts w:cs="Arial"/>
          <w:color w:val="auto"/>
          <w:sz w:val="20"/>
          <w:szCs w:val="20"/>
        </w:rPr>
        <w:t>£</w:t>
      </w:r>
      <w:r w:rsidR="002C36DE" w:rsidRPr="00703E1F">
        <w:rPr>
          <w:rFonts w:cs="Arial"/>
          <w:color w:val="auto"/>
          <w:sz w:val="20"/>
          <w:szCs w:val="20"/>
        </w:rPr>
        <w:t>0.4m</w:t>
      </w:r>
      <w:r w:rsidR="00F17A9E" w:rsidRPr="00703E1F">
        <w:rPr>
          <w:rFonts w:cs="Arial"/>
          <w:color w:val="auto"/>
          <w:sz w:val="20"/>
          <w:szCs w:val="20"/>
        </w:rPr>
        <w:t xml:space="preserve"> (</w:t>
      </w:r>
      <w:r w:rsidRPr="00703E1F">
        <w:rPr>
          <w:rFonts w:cs="Arial"/>
          <w:color w:val="auto"/>
          <w:sz w:val="20"/>
          <w:szCs w:val="20"/>
        </w:rPr>
        <w:t>£</w:t>
      </w:r>
      <w:r w:rsidR="00114E74" w:rsidRPr="00703E1F">
        <w:rPr>
          <w:rFonts w:cs="Arial"/>
          <w:color w:val="auto"/>
          <w:sz w:val="20"/>
          <w:szCs w:val="20"/>
        </w:rPr>
        <w:t>0.</w:t>
      </w:r>
      <w:r w:rsidR="00703E1F" w:rsidRPr="00703E1F">
        <w:rPr>
          <w:rFonts w:cs="Arial"/>
          <w:color w:val="auto"/>
          <w:sz w:val="20"/>
          <w:szCs w:val="20"/>
        </w:rPr>
        <w:t>4</w:t>
      </w:r>
      <w:r w:rsidRPr="00703E1F">
        <w:rPr>
          <w:rFonts w:cs="Arial"/>
          <w:color w:val="auto"/>
          <w:sz w:val="20"/>
          <w:szCs w:val="20"/>
        </w:rPr>
        <w:t xml:space="preserve">m </w:t>
      </w:r>
      <w:r w:rsidR="00F17A9E" w:rsidRPr="00703E1F">
        <w:rPr>
          <w:rFonts w:cs="Arial"/>
          <w:color w:val="auto"/>
          <w:sz w:val="20"/>
          <w:szCs w:val="20"/>
        </w:rPr>
        <w:t>1</w:t>
      </w:r>
      <w:r w:rsidR="00703E1F" w:rsidRPr="00703E1F">
        <w:rPr>
          <w:rFonts w:cs="Arial"/>
          <w:color w:val="auto"/>
          <w:sz w:val="20"/>
          <w:szCs w:val="20"/>
        </w:rPr>
        <w:t>4</w:t>
      </w:r>
      <w:r w:rsidR="00F17A9E" w:rsidRPr="00703E1F">
        <w:rPr>
          <w:rFonts w:cs="Arial"/>
          <w:color w:val="auto"/>
          <w:sz w:val="20"/>
          <w:szCs w:val="20"/>
        </w:rPr>
        <w:t>/1</w:t>
      </w:r>
      <w:r w:rsidR="00703E1F" w:rsidRPr="00703E1F">
        <w:rPr>
          <w:rFonts w:cs="Arial"/>
          <w:color w:val="auto"/>
          <w:sz w:val="20"/>
          <w:szCs w:val="20"/>
        </w:rPr>
        <w:t>5</w:t>
      </w:r>
      <w:r w:rsidR="00F17A9E" w:rsidRPr="00703E1F">
        <w:rPr>
          <w:rFonts w:cs="Arial"/>
          <w:color w:val="auto"/>
          <w:sz w:val="20"/>
          <w:szCs w:val="20"/>
        </w:rPr>
        <w:t xml:space="preserve">) </w:t>
      </w:r>
      <w:r w:rsidRPr="00703E1F">
        <w:rPr>
          <w:rFonts w:cs="Arial"/>
          <w:color w:val="auto"/>
          <w:sz w:val="20"/>
          <w:szCs w:val="20"/>
        </w:rPr>
        <w:t>w</w:t>
      </w:r>
      <w:r w:rsidR="00B54BF7" w:rsidRPr="00703E1F">
        <w:rPr>
          <w:rFonts w:cs="Arial"/>
          <w:color w:val="auto"/>
          <w:sz w:val="20"/>
          <w:szCs w:val="20"/>
        </w:rPr>
        <w:t>as</w:t>
      </w:r>
      <w:r w:rsidRPr="00703E1F">
        <w:rPr>
          <w:rFonts w:cs="Arial"/>
          <w:color w:val="auto"/>
          <w:sz w:val="20"/>
          <w:szCs w:val="20"/>
        </w:rPr>
        <w:t xml:space="preserve"> paid during 201</w:t>
      </w:r>
      <w:r w:rsidR="00703E1F" w:rsidRPr="00703E1F">
        <w:rPr>
          <w:rFonts w:cs="Arial"/>
          <w:color w:val="auto"/>
          <w:sz w:val="20"/>
          <w:szCs w:val="20"/>
        </w:rPr>
        <w:t>5</w:t>
      </w:r>
      <w:r w:rsidR="001F2591" w:rsidRPr="00703E1F">
        <w:rPr>
          <w:rFonts w:cs="Arial"/>
          <w:color w:val="auto"/>
          <w:sz w:val="20"/>
          <w:szCs w:val="20"/>
        </w:rPr>
        <w:t>/1</w:t>
      </w:r>
      <w:r w:rsidR="00703E1F" w:rsidRPr="00703E1F">
        <w:rPr>
          <w:rFonts w:cs="Arial"/>
          <w:color w:val="auto"/>
          <w:sz w:val="20"/>
          <w:szCs w:val="20"/>
        </w:rPr>
        <w:t>6</w:t>
      </w:r>
      <w:r w:rsidRPr="00703E1F">
        <w:rPr>
          <w:rFonts w:cs="Arial"/>
          <w:color w:val="auto"/>
          <w:sz w:val="20"/>
          <w:szCs w:val="20"/>
        </w:rPr>
        <w:t xml:space="preserve"> and a provision of </w:t>
      </w:r>
      <w:r w:rsidR="00F17A9E" w:rsidRPr="00703E1F">
        <w:rPr>
          <w:rFonts w:cs="Arial"/>
          <w:color w:val="auto"/>
          <w:sz w:val="20"/>
          <w:szCs w:val="20"/>
        </w:rPr>
        <w:t>£</w:t>
      </w:r>
      <w:r w:rsidR="002C36DE" w:rsidRPr="00703E1F">
        <w:rPr>
          <w:rFonts w:cs="Arial"/>
          <w:color w:val="auto"/>
          <w:sz w:val="20"/>
          <w:szCs w:val="20"/>
        </w:rPr>
        <w:t>0</w:t>
      </w:r>
      <w:r w:rsidR="00703E1F" w:rsidRPr="00703E1F">
        <w:rPr>
          <w:rFonts w:cs="Arial"/>
          <w:color w:val="auto"/>
          <w:sz w:val="20"/>
          <w:szCs w:val="20"/>
        </w:rPr>
        <w:t>.040</w:t>
      </w:r>
      <w:r w:rsidR="002C36DE" w:rsidRPr="00703E1F">
        <w:rPr>
          <w:rFonts w:cs="Arial"/>
          <w:color w:val="auto"/>
          <w:sz w:val="20"/>
          <w:szCs w:val="20"/>
        </w:rPr>
        <w:t>m</w:t>
      </w:r>
      <w:r w:rsidR="00F17A9E" w:rsidRPr="00703E1F">
        <w:rPr>
          <w:rFonts w:cs="Arial"/>
          <w:color w:val="auto"/>
          <w:sz w:val="20"/>
          <w:szCs w:val="20"/>
        </w:rPr>
        <w:t xml:space="preserve"> (</w:t>
      </w:r>
      <w:r w:rsidRPr="00703E1F">
        <w:rPr>
          <w:rFonts w:cs="Arial"/>
          <w:color w:val="auto"/>
          <w:sz w:val="20"/>
          <w:szCs w:val="20"/>
        </w:rPr>
        <w:t>£</w:t>
      </w:r>
      <w:r w:rsidR="00114E74" w:rsidRPr="00703E1F">
        <w:rPr>
          <w:rFonts w:cs="Arial"/>
          <w:color w:val="auto"/>
          <w:sz w:val="20"/>
          <w:szCs w:val="20"/>
        </w:rPr>
        <w:t>0.1</w:t>
      </w:r>
      <w:r w:rsidRPr="00703E1F">
        <w:rPr>
          <w:rFonts w:cs="Arial"/>
          <w:color w:val="auto"/>
          <w:sz w:val="20"/>
          <w:szCs w:val="20"/>
        </w:rPr>
        <w:t>m</w:t>
      </w:r>
      <w:r w:rsidR="00F17A9E" w:rsidRPr="00703E1F">
        <w:rPr>
          <w:rFonts w:cs="Arial"/>
          <w:color w:val="auto"/>
          <w:sz w:val="20"/>
          <w:szCs w:val="20"/>
        </w:rPr>
        <w:t xml:space="preserve"> 1</w:t>
      </w:r>
      <w:r w:rsidR="00703E1F" w:rsidRPr="00703E1F">
        <w:rPr>
          <w:rFonts w:cs="Arial"/>
          <w:color w:val="auto"/>
          <w:sz w:val="20"/>
          <w:szCs w:val="20"/>
        </w:rPr>
        <w:t>4</w:t>
      </w:r>
      <w:r w:rsidR="00F17A9E" w:rsidRPr="00703E1F">
        <w:rPr>
          <w:rFonts w:cs="Arial"/>
          <w:color w:val="auto"/>
          <w:sz w:val="20"/>
          <w:szCs w:val="20"/>
        </w:rPr>
        <w:t>/1</w:t>
      </w:r>
      <w:r w:rsidR="00703E1F" w:rsidRPr="00703E1F">
        <w:rPr>
          <w:rFonts w:cs="Arial"/>
          <w:color w:val="auto"/>
          <w:sz w:val="20"/>
          <w:szCs w:val="20"/>
        </w:rPr>
        <w:t>5</w:t>
      </w:r>
      <w:r w:rsidR="00F17A9E" w:rsidRPr="00703E1F">
        <w:rPr>
          <w:rFonts w:cs="Arial"/>
          <w:color w:val="auto"/>
          <w:sz w:val="20"/>
          <w:szCs w:val="20"/>
        </w:rPr>
        <w:t>)</w:t>
      </w:r>
      <w:r w:rsidRPr="00703E1F">
        <w:rPr>
          <w:rFonts w:cs="Arial"/>
          <w:color w:val="auto"/>
          <w:sz w:val="20"/>
          <w:szCs w:val="20"/>
        </w:rPr>
        <w:t xml:space="preserve"> for future costs arising from the budget reductions was made in 201</w:t>
      </w:r>
      <w:r w:rsidR="00703E1F" w:rsidRPr="00703E1F">
        <w:rPr>
          <w:rFonts w:cs="Arial"/>
          <w:color w:val="auto"/>
          <w:sz w:val="20"/>
          <w:szCs w:val="20"/>
        </w:rPr>
        <w:t>5</w:t>
      </w:r>
      <w:r w:rsidR="001F2591" w:rsidRPr="00703E1F">
        <w:rPr>
          <w:rFonts w:cs="Arial"/>
          <w:color w:val="auto"/>
          <w:sz w:val="20"/>
          <w:szCs w:val="20"/>
        </w:rPr>
        <w:t>/1</w:t>
      </w:r>
      <w:r w:rsidR="00703E1F" w:rsidRPr="00703E1F">
        <w:rPr>
          <w:rFonts w:cs="Arial"/>
          <w:color w:val="auto"/>
          <w:sz w:val="20"/>
          <w:szCs w:val="20"/>
        </w:rPr>
        <w:t>6</w:t>
      </w:r>
      <w:r w:rsidRPr="00703E1F">
        <w:rPr>
          <w:rFonts w:cs="Arial"/>
          <w:color w:val="auto"/>
          <w:sz w:val="20"/>
          <w:szCs w:val="20"/>
        </w:rPr>
        <w:t xml:space="preserve">. </w:t>
      </w:r>
    </w:p>
    <w:p w:rsidR="00E51139" w:rsidRPr="00D42E0B" w:rsidRDefault="00E51139" w:rsidP="00F31A9D">
      <w:pPr>
        <w:pStyle w:val="BodyText"/>
        <w:widowControl w:val="0"/>
        <w:rPr>
          <w:rFonts w:cs="Arial"/>
          <w:color w:val="548DD4" w:themeColor="text2" w:themeTint="99"/>
          <w:sz w:val="20"/>
          <w:szCs w:val="20"/>
        </w:rPr>
      </w:pPr>
      <w:r w:rsidRPr="00847E8F">
        <w:rPr>
          <w:rFonts w:cs="Arial"/>
          <w:color w:val="auto"/>
          <w:sz w:val="20"/>
          <w:szCs w:val="20"/>
        </w:rPr>
        <w:t>In 201</w:t>
      </w:r>
      <w:r w:rsidR="00847E8F" w:rsidRPr="00847E8F">
        <w:rPr>
          <w:rFonts w:cs="Arial"/>
          <w:color w:val="auto"/>
          <w:sz w:val="20"/>
          <w:szCs w:val="20"/>
        </w:rPr>
        <w:t>5</w:t>
      </w:r>
      <w:r w:rsidR="001F2591" w:rsidRPr="00847E8F">
        <w:rPr>
          <w:rFonts w:cs="Arial"/>
          <w:color w:val="auto"/>
          <w:sz w:val="20"/>
          <w:szCs w:val="20"/>
        </w:rPr>
        <w:t>/1</w:t>
      </w:r>
      <w:r w:rsidR="00847E8F" w:rsidRPr="00847E8F">
        <w:rPr>
          <w:rFonts w:cs="Arial"/>
          <w:color w:val="auto"/>
          <w:sz w:val="20"/>
          <w:szCs w:val="20"/>
        </w:rPr>
        <w:t>6</w:t>
      </w:r>
      <w:r w:rsidRPr="00847E8F">
        <w:rPr>
          <w:rFonts w:cs="Arial"/>
          <w:color w:val="auto"/>
          <w:sz w:val="20"/>
          <w:szCs w:val="20"/>
        </w:rPr>
        <w:t xml:space="preserve">, </w:t>
      </w:r>
      <w:r w:rsidR="00847E8F" w:rsidRPr="00847E8F">
        <w:rPr>
          <w:rFonts w:cs="Arial"/>
          <w:color w:val="auto"/>
          <w:sz w:val="20"/>
          <w:szCs w:val="20"/>
        </w:rPr>
        <w:t>three</w:t>
      </w:r>
      <w:r w:rsidR="00181033" w:rsidRPr="00847E8F">
        <w:rPr>
          <w:rFonts w:cs="Arial"/>
          <w:color w:val="auto"/>
          <w:sz w:val="20"/>
          <w:szCs w:val="20"/>
        </w:rPr>
        <w:t xml:space="preserve"> </w:t>
      </w:r>
      <w:r w:rsidRPr="00847E8F">
        <w:rPr>
          <w:rFonts w:cs="Arial"/>
          <w:color w:val="auto"/>
          <w:sz w:val="20"/>
          <w:szCs w:val="20"/>
        </w:rPr>
        <w:t>schools converted to Academy status where the transfer for nil consideration resulted in a loss on disposal on those assets of approx</w:t>
      </w:r>
      <w:r w:rsidRPr="00D42E0B">
        <w:rPr>
          <w:rFonts w:cs="Arial"/>
          <w:color w:val="548DD4" w:themeColor="text2" w:themeTint="99"/>
          <w:sz w:val="20"/>
          <w:szCs w:val="20"/>
        </w:rPr>
        <w:t xml:space="preserve"> </w:t>
      </w:r>
      <w:r w:rsidRPr="00864817">
        <w:rPr>
          <w:rFonts w:cs="Arial"/>
          <w:color w:val="auto"/>
          <w:sz w:val="20"/>
          <w:szCs w:val="20"/>
        </w:rPr>
        <w:t>£</w:t>
      </w:r>
      <w:r w:rsidR="008C6829" w:rsidRPr="00864817">
        <w:rPr>
          <w:rFonts w:cs="Arial"/>
          <w:color w:val="auto"/>
          <w:sz w:val="20"/>
          <w:szCs w:val="20"/>
        </w:rPr>
        <w:t>1</w:t>
      </w:r>
      <w:r w:rsidR="00232D85">
        <w:rPr>
          <w:rFonts w:cs="Arial"/>
          <w:color w:val="auto"/>
          <w:sz w:val="20"/>
          <w:szCs w:val="20"/>
        </w:rPr>
        <w:t>4</w:t>
      </w:r>
      <w:r w:rsidR="00FB55B3" w:rsidRPr="00864817">
        <w:rPr>
          <w:rFonts w:cs="Arial"/>
          <w:color w:val="auto"/>
          <w:sz w:val="20"/>
          <w:szCs w:val="20"/>
        </w:rPr>
        <w:t>m</w:t>
      </w:r>
      <w:r w:rsidRPr="00864817">
        <w:rPr>
          <w:rFonts w:cs="Arial"/>
          <w:color w:val="auto"/>
          <w:sz w:val="20"/>
          <w:szCs w:val="20"/>
        </w:rPr>
        <w:t>.</w:t>
      </w:r>
      <w:r w:rsidR="002527C2" w:rsidRPr="00864817">
        <w:rPr>
          <w:rFonts w:cs="Arial"/>
          <w:color w:val="auto"/>
          <w:sz w:val="20"/>
          <w:szCs w:val="20"/>
        </w:rPr>
        <w:t xml:space="preserve"> </w:t>
      </w:r>
      <w:r w:rsidRPr="00847E8F">
        <w:rPr>
          <w:rFonts w:cs="Arial"/>
          <w:color w:val="auto"/>
          <w:sz w:val="20"/>
          <w:szCs w:val="20"/>
        </w:rPr>
        <w:t>Income and expenditure for these schools from date of transfer no longer forms part of the Council accounts.</w:t>
      </w:r>
    </w:p>
    <w:p w:rsidR="00E51139" w:rsidRPr="003B5DDB" w:rsidRDefault="00E51139" w:rsidP="00F31A9D">
      <w:pPr>
        <w:pStyle w:val="BodyText"/>
        <w:widowControl w:val="0"/>
        <w:rPr>
          <w:rFonts w:cs="Arial"/>
          <w:color w:val="auto"/>
          <w:sz w:val="20"/>
          <w:szCs w:val="20"/>
          <w:u w:val="single"/>
        </w:rPr>
      </w:pPr>
      <w:r w:rsidRPr="003B5DDB">
        <w:rPr>
          <w:rFonts w:cs="Arial"/>
          <w:color w:val="auto"/>
          <w:sz w:val="20"/>
          <w:szCs w:val="20"/>
          <w:u w:val="single"/>
        </w:rPr>
        <w:t>Impact of Current Economic Climate</w:t>
      </w:r>
    </w:p>
    <w:p w:rsidR="00E51139" w:rsidRPr="00D42E0B" w:rsidRDefault="00E51139" w:rsidP="00F31A9D">
      <w:pPr>
        <w:pStyle w:val="BodyText"/>
        <w:widowControl w:val="0"/>
        <w:rPr>
          <w:rFonts w:cs="Arial"/>
          <w:color w:val="548DD4" w:themeColor="text2" w:themeTint="99"/>
          <w:sz w:val="20"/>
          <w:szCs w:val="20"/>
          <w:u w:val="single"/>
        </w:rPr>
      </w:pPr>
      <w:r w:rsidRPr="003B5DDB">
        <w:rPr>
          <w:rFonts w:cs="Arial"/>
          <w:color w:val="auto"/>
          <w:sz w:val="20"/>
          <w:szCs w:val="20"/>
        </w:rPr>
        <w:t>The economic climate continued to have an impact on the Council</w:t>
      </w:r>
      <w:r w:rsidR="003B5DDB">
        <w:rPr>
          <w:rFonts w:cs="Arial"/>
          <w:color w:val="auto"/>
          <w:sz w:val="20"/>
          <w:szCs w:val="20"/>
        </w:rPr>
        <w:t xml:space="preserve"> </w:t>
      </w:r>
      <w:r w:rsidR="007E33E1">
        <w:rPr>
          <w:rFonts w:cs="Arial"/>
          <w:color w:val="auto"/>
          <w:sz w:val="20"/>
          <w:szCs w:val="20"/>
        </w:rPr>
        <w:t>although</w:t>
      </w:r>
      <w:r w:rsidR="003B5DDB">
        <w:rPr>
          <w:rFonts w:cs="Arial"/>
          <w:color w:val="auto"/>
          <w:sz w:val="20"/>
          <w:szCs w:val="20"/>
        </w:rPr>
        <w:t xml:space="preserve"> </w:t>
      </w:r>
      <w:r w:rsidRPr="003B5DDB">
        <w:rPr>
          <w:rFonts w:cs="Arial"/>
          <w:color w:val="auto"/>
          <w:sz w:val="20"/>
          <w:szCs w:val="20"/>
        </w:rPr>
        <w:t xml:space="preserve">there were no significant changes compared to recent years. Income levels on certain services such as planning and S106 income remained </w:t>
      </w:r>
      <w:r w:rsidRPr="00C46031">
        <w:rPr>
          <w:rFonts w:cs="Arial"/>
          <w:color w:val="auto"/>
          <w:sz w:val="20"/>
          <w:szCs w:val="20"/>
        </w:rPr>
        <w:t xml:space="preserve">low.  Collection rates </w:t>
      </w:r>
      <w:r w:rsidR="002527C2" w:rsidRPr="00C46031">
        <w:rPr>
          <w:rFonts w:cs="Arial"/>
          <w:color w:val="auto"/>
          <w:sz w:val="20"/>
          <w:szCs w:val="20"/>
        </w:rPr>
        <w:t>on</w:t>
      </w:r>
      <w:r w:rsidRPr="00C46031">
        <w:rPr>
          <w:rFonts w:cs="Arial"/>
          <w:color w:val="auto"/>
          <w:sz w:val="20"/>
          <w:szCs w:val="20"/>
        </w:rPr>
        <w:t xml:space="preserve"> NNDR </w:t>
      </w:r>
      <w:r w:rsidR="00C46031" w:rsidRPr="00C46031">
        <w:rPr>
          <w:rFonts w:cs="Arial"/>
          <w:color w:val="auto"/>
          <w:sz w:val="20"/>
          <w:szCs w:val="20"/>
        </w:rPr>
        <w:t>a</w:t>
      </w:r>
      <w:r w:rsidR="00C46031">
        <w:rPr>
          <w:rFonts w:cs="Arial"/>
          <w:color w:val="auto"/>
          <w:sz w:val="20"/>
          <w:szCs w:val="20"/>
        </w:rPr>
        <w:t>n</w:t>
      </w:r>
      <w:r w:rsidR="00C46031" w:rsidRPr="00C46031">
        <w:rPr>
          <w:rFonts w:cs="Arial"/>
          <w:color w:val="auto"/>
          <w:sz w:val="20"/>
          <w:szCs w:val="20"/>
        </w:rPr>
        <w:t xml:space="preserve">d </w:t>
      </w:r>
      <w:r w:rsidR="007E33E1" w:rsidRPr="00C46031">
        <w:rPr>
          <w:rFonts w:cs="Arial"/>
          <w:color w:val="auto"/>
          <w:sz w:val="20"/>
          <w:szCs w:val="20"/>
        </w:rPr>
        <w:t>Council</w:t>
      </w:r>
      <w:r w:rsidR="00C46031" w:rsidRPr="00C46031">
        <w:rPr>
          <w:rFonts w:cs="Arial"/>
          <w:color w:val="auto"/>
          <w:sz w:val="20"/>
          <w:szCs w:val="20"/>
        </w:rPr>
        <w:t xml:space="preserve"> tax remained at similar levels to prior year levels</w:t>
      </w:r>
      <w:r w:rsidR="00692F4C" w:rsidRPr="00C46031">
        <w:rPr>
          <w:rFonts w:cs="Arial"/>
          <w:color w:val="auto"/>
          <w:sz w:val="20"/>
          <w:szCs w:val="20"/>
        </w:rPr>
        <w:t>.</w:t>
      </w:r>
      <w:r w:rsidRPr="00C46031">
        <w:rPr>
          <w:rFonts w:cs="Arial"/>
          <w:color w:val="auto"/>
          <w:sz w:val="20"/>
          <w:szCs w:val="20"/>
        </w:rPr>
        <w:t xml:space="preserve"> As conditions have remained constant there have been no material changes on the value of the Council’s property assets during the year.</w:t>
      </w:r>
    </w:p>
    <w:p w:rsidR="00E51139" w:rsidRPr="00702EDC" w:rsidRDefault="00E51139" w:rsidP="00F31A9D">
      <w:pPr>
        <w:pStyle w:val="BodyText"/>
        <w:widowControl w:val="0"/>
        <w:rPr>
          <w:rFonts w:cs="Arial"/>
          <w:color w:val="auto"/>
          <w:sz w:val="20"/>
          <w:szCs w:val="20"/>
          <w:u w:val="single"/>
        </w:rPr>
      </w:pPr>
      <w:r w:rsidRPr="00702EDC">
        <w:rPr>
          <w:rFonts w:cs="Arial"/>
          <w:color w:val="auto"/>
          <w:sz w:val="20"/>
          <w:szCs w:val="20"/>
          <w:u w:val="single"/>
        </w:rPr>
        <w:t>Changes in Accounting Policies</w:t>
      </w:r>
    </w:p>
    <w:p w:rsidR="00EE244E" w:rsidRPr="0032537D" w:rsidRDefault="00702EDC" w:rsidP="008A040A">
      <w:pPr>
        <w:pStyle w:val="BodyText"/>
        <w:widowControl w:val="0"/>
        <w:rPr>
          <w:rFonts w:cs="Arial"/>
          <w:color w:val="auto"/>
          <w:sz w:val="20"/>
          <w:szCs w:val="20"/>
        </w:rPr>
      </w:pPr>
      <w:r w:rsidRPr="0032537D">
        <w:rPr>
          <w:rFonts w:cs="Arial"/>
          <w:color w:val="auto"/>
          <w:sz w:val="20"/>
          <w:szCs w:val="20"/>
        </w:rPr>
        <w:t xml:space="preserve">In 2015/16 </w:t>
      </w:r>
      <w:r w:rsidR="0032537D">
        <w:rPr>
          <w:rFonts w:cs="Arial"/>
          <w:color w:val="auto"/>
          <w:sz w:val="20"/>
          <w:szCs w:val="20"/>
        </w:rPr>
        <w:t>there was a prospective change in the application of IFRS13 relati</w:t>
      </w:r>
      <w:r w:rsidR="00926914">
        <w:rPr>
          <w:rFonts w:cs="Arial"/>
          <w:color w:val="auto"/>
          <w:sz w:val="20"/>
          <w:szCs w:val="20"/>
        </w:rPr>
        <w:t>ng</w:t>
      </w:r>
      <w:r w:rsidR="0032537D">
        <w:rPr>
          <w:rFonts w:cs="Arial"/>
          <w:color w:val="auto"/>
          <w:sz w:val="20"/>
          <w:szCs w:val="20"/>
        </w:rPr>
        <w:t xml:space="preserve"> to the definition of the measurement of fair value of Council assets and liabilities.</w:t>
      </w:r>
      <w:r w:rsidR="0083497C">
        <w:rPr>
          <w:rFonts w:cs="Arial"/>
          <w:color w:val="auto"/>
          <w:sz w:val="20"/>
          <w:szCs w:val="20"/>
        </w:rPr>
        <w:t xml:space="preserve"> Apart from a number of minor changes in disclosure notes the only change </w:t>
      </w:r>
      <w:r w:rsidR="00F02582">
        <w:rPr>
          <w:rFonts w:cs="Arial"/>
          <w:color w:val="auto"/>
          <w:sz w:val="20"/>
          <w:szCs w:val="20"/>
        </w:rPr>
        <w:t xml:space="preserve">on the Council’s balance sheet </w:t>
      </w:r>
      <w:r w:rsidR="00D02FAF">
        <w:rPr>
          <w:rFonts w:cs="Arial"/>
          <w:color w:val="auto"/>
          <w:sz w:val="20"/>
          <w:szCs w:val="20"/>
        </w:rPr>
        <w:t xml:space="preserve">from the application of IFRS13 </w:t>
      </w:r>
      <w:r w:rsidR="0083497C">
        <w:rPr>
          <w:rFonts w:cs="Arial"/>
          <w:color w:val="auto"/>
          <w:sz w:val="20"/>
          <w:szCs w:val="20"/>
        </w:rPr>
        <w:t xml:space="preserve">was </w:t>
      </w:r>
      <w:r w:rsidR="00D02FAF">
        <w:rPr>
          <w:rFonts w:cs="Arial"/>
          <w:color w:val="auto"/>
          <w:sz w:val="20"/>
          <w:szCs w:val="20"/>
        </w:rPr>
        <w:t xml:space="preserve">in </w:t>
      </w:r>
      <w:r w:rsidR="0083497C">
        <w:rPr>
          <w:rFonts w:cs="Arial"/>
          <w:color w:val="auto"/>
          <w:sz w:val="20"/>
          <w:szCs w:val="20"/>
        </w:rPr>
        <w:t xml:space="preserve">the </w:t>
      </w:r>
      <w:r w:rsidR="00C175CA">
        <w:rPr>
          <w:rFonts w:cs="Arial"/>
          <w:color w:val="auto"/>
          <w:sz w:val="20"/>
          <w:szCs w:val="20"/>
        </w:rPr>
        <w:t xml:space="preserve">fair value </w:t>
      </w:r>
      <w:r w:rsidR="0083497C">
        <w:rPr>
          <w:rFonts w:cs="Arial"/>
          <w:color w:val="auto"/>
          <w:sz w:val="20"/>
          <w:szCs w:val="20"/>
        </w:rPr>
        <w:t>of surplus assets</w:t>
      </w:r>
      <w:r w:rsidR="00F02582">
        <w:rPr>
          <w:rFonts w:cs="Arial"/>
          <w:color w:val="auto"/>
          <w:sz w:val="20"/>
          <w:szCs w:val="20"/>
        </w:rPr>
        <w:t xml:space="preserve"> where the value of these assets increased </w:t>
      </w:r>
      <w:r w:rsidR="00F02582" w:rsidRPr="002613FB">
        <w:rPr>
          <w:rFonts w:cs="Arial"/>
          <w:color w:val="auto"/>
          <w:sz w:val="20"/>
          <w:szCs w:val="20"/>
        </w:rPr>
        <w:t>by £0.</w:t>
      </w:r>
      <w:r w:rsidR="002613FB" w:rsidRPr="002613FB">
        <w:rPr>
          <w:rFonts w:cs="Arial"/>
          <w:color w:val="auto"/>
          <w:sz w:val="20"/>
          <w:szCs w:val="20"/>
        </w:rPr>
        <w:t>5</w:t>
      </w:r>
      <w:r w:rsidR="00F02582" w:rsidRPr="002613FB">
        <w:rPr>
          <w:rFonts w:cs="Arial"/>
          <w:color w:val="auto"/>
          <w:sz w:val="20"/>
          <w:szCs w:val="20"/>
        </w:rPr>
        <w:t>m</w:t>
      </w:r>
      <w:r w:rsidR="00232D85">
        <w:rPr>
          <w:rFonts w:cs="Arial"/>
          <w:color w:val="auto"/>
          <w:sz w:val="20"/>
          <w:szCs w:val="20"/>
        </w:rPr>
        <w:t xml:space="preserve"> to reflect market value</w:t>
      </w:r>
      <w:r w:rsidR="00F02582" w:rsidRPr="002613FB">
        <w:rPr>
          <w:rFonts w:cs="Arial"/>
          <w:color w:val="auto"/>
          <w:sz w:val="20"/>
          <w:szCs w:val="20"/>
        </w:rPr>
        <w:t>.</w:t>
      </w:r>
      <w:r w:rsidR="00F02582">
        <w:rPr>
          <w:rFonts w:cs="Arial"/>
          <w:color w:val="auto"/>
          <w:sz w:val="20"/>
          <w:szCs w:val="20"/>
        </w:rPr>
        <w:t xml:space="preserve"> </w:t>
      </w:r>
    </w:p>
    <w:p w:rsidR="006E7282" w:rsidRPr="00055D2A" w:rsidRDefault="006E7282" w:rsidP="008A040A">
      <w:pPr>
        <w:pStyle w:val="BodyText"/>
        <w:widowControl w:val="0"/>
        <w:rPr>
          <w:rFonts w:cs="Arial"/>
          <w:color w:val="auto"/>
          <w:sz w:val="20"/>
          <w:szCs w:val="20"/>
          <w:u w:val="single"/>
        </w:rPr>
      </w:pPr>
      <w:r w:rsidRPr="00055D2A">
        <w:rPr>
          <w:rFonts w:cs="Arial"/>
          <w:color w:val="auto"/>
          <w:sz w:val="20"/>
          <w:szCs w:val="20"/>
          <w:u w:val="single"/>
        </w:rPr>
        <w:t>H</w:t>
      </w:r>
      <w:r w:rsidR="00055D2A" w:rsidRPr="00055D2A">
        <w:rPr>
          <w:rFonts w:cs="Arial"/>
          <w:color w:val="auto"/>
          <w:sz w:val="20"/>
          <w:szCs w:val="20"/>
          <w:u w:val="single"/>
        </w:rPr>
        <w:t>ighway Network Assets</w:t>
      </w:r>
      <w:r w:rsidR="00FC3B2A">
        <w:rPr>
          <w:rFonts w:cs="Arial"/>
          <w:color w:val="auto"/>
          <w:sz w:val="20"/>
          <w:szCs w:val="20"/>
          <w:u w:val="single"/>
        </w:rPr>
        <w:t xml:space="preserve"> (2016/17)</w:t>
      </w:r>
    </w:p>
    <w:p w:rsidR="00390D52" w:rsidRDefault="005A4285" w:rsidP="006E7282">
      <w:pPr>
        <w:rPr>
          <w:rFonts w:cs="Arial"/>
          <w:color w:val="auto"/>
          <w:sz w:val="20"/>
          <w:szCs w:val="20"/>
        </w:rPr>
      </w:pPr>
      <w:r w:rsidRPr="00912BF4">
        <w:rPr>
          <w:rFonts w:cs="Arial"/>
          <w:color w:val="auto"/>
          <w:sz w:val="20"/>
          <w:szCs w:val="20"/>
        </w:rPr>
        <w:t>F</w:t>
      </w:r>
      <w:r w:rsidR="00FC3B2A">
        <w:rPr>
          <w:rFonts w:cs="Arial"/>
          <w:color w:val="auto"/>
          <w:sz w:val="20"/>
          <w:szCs w:val="20"/>
        </w:rPr>
        <w:t>rom</w:t>
      </w:r>
      <w:r w:rsidRPr="00912BF4">
        <w:rPr>
          <w:rFonts w:cs="Arial"/>
          <w:color w:val="auto"/>
          <w:sz w:val="20"/>
          <w:szCs w:val="20"/>
        </w:rPr>
        <w:t xml:space="preserve"> 2016/17 there is a major change in the </w:t>
      </w:r>
      <w:r w:rsidR="00B03E4A" w:rsidRPr="00912BF4">
        <w:rPr>
          <w:rFonts w:cs="Arial"/>
          <w:color w:val="auto"/>
          <w:sz w:val="20"/>
          <w:szCs w:val="20"/>
        </w:rPr>
        <w:t>accounting</w:t>
      </w:r>
      <w:r w:rsidRPr="00912BF4">
        <w:rPr>
          <w:rFonts w:cs="Arial"/>
          <w:color w:val="auto"/>
          <w:sz w:val="20"/>
          <w:szCs w:val="20"/>
        </w:rPr>
        <w:t xml:space="preserve"> for Highway Network Assets</w:t>
      </w:r>
      <w:r w:rsidR="00912BF4" w:rsidRPr="00912BF4">
        <w:rPr>
          <w:rFonts w:cs="Arial"/>
          <w:color w:val="auto"/>
          <w:sz w:val="20"/>
          <w:szCs w:val="20"/>
        </w:rPr>
        <w:t>. Councils wil</w:t>
      </w:r>
      <w:r w:rsidR="00A145ED">
        <w:rPr>
          <w:rFonts w:cs="Arial"/>
          <w:color w:val="auto"/>
          <w:sz w:val="20"/>
          <w:szCs w:val="20"/>
        </w:rPr>
        <w:t>l</w:t>
      </w:r>
      <w:r w:rsidR="00912BF4" w:rsidRPr="00912BF4">
        <w:rPr>
          <w:rFonts w:cs="Arial"/>
          <w:color w:val="auto"/>
          <w:sz w:val="20"/>
          <w:szCs w:val="20"/>
        </w:rPr>
        <w:t xml:space="preserve"> have to account for Highway </w:t>
      </w:r>
      <w:r w:rsidR="00B03E4A" w:rsidRPr="00912BF4">
        <w:rPr>
          <w:rFonts w:cs="Arial"/>
          <w:color w:val="auto"/>
          <w:sz w:val="20"/>
          <w:szCs w:val="20"/>
        </w:rPr>
        <w:t>net</w:t>
      </w:r>
      <w:r w:rsidR="00B03E4A">
        <w:rPr>
          <w:rFonts w:cs="Arial"/>
          <w:color w:val="auto"/>
          <w:sz w:val="20"/>
          <w:szCs w:val="20"/>
        </w:rPr>
        <w:t>work</w:t>
      </w:r>
      <w:r w:rsidR="00912BF4" w:rsidRPr="00912BF4">
        <w:rPr>
          <w:rFonts w:cs="Arial"/>
          <w:color w:val="auto"/>
          <w:sz w:val="20"/>
          <w:szCs w:val="20"/>
        </w:rPr>
        <w:t xml:space="preserve"> </w:t>
      </w:r>
      <w:r w:rsidR="00B03E4A" w:rsidRPr="00912BF4">
        <w:rPr>
          <w:rFonts w:cs="Arial"/>
          <w:color w:val="auto"/>
          <w:sz w:val="20"/>
          <w:szCs w:val="20"/>
        </w:rPr>
        <w:t>assets</w:t>
      </w:r>
      <w:r w:rsidR="00912BF4" w:rsidRPr="00912BF4">
        <w:rPr>
          <w:rFonts w:cs="Arial"/>
          <w:color w:val="auto"/>
          <w:sz w:val="20"/>
          <w:szCs w:val="20"/>
        </w:rPr>
        <w:t xml:space="preserve">, such as carriageways, footways, structures, lighting, traffic management systems and street furniture at depreciated replacement cost (compared to the current historic cost). </w:t>
      </w:r>
    </w:p>
    <w:p w:rsidR="00390D52" w:rsidRDefault="007E33E1" w:rsidP="00415441">
      <w:pPr>
        <w:pStyle w:val="Default"/>
        <w:rPr>
          <w:rFonts w:cs="Arial"/>
          <w:color w:val="auto"/>
          <w:sz w:val="20"/>
          <w:szCs w:val="20"/>
        </w:rPr>
      </w:pPr>
      <w:r w:rsidRPr="00415441">
        <w:rPr>
          <w:rFonts w:ascii="Arial" w:eastAsia="Arial" w:hAnsi="Arial" w:cs="Arial"/>
          <w:color w:val="auto"/>
          <w:sz w:val="20"/>
          <w:szCs w:val="20"/>
          <w:lang w:eastAsia="en-US"/>
        </w:rPr>
        <w:t xml:space="preserve">The valuation of these assets is describe in the </w:t>
      </w:r>
      <w:r>
        <w:rPr>
          <w:rFonts w:ascii="Arial" w:hAnsi="Arial" w:cs="Arial"/>
          <w:color w:val="auto"/>
          <w:sz w:val="20"/>
          <w:szCs w:val="20"/>
          <w:lang w:eastAsia="en-US"/>
        </w:rPr>
        <w:t>CIPFA</w:t>
      </w:r>
      <w:r w:rsidRPr="00415441">
        <w:rPr>
          <w:rFonts w:ascii="Arial" w:hAnsi="Arial" w:cs="Arial"/>
          <w:color w:val="auto"/>
          <w:sz w:val="20"/>
          <w:szCs w:val="20"/>
          <w:lang w:eastAsia="en-US"/>
        </w:rPr>
        <w:t xml:space="preserve"> Code of Practice on Transport Infrastructure Assets (2013) (‘the Transport Code’</w:t>
      </w:r>
      <w:r w:rsidRPr="00415441">
        <w:rPr>
          <w:rFonts w:ascii="Arial" w:eastAsia="Arial" w:hAnsi="Arial" w:cs="Arial"/>
          <w:color w:val="auto"/>
          <w:sz w:val="20"/>
          <w:szCs w:val="20"/>
          <w:lang w:eastAsia="en-US"/>
        </w:rPr>
        <w:t>) and is heavily influenced by the use of set rates for the replacement cost for each asset type.</w:t>
      </w:r>
      <w:r w:rsidRPr="004F22DA">
        <w:rPr>
          <w:rFonts w:ascii="Arial" w:eastAsia="Arial" w:hAnsi="Arial" w:cs="Arial"/>
          <w:color w:val="auto"/>
          <w:sz w:val="20"/>
          <w:szCs w:val="20"/>
          <w:lang w:eastAsia="en-US"/>
        </w:rPr>
        <w:t xml:space="preserve"> </w:t>
      </w:r>
      <w:r w:rsidR="00415441" w:rsidRPr="004F22DA">
        <w:rPr>
          <w:rFonts w:ascii="Arial" w:eastAsia="Arial" w:hAnsi="Arial" w:cs="Arial"/>
          <w:color w:val="auto"/>
          <w:sz w:val="20"/>
          <w:szCs w:val="20"/>
          <w:lang w:eastAsia="en-US"/>
        </w:rPr>
        <w:t>D</w:t>
      </w:r>
      <w:r w:rsidR="00415441" w:rsidRPr="00415441">
        <w:rPr>
          <w:rFonts w:ascii="Arial" w:eastAsia="Arial" w:hAnsi="Arial" w:cs="Arial"/>
          <w:color w:val="auto"/>
          <w:sz w:val="20"/>
          <w:szCs w:val="20"/>
          <w:lang w:eastAsia="en-US"/>
        </w:rPr>
        <w:t>epreciated replacement cost</w:t>
      </w:r>
      <w:r w:rsidR="00390D52" w:rsidRPr="00415441">
        <w:rPr>
          <w:rFonts w:ascii="Arial" w:eastAsia="Arial" w:hAnsi="Arial" w:cs="Arial"/>
          <w:color w:val="auto"/>
          <w:sz w:val="20"/>
          <w:szCs w:val="20"/>
          <w:lang w:eastAsia="en-US"/>
        </w:rPr>
        <w:t xml:space="preserve"> </w:t>
      </w:r>
      <w:r w:rsidR="00415441">
        <w:rPr>
          <w:rFonts w:ascii="Arial" w:eastAsia="Arial" w:hAnsi="Arial" w:cs="Arial"/>
          <w:color w:val="auto"/>
          <w:sz w:val="20"/>
          <w:szCs w:val="20"/>
          <w:lang w:eastAsia="en-US"/>
        </w:rPr>
        <w:t>is a m</w:t>
      </w:r>
      <w:r w:rsidR="00415441" w:rsidRPr="00415441">
        <w:rPr>
          <w:rFonts w:ascii="Arial" w:eastAsia="Arial" w:hAnsi="Arial" w:cs="Arial"/>
          <w:color w:val="auto"/>
          <w:sz w:val="20"/>
          <w:szCs w:val="20"/>
          <w:lang w:eastAsia="en-US"/>
        </w:rPr>
        <w:t>ethod of valuation which provides</w:t>
      </w:r>
      <w:r w:rsidR="00415441">
        <w:rPr>
          <w:rFonts w:ascii="Arial" w:eastAsia="Arial" w:hAnsi="Arial" w:cs="Arial"/>
          <w:color w:val="auto"/>
          <w:sz w:val="20"/>
          <w:szCs w:val="20"/>
          <w:lang w:eastAsia="en-US"/>
        </w:rPr>
        <w:t xml:space="preserve"> </w:t>
      </w:r>
      <w:r w:rsidR="00415441" w:rsidRPr="00415441">
        <w:rPr>
          <w:rFonts w:ascii="Arial" w:eastAsia="Arial" w:hAnsi="Arial" w:cs="Arial"/>
          <w:color w:val="auto"/>
          <w:sz w:val="20"/>
          <w:szCs w:val="20"/>
          <w:lang w:eastAsia="en-US"/>
        </w:rPr>
        <w:t>the current cost of replacing an asset with its modern equivalent asset less deductions for all physical deterioration and all relevant forms of obsolescence.</w:t>
      </w:r>
    </w:p>
    <w:p w:rsidR="00415441" w:rsidRPr="00415441" w:rsidRDefault="00415441" w:rsidP="00415441">
      <w:pPr>
        <w:autoSpaceDE w:val="0"/>
        <w:autoSpaceDN w:val="0"/>
        <w:adjustRightInd w:val="0"/>
        <w:spacing w:after="0" w:line="240" w:lineRule="auto"/>
        <w:rPr>
          <w:rFonts w:cs="Arial"/>
          <w:color w:val="auto"/>
          <w:sz w:val="20"/>
          <w:szCs w:val="20"/>
        </w:rPr>
      </w:pPr>
    </w:p>
    <w:p w:rsidR="00775438" w:rsidRDefault="00912BF4" w:rsidP="00390D52">
      <w:pPr>
        <w:rPr>
          <w:rFonts w:cs="Arial"/>
          <w:color w:val="548DD4" w:themeColor="text2" w:themeTint="99"/>
          <w:sz w:val="20"/>
          <w:szCs w:val="20"/>
          <w:highlight w:val="yellow"/>
          <w:u w:val="single"/>
        </w:rPr>
      </w:pPr>
      <w:r w:rsidRPr="00912BF4">
        <w:rPr>
          <w:rFonts w:cs="Arial"/>
          <w:color w:val="auto"/>
          <w:sz w:val="20"/>
          <w:szCs w:val="20"/>
        </w:rPr>
        <w:t xml:space="preserve">This will have a major impact on the </w:t>
      </w:r>
      <w:r w:rsidR="002F654C">
        <w:rPr>
          <w:rFonts w:cs="Arial"/>
          <w:color w:val="auto"/>
          <w:sz w:val="20"/>
          <w:szCs w:val="20"/>
        </w:rPr>
        <w:t>C</w:t>
      </w:r>
      <w:r w:rsidRPr="00912BF4">
        <w:rPr>
          <w:rFonts w:cs="Arial"/>
          <w:color w:val="auto"/>
          <w:sz w:val="20"/>
          <w:szCs w:val="20"/>
        </w:rPr>
        <w:t>ouncil</w:t>
      </w:r>
      <w:r w:rsidR="002F654C">
        <w:rPr>
          <w:rFonts w:cs="Arial"/>
          <w:color w:val="auto"/>
          <w:sz w:val="20"/>
          <w:szCs w:val="20"/>
        </w:rPr>
        <w:t>’</w:t>
      </w:r>
      <w:r w:rsidRPr="00912BF4">
        <w:rPr>
          <w:rFonts w:cs="Arial"/>
          <w:color w:val="auto"/>
          <w:sz w:val="20"/>
          <w:szCs w:val="20"/>
        </w:rPr>
        <w:t xml:space="preserve">s accounts with an estimated value of the highway network </w:t>
      </w:r>
      <w:r w:rsidR="002F654C">
        <w:rPr>
          <w:rFonts w:cs="Arial"/>
          <w:color w:val="auto"/>
          <w:sz w:val="20"/>
          <w:szCs w:val="20"/>
        </w:rPr>
        <w:t>in Torbay of</w:t>
      </w:r>
      <w:r w:rsidRPr="00912BF4">
        <w:rPr>
          <w:rFonts w:cs="Arial"/>
          <w:color w:val="auto"/>
          <w:sz w:val="20"/>
          <w:szCs w:val="20"/>
        </w:rPr>
        <w:t xml:space="preserve"> </w:t>
      </w:r>
      <w:r w:rsidR="002F654C">
        <w:rPr>
          <w:rFonts w:cs="Arial"/>
          <w:color w:val="auto"/>
          <w:sz w:val="20"/>
          <w:szCs w:val="20"/>
        </w:rPr>
        <w:t xml:space="preserve">approximately </w:t>
      </w:r>
      <w:r w:rsidRPr="00912BF4">
        <w:rPr>
          <w:rFonts w:cs="Arial"/>
          <w:color w:val="auto"/>
          <w:sz w:val="20"/>
          <w:szCs w:val="20"/>
        </w:rPr>
        <w:t xml:space="preserve">£800 million. </w:t>
      </w:r>
      <w:r w:rsidR="00FC3B2A">
        <w:rPr>
          <w:rFonts w:cs="Arial"/>
          <w:color w:val="auto"/>
          <w:sz w:val="20"/>
          <w:szCs w:val="20"/>
        </w:rPr>
        <w:t>In addition t</w:t>
      </w:r>
      <w:r w:rsidR="007B3EE5" w:rsidRPr="007B3EE5">
        <w:rPr>
          <w:rFonts w:cs="Arial"/>
          <w:color w:val="auto"/>
          <w:sz w:val="20"/>
          <w:szCs w:val="20"/>
        </w:rPr>
        <w:t xml:space="preserve">he land the network </w:t>
      </w:r>
      <w:r w:rsidR="00B03E4A" w:rsidRPr="007B3EE5">
        <w:rPr>
          <w:rFonts w:cs="Arial"/>
          <w:color w:val="auto"/>
          <w:sz w:val="20"/>
          <w:szCs w:val="20"/>
        </w:rPr>
        <w:t>relates</w:t>
      </w:r>
      <w:r w:rsidR="007B3EE5" w:rsidRPr="007B3EE5">
        <w:rPr>
          <w:rFonts w:cs="Arial"/>
          <w:color w:val="auto"/>
          <w:sz w:val="20"/>
          <w:szCs w:val="20"/>
        </w:rPr>
        <w:t xml:space="preserve"> </w:t>
      </w:r>
      <w:r w:rsidR="00B03E4A" w:rsidRPr="007B3EE5">
        <w:rPr>
          <w:rFonts w:cs="Arial"/>
          <w:color w:val="auto"/>
          <w:sz w:val="20"/>
          <w:szCs w:val="20"/>
        </w:rPr>
        <w:t>will</w:t>
      </w:r>
      <w:r w:rsidR="007B3EE5" w:rsidRPr="007B3EE5">
        <w:rPr>
          <w:rFonts w:cs="Arial"/>
          <w:color w:val="auto"/>
          <w:sz w:val="20"/>
          <w:szCs w:val="20"/>
        </w:rPr>
        <w:t xml:space="preserve"> also be v</w:t>
      </w:r>
      <w:r w:rsidR="007B3EE5">
        <w:rPr>
          <w:rFonts w:cs="Arial"/>
          <w:color w:val="auto"/>
          <w:sz w:val="20"/>
          <w:szCs w:val="20"/>
        </w:rPr>
        <w:t>alued</w:t>
      </w:r>
      <w:r w:rsidR="007B3EE5" w:rsidRPr="007B3EE5">
        <w:rPr>
          <w:rFonts w:cs="Arial"/>
          <w:color w:val="auto"/>
          <w:sz w:val="20"/>
          <w:szCs w:val="20"/>
        </w:rPr>
        <w:t xml:space="preserve"> using </w:t>
      </w:r>
      <w:r w:rsidR="001654A5">
        <w:rPr>
          <w:rFonts w:cs="Arial"/>
          <w:color w:val="auto"/>
          <w:sz w:val="20"/>
          <w:szCs w:val="20"/>
        </w:rPr>
        <w:t xml:space="preserve">set rates provided by the </w:t>
      </w:r>
      <w:r w:rsidR="007B3EE5" w:rsidRPr="007B3EE5">
        <w:rPr>
          <w:rFonts w:cs="Arial"/>
          <w:color w:val="auto"/>
          <w:sz w:val="20"/>
          <w:szCs w:val="20"/>
        </w:rPr>
        <w:t xml:space="preserve">Department of </w:t>
      </w:r>
      <w:r w:rsidR="00394B87">
        <w:rPr>
          <w:rFonts w:cs="Arial"/>
          <w:color w:val="auto"/>
          <w:sz w:val="20"/>
          <w:szCs w:val="20"/>
        </w:rPr>
        <w:t>Transport.</w:t>
      </w:r>
    </w:p>
    <w:p w:rsidR="006E7282" w:rsidRPr="00C91FB0" w:rsidRDefault="00C91FB0" w:rsidP="008A040A">
      <w:pPr>
        <w:pStyle w:val="BodyText"/>
        <w:widowControl w:val="0"/>
        <w:rPr>
          <w:rFonts w:cs="Arial"/>
          <w:color w:val="auto"/>
          <w:sz w:val="20"/>
          <w:szCs w:val="20"/>
          <w:u w:val="single"/>
        </w:rPr>
      </w:pPr>
      <w:r w:rsidRPr="00C91FB0">
        <w:rPr>
          <w:rFonts w:cs="Arial"/>
          <w:color w:val="auto"/>
          <w:sz w:val="20"/>
          <w:szCs w:val="20"/>
          <w:u w:val="single"/>
        </w:rPr>
        <w:t xml:space="preserve">Economy, efficiency and effectiveness in its use of resources </w:t>
      </w:r>
    </w:p>
    <w:p w:rsidR="007E1B8D" w:rsidRDefault="007E33E1" w:rsidP="006E7282">
      <w:pPr>
        <w:rPr>
          <w:rFonts w:cs="Arial"/>
          <w:color w:val="auto"/>
          <w:sz w:val="20"/>
          <w:szCs w:val="20"/>
        </w:rPr>
      </w:pPr>
      <w:r>
        <w:rPr>
          <w:rFonts w:cs="Arial"/>
          <w:color w:val="auto"/>
          <w:sz w:val="20"/>
          <w:szCs w:val="20"/>
        </w:rPr>
        <w:t>The Council reports on its</w:t>
      </w:r>
      <w:r w:rsidRPr="00C91FB0">
        <w:rPr>
          <w:rFonts w:cs="Arial"/>
          <w:color w:val="auto"/>
          <w:sz w:val="20"/>
          <w:szCs w:val="20"/>
        </w:rPr>
        <w:t xml:space="preserve"> financial performance and economy, efficiency and effectiveness in its use of resources over the financial year</w:t>
      </w:r>
      <w:r>
        <w:rPr>
          <w:rFonts w:cs="Arial"/>
          <w:color w:val="auto"/>
          <w:sz w:val="20"/>
          <w:szCs w:val="20"/>
        </w:rPr>
        <w:t xml:space="preserve"> in a number of reports.</w:t>
      </w:r>
      <w:r w:rsidRPr="00C91FB0">
        <w:rPr>
          <w:rFonts w:cs="Arial"/>
          <w:color w:val="auto"/>
          <w:sz w:val="20"/>
          <w:szCs w:val="20"/>
        </w:rPr>
        <w:t xml:space="preserve"> </w:t>
      </w:r>
      <w:r w:rsidR="006F6E6D">
        <w:rPr>
          <w:rFonts w:cs="Arial"/>
          <w:color w:val="auto"/>
          <w:sz w:val="20"/>
          <w:szCs w:val="20"/>
        </w:rPr>
        <w:t>In particular t</w:t>
      </w:r>
      <w:r w:rsidR="008E4FE6">
        <w:rPr>
          <w:rFonts w:cs="Arial"/>
          <w:color w:val="auto"/>
          <w:sz w:val="20"/>
          <w:szCs w:val="20"/>
        </w:rPr>
        <w:t xml:space="preserve">here are a number of reports presented to the Council’s </w:t>
      </w:r>
      <w:r w:rsidR="00FC3B2A">
        <w:rPr>
          <w:rFonts w:cs="Arial"/>
          <w:color w:val="auto"/>
          <w:sz w:val="20"/>
          <w:szCs w:val="20"/>
        </w:rPr>
        <w:t>A</w:t>
      </w:r>
      <w:r w:rsidR="008E4FE6">
        <w:rPr>
          <w:rFonts w:cs="Arial"/>
          <w:color w:val="auto"/>
          <w:sz w:val="20"/>
          <w:szCs w:val="20"/>
        </w:rPr>
        <w:t xml:space="preserve">udit </w:t>
      </w:r>
      <w:r w:rsidR="00FC3B2A">
        <w:rPr>
          <w:rFonts w:cs="Arial"/>
          <w:color w:val="auto"/>
          <w:sz w:val="20"/>
          <w:szCs w:val="20"/>
        </w:rPr>
        <w:t>C</w:t>
      </w:r>
      <w:r w:rsidR="008E4FE6">
        <w:rPr>
          <w:rFonts w:cs="Arial"/>
          <w:color w:val="auto"/>
          <w:sz w:val="20"/>
          <w:szCs w:val="20"/>
        </w:rPr>
        <w:t xml:space="preserve">ommittee. </w:t>
      </w:r>
      <w:r w:rsidR="007E1B8D">
        <w:rPr>
          <w:rFonts w:cs="Arial"/>
          <w:color w:val="auto"/>
          <w:sz w:val="20"/>
          <w:szCs w:val="20"/>
        </w:rPr>
        <w:t>These include:</w:t>
      </w:r>
    </w:p>
    <w:p w:rsidR="007E1B8D" w:rsidRDefault="007E1B8D" w:rsidP="003E10DE">
      <w:pPr>
        <w:pStyle w:val="ListParagraph"/>
        <w:numPr>
          <w:ilvl w:val="0"/>
          <w:numId w:val="33"/>
        </w:numPr>
        <w:rPr>
          <w:rFonts w:cs="Arial"/>
          <w:color w:val="auto"/>
          <w:sz w:val="20"/>
          <w:szCs w:val="20"/>
        </w:rPr>
      </w:pPr>
      <w:r>
        <w:rPr>
          <w:rFonts w:cs="Arial"/>
          <w:color w:val="auto"/>
          <w:sz w:val="20"/>
          <w:szCs w:val="20"/>
        </w:rPr>
        <w:lastRenderedPageBreak/>
        <w:t>Internal Audit</w:t>
      </w:r>
      <w:r w:rsidR="009B01C4">
        <w:rPr>
          <w:rFonts w:cs="Arial"/>
          <w:color w:val="auto"/>
          <w:sz w:val="20"/>
          <w:szCs w:val="20"/>
        </w:rPr>
        <w:t>’s</w:t>
      </w:r>
      <w:r>
        <w:rPr>
          <w:rFonts w:cs="Arial"/>
          <w:color w:val="auto"/>
          <w:sz w:val="20"/>
          <w:szCs w:val="20"/>
        </w:rPr>
        <w:t xml:space="preserve"> Annual Report and mid year review</w:t>
      </w:r>
    </w:p>
    <w:p w:rsidR="007E1B8D" w:rsidRDefault="007E1B8D" w:rsidP="003E10DE">
      <w:pPr>
        <w:pStyle w:val="ListParagraph"/>
        <w:numPr>
          <w:ilvl w:val="0"/>
          <w:numId w:val="33"/>
        </w:numPr>
        <w:rPr>
          <w:rFonts w:cs="Arial"/>
          <w:color w:val="auto"/>
          <w:sz w:val="20"/>
          <w:szCs w:val="20"/>
        </w:rPr>
      </w:pPr>
      <w:r>
        <w:rPr>
          <w:rFonts w:cs="Arial"/>
          <w:color w:val="auto"/>
          <w:sz w:val="20"/>
          <w:szCs w:val="20"/>
        </w:rPr>
        <w:t>Annual Governance Statement</w:t>
      </w:r>
    </w:p>
    <w:p w:rsidR="007E1B8D" w:rsidRDefault="005F1B29" w:rsidP="003E10DE">
      <w:pPr>
        <w:pStyle w:val="ListParagraph"/>
        <w:numPr>
          <w:ilvl w:val="0"/>
          <w:numId w:val="33"/>
        </w:numPr>
        <w:rPr>
          <w:rFonts w:cs="Arial"/>
          <w:color w:val="auto"/>
          <w:sz w:val="20"/>
          <w:szCs w:val="20"/>
        </w:rPr>
      </w:pPr>
      <w:r>
        <w:rPr>
          <w:rFonts w:cs="Arial"/>
          <w:color w:val="auto"/>
          <w:sz w:val="20"/>
          <w:szCs w:val="20"/>
        </w:rPr>
        <w:t>External Audit</w:t>
      </w:r>
      <w:r w:rsidR="009B01C4">
        <w:rPr>
          <w:rFonts w:cs="Arial"/>
          <w:color w:val="auto"/>
          <w:sz w:val="20"/>
          <w:szCs w:val="20"/>
        </w:rPr>
        <w:t>’s</w:t>
      </w:r>
      <w:r>
        <w:rPr>
          <w:rFonts w:cs="Arial"/>
          <w:color w:val="auto"/>
          <w:sz w:val="20"/>
          <w:szCs w:val="20"/>
        </w:rPr>
        <w:t xml:space="preserve"> </w:t>
      </w:r>
      <w:r w:rsidR="00661CDC">
        <w:rPr>
          <w:rFonts w:cs="Arial"/>
          <w:color w:val="auto"/>
          <w:sz w:val="20"/>
          <w:szCs w:val="20"/>
        </w:rPr>
        <w:t>Audit Findings Report</w:t>
      </w:r>
      <w:r>
        <w:rPr>
          <w:rFonts w:cs="Arial"/>
          <w:color w:val="auto"/>
          <w:sz w:val="20"/>
          <w:szCs w:val="20"/>
        </w:rPr>
        <w:t xml:space="preserve"> including </w:t>
      </w:r>
      <w:r w:rsidR="009B01C4">
        <w:rPr>
          <w:rFonts w:cs="Arial"/>
          <w:color w:val="auto"/>
          <w:sz w:val="20"/>
          <w:szCs w:val="20"/>
        </w:rPr>
        <w:t xml:space="preserve">a </w:t>
      </w:r>
      <w:r>
        <w:rPr>
          <w:rFonts w:cs="Arial"/>
          <w:color w:val="auto"/>
          <w:sz w:val="20"/>
          <w:szCs w:val="20"/>
        </w:rPr>
        <w:t>value for money conclusion</w:t>
      </w:r>
    </w:p>
    <w:p w:rsidR="005F1B29" w:rsidRDefault="005F1B29" w:rsidP="003E10DE">
      <w:pPr>
        <w:pStyle w:val="ListParagraph"/>
        <w:numPr>
          <w:ilvl w:val="0"/>
          <w:numId w:val="33"/>
        </w:numPr>
        <w:rPr>
          <w:rFonts w:cs="Arial"/>
          <w:color w:val="auto"/>
          <w:sz w:val="20"/>
          <w:szCs w:val="20"/>
        </w:rPr>
      </w:pPr>
      <w:r>
        <w:rPr>
          <w:rFonts w:cs="Arial"/>
          <w:color w:val="auto"/>
          <w:sz w:val="20"/>
          <w:szCs w:val="20"/>
        </w:rPr>
        <w:t xml:space="preserve">Review of risk </w:t>
      </w:r>
      <w:r w:rsidR="00BA01B3">
        <w:rPr>
          <w:rFonts w:cs="Arial"/>
          <w:color w:val="auto"/>
          <w:sz w:val="20"/>
          <w:szCs w:val="20"/>
        </w:rPr>
        <w:t>management</w:t>
      </w:r>
    </w:p>
    <w:p w:rsidR="00BA01B3" w:rsidRDefault="00BA01B3" w:rsidP="003E10DE">
      <w:pPr>
        <w:pStyle w:val="ListParagraph"/>
        <w:numPr>
          <w:ilvl w:val="0"/>
          <w:numId w:val="33"/>
        </w:numPr>
        <w:rPr>
          <w:rFonts w:cs="Arial"/>
          <w:color w:val="auto"/>
          <w:sz w:val="20"/>
          <w:szCs w:val="20"/>
        </w:rPr>
      </w:pPr>
      <w:r>
        <w:rPr>
          <w:rFonts w:cs="Arial"/>
          <w:color w:val="auto"/>
          <w:sz w:val="20"/>
          <w:szCs w:val="20"/>
        </w:rPr>
        <w:t xml:space="preserve">Review of Council </w:t>
      </w:r>
      <w:r w:rsidR="007E33E1">
        <w:rPr>
          <w:rFonts w:cs="Arial"/>
          <w:color w:val="auto"/>
          <w:sz w:val="20"/>
          <w:szCs w:val="20"/>
        </w:rPr>
        <w:t>performance</w:t>
      </w:r>
      <w:r>
        <w:rPr>
          <w:rFonts w:cs="Arial"/>
          <w:color w:val="auto"/>
          <w:sz w:val="20"/>
          <w:szCs w:val="20"/>
        </w:rPr>
        <w:t xml:space="preserve"> based </w:t>
      </w:r>
      <w:r w:rsidR="007E33E1">
        <w:rPr>
          <w:rFonts w:cs="Arial"/>
          <w:color w:val="auto"/>
          <w:sz w:val="20"/>
          <w:szCs w:val="20"/>
        </w:rPr>
        <w:t>on</w:t>
      </w:r>
      <w:r>
        <w:rPr>
          <w:rFonts w:cs="Arial"/>
          <w:color w:val="auto"/>
          <w:sz w:val="20"/>
          <w:szCs w:val="20"/>
        </w:rPr>
        <w:t xml:space="preserve"> a basket of indicators.</w:t>
      </w:r>
    </w:p>
    <w:p w:rsidR="006E7282" w:rsidRPr="00C91FB0" w:rsidRDefault="008E4FE6" w:rsidP="006E7282">
      <w:pPr>
        <w:rPr>
          <w:rFonts w:cs="Arial"/>
          <w:color w:val="auto"/>
          <w:sz w:val="20"/>
          <w:szCs w:val="20"/>
        </w:rPr>
      </w:pPr>
      <w:r>
        <w:rPr>
          <w:rFonts w:cs="Arial"/>
          <w:color w:val="auto"/>
          <w:sz w:val="20"/>
          <w:szCs w:val="20"/>
        </w:rPr>
        <w:t>The link to the Audit Committee agenda and minutes is below.</w:t>
      </w:r>
    </w:p>
    <w:p w:rsidR="006E7282" w:rsidRDefault="00C555E7" w:rsidP="006E7282">
      <w:pPr>
        <w:rPr>
          <w:sz w:val="20"/>
          <w:szCs w:val="20"/>
        </w:rPr>
      </w:pPr>
      <w:hyperlink r:id="rId22" w:history="1">
        <w:r w:rsidR="0059541F" w:rsidRPr="008E4FE6">
          <w:rPr>
            <w:rStyle w:val="Hyperlink"/>
            <w:sz w:val="20"/>
            <w:szCs w:val="20"/>
          </w:rPr>
          <w:t>http://www.torbay.gov.uk/DemocraticServices/ieListMeetings.aspx?CId=124&amp;Year=0</w:t>
        </w:r>
      </w:hyperlink>
    </w:p>
    <w:p w:rsidR="00817D4D" w:rsidRDefault="00817D4D" w:rsidP="006E7282">
      <w:pPr>
        <w:rPr>
          <w:sz w:val="20"/>
          <w:szCs w:val="20"/>
        </w:rPr>
      </w:pPr>
      <w:r>
        <w:rPr>
          <w:sz w:val="20"/>
          <w:szCs w:val="20"/>
        </w:rPr>
        <w:t xml:space="preserve">In addition in 2015/16 the </w:t>
      </w:r>
      <w:r w:rsidR="00D856CC">
        <w:rPr>
          <w:sz w:val="20"/>
          <w:szCs w:val="20"/>
        </w:rPr>
        <w:t>Council</w:t>
      </w:r>
      <w:r>
        <w:rPr>
          <w:sz w:val="20"/>
          <w:szCs w:val="20"/>
        </w:rPr>
        <w:t xml:space="preserve"> re</w:t>
      </w:r>
      <w:r w:rsidR="00D856CC">
        <w:rPr>
          <w:sz w:val="20"/>
          <w:szCs w:val="20"/>
        </w:rPr>
        <w:t>ceived</w:t>
      </w:r>
      <w:r>
        <w:rPr>
          <w:sz w:val="20"/>
          <w:szCs w:val="20"/>
        </w:rPr>
        <w:t xml:space="preserve"> a number of external inspection reports. These included in an </w:t>
      </w:r>
      <w:r w:rsidR="007E33E1">
        <w:rPr>
          <w:sz w:val="20"/>
          <w:szCs w:val="20"/>
        </w:rPr>
        <w:t>Ofsted</w:t>
      </w:r>
      <w:r>
        <w:rPr>
          <w:sz w:val="20"/>
          <w:szCs w:val="20"/>
        </w:rPr>
        <w:t xml:space="preserve"> review of childrens services </w:t>
      </w:r>
      <w:r w:rsidR="00D856CC">
        <w:rPr>
          <w:sz w:val="20"/>
          <w:szCs w:val="20"/>
        </w:rPr>
        <w:t xml:space="preserve">for </w:t>
      </w:r>
      <w:r w:rsidR="007E33E1">
        <w:rPr>
          <w:sz w:val="20"/>
          <w:szCs w:val="20"/>
        </w:rPr>
        <w:t>Looked</w:t>
      </w:r>
      <w:r w:rsidR="00D856CC">
        <w:rPr>
          <w:sz w:val="20"/>
          <w:szCs w:val="20"/>
        </w:rPr>
        <w:t xml:space="preserve"> after children </w:t>
      </w:r>
      <w:r>
        <w:rPr>
          <w:sz w:val="20"/>
          <w:szCs w:val="20"/>
        </w:rPr>
        <w:t xml:space="preserve">here the council was classified as “inadequate” and a Corporate Peer Review organised by the Local </w:t>
      </w:r>
      <w:r w:rsidR="007E33E1">
        <w:rPr>
          <w:sz w:val="20"/>
          <w:szCs w:val="20"/>
        </w:rPr>
        <w:t>Government</w:t>
      </w:r>
      <w:r>
        <w:rPr>
          <w:sz w:val="20"/>
          <w:szCs w:val="20"/>
        </w:rPr>
        <w:t xml:space="preserve"> Association which reported on the </w:t>
      </w:r>
      <w:r w:rsidR="007E33E1">
        <w:rPr>
          <w:sz w:val="20"/>
          <w:szCs w:val="20"/>
        </w:rPr>
        <w:t>Council’s</w:t>
      </w:r>
      <w:r>
        <w:rPr>
          <w:sz w:val="20"/>
          <w:szCs w:val="20"/>
        </w:rPr>
        <w:t xml:space="preserve"> governance and financial </w:t>
      </w:r>
      <w:r w:rsidR="00D856CC">
        <w:rPr>
          <w:sz w:val="20"/>
          <w:szCs w:val="20"/>
        </w:rPr>
        <w:t>resilience. Both these report</w:t>
      </w:r>
      <w:r w:rsidR="002D6CA3">
        <w:rPr>
          <w:sz w:val="20"/>
          <w:szCs w:val="20"/>
        </w:rPr>
        <w:t>s</w:t>
      </w:r>
      <w:r w:rsidR="00D856CC">
        <w:rPr>
          <w:sz w:val="20"/>
          <w:szCs w:val="20"/>
        </w:rPr>
        <w:t xml:space="preserve"> were presented to full </w:t>
      </w:r>
      <w:r w:rsidR="007E33E1">
        <w:rPr>
          <w:sz w:val="20"/>
          <w:szCs w:val="20"/>
        </w:rPr>
        <w:t>Council</w:t>
      </w:r>
      <w:r w:rsidR="00D856CC">
        <w:rPr>
          <w:sz w:val="20"/>
          <w:szCs w:val="20"/>
        </w:rPr>
        <w:t>.</w:t>
      </w:r>
    </w:p>
    <w:p w:rsidR="00891782" w:rsidRDefault="00C555E7" w:rsidP="006E7282">
      <w:pPr>
        <w:rPr>
          <w:sz w:val="20"/>
          <w:szCs w:val="20"/>
        </w:rPr>
      </w:pPr>
      <w:hyperlink r:id="rId23" w:history="1">
        <w:r w:rsidR="00891782" w:rsidRPr="007259C9">
          <w:rPr>
            <w:rStyle w:val="Hyperlink"/>
            <w:sz w:val="20"/>
            <w:szCs w:val="20"/>
          </w:rPr>
          <w:t>http://www.torbay.gov.uk/index/yourcouncil/performance/cpc.htm</w:t>
        </w:r>
      </w:hyperlink>
    </w:p>
    <w:p w:rsidR="00C576B1" w:rsidRDefault="00C576B1" w:rsidP="006E7282">
      <w:pPr>
        <w:rPr>
          <w:sz w:val="20"/>
          <w:szCs w:val="20"/>
        </w:rPr>
      </w:pPr>
      <w:r>
        <w:rPr>
          <w:sz w:val="20"/>
          <w:szCs w:val="20"/>
        </w:rPr>
        <w:t xml:space="preserve">The Council publishes extensive information on its expenditure including details of payments </w:t>
      </w:r>
      <w:r w:rsidR="001C229D">
        <w:rPr>
          <w:sz w:val="20"/>
          <w:szCs w:val="20"/>
        </w:rPr>
        <w:t>in excess of</w:t>
      </w:r>
      <w:r>
        <w:rPr>
          <w:sz w:val="20"/>
          <w:szCs w:val="20"/>
        </w:rPr>
        <w:t xml:space="preserve"> £500 </w:t>
      </w:r>
      <w:r w:rsidR="001C229D">
        <w:rPr>
          <w:sz w:val="20"/>
          <w:szCs w:val="20"/>
        </w:rPr>
        <w:t xml:space="preserve">and details of </w:t>
      </w:r>
      <w:r w:rsidR="00F4309E">
        <w:rPr>
          <w:sz w:val="20"/>
          <w:szCs w:val="20"/>
        </w:rPr>
        <w:t>the C</w:t>
      </w:r>
      <w:r w:rsidR="001C229D">
        <w:rPr>
          <w:sz w:val="20"/>
          <w:szCs w:val="20"/>
        </w:rPr>
        <w:t>ouncil</w:t>
      </w:r>
      <w:r w:rsidR="00F4309E">
        <w:rPr>
          <w:sz w:val="20"/>
          <w:szCs w:val="20"/>
        </w:rPr>
        <w:t xml:space="preserve">’s </w:t>
      </w:r>
      <w:r w:rsidR="001C229D">
        <w:rPr>
          <w:sz w:val="20"/>
          <w:szCs w:val="20"/>
        </w:rPr>
        <w:t xml:space="preserve">pay </w:t>
      </w:r>
      <w:r w:rsidR="00F4309E">
        <w:rPr>
          <w:sz w:val="20"/>
          <w:szCs w:val="20"/>
        </w:rPr>
        <w:t xml:space="preserve">policy </w:t>
      </w:r>
      <w:r w:rsidR="001C229D">
        <w:rPr>
          <w:sz w:val="20"/>
          <w:szCs w:val="20"/>
        </w:rPr>
        <w:t>can be found on the council’s web site.</w:t>
      </w:r>
    </w:p>
    <w:p w:rsidR="00C576B1" w:rsidRDefault="00C555E7" w:rsidP="006E7282">
      <w:pPr>
        <w:rPr>
          <w:sz w:val="20"/>
          <w:szCs w:val="20"/>
        </w:rPr>
      </w:pPr>
      <w:hyperlink r:id="rId24" w:history="1">
        <w:r w:rsidR="00C576B1" w:rsidRPr="007259C9">
          <w:rPr>
            <w:rStyle w:val="Hyperlink"/>
            <w:sz w:val="20"/>
            <w:szCs w:val="20"/>
          </w:rPr>
          <w:t>http://www.torbay.gov.uk/index/yourcouncil/financialservices/expenditure.htm</w:t>
        </w:r>
      </w:hyperlink>
    </w:p>
    <w:p w:rsidR="008A040A" w:rsidRPr="00F75D21" w:rsidRDefault="008A040A" w:rsidP="008A040A">
      <w:pPr>
        <w:pStyle w:val="BodyText"/>
        <w:widowControl w:val="0"/>
        <w:rPr>
          <w:rFonts w:cs="Arial"/>
          <w:color w:val="auto"/>
          <w:sz w:val="20"/>
          <w:szCs w:val="20"/>
          <w:u w:val="single"/>
        </w:rPr>
      </w:pPr>
      <w:r w:rsidRPr="00F75D21">
        <w:rPr>
          <w:rFonts w:cs="Arial"/>
          <w:color w:val="auto"/>
          <w:sz w:val="20"/>
          <w:szCs w:val="20"/>
          <w:u w:val="single"/>
        </w:rPr>
        <w:t>Schools</w:t>
      </w:r>
    </w:p>
    <w:p w:rsidR="008A040A" w:rsidRPr="00D42E0B" w:rsidRDefault="008A040A" w:rsidP="00F31A9D">
      <w:pPr>
        <w:pStyle w:val="BodyText"/>
        <w:widowControl w:val="0"/>
        <w:rPr>
          <w:rFonts w:cs="Arial"/>
          <w:color w:val="548DD4" w:themeColor="text2" w:themeTint="99"/>
          <w:sz w:val="20"/>
          <w:szCs w:val="20"/>
        </w:rPr>
      </w:pPr>
      <w:r w:rsidRPr="00F75D21">
        <w:rPr>
          <w:rFonts w:cs="Arial"/>
          <w:color w:val="auto"/>
          <w:sz w:val="20"/>
          <w:szCs w:val="20"/>
        </w:rPr>
        <w:t>The Council</w:t>
      </w:r>
      <w:r w:rsidR="00F7103B" w:rsidRPr="00F75D21">
        <w:rPr>
          <w:rFonts w:cs="Arial"/>
          <w:color w:val="auto"/>
          <w:sz w:val="20"/>
          <w:szCs w:val="20"/>
        </w:rPr>
        <w:t>,</w:t>
      </w:r>
      <w:r w:rsidRPr="00F75D21">
        <w:rPr>
          <w:rFonts w:cs="Arial"/>
          <w:color w:val="auto"/>
          <w:sz w:val="20"/>
          <w:szCs w:val="20"/>
        </w:rPr>
        <w:t xml:space="preserve"> as at 31</w:t>
      </w:r>
      <w:r w:rsidRPr="00F75D21">
        <w:rPr>
          <w:rFonts w:cs="Arial"/>
          <w:color w:val="auto"/>
          <w:sz w:val="20"/>
          <w:szCs w:val="20"/>
          <w:vertAlign w:val="superscript"/>
        </w:rPr>
        <w:t>st</w:t>
      </w:r>
      <w:r w:rsidRPr="00F75D21">
        <w:rPr>
          <w:rFonts w:cs="Arial"/>
          <w:color w:val="auto"/>
          <w:sz w:val="20"/>
          <w:szCs w:val="20"/>
        </w:rPr>
        <w:t xml:space="preserve"> March 201</w:t>
      </w:r>
      <w:r w:rsidR="00377976" w:rsidRPr="00F75D21">
        <w:rPr>
          <w:rFonts w:cs="Arial"/>
          <w:color w:val="auto"/>
          <w:sz w:val="20"/>
          <w:szCs w:val="20"/>
        </w:rPr>
        <w:t>6</w:t>
      </w:r>
      <w:r w:rsidR="00F7103B" w:rsidRPr="00F75D21">
        <w:rPr>
          <w:rFonts w:cs="Arial"/>
          <w:color w:val="auto"/>
          <w:sz w:val="20"/>
          <w:szCs w:val="20"/>
        </w:rPr>
        <w:t>,</w:t>
      </w:r>
      <w:r w:rsidRPr="00F75D21">
        <w:rPr>
          <w:rFonts w:cs="Arial"/>
          <w:color w:val="auto"/>
          <w:sz w:val="20"/>
          <w:szCs w:val="20"/>
        </w:rPr>
        <w:t xml:space="preserve"> has </w:t>
      </w:r>
      <w:r w:rsidR="00F75D21" w:rsidRPr="00F75D21">
        <w:rPr>
          <w:rFonts w:cs="Arial"/>
          <w:color w:val="auto"/>
          <w:sz w:val="20"/>
          <w:szCs w:val="20"/>
        </w:rPr>
        <w:t>1</w:t>
      </w:r>
      <w:r w:rsidR="0021360A">
        <w:rPr>
          <w:rFonts w:cs="Arial"/>
          <w:color w:val="auto"/>
          <w:sz w:val="20"/>
          <w:szCs w:val="20"/>
        </w:rPr>
        <w:t>3</w:t>
      </w:r>
      <w:r w:rsidR="00F75D21" w:rsidRPr="00F75D21">
        <w:rPr>
          <w:rFonts w:cs="Arial"/>
          <w:color w:val="auto"/>
          <w:sz w:val="20"/>
          <w:szCs w:val="20"/>
        </w:rPr>
        <w:t xml:space="preserve"> schools (14/15 </w:t>
      </w:r>
      <w:r w:rsidRPr="00F75D21">
        <w:rPr>
          <w:rFonts w:cs="Arial"/>
          <w:color w:val="auto"/>
          <w:sz w:val="20"/>
          <w:szCs w:val="20"/>
        </w:rPr>
        <w:t>1</w:t>
      </w:r>
      <w:r w:rsidR="0021360A">
        <w:rPr>
          <w:rFonts w:cs="Arial"/>
          <w:color w:val="auto"/>
          <w:sz w:val="20"/>
          <w:szCs w:val="20"/>
        </w:rPr>
        <w:t>6</w:t>
      </w:r>
      <w:r w:rsidR="00F75D21" w:rsidRPr="00F75D21">
        <w:rPr>
          <w:rFonts w:cs="Arial"/>
          <w:color w:val="auto"/>
          <w:sz w:val="20"/>
          <w:szCs w:val="20"/>
        </w:rPr>
        <w:t>)</w:t>
      </w:r>
      <w:r w:rsidRPr="00D42E0B">
        <w:rPr>
          <w:rFonts w:cs="Arial"/>
          <w:color w:val="548DD4" w:themeColor="text2" w:themeTint="99"/>
          <w:sz w:val="20"/>
          <w:szCs w:val="20"/>
        </w:rPr>
        <w:t xml:space="preserve"> </w:t>
      </w:r>
      <w:r w:rsidRPr="00F75D21">
        <w:rPr>
          <w:rFonts w:cs="Arial"/>
          <w:color w:val="auto"/>
          <w:sz w:val="20"/>
          <w:szCs w:val="20"/>
        </w:rPr>
        <w:t>that are reflected in the Council’s accounts</w:t>
      </w:r>
      <w:r w:rsidR="006A28E7" w:rsidRPr="00F75D21">
        <w:rPr>
          <w:rFonts w:cs="Arial"/>
          <w:color w:val="auto"/>
          <w:sz w:val="20"/>
          <w:szCs w:val="20"/>
        </w:rPr>
        <w:t>, both within its Income and Expenditure Statement and its Balance Sheet.</w:t>
      </w:r>
      <w:r w:rsidRPr="00F75D21">
        <w:rPr>
          <w:rFonts w:cs="Arial"/>
          <w:color w:val="auto"/>
          <w:sz w:val="20"/>
          <w:szCs w:val="20"/>
        </w:rPr>
        <w:t xml:space="preserve"> These are </w:t>
      </w:r>
      <w:r w:rsidR="00831E04">
        <w:rPr>
          <w:rFonts w:cs="Arial"/>
          <w:color w:val="auto"/>
          <w:sz w:val="20"/>
          <w:szCs w:val="20"/>
        </w:rPr>
        <w:t>9</w:t>
      </w:r>
      <w:r w:rsidRPr="00F75D21">
        <w:rPr>
          <w:rFonts w:cs="Arial"/>
          <w:color w:val="auto"/>
          <w:sz w:val="20"/>
          <w:szCs w:val="20"/>
        </w:rPr>
        <w:t xml:space="preserve"> Primary schools, 2 Secondary schools and</w:t>
      </w:r>
      <w:r w:rsidRPr="00D42E0B">
        <w:rPr>
          <w:rFonts w:cs="Arial"/>
          <w:color w:val="548DD4" w:themeColor="text2" w:themeTint="99"/>
          <w:sz w:val="20"/>
          <w:szCs w:val="20"/>
        </w:rPr>
        <w:t xml:space="preserve"> </w:t>
      </w:r>
      <w:r w:rsidRPr="00F75D21">
        <w:rPr>
          <w:rFonts w:cs="Arial"/>
          <w:color w:val="auto"/>
          <w:sz w:val="20"/>
          <w:szCs w:val="20"/>
        </w:rPr>
        <w:t>2 Special schools</w:t>
      </w:r>
      <w:r w:rsidRPr="00D42E0B">
        <w:rPr>
          <w:rFonts w:cs="Arial"/>
          <w:color w:val="548DD4" w:themeColor="text2" w:themeTint="99"/>
          <w:sz w:val="20"/>
          <w:szCs w:val="20"/>
        </w:rPr>
        <w:t xml:space="preserve">. </w:t>
      </w:r>
      <w:r w:rsidRPr="0021360A">
        <w:rPr>
          <w:rFonts w:cs="Arial"/>
          <w:color w:val="auto"/>
          <w:sz w:val="20"/>
          <w:szCs w:val="20"/>
        </w:rPr>
        <w:t>The 1</w:t>
      </w:r>
      <w:r w:rsidR="0036706C" w:rsidRPr="0021360A">
        <w:rPr>
          <w:rFonts w:cs="Arial"/>
          <w:color w:val="auto"/>
          <w:sz w:val="20"/>
          <w:szCs w:val="20"/>
        </w:rPr>
        <w:t>3</w:t>
      </w:r>
      <w:r w:rsidRPr="0021360A">
        <w:rPr>
          <w:rFonts w:cs="Arial"/>
          <w:color w:val="auto"/>
          <w:sz w:val="20"/>
          <w:szCs w:val="20"/>
        </w:rPr>
        <w:t xml:space="preserve"> schools by </w:t>
      </w:r>
      <w:r w:rsidR="00ED75DF" w:rsidRPr="0021360A">
        <w:rPr>
          <w:rFonts w:cs="Arial"/>
          <w:color w:val="auto"/>
          <w:sz w:val="20"/>
          <w:szCs w:val="20"/>
        </w:rPr>
        <w:t>“</w:t>
      </w:r>
      <w:r w:rsidRPr="0021360A">
        <w:rPr>
          <w:rFonts w:cs="Arial"/>
          <w:color w:val="auto"/>
          <w:sz w:val="20"/>
          <w:szCs w:val="20"/>
        </w:rPr>
        <w:t>ownership</w:t>
      </w:r>
      <w:r w:rsidR="00ED75DF" w:rsidRPr="0021360A">
        <w:rPr>
          <w:rFonts w:cs="Arial"/>
          <w:color w:val="auto"/>
          <w:sz w:val="20"/>
          <w:szCs w:val="20"/>
        </w:rPr>
        <w:t>”</w:t>
      </w:r>
      <w:r w:rsidRPr="0021360A">
        <w:rPr>
          <w:rFonts w:cs="Arial"/>
          <w:color w:val="auto"/>
          <w:sz w:val="20"/>
          <w:szCs w:val="20"/>
        </w:rPr>
        <w:t xml:space="preserve"> are </w:t>
      </w:r>
      <w:r w:rsidR="0021360A" w:rsidRPr="0021360A">
        <w:rPr>
          <w:rFonts w:cs="Arial"/>
          <w:color w:val="auto"/>
          <w:sz w:val="20"/>
          <w:szCs w:val="20"/>
        </w:rPr>
        <w:t>6</w:t>
      </w:r>
      <w:r w:rsidRPr="0021360A">
        <w:rPr>
          <w:rFonts w:cs="Arial"/>
          <w:color w:val="auto"/>
          <w:sz w:val="20"/>
          <w:szCs w:val="20"/>
        </w:rPr>
        <w:t xml:space="preserve"> community schools, </w:t>
      </w:r>
      <w:r w:rsidR="0021360A" w:rsidRPr="0021360A">
        <w:rPr>
          <w:rFonts w:cs="Arial"/>
          <w:color w:val="auto"/>
          <w:sz w:val="20"/>
          <w:szCs w:val="20"/>
        </w:rPr>
        <w:t>2</w:t>
      </w:r>
      <w:r w:rsidRPr="0021360A">
        <w:rPr>
          <w:rFonts w:cs="Arial"/>
          <w:color w:val="auto"/>
          <w:sz w:val="20"/>
          <w:szCs w:val="20"/>
        </w:rPr>
        <w:t xml:space="preserve"> voluntary controlled, 3 voluntary aided and 2 foundation.</w:t>
      </w:r>
      <w:r w:rsidRPr="00C760A2">
        <w:rPr>
          <w:rFonts w:cs="Arial"/>
          <w:color w:val="auto"/>
          <w:sz w:val="20"/>
          <w:szCs w:val="20"/>
        </w:rPr>
        <w:t xml:space="preserve"> </w:t>
      </w:r>
      <w:r w:rsidR="00C760A2" w:rsidRPr="00C760A2">
        <w:rPr>
          <w:rFonts w:cs="Arial"/>
          <w:color w:val="auto"/>
          <w:sz w:val="20"/>
          <w:szCs w:val="20"/>
        </w:rPr>
        <w:t>S</w:t>
      </w:r>
      <w:r w:rsidRPr="00C760A2">
        <w:rPr>
          <w:rFonts w:cs="Arial"/>
          <w:color w:val="auto"/>
          <w:sz w:val="20"/>
          <w:szCs w:val="20"/>
        </w:rPr>
        <w:t>chools</w:t>
      </w:r>
      <w:r w:rsidRPr="00D42E0B">
        <w:rPr>
          <w:rFonts w:cs="Arial"/>
          <w:color w:val="548DD4" w:themeColor="text2" w:themeTint="99"/>
          <w:sz w:val="20"/>
          <w:szCs w:val="20"/>
        </w:rPr>
        <w:t xml:space="preserve"> </w:t>
      </w:r>
      <w:r w:rsidRPr="00D71DA1">
        <w:rPr>
          <w:rFonts w:cs="Arial"/>
          <w:color w:val="auto"/>
          <w:sz w:val="20"/>
          <w:szCs w:val="20"/>
        </w:rPr>
        <w:t xml:space="preserve">are funded by the Dedicated Schools grant which for 2015/16 is </w:t>
      </w:r>
      <w:r w:rsidR="00D71DA1" w:rsidRPr="00D71DA1">
        <w:rPr>
          <w:rFonts w:cs="Arial"/>
          <w:color w:val="auto"/>
          <w:sz w:val="20"/>
          <w:szCs w:val="20"/>
        </w:rPr>
        <w:t xml:space="preserve">£39m, (14/15 </w:t>
      </w:r>
      <w:r w:rsidRPr="00D71DA1">
        <w:rPr>
          <w:rFonts w:cs="Arial"/>
          <w:color w:val="auto"/>
          <w:sz w:val="20"/>
          <w:szCs w:val="20"/>
        </w:rPr>
        <w:t>£42m</w:t>
      </w:r>
      <w:r w:rsidR="00D71DA1" w:rsidRPr="00D71DA1">
        <w:rPr>
          <w:rFonts w:cs="Arial"/>
          <w:color w:val="auto"/>
          <w:sz w:val="20"/>
          <w:szCs w:val="20"/>
        </w:rPr>
        <w:t>)</w:t>
      </w:r>
      <w:r w:rsidRPr="00D42E0B">
        <w:rPr>
          <w:rFonts w:cs="Arial"/>
          <w:color w:val="548DD4" w:themeColor="text2" w:themeTint="99"/>
          <w:sz w:val="20"/>
          <w:szCs w:val="20"/>
        </w:rPr>
        <w:t xml:space="preserve">. </w:t>
      </w:r>
      <w:r w:rsidRPr="00D71DA1">
        <w:rPr>
          <w:rFonts w:cs="Arial"/>
          <w:color w:val="auto"/>
          <w:sz w:val="20"/>
          <w:szCs w:val="20"/>
        </w:rPr>
        <w:t>The level of earmarked schoo</w:t>
      </w:r>
      <w:r w:rsidR="00725716" w:rsidRPr="00D71DA1">
        <w:rPr>
          <w:rFonts w:cs="Arial"/>
          <w:color w:val="auto"/>
          <w:sz w:val="20"/>
          <w:szCs w:val="20"/>
        </w:rPr>
        <w:t>l</w:t>
      </w:r>
      <w:r w:rsidRPr="00D71DA1">
        <w:rPr>
          <w:rFonts w:cs="Arial"/>
          <w:color w:val="auto"/>
          <w:sz w:val="20"/>
          <w:szCs w:val="20"/>
        </w:rPr>
        <w:t xml:space="preserve"> </w:t>
      </w:r>
      <w:r w:rsidRPr="007615AA">
        <w:rPr>
          <w:rFonts w:cs="Arial"/>
          <w:color w:val="auto"/>
          <w:sz w:val="20"/>
          <w:szCs w:val="20"/>
        </w:rPr>
        <w:t>reserves as at 31</w:t>
      </w:r>
      <w:r w:rsidRPr="007615AA">
        <w:rPr>
          <w:rFonts w:cs="Arial"/>
          <w:color w:val="auto"/>
          <w:sz w:val="20"/>
          <w:szCs w:val="20"/>
          <w:vertAlign w:val="superscript"/>
        </w:rPr>
        <w:t>st</w:t>
      </w:r>
      <w:r w:rsidRPr="007615AA">
        <w:rPr>
          <w:rFonts w:cs="Arial"/>
          <w:color w:val="auto"/>
          <w:sz w:val="20"/>
          <w:szCs w:val="20"/>
        </w:rPr>
        <w:t xml:space="preserve"> March 201</w:t>
      </w:r>
      <w:r w:rsidR="00D71DA1" w:rsidRPr="007615AA">
        <w:rPr>
          <w:rFonts w:cs="Arial"/>
          <w:color w:val="auto"/>
          <w:sz w:val="20"/>
          <w:szCs w:val="20"/>
        </w:rPr>
        <w:t>6</w:t>
      </w:r>
      <w:r w:rsidRPr="007615AA">
        <w:rPr>
          <w:rFonts w:cs="Arial"/>
          <w:color w:val="auto"/>
          <w:sz w:val="20"/>
          <w:szCs w:val="20"/>
        </w:rPr>
        <w:t xml:space="preserve"> is </w:t>
      </w:r>
      <w:r w:rsidR="00D71DA1" w:rsidRPr="007615AA">
        <w:rPr>
          <w:rFonts w:cs="Arial"/>
          <w:color w:val="auto"/>
          <w:sz w:val="20"/>
          <w:szCs w:val="20"/>
        </w:rPr>
        <w:t>£2.</w:t>
      </w:r>
      <w:r w:rsidR="00F224E1">
        <w:rPr>
          <w:rFonts w:cs="Arial"/>
          <w:color w:val="auto"/>
          <w:sz w:val="20"/>
          <w:szCs w:val="20"/>
        </w:rPr>
        <w:t>4</w:t>
      </w:r>
      <w:r w:rsidR="00D71DA1" w:rsidRPr="007615AA">
        <w:rPr>
          <w:rFonts w:cs="Arial"/>
          <w:color w:val="auto"/>
          <w:sz w:val="20"/>
          <w:szCs w:val="20"/>
        </w:rPr>
        <w:t xml:space="preserve">m (14/15 </w:t>
      </w:r>
      <w:r w:rsidRPr="007615AA">
        <w:rPr>
          <w:rFonts w:cs="Arial"/>
          <w:color w:val="auto"/>
          <w:sz w:val="20"/>
          <w:szCs w:val="20"/>
        </w:rPr>
        <w:t>£2.9m</w:t>
      </w:r>
      <w:r w:rsidR="00D71DA1" w:rsidRPr="007615AA">
        <w:rPr>
          <w:rFonts w:cs="Arial"/>
          <w:color w:val="auto"/>
          <w:sz w:val="20"/>
          <w:szCs w:val="20"/>
        </w:rPr>
        <w:t>)</w:t>
      </w:r>
      <w:r w:rsidRPr="007615AA">
        <w:rPr>
          <w:rFonts w:cs="Arial"/>
          <w:color w:val="auto"/>
          <w:sz w:val="20"/>
          <w:szCs w:val="20"/>
        </w:rPr>
        <w:t>.</w:t>
      </w:r>
      <w:r w:rsidR="00321029" w:rsidRPr="007615AA">
        <w:rPr>
          <w:rFonts w:cs="Arial"/>
          <w:color w:val="auto"/>
          <w:sz w:val="20"/>
          <w:szCs w:val="20"/>
        </w:rPr>
        <w:t xml:space="preserve"> Further detail on school asset recognition and </w:t>
      </w:r>
      <w:r w:rsidR="00800865" w:rsidRPr="007615AA">
        <w:rPr>
          <w:rFonts w:cs="Arial"/>
          <w:color w:val="auto"/>
          <w:sz w:val="20"/>
          <w:szCs w:val="20"/>
        </w:rPr>
        <w:t xml:space="preserve">the </w:t>
      </w:r>
      <w:r w:rsidR="00321029" w:rsidRPr="007615AA">
        <w:rPr>
          <w:rFonts w:cs="Arial"/>
          <w:color w:val="auto"/>
          <w:sz w:val="20"/>
          <w:szCs w:val="20"/>
        </w:rPr>
        <w:t>use of Dedicated School Grant in 201</w:t>
      </w:r>
      <w:r w:rsidR="00D71DA1" w:rsidRPr="007615AA">
        <w:rPr>
          <w:rFonts w:cs="Arial"/>
          <w:color w:val="auto"/>
          <w:sz w:val="20"/>
          <w:szCs w:val="20"/>
        </w:rPr>
        <w:t>5</w:t>
      </w:r>
      <w:r w:rsidR="00321029" w:rsidRPr="007615AA">
        <w:rPr>
          <w:rFonts w:cs="Arial"/>
          <w:color w:val="auto"/>
          <w:sz w:val="20"/>
          <w:szCs w:val="20"/>
        </w:rPr>
        <w:t>/1</w:t>
      </w:r>
      <w:r w:rsidR="00D71DA1" w:rsidRPr="007615AA">
        <w:rPr>
          <w:rFonts w:cs="Arial"/>
          <w:color w:val="auto"/>
          <w:sz w:val="20"/>
          <w:szCs w:val="20"/>
        </w:rPr>
        <w:t>6</w:t>
      </w:r>
      <w:r w:rsidR="00321029" w:rsidRPr="007615AA">
        <w:rPr>
          <w:rFonts w:cs="Arial"/>
          <w:color w:val="auto"/>
          <w:sz w:val="20"/>
          <w:szCs w:val="20"/>
        </w:rPr>
        <w:t xml:space="preserve"> are included in the </w:t>
      </w:r>
      <w:r w:rsidR="005F7083" w:rsidRPr="007615AA">
        <w:rPr>
          <w:rFonts w:cs="Arial"/>
          <w:color w:val="auto"/>
          <w:sz w:val="20"/>
          <w:szCs w:val="20"/>
        </w:rPr>
        <w:t>n</w:t>
      </w:r>
      <w:r w:rsidR="00321029" w:rsidRPr="007615AA">
        <w:rPr>
          <w:rFonts w:cs="Arial"/>
          <w:color w:val="auto"/>
          <w:sz w:val="20"/>
          <w:szCs w:val="20"/>
        </w:rPr>
        <w:t xml:space="preserve">otes </w:t>
      </w:r>
      <w:r w:rsidR="00555CE4" w:rsidRPr="007615AA">
        <w:rPr>
          <w:rFonts w:cs="Arial"/>
          <w:color w:val="auto"/>
          <w:sz w:val="20"/>
          <w:szCs w:val="20"/>
        </w:rPr>
        <w:t>(</w:t>
      </w:r>
      <w:r w:rsidR="007615AA" w:rsidRPr="007615AA">
        <w:rPr>
          <w:rFonts w:cs="Arial"/>
          <w:color w:val="auto"/>
          <w:sz w:val="20"/>
          <w:szCs w:val="20"/>
        </w:rPr>
        <w:t xml:space="preserve">3 </w:t>
      </w:r>
      <w:r w:rsidR="00555CE4" w:rsidRPr="007615AA">
        <w:rPr>
          <w:rFonts w:cs="Arial"/>
          <w:color w:val="auto"/>
          <w:sz w:val="20"/>
          <w:szCs w:val="20"/>
        </w:rPr>
        <w:t xml:space="preserve">and 29 respectively) </w:t>
      </w:r>
      <w:r w:rsidR="00321029" w:rsidRPr="007615AA">
        <w:rPr>
          <w:rFonts w:cs="Arial"/>
          <w:color w:val="auto"/>
          <w:sz w:val="20"/>
          <w:szCs w:val="20"/>
        </w:rPr>
        <w:t>to the these accounts.</w:t>
      </w:r>
    </w:p>
    <w:p w:rsidR="00E51139" w:rsidRPr="006422C8" w:rsidRDefault="00E51139" w:rsidP="00F31A9D">
      <w:pPr>
        <w:pStyle w:val="BodyText"/>
        <w:widowControl w:val="0"/>
        <w:rPr>
          <w:rFonts w:cs="Arial"/>
          <w:color w:val="auto"/>
          <w:sz w:val="20"/>
          <w:szCs w:val="20"/>
          <w:u w:val="single"/>
        </w:rPr>
      </w:pPr>
      <w:r w:rsidRPr="006422C8">
        <w:rPr>
          <w:rFonts w:cs="Arial"/>
          <w:color w:val="auto"/>
          <w:sz w:val="20"/>
          <w:szCs w:val="20"/>
          <w:u w:val="single"/>
        </w:rPr>
        <w:t>Planned Future Developments in service delivery</w:t>
      </w:r>
    </w:p>
    <w:p w:rsidR="00E51139" w:rsidRPr="009C7CB2" w:rsidRDefault="00E51139" w:rsidP="00F31A9D">
      <w:pPr>
        <w:pStyle w:val="BodyText"/>
        <w:widowControl w:val="0"/>
        <w:rPr>
          <w:rFonts w:cs="Arial"/>
          <w:color w:val="auto"/>
          <w:sz w:val="20"/>
          <w:szCs w:val="20"/>
        </w:rPr>
      </w:pPr>
      <w:r w:rsidRPr="009C7CB2">
        <w:rPr>
          <w:rFonts w:cs="Arial"/>
          <w:color w:val="auto"/>
          <w:sz w:val="20"/>
          <w:szCs w:val="20"/>
        </w:rPr>
        <w:t xml:space="preserve">The impact of the reductions required under the </w:t>
      </w:r>
      <w:r w:rsidR="00E13EC0" w:rsidRPr="009C7CB2">
        <w:rPr>
          <w:rFonts w:cs="Arial"/>
          <w:color w:val="auto"/>
          <w:sz w:val="20"/>
          <w:szCs w:val="20"/>
        </w:rPr>
        <w:t xml:space="preserve">“Austerity” agenda </w:t>
      </w:r>
      <w:r w:rsidRPr="009C7CB2">
        <w:rPr>
          <w:rFonts w:cs="Arial"/>
          <w:color w:val="auto"/>
          <w:sz w:val="20"/>
          <w:szCs w:val="20"/>
        </w:rPr>
        <w:t xml:space="preserve">will inevitably impact on the range of services provided and how these services are provided in the future. </w:t>
      </w:r>
      <w:r w:rsidR="001A3D6B" w:rsidRPr="009C7CB2">
        <w:rPr>
          <w:rFonts w:cs="Arial"/>
          <w:color w:val="auto"/>
          <w:sz w:val="20"/>
          <w:szCs w:val="20"/>
        </w:rPr>
        <w:t xml:space="preserve">The </w:t>
      </w:r>
      <w:r w:rsidR="001D1FF6" w:rsidRPr="009C7CB2">
        <w:rPr>
          <w:rFonts w:cs="Arial"/>
          <w:color w:val="auto"/>
          <w:sz w:val="20"/>
          <w:szCs w:val="20"/>
        </w:rPr>
        <w:t>Council</w:t>
      </w:r>
      <w:r w:rsidR="001A3D6B" w:rsidRPr="009C7CB2">
        <w:rPr>
          <w:rFonts w:cs="Arial"/>
          <w:color w:val="auto"/>
          <w:sz w:val="20"/>
          <w:szCs w:val="20"/>
        </w:rPr>
        <w:t xml:space="preserve"> for 201</w:t>
      </w:r>
      <w:r w:rsidR="009C7CB2" w:rsidRPr="009C7CB2">
        <w:rPr>
          <w:rFonts w:cs="Arial"/>
          <w:color w:val="auto"/>
          <w:sz w:val="20"/>
          <w:szCs w:val="20"/>
        </w:rPr>
        <w:t>6</w:t>
      </w:r>
      <w:r w:rsidR="001A3D6B" w:rsidRPr="009C7CB2">
        <w:rPr>
          <w:rFonts w:cs="Arial"/>
          <w:color w:val="auto"/>
          <w:sz w:val="20"/>
          <w:szCs w:val="20"/>
        </w:rPr>
        <w:t>/1</w:t>
      </w:r>
      <w:r w:rsidR="009C7CB2" w:rsidRPr="009C7CB2">
        <w:rPr>
          <w:rFonts w:cs="Arial"/>
          <w:color w:val="auto"/>
          <w:sz w:val="20"/>
          <w:szCs w:val="20"/>
        </w:rPr>
        <w:t>7</w:t>
      </w:r>
      <w:r w:rsidR="001A3D6B" w:rsidRPr="009C7CB2">
        <w:rPr>
          <w:rFonts w:cs="Arial"/>
          <w:color w:val="auto"/>
          <w:sz w:val="20"/>
          <w:szCs w:val="20"/>
        </w:rPr>
        <w:t xml:space="preserve"> has a</w:t>
      </w:r>
      <w:r w:rsidR="007348E7">
        <w:rPr>
          <w:rFonts w:cs="Arial"/>
          <w:color w:val="auto"/>
          <w:sz w:val="20"/>
          <w:szCs w:val="20"/>
        </w:rPr>
        <w:t xml:space="preserve">pproved </w:t>
      </w:r>
      <w:r w:rsidR="001A3D6B" w:rsidRPr="009C7CB2">
        <w:rPr>
          <w:rFonts w:cs="Arial"/>
          <w:color w:val="auto"/>
          <w:sz w:val="20"/>
          <w:szCs w:val="20"/>
        </w:rPr>
        <w:t>over £1</w:t>
      </w:r>
      <w:r w:rsidR="009C7CB2" w:rsidRPr="009C7CB2">
        <w:rPr>
          <w:rFonts w:cs="Arial"/>
          <w:color w:val="auto"/>
          <w:sz w:val="20"/>
          <w:szCs w:val="20"/>
        </w:rPr>
        <w:t>2</w:t>
      </w:r>
      <w:r w:rsidR="001A3D6B" w:rsidRPr="009C7CB2">
        <w:rPr>
          <w:rFonts w:cs="Arial"/>
          <w:color w:val="auto"/>
          <w:sz w:val="20"/>
          <w:szCs w:val="20"/>
        </w:rPr>
        <w:t xml:space="preserve">m of reductions. </w:t>
      </w:r>
      <w:r w:rsidRPr="009C7CB2">
        <w:rPr>
          <w:rFonts w:cs="Arial"/>
          <w:color w:val="auto"/>
          <w:sz w:val="20"/>
          <w:szCs w:val="20"/>
        </w:rPr>
        <w:t xml:space="preserve">The Council produces a rolling forward financial plan called </w:t>
      </w:r>
      <w:r w:rsidR="00F95CC2">
        <w:rPr>
          <w:rFonts w:cs="Arial"/>
          <w:color w:val="auto"/>
          <w:sz w:val="20"/>
          <w:szCs w:val="20"/>
        </w:rPr>
        <w:t>t</w:t>
      </w:r>
      <w:r w:rsidRPr="009C7CB2">
        <w:rPr>
          <w:rFonts w:cs="Arial"/>
          <w:color w:val="auto"/>
          <w:sz w:val="20"/>
          <w:szCs w:val="20"/>
        </w:rPr>
        <w:t xml:space="preserve">he Medium Term Resource Plan which is available on the Council website. Within that document, (last update </w:t>
      </w:r>
      <w:r w:rsidR="009C7CB2" w:rsidRPr="009C7CB2">
        <w:rPr>
          <w:rFonts w:cs="Arial"/>
          <w:color w:val="auto"/>
          <w:sz w:val="20"/>
          <w:szCs w:val="20"/>
        </w:rPr>
        <w:t xml:space="preserve">April </w:t>
      </w:r>
      <w:r w:rsidR="00E13EC0" w:rsidRPr="009C7CB2">
        <w:rPr>
          <w:rFonts w:cs="Arial"/>
          <w:color w:val="auto"/>
          <w:sz w:val="20"/>
          <w:szCs w:val="20"/>
        </w:rPr>
        <w:t>201</w:t>
      </w:r>
      <w:r w:rsidR="009C7CB2" w:rsidRPr="009C7CB2">
        <w:rPr>
          <w:rFonts w:cs="Arial"/>
          <w:color w:val="auto"/>
          <w:sz w:val="20"/>
          <w:szCs w:val="20"/>
        </w:rPr>
        <w:t>6</w:t>
      </w:r>
      <w:r w:rsidRPr="009C7CB2">
        <w:rPr>
          <w:rFonts w:cs="Arial"/>
          <w:color w:val="auto"/>
          <w:sz w:val="20"/>
          <w:szCs w:val="20"/>
        </w:rPr>
        <w:t>), there is a summary of projected revenue income and expenditure for the next three financial years.</w:t>
      </w:r>
    </w:p>
    <w:tbl>
      <w:tblPr>
        <w:tblStyle w:val="ListTable4-Accent51"/>
        <w:tblW w:w="9134" w:type="dxa"/>
        <w:tblInd w:w="108"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1E0"/>
      </w:tblPr>
      <w:tblGrid>
        <w:gridCol w:w="4995"/>
        <w:gridCol w:w="963"/>
        <w:gridCol w:w="1097"/>
        <w:gridCol w:w="982"/>
        <w:gridCol w:w="1097"/>
      </w:tblGrid>
      <w:tr w:rsidR="00CF6E75" w:rsidRPr="00D42E0B" w:rsidTr="00CF6E75">
        <w:trPr>
          <w:cnfStyle w:val="100000000000"/>
          <w:trHeight w:val="557"/>
        </w:trPr>
        <w:tc>
          <w:tcPr>
            <w:cnfStyle w:val="001000000000"/>
            <w:tcW w:w="4995" w:type="dxa"/>
          </w:tcPr>
          <w:p w:rsidR="00CF6E75" w:rsidRPr="00CF6E75" w:rsidRDefault="00CF6E75" w:rsidP="00C91AB6">
            <w:pPr>
              <w:rPr>
                <w:rFonts w:cs="Arial"/>
                <w:color w:val="auto"/>
                <w:sz w:val="20"/>
                <w:szCs w:val="20"/>
              </w:rPr>
            </w:pPr>
          </w:p>
        </w:tc>
        <w:tc>
          <w:tcPr>
            <w:cnfStyle w:val="000010000000"/>
            <w:tcW w:w="963" w:type="dxa"/>
          </w:tcPr>
          <w:p w:rsidR="00CF6E75" w:rsidRPr="00CF6E75" w:rsidRDefault="00CF6E75" w:rsidP="00CF6E75">
            <w:pPr>
              <w:jc w:val="center"/>
              <w:rPr>
                <w:rFonts w:cs="Arial"/>
                <w:b w:val="0"/>
                <w:color w:val="auto"/>
                <w:sz w:val="20"/>
                <w:szCs w:val="20"/>
              </w:rPr>
            </w:pPr>
            <w:r w:rsidRPr="00CF6E75">
              <w:rPr>
                <w:rFonts w:cs="Arial"/>
                <w:b w:val="0"/>
                <w:color w:val="auto"/>
                <w:sz w:val="20"/>
                <w:szCs w:val="20"/>
              </w:rPr>
              <w:t>2016/17 £m</w:t>
            </w:r>
          </w:p>
        </w:tc>
        <w:tc>
          <w:tcPr>
            <w:tcW w:w="1097" w:type="dxa"/>
          </w:tcPr>
          <w:p w:rsidR="00CF6E75" w:rsidRPr="00CF6E75" w:rsidRDefault="00CF6E75" w:rsidP="00CF6E75">
            <w:pPr>
              <w:jc w:val="center"/>
              <w:cnfStyle w:val="100000000000"/>
              <w:rPr>
                <w:rFonts w:cs="Arial"/>
                <w:b w:val="0"/>
                <w:color w:val="auto"/>
                <w:sz w:val="20"/>
                <w:szCs w:val="20"/>
              </w:rPr>
            </w:pPr>
            <w:r w:rsidRPr="00CF6E75">
              <w:rPr>
                <w:rFonts w:cs="Arial"/>
                <w:b w:val="0"/>
                <w:color w:val="auto"/>
                <w:sz w:val="20"/>
                <w:szCs w:val="20"/>
              </w:rPr>
              <w:t>2017/18     £m</w:t>
            </w:r>
          </w:p>
        </w:tc>
        <w:tc>
          <w:tcPr>
            <w:cnfStyle w:val="000010000000"/>
            <w:tcW w:w="982" w:type="dxa"/>
          </w:tcPr>
          <w:p w:rsidR="00CF6E75" w:rsidRPr="00CF6E75" w:rsidRDefault="00CF6E75" w:rsidP="00CF6E75">
            <w:pPr>
              <w:jc w:val="center"/>
              <w:rPr>
                <w:rFonts w:cs="Arial"/>
                <w:b w:val="0"/>
                <w:color w:val="auto"/>
                <w:sz w:val="20"/>
                <w:szCs w:val="20"/>
              </w:rPr>
            </w:pPr>
            <w:r w:rsidRPr="00CF6E75">
              <w:rPr>
                <w:rFonts w:cs="Arial"/>
                <w:b w:val="0"/>
                <w:color w:val="auto"/>
                <w:sz w:val="20"/>
                <w:szCs w:val="20"/>
              </w:rPr>
              <w:t>2018/19   £m</w:t>
            </w:r>
          </w:p>
        </w:tc>
        <w:tc>
          <w:tcPr>
            <w:cnfStyle w:val="000100000000"/>
            <w:tcW w:w="1097" w:type="dxa"/>
          </w:tcPr>
          <w:p w:rsidR="00CF6E75" w:rsidRPr="00CF6E75" w:rsidRDefault="00CF6E75" w:rsidP="00CF6E75">
            <w:pPr>
              <w:jc w:val="center"/>
              <w:rPr>
                <w:rFonts w:cs="Arial"/>
                <w:b w:val="0"/>
                <w:color w:val="auto"/>
                <w:sz w:val="20"/>
                <w:szCs w:val="20"/>
              </w:rPr>
            </w:pPr>
            <w:r w:rsidRPr="00CF6E75">
              <w:rPr>
                <w:rFonts w:cs="Arial"/>
                <w:b w:val="0"/>
                <w:color w:val="auto"/>
                <w:sz w:val="20"/>
                <w:szCs w:val="20"/>
              </w:rPr>
              <w:t>2019/20   £m</w:t>
            </w:r>
          </w:p>
        </w:tc>
      </w:tr>
      <w:tr w:rsidR="00CF6E75" w:rsidRPr="00D42E0B" w:rsidTr="00CF6E75">
        <w:trPr>
          <w:cnfStyle w:val="000000100000"/>
          <w:trHeight w:hRule="exact" w:val="361"/>
        </w:trPr>
        <w:tc>
          <w:tcPr>
            <w:cnfStyle w:val="001000000000"/>
            <w:tcW w:w="4995" w:type="dxa"/>
            <w:shd w:val="clear" w:color="auto" w:fill="auto"/>
          </w:tcPr>
          <w:p w:rsidR="00CF6E75" w:rsidRPr="00CF6E75" w:rsidRDefault="00CF6E75" w:rsidP="00CF6E75">
            <w:pPr>
              <w:rPr>
                <w:rFonts w:cs="Arial"/>
                <w:b w:val="0"/>
                <w:color w:val="auto"/>
                <w:sz w:val="20"/>
                <w:szCs w:val="20"/>
              </w:rPr>
            </w:pPr>
            <w:r w:rsidRPr="00CF6E75">
              <w:rPr>
                <w:rFonts w:cs="Arial"/>
                <w:b w:val="0"/>
                <w:color w:val="auto"/>
                <w:sz w:val="20"/>
                <w:szCs w:val="20"/>
              </w:rPr>
              <w:t xml:space="preserve">Revenue Support Grant, NNDR &amp; Council Tax </w:t>
            </w:r>
          </w:p>
        </w:tc>
        <w:tc>
          <w:tcPr>
            <w:cnfStyle w:val="000010000000"/>
            <w:tcW w:w="963" w:type="dxa"/>
          </w:tcPr>
          <w:p w:rsidR="00CF6E75" w:rsidRPr="00CF6E75" w:rsidRDefault="00CF6E75" w:rsidP="005A5671">
            <w:pPr>
              <w:jc w:val="center"/>
              <w:rPr>
                <w:rFonts w:cs="Arial"/>
                <w:color w:val="auto"/>
                <w:sz w:val="20"/>
                <w:szCs w:val="20"/>
              </w:rPr>
            </w:pPr>
            <w:r>
              <w:rPr>
                <w:rFonts w:cs="Arial"/>
                <w:color w:val="auto"/>
                <w:sz w:val="20"/>
                <w:szCs w:val="20"/>
              </w:rPr>
              <w:t>(109)</w:t>
            </w:r>
          </w:p>
        </w:tc>
        <w:tc>
          <w:tcPr>
            <w:tcW w:w="1097" w:type="dxa"/>
            <w:shd w:val="clear" w:color="auto" w:fill="auto"/>
          </w:tcPr>
          <w:p w:rsidR="00CF6E75" w:rsidRPr="00CF6E75" w:rsidRDefault="009D5DB8" w:rsidP="005A5671">
            <w:pPr>
              <w:jc w:val="center"/>
              <w:cnfStyle w:val="000000100000"/>
              <w:rPr>
                <w:rFonts w:cs="Arial"/>
                <w:color w:val="auto"/>
                <w:sz w:val="20"/>
                <w:szCs w:val="20"/>
              </w:rPr>
            </w:pPr>
            <w:r>
              <w:rPr>
                <w:rFonts w:cs="Arial"/>
                <w:color w:val="auto"/>
                <w:sz w:val="20"/>
                <w:szCs w:val="20"/>
              </w:rPr>
              <w:t>(106)</w:t>
            </w:r>
          </w:p>
        </w:tc>
        <w:tc>
          <w:tcPr>
            <w:cnfStyle w:val="000010000000"/>
            <w:tcW w:w="982" w:type="dxa"/>
            <w:shd w:val="clear" w:color="auto" w:fill="auto"/>
          </w:tcPr>
          <w:p w:rsidR="00CF6E75" w:rsidRPr="00CF6E75" w:rsidRDefault="009D5DB8" w:rsidP="009F2418">
            <w:pPr>
              <w:jc w:val="center"/>
              <w:rPr>
                <w:rFonts w:cs="Arial"/>
                <w:color w:val="auto"/>
                <w:sz w:val="20"/>
                <w:szCs w:val="20"/>
              </w:rPr>
            </w:pPr>
            <w:r>
              <w:rPr>
                <w:rFonts w:cs="Arial"/>
                <w:color w:val="auto"/>
                <w:sz w:val="20"/>
                <w:szCs w:val="20"/>
              </w:rPr>
              <w:t>(105)</w:t>
            </w:r>
          </w:p>
        </w:tc>
        <w:tc>
          <w:tcPr>
            <w:cnfStyle w:val="000100000000"/>
            <w:tcW w:w="1097" w:type="dxa"/>
            <w:shd w:val="clear" w:color="auto" w:fill="auto"/>
          </w:tcPr>
          <w:p w:rsidR="00CF6E75" w:rsidRPr="00CF6E75" w:rsidRDefault="009D5DB8" w:rsidP="009F2418">
            <w:pPr>
              <w:jc w:val="center"/>
              <w:rPr>
                <w:rFonts w:cs="Arial"/>
                <w:b w:val="0"/>
                <w:color w:val="auto"/>
                <w:sz w:val="20"/>
                <w:szCs w:val="20"/>
              </w:rPr>
            </w:pPr>
            <w:r>
              <w:rPr>
                <w:rFonts w:cs="Arial"/>
                <w:b w:val="0"/>
                <w:color w:val="auto"/>
                <w:sz w:val="20"/>
                <w:szCs w:val="20"/>
              </w:rPr>
              <w:t>(105)</w:t>
            </w:r>
          </w:p>
        </w:tc>
      </w:tr>
      <w:tr w:rsidR="00CF6E75" w:rsidRPr="00D42E0B" w:rsidTr="00CF6E75">
        <w:trPr>
          <w:trHeight w:hRule="exact" w:val="340"/>
        </w:trPr>
        <w:tc>
          <w:tcPr>
            <w:cnfStyle w:val="001000000000"/>
            <w:tcW w:w="4995" w:type="dxa"/>
            <w:shd w:val="clear" w:color="auto" w:fill="auto"/>
          </w:tcPr>
          <w:p w:rsidR="00CF6E75" w:rsidRPr="00CF6E75" w:rsidRDefault="00CF6E75" w:rsidP="00C91AB6">
            <w:pPr>
              <w:rPr>
                <w:rFonts w:cs="Arial"/>
                <w:b w:val="0"/>
                <w:color w:val="auto"/>
                <w:sz w:val="20"/>
                <w:szCs w:val="20"/>
              </w:rPr>
            </w:pPr>
            <w:r w:rsidRPr="00CF6E75">
              <w:rPr>
                <w:rFonts w:cs="Arial"/>
                <w:b w:val="0"/>
                <w:color w:val="auto"/>
                <w:sz w:val="20"/>
                <w:szCs w:val="20"/>
              </w:rPr>
              <w:t xml:space="preserve">Estimated Expenditure </w:t>
            </w:r>
          </w:p>
        </w:tc>
        <w:tc>
          <w:tcPr>
            <w:cnfStyle w:val="000010000000"/>
            <w:tcW w:w="963" w:type="dxa"/>
          </w:tcPr>
          <w:p w:rsidR="00CF6E75" w:rsidRPr="00CF6E75" w:rsidRDefault="00CF6E75" w:rsidP="005A5671">
            <w:pPr>
              <w:jc w:val="center"/>
              <w:rPr>
                <w:rFonts w:cs="Arial"/>
                <w:color w:val="auto"/>
                <w:sz w:val="20"/>
                <w:szCs w:val="20"/>
              </w:rPr>
            </w:pPr>
            <w:r>
              <w:rPr>
                <w:rFonts w:cs="Arial"/>
                <w:color w:val="auto"/>
                <w:sz w:val="20"/>
                <w:szCs w:val="20"/>
              </w:rPr>
              <w:t>109</w:t>
            </w:r>
          </w:p>
        </w:tc>
        <w:tc>
          <w:tcPr>
            <w:tcW w:w="1097" w:type="dxa"/>
            <w:shd w:val="clear" w:color="auto" w:fill="auto"/>
          </w:tcPr>
          <w:p w:rsidR="00CF6E75" w:rsidRPr="00CF6E75" w:rsidRDefault="009D5DB8" w:rsidP="005A5671">
            <w:pPr>
              <w:jc w:val="center"/>
              <w:cnfStyle w:val="000000000000"/>
              <w:rPr>
                <w:rFonts w:cs="Arial"/>
                <w:color w:val="auto"/>
                <w:sz w:val="20"/>
                <w:szCs w:val="20"/>
              </w:rPr>
            </w:pPr>
            <w:r>
              <w:rPr>
                <w:rFonts w:cs="Arial"/>
                <w:color w:val="auto"/>
                <w:sz w:val="20"/>
                <w:szCs w:val="20"/>
              </w:rPr>
              <w:t>113</w:t>
            </w:r>
          </w:p>
        </w:tc>
        <w:tc>
          <w:tcPr>
            <w:cnfStyle w:val="000010000000"/>
            <w:tcW w:w="982" w:type="dxa"/>
            <w:shd w:val="clear" w:color="auto" w:fill="auto"/>
          </w:tcPr>
          <w:p w:rsidR="00CF6E75" w:rsidRPr="00CF6E75" w:rsidRDefault="009D5DB8" w:rsidP="00837246">
            <w:pPr>
              <w:jc w:val="center"/>
              <w:rPr>
                <w:rFonts w:cs="Arial"/>
                <w:color w:val="auto"/>
                <w:sz w:val="20"/>
                <w:szCs w:val="20"/>
              </w:rPr>
            </w:pPr>
            <w:r>
              <w:rPr>
                <w:rFonts w:cs="Arial"/>
                <w:color w:val="auto"/>
                <w:sz w:val="20"/>
                <w:szCs w:val="20"/>
              </w:rPr>
              <w:t>119</w:t>
            </w:r>
          </w:p>
        </w:tc>
        <w:tc>
          <w:tcPr>
            <w:cnfStyle w:val="000100000000"/>
            <w:tcW w:w="1097" w:type="dxa"/>
            <w:shd w:val="clear" w:color="auto" w:fill="auto"/>
          </w:tcPr>
          <w:p w:rsidR="00CF6E75" w:rsidRPr="00CF6E75" w:rsidRDefault="009D5DB8" w:rsidP="001A3D6B">
            <w:pPr>
              <w:jc w:val="center"/>
              <w:rPr>
                <w:rFonts w:cs="Arial"/>
                <w:b w:val="0"/>
                <w:color w:val="auto"/>
                <w:sz w:val="20"/>
                <w:szCs w:val="20"/>
              </w:rPr>
            </w:pPr>
            <w:r>
              <w:rPr>
                <w:rFonts w:cs="Arial"/>
                <w:b w:val="0"/>
                <w:color w:val="auto"/>
                <w:sz w:val="20"/>
                <w:szCs w:val="20"/>
              </w:rPr>
              <w:t>124</w:t>
            </w:r>
          </w:p>
        </w:tc>
      </w:tr>
      <w:tr w:rsidR="00CF6E75" w:rsidRPr="00D42E0B" w:rsidTr="00CF6E75">
        <w:trPr>
          <w:cnfStyle w:val="000000100000"/>
          <w:trHeight w:hRule="exact" w:val="340"/>
        </w:trPr>
        <w:tc>
          <w:tcPr>
            <w:cnfStyle w:val="001000000000"/>
            <w:tcW w:w="4995" w:type="dxa"/>
            <w:shd w:val="clear" w:color="auto" w:fill="auto"/>
          </w:tcPr>
          <w:p w:rsidR="00CF6E75" w:rsidRPr="00CF6E75" w:rsidRDefault="00CF6E75" w:rsidP="00C91AB6">
            <w:pPr>
              <w:rPr>
                <w:rFonts w:cs="Arial"/>
                <w:b w:val="0"/>
                <w:color w:val="auto"/>
                <w:sz w:val="20"/>
                <w:szCs w:val="20"/>
              </w:rPr>
            </w:pPr>
            <w:r w:rsidRPr="00CF6E75">
              <w:rPr>
                <w:rFonts w:cs="Arial"/>
                <w:b w:val="0"/>
                <w:color w:val="auto"/>
                <w:sz w:val="20"/>
                <w:szCs w:val="20"/>
              </w:rPr>
              <w:t xml:space="preserve">Savings identified </w:t>
            </w:r>
          </w:p>
        </w:tc>
        <w:tc>
          <w:tcPr>
            <w:cnfStyle w:val="000010000000"/>
            <w:tcW w:w="963" w:type="dxa"/>
          </w:tcPr>
          <w:p w:rsidR="00CF6E75" w:rsidRPr="00CF6E75" w:rsidRDefault="00CF6E75" w:rsidP="009152F5">
            <w:pPr>
              <w:jc w:val="center"/>
              <w:rPr>
                <w:rFonts w:cs="Arial"/>
                <w:color w:val="auto"/>
                <w:sz w:val="20"/>
                <w:szCs w:val="20"/>
              </w:rPr>
            </w:pPr>
            <w:r>
              <w:rPr>
                <w:rFonts w:cs="Arial"/>
                <w:color w:val="auto"/>
                <w:sz w:val="20"/>
                <w:szCs w:val="20"/>
              </w:rPr>
              <w:t>(12)</w:t>
            </w:r>
          </w:p>
        </w:tc>
        <w:tc>
          <w:tcPr>
            <w:tcW w:w="1097" w:type="dxa"/>
            <w:shd w:val="clear" w:color="auto" w:fill="auto"/>
          </w:tcPr>
          <w:p w:rsidR="00CF6E75" w:rsidRPr="00CF6E75" w:rsidRDefault="00CF6E75" w:rsidP="009152F5">
            <w:pPr>
              <w:jc w:val="center"/>
              <w:cnfStyle w:val="000000100000"/>
              <w:rPr>
                <w:rFonts w:cs="Arial"/>
                <w:color w:val="auto"/>
                <w:sz w:val="20"/>
                <w:szCs w:val="20"/>
              </w:rPr>
            </w:pPr>
            <w:r>
              <w:rPr>
                <w:rFonts w:cs="Arial"/>
                <w:color w:val="auto"/>
                <w:sz w:val="20"/>
                <w:szCs w:val="20"/>
              </w:rPr>
              <w:t>-</w:t>
            </w:r>
          </w:p>
        </w:tc>
        <w:tc>
          <w:tcPr>
            <w:cnfStyle w:val="000010000000"/>
            <w:tcW w:w="982" w:type="dxa"/>
            <w:shd w:val="clear" w:color="auto" w:fill="auto"/>
          </w:tcPr>
          <w:p w:rsidR="00CF6E75" w:rsidRPr="00CF6E75" w:rsidRDefault="00CF6E75" w:rsidP="009F2418">
            <w:pPr>
              <w:jc w:val="center"/>
              <w:rPr>
                <w:rFonts w:cs="Arial"/>
                <w:color w:val="auto"/>
                <w:sz w:val="20"/>
                <w:szCs w:val="20"/>
              </w:rPr>
            </w:pPr>
            <w:r w:rsidRPr="00CF6E75">
              <w:rPr>
                <w:rFonts w:cs="Arial"/>
                <w:color w:val="auto"/>
                <w:sz w:val="20"/>
                <w:szCs w:val="20"/>
              </w:rPr>
              <w:t>-</w:t>
            </w:r>
          </w:p>
        </w:tc>
        <w:tc>
          <w:tcPr>
            <w:cnfStyle w:val="000100000000"/>
            <w:tcW w:w="1097" w:type="dxa"/>
            <w:shd w:val="clear" w:color="auto" w:fill="auto"/>
          </w:tcPr>
          <w:p w:rsidR="00CF6E75" w:rsidRPr="00CF6E75" w:rsidRDefault="00CF6E75" w:rsidP="001A3D6B">
            <w:pPr>
              <w:jc w:val="center"/>
              <w:rPr>
                <w:rFonts w:cs="Arial"/>
                <w:b w:val="0"/>
                <w:color w:val="auto"/>
                <w:sz w:val="20"/>
                <w:szCs w:val="20"/>
              </w:rPr>
            </w:pPr>
            <w:r w:rsidRPr="00CF6E75">
              <w:rPr>
                <w:rFonts w:cs="Arial"/>
                <w:b w:val="0"/>
                <w:color w:val="auto"/>
                <w:sz w:val="20"/>
                <w:szCs w:val="20"/>
              </w:rPr>
              <w:t>-</w:t>
            </w:r>
          </w:p>
        </w:tc>
      </w:tr>
      <w:tr w:rsidR="00CF6E75" w:rsidRPr="00D42E0B" w:rsidTr="00CF6E75">
        <w:trPr>
          <w:trHeight w:hRule="exact" w:val="340"/>
        </w:trPr>
        <w:tc>
          <w:tcPr>
            <w:cnfStyle w:val="001000000000"/>
            <w:tcW w:w="4995" w:type="dxa"/>
            <w:shd w:val="clear" w:color="auto" w:fill="auto"/>
          </w:tcPr>
          <w:p w:rsidR="00CF6E75" w:rsidRPr="009D5DB8" w:rsidRDefault="00CF6E75" w:rsidP="00C91AB6">
            <w:pPr>
              <w:rPr>
                <w:rFonts w:cs="Arial"/>
                <w:color w:val="auto"/>
                <w:sz w:val="20"/>
                <w:szCs w:val="20"/>
              </w:rPr>
            </w:pPr>
            <w:r w:rsidRPr="009D5DB8">
              <w:rPr>
                <w:rFonts w:cs="Arial"/>
                <w:color w:val="auto"/>
                <w:sz w:val="20"/>
                <w:szCs w:val="20"/>
              </w:rPr>
              <w:t>Total Estimated Cumulative Funding Gap</w:t>
            </w:r>
          </w:p>
        </w:tc>
        <w:tc>
          <w:tcPr>
            <w:cnfStyle w:val="000010000000"/>
            <w:tcW w:w="963" w:type="dxa"/>
          </w:tcPr>
          <w:p w:rsidR="00CF6E75" w:rsidRPr="009D5DB8" w:rsidRDefault="009D5DB8" w:rsidP="005A5671">
            <w:pPr>
              <w:jc w:val="center"/>
              <w:rPr>
                <w:rFonts w:cs="Arial"/>
                <w:b/>
                <w:color w:val="auto"/>
                <w:sz w:val="20"/>
                <w:szCs w:val="20"/>
              </w:rPr>
            </w:pPr>
            <w:r w:rsidRPr="009D5DB8">
              <w:rPr>
                <w:rFonts w:cs="Arial"/>
                <w:b/>
                <w:color w:val="auto"/>
                <w:sz w:val="20"/>
                <w:szCs w:val="20"/>
              </w:rPr>
              <w:t>0</w:t>
            </w:r>
          </w:p>
        </w:tc>
        <w:tc>
          <w:tcPr>
            <w:tcW w:w="1097" w:type="dxa"/>
            <w:shd w:val="clear" w:color="auto" w:fill="auto"/>
          </w:tcPr>
          <w:p w:rsidR="00CF6E75" w:rsidRPr="009D5DB8" w:rsidRDefault="009D5DB8" w:rsidP="009D5DB8">
            <w:pPr>
              <w:jc w:val="center"/>
              <w:cnfStyle w:val="000000000000"/>
              <w:rPr>
                <w:rFonts w:cs="Arial"/>
                <w:b/>
                <w:color w:val="auto"/>
                <w:sz w:val="20"/>
                <w:szCs w:val="20"/>
              </w:rPr>
            </w:pPr>
            <w:r w:rsidRPr="009D5DB8">
              <w:rPr>
                <w:rFonts w:cs="Arial"/>
                <w:b/>
                <w:color w:val="auto"/>
                <w:sz w:val="20"/>
                <w:szCs w:val="20"/>
              </w:rPr>
              <w:t>7</w:t>
            </w:r>
          </w:p>
        </w:tc>
        <w:tc>
          <w:tcPr>
            <w:cnfStyle w:val="000010000000"/>
            <w:tcW w:w="982" w:type="dxa"/>
            <w:shd w:val="clear" w:color="auto" w:fill="auto"/>
          </w:tcPr>
          <w:p w:rsidR="00CF6E75" w:rsidRPr="009D5DB8" w:rsidRDefault="009D5DB8" w:rsidP="009152F5">
            <w:pPr>
              <w:jc w:val="center"/>
              <w:rPr>
                <w:rFonts w:cs="Arial"/>
                <w:b/>
                <w:color w:val="auto"/>
                <w:sz w:val="20"/>
                <w:szCs w:val="20"/>
              </w:rPr>
            </w:pPr>
            <w:r w:rsidRPr="009D5DB8">
              <w:rPr>
                <w:rFonts w:cs="Arial"/>
                <w:b/>
                <w:color w:val="auto"/>
                <w:sz w:val="20"/>
                <w:szCs w:val="20"/>
              </w:rPr>
              <w:t>14</w:t>
            </w:r>
          </w:p>
        </w:tc>
        <w:tc>
          <w:tcPr>
            <w:cnfStyle w:val="000100000000"/>
            <w:tcW w:w="1097" w:type="dxa"/>
            <w:shd w:val="clear" w:color="auto" w:fill="auto"/>
          </w:tcPr>
          <w:p w:rsidR="00CF6E75" w:rsidRPr="009D5DB8" w:rsidRDefault="009D5DB8" w:rsidP="009152F5">
            <w:pPr>
              <w:jc w:val="center"/>
              <w:rPr>
                <w:rFonts w:cs="Arial"/>
                <w:color w:val="auto"/>
                <w:sz w:val="20"/>
                <w:szCs w:val="20"/>
              </w:rPr>
            </w:pPr>
            <w:r w:rsidRPr="009D5DB8">
              <w:rPr>
                <w:rFonts w:cs="Arial"/>
                <w:color w:val="auto"/>
                <w:sz w:val="20"/>
                <w:szCs w:val="20"/>
              </w:rPr>
              <w:t>19</w:t>
            </w:r>
          </w:p>
        </w:tc>
      </w:tr>
      <w:tr w:rsidR="00CF6E75" w:rsidRPr="00D42E0B" w:rsidTr="00CF6E75">
        <w:trPr>
          <w:cnfStyle w:val="010000000000"/>
          <w:trHeight w:hRule="exact" w:val="340"/>
        </w:trPr>
        <w:tc>
          <w:tcPr>
            <w:cnfStyle w:val="001000000000"/>
            <w:tcW w:w="4995" w:type="dxa"/>
            <w:shd w:val="clear" w:color="auto" w:fill="auto"/>
          </w:tcPr>
          <w:p w:rsidR="00CF6E75" w:rsidRPr="009D5DB8" w:rsidRDefault="00CF6E75" w:rsidP="00C91AB6">
            <w:pPr>
              <w:rPr>
                <w:rFonts w:cs="Arial"/>
                <w:b w:val="0"/>
                <w:color w:val="auto"/>
                <w:sz w:val="20"/>
                <w:szCs w:val="20"/>
              </w:rPr>
            </w:pPr>
            <w:r w:rsidRPr="009D5DB8">
              <w:rPr>
                <w:rFonts w:cs="Arial"/>
                <w:b w:val="0"/>
                <w:color w:val="auto"/>
                <w:sz w:val="20"/>
                <w:szCs w:val="20"/>
              </w:rPr>
              <w:t>In- year Funding Gap</w:t>
            </w:r>
          </w:p>
        </w:tc>
        <w:tc>
          <w:tcPr>
            <w:cnfStyle w:val="000010000000"/>
            <w:tcW w:w="963" w:type="dxa"/>
          </w:tcPr>
          <w:p w:rsidR="00CF6E75" w:rsidRPr="009D5DB8" w:rsidRDefault="00470F36" w:rsidP="005A5671">
            <w:pPr>
              <w:jc w:val="center"/>
              <w:rPr>
                <w:rFonts w:cs="Arial"/>
                <w:b w:val="0"/>
                <w:color w:val="auto"/>
                <w:sz w:val="20"/>
                <w:szCs w:val="20"/>
              </w:rPr>
            </w:pPr>
            <w:r>
              <w:rPr>
                <w:rFonts w:cs="Arial"/>
                <w:b w:val="0"/>
                <w:color w:val="auto"/>
                <w:sz w:val="20"/>
                <w:szCs w:val="20"/>
              </w:rPr>
              <w:t>0</w:t>
            </w:r>
          </w:p>
        </w:tc>
        <w:tc>
          <w:tcPr>
            <w:tcW w:w="1097" w:type="dxa"/>
            <w:shd w:val="clear" w:color="auto" w:fill="auto"/>
          </w:tcPr>
          <w:p w:rsidR="00CF6E75" w:rsidRPr="009D5DB8" w:rsidRDefault="009D5DB8" w:rsidP="005A5671">
            <w:pPr>
              <w:jc w:val="center"/>
              <w:cnfStyle w:val="010000000000"/>
              <w:rPr>
                <w:rFonts w:cs="Arial"/>
                <w:b w:val="0"/>
                <w:color w:val="auto"/>
                <w:sz w:val="20"/>
                <w:szCs w:val="20"/>
              </w:rPr>
            </w:pPr>
            <w:r w:rsidRPr="009D5DB8">
              <w:rPr>
                <w:rFonts w:cs="Arial"/>
                <w:b w:val="0"/>
                <w:color w:val="auto"/>
                <w:sz w:val="20"/>
                <w:szCs w:val="20"/>
              </w:rPr>
              <w:t>7</w:t>
            </w:r>
          </w:p>
        </w:tc>
        <w:tc>
          <w:tcPr>
            <w:cnfStyle w:val="000010000000"/>
            <w:tcW w:w="982" w:type="dxa"/>
            <w:shd w:val="clear" w:color="auto" w:fill="auto"/>
          </w:tcPr>
          <w:p w:rsidR="00CF6E75" w:rsidRPr="009D5DB8" w:rsidRDefault="009D5DB8" w:rsidP="009D5DB8">
            <w:pPr>
              <w:jc w:val="center"/>
              <w:rPr>
                <w:rFonts w:cs="Arial"/>
                <w:b w:val="0"/>
                <w:bCs w:val="0"/>
                <w:color w:val="auto"/>
                <w:sz w:val="20"/>
                <w:szCs w:val="20"/>
              </w:rPr>
            </w:pPr>
            <w:r w:rsidRPr="009D5DB8">
              <w:rPr>
                <w:rFonts w:cs="Arial"/>
                <w:b w:val="0"/>
                <w:bCs w:val="0"/>
                <w:color w:val="auto"/>
                <w:sz w:val="20"/>
                <w:szCs w:val="20"/>
              </w:rPr>
              <w:t>7</w:t>
            </w:r>
          </w:p>
        </w:tc>
        <w:tc>
          <w:tcPr>
            <w:cnfStyle w:val="000100000000"/>
            <w:tcW w:w="1097" w:type="dxa"/>
            <w:shd w:val="clear" w:color="auto" w:fill="auto"/>
          </w:tcPr>
          <w:p w:rsidR="00CF6E75" w:rsidRPr="009D5DB8" w:rsidRDefault="009D5DB8" w:rsidP="00837246">
            <w:pPr>
              <w:jc w:val="center"/>
              <w:rPr>
                <w:rFonts w:cs="Arial"/>
                <w:b w:val="0"/>
                <w:color w:val="auto"/>
                <w:sz w:val="20"/>
                <w:szCs w:val="20"/>
              </w:rPr>
            </w:pPr>
            <w:r w:rsidRPr="009D5DB8">
              <w:rPr>
                <w:rFonts w:cs="Arial"/>
                <w:b w:val="0"/>
                <w:color w:val="auto"/>
                <w:sz w:val="20"/>
                <w:szCs w:val="20"/>
              </w:rPr>
              <w:t>5</w:t>
            </w:r>
          </w:p>
        </w:tc>
      </w:tr>
    </w:tbl>
    <w:p w:rsidR="008E42EC" w:rsidRPr="00D42E0B" w:rsidRDefault="008E42EC" w:rsidP="00F31A9D">
      <w:pPr>
        <w:pStyle w:val="BodyText"/>
        <w:widowControl w:val="0"/>
        <w:rPr>
          <w:rFonts w:cs="Arial"/>
          <w:color w:val="548DD4" w:themeColor="text2" w:themeTint="99"/>
          <w:sz w:val="20"/>
          <w:szCs w:val="20"/>
        </w:rPr>
      </w:pPr>
    </w:p>
    <w:p w:rsidR="00DA7634" w:rsidRPr="00DA7634" w:rsidRDefault="00DA7634" w:rsidP="00F31A9D">
      <w:pPr>
        <w:pStyle w:val="BodyText"/>
        <w:widowControl w:val="0"/>
        <w:rPr>
          <w:rFonts w:cs="Arial"/>
          <w:color w:val="auto"/>
          <w:sz w:val="20"/>
          <w:szCs w:val="20"/>
        </w:rPr>
      </w:pPr>
      <w:r w:rsidRPr="00DA7634">
        <w:rPr>
          <w:rFonts w:cs="Arial"/>
          <w:color w:val="auto"/>
          <w:sz w:val="20"/>
          <w:szCs w:val="20"/>
        </w:rPr>
        <w:t>To meet this challenge the Council has established a Transformation Board led by a</w:t>
      </w:r>
      <w:r>
        <w:rPr>
          <w:rFonts w:cs="Arial"/>
          <w:color w:val="auto"/>
          <w:sz w:val="20"/>
          <w:szCs w:val="20"/>
        </w:rPr>
        <w:t xml:space="preserve"> Council Director</w:t>
      </w:r>
      <w:r w:rsidRPr="00DA7634">
        <w:rPr>
          <w:rFonts w:cs="Arial"/>
          <w:color w:val="auto"/>
          <w:sz w:val="20"/>
          <w:szCs w:val="20"/>
        </w:rPr>
        <w:t xml:space="preserve"> to bring forward and implement a rang</w:t>
      </w:r>
      <w:r>
        <w:rPr>
          <w:rFonts w:cs="Arial"/>
          <w:color w:val="auto"/>
          <w:sz w:val="20"/>
          <w:szCs w:val="20"/>
        </w:rPr>
        <w:t>e</w:t>
      </w:r>
      <w:r w:rsidRPr="00DA7634">
        <w:rPr>
          <w:rFonts w:cs="Arial"/>
          <w:color w:val="auto"/>
          <w:sz w:val="20"/>
          <w:szCs w:val="20"/>
        </w:rPr>
        <w:t xml:space="preserve"> of transformation projects aiming </w:t>
      </w:r>
      <w:r>
        <w:rPr>
          <w:rFonts w:cs="Arial"/>
          <w:color w:val="auto"/>
          <w:sz w:val="20"/>
          <w:szCs w:val="20"/>
        </w:rPr>
        <w:t xml:space="preserve">to </w:t>
      </w:r>
      <w:r w:rsidRPr="00DA7634">
        <w:rPr>
          <w:rFonts w:cs="Arial"/>
          <w:color w:val="auto"/>
          <w:sz w:val="20"/>
          <w:szCs w:val="20"/>
        </w:rPr>
        <w:t xml:space="preserve">both meet the required </w:t>
      </w:r>
      <w:r w:rsidRPr="00DA7634">
        <w:rPr>
          <w:rFonts w:cs="Arial"/>
          <w:color w:val="auto"/>
          <w:sz w:val="20"/>
          <w:szCs w:val="20"/>
        </w:rPr>
        <w:lastRenderedPageBreak/>
        <w:t xml:space="preserve">budget </w:t>
      </w:r>
      <w:r w:rsidR="007E33E1" w:rsidRPr="00DA7634">
        <w:rPr>
          <w:rFonts w:cs="Arial"/>
          <w:color w:val="auto"/>
          <w:sz w:val="20"/>
          <w:szCs w:val="20"/>
        </w:rPr>
        <w:t>red</w:t>
      </w:r>
      <w:r w:rsidR="007E33E1">
        <w:rPr>
          <w:rFonts w:cs="Arial"/>
          <w:color w:val="auto"/>
          <w:sz w:val="20"/>
          <w:szCs w:val="20"/>
        </w:rPr>
        <w:t>uctions</w:t>
      </w:r>
      <w:r w:rsidRPr="00DA7634">
        <w:rPr>
          <w:rFonts w:cs="Arial"/>
          <w:color w:val="auto"/>
          <w:sz w:val="20"/>
          <w:szCs w:val="20"/>
        </w:rPr>
        <w:t xml:space="preserve"> but also, where possible, improve service performance. </w:t>
      </w:r>
      <w:r w:rsidR="007E33E1" w:rsidRPr="00DA7634">
        <w:rPr>
          <w:rFonts w:cs="Arial"/>
          <w:color w:val="auto"/>
          <w:sz w:val="20"/>
          <w:szCs w:val="20"/>
        </w:rPr>
        <w:t xml:space="preserve">The </w:t>
      </w:r>
      <w:r w:rsidR="007E33E1">
        <w:rPr>
          <w:rFonts w:cs="Arial"/>
          <w:color w:val="auto"/>
          <w:sz w:val="20"/>
          <w:szCs w:val="20"/>
        </w:rPr>
        <w:t>Transformation</w:t>
      </w:r>
      <w:r w:rsidR="007E33E1" w:rsidRPr="00DA7634">
        <w:rPr>
          <w:rFonts w:cs="Arial"/>
          <w:color w:val="auto"/>
          <w:sz w:val="20"/>
          <w:szCs w:val="20"/>
        </w:rPr>
        <w:t xml:space="preserve"> Board is likely to consider a wide range of projects which could </w:t>
      </w:r>
      <w:r w:rsidR="007E33E1">
        <w:rPr>
          <w:rFonts w:cs="Arial"/>
          <w:color w:val="auto"/>
          <w:sz w:val="20"/>
          <w:szCs w:val="20"/>
        </w:rPr>
        <w:t>result in</w:t>
      </w:r>
      <w:r w:rsidR="007E33E1" w:rsidRPr="00DA7634">
        <w:rPr>
          <w:rFonts w:cs="Arial"/>
          <w:color w:val="auto"/>
          <w:sz w:val="20"/>
          <w:szCs w:val="20"/>
        </w:rPr>
        <w:t xml:space="preserve"> alternative servi</w:t>
      </w:r>
      <w:r w:rsidR="007E33E1">
        <w:rPr>
          <w:rFonts w:cs="Arial"/>
          <w:color w:val="auto"/>
          <w:sz w:val="20"/>
          <w:szCs w:val="20"/>
        </w:rPr>
        <w:t>c</w:t>
      </w:r>
      <w:r w:rsidR="007E33E1" w:rsidRPr="00DA7634">
        <w:rPr>
          <w:rFonts w:cs="Arial"/>
          <w:color w:val="auto"/>
          <w:sz w:val="20"/>
          <w:szCs w:val="20"/>
        </w:rPr>
        <w:t>e del</w:t>
      </w:r>
      <w:r w:rsidR="007E33E1">
        <w:rPr>
          <w:rFonts w:cs="Arial"/>
          <w:color w:val="auto"/>
          <w:sz w:val="20"/>
          <w:szCs w:val="20"/>
        </w:rPr>
        <w:t>ivery</w:t>
      </w:r>
      <w:r w:rsidR="007E33E1" w:rsidRPr="00DA7634">
        <w:rPr>
          <w:rFonts w:cs="Arial"/>
          <w:color w:val="auto"/>
          <w:sz w:val="20"/>
          <w:szCs w:val="20"/>
        </w:rPr>
        <w:t>, altern</w:t>
      </w:r>
      <w:r w:rsidR="007E33E1">
        <w:rPr>
          <w:rFonts w:cs="Arial"/>
          <w:color w:val="auto"/>
          <w:sz w:val="20"/>
          <w:szCs w:val="20"/>
        </w:rPr>
        <w:t>a</w:t>
      </w:r>
      <w:r w:rsidR="007E33E1" w:rsidRPr="00DA7634">
        <w:rPr>
          <w:rFonts w:cs="Arial"/>
          <w:color w:val="auto"/>
          <w:sz w:val="20"/>
          <w:szCs w:val="20"/>
        </w:rPr>
        <w:t>tive level</w:t>
      </w:r>
      <w:r w:rsidR="007E33E1">
        <w:rPr>
          <w:rFonts w:cs="Arial"/>
          <w:color w:val="auto"/>
          <w:sz w:val="20"/>
          <w:szCs w:val="20"/>
        </w:rPr>
        <w:t>s of</w:t>
      </w:r>
      <w:r w:rsidR="007E33E1" w:rsidRPr="00DA7634">
        <w:rPr>
          <w:rFonts w:cs="Arial"/>
          <w:color w:val="auto"/>
          <w:sz w:val="20"/>
          <w:szCs w:val="20"/>
        </w:rPr>
        <w:t xml:space="preserve"> service provided and/or service providers. </w:t>
      </w:r>
      <w:r w:rsidRPr="00DA7634">
        <w:rPr>
          <w:rFonts w:cs="Arial"/>
          <w:color w:val="auto"/>
          <w:sz w:val="20"/>
          <w:szCs w:val="20"/>
        </w:rPr>
        <w:t>As these plans develop these wi</w:t>
      </w:r>
      <w:r w:rsidR="00882741">
        <w:rPr>
          <w:rFonts w:cs="Arial"/>
          <w:color w:val="auto"/>
          <w:sz w:val="20"/>
          <w:szCs w:val="20"/>
        </w:rPr>
        <w:t>l</w:t>
      </w:r>
      <w:r w:rsidRPr="00DA7634">
        <w:rPr>
          <w:rFonts w:cs="Arial"/>
          <w:color w:val="auto"/>
          <w:sz w:val="20"/>
          <w:szCs w:val="20"/>
        </w:rPr>
        <w:t>l be reported to full Cou</w:t>
      </w:r>
      <w:r>
        <w:rPr>
          <w:rFonts w:cs="Arial"/>
          <w:color w:val="auto"/>
          <w:sz w:val="20"/>
          <w:szCs w:val="20"/>
        </w:rPr>
        <w:t>nci</w:t>
      </w:r>
      <w:r w:rsidRPr="00DA7634">
        <w:rPr>
          <w:rFonts w:cs="Arial"/>
          <w:color w:val="auto"/>
          <w:sz w:val="20"/>
          <w:szCs w:val="20"/>
        </w:rPr>
        <w:t>l.</w:t>
      </w:r>
    </w:p>
    <w:p w:rsidR="00E51139" w:rsidRPr="00B757EC" w:rsidRDefault="00E51139" w:rsidP="00F31A9D">
      <w:pPr>
        <w:pStyle w:val="BodyText"/>
        <w:widowControl w:val="0"/>
        <w:rPr>
          <w:rFonts w:cs="Arial"/>
          <w:color w:val="auto"/>
          <w:sz w:val="20"/>
          <w:szCs w:val="20"/>
        </w:rPr>
      </w:pPr>
      <w:r w:rsidRPr="00B757EC">
        <w:rPr>
          <w:rFonts w:cs="Arial"/>
          <w:color w:val="auto"/>
          <w:sz w:val="20"/>
          <w:szCs w:val="20"/>
        </w:rPr>
        <w:t xml:space="preserve">The Council </w:t>
      </w:r>
      <w:r w:rsidR="009B7009" w:rsidRPr="00B757EC">
        <w:rPr>
          <w:rFonts w:cs="Arial"/>
          <w:color w:val="auto"/>
          <w:sz w:val="20"/>
          <w:szCs w:val="20"/>
        </w:rPr>
        <w:t xml:space="preserve">has an approved </w:t>
      </w:r>
      <w:r w:rsidRPr="00B757EC">
        <w:rPr>
          <w:rFonts w:cs="Arial"/>
          <w:color w:val="auto"/>
          <w:sz w:val="20"/>
          <w:szCs w:val="20"/>
        </w:rPr>
        <w:t xml:space="preserve">Capital Investment Plan </w:t>
      </w:r>
      <w:r w:rsidR="009B7009" w:rsidRPr="00B757EC">
        <w:rPr>
          <w:rFonts w:cs="Arial"/>
          <w:color w:val="auto"/>
          <w:sz w:val="20"/>
          <w:szCs w:val="20"/>
        </w:rPr>
        <w:t xml:space="preserve">that is updated every quarter for new funding and new schemes and reported to Council. </w:t>
      </w:r>
      <w:r w:rsidR="00EA76BD" w:rsidRPr="00B757EC">
        <w:rPr>
          <w:rFonts w:cs="Arial"/>
          <w:color w:val="auto"/>
          <w:sz w:val="20"/>
          <w:szCs w:val="20"/>
        </w:rPr>
        <w:t>An update (as at quarter three 201</w:t>
      </w:r>
      <w:r w:rsidR="00B757EC" w:rsidRPr="00B757EC">
        <w:rPr>
          <w:rFonts w:cs="Arial"/>
          <w:color w:val="auto"/>
          <w:sz w:val="20"/>
          <w:szCs w:val="20"/>
        </w:rPr>
        <w:t>5</w:t>
      </w:r>
      <w:r w:rsidR="00EA76BD" w:rsidRPr="00B757EC">
        <w:rPr>
          <w:rFonts w:cs="Arial"/>
          <w:color w:val="auto"/>
          <w:sz w:val="20"/>
          <w:szCs w:val="20"/>
        </w:rPr>
        <w:t>/1</w:t>
      </w:r>
      <w:r w:rsidR="00B757EC" w:rsidRPr="00B757EC">
        <w:rPr>
          <w:rFonts w:cs="Arial"/>
          <w:color w:val="auto"/>
          <w:sz w:val="20"/>
          <w:szCs w:val="20"/>
        </w:rPr>
        <w:t>6</w:t>
      </w:r>
      <w:r w:rsidR="00EA76BD" w:rsidRPr="00B757EC">
        <w:rPr>
          <w:rFonts w:cs="Arial"/>
          <w:color w:val="auto"/>
          <w:sz w:val="20"/>
          <w:szCs w:val="20"/>
        </w:rPr>
        <w:t xml:space="preserve">) </w:t>
      </w:r>
      <w:r w:rsidR="009B7009" w:rsidRPr="00B757EC">
        <w:rPr>
          <w:rFonts w:cs="Arial"/>
          <w:color w:val="auto"/>
          <w:sz w:val="20"/>
          <w:szCs w:val="20"/>
        </w:rPr>
        <w:t xml:space="preserve">was </w:t>
      </w:r>
      <w:r w:rsidRPr="00B757EC">
        <w:rPr>
          <w:rFonts w:cs="Arial"/>
          <w:color w:val="auto"/>
          <w:sz w:val="20"/>
          <w:szCs w:val="20"/>
        </w:rPr>
        <w:t>in February 201</w:t>
      </w:r>
      <w:r w:rsidR="00B757EC" w:rsidRPr="00B757EC">
        <w:rPr>
          <w:rFonts w:cs="Arial"/>
          <w:color w:val="auto"/>
          <w:sz w:val="20"/>
          <w:szCs w:val="20"/>
        </w:rPr>
        <w:t>6</w:t>
      </w:r>
      <w:r w:rsidRPr="00B757EC">
        <w:rPr>
          <w:rFonts w:cs="Arial"/>
          <w:color w:val="auto"/>
          <w:sz w:val="20"/>
          <w:szCs w:val="20"/>
        </w:rPr>
        <w:t xml:space="preserve"> which is available on the Council website. A summary of anticipated capital spend over the next four years, based on funding that had been announced/confirmed by February 201</w:t>
      </w:r>
      <w:r w:rsidR="00B757EC" w:rsidRPr="00B757EC">
        <w:rPr>
          <w:rFonts w:cs="Arial"/>
          <w:color w:val="auto"/>
          <w:sz w:val="20"/>
          <w:szCs w:val="20"/>
        </w:rPr>
        <w:t>6</w:t>
      </w:r>
      <w:r w:rsidRPr="00B757EC">
        <w:rPr>
          <w:rFonts w:cs="Arial"/>
          <w:color w:val="auto"/>
          <w:sz w:val="20"/>
          <w:szCs w:val="20"/>
        </w:rPr>
        <w:t>, is summarised below.</w:t>
      </w:r>
    </w:p>
    <w:tbl>
      <w:tblPr>
        <w:tblStyle w:val="GridTable4-Accent51"/>
        <w:tblW w:w="9106" w:type="dxa"/>
        <w:tblInd w:w="108" w:type="dxa"/>
        <w:tblLook w:val="0000"/>
      </w:tblPr>
      <w:tblGrid>
        <w:gridCol w:w="3275"/>
        <w:gridCol w:w="1400"/>
        <w:gridCol w:w="1440"/>
        <w:gridCol w:w="1260"/>
        <w:gridCol w:w="1731"/>
      </w:tblGrid>
      <w:tr w:rsidR="00CB7A03" w:rsidRPr="00D42E0B" w:rsidTr="005A4C12">
        <w:trPr>
          <w:cnfStyle w:val="000000100000"/>
          <w:trHeight w:val="377"/>
        </w:trPr>
        <w:tc>
          <w:tcPr>
            <w:cnfStyle w:val="000010000000"/>
            <w:tcW w:w="3275" w:type="dxa"/>
            <w:tcBorders>
              <w:bottom w:val="single" w:sz="2" w:space="0" w:color="4BACC6" w:themeColor="accent5"/>
              <w:right w:val="single" w:sz="2" w:space="0" w:color="4BACC6" w:themeColor="accent5"/>
            </w:tcBorders>
            <w:shd w:val="clear" w:color="auto" w:fill="4BACC6" w:themeFill="accent5"/>
            <w:noWrap/>
          </w:tcPr>
          <w:p w:rsidR="00CB7A03" w:rsidRPr="006729E1" w:rsidRDefault="00CB7A03" w:rsidP="003D2562">
            <w:pPr>
              <w:rPr>
                <w:rFonts w:cs="Arial"/>
                <w:b/>
                <w:bCs/>
                <w:color w:val="auto"/>
                <w:sz w:val="20"/>
                <w:szCs w:val="20"/>
              </w:rPr>
            </w:pPr>
          </w:p>
        </w:tc>
        <w:tc>
          <w:tcPr>
            <w:tcW w:w="1400" w:type="dxa"/>
            <w:tcBorders>
              <w:left w:val="single" w:sz="2" w:space="0" w:color="4BACC6" w:themeColor="accent5"/>
              <w:bottom w:val="single" w:sz="2" w:space="0" w:color="4BACC6" w:themeColor="accent5"/>
              <w:right w:val="single" w:sz="2" w:space="0" w:color="4BACC6" w:themeColor="accent5"/>
            </w:tcBorders>
            <w:shd w:val="clear" w:color="auto" w:fill="4BACC6" w:themeFill="accent5"/>
          </w:tcPr>
          <w:p w:rsidR="00CB7A03" w:rsidRPr="006729E1" w:rsidRDefault="00CB7A03" w:rsidP="006729E1">
            <w:pPr>
              <w:jc w:val="center"/>
              <w:cnfStyle w:val="000000100000"/>
              <w:rPr>
                <w:rFonts w:cs="Arial"/>
                <w:b/>
                <w:bCs/>
                <w:color w:val="auto"/>
                <w:sz w:val="20"/>
                <w:szCs w:val="20"/>
              </w:rPr>
            </w:pPr>
            <w:r w:rsidRPr="006729E1">
              <w:rPr>
                <w:rFonts w:cs="Arial"/>
                <w:b/>
                <w:bCs/>
                <w:color w:val="auto"/>
                <w:sz w:val="20"/>
                <w:szCs w:val="20"/>
              </w:rPr>
              <w:t>201</w:t>
            </w:r>
            <w:r w:rsidR="006729E1" w:rsidRPr="006729E1">
              <w:rPr>
                <w:rFonts w:cs="Arial"/>
                <w:b/>
                <w:bCs/>
                <w:color w:val="auto"/>
                <w:sz w:val="20"/>
                <w:szCs w:val="20"/>
              </w:rPr>
              <w:t>6</w:t>
            </w:r>
            <w:r w:rsidRPr="006729E1">
              <w:rPr>
                <w:rFonts w:cs="Arial"/>
                <w:b/>
                <w:bCs/>
                <w:color w:val="auto"/>
                <w:sz w:val="20"/>
                <w:szCs w:val="20"/>
              </w:rPr>
              <w:t>/1</w:t>
            </w:r>
            <w:r w:rsidR="006729E1" w:rsidRPr="006729E1">
              <w:rPr>
                <w:rFonts w:cs="Arial"/>
                <w:b/>
                <w:bCs/>
                <w:color w:val="auto"/>
                <w:sz w:val="20"/>
                <w:szCs w:val="20"/>
              </w:rPr>
              <w:t>7</w:t>
            </w:r>
          </w:p>
        </w:tc>
        <w:tc>
          <w:tcPr>
            <w:cnfStyle w:val="000010000000"/>
            <w:tcW w:w="1440" w:type="dxa"/>
            <w:tcBorders>
              <w:left w:val="single" w:sz="2" w:space="0" w:color="4BACC6" w:themeColor="accent5"/>
              <w:bottom w:val="single" w:sz="2" w:space="0" w:color="4BACC6" w:themeColor="accent5"/>
              <w:right w:val="single" w:sz="2" w:space="0" w:color="4BACC6" w:themeColor="accent5"/>
            </w:tcBorders>
            <w:shd w:val="clear" w:color="auto" w:fill="4BACC6" w:themeFill="accent5"/>
          </w:tcPr>
          <w:p w:rsidR="00CB7A03" w:rsidRPr="006729E1" w:rsidRDefault="00CB7A03" w:rsidP="006729E1">
            <w:pPr>
              <w:jc w:val="center"/>
              <w:rPr>
                <w:rFonts w:cs="Arial"/>
                <w:b/>
                <w:bCs/>
                <w:color w:val="auto"/>
                <w:sz w:val="20"/>
                <w:szCs w:val="20"/>
              </w:rPr>
            </w:pPr>
            <w:r w:rsidRPr="006729E1">
              <w:rPr>
                <w:rFonts w:cs="Arial"/>
                <w:b/>
                <w:bCs/>
                <w:color w:val="auto"/>
                <w:sz w:val="20"/>
                <w:szCs w:val="20"/>
              </w:rPr>
              <w:t>201</w:t>
            </w:r>
            <w:r w:rsidR="006729E1" w:rsidRPr="006729E1">
              <w:rPr>
                <w:rFonts w:cs="Arial"/>
                <w:b/>
                <w:bCs/>
                <w:color w:val="auto"/>
                <w:sz w:val="20"/>
                <w:szCs w:val="20"/>
              </w:rPr>
              <w:t>7</w:t>
            </w:r>
            <w:r w:rsidRPr="006729E1">
              <w:rPr>
                <w:rFonts w:cs="Arial"/>
                <w:b/>
                <w:bCs/>
                <w:color w:val="auto"/>
                <w:sz w:val="20"/>
                <w:szCs w:val="20"/>
              </w:rPr>
              <w:t>/1</w:t>
            </w:r>
            <w:r w:rsidR="006729E1" w:rsidRPr="006729E1">
              <w:rPr>
                <w:rFonts w:cs="Arial"/>
                <w:b/>
                <w:bCs/>
                <w:color w:val="auto"/>
                <w:sz w:val="20"/>
                <w:szCs w:val="20"/>
              </w:rPr>
              <w:t>8</w:t>
            </w:r>
          </w:p>
        </w:tc>
        <w:tc>
          <w:tcPr>
            <w:tcW w:w="1260" w:type="dxa"/>
            <w:tcBorders>
              <w:left w:val="single" w:sz="2" w:space="0" w:color="4BACC6" w:themeColor="accent5"/>
              <w:bottom w:val="single" w:sz="2" w:space="0" w:color="4BACC6" w:themeColor="accent5"/>
              <w:right w:val="single" w:sz="2" w:space="0" w:color="4BACC6" w:themeColor="accent5"/>
            </w:tcBorders>
            <w:shd w:val="clear" w:color="auto" w:fill="4BACC6" w:themeFill="accent5"/>
          </w:tcPr>
          <w:p w:rsidR="00CB7A03" w:rsidRPr="006729E1" w:rsidRDefault="00CB7A03" w:rsidP="006729E1">
            <w:pPr>
              <w:jc w:val="center"/>
              <w:cnfStyle w:val="000000100000"/>
              <w:rPr>
                <w:rFonts w:cs="Arial"/>
                <w:b/>
                <w:bCs/>
                <w:color w:val="auto"/>
                <w:sz w:val="20"/>
                <w:szCs w:val="20"/>
              </w:rPr>
            </w:pPr>
            <w:r w:rsidRPr="006729E1">
              <w:rPr>
                <w:rFonts w:cs="Arial"/>
                <w:b/>
                <w:bCs/>
                <w:color w:val="auto"/>
                <w:sz w:val="20"/>
                <w:szCs w:val="20"/>
              </w:rPr>
              <w:t>201</w:t>
            </w:r>
            <w:r w:rsidR="006729E1" w:rsidRPr="006729E1">
              <w:rPr>
                <w:rFonts w:cs="Arial"/>
                <w:b/>
                <w:bCs/>
                <w:color w:val="auto"/>
                <w:sz w:val="20"/>
                <w:szCs w:val="20"/>
              </w:rPr>
              <w:t>8</w:t>
            </w:r>
            <w:r w:rsidRPr="006729E1">
              <w:rPr>
                <w:rFonts w:cs="Arial"/>
                <w:b/>
                <w:bCs/>
                <w:color w:val="auto"/>
                <w:sz w:val="20"/>
                <w:szCs w:val="20"/>
              </w:rPr>
              <w:t>/1</w:t>
            </w:r>
            <w:r w:rsidR="006729E1" w:rsidRPr="006729E1">
              <w:rPr>
                <w:rFonts w:cs="Arial"/>
                <w:b/>
                <w:bCs/>
                <w:color w:val="auto"/>
                <w:sz w:val="20"/>
                <w:szCs w:val="20"/>
              </w:rPr>
              <w:t>9</w:t>
            </w:r>
          </w:p>
        </w:tc>
        <w:tc>
          <w:tcPr>
            <w:cnfStyle w:val="000010000000"/>
            <w:tcW w:w="1731" w:type="dxa"/>
            <w:tcBorders>
              <w:left w:val="single" w:sz="2" w:space="0" w:color="4BACC6" w:themeColor="accent5"/>
              <w:bottom w:val="single" w:sz="2" w:space="0" w:color="4BACC6" w:themeColor="accent5"/>
              <w:right w:val="single" w:sz="2" w:space="0" w:color="4BACC6" w:themeColor="accent5"/>
            </w:tcBorders>
            <w:shd w:val="clear" w:color="auto" w:fill="4BACC6" w:themeFill="accent5"/>
          </w:tcPr>
          <w:p w:rsidR="00CB7A03" w:rsidRPr="006729E1" w:rsidRDefault="00CB7A03" w:rsidP="006729E1">
            <w:pPr>
              <w:jc w:val="center"/>
              <w:rPr>
                <w:rFonts w:cs="Arial"/>
                <w:b/>
                <w:bCs/>
                <w:color w:val="auto"/>
                <w:sz w:val="20"/>
                <w:szCs w:val="20"/>
              </w:rPr>
            </w:pPr>
            <w:r w:rsidRPr="006729E1">
              <w:rPr>
                <w:rFonts w:cs="Arial"/>
                <w:b/>
                <w:bCs/>
                <w:color w:val="auto"/>
                <w:sz w:val="20"/>
                <w:szCs w:val="20"/>
              </w:rPr>
              <w:t>201</w:t>
            </w:r>
            <w:r w:rsidR="006729E1" w:rsidRPr="006729E1">
              <w:rPr>
                <w:rFonts w:cs="Arial"/>
                <w:b/>
                <w:bCs/>
                <w:color w:val="auto"/>
                <w:sz w:val="20"/>
                <w:szCs w:val="20"/>
              </w:rPr>
              <w:t>9</w:t>
            </w:r>
            <w:r w:rsidRPr="006729E1">
              <w:rPr>
                <w:rFonts w:cs="Arial"/>
                <w:b/>
                <w:bCs/>
                <w:color w:val="auto"/>
                <w:sz w:val="20"/>
                <w:szCs w:val="20"/>
              </w:rPr>
              <w:t>/</w:t>
            </w:r>
            <w:r w:rsidR="006729E1" w:rsidRPr="006729E1">
              <w:rPr>
                <w:rFonts w:cs="Arial"/>
                <w:b/>
                <w:bCs/>
                <w:color w:val="auto"/>
                <w:sz w:val="20"/>
                <w:szCs w:val="20"/>
              </w:rPr>
              <w:t>20</w:t>
            </w:r>
          </w:p>
        </w:tc>
      </w:tr>
      <w:tr w:rsidR="00CB7A03" w:rsidRPr="00D42E0B" w:rsidTr="005A4C12">
        <w:trPr>
          <w:trHeight w:hRule="exact" w:val="284"/>
        </w:trPr>
        <w:tc>
          <w:tcPr>
            <w:cnfStyle w:val="000010000000"/>
            <w:tcW w:w="3275" w:type="dxa"/>
            <w:tcBorders>
              <w:top w:val="single" w:sz="2" w:space="0" w:color="4BACC6" w:themeColor="accent5"/>
              <w:right w:val="single" w:sz="2" w:space="0" w:color="4BACC6" w:themeColor="accent5"/>
            </w:tcBorders>
            <w:shd w:val="clear" w:color="auto" w:fill="4BACC6" w:themeFill="accent5"/>
            <w:noWrap/>
          </w:tcPr>
          <w:p w:rsidR="00CB7A03" w:rsidRPr="006729E1" w:rsidRDefault="00CB7A03" w:rsidP="003D2562">
            <w:pPr>
              <w:rPr>
                <w:rFonts w:cs="Arial"/>
                <w:b/>
                <w:bCs/>
                <w:color w:val="auto"/>
                <w:sz w:val="20"/>
                <w:szCs w:val="20"/>
              </w:rPr>
            </w:pPr>
          </w:p>
        </w:tc>
        <w:tc>
          <w:tcPr>
            <w:tcW w:w="1400" w:type="dxa"/>
            <w:tcBorders>
              <w:top w:val="single" w:sz="2" w:space="0" w:color="4BACC6" w:themeColor="accent5"/>
              <w:left w:val="single" w:sz="2" w:space="0" w:color="4BACC6" w:themeColor="accent5"/>
              <w:right w:val="single" w:sz="2" w:space="0" w:color="4BACC6" w:themeColor="accent5"/>
            </w:tcBorders>
            <w:shd w:val="clear" w:color="auto" w:fill="4BACC6" w:themeFill="accent5"/>
          </w:tcPr>
          <w:p w:rsidR="00CB7A03" w:rsidRPr="006729E1" w:rsidRDefault="00CB7A03" w:rsidP="003D2562">
            <w:pPr>
              <w:jc w:val="center"/>
              <w:cnfStyle w:val="000000000000"/>
              <w:rPr>
                <w:rFonts w:cs="Arial"/>
                <w:bCs/>
                <w:color w:val="auto"/>
                <w:sz w:val="18"/>
                <w:szCs w:val="18"/>
              </w:rPr>
            </w:pPr>
            <w:r w:rsidRPr="006729E1">
              <w:rPr>
                <w:rFonts w:cs="Arial"/>
                <w:bCs/>
                <w:color w:val="auto"/>
                <w:sz w:val="18"/>
                <w:szCs w:val="18"/>
              </w:rPr>
              <w:t>£m</w:t>
            </w:r>
          </w:p>
        </w:tc>
        <w:tc>
          <w:tcPr>
            <w:cnfStyle w:val="000010000000"/>
            <w:tcW w:w="1440" w:type="dxa"/>
            <w:tcBorders>
              <w:top w:val="single" w:sz="2" w:space="0" w:color="4BACC6" w:themeColor="accent5"/>
              <w:left w:val="single" w:sz="2" w:space="0" w:color="4BACC6" w:themeColor="accent5"/>
              <w:right w:val="single" w:sz="2" w:space="0" w:color="4BACC6" w:themeColor="accent5"/>
            </w:tcBorders>
            <w:shd w:val="clear" w:color="auto" w:fill="4BACC6" w:themeFill="accent5"/>
          </w:tcPr>
          <w:p w:rsidR="00CB7A03" w:rsidRPr="006729E1" w:rsidRDefault="00CB7A03" w:rsidP="003D2562">
            <w:pPr>
              <w:jc w:val="center"/>
              <w:rPr>
                <w:rFonts w:cs="Arial"/>
                <w:bCs/>
                <w:color w:val="auto"/>
                <w:sz w:val="18"/>
                <w:szCs w:val="18"/>
              </w:rPr>
            </w:pPr>
            <w:r w:rsidRPr="006729E1">
              <w:rPr>
                <w:rFonts w:cs="Arial"/>
                <w:bCs/>
                <w:color w:val="auto"/>
                <w:sz w:val="18"/>
                <w:szCs w:val="18"/>
              </w:rPr>
              <w:t>£m</w:t>
            </w:r>
          </w:p>
        </w:tc>
        <w:tc>
          <w:tcPr>
            <w:tcW w:w="1260" w:type="dxa"/>
            <w:tcBorders>
              <w:top w:val="single" w:sz="2" w:space="0" w:color="4BACC6" w:themeColor="accent5"/>
              <w:left w:val="single" w:sz="2" w:space="0" w:color="4BACC6" w:themeColor="accent5"/>
              <w:right w:val="single" w:sz="2" w:space="0" w:color="4BACC6" w:themeColor="accent5"/>
            </w:tcBorders>
            <w:shd w:val="clear" w:color="auto" w:fill="4BACC6" w:themeFill="accent5"/>
          </w:tcPr>
          <w:p w:rsidR="00CB7A03" w:rsidRPr="006729E1" w:rsidRDefault="00CB7A03" w:rsidP="003D2562">
            <w:pPr>
              <w:jc w:val="center"/>
              <w:cnfStyle w:val="000000000000"/>
              <w:rPr>
                <w:rFonts w:cs="Arial"/>
                <w:bCs/>
                <w:color w:val="auto"/>
                <w:sz w:val="18"/>
                <w:szCs w:val="18"/>
              </w:rPr>
            </w:pPr>
            <w:r w:rsidRPr="006729E1">
              <w:rPr>
                <w:rFonts w:cs="Arial"/>
                <w:bCs/>
                <w:color w:val="auto"/>
                <w:sz w:val="18"/>
                <w:szCs w:val="18"/>
              </w:rPr>
              <w:t>£m</w:t>
            </w:r>
          </w:p>
        </w:tc>
        <w:tc>
          <w:tcPr>
            <w:cnfStyle w:val="000010000000"/>
            <w:tcW w:w="1731" w:type="dxa"/>
            <w:tcBorders>
              <w:top w:val="single" w:sz="2" w:space="0" w:color="4BACC6" w:themeColor="accent5"/>
              <w:left w:val="single" w:sz="2" w:space="0" w:color="4BACC6" w:themeColor="accent5"/>
              <w:right w:val="single" w:sz="2" w:space="0" w:color="4BACC6" w:themeColor="accent5"/>
            </w:tcBorders>
            <w:shd w:val="clear" w:color="auto" w:fill="4BACC6" w:themeFill="accent5"/>
          </w:tcPr>
          <w:p w:rsidR="00CB7A03" w:rsidRPr="006729E1" w:rsidRDefault="00CB7A03" w:rsidP="00913796">
            <w:pPr>
              <w:jc w:val="center"/>
              <w:rPr>
                <w:rFonts w:cs="Arial"/>
                <w:bCs/>
                <w:color w:val="auto"/>
                <w:sz w:val="18"/>
                <w:szCs w:val="18"/>
              </w:rPr>
            </w:pPr>
            <w:r w:rsidRPr="006729E1">
              <w:rPr>
                <w:rFonts w:cs="Arial"/>
                <w:bCs/>
                <w:color w:val="auto"/>
                <w:sz w:val="18"/>
                <w:szCs w:val="18"/>
              </w:rPr>
              <w:t>£m</w:t>
            </w:r>
          </w:p>
        </w:tc>
      </w:tr>
      <w:tr w:rsidR="00CB7A03" w:rsidRPr="00D42E0B" w:rsidTr="005A4C12">
        <w:trPr>
          <w:cnfStyle w:val="000000100000"/>
          <w:trHeight w:hRule="exact" w:val="284"/>
        </w:trPr>
        <w:tc>
          <w:tcPr>
            <w:cnfStyle w:val="000010000000"/>
            <w:tcW w:w="3275" w:type="dxa"/>
            <w:tcBorders>
              <w:right w:val="single" w:sz="2" w:space="0" w:color="4BACC6" w:themeColor="accent5"/>
            </w:tcBorders>
            <w:shd w:val="clear" w:color="auto" w:fill="auto"/>
            <w:noWrap/>
          </w:tcPr>
          <w:p w:rsidR="00CB7A03" w:rsidRPr="006729E1" w:rsidRDefault="00CB7A03" w:rsidP="003D2562">
            <w:pPr>
              <w:rPr>
                <w:rFonts w:cs="Arial"/>
                <w:color w:val="auto"/>
                <w:sz w:val="20"/>
                <w:szCs w:val="20"/>
              </w:rPr>
            </w:pPr>
            <w:r w:rsidRPr="006729E1">
              <w:rPr>
                <w:rFonts w:cs="Arial"/>
                <w:color w:val="auto"/>
                <w:sz w:val="20"/>
                <w:szCs w:val="20"/>
              </w:rPr>
              <w:t>Total</w:t>
            </w:r>
            <w:r w:rsidR="001B4E2D" w:rsidRPr="006729E1">
              <w:rPr>
                <w:rFonts w:cs="Arial"/>
                <w:color w:val="auto"/>
                <w:sz w:val="20"/>
                <w:szCs w:val="20"/>
              </w:rPr>
              <w:t xml:space="preserve"> Capital Expenditure</w:t>
            </w:r>
          </w:p>
        </w:tc>
        <w:tc>
          <w:tcPr>
            <w:tcW w:w="1400" w:type="dxa"/>
            <w:tcBorders>
              <w:left w:val="single" w:sz="2" w:space="0" w:color="4BACC6" w:themeColor="accent5"/>
              <w:right w:val="single" w:sz="2" w:space="0" w:color="4BACC6" w:themeColor="accent5"/>
            </w:tcBorders>
            <w:shd w:val="clear" w:color="auto" w:fill="auto"/>
          </w:tcPr>
          <w:p w:rsidR="00CB7A03" w:rsidRPr="006729E1" w:rsidRDefault="006729E1" w:rsidP="006729E1">
            <w:pPr>
              <w:jc w:val="center"/>
              <w:cnfStyle w:val="000000100000"/>
              <w:rPr>
                <w:rFonts w:cs="Arial"/>
                <w:color w:val="auto"/>
                <w:sz w:val="20"/>
                <w:szCs w:val="20"/>
              </w:rPr>
            </w:pPr>
            <w:r w:rsidRPr="006729E1">
              <w:rPr>
                <w:rFonts w:cs="Arial"/>
                <w:color w:val="auto"/>
                <w:sz w:val="20"/>
                <w:szCs w:val="20"/>
              </w:rPr>
              <w:t>41</w:t>
            </w:r>
          </w:p>
        </w:tc>
        <w:tc>
          <w:tcPr>
            <w:cnfStyle w:val="000010000000"/>
            <w:tcW w:w="1440" w:type="dxa"/>
            <w:tcBorders>
              <w:left w:val="single" w:sz="2" w:space="0" w:color="4BACC6" w:themeColor="accent5"/>
              <w:right w:val="single" w:sz="2" w:space="0" w:color="4BACC6" w:themeColor="accent5"/>
            </w:tcBorders>
            <w:shd w:val="clear" w:color="auto" w:fill="auto"/>
          </w:tcPr>
          <w:p w:rsidR="00CB7A03" w:rsidRPr="006729E1" w:rsidRDefault="006729E1" w:rsidP="006729E1">
            <w:pPr>
              <w:jc w:val="center"/>
              <w:rPr>
                <w:rFonts w:cs="Arial"/>
                <w:color w:val="auto"/>
                <w:sz w:val="20"/>
                <w:szCs w:val="20"/>
              </w:rPr>
            </w:pPr>
            <w:r w:rsidRPr="006729E1">
              <w:rPr>
                <w:rFonts w:cs="Arial"/>
                <w:color w:val="auto"/>
                <w:sz w:val="20"/>
                <w:szCs w:val="20"/>
              </w:rPr>
              <w:t>23</w:t>
            </w:r>
          </w:p>
        </w:tc>
        <w:tc>
          <w:tcPr>
            <w:tcW w:w="1260" w:type="dxa"/>
            <w:tcBorders>
              <w:left w:val="single" w:sz="2" w:space="0" w:color="4BACC6" w:themeColor="accent5"/>
            </w:tcBorders>
            <w:shd w:val="clear" w:color="auto" w:fill="auto"/>
          </w:tcPr>
          <w:p w:rsidR="00CB7A03" w:rsidRPr="006729E1" w:rsidRDefault="006729E1" w:rsidP="006729E1">
            <w:pPr>
              <w:jc w:val="center"/>
              <w:cnfStyle w:val="000000100000"/>
              <w:rPr>
                <w:rFonts w:cs="Arial"/>
                <w:color w:val="auto"/>
                <w:sz w:val="20"/>
                <w:szCs w:val="20"/>
              </w:rPr>
            </w:pPr>
            <w:r w:rsidRPr="006729E1">
              <w:rPr>
                <w:rFonts w:cs="Arial"/>
                <w:color w:val="auto"/>
                <w:sz w:val="20"/>
                <w:szCs w:val="20"/>
              </w:rPr>
              <w:t>7</w:t>
            </w:r>
            <w:r w:rsidR="004F0447" w:rsidRPr="006729E1">
              <w:rPr>
                <w:rFonts w:cs="Arial"/>
                <w:color w:val="auto"/>
                <w:sz w:val="20"/>
                <w:szCs w:val="20"/>
              </w:rPr>
              <w:t>1</w:t>
            </w:r>
          </w:p>
        </w:tc>
        <w:tc>
          <w:tcPr>
            <w:cnfStyle w:val="000010000000"/>
            <w:tcW w:w="1731" w:type="dxa"/>
            <w:tcBorders>
              <w:right w:val="single" w:sz="2" w:space="0" w:color="4BACC6" w:themeColor="accent5"/>
            </w:tcBorders>
            <w:shd w:val="clear" w:color="auto" w:fill="auto"/>
          </w:tcPr>
          <w:p w:rsidR="00CB7A03" w:rsidRPr="006729E1" w:rsidRDefault="004F0447" w:rsidP="00913796">
            <w:pPr>
              <w:jc w:val="center"/>
              <w:rPr>
                <w:rFonts w:cs="Arial"/>
                <w:color w:val="auto"/>
                <w:sz w:val="20"/>
                <w:szCs w:val="20"/>
              </w:rPr>
            </w:pPr>
            <w:r w:rsidRPr="006729E1">
              <w:rPr>
                <w:rFonts w:cs="Arial"/>
                <w:color w:val="auto"/>
                <w:sz w:val="20"/>
                <w:szCs w:val="20"/>
              </w:rPr>
              <w:t>n/a</w:t>
            </w:r>
          </w:p>
        </w:tc>
      </w:tr>
    </w:tbl>
    <w:p w:rsidR="00EE7549" w:rsidRPr="00D42E0B" w:rsidRDefault="00EE7549" w:rsidP="00F31A9D">
      <w:pPr>
        <w:pStyle w:val="BodyText"/>
        <w:widowControl w:val="0"/>
        <w:rPr>
          <w:rFonts w:cs="Arial"/>
          <w:color w:val="548DD4" w:themeColor="text2" w:themeTint="99"/>
          <w:sz w:val="20"/>
          <w:szCs w:val="20"/>
          <w:u w:val="single"/>
        </w:rPr>
      </w:pPr>
    </w:p>
    <w:p w:rsidR="00E51139" w:rsidRPr="001B02AC" w:rsidRDefault="00E51139" w:rsidP="00F31A9D">
      <w:pPr>
        <w:pStyle w:val="BodyText"/>
        <w:widowControl w:val="0"/>
        <w:rPr>
          <w:rFonts w:cs="Arial"/>
          <w:color w:val="auto"/>
          <w:sz w:val="20"/>
          <w:szCs w:val="20"/>
          <w:u w:val="single"/>
        </w:rPr>
      </w:pPr>
      <w:r w:rsidRPr="001B02AC">
        <w:rPr>
          <w:rFonts w:cs="Arial"/>
          <w:color w:val="auto"/>
          <w:sz w:val="20"/>
          <w:szCs w:val="20"/>
          <w:u w:val="single"/>
        </w:rPr>
        <w:t>Borrowing &amp; Investments</w:t>
      </w:r>
    </w:p>
    <w:p w:rsidR="008B6BCA" w:rsidRDefault="00E51139" w:rsidP="00F31A9D">
      <w:pPr>
        <w:pStyle w:val="BodyText"/>
        <w:widowControl w:val="0"/>
        <w:rPr>
          <w:rFonts w:cs="Arial"/>
          <w:color w:val="auto"/>
          <w:sz w:val="20"/>
          <w:szCs w:val="20"/>
        </w:rPr>
      </w:pPr>
      <w:r w:rsidRPr="001B02AC">
        <w:rPr>
          <w:rFonts w:cs="Arial"/>
          <w:color w:val="auto"/>
          <w:sz w:val="20"/>
          <w:szCs w:val="20"/>
        </w:rPr>
        <w:t>The Council undertakes borrowing to support its capital expenditure. As at 31</w:t>
      </w:r>
      <w:r w:rsidRPr="001B02AC">
        <w:rPr>
          <w:rFonts w:cs="Arial"/>
          <w:color w:val="auto"/>
          <w:sz w:val="20"/>
          <w:szCs w:val="20"/>
          <w:vertAlign w:val="superscript"/>
        </w:rPr>
        <w:t>st</w:t>
      </w:r>
      <w:r w:rsidRPr="001B02AC">
        <w:rPr>
          <w:rFonts w:cs="Arial"/>
          <w:color w:val="auto"/>
          <w:sz w:val="20"/>
          <w:szCs w:val="20"/>
        </w:rPr>
        <w:t xml:space="preserve"> March 201</w:t>
      </w:r>
      <w:r w:rsidR="001B02AC" w:rsidRPr="001B02AC">
        <w:rPr>
          <w:rFonts w:cs="Arial"/>
          <w:color w:val="auto"/>
          <w:sz w:val="20"/>
          <w:szCs w:val="20"/>
        </w:rPr>
        <w:t>6</w:t>
      </w:r>
      <w:r w:rsidRPr="001B02AC">
        <w:rPr>
          <w:rFonts w:cs="Arial"/>
          <w:color w:val="auto"/>
          <w:sz w:val="20"/>
          <w:szCs w:val="20"/>
        </w:rPr>
        <w:t xml:space="preserve"> the Council had £</w:t>
      </w:r>
      <w:r w:rsidR="000C74E7" w:rsidRPr="001B02AC">
        <w:rPr>
          <w:rFonts w:cs="Arial"/>
          <w:color w:val="auto"/>
          <w:sz w:val="20"/>
          <w:szCs w:val="20"/>
        </w:rPr>
        <w:t>138</w:t>
      </w:r>
      <w:r w:rsidRPr="001B02AC">
        <w:rPr>
          <w:rFonts w:cs="Arial"/>
          <w:color w:val="auto"/>
          <w:sz w:val="20"/>
          <w:szCs w:val="20"/>
        </w:rPr>
        <w:t>m of borrowing, primarily from the Public Works Loans Board. In addition it had a long term liability of £</w:t>
      </w:r>
      <w:r w:rsidR="001E7D6A" w:rsidRPr="001B02AC">
        <w:rPr>
          <w:rFonts w:cs="Arial"/>
          <w:color w:val="auto"/>
          <w:sz w:val="20"/>
          <w:szCs w:val="20"/>
        </w:rPr>
        <w:t>8</w:t>
      </w:r>
      <w:r w:rsidRPr="001B02AC">
        <w:rPr>
          <w:rFonts w:cs="Arial"/>
          <w:color w:val="auto"/>
          <w:sz w:val="20"/>
          <w:szCs w:val="20"/>
        </w:rPr>
        <w:t xml:space="preserve">m to the PFI contractor for </w:t>
      </w:r>
      <w:r w:rsidR="001B02AC" w:rsidRPr="001B02AC">
        <w:rPr>
          <w:rFonts w:cs="Arial"/>
          <w:color w:val="auto"/>
          <w:sz w:val="20"/>
          <w:szCs w:val="20"/>
        </w:rPr>
        <w:t xml:space="preserve">The Spires (formerly </w:t>
      </w:r>
      <w:r w:rsidRPr="001B02AC">
        <w:rPr>
          <w:rFonts w:cs="Arial"/>
          <w:color w:val="auto"/>
          <w:sz w:val="20"/>
          <w:szCs w:val="20"/>
        </w:rPr>
        <w:t>Westlands</w:t>
      </w:r>
      <w:r w:rsidR="001B02AC" w:rsidRPr="001B02AC">
        <w:rPr>
          <w:rFonts w:cs="Arial"/>
          <w:color w:val="auto"/>
          <w:sz w:val="20"/>
          <w:szCs w:val="20"/>
        </w:rPr>
        <w:t>)</w:t>
      </w:r>
      <w:r w:rsidRPr="001B02AC">
        <w:rPr>
          <w:rFonts w:cs="Arial"/>
          <w:color w:val="auto"/>
          <w:sz w:val="20"/>
          <w:szCs w:val="20"/>
        </w:rPr>
        <w:t xml:space="preserve"> and Homelands schools</w:t>
      </w:r>
      <w:r w:rsidR="001B02AC">
        <w:rPr>
          <w:rFonts w:cs="Arial"/>
          <w:color w:val="auto"/>
          <w:sz w:val="20"/>
          <w:szCs w:val="20"/>
        </w:rPr>
        <w:t xml:space="preserve"> and </w:t>
      </w:r>
      <w:r w:rsidR="00105233">
        <w:rPr>
          <w:rFonts w:cs="Arial"/>
          <w:color w:val="auto"/>
          <w:sz w:val="20"/>
          <w:szCs w:val="20"/>
        </w:rPr>
        <w:t xml:space="preserve">a new liability of </w:t>
      </w:r>
      <w:r w:rsidR="001B02AC">
        <w:rPr>
          <w:rFonts w:cs="Arial"/>
          <w:color w:val="auto"/>
          <w:sz w:val="20"/>
          <w:szCs w:val="20"/>
        </w:rPr>
        <w:t>£33m in relation to the Council’s share of the Energy From Waste Facility in Plymouth.</w:t>
      </w:r>
      <w:r w:rsidRPr="00D42E0B">
        <w:rPr>
          <w:rFonts w:cs="Arial"/>
          <w:color w:val="548DD4" w:themeColor="text2" w:themeTint="99"/>
          <w:sz w:val="20"/>
          <w:szCs w:val="20"/>
        </w:rPr>
        <w:t xml:space="preserve"> </w:t>
      </w:r>
      <w:r w:rsidRPr="00B4253F">
        <w:rPr>
          <w:rFonts w:cs="Arial"/>
          <w:color w:val="auto"/>
          <w:sz w:val="20"/>
          <w:szCs w:val="20"/>
        </w:rPr>
        <w:t>The Council had £</w:t>
      </w:r>
      <w:r w:rsidR="00B4253F" w:rsidRPr="00B4253F">
        <w:rPr>
          <w:rFonts w:cs="Arial"/>
          <w:color w:val="auto"/>
          <w:sz w:val="20"/>
          <w:szCs w:val="20"/>
        </w:rPr>
        <w:t>54</w:t>
      </w:r>
      <w:r w:rsidRPr="00B4253F">
        <w:rPr>
          <w:rFonts w:cs="Arial"/>
          <w:color w:val="auto"/>
          <w:sz w:val="20"/>
          <w:szCs w:val="20"/>
        </w:rPr>
        <w:t xml:space="preserve">m </w:t>
      </w:r>
      <w:r w:rsidR="00B4253F" w:rsidRPr="00B4253F">
        <w:rPr>
          <w:rFonts w:cs="Arial"/>
          <w:color w:val="auto"/>
          <w:sz w:val="20"/>
          <w:szCs w:val="20"/>
        </w:rPr>
        <w:t xml:space="preserve">(14/15 £69m) </w:t>
      </w:r>
      <w:r w:rsidRPr="00B4253F">
        <w:rPr>
          <w:rFonts w:cs="Arial"/>
          <w:color w:val="auto"/>
          <w:sz w:val="20"/>
          <w:szCs w:val="20"/>
        </w:rPr>
        <w:t xml:space="preserve">of </w:t>
      </w:r>
      <w:r w:rsidR="001F0D49" w:rsidRPr="00B4253F">
        <w:rPr>
          <w:rFonts w:cs="Arial"/>
          <w:color w:val="auto"/>
          <w:sz w:val="20"/>
          <w:szCs w:val="20"/>
        </w:rPr>
        <w:t xml:space="preserve">cash </w:t>
      </w:r>
      <w:r w:rsidRPr="00B4253F">
        <w:rPr>
          <w:rFonts w:cs="Arial"/>
          <w:color w:val="auto"/>
          <w:sz w:val="20"/>
          <w:szCs w:val="20"/>
        </w:rPr>
        <w:t xml:space="preserve">investments at year end with a net debt position of </w:t>
      </w:r>
      <w:r w:rsidR="00B4253F" w:rsidRPr="00B4253F">
        <w:rPr>
          <w:rFonts w:cs="Arial"/>
          <w:color w:val="auto"/>
          <w:sz w:val="20"/>
          <w:szCs w:val="20"/>
        </w:rPr>
        <w:t xml:space="preserve">£125m (14/15 </w:t>
      </w:r>
      <w:r w:rsidRPr="00B4253F">
        <w:rPr>
          <w:rFonts w:cs="Arial"/>
          <w:color w:val="auto"/>
          <w:sz w:val="20"/>
          <w:szCs w:val="20"/>
        </w:rPr>
        <w:t>£</w:t>
      </w:r>
      <w:r w:rsidR="001E7D6A" w:rsidRPr="00B4253F">
        <w:rPr>
          <w:rFonts w:cs="Arial"/>
          <w:color w:val="auto"/>
          <w:sz w:val="20"/>
          <w:szCs w:val="20"/>
        </w:rPr>
        <w:t>77</w:t>
      </w:r>
      <w:r w:rsidR="00FB55B3" w:rsidRPr="00B4253F">
        <w:rPr>
          <w:rFonts w:cs="Arial"/>
          <w:color w:val="auto"/>
          <w:sz w:val="20"/>
          <w:szCs w:val="20"/>
        </w:rPr>
        <w:t>m</w:t>
      </w:r>
      <w:r w:rsidR="00B4253F" w:rsidRPr="00B4253F">
        <w:rPr>
          <w:rFonts w:cs="Arial"/>
          <w:color w:val="auto"/>
          <w:sz w:val="20"/>
          <w:szCs w:val="20"/>
        </w:rPr>
        <w:t>)</w:t>
      </w:r>
      <w:r w:rsidRPr="00B4253F">
        <w:rPr>
          <w:rFonts w:cs="Arial"/>
          <w:color w:val="auto"/>
          <w:sz w:val="20"/>
          <w:szCs w:val="20"/>
        </w:rPr>
        <w:t>. The</w:t>
      </w:r>
      <w:r w:rsidRPr="00EC4184">
        <w:rPr>
          <w:rFonts w:cs="Arial"/>
          <w:color w:val="auto"/>
          <w:sz w:val="20"/>
          <w:szCs w:val="20"/>
        </w:rPr>
        <w:t xml:space="preserve"> control over the level of Council borrowing is supported by the Prudential Code where the Council has to set limits in relation to its treasury management including limits for long term borrowing and liabilities to ensure that this is prudent and affordable. One of these indicators is a calculation called the Capital Financing Requirement which shows the Council’s underlying need to borrow based on previous decisions on capital expenditure and borrowing offset by any repayment of principal made or other capital funding used.  The key figures, in relation to borrowing and capital financing, are as follows:</w:t>
      </w:r>
    </w:p>
    <w:tbl>
      <w:tblPr>
        <w:tblStyle w:val="ListTable4-Accent51"/>
        <w:tblW w:w="9214" w:type="dxa"/>
        <w:tblInd w:w="108" w:type="dxa"/>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Look w:val="01E0"/>
      </w:tblPr>
      <w:tblGrid>
        <w:gridCol w:w="5637"/>
        <w:gridCol w:w="1858"/>
        <w:gridCol w:w="1719"/>
      </w:tblGrid>
      <w:tr w:rsidR="00841ADB" w:rsidRPr="00EC4184" w:rsidTr="001A3F09">
        <w:trPr>
          <w:cnfStyle w:val="100000000000"/>
          <w:trHeight w:hRule="exact" w:val="460"/>
        </w:trPr>
        <w:tc>
          <w:tcPr>
            <w:cnfStyle w:val="001000000000"/>
            <w:tcW w:w="5637" w:type="dxa"/>
            <w:shd w:val="clear" w:color="auto" w:fill="auto"/>
          </w:tcPr>
          <w:p w:rsidR="00913796" w:rsidRPr="00EC4184" w:rsidRDefault="00913796" w:rsidP="00200444">
            <w:pPr>
              <w:pStyle w:val="BodyText"/>
              <w:widowControl w:val="0"/>
              <w:rPr>
                <w:rFonts w:cs="Arial"/>
                <w:b w:val="0"/>
                <w:color w:val="auto"/>
                <w:sz w:val="20"/>
                <w:szCs w:val="20"/>
              </w:rPr>
            </w:pPr>
          </w:p>
        </w:tc>
        <w:tc>
          <w:tcPr>
            <w:cnfStyle w:val="000010000000"/>
            <w:tcW w:w="1858" w:type="dxa"/>
            <w:shd w:val="clear" w:color="auto" w:fill="auto"/>
          </w:tcPr>
          <w:p w:rsidR="00841ADB" w:rsidRPr="00EC4184" w:rsidRDefault="00841ADB" w:rsidP="009864A7">
            <w:pPr>
              <w:pStyle w:val="BodyText"/>
              <w:widowControl w:val="0"/>
              <w:jc w:val="center"/>
              <w:rPr>
                <w:rFonts w:cs="Arial"/>
                <w:b w:val="0"/>
                <w:color w:val="auto"/>
                <w:sz w:val="20"/>
                <w:szCs w:val="20"/>
              </w:rPr>
            </w:pPr>
            <w:r w:rsidRPr="00EC4184">
              <w:rPr>
                <w:rFonts w:cs="Arial"/>
                <w:b w:val="0"/>
                <w:color w:val="auto"/>
                <w:sz w:val="20"/>
                <w:szCs w:val="20"/>
              </w:rPr>
              <w:t>31</w:t>
            </w:r>
            <w:r w:rsidRPr="00EC4184">
              <w:rPr>
                <w:rFonts w:cs="Arial"/>
                <w:b w:val="0"/>
                <w:color w:val="auto"/>
                <w:sz w:val="20"/>
                <w:szCs w:val="20"/>
                <w:vertAlign w:val="superscript"/>
              </w:rPr>
              <w:t>st</w:t>
            </w:r>
            <w:r w:rsidRPr="00EC4184">
              <w:rPr>
                <w:rFonts w:cs="Arial"/>
                <w:b w:val="0"/>
                <w:color w:val="auto"/>
                <w:sz w:val="20"/>
                <w:szCs w:val="20"/>
              </w:rPr>
              <w:t xml:space="preserve"> March 201</w:t>
            </w:r>
            <w:r w:rsidR="00BB24CD" w:rsidRPr="00EC4184">
              <w:rPr>
                <w:rFonts w:cs="Arial"/>
                <w:b w:val="0"/>
                <w:color w:val="auto"/>
                <w:sz w:val="20"/>
                <w:szCs w:val="20"/>
              </w:rPr>
              <w:t>5</w:t>
            </w:r>
            <w:r w:rsidRPr="00EC4184">
              <w:rPr>
                <w:rFonts w:cs="Arial"/>
                <w:b w:val="0"/>
                <w:color w:val="auto"/>
                <w:sz w:val="20"/>
                <w:szCs w:val="20"/>
              </w:rPr>
              <w:t xml:space="preserve"> £m</w:t>
            </w:r>
          </w:p>
          <w:p w:rsidR="00913796" w:rsidRPr="00EC4184" w:rsidRDefault="00841ADB" w:rsidP="009864A7">
            <w:pPr>
              <w:pStyle w:val="BodyText"/>
              <w:widowControl w:val="0"/>
              <w:jc w:val="center"/>
              <w:rPr>
                <w:rFonts w:cs="Arial"/>
                <w:b w:val="0"/>
                <w:color w:val="auto"/>
                <w:sz w:val="20"/>
                <w:szCs w:val="20"/>
              </w:rPr>
            </w:pPr>
            <w:r w:rsidRPr="00EC4184">
              <w:rPr>
                <w:rFonts w:cs="Arial"/>
                <w:b w:val="0"/>
                <w:color w:val="auto"/>
                <w:sz w:val="20"/>
                <w:szCs w:val="20"/>
              </w:rPr>
              <w:t>2014</w:t>
            </w:r>
            <w:r w:rsidR="00913796" w:rsidRPr="00EC4184">
              <w:rPr>
                <w:rFonts w:cs="Arial"/>
                <w:b w:val="0"/>
                <w:color w:val="auto"/>
                <w:sz w:val="20"/>
                <w:szCs w:val="20"/>
              </w:rPr>
              <w:t xml:space="preserve"> £m</w:t>
            </w:r>
          </w:p>
        </w:tc>
        <w:tc>
          <w:tcPr>
            <w:cnfStyle w:val="000100000000"/>
            <w:tcW w:w="1719" w:type="dxa"/>
            <w:shd w:val="clear" w:color="auto" w:fill="auto"/>
          </w:tcPr>
          <w:p w:rsidR="00913796" w:rsidRPr="00EC4184" w:rsidRDefault="00913796" w:rsidP="00BB24CD">
            <w:pPr>
              <w:pStyle w:val="BodyText"/>
              <w:widowControl w:val="0"/>
              <w:jc w:val="center"/>
              <w:rPr>
                <w:rFonts w:cs="Arial"/>
                <w:color w:val="auto"/>
                <w:sz w:val="20"/>
                <w:szCs w:val="20"/>
              </w:rPr>
            </w:pPr>
            <w:r w:rsidRPr="00EC4184">
              <w:rPr>
                <w:rFonts w:cs="Arial"/>
                <w:color w:val="auto"/>
                <w:sz w:val="20"/>
                <w:szCs w:val="20"/>
              </w:rPr>
              <w:t>31</w:t>
            </w:r>
            <w:r w:rsidR="00841ADB" w:rsidRPr="00EC4184">
              <w:rPr>
                <w:rFonts w:cs="Arial"/>
                <w:color w:val="auto"/>
                <w:sz w:val="20"/>
                <w:szCs w:val="20"/>
                <w:vertAlign w:val="superscript"/>
              </w:rPr>
              <w:t>st</w:t>
            </w:r>
            <w:r w:rsidR="00841ADB" w:rsidRPr="00EC4184">
              <w:rPr>
                <w:rFonts w:cs="Arial"/>
                <w:color w:val="auto"/>
                <w:sz w:val="20"/>
                <w:szCs w:val="20"/>
              </w:rPr>
              <w:t xml:space="preserve"> March 201</w:t>
            </w:r>
            <w:r w:rsidR="00BB24CD" w:rsidRPr="00EC4184">
              <w:rPr>
                <w:rFonts w:cs="Arial"/>
                <w:color w:val="auto"/>
                <w:sz w:val="20"/>
                <w:szCs w:val="20"/>
              </w:rPr>
              <w:t>6</w:t>
            </w:r>
            <w:r w:rsidRPr="00EC4184">
              <w:rPr>
                <w:rFonts w:cs="Arial"/>
                <w:color w:val="auto"/>
                <w:sz w:val="20"/>
                <w:szCs w:val="20"/>
              </w:rPr>
              <w:t xml:space="preserve"> £m</w:t>
            </w:r>
          </w:p>
        </w:tc>
      </w:tr>
      <w:tr w:rsidR="00841ADB" w:rsidRPr="00D42E0B" w:rsidTr="001A3F09">
        <w:trPr>
          <w:cnfStyle w:val="000000100000"/>
          <w:trHeight w:hRule="exact" w:val="284"/>
        </w:trPr>
        <w:tc>
          <w:tcPr>
            <w:cnfStyle w:val="001000000000"/>
            <w:tcW w:w="5637" w:type="dxa"/>
            <w:shd w:val="clear" w:color="auto" w:fill="auto"/>
          </w:tcPr>
          <w:p w:rsidR="00841ADB" w:rsidRPr="00EC4184" w:rsidRDefault="00841ADB" w:rsidP="00200444">
            <w:pPr>
              <w:pStyle w:val="BodyText"/>
              <w:widowControl w:val="0"/>
              <w:rPr>
                <w:rFonts w:cs="Arial"/>
                <w:color w:val="auto"/>
                <w:sz w:val="20"/>
                <w:szCs w:val="20"/>
              </w:rPr>
            </w:pPr>
            <w:r w:rsidRPr="00EC4184">
              <w:rPr>
                <w:rFonts w:cs="Arial"/>
                <w:color w:val="auto"/>
                <w:sz w:val="20"/>
                <w:szCs w:val="20"/>
              </w:rPr>
              <w:t>Balance Sheet Values: (principal)</w:t>
            </w:r>
          </w:p>
        </w:tc>
        <w:tc>
          <w:tcPr>
            <w:cnfStyle w:val="000010000000"/>
            <w:tcW w:w="1858" w:type="dxa"/>
            <w:shd w:val="clear" w:color="auto" w:fill="auto"/>
          </w:tcPr>
          <w:p w:rsidR="00841ADB" w:rsidRPr="00EC4184" w:rsidRDefault="00841ADB" w:rsidP="009864A7">
            <w:pPr>
              <w:pStyle w:val="BodyText"/>
              <w:widowControl w:val="0"/>
              <w:jc w:val="center"/>
              <w:rPr>
                <w:rFonts w:cs="Arial"/>
                <w:color w:val="auto"/>
                <w:sz w:val="20"/>
                <w:szCs w:val="20"/>
              </w:rPr>
            </w:pPr>
          </w:p>
        </w:tc>
        <w:tc>
          <w:tcPr>
            <w:cnfStyle w:val="000100000000"/>
            <w:tcW w:w="1719" w:type="dxa"/>
            <w:shd w:val="clear" w:color="auto" w:fill="auto"/>
          </w:tcPr>
          <w:p w:rsidR="00841ADB" w:rsidRPr="00D42E0B" w:rsidRDefault="00841ADB" w:rsidP="00913796">
            <w:pPr>
              <w:pStyle w:val="BodyText"/>
              <w:widowControl w:val="0"/>
              <w:jc w:val="center"/>
              <w:rPr>
                <w:rFonts w:cs="Arial"/>
                <w:b w:val="0"/>
                <w:color w:val="548DD4" w:themeColor="text2" w:themeTint="99"/>
                <w:sz w:val="20"/>
                <w:szCs w:val="20"/>
              </w:rPr>
            </w:pPr>
          </w:p>
        </w:tc>
      </w:tr>
      <w:tr w:rsidR="009864A7" w:rsidRPr="00D42E0B" w:rsidTr="001A3F09">
        <w:trPr>
          <w:trHeight w:hRule="exact" w:val="284"/>
        </w:trPr>
        <w:tc>
          <w:tcPr>
            <w:cnfStyle w:val="001000000000"/>
            <w:tcW w:w="5637" w:type="dxa"/>
            <w:shd w:val="clear" w:color="auto" w:fill="auto"/>
          </w:tcPr>
          <w:p w:rsidR="009864A7" w:rsidRPr="00EC4184" w:rsidRDefault="009864A7" w:rsidP="00200444">
            <w:pPr>
              <w:pStyle w:val="BodyText"/>
              <w:widowControl w:val="0"/>
              <w:rPr>
                <w:rFonts w:cs="Arial"/>
                <w:b w:val="0"/>
                <w:color w:val="auto"/>
                <w:sz w:val="20"/>
                <w:szCs w:val="20"/>
              </w:rPr>
            </w:pPr>
            <w:r w:rsidRPr="00EC4184">
              <w:rPr>
                <w:rFonts w:cs="Arial"/>
                <w:b w:val="0"/>
                <w:color w:val="auto"/>
                <w:sz w:val="20"/>
                <w:szCs w:val="20"/>
              </w:rPr>
              <w:t>External Borrowing *</w:t>
            </w:r>
          </w:p>
        </w:tc>
        <w:tc>
          <w:tcPr>
            <w:cnfStyle w:val="000010000000"/>
            <w:tcW w:w="1858" w:type="dxa"/>
            <w:shd w:val="clear" w:color="auto" w:fill="auto"/>
          </w:tcPr>
          <w:p w:rsidR="009864A7" w:rsidRPr="00EC4184" w:rsidRDefault="009864A7" w:rsidP="009864A7">
            <w:pPr>
              <w:pStyle w:val="BodyText"/>
              <w:widowControl w:val="0"/>
              <w:jc w:val="center"/>
              <w:rPr>
                <w:rFonts w:cs="Arial"/>
                <w:color w:val="auto"/>
                <w:sz w:val="20"/>
                <w:szCs w:val="20"/>
              </w:rPr>
            </w:pPr>
            <w:r w:rsidRPr="00EC4184">
              <w:rPr>
                <w:rFonts w:cs="Arial"/>
                <w:color w:val="auto"/>
                <w:sz w:val="20"/>
                <w:szCs w:val="20"/>
              </w:rPr>
              <w:t>138</w:t>
            </w:r>
          </w:p>
        </w:tc>
        <w:tc>
          <w:tcPr>
            <w:cnfStyle w:val="000100000000"/>
            <w:tcW w:w="1719" w:type="dxa"/>
            <w:shd w:val="clear" w:color="auto" w:fill="auto"/>
          </w:tcPr>
          <w:p w:rsidR="009864A7" w:rsidRPr="005A0C40" w:rsidRDefault="005A0C40" w:rsidP="00913796">
            <w:pPr>
              <w:pStyle w:val="BodyText"/>
              <w:widowControl w:val="0"/>
              <w:jc w:val="center"/>
              <w:rPr>
                <w:rFonts w:cs="Arial"/>
                <w:b w:val="0"/>
                <w:color w:val="auto"/>
                <w:sz w:val="20"/>
                <w:szCs w:val="20"/>
              </w:rPr>
            </w:pPr>
            <w:r w:rsidRPr="005A0C40">
              <w:rPr>
                <w:rFonts w:cs="Arial"/>
                <w:b w:val="0"/>
                <w:color w:val="auto"/>
                <w:sz w:val="20"/>
                <w:szCs w:val="20"/>
              </w:rPr>
              <w:t>138</w:t>
            </w:r>
          </w:p>
        </w:tc>
      </w:tr>
      <w:tr w:rsidR="009864A7" w:rsidRPr="00D42E0B" w:rsidTr="001A3F09">
        <w:trPr>
          <w:cnfStyle w:val="000000100000"/>
          <w:trHeight w:hRule="exact" w:val="284"/>
        </w:trPr>
        <w:tc>
          <w:tcPr>
            <w:cnfStyle w:val="001000000000"/>
            <w:tcW w:w="5637" w:type="dxa"/>
            <w:shd w:val="clear" w:color="auto" w:fill="auto"/>
          </w:tcPr>
          <w:p w:rsidR="009864A7" w:rsidRPr="00EC4184" w:rsidRDefault="009864A7" w:rsidP="00200444">
            <w:pPr>
              <w:pStyle w:val="BodyText"/>
              <w:widowControl w:val="0"/>
              <w:rPr>
                <w:rFonts w:cs="Arial"/>
                <w:b w:val="0"/>
                <w:color w:val="auto"/>
                <w:sz w:val="20"/>
                <w:szCs w:val="20"/>
              </w:rPr>
            </w:pPr>
            <w:r w:rsidRPr="00EC4184">
              <w:rPr>
                <w:rFonts w:cs="Arial"/>
                <w:b w:val="0"/>
                <w:color w:val="auto"/>
                <w:sz w:val="20"/>
                <w:szCs w:val="20"/>
              </w:rPr>
              <w:t>Long Term Liabilities</w:t>
            </w:r>
          </w:p>
        </w:tc>
        <w:tc>
          <w:tcPr>
            <w:cnfStyle w:val="000010000000"/>
            <w:tcW w:w="1858" w:type="dxa"/>
            <w:shd w:val="clear" w:color="auto" w:fill="auto"/>
          </w:tcPr>
          <w:p w:rsidR="009864A7" w:rsidRPr="00EC4184" w:rsidRDefault="00BB24CD" w:rsidP="00BB24CD">
            <w:pPr>
              <w:pStyle w:val="BodyText"/>
              <w:widowControl w:val="0"/>
              <w:jc w:val="center"/>
              <w:rPr>
                <w:rFonts w:cs="Arial"/>
                <w:color w:val="auto"/>
                <w:sz w:val="20"/>
                <w:szCs w:val="20"/>
              </w:rPr>
            </w:pPr>
            <w:r w:rsidRPr="00EC4184">
              <w:rPr>
                <w:rFonts w:cs="Arial"/>
                <w:color w:val="auto"/>
                <w:sz w:val="20"/>
                <w:szCs w:val="20"/>
              </w:rPr>
              <w:t>8</w:t>
            </w:r>
          </w:p>
        </w:tc>
        <w:tc>
          <w:tcPr>
            <w:cnfStyle w:val="000100000000"/>
            <w:tcW w:w="1719" w:type="dxa"/>
            <w:shd w:val="clear" w:color="auto" w:fill="auto"/>
          </w:tcPr>
          <w:p w:rsidR="009864A7" w:rsidRPr="005A0C40" w:rsidRDefault="005A0C40" w:rsidP="00913796">
            <w:pPr>
              <w:pStyle w:val="BodyText"/>
              <w:widowControl w:val="0"/>
              <w:jc w:val="center"/>
              <w:rPr>
                <w:rFonts w:cs="Arial"/>
                <w:b w:val="0"/>
                <w:color w:val="auto"/>
                <w:sz w:val="20"/>
                <w:szCs w:val="20"/>
              </w:rPr>
            </w:pPr>
            <w:r w:rsidRPr="005A0C40">
              <w:rPr>
                <w:rFonts w:cs="Arial"/>
                <w:b w:val="0"/>
                <w:color w:val="auto"/>
                <w:sz w:val="20"/>
                <w:szCs w:val="20"/>
              </w:rPr>
              <w:t>41</w:t>
            </w:r>
          </w:p>
        </w:tc>
      </w:tr>
      <w:tr w:rsidR="009864A7" w:rsidRPr="00D42E0B" w:rsidTr="001A3F09">
        <w:trPr>
          <w:trHeight w:hRule="exact" w:val="284"/>
        </w:trPr>
        <w:tc>
          <w:tcPr>
            <w:cnfStyle w:val="001000000000"/>
            <w:tcW w:w="5637" w:type="dxa"/>
            <w:shd w:val="clear" w:color="auto" w:fill="auto"/>
          </w:tcPr>
          <w:p w:rsidR="009864A7" w:rsidRPr="00EC4184" w:rsidRDefault="009864A7" w:rsidP="00200444">
            <w:pPr>
              <w:pStyle w:val="BodyText"/>
              <w:widowControl w:val="0"/>
              <w:rPr>
                <w:rFonts w:cs="Arial"/>
                <w:b w:val="0"/>
                <w:color w:val="auto"/>
                <w:sz w:val="20"/>
                <w:szCs w:val="20"/>
              </w:rPr>
            </w:pPr>
            <w:r w:rsidRPr="00EC4184">
              <w:rPr>
                <w:rFonts w:cs="Arial"/>
                <w:b w:val="0"/>
                <w:color w:val="auto"/>
                <w:sz w:val="20"/>
                <w:szCs w:val="20"/>
              </w:rPr>
              <w:t>External Investments *</w:t>
            </w:r>
          </w:p>
        </w:tc>
        <w:tc>
          <w:tcPr>
            <w:cnfStyle w:val="000010000000"/>
            <w:tcW w:w="1858" w:type="dxa"/>
            <w:shd w:val="clear" w:color="auto" w:fill="auto"/>
          </w:tcPr>
          <w:p w:rsidR="009864A7" w:rsidRPr="00EC4184" w:rsidRDefault="009864A7" w:rsidP="00BB24CD">
            <w:pPr>
              <w:pStyle w:val="BodyText"/>
              <w:widowControl w:val="0"/>
              <w:jc w:val="center"/>
              <w:rPr>
                <w:rFonts w:cs="Arial"/>
                <w:color w:val="auto"/>
                <w:sz w:val="20"/>
                <w:szCs w:val="20"/>
              </w:rPr>
            </w:pPr>
            <w:r w:rsidRPr="00EC4184">
              <w:rPr>
                <w:rFonts w:cs="Arial"/>
                <w:color w:val="auto"/>
                <w:sz w:val="20"/>
                <w:szCs w:val="20"/>
              </w:rPr>
              <w:t>(6</w:t>
            </w:r>
            <w:r w:rsidR="00BB24CD" w:rsidRPr="00EC4184">
              <w:rPr>
                <w:rFonts w:cs="Arial"/>
                <w:color w:val="auto"/>
                <w:sz w:val="20"/>
                <w:szCs w:val="20"/>
              </w:rPr>
              <w:t>9</w:t>
            </w:r>
            <w:r w:rsidRPr="00EC4184">
              <w:rPr>
                <w:rFonts w:cs="Arial"/>
                <w:color w:val="auto"/>
                <w:sz w:val="20"/>
                <w:szCs w:val="20"/>
              </w:rPr>
              <w:t>)</w:t>
            </w:r>
          </w:p>
        </w:tc>
        <w:tc>
          <w:tcPr>
            <w:cnfStyle w:val="000100000000"/>
            <w:tcW w:w="1719" w:type="dxa"/>
            <w:shd w:val="clear" w:color="auto" w:fill="auto"/>
          </w:tcPr>
          <w:p w:rsidR="009864A7" w:rsidRPr="00661BD4" w:rsidRDefault="00661BD4" w:rsidP="00913796">
            <w:pPr>
              <w:pStyle w:val="BodyText"/>
              <w:widowControl w:val="0"/>
              <w:jc w:val="center"/>
              <w:rPr>
                <w:rFonts w:cs="Arial"/>
                <w:b w:val="0"/>
                <w:color w:val="auto"/>
                <w:sz w:val="20"/>
                <w:szCs w:val="20"/>
              </w:rPr>
            </w:pPr>
            <w:r w:rsidRPr="00661BD4">
              <w:rPr>
                <w:rFonts w:cs="Arial"/>
                <w:b w:val="0"/>
                <w:color w:val="auto"/>
                <w:sz w:val="20"/>
                <w:szCs w:val="20"/>
              </w:rPr>
              <w:t>(54)</w:t>
            </w:r>
          </w:p>
        </w:tc>
      </w:tr>
      <w:tr w:rsidR="009864A7" w:rsidRPr="00D42E0B" w:rsidTr="001A3F09">
        <w:trPr>
          <w:cnfStyle w:val="000000100000"/>
          <w:trHeight w:hRule="exact" w:val="284"/>
        </w:trPr>
        <w:tc>
          <w:tcPr>
            <w:cnfStyle w:val="001000000000"/>
            <w:tcW w:w="5637" w:type="dxa"/>
            <w:shd w:val="clear" w:color="auto" w:fill="auto"/>
          </w:tcPr>
          <w:p w:rsidR="009864A7" w:rsidRPr="00EC4184" w:rsidRDefault="009864A7" w:rsidP="00200444">
            <w:pPr>
              <w:pStyle w:val="BodyText"/>
              <w:widowControl w:val="0"/>
              <w:rPr>
                <w:rFonts w:cs="Arial"/>
                <w:color w:val="auto"/>
                <w:sz w:val="20"/>
                <w:szCs w:val="20"/>
              </w:rPr>
            </w:pPr>
            <w:r w:rsidRPr="00EC4184">
              <w:rPr>
                <w:rFonts w:cs="Arial"/>
                <w:color w:val="auto"/>
                <w:sz w:val="20"/>
                <w:szCs w:val="20"/>
              </w:rPr>
              <w:t>Net Debt</w:t>
            </w:r>
          </w:p>
        </w:tc>
        <w:tc>
          <w:tcPr>
            <w:cnfStyle w:val="000010000000"/>
            <w:tcW w:w="1858" w:type="dxa"/>
            <w:shd w:val="clear" w:color="auto" w:fill="auto"/>
          </w:tcPr>
          <w:p w:rsidR="009864A7" w:rsidRPr="00EC4184" w:rsidRDefault="00BB24CD" w:rsidP="00BB24CD">
            <w:pPr>
              <w:pStyle w:val="BodyText"/>
              <w:widowControl w:val="0"/>
              <w:jc w:val="center"/>
              <w:rPr>
                <w:rFonts w:cs="Arial"/>
                <w:color w:val="auto"/>
                <w:sz w:val="20"/>
                <w:szCs w:val="20"/>
              </w:rPr>
            </w:pPr>
            <w:r w:rsidRPr="00EC4184">
              <w:rPr>
                <w:rFonts w:cs="Arial"/>
                <w:color w:val="auto"/>
                <w:sz w:val="20"/>
                <w:szCs w:val="20"/>
              </w:rPr>
              <w:t>77</w:t>
            </w:r>
          </w:p>
        </w:tc>
        <w:tc>
          <w:tcPr>
            <w:cnfStyle w:val="000100000000"/>
            <w:tcW w:w="1719" w:type="dxa"/>
            <w:shd w:val="clear" w:color="auto" w:fill="auto"/>
          </w:tcPr>
          <w:p w:rsidR="009864A7" w:rsidRPr="00661BD4" w:rsidRDefault="00661BD4" w:rsidP="00913796">
            <w:pPr>
              <w:pStyle w:val="BodyText"/>
              <w:widowControl w:val="0"/>
              <w:jc w:val="center"/>
              <w:rPr>
                <w:rFonts w:cs="Arial"/>
                <w:b w:val="0"/>
                <w:color w:val="auto"/>
                <w:sz w:val="20"/>
                <w:szCs w:val="20"/>
              </w:rPr>
            </w:pPr>
            <w:r w:rsidRPr="00661BD4">
              <w:rPr>
                <w:rFonts w:cs="Arial"/>
                <w:b w:val="0"/>
                <w:color w:val="auto"/>
                <w:sz w:val="20"/>
                <w:szCs w:val="20"/>
              </w:rPr>
              <w:t>125</w:t>
            </w:r>
          </w:p>
        </w:tc>
      </w:tr>
      <w:tr w:rsidR="009864A7" w:rsidRPr="00D42E0B" w:rsidTr="001A3F09">
        <w:trPr>
          <w:trHeight w:hRule="exact" w:val="284"/>
        </w:trPr>
        <w:tc>
          <w:tcPr>
            <w:cnfStyle w:val="001000000000"/>
            <w:tcW w:w="5637" w:type="dxa"/>
            <w:shd w:val="clear" w:color="auto" w:fill="auto"/>
          </w:tcPr>
          <w:p w:rsidR="009864A7" w:rsidRPr="00EC4184" w:rsidRDefault="009864A7" w:rsidP="00200444">
            <w:pPr>
              <w:pStyle w:val="BodyText"/>
              <w:widowControl w:val="0"/>
              <w:rPr>
                <w:rFonts w:cs="Arial"/>
                <w:color w:val="auto"/>
                <w:sz w:val="20"/>
                <w:szCs w:val="20"/>
              </w:rPr>
            </w:pPr>
            <w:r w:rsidRPr="00EC4184">
              <w:rPr>
                <w:rFonts w:cs="Arial"/>
                <w:color w:val="auto"/>
                <w:sz w:val="20"/>
                <w:szCs w:val="20"/>
              </w:rPr>
              <w:t>Treasury Management Limits:</w:t>
            </w:r>
          </w:p>
        </w:tc>
        <w:tc>
          <w:tcPr>
            <w:cnfStyle w:val="000010000000"/>
            <w:tcW w:w="1858" w:type="dxa"/>
            <w:shd w:val="clear" w:color="auto" w:fill="auto"/>
          </w:tcPr>
          <w:p w:rsidR="009864A7" w:rsidRPr="00EC4184" w:rsidRDefault="009864A7" w:rsidP="009864A7">
            <w:pPr>
              <w:pStyle w:val="BodyText"/>
              <w:widowControl w:val="0"/>
              <w:jc w:val="center"/>
              <w:rPr>
                <w:rFonts w:cs="Arial"/>
                <w:color w:val="auto"/>
                <w:sz w:val="20"/>
                <w:szCs w:val="20"/>
              </w:rPr>
            </w:pPr>
          </w:p>
        </w:tc>
        <w:tc>
          <w:tcPr>
            <w:cnfStyle w:val="000100000000"/>
            <w:tcW w:w="1719" w:type="dxa"/>
            <w:shd w:val="clear" w:color="auto" w:fill="auto"/>
          </w:tcPr>
          <w:p w:rsidR="009864A7" w:rsidRPr="00D42E0B" w:rsidRDefault="009864A7" w:rsidP="00913796">
            <w:pPr>
              <w:pStyle w:val="BodyText"/>
              <w:widowControl w:val="0"/>
              <w:jc w:val="center"/>
              <w:rPr>
                <w:rFonts w:cs="Arial"/>
                <w:b w:val="0"/>
                <w:color w:val="548DD4" w:themeColor="text2" w:themeTint="99"/>
                <w:sz w:val="20"/>
                <w:szCs w:val="20"/>
              </w:rPr>
            </w:pPr>
          </w:p>
        </w:tc>
      </w:tr>
      <w:tr w:rsidR="009864A7" w:rsidRPr="00D42E0B" w:rsidTr="001A3F09">
        <w:trPr>
          <w:cnfStyle w:val="000000100000"/>
          <w:trHeight w:hRule="exact" w:val="284"/>
        </w:trPr>
        <w:tc>
          <w:tcPr>
            <w:cnfStyle w:val="001000000000"/>
            <w:tcW w:w="5637" w:type="dxa"/>
            <w:shd w:val="clear" w:color="auto" w:fill="auto"/>
          </w:tcPr>
          <w:p w:rsidR="009864A7" w:rsidRPr="00EC4184" w:rsidRDefault="009864A7" w:rsidP="00200444">
            <w:pPr>
              <w:pStyle w:val="BodyText"/>
              <w:widowControl w:val="0"/>
              <w:rPr>
                <w:rFonts w:cs="Arial"/>
                <w:b w:val="0"/>
                <w:color w:val="auto"/>
                <w:sz w:val="20"/>
                <w:szCs w:val="20"/>
              </w:rPr>
            </w:pPr>
            <w:r w:rsidRPr="00EC4184">
              <w:rPr>
                <w:rFonts w:cs="Arial"/>
                <w:b w:val="0"/>
                <w:color w:val="auto"/>
                <w:sz w:val="20"/>
                <w:szCs w:val="20"/>
              </w:rPr>
              <w:t>Capital Financing Requirement</w:t>
            </w:r>
          </w:p>
        </w:tc>
        <w:tc>
          <w:tcPr>
            <w:cnfStyle w:val="000010000000"/>
            <w:tcW w:w="1858" w:type="dxa"/>
            <w:shd w:val="clear" w:color="auto" w:fill="auto"/>
          </w:tcPr>
          <w:p w:rsidR="009864A7" w:rsidRPr="00EC4184" w:rsidRDefault="009864A7" w:rsidP="009864A7">
            <w:pPr>
              <w:pStyle w:val="BodyText"/>
              <w:widowControl w:val="0"/>
              <w:jc w:val="center"/>
              <w:rPr>
                <w:rFonts w:cs="Arial"/>
                <w:color w:val="auto"/>
                <w:sz w:val="20"/>
                <w:szCs w:val="20"/>
              </w:rPr>
            </w:pPr>
            <w:r w:rsidRPr="00EC4184">
              <w:rPr>
                <w:rFonts w:cs="Arial"/>
                <w:color w:val="auto"/>
                <w:sz w:val="20"/>
                <w:szCs w:val="20"/>
              </w:rPr>
              <w:t>135</w:t>
            </w:r>
          </w:p>
        </w:tc>
        <w:tc>
          <w:tcPr>
            <w:cnfStyle w:val="000100000000"/>
            <w:tcW w:w="1719" w:type="dxa"/>
            <w:shd w:val="clear" w:color="auto" w:fill="auto"/>
          </w:tcPr>
          <w:p w:rsidR="009864A7" w:rsidRPr="00323BFD" w:rsidRDefault="00323BFD" w:rsidP="00E32FD3">
            <w:pPr>
              <w:pStyle w:val="BodyText"/>
              <w:widowControl w:val="0"/>
              <w:jc w:val="center"/>
              <w:rPr>
                <w:rFonts w:cs="Arial"/>
                <w:b w:val="0"/>
                <w:color w:val="auto"/>
                <w:sz w:val="20"/>
                <w:szCs w:val="20"/>
              </w:rPr>
            </w:pPr>
            <w:r w:rsidRPr="00323BFD">
              <w:rPr>
                <w:rFonts w:cs="Arial"/>
                <w:b w:val="0"/>
                <w:color w:val="auto"/>
                <w:sz w:val="20"/>
                <w:szCs w:val="20"/>
              </w:rPr>
              <w:t>151</w:t>
            </w:r>
          </w:p>
        </w:tc>
      </w:tr>
      <w:tr w:rsidR="009864A7" w:rsidRPr="00D42E0B" w:rsidTr="001A3F09">
        <w:trPr>
          <w:trHeight w:hRule="exact" w:val="284"/>
        </w:trPr>
        <w:tc>
          <w:tcPr>
            <w:cnfStyle w:val="001000000000"/>
            <w:tcW w:w="5637" w:type="dxa"/>
            <w:shd w:val="clear" w:color="auto" w:fill="auto"/>
          </w:tcPr>
          <w:p w:rsidR="009864A7" w:rsidRPr="00EC4184" w:rsidRDefault="009864A7" w:rsidP="00200444">
            <w:pPr>
              <w:pStyle w:val="BodyText"/>
              <w:widowControl w:val="0"/>
              <w:rPr>
                <w:rFonts w:cs="Arial"/>
                <w:b w:val="0"/>
                <w:color w:val="auto"/>
                <w:sz w:val="20"/>
                <w:szCs w:val="20"/>
              </w:rPr>
            </w:pPr>
            <w:r w:rsidRPr="00EC4184">
              <w:rPr>
                <w:rFonts w:cs="Arial"/>
                <w:b w:val="0"/>
                <w:color w:val="auto"/>
                <w:sz w:val="20"/>
                <w:szCs w:val="20"/>
              </w:rPr>
              <w:t>Authorised Limit</w:t>
            </w:r>
          </w:p>
        </w:tc>
        <w:tc>
          <w:tcPr>
            <w:cnfStyle w:val="000010000000"/>
            <w:tcW w:w="1858" w:type="dxa"/>
            <w:shd w:val="clear" w:color="auto" w:fill="auto"/>
          </w:tcPr>
          <w:p w:rsidR="009864A7" w:rsidRPr="00EC4184" w:rsidRDefault="00BB24CD" w:rsidP="00BB24CD">
            <w:pPr>
              <w:pStyle w:val="BodyText"/>
              <w:widowControl w:val="0"/>
              <w:jc w:val="center"/>
              <w:rPr>
                <w:rFonts w:cs="Arial"/>
                <w:color w:val="auto"/>
                <w:sz w:val="20"/>
                <w:szCs w:val="20"/>
              </w:rPr>
            </w:pPr>
            <w:r w:rsidRPr="00EC4184">
              <w:rPr>
                <w:rFonts w:cs="Arial"/>
                <w:color w:val="auto"/>
                <w:sz w:val="20"/>
                <w:szCs w:val="20"/>
              </w:rPr>
              <w:t>231</w:t>
            </w:r>
          </w:p>
        </w:tc>
        <w:tc>
          <w:tcPr>
            <w:cnfStyle w:val="000100000000"/>
            <w:tcW w:w="1719" w:type="dxa"/>
            <w:shd w:val="clear" w:color="auto" w:fill="auto"/>
          </w:tcPr>
          <w:p w:rsidR="009864A7" w:rsidRPr="00E461FD" w:rsidRDefault="00E461FD" w:rsidP="00913796">
            <w:pPr>
              <w:pStyle w:val="BodyText"/>
              <w:widowControl w:val="0"/>
              <w:jc w:val="center"/>
              <w:rPr>
                <w:rFonts w:cs="Arial"/>
                <w:b w:val="0"/>
                <w:color w:val="auto"/>
                <w:sz w:val="20"/>
                <w:szCs w:val="20"/>
              </w:rPr>
            </w:pPr>
            <w:r w:rsidRPr="00E461FD">
              <w:rPr>
                <w:rFonts w:cs="Arial"/>
                <w:b w:val="0"/>
                <w:color w:val="auto"/>
                <w:sz w:val="20"/>
                <w:szCs w:val="20"/>
              </w:rPr>
              <w:t>207</w:t>
            </w:r>
          </w:p>
        </w:tc>
      </w:tr>
      <w:tr w:rsidR="009864A7" w:rsidRPr="00D42E0B" w:rsidTr="001A3F09">
        <w:trPr>
          <w:cnfStyle w:val="000000100000"/>
          <w:trHeight w:hRule="exact" w:val="284"/>
        </w:trPr>
        <w:tc>
          <w:tcPr>
            <w:cnfStyle w:val="001000000000"/>
            <w:tcW w:w="5637" w:type="dxa"/>
            <w:shd w:val="clear" w:color="auto" w:fill="auto"/>
          </w:tcPr>
          <w:p w:rsidR="009864A7" w:rsidRPr="00EC4184" w:rsidRDefault="009864A7" w:rsidP="00200444">
            <w:pPr>
              <w:pStyle w:val="BodyText"/>
              <w:widowControl w:val="0"/>
              <w:rPr>
                <w:rFonts w:cs="Arial"/>
                <w:b w:val="0"/>
                <w:color w:val="auto"/>
                <w:sz w:val="20"/>
                <w:szCs w:val="20"/>
              </w:rPr>
            </w:pPr>
            <w:r w:rsidRPr="00EC4184">
              <w:rPr>
                <w:rFonts w:cs="Arial"/>
                <w:b w:val="0"/>
                <w:color w:val="auto"/>
                <w:sz w:val="20"/>
                <w:szCs w:val="20"/>
              </w:rPr>
              <w:t>Operational Limit</w:t>
            </w:r>
          </w:p>
        </w:tc>
        <w:tc>
          <w:tcPr>
            <w:cnfStyle w:val="000010000000"/>
            <w:tcW w:w="1858" w:type="dxa"/>
            <w:shd w:val="clear" w:color="auto" w:fill="auto"/>
          </w:tcPr>
          <w:p w:rsidR="009864A7" w:rsidRPr="00EC4184" w:rsidRDefault="009864A7" w:rsidP="00BB24CD">
            <w:pPr>
              <w:pStyle w:val="BodyText"/>
              <w:widowControl w:val="0"/>
              <w:jc w:val="center"/>
              <w:rPr>
                <w:rFonts w:cs="Arial"/>
                <w:color w:val="auto"/>
                <w:sz w:val="20"/>
                <w:szCs w:val="20"/>
              </w:rPr>
            </w:pPr>
            <w:r w:rsidRPr="00EC4184">
              <w:rPr>
                <w:rFonts w:cs="Arial"/>
                <w:color w:val="auto"/>
                <w:sz w:val="20"/>
                <w:szCs w:val="20"/>
              </w:rPr>
              <w:t>1</w:t>
            </w:r>
            <w:r w:rsidR="00BB24CD" w:rsidRPr="00EC4184">
              <w:rPr>
                <w:rFonts w:cs="Arial"/>
                <w:color w:val="auto"/>
                <w:sz w:val="20"/>
                <w:szCs w:val="20"/>
              </w:rPr>
              <w:t>61</w:t>
            </w:r>
          </w:p>
        </w:tc>
        <w:tc>
          <w:tcPr>
            <w:cnfStyle w:val="000100000000"/>
            <w:tcW w:w="1719" w:type="dxa"/>
            <w:shd w:val="clear" w:color="auto" w:fill="auto"/>
          </w:tcPr>
          <w:p w:rsidR="009864A7" w:rsidRPr="00E461FD" w:rsidRDefault="00E461FD" w:rsidP="00913796">
            <w:pPr>
              <w:pStyle w:val="BodyText"/>
              <w:widowControl w:val="0"/>
              <w:jc w:val="center"/>
              <w:rPr>
                <w:rFonts w:cs="Arial"/>
                <w:b w:val="0"/>
                <w:color w:val="auto"/>
                <w:sz w:val="20"/>
                <w:szCs w:val="20"/>
              </w:rPr>
            </w:pPr>
            <w:r w:rsidRPr="00E461FD">
              <w:rPr>
                <w:rFonts w:cs="Arial"/>
                <w:b w:val="0"/>
                <w:color w:val="auto"/>
                <w:sz w:val="20"/>
                <w:szCs w:val="20"/>
              </w:rPr>
              <w:t>188</w:t>
            </w:r>
          </w:p>
        </w:tc>
      </w:tr>
      <w:tr w:rsidR="00841ADB" w:rsidRPr="00D42E0B" w:rsidTr="001A3F09">
        <w:trPr>
          <w:trHeight w:hRule="exact" w:val="284"/>
        </w:trPr>
        <w:tc>
          <w:tcPr>
            <w:cnfStyle w:val="001000000000"/>
            <w:tcW w:w="5637" w:type="dxa"/>
            <w:shd w:val="clear" w:color="auto" w:fill="auto"/>
          </w:tcPr>
          <w:p w:rsidR="00841ADB" w:rsidRPr="00EC4184" w:rsidRDefault="00841ADB" w:rsidP="00200444">
            <w:pPr>
              <w:pStyle w:val="BodyText"/>
              <w:widowControl w:val="0"/>
              <w:rPr>
                <w:rFonts w:cs="Arial"/>
                <w:color w:val="auto"/>
                <w:sz w:val="20"/>
                <w:szCs w:val="20"/>
              </w:rPr>
            </w:pPr>
          </w:p>
        </w:tc>
        <w:tc>
          <w:tcPr>
            <w:cnfStyle w:val="000010000000"/>
            <w:tcW w:w="1858" w:type="dxa"/>
            <w:shd w:val="clear" w:color="auto" w:fill="auto"/>
          </w:tcPr>
          <w:p w:rsidR="00841ADB" w:rsidRPr="00EC4184" w:rsidRDefault="00841ADB" w:rsidP="00BB24CD">
            <w:pPr>
              <w:pStyle w:val="BodyText"/>
              <w:widowControl w:val="0"/>
              <w:jc w:val="center"/>
              <w:rPr>
                <w:rFonts w:cs="Arial"/>
                <w:color w:val="auto"/>
                <w:sz w:val="20"/>
                <w:szCs w:val="20"/>
              </w:rPr>
            </w:pPr>
            <w:r w:rsidRPr="00EC4184">
              <w:rPr>
                <w:rFonts w:cs="Arial"/>
                <w:color w:val="auto"/>
                <w:sz w:val="20"/>
                <w:szCs w:val="20"/>
              </w:rPr>
              <w:t>201</w:t>
            </w:r>
            <w:r w:rsidR="00BB24CD" w:rsidRPr="00EC4184">
              <w:rPr>
                <w:rFonts w:cs="Arial"/>
                <w:color w:val="auto"/>
                <w:sz w:val="20"/>
                <w:szCs w:val="20"/>
              </w:rPr>
              <w:t>4</w:t>
            </w:r>
            <w:r w:rsidRPr="00EC4184">
              <w:rPr>
                <w:rFonts w:cs="Arial"/>
                <w:color w:val="auto"/>
                <w:sz w:val="20"/>
                <w:szCs w:val="20"/>
              </w:rPr>
              <w:t>/1</w:t>
            </w:r>
            <w:r w:rsidR="00BB24CD" w:rsidRPr="00EC4184">
              <w:rPr>
                <w:rFonts w:cs="Arial"/>
                <w:color w:val="auto"/>
                <w:sz w:val="20"/>
                <w:szCs w:val="20"/>
              </w:rPr>
              <w:t>5</w:t>
            </w:r>
          </w:p>
        </w:tc>
        <w:tc>
          <w:tcPr>
            <w:cnfStyle w:val="000100000000"/>
            <w:tcW w:w="1719" w:type="dxa"/>
            <w:shd w:val="clear" w:color="auto" w:fill="auto"/>
          </w:tcPr>
          <w:p w:rsidR="00841ADB" w:rsidRPr="00E461FD" w:rsidRDefault="00841ADB" w:rsidP="00BB24CD">
            <w:pPr>
              <w:pStyle w:val="BodyText"/>
              <w:widowControl w:val="0"/>
              <w:jc w:val="center"/>
              <w:rPr>
                <w:rFonts w:cs="Arial"/>
                <w:color w:val="auto"/>
                <w:sz w:val="20"/>
                <w:szCs w:val="20"/>
              </w:rPr>
            </w:pPr>
            <w:r w:rsidRPr="00E461FD">
              <w:rPr>
                <w:rFonts w:cs="Arial"/>
                <w:color w:val="auto"/>
                <w:sz w:val="20"/>
                <w:szCs w:val="20"/>
              </w:rPr>
              <w:t>201</w:t>
            </w:r>
            <w:r w:rsidR="00BB24CD" w:rsidRPr="00E461FD">
              <w:rPr>
                <w:rFonts w:cs="Arial"/>
                <w:color w:val="auto"/>
                <w:sz w:val="20"/>
                <w:szCs w:val="20"/>
              </w:rPr>
              <w:t>5</w:t>
            </w:r>
            <w:r w:rsidRPr="00E461FD">
              <w:rPr>
                <w:rFonts w:cs="Arial"/>
                <w:color w:val="auto"/>
                <w:sz w:val="20"/>
                <w:szCs w:val="20"/>
              </w:rPr>
              <w:t>/1</w:t>
            </w:r>
            <w:r w:rsidR="00BB24CD" w:rsidRPr="00E461FD">
              <w:rPr>
                <w:rFonts w:cs="Arial"/>
                <w:color w:val="auto"/>
                <w:sz w:val="20"/>
                <w:szCs w:val="20"/>
              </w:rPr>
              <w:t>6</w:t>
            </w:r>
          </w:p>
        </w:tc>
      </w:tr>
      <w:tr w:rsidR="009864A7" w:rsidRPr="00D42E0B" w:rsidTr="001A3F09">
        <w:trPr>
          <w:cnfStyle w:val="000000100000"/>
          <w:trHeight w:hRule="exact" w:val="284"/>
        </w:trPr>
        <w:tc>
          <w:tcPr>
            <w:cnfStyle w:val="001000000000"/>
            <w:tcW w:w="5637" w:type="dxa"/>
            <w:shd w:val="clear" w:color="auto" w:fill="auto"/>
          </w:tcPr>
          <w:p w:rsidR="009864A7" w:rsidRPr="00EC4184" w:rsidRDefault="009864A7" w:rsidP="00200444">
            <w:pPr>
              <w:pStyle w:val="BodyText"/>
              <w:widowControl w:val="0"/>
              <w:rPr>
                <w:rFonts w:cs="Arial"/>
                <w:color w:val="auto"/>
                <w:sz w:val="20"/>
                <w:szCs w:val="20"/>
              </w:rPr>
            </w:pPr>
            <w:r w:rsidRPr="00EC4184">
              <w:rPr>
                <w:rFonts w:cs="Arial"/>
                <w:color w:val="auto"/>
                <w:sz w:val="20"/>
                <w:szCs w:val="20"/>
              </w:rPr>
              <w:t>Revenue Income &amp; Expenditure:</w:t>
            </w:r>
          </w:p>
        </w:tc>
        <w:tc>
          <w:tcPr>
            <w:cnfStyle w:val="000010000000"/>
            <w:tcW w:w="1858" w:type="dxa"/>
            <w:shd w:val="clear" w:color="auto" w:fill="auto"/>
          </w:tcPr>
          <w:p w:rsidR="009864A7" w:rsidRPr="00EC4184" w:rsidRDefault="009864A7" w:rsidP="009864A7">
            <w:pPr>
              <w:pStyle w:val="BodyText"/>
              <w:widowControl w:val="0"/>
              <w:jc w:val="center"/>
              <w:rPr>
                <w:rFonts w:cs="Arial"/>
                <w:color w:val="auto"/>
                <w:sz w:val="20"/>
                <w:szCs w:val="20"/>
              </w:rPr>
            </w:pPr>
          </w:p>
        </w:tc>
        <w:tc>
          <w:tcPr>
            <w:cnfStyle w:val="000100000000"/>
            <w:tcW w:w="1719" w:type="dxa"/>
            <w:shd w:val="clear" w:color="auto" w:fill="auto"/>
          </w:tcPr>
          <w:p w:rsidR="009864A7" w:rsidRPr="00D42E0B" w:rsidRDefault="009864A7" w:rsidP="00913796">
            <w:pPr>
              <w:pStyle w:val="BodyText"/>
              <w:widowControl w:val="0"/>
              <w:jc w:val="center"/>
              <w:rPr>
                <w:rFonts w:cs="Arial"/>
                <w:b w:val="0"/>
                <w:color w:val="548DD4" w:themeColor="text2" w:themeTint="99"/>
                <w:sz w:val="20"/>
                <w:szCs w:val="20"/>
              </w:rPr>
            </w:pPr>
          </w:p>
        </w:tc>
      </w:tr>
      <w:tr w:rsidR="009864A7" w:rsidRPr="00D42E0B" w:rsidTr="001A3F09">
        <w:trPr>
          <w:trHeight w:hRule="exact" w:val="284"/>
        </w:trPr>
        <w:tc>
          <w:tcPr>
            <w:cnfStyle w:val="001000000000"/>
            <w:tcW w:w="5637" w:type="dxa"/>
            <w:shd w:val="clear" w:color="auto" w:fill="auto"/>
          </w:tcPr>
          <w:p w:rsidR="009864A7" w:rsidRPr="00EC4184" w:rsidRDefault="009864A7" w:rsidP="00200444">
            <w:pPr>
              <w:pStyle w:val="BodyText"/>
              <w:widowControl w:val="0"/>
              <w:rPr>
                <w:rFonts w:cs="Arial"/>
                <w:b w:val="0"/>
                <w:color w:val="auto"/>
                <w:sz w:val="20"/>
                <w:szCs w:val="20"/>
              </w:rPr>
            </w:pPr>
            <w:r w:rsidRPr="00EC4184">
              <w:rPr>
                <w:rFonts w:cs="Arial"/>
                <w:b w:val="0"/>
                <w:color w:val="auto"/>
                <w:sz w:val="20"/>
                <w:szCs w:val="20"/>
              </w:rPr>
              <w:t xml:space="preserve">Interest Receivable </w:t>
            </w:r>
          </w:p>
        </w:tc>
        <w:tc>
          <w:tcPr>
            <w:cnfStyle w:val="000010000000"/>
            <w:tcW w:w="1858" w:type="dxa"/>
            <w:shd w:val="clear" w:color="auto" w:fill="auto"/>
          </w:tcPr>
          <w:p w:rsidR="009864A7" w:rsidRPr="00EC4184" w:rsidRDefault="009864A7" w:rsidP="00BB24CD">
            <w:pPr>
              <w:pStyle w:val="BodyText"/>
              <w:widowControl w:val="0"/>
              <w:jc w:val="center"/>
              <w:rPr>
                <w:rFonts w:cs="Arial"/>
                <w:color w:val="auto"/>
                <w:sz w:val="20"/>
                <w:szCs w:val="20"/>
              </w:rPr>
            </w:pPr>
            <w:r w:rsidRPr="00EC4184">
              <w:rPr>
                <w:rFonts w:cs="Arial"/>
                <w:color w:val="auto"/>
                <w:sz w:val="20"/>
                <w:szCs w:val="20"/>
              </w:rPr>
              <w:t>(</w:t>
            </w:r>
            <w:r w:rsidR="00BB24CD" w:rsidRPr="00EC4184">
              <w:rPr>
                <w:rFonts w:cs="Arial"/>
                <w:color w:val="auto"/>
                <w:sz w:val="20"/>
                <w:szCs w:val="20"/>
              </w:rPr>
              <w:t>0.8</w:t>
            </w:r>
            <w:r w:rsidRPr="00EC4184">
              <w:rPr>
                <w:rFonts w:cs="Arial"/>
                <w:color w:val="auto"/>
                <w:sz w:val="20"/>
                <w:szCs w:val="20"/>
              </w:rPr>
              <w:t>)</w:t>
            </w:r>
          </w:p>
        </w:tc>
        <w:tc>
          <w:tcPr>
            <w:cnfStyle w:val="000100000000"/>
            <w:tcW w:w="1719" w:type="dxa"/>
            <w:shd w:val="clear" w:color="auto" w:fill="auto"/>
          </w:tcPr>
          <w:p w:rsidR="009864A7" w:rsidRPr="003C0C11" w:rsidRDefault="003C0C11" w:rsidP="00913796">
            <w:pPr>
              <w:pStyle w:val="BodyText"/>
              <w:widowControl w:val="0"/>
              <w:jc w:val="center"/>
              <w:rPr>
                <w:rFonts w:cs="Arial"/>
                <w:b w:val="0"/>
                <w:color w:val="auto"/>
                <w:sz w:val="20"/>
                <w:szCs w:val="20"/>
              </w:rPr>
            </w:pPr>
            <w:r w:rsidRPr="003C0C11">
              <w:rPr>
                <w:rFonts w:cs="Arial"/>
                <w:b w:val="0"/>
                <w:color w:val="auto"/>
                <w:sz w:val="20"/>
                <w:szCs w:val="20"/>
              </w:rPr>
              <w:t>(0.8)</w:t>
            </w:r>
          </w:p>
        </w:tc>
      </w:tr>
      <w:tr w:rsidR="009864A7" w:rsidRPr="00D42E0B" w:rsidTr="001A3F09">
        <w:trPr>
          <w:cnfStyle w:val="000000100000"/>
          <w:trHeight w:hRule="exact" w:val="284"/>
        </w:trPr>
        <w:tc>
          <w:tcPr>
            <w:cnfStyle w:val="001000000000"/>
            <w:tcW w:w="5637" w:type="dxa"/>
            <w:shd w:val="clear" w:color="auto" w:fill="auto"/>
          </w:tcPr>
          <w:p w:rsidR="009864A7" w:rsidRPr="00EC4184" w:rsidRDefault="009864A7" w:rsidP="00200444">
            <w:pPr>
              <w:pStyle w:val="BodyText"/>
              <w:widowControl w:val="0"/>
              <w:rPr>
                <w:rFonts w:cs="Arial"/>
                <w:b w:val="0"/>
                <w:color w:val="auto"/>
                <w:sz w:val="20"/>
                <w:szCs w:val="20"/>
              </w:rPr>
            </w:pPr>
            <w:r w:rsidRPr="00EC4184">
              <w:rPr>
                <w:rFonts w:cs="Arial"/>
                <w:b w:val="0"/>
                <w:color w:val="auto"/>
                <w:sz w:val="20"/>
                <w:szCs w:val="20"/>
              </w:rPr>
              <w:t xml:space="preserve">Interest Payable </w:t>
            </w:r>
          </w:p>
        </w:tc>
        <w:tc>
          <w:tcPr>
            <w:cnfStyle w:val="000010000000"/>
            <w:tcW w:w="1858" w:type="dxa"/>
            <w:shd w:val="clear" w:color="auto" w:fill="auto"/>
          </w:tcPr>
          <w:p w:rsidR="009864A7" w:rsidRPr="00EC4184" w:rsidRDefault="00BB24CD" w:rsidP="00BB24CD">
            <w:pPr>
              <w:pStyle w:val="BodyText"/>
              <w:widowControl w:val="0"/>
              <w:jc w:val="center"/>
              <w:rPr>
                <w:rFonts w:cs="Arial"/>
                <w:color w:val="auto"/>
                <w:sz w:val="20"/>
                <w:szCs w:val="20"/>
              </w:rPr>
            </w:pPr>
            <w:r w:rsidRPr="00EC4184">
              <w:rPr>
                <w:rFonts w:cs="Arial"/>
                <w:color w:val="auto"/>
                <w:sz w:val="20"/>
                <w:szCs w:val="20"/>
              </w:rPr>
              <w:t>6.1</w:t>
            </w:r>
          </w:p>
        </w:tc>
        <w:tc>
          <w:tcPr>
            <w:cnfStyle w:val="000100000000"/>
            <w:tcW w:w="1719" w:type="dxa"/>
            <w:shd w:val="clear" w:color="auto" w:fill="auto"/>
          </w:tcPr>
          <w:p w:rsidR="009864A7" w:rsidRPr="003C0C11" w:rsidRDefault="003C0C11" w:rsidP="003C0C11">
            <w:pPr>
              <w:pStyle w:val="BodyText"/>
              <w:widowControl w:val="0"/>
              <w:jc w:val="center"/>
              <w:rPr>
                <w:rFonts w:cs="Arial"/>
                <w:b w:val="0"/>
                <w:color w:val="auto"/>
                <w:sz w:val="20"/>
                <w:szCs w:val="20"/>
              </w:rPr>
            </w:pPr>
            <w:r w:rsidRPr="003C0C11">
              <w:rPr>
                <w:rFonts w:cs="Arial"/>
                <w:b w:val="0"/>
                <w:color w:val="auto"/>
                <w:sz w:val="20"/>
                <w:szCs w:val="20"/>
              </w:rPr>
              <w:t>6.1</w:t>
            </w:r>
          </w:p>
        </w:tc>
      </w:tr>
      <w:tr w:rsidR="009864A7" w:rsidRPr="00D42E0B" w:rsidTr="001A3F09">
        <w:trPr>
          <w:cnfStyle w:val="010000000000"/>
          <w:trHeight w:hRule="exact" w:val="284"/>
        </w:trPr>
        <w:tc>
          <w:tcPr>
            <w:cnfStyle w:val="001000000000"/>
            <w:tcW w:w="5637" w:type="dxa"/>
            <w:shd w:val="clear" w:color="auto" w:fill="auto"/>
          </w:tcPr>
          <w:p w:rsidR="009864A7" w:rsidRPr="00EC4184" w:rsidRDefault="009864A7" w:rsidP="00346D86">
            <w:pPr>
              <w:pStyle w:val="BodyText"/>
              <w:widowControl w:val="0"/>
              <w:rPr>
                <w:rFonts w:cs="Arial"/>
                <w:b w:val="0"/>
                <w:color w:val="auto"/>
                <w:sz w:val="20"/>
                <w:szCs w:val="20"/>
              </w:rPr>
            </w:pPr>
            <w:r w:rsidRPr="00EC4184">
              <w:rPr>
                <w:rFonts w:cs="Arial"/>
                <w:b w:val="0"/>
                <w:color w:val="auto"/>
                <w:sz w:val="20"/>
                <w:szCs w:val="20"/>
              </w:rPr>
              <w:t xml:space="preserve">MRP </w:t>
            </w:r>
            <w:r w:rsidR="00346D86">
              <w:rPr>
                <w:rFonts w:cs="Arial"/>
                <w:b w:val="0"/>
                <w:color w:val="auto"/>
                <w:sz w:val="20"/>
                <w:szCs w:val="20"/>
              </w:rPr>
              <w:t>R</w:t>
            </w:r>
            <w:r w:rsidRPr="00EC4184">
              <w:rPr>
                <w:rFonts w:cs="Arial"/>
                <w:b w:val="0"/>
                <w:color w:val="auto"/>
                <w:sz w:val="20"/>
                <w:szCs w:val="20"/>
              </w:rPr>
              <w:t xml:space="preserve">epayment </w:t>
            </w:r>
          </w:p>
        </w:tc>
        <w:tc>
          <w:tcPr>
            <w:cnfStyle w:val="000010000000"/>
            <w:tcW w:w="1858" w:type="dxa"/>
            <w:shd w:val="clear" w:color="auto" w:fill="auto"/>
          </w:tcPr>
          <w:p w:rsidR="009864A7" w:rsidRPr="00E923C8" w:rsidRDefault="00346D86" w:rsidP="00346D86">
            <w:pPr>
              <w:pStyle w:val="BodyText"/>
              <w:widowControl w:val="0"/>
              <w:jc w:val="center"/>
              <w:rPr>
                <w:rFonts w:cs="Arial"/>
                <w:b w:val="0"/>
                <w:color w:val="auto"/>
                <w:sz w:val="20"/>
                <w:szCs w:val="20"/>
              </w:rPr>
            </w:pPr>
            <w:r w:rsidRPr="00E923C8">
              <w:rPr>
                <w:rFonts w:cs="Arial"/>
                <w:b w:val="0"/>
                <w:color w:val="auto"/>
                <w:sz w:val="20"/>
                <w:szCs w:val="20"/>
              </w:rPr>
              <w:t>4.6</w:t>
            </w:r>
          </w:p>
        </w:tc>
        <w:tc>
          <w:tcPr>
            <w:cnfStyle w:val="000100000000"/>
            <w:tcW w:w="1719" w:type="dxa"/>
            <w:shd w:val="clear" w:color="auto" w:fill="auto"/>
          </w:tcPr>
          <w:p w:rsidR="009864A7" w:rsidRPr="003C0C11" w:rsidRDefault="00346D86" w:rsidP="00346D86">
            <w:pPr>
              <w:pStyle w:val="BodyText"/>
              <w:widowControl w:val="0"/>
              <w:jc w:val="center"/>
              <w:rPr>
                <w:rFonts w:cs="Arial"/>
                <w:b w:val="0"/>
                <w:color w:val="auto"/>
                <w:sz w:val="20"/>
                <w:szCs w:val="20"/>
              </w:rPr>
            </w:pPr>
            <w:r>
              <w:rPr>
                <w:rFonts w:cs="Arial"/>
                <w:b w:val="0"/>
                <w:color w:val="auto"/>
                <w:sz w:val="20"/>
                <w:szCs w:val="20"/>
              </w:rPr>
              <w:t>4.3</w:t>
            </w:r>
          </w:p>
        </w:tc>
      </w:tr>
    </w:tbl>
    <w:p w:rsidR="00E51139" w:rsidRPr="00EC4184" w:rsidRDefault="00E51139" w:rsidP="00397B9B">
      <w:pPr>
        <w:pStyle w:val="BodyText"/>
        <w:widowControl w:val="0"/>
        <w:spacing w:after="120"/>
        <w:rPr>
          <w:rFonts w:cs="Arial"/>
          <w:color w:val="auto"/>
          <w:sz w:val="16"/>
          <w:szCs w:val="16"/>
        </w:rPr>
      </w:pPr>
      <w:r w:rsidRPr="00EC4184">
        <w:rPr>
          <w:rFonts w:cs="Arial"/>
          <w:color w:val="auto"/>
          <w:sz w:val="16"/>
          <w:szCs w:val="16"/>
        </w:rPr>
        <w:t xml:space="preserve">* note: these costs are per Treasury Management outturn report which excludes the accounting adjustments required for statutory </w:t>
      </w:r>
      <w:r w:rsidR="00841ADB" w:rsidRPr="00EC4184">
        <w:rPr>
          <w:rFonts w:cs="Arial"/>
          <w:color w:val="auto"/>
          <w:sz w:val="16"/>
          <w:szCs w:val="16"/>
        </w:rPr>
        <w:t>reporting</w:t>
      </w:r>
      <w:r w:rsidRPr="00EC4184">
        <w:rPr>
          <w:rFonts w:cs="Arial"/>
          <w:color w:val="auto"/>
          <w:sz w:val="16"/>
          <w:szCs w:val="16"/>
        </w:rPr>
        <w:t xml:space="preserve"> such as fair value adjustments.</w:t>
      </w:r>
    </w:p>
    <w:p w:rsidR="00E51139" w:rsidRPr="00083084" w:rsidRDefault="00E51139" w:rsidP="00F31A9D">
      <w:pPr>
        <w:pStyle w:val="BodyText"/>
        <w:widowControl w:val="0"/>
        <w:rPr>
          <w:rFonts w:cs="Arial"/>
          <w:color w:val="auto"/>
          <w:sz w:val="20"/>
          <w:szCs w:val="20"/>
        </w:rPr>
      </w:pPr>
      <w:r w:rsidRPr="00083084">
        <w:rPr>
          <w:rFonts w:cs="Arial"/>
          <w:color w:val="auto"/>
          <w:sz w:val="20"/>
          <w:szCs w:val="20"/>
        </w:rPr>
        <w:t xml:space="preserve">The level of Council borrowing reflects the Council’s capital financing requirement plus the borrowing required by the approved four year Capital Investment Plan. The Council’s investments and other cash holdings are sufficient to meet the Councils short and medium term cash requirements for revenue and capital expenditure and any “cash backed” balance sheet items such as reserves and </w:t>
      </w:r>
      <w:r w:rsidRPr="00083084">
        <w:rPr>
          <w:rFonts w:cs="Arial"/>
          <w:color w:val="auto"/>
          <w:sz w:val="20"/>
          <w:szCs w:val="20"/>
        </w:rPr>
        <w:lastRenderedPageBreak/>
        <w:t>working capital.</w:t>
      </w:r>
      <w:r w:rsidR="001619B4" w:rsidRPr="00083084">
        <w:rPr>
          <w:rFonts w:cs="Arial"/>
          <w:color w:val="auto"/>
          <w:sz w:val="20"/>
          <w:szCs w:val="20"/>
        </w:rPr>
        <w:t xml:space="preserve"> </w:t>
      </w:r>
    </w:p>
    <w:p w:rsidR="00E51139" w:rsidRPr="00AB55E7" w:rsidRDefault="00E51139" w:rsidP="00F31A9D">
      <w:pPr>
        <w:pStyle w:val="BodyText"/>
        <w:widowControl w:val="0"/>
        <w:rPr>
          <w:rFonts w:cs="Arial"/>
          <w:color w:val="auto"/>
          <w:sz w:val="20"/>
          <w:szCs w:val="20"/>
          <w:u w:val="single"/>
        </w:rPr>
      </w:pPr>
      <w:r w:rsidRPr="00AB55E7">
        <w:rPr>
          <w:rFonts w:cs="Arial"/>
          <w:color w:val="auto"/>
          <w:sz w:val="20"/>
          <w:szCs w:val="20"/>
          <w:u w:val="single"/>
        </w:rPr>
        <w:t>Significant Provisions or contingencies</w:t>
      </w:r>
    </w:p>
    <w:p w:rsidR="00332B15" w:rsidRPr="00AB55E7" w:rsidRDefault="00E51139" w:rsidP="00F31A9D">
      <w:pPr>
        <w:pStyle w:val="BodyText"/>
        <w:widowControl w:val="0"/>
        <w:rPr>
          <w:rFonts w:cs="Arial"/>
          <w:color w:val="auto"/>
          <w:sz w:val="20"/>
          <w:szCs w:val="20"/>
        </w:rPr>
      </w:pPr>
      <w:r w:rsidRPr="00AB55E7">
        <w:rPr>
          <w:rFonts w:cs="Arial"/>
          <w:color w:val="auto"/>
          <w:sz w:val="20"/>
          <w:szCs w:val="20"/>
        </w:rPr>
        <w:t xml:space="preserve">The Council has provisions at year end of </w:t>
      </w:r>
      <w:r w:rsidR="00A45F85" w:rsidRPr="00AB55E7">
        <w:rPr>
          <w:rFonts w:cs="Arial"/>
          <w:color w:val="auto"/>
          <w:sz w:val="20"/>
          <w:szCs w:val="20"/>
        </w:rPr>
        <w:t>£</w:t>
      </w:r>
      <w:r w:rsidR="00AB55E7" w:rsidRPr="00AB55E7">
        <w:rPr>
          <w:rFonts w:cs="Arial"/>
          <w:color w:val="auto"/>
          <w:sz w:val="20"/>
          <w:szCs w:val="20"/>
        </w:rPr>
        <w:t>2.7</w:t>
      </w:r>
      <w:r w:rsidR="00A45F85" w:rsidRPr="00AB55E7">
        <w:rPr>
          <w:rFonts w:cs="Arial"/>
          <w:color w:val="auto"/>
          <w:sz w:val="20"/>
          <w:szCs w:val="20"/>
        </w:rPr>
        <w:t>m (</w:t>
      </w:r>
      <w:r w:rsidRPr="00AB55E7">
        <w:rPr>
          <w:rFonts w:cs="Arial"/>
          <w:color w:val="auto"/>
          <w:sz w:val="20"/>
          <w:szCs w:val="20"/>
        </w:rPr>
        <w:t>£</w:t>
      </w:r>
      <w:r w:rsidR="001E5D8F" w:rsidRPr="00AB55E7">
        <w:rPr>
          <w:rFonts w:cs="Arial"/>
          <w:color w:val="auto"/>
          <w:sz w:val="20"/>
          <w:szCs w:val="20"/>
        </w:rPr>
        <w:t>1.9</w:t>
      </w:r>
      <w:r w:rsidRPr="00AB55E7">
        <w:rPr>
          <w:rFonts w:cs="Arial"/>
          <w:color w:val="auto"/>
          <w:sz w:val="20"/>
          <w:szCs w:val="20"/>
        </w:rPr>
        <w:t xml:space="preserve">m </w:t>
      </w:r>
      <w:r w:rsidR="00A45F85" w:rsidRPr="00AB55E7">
        <w:rPr>
          <w:rFonts w:cs="Arial"/>
          <w:color w:val="auto"/>
          <w:sz w:val="20"/>
          <w:szCs w:val="20"/>
        </w:rPr>
        <w:t>1</w:t>
      </w:r>
      <w:r w:rsidR="001E5D8F" w:rsidRPr="00AB55E7">
        <w:rPr>
          <w:rFonts w:cs="Arial"/>
          <w:color w:val="auto"/>
          <w:sz w:val="20"/>
          <w:szCs w:val="20"/>
        </w:rPr>
        <w:t>4</w:t>
      </w:r>
      <w:r w:rsidR="00A45F85" w:rsidRPr="00AB55E7">
        <w:rPr>
          <w:rFonts w:cs="Arial"/>
          <w:color w:val="auto"/>
          <w:sz w:val="20"/>
          <w:szCs w:val="20"/>
        </w:rPr>
        <w:t>/1</w:t>
      </w:r>
      <w:r w:rsidR="001E5D8F" w:rsidRPr="00AB55E7">
        <w:rPr>
          <w:rFonts w:cs="Arial"/>
          <w:color w:val="auto"/>
          <w:sz w:val="20"/>
          <w:szCs w:val="20"/>
        </w:rPr>
        <w:t>5</w:t>
      </w:r>
      <w:r w:rsidR="00A45F85" w:rsidRPr="00AB55E7">
        <w:rPr>
          <w:rFonts w:cs="Arial"/>
          <w:color w:val="auto"/>
          <w:sz w:val="20"/>
          <w:szCs w:val="20"/>
        </w:rPr>
        <w:t xml:space="preserve">) </w:t>
      </w:r>
      <w:r w:rsidRPr="00AB55E7">
        <w:rPr>
          <w:rFonts w:cs="Arial"/>
          <w:color w:val="auto"/>
          <w:sz w:val="20"/>
          <w:szCs w:val="20"/>
        </w:rPr>
        <w:t xml:space="preserve">to meet known liabilities.  These are primarily in relation to insurance claims, (submitted to the Council but are currently being investigated), and in relation </w:t>
      </w:r>
      <w:r w:rsidR="00105DA1">
        <w:rPr>
          <w:rFonts w:cs="Arial"/>
          <w:color w:val="auto"/>
          <w:sz w:val="20"/>
          <w:szCs w:val="20"/>
        </w:rPr>
        <w:t xml:space="preserve">to </w:t>
      </w:r>
      <w:r w:rsidR="00CE44AD" w:rsidRPr="00AB55E7">
        <w:rPr>
          <w:rFonts w:cs="Arial"/>
          <w:color w:val="auto"/>
          <w:sz w:val="20"/>
          <w:szCs w:val="20"/>
        </w:rPr>
        <w:t>NNDR appeals submitted to the Valuation Office by 31</w:t>
      </w:r>
      <w:r w:rsidR="00CE44AD" w:rsidRPr="00AB55E7">
        <w:rPr>
          <w:rFonts w:cs="Arial"/>
          <w:color w:val="auto"/>
          <w:sz w:val="20"/>
          <w:szCs w:val="20"/>
          <w:vertAlign w:val="superscript"/>
        </w:rPr>
        <w:t>st</w:t>
      </w:r>
      <w:r w:rsidR="00CE44AD" w:rsidRPr="00AB55E7">
        <w:rPr>
          <w:rFonts w:cs="Arial"/>
          <w:color w:val="auto"/>
          <w:sz w:val="20"/>
          <w:szCs w:val="20"/>
        </w:rPr>
        <w:t xml:space="preserve"> March 201</w:t>
      </w:r>
      <w:r w:rsidR="00AB55E7" w:rsidRPr="00AB55E7">
        <w:rPr>
          <w:rFonts w:cs="Arial"/>
          <w:color w:val="auto"/>
          <w:sz w:val="20"/>
          <w:szCs w:val="20"/>
        </w:rPr>
        <w:t>6</w:t>
      </w:r>
      <w:r w:rsidRPr="00AB55E7">
        <w:rPr>
          <w:rFonts w:cs="Arial"/>
          <w:color w:val="auto"/>
          <w:sz w:val="20"/>
          <w:szCs w:val="20"/>
        </w:rPr>
        <w:t>.</w:t>
      </w:r>
      <w:r w:rsidR="0061066D" w:rsidRPr="00AB55E7">
        <w:rPr>
          <w:rFonts w:cs="Arial"/>
          <w:color w:val="auto"/>
          <w:sz w:val="20"/>
          <w:szCs w:val="20"/>
        </w:rPr>
        <w:t xml:space="preserve"> </w:t>
      </w:r>
    </w:p>
    <w:p w:rsidR="00E51139" w:rsidRPr="00AB55E7" w:rsidRDefault="00E51139" w:rsidP="00F31A9D">
      <w:pPr>
        <w:pStyle w:val="BodyText"/>
        <w:widowControl w:val="0"/>
        <w:rPr>
          <w:rFonts w:cs="Arial"/>
          <w:color w:val="auto"/>
          <w:sz w:val="20"/>
          <w:szCs w:val="20"/>
        </w:rPr>
      </w:pPr>
      <w:r w:rsidRPr="00AB55E7">
        <w:rPr>
          <w:rFonts w:cs="Arial"/>
          <w:color w:val="auto"/>
          <w:sz w:val="20"/>
          <w:szCs w:val="20"/>
        </w:rPr>
        <w:t xml:space="preserve">The Council has given a number of pension guarantees as Council staff transferred to other bodies such as </w:t>
      </w:r>
      <w:r w:rsidR="0028659A" w:rsidRPr="00AB55E7">
        <w:rPr>
          <w:rFonts w:cs="Arial"/>
          <w:color w:val="auto"/>
          <w:sz w:val="20"/>
          <w:szCs w:val="20"/>
        </w:rPr>
        <w:t>Torbay Development Agency</w:t>
      </w:r>
      <w:r w:rsidR="00AB55E7">
        <w:rPr>
          <w:rFonts w:cs="Arial"/>
          <w:color w:val="auto"/>
          <w:sz w:val="20"/>
          <w:szCs w:val="20"/>
        </w:rPr>
        <w:t xml:space="preserve"> and the English </w:t>
      </w:r>
      <w:r w:rsidR="007E33E1">
        <w:rPr>
          <w:rFonts w:cs="Arial"/>
          <w:color w:val="auto"/>
          <w:sz w:val="20"/>
          <w:szCs w:val="20"/>
        </w:rPr>
        <w:t>Riviera</w:t>
      </w:r>
      <w:r w:rsidR="00AB55E7">
        <w:rPr>
          <w:rFonts w:cs="Arial"/>
          <w:color w:val="auto"/>
          <w:sz w:val="20"/>
          <w:szCs w:val="20"/>
        </w:rPr>
        <w:t xml:space="preserve"> Tourism Company</w:t>
      </w:r>
      <w:r w:rsidRPr="00AB55E7">
        <w:rPr>
          <w:rFonts w:cs="Arial"/>
          <w:color w:val="auto"/>
          <w:sz w:val="20"/>
          <w:szCs w:val="20"/>
        </w:rPr>
        <w:t xml:space="preserve">. These are unlikely to result in a cash payment so are treated as a contingent liability. As owner or part owner of several limited companies the council has some exposure to risk but this is limited by share or guarantee. </w:t>
      </w:r>
    </w:p>
    <w:p w:rsidR="00ED6790" w:rsidRPr="00B8626D" w:rsidRDefault="009116C4" w:rsidP="00F31A9D">
      <w:pPr>
        <w:pStyle w:val="BodyText"/>
        <w:widowControl w:val="0"/>
        <w:rPr>
          <w:rFonts w:cs="Arial"/>
          <w:color w:val="auto"/>
          <w:sz w:val="20"/>
          <w:szCs w:val="20"/>
        </w:rPr>
      </w:pPr>
      <w:r w:rsidRPr="00B8626D">
        <w:rPr>
          <w:rFonts w:cs="Arial"/>
          <w:color w:val="auto"/>
          <w:sz w:val="20"/>
          <w:szCs w:val="20"/>
        </w:rPr>
        <w:t>The Council’s policy for setting fees to care home providers was taken to Judicial Review in 2014/15 and the initial judgment was in favour of the care homes</w:t>
      </w:r>
      <w:r w:rsidR="00B8626D">
        <w:rPr>
          <w:rFonts w:cs="Arial"/>
          <w:color w:val="auto"/>
          <w:sz w:val="20"/>
          <w:szCs w:val="20"/>
        </w:rPr>
        <w:t xml:space="preserve">. The </w:t>
      </w:r>
      <w:r w:rsidR="007E33E1">
        <w:rPr>
          <w:rFonts w:cs="Arial"/>
          <w:color w:val="auto"/>
          <w:sz w:val="20"/>
          <w:szCs w:val="20"/>
        </w:rPr>
        <w:t>Council</w:t>
      </w:r>
      <w:r w:rsidR="00B8626D">
        <w:rPr>
          <w:rFonts w:cs="Arial"/>
          <w:color w:val="auto"/>
          <w:sz w:val="20"/>
          <w:szCs w:val="20"/>
        </w:rPr>
        <w:t xml:space="preserve"> conceded on two issues and has made a payment in relation to those issues in 2015/16 of £2.2m</w:t>
      </w:r>
      <w:r w:rsidR="009E4DEE">
        <w:rPr>
          <w:rFonts w:cs="Arial"/>
          <w:color w:val="auto"/>
          <w:sz w:val="20"/>
          <w:szCs w:val="20"/>
        </w:rPr>
        <w:t>.</w:t>
      </w:r>
      <w:r w:rsidRPr="00B8626D">
        <w:rPr>
          <w:rFonts w:cs="Arial"/>
          <w:color w:val="auto"/>
          <w:sz w:val="20"/>
          <w:szCs w:val="20"/>
        </w:rPr>
        <w:t xml:space="preserve"> </w:t>
      </w:r>
      <w:r w:rsidR="006C55F1" w:rsidRPr="00B8626D">
        <w:rPr>
          <w:rFonts w:cs="Arial"/>
          <w:color w:val="auto"/>
          <w:sz w:val="20"/>
          <w:szCs w:val="20"/>
        </w:rPr>
        <w:t>As at 31</w:t>
      </w:r>
      <w:r w:rsidR="006C55F1" w:rsidRPr="00B8626D">
        <w:rPr>
          <w:rFonts w:cs="Arial"/>
          <w:color w:val="auto"/>
          <w:sz w:val="20"/>
          <w:szCs w:val="20"/>
          <w:vertAlign w:val="superscript"/>
        </w:rPr>
        <w:t>st</w:t>
      </w:r>
      <w:r w:rsidR="006C55F1" w:rsidRPr="00B8626D">
        <w:rPr>
          <w:rFonts w:cs="Arial"/>
          <w:color w:val="auto"/>
          <w:sz w:val="20"/>
          <w:szCs w:val="20"/>
        </w:rPr>
        <w:t xml:space="preserve"> March 201</w:t>
      </w:r>
      <w:r w:rsidR="00B8626D" w:rsidRPr="00B8626D">
        <w:rPr>
          <w:rFonts w:cs="Arial"/>
          <w:color w:val="auto"/>
          <w:sz w:val="20"/>
          <w:szCs w:val="20"/>
        </w:rPr>
        <w:t>6</w:t>
      </w:r>
      <w:r w:rsidR="006C55F1" w:rsidRPr="00B8626D">
        <w:rPr>
          <w:rFonts w:cs="Arial"/>
          <w:color w:val="auto"/>
          <w:sz w:val="20"/>
          <w:szCs w:val="20"/>
        </w:rPr>
        <w:t xml:space="preserve"> the </w:t>
      </w:r>
      <w:r w:rsidR="001D1FF6" w:rsidRPr="00B8626D">
        <w:rPr>
          <w:rFonts w:cs="Arial"/>
          <w:color w:val="auto"/>
          <w:sz w:val="20"/>
          <w:szCs w:val="20"/>
        </w:rPr>
        <w:t>Council</w:t>
      </w:r>
      <w:r w:rsidR="006C55F1" w:rsidRPr="00B8626D">
        <w:rPr>
          <w:rFonts w:cs="Arial"/>
          <w:color w:val="auto"/>
          <w:sz w:val="20"/>
          <w:szCs w:val="20"/>
        </w:rPr>
        <w:t xml:space="preserve"> had appealed against </w:t>
      </w:r>
      <w:r w:rsidR="009E4DEE">
        <w:rPr>
          <w:rFonts w:cs="Arial"/>
          <w:color w:val="auto"/>
          <w:sz w:val="20"/>
          <w:szCs w:val="20"/>
        </w:rPr>
        <w:t xml:space="preserve">one aspect of </w:t>
      </w:r>
      <w:r w:rsidR="006C55F1" w:rsidRPr="00B8626D">
        <w:rPr>
          <w:rFonts w:cs="Arial"/>
          <w:color w:val="auto"/>
          <w:sz w:val="20"/>
          <w:szCs w:val="20"/>
        </w:rPr>
        <w:t>the judgment</w:t>
      </w:r>
      <w:r w:rsidR="00412310" w:rsidRPr="00B8626D">
        <w:rPr>
          <w:rFonts w:cs="Arial"/>
          <w:color w:val="auto"/>
          <w:sz w:val="20"/>
          <w:szCs w:val="20"/>
        </w:rPr>
        <w:t xml:space="preserve"> which </w:t>
      </w:r>
      <w:r w:rsidR="00E370DE" w:rsidRPr="00B8626D">
        <w:rPr>
          <w:rFonts w:cs="Arial"/>
          <w:color w:val="auto"/>
          <w:sz w:val="20"/>
          <w:szCs w:val="20"/>
        </w:rPr>
        <w:t xml:space="preserve">is expected to </w:t>
      </w:r>
      <w:r w:rsidR="00412310" w:rsidRPr="00B8626D">
        <w:rPr>
          <w:rFonts w:cs="Arial"/>
          <w:color w:val="auto"/>
          <w:sz w:val="20"/>
          <w:szCs w:val="20"/>
        </w:rPr>
        <w:t xml:space="preserve">be resolved in </w:t>
      </w:r>
      <w:r w:rsidR="00B8626D" w:rsidRPr="00B8626D">
        <w:rPr>
          <w:rFonts w:cs="Arial"/>
          <w:color w:val="auto"/>
          <w:sz w:val="20"/>
          <w:szCs w:val="20"/>
        </w:rPr>
        <w:t xml:space="preserve">November </w:t>
      </w:r>
      <w:r w:rsidR="00412310" w:rsidRPr="00B8626D">
        <w:rPr>
          <w:rFonts w:cs="Arial"/>
          <w:color w:val="auto"/>
          <w:sz w:val="20"/>
          <w:szCs w:val="20"/>
        </w:rPr>
        <w:t>201</w:t>
      </w:r>
      <w:r w:rsidR="00B8626D" w:rsidRPr="00B8626D">
        <w:rPr>
          <w:rFonts w:cs="Arial"/>
          <w:color w:val="auto"/>
          <w:sz w:val="20"/>
          <w:szCs w:val="20"/>
        </w:rPr>
        <w:t>6</w:t>
      </w:r>
      <w:r w:rsidR="006C55F1" w:rsidRPr="00B8626D">
        <w:rPr>
          <w:rFonts w:cs="Arial"/>
          <w:color w:val="auto"/>
          <w:sz w:val="20"/>
          <w:szCs w:val="20"/>
        </w:rPr>
        <w:t>.</w:t>
      </w:r>
      <w:r w:rsidR="009E4DEE">
        <w:rPr>
          <w:rFonts w:cs="Arial"/>
          <w:color w:val="auto"/>
          <w:sz w:val="20"/>
          <w:szCs w:val="20"/>
        </w:rPr>
        <w:t xml:space="preserve"> </w:t>
      </w:r>
    </w:p>
    <w:p w:rsidR="00E51139" w:rsidRPr="00084A23" w:rsidRDefault="00E51139" w:rsidP="00F31A9D">
      <w:pPr>
        <w:pStyle w:val="BodyText"/>
        <w:widowControl w:val="0"/>
        <w:rPr>
          <w:rFonts w:cs="Arial"/>
          <w:color w:val="auto"/>
          <w:sz w:val="20"/>
          <w:szCs w:val="20"/>
          <w:u w:val="single"/>
        </w:rPr>
      </w:pPr>
      <w:r w:rsidRPr="00084A23">
        <w:rPr>
          <w:rFonts w:cs="Arial"/>
          <w:color w:val="auto"/>
          <w:sz w:val="20"/>
          <w:szCs w:val="20"/>
          <w:u w:val="single"/>
        </w:rPr>
        <w:t>Material events after reporting date</w:t>
      </w:r>
    </w:p>
    <w:p w:rsidR="00281E63" w:rsidRPr="00281E63" w:rsidRDefault="00281E63" w:rsidP="00F31A9D">
      <w:pPr>
        <w:pStyle w:val="BodyText"/>
        <w:widowControl w:val="0"/>
        <w:rPr>
          <w:rFonts w:cs="Arial"/>
          <w:color w:val="auto"/>
          <w:sz w:val="20"/>
          <w:szCs w:val="20"/>
        </w:rPr>
      </w:pPr>
      <w:r w:rsidRPr="00281E63">
        <w:rPr>
          <w:rFonts w:cs="Arial"/>
          <w:color w:val="auto"/>
          <w:sz w:val="20"/>
          <w:szCs w:val="20"/>
        </w:rPr>
        <w:t>In April 2016 the Cou</w:t>
      </w:r>
      <w:r w:rsidR="00BA2745">
        <w:rPr>
          <w:rFonts w:cs="Arial"/>
          <w:color w:val="auto"/>
          <w:sz w:val="20"/>
          <w:szCs w:val="20"/>
        </w:rPr>
        <w:t>ncil</w:t>
      </w:r>
      <w:r w:rsidRPr="00281E63">
        <w:rPr>
          <w:rFonts w:cs="Arial"/>
          <w:color w:val="auto"/>
          <w:sz w:val="20"/>
          <w:szCs w:val="20"/>
        </w:rPr>
        <w:t xml:space="preserve"> was </w:t>
      </w:r>
      <w:r w:rsidR="007A4682" w:rsidRPr="00281E63">
        <w:rPr>
          <w:rFonts w:cs="Arial"/>
          <w:color w:val="auto"/>
          <w:sz w:val="20"/>
          <w:szCs w:val="20"/>
        </w:rPr>
        <w:t>notified</w:t>
      </w:r>
      <w:r w:rsidRPr="00281E63">
        <w:rPr>
          <w:rFonts w:cs="Arial"/>
          <w:color w:val="auto"/>
          <w:sz w:val="20"/>
          <w:szCs w:val="20"/>
        </w:rPr>
        <w:t xml:space="preserve"> by a group of </w:t>
      </w:r>
      <w:r w:rsidR="00A12098">
        <w:rPr>
          <w:rFonts w:cs="Arial"/>
          <w:color w:val="auto"/>
          <w:sz w:val="20"/>
          <w:szCs w:val="20"/>
        </w:rPr>
        <w:t>c</w:t>
      </w:r>
      <w:r>
        <w:rPr>
          <w:rFonts w:cs="Arial"/>
          <w:color w:val="auto"/>
          <w:sz w:val="20"/>
          <w:szCs w:val="20"/>
        </w:rPr>
        <w:t>are</w:t>
      </w:r>
      <w:r w:rsidRPr="00281E63">
        <w:rPr>
          <w:rFonts w:cs="Arial"/>
          <w:color w:val="auto"/>
          <w:sz w:val="20"/>
          <w:szCs w:val="20"/>
        </w:rPr>
        <w:t xml:space="preserve"> </w:t>
      </w:r>
      <w:r w:rsidR="00A12098">
        <w:rPr>
          <w:rFonts w:cs="Arial"/>
          <w:color w:val="auto"/>
          <w:sz w:val="20"/>
          <w:szCs w:val="20"/>
        </w:rPr>
        <w:t>h</w:t>
      </w:r>
      <w:r w:rsidRPr="00281E63">
        <w:rPr>
          <w:rFonts w:cs="Arial"/>
          <w:color w:val="auto"/>
          <w:sz w:val="20"/>
          <w:szCs w:val="20"/>
        </w:rPr>
        <w:t>o</w:t>
      </w:r>
      <w:r>
        <w:rPr>
          <w:rFonts w:cs="Arial"/>
          <w:color w:val="auto"/>
          <w:sz w:val="20"/>
          <w:szCs w:val="20"/>
        </w:rPr>
        <w:t>me</w:t>
      </w:r>
      <w:r w:rsidRPr="00281E63">
        <w:rPr>
          <w:rFonts w:cs="Arial"/>
          <w:color w:val="auto"/>
          <w:sz w:val="20"/>
          <w:szCs w:val="20"/>
        </w:rPr>
        <w:t xml:space="preserve"> owners that </w:t>
      </w:r>
      <w:r w:rsidR="009E4179">
        <w:rPr>
          <w:rFonts w:cs="Arial"/>
          <w:color w:val="auto"/>
          <w:sz w:val="20"/>
          <w:szCs w:val="20"/>
        </w:rPr>
        <w:t xml:space="preserve">gave </w:t>
      </w:r>
      <w:r w:rsidR="00236F64">
        <w:rPr>
          <w:rFonts w:cs="Arial"/>
          <w:color w:val="auto"/>
          <w:sz w:val="20"/>
          <w:szCs w:val="20"/>
        </w:rPr>
        <w:t xml:space="preserve">a “pre-proceedings” letter relating to the Council’s calculation of its </w:t>
      </w:r>
      <w:r w:rsidR="00A12098">
        <w:rPr>
          <w:rFonts w:cs="Arial"/>
          <w:color w:val="auto"/>
          <w:sz w:val="20"/>
          <w:szCs w:val="20"/>
        </w:rPr>
        <w:t>c</w:t>
      </w:r>
      <w:r w:rsidR="00236F64">
        <w:rPr>
          <w:rFonts w:cs="Arial"/>
          <w:color w:val="auto"/>
          <w:sz w:val="20"/>
          <w:szCs w:val="20"/>
        </w:rPr>
        <w:t xml:space="preserve">are </w:t>
      </w:r>
      <w:r w:rsidR="00A12098">
        <w:rPr>
          <w:rFonts w:cs="Arial"/>
          <w:color w:val="auto"/>
          <w:sz w:val="20"/>
          <w:szCs w:val="20"/>
        </w:rPr>
        <w:t>h</w:t>
      </w:r>
      <w:r w:rsidR="00236F64">
        <w:rPr>
          <w:rFonts w:cs="Arial"/>
          <w:color w:val="auto"/>
          <w:sz w:val="20"/>
          <w:szCs w:val="20"/>
        </w:rPr>
        <w:t>ome fees which could lead to a</w:t>
      </w:r>
      <w:r w:rsidR="00A21CF5">
        <w:rPr>
          <w:rFonts w:cs="Arial"/>
          <w:color w:val="auto"/>
          <w:sz w:val="20"/>
          <w:szCs w:val="20"/>
        </w:rPr>
        <w:t xml:space="preserve"> </w:t>
      </w:r>
      <w:r w:rsidRPr="00281E63">
        <w:rPr>
          <w:rFonts w:cs="Arial"/>
          <w:color w:val="auto"/>
          <w:sz w:val="20"/>
          <w:szCs w:val="20"/>
        </w:rPr>
        <w:t>judi</w:t>
      </w:r>
      <w:r w:rsidR="00A21CF5">
        <w:rPr>
          <w:rFonts w:cs="Arial"/>
          <w:color w:val="auto"/>
          <w:sz w:val="20"/>
          <w:szCs w:val="20"/>
        </w:rPr>
        <w:t>cial</w:t>
      </w:r>
      <w:r w:rsidRPr="00281E63">
        <w:rPr>
          <w:rFonts w:cs="Arial"/>
          <w:color w:val="auto"/>
          <w:sz w:val="20"/>
          <w:szCs w:val="20"/>
        </w:rPr>
        <w:t xml:space="preserve"> review</w:t>
      </w:r>
      <w:r w:rsidR="00A21CF5">
        <w:rPr>
          <w:rFonts w:cs="Arial"/>
          <w:color w:val="auto"/>
          <w:sz w:val="20"/>
          <w:szCs w:val="20"/>
        </w:rPr>
        <w:t xml:space="preserve"> again </w:t>
      </w:r>
      <w:r w:rsidR="007A4682">
        <w:rPr>
          <w:rFonts w:cs="Arial"/>
          <w:color w:val="auto"/>
          <w:sz w:val="20"/>
          <w:szCs w:val="20"/>
        </w:rPr>
        <w:t>relating</w:t>
      </w:r>
      <w:r w:rsidR="00ED7AA7">
        <w:rPr>
          <w:rFonts w:cs="Arial"/>
          <w:color w:val="auto"/>
          <w:sz w:val="20"/>
          <w:szCs w:val="20"/>
        </w:rPr>
        <w:t xml:space="preserve"> </w:t>
      </w:r>
      <w:r w:rsidRPr="00281E63">
        <w:rPr>
          <w:rFonts w:cs="Arial"/>
          <w:color w:val="auto"/>
          <w:sz w:val="20"/>
          <w:szCs w:val="20"/>
        </w:rPr>
        <w:t>for 2014/15 and 2015/16 in re</w:t>
      </w:r>
      <w:r w:rsidR="00D178FE">
        <w:rPr>
          <w:rFonts w:cs="Arial"/>
          <w:color w:val="auto"/>
          <w:sz w:val="20"/>
          <w:szCs w:val="20"/>
        </w:rPr>
        <w:t>lation</w:t>
      </w:r>
      <w:r w:rsidRPr="00281E63">
        <w:rPr>
          <w:rFonts w:cs="Arial"/>
          <w:color w:val="auto"/>
          <w:sz w:val="20"/>
          <w:szCs w:val="20"/>
        </w:rPr>
        <w:t xml:space="preserve"> to another aspect of the fee </w:t>
      </w:r>
      <w:r w:rsidR="00D178FE">
        <w:rPr>
          <w:rFonts w:cs="Arial"/>
          <w:color w:val="auto"/>
          <w:sz w:val="20"/>
          <w:szCs w:val="20"/>
        </w:rPr>
        <w:t>c</w:t>
      </w:r>
      <w:r w:rsidRPr="00281E63">
        <w:rPr>
          <w:rFonts w:cs="Arial"/>
          <w:color w:val="auto"/>
          <w:sz w:val="20"/>
          <w:szCs w:val="20"/>
        </w:rPr>
        <w:t xml:space="preserve">alculation. </w:t>
      </w:r>
      <w:r w:rsidR="00ED7AA7">
        <w:rPr>
          <w:rFonts w:cs="Arial"/>
          <w:color w:val="auto"/>
          <w:sz w:val="20"/>
          <w:szCs w:val="20"/>
        </w:rPr>
        <w:t xml:space="preserve">In addition </w:t>
      </w:r>
      <w:r w:rsidR="00586999">
        <w:rPr>
          <w:rFonts w:cs="Arial"/>
          <w:color w:val="auto"/>
          <w:sz w:val="20"/>
          <w:szCs w:val="20"/>
        </w:rPr>
        <w:t xml:space="preserve">the letter referred to the </w:t>
      </w:r>
      <w:r w:rsidR="00ED7AA7">
        <w:rPr>
          <w:rFonts w:cs="Arial"/>
          <w:color w:val="auto"/>
          <w:sz w:val="20"/>
          <w:szCs w:val="20"/>
        </w:rPr>
        <w:t>2016/17</w:t>
      </w:r>
      <w:r w:rsidR="00586999">
        <w:rPr>
          <w:rFonts w:cs="Arial"/>
          <w:color w:val="auto"/>
          <w:sz w:val="20"/>
          <w:szCs w:val="20"/>
        </w:rPr>
        <w:t xml:space="preserve"> calcu</w:t>
      </w:r>
      <w:r w:rsidR="00673430">
        <w:rPr>
          <w:rFonts w:cs="Arial"/>
          <w:color w:val="auto"/>
          <w:sz w:val="20"/>
          <w:szCs w:val="20"/>
        </w:rPr>
        <w:t>l</w:t>
      </w:r>
      <w:r w:rsidR="00586999">
        <w:rPr>
          <w:rFonts w:cs="Arial"/>
          <w:color w:val="auto"/>
          <w:sz w:val="20"/>
          <w:szCs w:val="20"/>
        </w:rPr>
        <w:t>ation</w:t>
      </w:r>
      <w:r w:rsidR="00ED7AA7">
        <w:rPr>
          <w:rFonts w:cs="Arial"/>
          <w:color w:val="auto"/>
          <w:sz w:val="20"/>
          <w:szCs w:val="20"/>
        </w:rPr>
        <w:t xml:space="preserve">.  Any impact on 2016/17 is now, under the Risk Share Agreement for Adult Social Care a shared </w:t>
      </w:r>
      <w:r w:rsidR="007A4682">
        <w:rPr>
          <w:rFonts w:cs="Arial"/>
          <w:color w:val="auto"/>
          <w:sz w:val="20"/>
          <w:szCs w:val="20"/>
        </w:rPr>
        <w:t>risk</w:t>
      </w:r>
      <w:r w:rsidR="00ED7AA7">
        <w:rPr>
          <w:rFonts w:cs="Arial"/>
          <w:color w:val="auto"/>
          <w:sz w:val="20"/>
          <w:szCs w:val="20"/>
        </w:rPr>
        <w:t xml:space="preserve"> with the </w:t>
      </w:r>
      <w:r w:rsidR="007A4682">
        <w:rPr>
          <w:rFonts w:cs="Arial"/>
          <w:color w:val="auto"/>
          <w:sz w:val="20"/>
          <w:szCs w:val="20"/>
        </w:rPr>
        <w:t>Council</w:t>
      </w:r>
      <w:r w:rsidR="00ED7AA7">
        <w:rPr>
          <w:rFonts w:cs="Arial"/>
          <w:color w:val="auto"/>
          <w:sz w:val="20"/>
          <w:szCs w:val="20"/>
        </w:rPr>
        <w:t xml:space="preserve"> </w:t>
      </w:r>
      <w:r w:rsidR="007A4682">
        <w:rPr>
          <w:rFonts w:cs="Arial"/>
          <w:color w:val="auto"/>
          <w:sz w:val="20"/>
          <w:szCs w:val="20"/>
        </w:rPr>
        <w:t>liable</w:t>
      </w:r>
      <w:r w:rsidR="00ED7AA7">
        <w:rPr>
          <w:rFonts w:cs="Arial"/>
          <w:color w:val="auto"/>
          <w:sz w:val="20"/>
          <w:szCs w:val="20"/>
        </w:rPr>
        <w:t xml:space="preserve"> for 9% of any over/</w:t>
      </w:r>
      <w:r w:rsidR="007E33E1">
        <w:rPr>
          <w:rFonts w:cs="Arial"/>
          <w:color w:val="auto"/>
          <w:sz w:val="20"/>
          <w:szCs w:val="20"/>
        </w:rPr>
        <w:t>under spend</w:t>
      </w:r>
      <w:r w:rsidR="00ED7AA7">
        <w:rPr>
          <w:rFonts w:cs="Arial"/>
          <w:color w:val="auto"/>
          <w:sz w:val="20"/>
          <w:szCs w:val="20"/>
        </w:rPr>
        <w:t xml:space="preserve"> </w:t>
      </w:r>
      <w:r w:rsidR="007A4682">
        <w:rPr>
          <w:rFonts w:cs="Arial"/>
          <w:color w:val="auto"/>
          <w:sz w:val="20"/>
          <w:szCs w:val="20"/>
        </w:rPr>
        <w:t>on the</w:t>
      </w:r>
      <w:r w:rsidR="00ED7AA7">
        <w:rPr>
          <w:rFonts w:cs="Arial"/>
          <w:color w:val="auto"/>
          <w:sz w:val="20"/>
          <w:szCs w:val="20"/>
        </w:rPr>
        <w:t xml:space="preserve"> total I</w:t>
      </w:r>
      <w:r w:rsidR="0045110C">
        <w:rPr>
          <w:rFonts w:cs="Arial"/>
          <w:color w:val="auto"/>
          <w:sz w:val="20"/>
          <w:szCs w:val="20"/>
        </w:rPr>
        <w:t xml:space="preserve">ntegrated Care organisation (ICO) </w:t>
      </w:r>
      <w:r w:rsidR="00ED7AA7">
        <w:rPr>
          <w:rFonts w:cs="Arial"/>
          <w:color w:val="auto"/>
          <w:sz w:val="20"/>
          <w:szCs w:val="20"/>
        </w:rPr>
        <w:t>financial position.</w:t>
      </w:r>
    </w:p>
    <w:p w:rsidR="00E51139" w:rsidRPr="00084A23" w:rsidRDefault="00E51139" w:rsidP="00F31A9D">
      <w:pPr>
        <w:pStyle w:val="BodyText"/>
        <w:widowControl w:val="0"/>
        <w:rPr>
          <w:rFonts w:cs="Arial"/>
          <w:color w:val="auto"/>
          <w:sz w:val="20"/>
          <w:szCs w:val="20"/>
          <w:u w:val="single"/>
        </w:rPr>
      </w:pPr>
      <w:r w:rsidRPr="00084A23">
        <w:rPr>
          <w:rFonts w:cs="Arial"/>
          <w:color w:val="auto"/>
          <w:sz w:val="20"/>
          <w:szCs w:val="20"/>
          <w:u w:val="single"/>
        </w:rPr>
        <w:t>Links to Other Financial information</w:t>
      </w:r>
    </w:p>
    <w:p w:rsidR="00795B9E" w:rsidRPr="00084A23" w:rsidRDefault="00E51139" w:rsidP="0061066D">
      <w:pPr>
        <w:pStyle w:val="BodyText"/>
        <w:widowControl w:val="0"/>
        <w:rPr>
          <w:rFonts w:cs="Arial"/>
          <w:color w:val="auto"/>
          <w:sz w:val="20"/>
          <w:szCs w:val="20"/>
        </w:rPr>
      </w:pPr>
      <w:r w:rsidRPr="00084A23">
        <w:rPr>
          <w:rFonts w:cs="Arial"/>
          <w:color w:val="auto"/>
          <w:sz w:val="20"/>
          <w:szCs w:val="20"/>
        </w:rPr>
        <w:t>The Statement of Accounts is a key financial document published by the Council. The Council’s website contains the Statement of Accounts for previous years and a range of additional financial information:</w:t>
      </w:r>
      <w:r w:rsidR="0061066D" w:rsidRPr="00084A23">
        <w:rPr>
          <w:rFonts w:cs="Arial"/>
          <w:color w:val="auto"/>
          <w:sz w:val="20"/>
          <w:szCs w:val="20"/>
        </w:rPr>
        <w:t xml:space="preserve"> </w:t>
      </w:r>
    </w:p>
    <w:p w:rsidR="00E51139" w:rsidRPr="00084A23" w:rsidRDefault="00B81D58" w:rsidP="0061066D">
      <w:pPr>
        <w:pStyle w:val="BodyText"/>
        <w:widowControl w:val="0"/>
        <w:rPr>
          <w:rFonts w:cs="Arial"/>
          <w:color w:val="auto"/>
          <w:sz w:val="20"/>
          <w:szCs w:val="20"/>
        </w:rPr>
      </w:pPr>
      <w:r w:rsidRPr="00084A23">
        <w:rPr>
          <w:rFonts w:cs="Arial"/>
          <w:color w:val="auto"/>
          <w:sz w:val="20"/>
          <w:szCs w:val="20"/>
        </w:rPr>
        <w:t xml:space="preserve">Link: </w:t>
      </w:r>
      <w:r w:rsidR="00795B9E" w:rsidRPr="00084A23">
        <w:rPr>
          <w:rFonts w:cs="Arial"/>
          <w:color w:val="auto"/>
          <w:sz w:val="20"/>
          <w:szCs w:val="20"/>
        </w:rPr>
        <w:t xml:space="preserve"> </w:t>
      </w:r>
      <w:hyperlink r:id="rId25" w:history="1">
        <w:r w:rsidR="00E51139" w:rsidRPr="00084A23">
          <w:rPr>
            <w:rStyle w:val="Hyperlink"/>
            <w:rFonts w:cs="Arial"/>
            <w:color w:val="auto"/>
            <w:sz w:val="20"/>
            <w:szCs w:val="20"/>
          </w:rPr>
          <w:t>http://www.torbay.gov.uk/financialservices</w:t>
        </w:r>
      </w:hyperlink>
      <w:r w:rsidR="00E51139" w:rsidRPr="00084A23">
        <w:rPr>
          <w:rFonts w:cs="Arial"/>
          <w:color w:val="auto"/>
          <w:sz w:val="20"/>
          <w:szCs w:val="20"/>
        </w:rPr>
        <w:t xml:space="preserve">. </w:t>
      </w:r>
    </w:p>
    <w:p w:rsidR="00795B9E" w:rsidRPr="00084A23" w:rsidRDefault="00E51139" w:rsidP="00B81D58">
      <w:pPr>
        <w:pStyle w:val="BodyText"/>
        <w:widowControl w:val="0"/>
        <w:rPr>
          <w:rFonts w:cs="Arial"/>
          <w:color w:val="auto"/>
          <w:sz w:val="20"/>
          <w:szCs w:val="20"/>
        </w:rPr>
      </w:pPr>
      <w:r w:rsidRPr="00084A23">
        <w:rPr>
          <w:rFonts w:cs="Arial"/>
          <w:color w:val="auto"/>
          <w:sz w:val="20"/>
          <w:szCs w:val="20"/>
        </w:rPr>
        <w:t xml:space="preserve">All financial reports such as monitoring reports and outturn reports are reported on a regular basis to Council Committees. </w:t>
      </w:r>
    </w:p>
    <w:p w:rsidR="00E51139" w:rsidRPr="00084A23" w:rsidRDefault="00B81D58" w:rsidP="00B81D58">
      <w:pPr>
        <w:pStyle w:val="BodyText"/>
        <w:widowControl w:val="0"/>
        <w:rPr>
          <w:rFonts w:cs="Arial"/>
          <w:color w:val="auto"/>
          <w:sz w:val="20"/>
          <w:szCs w:val="20"/>
        </w:rPr>
      </w:pPr>
      <w:r w:rsidRPr="00084A23">
        <w:rPr>
          <w:rFonts w:cs="Arial"/>
          <w:color w:val="auto"/>
          <w:sz w:val="20"/>
          <w:szCs w:val="20"/>
        </w:rPr>
        <w:t>Link:</w:t>
      </w:r>
      <w:r w:rsidR="00264A88" w:rsidRPr="00264A88">
        <w:t xml:space="preserve"> </w:t>
      </w:r>
      <w:hyperlink r:id="rId26" w:history="1">
        <w:r w:rsidR="00264A88">
          <w:rPr>
            <w:rStyle w:val="Hyperlink"/>
          </w:rPr>
          <w:t>http://www.torbay.gov.uk/DemocraticServices/uuCoverPage.aspx?bcr=1</w:t>
        </w:r>
      </w:hyperlink>
    </w:p>
    <w:p w:rsidR="00E51139" w:rsidRPr="00084A23" w:rsidRDefault="00E51139" w:rsidP="00F31A9D">
      <w:pPr>
        <w:pStyle w:val="BodyText"/>
        <w:widowControl w:val="0"/>
        <w:rPr>
          <w:rFonts w:cs="Arial"/>
          <w:color w:val="auto"/>
          <w:sz w:val="20"/>
          <w:szCs w:val="20"/>
          <w:u w:val="single"/>
        </w:rPr>
      </w:pPr>
      <w:r w:rsidRPr="00084A23">
        <w:rPr>
          <w:rFonts w:cs="Arial"/>
          <w:color w:val="auto"/>
          <w:sz w:val="20"/>
          <w:szCs w:val="20"/>
          <w:u w:val="single"/>
        </w:rPr>
        <w:t>Glossary</w:t>
      </w:r>
    </w:p>
    <w:p w:rsidR="00E51139" w:rsidRPr="00084A23" w:rsidRDefault="00E51139" w:rsidP="00F31A9D">
      <w:pPr>
        <w:pStyle w:val="BodyText"/>
        <w:widowControl w:val="0"/>
        <w:rPr>
          <w:rFonts w:cs="Arial"/>
          <w:color w:val="auto"/>
          <w:sz w:val="20"/>
          <w:szCs w:val="20"/>
        </w:rPr>
      </w:pPr>
      <w:r w:rsidRPr="00084A23">
        <w:rPr>
          <w:rFonts w:cs="Arial"/>
          <w:color w:val="auto"/>
          <w:sz w:val="20"/>
          <w:szCs w:val="20"/>
        </w:rPr>
        <w:t>There is a glossary at the back of these documents to help explain the meaning of the some of the local government finance and IFRS accounting terms.</w:t>
      </w:r>
    </w:p>
    <w:p w:rsidR="00E51139" w:rsidRPr="00084A23" w:rsidRDefault="00E51139" w:rsidP="00F31A9D">
      <w:pPr>
        <w:pStyle w:val="BodyText"/>
        <w:widowControl w:val="0"/>
        <w:rPr>
          <w:rFonts w:cs="Arial"/>
          <w:color w:val="auto"/>
          <w:sz w:val="20"/>
          <w:szCs w:val="20"/>
          <w:u w:val="single"/>
        </w:rPr>
      </w:pPr>
      <w:r w:rsidRPr="00084A23">
        <w:rPr>
          <w:rFonts w:cs="Arial"/>
          <w:color w:val="auto"/>
          <w:sz w:val="20"/>
          <w:szCs w:val="20"/>
          <w:u w:val="single"/>
        </w:rPr>
        <w:t>Signed by</w:t>
      </w:r>
    </w:p>
    <w:p w:rsidR="00E7195F" w:rsidRPr="00D42E0B" w:rsidRDefault="00E7195F" w:rsidP="0013675C">
      <w:pPr>
        <w:pStyle w:val="BodyText"/>
        <w:widowControl w:val="0"/>
        <w:spacing w:after="120"/>
        <w:rPr>
          <w:rFonts w:cs="Arial"/>
          <w:color w:val="548DD4" w:themeColor="text2" w:themeTint="99"/>
          <w:sz w:val="20"/>
          <w:szCs w:val="20"/>
        </w:rPr>
      </w:pPr>
    </w:p>
    <w:p w:rsidR="00E7195F" w:rsidRPr="00D42E0B" w:rsidRDefault="00E7195F" w:rsidP="0013675C">
      <w:pPr>
        <w:pStyle w:val="BodyText"/>
        <w:widowControl w:val="0"/>
        <w:spacing w:after="120"/>
        <w:rPr>
          <w:rFonts w:cs="Arial"/>
          <w:color w:val="548DD4" w:themeColor="text2" w:themeTint="99"/>
          <w:sz w:val="20"/>
          <w:szCs w:val="20"/>
        </w:rPr>
      </w:pPr>
    </w:p>
    <w:p w:rsidR="00E7195F" w:rsidRPr="00D42E0B" w:rsidRDefault="00E7195F" w:rsidP="0013675C">
      <w:pPr>
        <w:pStyle w:val="BodyText"/>
        <w:widowControl w:val="0"/>
        <w:spacing w:after="120"/>
        <w:rPr>
          <w:rFonts w:cs="Arial"/>
          <w:color w:val="548DD4" w:themeColor="text2" w:themeTint="99"/>
          <w:sz w:val="20"/>
          <w:szCs w:val="20"/>
        </w:rPr>
      </w:pPr>
    </w:p>
    <w:p w:rsidR="00E51139" w:rsidRPr="00084A23" w:rsidRDefault="00C852D5" w:rsidP="0013675C">
      <w:pPr>
        <w:pStyle w:val="BodyText"/>
        <w:widowControl w:val="0"/>
        <w:spacing w:after="120"/>
        <w:rPr>
          <w:rFonts w:cs="Arial"/>
          <w:color w:val="auto"/>
          <w:sz w:val="20"/>
          <w:szCs w:val="20"/>
        </w:rPr>
      </w:pPr>
      <w:r w:rsidRPr="00084A23">
        <w:rPr>
          <w:rFonts w:cs="Arial"/>
          <w:color w:val="auto"/>
          <w:sz w:val="20"/>
          <w:szCs w:val="20"/>
        </w:rPr>
        <w:t>Martin Phillips</w:t>
      </w:r>
      <w:r w:rsidR="00726555">
        <w:rPr>
          <w:rFonts w:cs="Arial"/>
          <w:color w:val="auto"/>
          <w:sz w:val="20"/>
          <w:szCs w:val="20"/>
        </w:rPr>
        <w:tab/>
      </w:r>
      <w:r w:rsidR="00726555">
        <w:rPr>
          <w:rFonts w:cs="Arial"/>
          <w:color w:val="auto"/>
          <w:sz w:val="20"/>
          <w:szCs w:val="20"/>
        </w:rPr>
        <w:tab/>
      </w:r>
      <w:r w:rsidR="001518F6">
        <w:rPr>
          <w:rFonts w:cs="Arial"/>
          <w:color w:val="auto"/>
          <w:sz w:val="20"/>
          <w:szCs w:val="20"/>
        </w:rPr>
        <w:tab/>
      </w:r>
      <w:r w:rsidR="001518F6">
        <w:rPr>
          <w:rFonts w:cs="Arial"/>
          <w:color w:val="auto"/>
          <w:sz w:val="20"/>
          <w:szCs w:val="20"/>
        </w:rPr>
        <w:tab/>
      </w:r>
      <w:r w:rsidR="001518F6">
        <w:rPr>
          <w:rFonts w:cs="Arial"/>
          <w:color w:val="auto"/>
          <w:sz w:val="20"/>
          <w:szCs w:val="20"/>
        </w:rPr>
        <w:tab/>
      </w:r>
      <w:r w:rsidR="001518F6">
        <w:rPr>
          <w:rFonts w:cs="Arial"/>
          <w:color w:val="auto"/>
          <w:sz w:val="20"/>
          <w:szCs w:val="20"/>
        </w:rPr>
        <w:tab/>
        <w:t>Steve Parrock</w:t>
      </w:r>
    </w:p>
    <w:p w:rsidR="00E51139" w:rsidRPr="00084A23" w:rsidRDefault="00E51139" w:rsidP="0013675C">
      <w:pPr>
        <w:pStyle w:val="BodyText"/>
        <w:widowControl w:val="0"/>
        <w:spacing w:after="120"/>
        <w:rPr>
          <w:rFonts w:cs="Arial"/>
          <w:color w:val="auto"/>
          <w:sz w:val="20"/>
          <w:szCs w:val="20"/>
        </w:rPr>
      </w:pPr>
      <w:r w:rsidRPr="00084A23">
        <w:rPr>
          <w:rFonts w:cs="Arial"/>
          <w:color w:val="auto"/>
          <w:sz w:val="20"/>
          <w:szCs w:val="20"/>
        </w:rPr>
        <w:t>Chief Finance Officer</w:t>
      </w:r>
      <w:r w:rsidR="001518F6">
        <w:rPr>
          <w:rFonts w:cs="Arial"/>
          <w:color w:val="auto"/>
          <w:sz w:val="20"/>
          <w:szCs w:val="20"/>
        </w:rPr>
        <w:tab/>
      </w:r>
      <w:r w:rsidR="001518F6">
        <w:rPr>
          <w:rFonts w:cs="Arial"/>
          <w:color w:val="auto"/>
          <w:sz w:val="20"/>
          <w:szCs w:val="20"/>
        </w:rPr>
        <w:tab/>
      </w:r>
      <w:r w:rsidR="001518F6">
        <w:rPr>
          <w:rFonts w:cs="Arial"/>
          <w:color w:val="auto"/>
          <w:sz w:val="20"/>
          <w:szCs w:val="20"/>
        </w:rPr>
        <w:tab/>
      </w:r>
      <w:r w:rsidR="001518F6">
        <w:rPr>
          <w:rFonts w:cs="Arial"/>
          <w:color w:val="auto"/>
          <w:sz w:val="20"/>
          <w:szCs w:val="20"/>
        </w:rPr>
        <w:tab/>
      </w:r>
      <w:r w:rsidR="001518F6">
        <w:rPr>
          <w:rFonts w:cs="Arial"/>
          <w:color w:val="auto"/>
          <w:sz w:val="20"/>
          <w:szCs w:val="20"/>
        </w:rPr>
        <w:tab/>
        <w:t>Chief Executive</w:t>
      </w:r>
    </w:p>
    <w:p w:rsidR="00E51139" w:rsidRPr="00084A23" w:rsidRDefault="00E51139" w:rsidP="0013675C">
      <w:pPr>
        <w:pStyle w:val="BodyText"/>
        <w:widowControl w:val="0"/>
        <w:spacing w:after="120"/>
        <w:rPr>
          <w:rFonts w:cs="Arial"/>
          <w:color w:val="auto"/>
          <w:sz w:val="20"/>
          <w:szCs w:val="20"/>
        </w:rPr>
      </w:pPr>
      <w:r w:rsidRPr="00084A23">
        <w:rPr>
          <w:rFonts w:cs="Arial"/>
          <w:color w:val="auto"/>
          <w:sz w:val="20"/>
          <w:szCs w:val="20"/>
        </w:rPr>
        <w:t>Torbay Council</w:t>
      </w:r>
      <w:r w:rsidR="001518F6">
        <w:rPr>
          <w:rFonts w:cs="Arial"/>
          <w:color w:val="auto"/>
          <w:sz w:val="20"/>
          <w:szCs w:val="20"/>
        </w:rPr>
        <w:tab/>
      </w:r>
      <w:r w:rsidR="001518F6">
        <w:rPr>
          <w:rFonts w:cs="Arial"/>
          <w:color w:val="auto"/>
          <w:sz w:val="20"/>
          <w:szCs w:val="20"/>
        </w:rPr>
        <w:tab/>
      </w:r>
      <w:r w:rsidR="001518F6">
        <w:rPr>
          <w:rFonts w:cs="Arial"/>
          <w:color w:val="auto"/>
          <w:sz w:val="20"/>
          <w:szCs w:val="20"/>
        </w:rPr>
        <w:tab/>
      </w:r>
      <w:r w:rsidR="001518F6">
        <w:rPr>
          <w:rFonts w:cs="Arial"/>
          <w:color w:val="auto"/>
          <w:sz w:val="20"/>
          <w:szCs w:val="20"/>
        </w:rPr>
        <w:tab/>
      </w:r>
      <w:r w:rsidR="001518F6">
        <w:rPr>
          <w:rFonts w:cs="Arial"/>
          <w:color w:val="auto"/>
          <w:sz w:val="20"/>
          <w:szCs w:val="20"/>
        </w:rPr>
        <w:tab/>
      </w:r>
      <w:r w:rsidR="001518F6">
        <w:rPr>
          <w:rFonts w:cs="Arial"/>
          <w:color w:val="auto"/>
          <w:sz w:val="20"/>
          <w:szCs w:val="20"/>
        </w:rPr>
        <w:tab/>
        <w:t>Torbay Council</w:t>
      </w:r>
    </w:p>
    <w:p w:rsidR="00114EA6" w:rsidRPr="00F80427" w:rsidRDefault="00084A23" w:rsidP="00200444">
      <w:pPr>
        <w:pStyle w:val="BodyText"/>
        <w:widowControl w:val="0"/>
        <w:spacing w:after="120"/>
        <w:rPr>
          <w:rFonts w:cs="Arial"/>
          <w:color w:val="auto"/>
          <w:sz w:val="20"/>
          <w:szCs w:val="20"/>
        </w:rPr>
        <w:sectPr w:rsidR="00114EA6" w:rsidRPr="00F80427" w:rsidSect="001A3F09">
          <w:headerReference w:type="default" r:id="rId27"/>
          <w:headerReference w:type="first" r:id="rId28"/>
          <w:pgSz w:w="11906" w:h="16838" w:code="9"/>
          <w:pgMar w:top="1440" w:right="1440" w:bottom="1440" w:left="1440" w:header="544" w:footer="544" w:gutter="0"/>
          <w:pgNumType w:start="1"/>
          <w:cols w:space="708"/>
          <w:titlePg/>
          <w:docGrid w:linePitch="360"/>
        </w:sectPr>
      </w:pPr>
      <w:r w:rsidRPr="00F80427">
        <w:rPr>
          <w:rFonts w:cs="Arial"/>
          <w:color w:val="auto"/>
          <w:sz w:val="20"/>
          <w:szCs w:val="20"/>
        </w:rPr>
        <w:t>3rd</w:t>
      </w:r>
      <w:r w:rsidR="00981FE9" w:rsidRPr="00F80427">
        <w:rPr>
          <w:rFonts w:cs="Arial"/>
          <w:color w:val="auto"/>
          <w:sz w:val="20"/>
          <w:szCs w:val="20"/>
        </w:rPr>
        <w:t xml:space="preserve"> </w:t>
      </w:r>
      <w:r w:rsidR="007928B7" w:rsidRPr="00F80427">
        <w:rPr>
          <w:rFonts w:cs="Arial"/>
          <w:color w:val="auto"/>
          <w:sz w:val="20"/>
          <w:szCs w:val="20"/>
        </w:rPr>
        <w:t>June</w:t>
      </w:r>
      <w:r w:rsidR="00981FE9" w:rsidRPr="00F80427">
        <w:rPr>
          <w:rFonts w:cs="Arial"/>
          <w:color w:val="auto"/>
          <w:sz w:val="20"/>
          <w:szCs w:val="20"/>
        </w:rPr>
        <w:t xml:space="preserve"> </w:t>
      </w:r>
      <w:r w:rsidR="00E51139" w:rsidRPr="00F80427">
        <w:rPr>
          <w:rFonts w:cs="Arial"/>
          <w:color w:val="auto"/>
          <w:sz w:val="20"/>
          <w:szCs w:val="20"/>
        </w:rPr>
        <w:t xml:space="preserve"> 201</w:t>
      </w:r>
      <w:r w:rsidRPr="00F80427">
        <w:rPr>
          <w:rFonts w:cs="Arial"/>
          <w:color w:val="auto"/>
          <w:sz w:val="20"/>
          <w:szCs w:val="20"/>
        </w:rPr>
        <w:t>6</w:t>
      </w:r>
      <w:r w:rsidR="001518F6" w:rsidRPr="00F80427">
        <w:rPr>
          <w:rFonts w:cs="Arial"/>
          <w:color w:val="auto"/>
          <w:sz w:val="20"/>
          <w:szCs w:val="20"/>
        </w:rPr>
        <w:tab/>
      </w:r>
      <w:r w:rsidR="001518F6" w:rsidRPr="00F80427">
        <w:rPr>
          <w:rFonts w:cs="Arial"/>
          <w:color w:val="auto"/>
          <w:sz w:val="20"/>
          <w:szCs w:val="20"/>
        </w:rPr>
        <w:tab/>
      </w:r>
      <w:r w:rsidR="001518F6" w:rsidRPr="00F80427">
        <w:rPr>
          <w:rFonts w:cs="Arial"/>
          <w:color w:val="auto"/>
          <w:sz w:val="20"/>
          <w:szCs w:val="20"/>
        </w:rPr>
        <w:tab/>
      </w:r>
      <w:r w:rsidR="001518F6" w:rsidRPr="00F80427">
        <w:rPr>
          <w:rFonts w:cs="Arial"/>
          <w:color w:val="auto"/>
          <w:sz w:val="20"/>
          <w:szCs w:val="20"/>
        </w:rPr>
        <w:tab/>
      </w:r>
      <w:r w:rsidR="001518F6" w:rsidRPr="00F80427">
        <w:rPr>
          <w:rFonts w:cs="Arial"/>
          <w:color w:val="auto"/>
          <w:sz w:val="20"/>
          <w:szCs w:val="20"/>
        </w:rPr>
        <w:tab/>
      </w:r>
      <w:r w:rsidR="001518F6" w:rsidRPr="00F80427">
        <w:rPr>
          <w:rFonts w:cs="Arial"/>
          <w:color w:val="auto"/>
          <w:sz w:val="20"/>
          <w:szCs w:val="20"/>
        </w:rPr>
        <w:tab/>
        <w:t>3</w:t>
      </w:r>
      <w:r w:rsidR="001518F6" w:rsidRPr="00F80427">
        <w:rPr>
          <w:rFonts w:cs="Arial"/>
          <w:color w:val="auto"/>
          <w:sz w:val="20"/>
          <w:szCs w:val="20"/>
          <w:vertAlign w:val="superscript"/>
        </w:rPr>
        <w:t>rd</w:t>
      </w:r>
      <w:r w:rsidR="001518F6" w:rsidRPr="00F80427">
        <w:rPr>
          <w:rFonts w:cs="Arial"/>
          <w:color w:val="auto"/>
          <w:sz w:val="20"/>
          <w:szCs w:val="20"/>
        </w:rPr>
        <w:t xml:space="preserve"> June 2016</w:t>
      </w:r>
    </w:p>
    <w:p w:rsidR="00D31DC9" w:rsidRPr="00D42E0B" w:rsidRDefault="00D31DC9" w:rsidP="00200444">
      <w:pPr>
        <w:pStyle w:val="BodyText"/>
        <w:widowControl w:val="0"/>
        <w:rPr>
          <w:rFonts w:cs="Arial"/>
          <w:b/>
          <w:color w:val="548DD4" w:themeColor="text2" w:themeTint="99"/>
          <w:sz w:val="32"/>
          <w:szCs w:val="32"/>
        </w:rPr>
      </w:pPr>
    </w:p>
    <w:p w:rsidR="00D31DC9" w:rsidRPr="00D42E0B" w:rsidRDefault="00D31DC9" w:rsidP="00FE4E4C">
      <w:pPr>
        <w:pStyle w:val="BodyText"/>
        <w:widowControl w:val="0"/>
        <w:jc w:val="center"/>
        <w:rPr>
          <w:rFonts w:cs="Arial"/>
          <w:b/>
          <w:color w:val="548DD4" w:themeColor="text2" w:themeTint="99"/>
          <w:sz w:val="32"/>
          <w:szCs w:val="32"/>
        </w:rPr>
      </w:pPr>
    </w:p>
    <w:p w:rsidR="00F82C04" w:rsidRPr="00D42E0B" w:rsidRDefault="00F82C04" w:rsidP="00FE4E4C">
      <w:pPr>
        <w:pStyle w:val="BodyText"/>
        <w:widowControl w:val="0"/>
        <w:jc w:val="center"/>
        <w:rPr>
          <w:rFonts w:cs="Arial"/>
          <w:b/>
          <w:color w:val="548DD4" w:themeColor="text2" w:themeTint="99"/>
          <w:sz w:val="32"/>
          <w:szCs w:val="32"/>
        </w:rPr>
      </w:pPr>
    </w:p>
    <w:p w:rsidR="00F82C04" w:rsidRPr="00D42E0B" w:rsidRDefault="00F82C04" w:rsidP="00FE4E4C">
      <w:pPr>
        <w:pStyle w:val="BodyText"/>
        <w:widowControl w:val="0"/>
        <w:jc w:val="center"/>
        <w:rPr>
          <w:rFonts w:cs="Arial"/>
          <w:b/>
          <w:color w:val="548DD4" w:themeColor="text2" w:themeTint="99"/>
          <w:sz w:val="32"/>
          <w:szCs w:val="32"/>
        </w:rPr>
      </w:pPr>
    </w:p>
    <w:p w:rsidR="00F82C04" w:rsidRPr="00D42E0B" w:rsidRDefault="00F82C04" w:rsidP="00114EA6">
      <w:pPr>
        <w:pStyle w:val="BodyText"/>
        <w:widowControl w:val="0"/>
        <w:rPr>
          <w:rFonts w:cs="Arial"/>
          <w:b/>
          <w:color w:val="548DD4" w:themeColor="text2" w:themeTint="99"/>
          <w:sz w:val="32"/>
          <w:szCs w:val="32"/>
        </w:rPr>
      </w:pPr>
    </w:p>
    <w:p w:rsidR="00F82C04" w:rsidRPr="00D42E0B" w:rsidRDefault="00F82C04" w:rsidP="00FE4E4C">
      <w:pPr>
        <w:pStyle w:val="BodyText"/>
        <w:widowControl w:val="0"/>
        <w:jc w:val="center"/>
        <w:rPr>
          <w:rFonts w:cs="Arial"/>
          <w:b/>
          <w:color w:val="548DD4" w:themeColor="text2" w:themeTint="99"/>
          <w:sz w:val="32"/>
          <w:szCs w:val="32"/>
        </w:rPr>
      </w:pPr>
    </w:p>
    <w:p w:rsidR="00F82C04" w:rsidRPr="00D42E0B" w:rsidRDefault="00F82C04" w:rsidP="00FE4E4C">
      <w:pPr>
        <w:pStyle w:val="BodyText"/>
        <w:widowControl w:val="0"/>
        <w:jc w:val="center"/>
        <w:rPr>
          <w:rFonts w:cs="Arial"/>
          <w:b/>
          <w:color w:val="548DD4" w:themeColor="text2" w:themeTint="99"/>
          <w:sz w:val="32"/>
          <w:szCs w:val="32"/>
        </w:rPr>
      </w:pPr>
    </w:p>
    <w:p w:rsidR="00114EA6" w:rsidRPr="00D85733" w:rsidRDefault="00E51139" w:rsidP="00F82C04">
      <w:pPr>
        <w:pStyle w:val="BodyText"/>
        <w:widowControl w:val="0"/>
        <w:jc w:val="center"/>
        <w:rPr>
          <w:rFonts w:cs="Arial"/>
          <w:b/>
          <w:color w:val="auto"/>
          <w:sz w:val="32"/>
          <w:szCs w:val="32"/>
        </w:rPr>
        <w:sectPr w:rsidR="00114EA6" w:rsidRPr="00D85733" w:rsidSect="001A3F09">
          <w:headerReference w:type="first" r:id="rId29"/>
          <w:pgSz w:w="11906" w:h="16838" w:code="9"/>
          <w:pgMar w:top="1440" w:right="1440" w:bottom="1440" w:left="1440" w:header="544" w:footer="544" w:gutter="0"/>
          <w:cols w:space="708"/>
          <w:titlePg/>
          <w:docGrid w:linePitch="360"/>
        </w:sectPr>
      </w:pPr>
      <w:r w:rsidRPr="00D85733">
        <w:rPr>
          <w:rFonts w:cs="Arial"/>
          <w:b/>
          <w:color w:val="auto"/>
          <w:sz w:val="32"/>
          <w:szCs w:val="32"/>
        </w:rPr>
        <w:t>STATEMENT OF ACCOUNTS 201</w:t>
      </w:r>
      <w:r w:rsidR="00A85FEB" w:rsidRPr="00D85733">
        <w:rPr>
          <w:rFonts w:cs="Arial"/>
          <w:b/>
          <w:color w:val="auto"/>
          <w:sz w:val="32"/>
          <w:szCs w:val="32"/>
        </w:rPr>
        <w:t>5</w:t>
      </w:r>
      <w:r w:rsidR="00114EA6" w:rsidRPr="00D85733">
        <w:rPr>
          <w:rFonts w:cs="Arial"/>
          <w:b/>
          <w:color w:val="auto"/>
          <w:sz w:val="32"/>
          <w:szCs w:val="32"/>
        </w:rPr>
        <w:t>/1</w:t>
      </w:r>
      <w:r w:rsidR="00A85FEB" w:rsidRPr="00D85733">
        <w:rPr>
          <w:rFonts w:cs="Arial"/>
          <w:b/>
          <w:color w:val="auto"/>
          <w:sz w:val="32"/>
          <w:szCs w:val="32"/>
        </w:rPr>
        <w:t>6</w:t>
      </w:r>
    </w:p>
    <w:p w:rsidR="00BD5B25" w:rsidRPr="00533D20" w:rsidRDefault="00E51139" w:rsidP="00A407A7">
      <w:pPr>
        <w:jc w:val="center"/>
        <w:rPr>
          <w:b/>
          <w:color w:val="auto"/>
          <w:sz w:val="22"/>
          <w:szCs w:val="22"/>
        </w:rPr>
      </w:pPr>
      <w:r w:rsidRPr="00533D20">
        <w:rPr>
          <w:b/>
          <w:color w:val="auto"/>
          <w:sz w:val="22"/>
          <w:szCs w:val="22"/>
        </w:rPr>
        <w:lastRenderedPageBreak/>
        <w:t xml:space="preserve">STATEMENT OF ACCOUNTS </w:t>
      </w:r>
      <w:r w:rsidR="00321102" w:rsidRPr="00533D20">
        <w:rPr>
          <w:b/>
          <w:color w:val="auto"/>
          <w:sz w:val="22"/>
          <w:szCs w:val="22"/>
        </w:rPr>
        <w:t>201</w:t>
      </w:r>
      <w:r w:rsidR="00A85FEB" w:rsidRPr="00533D20">
        <w:rPr>
          <w:b/>
          <w:color w:val="auto"/>
          <w:sz w:val="22"/>
          <w:szCs w:val="22"/>
        </w:rPr>
        <w:t>5/16</w:t>
      </w:r>
    </w:p>
    <w:p w:rsidR="003E4150" w:rsidRPr="00D42E0B" w:rsidRDefault="003E4150" w:rsidP="003E4150">
      <w:pPr>
        <w:jc w:val="center"/>
        <w:rPr>
          <w:b/>
          <w:color w:val="548DD4" w:themeColor="text2" w:themeTint="99"/>
          <w:sz w:val="20"/>
          <w:szCs w:val="20"/>
        </w:rPr>
      </w:pPr>
    </w:p>
    <w:tbl>
      <w:tblPr>
        <w:tblW w:w="951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0A0"/>
      </w:tblPr>
      <w:tblGrid>
        <w:gridCol w:w="3936"/>
        <w:gridCol w:w="815"/>
        <w:gridCol w:w="4004"/>
        <w:gridCol w:w="762"/>
      </w:tblGrid>
      <w:tr w:rsidR="00E51139" w:rsidRPr="00A4792B" w:rsidTr="00A95302">
        <w:tc>
          <w:tcPr>
            <w:tcW w:w="3936" w:type="dxa"/>
          </w:tcPr>
          <w:p w:rsidR="00E51139" w:rsidRPr="00A4792B" w:rsidRDefault="00E51139" w:rsidP="00200444">
            <w:pPr>
              <w:widowControl w:val="0"/>
              <w:spacing w:after="0" w:line="240" w:lineRule="auto"/>
              <w:jc w:val="center"/>
              <w:rPr>
                <w:rFonts w:cs="Arial"/>
                <w:b/>
                <w:color w:val="auto"/>
                <w:sz w:val="20"/>
                <w:szCs w:val="20"/>
              </w:rPr>
            </w:pPr>
          </w:p>
        </w:tc>
        <w:tc>
          <w:tcPr>
            <w:tcW w:w="815" w:type="dxa"/>
          </w:tcPr>
          <w:p w:rsidR="00E51139" w:rsidRPr="00A4792B" w:rsidRDefault="00E51139" w:rsidP="000B3B73">
            <w:pPr>
              <w:widowControl w:val="0"/>
              <w:spacing w:after="0" w:line="240" w:lineRule="auto"/>
              <w:jc w:val="center"/>
              <w:rPr>
                <w:rFonts w:cs="Arial"/>
                <w:color w:val="auto"/>
                <w:sz w:val="20"/>
                <w:szCs w:val="20"/>
              </w:rPr>
            </w:pPr>
            <w:r w:rsidRPr="00A4792B">
              <w:rPr>
                <w:rFonts w:cs="Arial"/>
                <w:color w:val="auto"/>
                <w:sz w:val="20"/>
                <w:szCs w:val="20"/>
              </w:rPr>
              <w:t>Page</w:t>
            </w:r>
          </w:p>
        </w:tc>
        <w:tc>
          <w:tcPr>
            <w:tcW w:w="4004" w:type="dxa"/>
          </w:tcPr>
          <w:p w:rsidR="00E51139" w:rsidRPr="00A4792B" w:rsidRDefault="00E51139" w:rsidP="00A0020C">
            <w:pPr>
              <w:widowControl w:val="0"/>
              <w:spacing w:after="0" w:line="240" w:lineRule="auto"/>
              <w:rPr>
                <w:rFonts w:cs="Arial"/>
                <w:b/>
                <w:color w:val="auto"/>
                <w:sz w:val="20"/>
                <w:szCs w:val="20"/>
              </w:rPr>
            </w:pPr>
          </w:p>
        </w:tc>
        <w:tc>
          <w:tcPr>
            <w:tcW w:w="762" w:type="dxa"/>
          </w:tcPr>
          <w:p w:rsidR="00E51139" w:rsidRPr="00A4792B" w:rsidRDefault="00E51139" w:rsidP="000B3B73">
            <w:pPr>
              <w:widowControl w:val="0"/>
              <w:spacing w:after="0" w:line="240" w:lineRule="auto"/>
              <w:jc w:val="center"/>
              <w:rPr>
                <w:rFonts w:cs="Arial"/>
                <w:color w:val="auto"/>
                <w:sz w:val="20"/>
                <w:szCs w:val="20"/>
              </w:rPr>
            </w:pPr>
            <w:r w:rsidRPr="00A4792B">
              <w:rPr>
                <w:rFonts w:cs="Arial"/>
                <w:color w:val="auto"/>
                <w:sz w:val="20"/>
                <w:szCs w:val="20"/>
              </w:rPr>
              <w:t>Page</w:t>
            </w:r>
          </w:p>
        </w:tc>
      </w:tr>
      <w:tr w:rsidR="001B5E4C" w:rsidRPr="00A4792B" w:rsidTr="00A95302">
        <w:tc>
          <w:tcPr>
            <w:tcW w:w="3936" w:type="dxa"/>
          </w:tcPr>
          <w:p w:rsidR="001B5E4C" w:rsidRPr="00A4792B" w:rsidRDefault="001B5E4C" w:rsidP="00A0020C">
            <w:pPr>
              <w:widowControl w:val="0"/>
              <w:spacing w:after="0" w:line="240" w:lineRule="auto"/>
              <w:rPr>
                <w:rFonts w:cs="Arial"/>
                <w:color w:val="auto"/>
                <w:sz w:val="20"/>
                <w:szCs w:val="20"/>
              </w:rPr>
            </w:pPr>
            <w:r w:rsidRPr="00A4792B">
              <w:rPr>
                <w:rFonts w:cs="Arial"/>
                <w:color w:val="auto"/>
                <w:sz w:val="20"/>
                <w:szCs w:val="20"/>
              </w:rPr>
              <w:t>Financial Certificates</w:t>
            </w:r>
          </w:p>
        </w:tc>
        <w:tc>
          <w:tcPr>
            <w:tcW w:w="815" w:type="dxa"/>
          </w:tcPr>
          <w:p w:rsidR="001B5E4C" w:rsidRPr="00A4792B" w:rsidRDefault="001B5E4C" w:rsidP="00D21038">
            <w:pPr>
              <w:widowControl w:val="0"/>
              <w:spacing w:after="0" w:line="240" w:lineRule="auto"/>
              <w:jc w:val="center"/>
              <w:rPr>
                <w:rFonts w:cs="Arial"/>
                <w:color w:val="auto"/>
                <w:sz w:val="20"/>
                <w:szCs w:val="20"/>
              </w:rPr>
            </w:pPr>
            <w:r w:rsidRPr="00A4792B">
              <w:rPr>
                <w:rFonts w:cs="Arial"/>
                <w:color w:val="auto"/>
                <w:sz w:val="20"/>
                <w:szCs w:val="20"/>
              </w:rPr>
              <w:t>1</w:t>
            </w:r>
            <w:r w:rsidR="00D21038">
              <w:rPr>
                <w:rFonts w:cs="Arial"/>
                <w:color w:val="auto"/>
                <w:sz w:val="20"/>
                <w:szCs w:val="20"/>
              </w:rPr>
              <w:t>7</w:t>
            </w:r>
          </w:p>
        </w:tc>
        <w:tc>
          <w:tcPr>
            <w:tcW w:w="4004" w:type="dxa"/>
          </w:tcPr>
          <w:p w:rsidR="001B5E4C" w:rsidRPr="00A4792B" w:rsidRDefault="001B5E4C" w:rsidP="00A41AA3">
            <w:pPr>
              <w:widowControl w:val="0"/>
              <w:spacing w:after="0" w:line="240" w:lineRule="auto"/>
              <w:rPr>
                <w:rFonts w:cs="Arial"/>
                <w:color w:val="auto"/>
                <w:sz w:val="20"/>
                <w:szCs w:val="20"/>
              </w:rPr>
            </w:pPr>
            <w:r w:rsidRPr="00A4792B">
              <w:rPr>
                <w:rFonts w:cs="Arial"/>
                <w:color w:val="auto"/>
                <w:sz w:val="20"/>
                <w:szCs w:val="20"/>
              </w:rPr>
              <w:t>Note 18 Creditors</w:t>
            </w:r>
          </w:p>
        </w:tc>
        <w:tc>
          <w:tcPr>
            <w:tcW w:w="762" w:type="dxa"/>
          </w:tcPr>
          <w:p w:rsidR="001B5E4C" w:rsidRPr="00A4792B" w:rsidRDefault="003043A4" w:rsidP="003F076E">
            <w:pPr>
              <w:widowControl w:val="0"/>
              <w:spacing w:after="0" w:line="240" w:lineRule="auto"/>
              <w:jc w:val="center"/>
              <w:rPr>
                <w:rFonts w:cs="Arial"/>
                <w:color w:val="auto"/>
                <w:sz w:val="20"/>
                <w:szCs w:val="20"/>
              </w:rPr>
            </w:pPr>
            <w:r w:rsidRPr="00A4792B">
              <w:rPr>
                <w:rFonts w:cs="Arial"/>
                <w:color w:val="auto"/>
                <w:sz w:val="20"/>
                <w:szCs w:val="20"/>
              </w:rPr>
              <w:t>5</w:t>
            </w:r>
            <w:r w:rsidR="00D21038">
              <w:rPr>
                <w:rFonts w:cs="Arial"/>
                <w:color w:val="auto"/>
                <w:sz w:val="20"/>
                <w:szCs w:val="20"/>
              </w:rPr>
              <w:t>4</w:t>
            </w:r>
          </w:p>
        </w:tc>
      </w:tr>
      <w:tr w:rsidR="001B5E4C" w:rsidRPr="00A4792B" w:rsidTr="00A95302">
        <w:tc>
          <w:tcPr>
            <w:tcW w:w="3936" w:type="dxa"/>
          </w:tcPr>
          <w:p w:rsidR="001B5E4C" w:rsidRPr="00A4792B" w:rsidRDefault="001B5E4C" w:rsidP="00A0020C">
            <w:pPr>
              <w:widowControl w:val="0"/>
              <w:spacing w:after="0" w:line="240" w:lineRule="auto"/>
              <w:rPr>
                <w:rFonts w:cs="Arial"/>
                <w:color w:val="auto"/>
                <w:sz w:val="20"/>
                <w:szCs w:val="20"/>
              </w:rPr>
            </w:pPr>
          </w:p>
        </w:tc>
        <w:tc>
          <w:tcPr>
            <w:tcW w:w="815" w:type="dxa"/>
          </w:tcPr>
          <w:p w:rsidR="001B5E4C" w:rsidRPr="00A4792B" w:rsidRDefault="001B5E4C" w:rsidP="00A0020C">
            <w:pPr>
              <w:widowControl w:val="0"/>
              <w:spacing w:after="0" w:line="240" w:lineRule="auto"/>
              <w:jc w:val="center"/>
              <w:rPr>
                <w:rFonts w:cs="Arial"/>
                <w:color w:val="auto"/>
                <w:sz w:val="20"/>
                <w:szCs w:val="20"/>
              </w:rPr>
            </w:pPr>
          </w:p>
        </w:tc>
        <w:tc>
          <w:tcPr>
            <w:tcW w:w="4004" w:type="dxa"/>
          </w:tcPr>
          <w:p w:rsidR="001B5E4C" w:rsidRPr="00A4792B" w:rsidRDefault="001B5E4C" w:rsidP="00200444">
            <w:pPr>
              <w:widowControl w:val="0"/>
              <w:spacing w:after="0" w:line="240" w:lineRule="auto"/>
              <w:rPr>
                <w:rFonts w:cs="Arial"/>
                <w:color w:val="auto"/>
                <w:sz w:val="20"/>
                <w:szCs w:val="20"/>
              </w:rPr>
            </w:pPr>
            <w:r w:rsidRPr="00A4792B">
              <w:rPr>
                <w:rFonts w:cs="Arial"/>
                <w:color w:val="auto"/>
                <w:sz w:val="20"/>
                <w:szCs w:val="20"/>
              </w:rPr>
              <w:t>Note 19 Provisions</w:t>
            </w:r>
          </w:p>
        </w:tc>
        <w:tc>
          <w:tcPr>
            <w:tcW w:w="762" w:type="dxa"/>
          </w:tcPr>
          <w:p w:rsidR="001B5E4C" w:rsidRPr="00A4792B" w:rsidRDefault="003043A4" w:rsidP="003F076E">
            <w:pPr>
              <w:widowControl w:val="0"/>
              <w:spacing w:after="0" w:line="240" w:lineRule="auto"/>
              <w:jc w:val="center"/>
              <w:rPr>
                <w:rFonts w:cs="Arial"/>
                <w:color w:val="auto"/>
                <w:sz w:val="20"/>
                <w:szCs w:val="20"/>
              </w:rPr>
            </w:pPr>
            <w:r w:rsidRPr="00A4792B">
              <w:rPr>
                <w:rFonts w:cs="Arial"/>
                <w:color w:val="auto"/>
                <w:sz w:val="20"/>
                <w:szCs w:val="20"/>
              </w:rPr>
              <w:t>54</w:t>
            </w:r>
          </w:p>
        </w:tc>
      </w:tr>
      <w:tr w:rsidR="001B5E4C" w:rsidRPr="00A4792B" w:rsidTr="00A95302">
        <w:tc>
          <w:tcPr>
            <w:tcW w:w="3936" w:type="dxa"/>
          </w:tcPr>
          <w:p w:rsidR="001B5E4C" w:rsidRPr="00A4792B" w:rsidRDefault="001B5E4C" w:rsidP="00B900F6">
            <w:pPr>
              <w:widowControl w:val="0"/>
              <w:spacing w:after="0" w:line="240" w:lineRule="auto"/>
              <w:rPr>
                <w:rFonts w:cs="Arial"/>
                <w:color w:val="auto"/>
                <w:sz w:val="20"/>
                <w:szCs w:val="20"/>
              </w:rPr>
            </w:pPr>
            <w:r w:rsidRPr="00A4792B">
              <w:rPr>
                <w:rFonts w:cs="Arial"/>
                <w:color w:val="auto"/>
                <w:sz w:val="20"/>
                <w:szCs w:val="20"/>
              </w:rPr>
              <w:t xml:space="preserve">Independent Auditor’s Report </w:t>
            </w:r>
          </w:p>
        </w:tc>
        <w:tc>
          <w:tcPr>
            <w:tcW w:w="815" w:type="dxa"/>
          </w:tcPr>
          <w:p w:rsidR="001B5E4C" w:rsidRPr="00A4792B" w:rsidRDefault="00302AB0" w:rsidP="00D21038">
            <w:pPr>
              <w:widowControl w:val="0"/>
              <w:spacing w:after="0" w:line="240" w:lineRule="auto"/>
              <w:jc w:val="center"/>
              <w:rPr>
                <w:rFonts w:cs="Arial"/>
                <w:color w:val="auto"/>
                <w:sz w:val="20"/>
                <w:szCs w:val="20"/>
              </w:rPr>
            </w:pPr>
            <w:r w:rsidRPr="00A4792B">
              <w:rPr>
                <w:rFonts w:cs="Arial"/>
                <w:color w:val="auto"/>
                <w:sz w:val="20"/>
                <w:szCs w:val="20"/>
              </w:rPr>
              <w:t>1</w:t>
            </w:r>
            <w:r w:rsidR="00D21038">
              <w:rPr>
                <w:rFonts w:cs="Arial"/>
                <w:color w:val="auto"/>
                <w:sz w:val="20"/>
                <w:szCs w:val="20"/>
              </w:rPr>
              <w:t>9</w:t>
            </w:r>
          </w:p>
        </w:tc>
        <w:tc>
          <w:tcPr>
            <w:tcW w:w="4004" w:type="dxa"/>
          </w:tcPr>
          <w:p w:rsidR="001B5E4C" w:rsidRPr="00A4792B" w:rsidRDefault="001B5E4C" w:rsidP="00200444">
            <w:pPr>
              <w:widowControl w:val="0"/>
              <w:spacing w:after="0" w:line="240" w:lineRule="auto"/>
              <w:rPr>
                <w:rFonts w:cs="Arial"/>
                <w:color w:val="auto"/>
                <w:sz w:val="20"/>
                <w:szCs w:val="20"/>
              </w:rPr>
            </w:pPr>
            <w:r w:rsidRPr="00A4792B">
              <w:rPr>
                <w:rFonts w:cs="Arial"/>
                <w:color w:val="auto"/>
                <w:sz w:val="20"/>
                <w:szCs w:val="20"/>
              </w:rPr>
              <w:t>Note 20 Borrowing</w:t>
            </w:r>
          </w:p>
        </w:tc>
        <w:tc>
          <w:tcPr>
            <w:tcW w:w="762" w:type="dxa"/>
          </w:tcPr>
          <w:p w:rsidR="001B5E4C" w:rsidRPr="00A4792B" w:rsidRDefault="003043A4" w:rsidP="003F076E">
            <w:pPr>
              <w:widowControl w:val="0"/>
              <w:spacing w:after="0" w:line="240" w:lineRule="auto"/>
              <w:jc w:val="center"/>
              <w:rPr>
                <w:rFonts w:cs="Arial"/>
                <w:color w:val="auto"/>
                <w:sz w:val="20"/>
                <w:szCs w:val="20"/>
              </w:rPr>
            </w:pPr>
            <w:r w:rsidRPr="00A4792B">
              <w:rPr>
                <w:rFonts w:cs="Arial"/>
                <w:color w:val="auto"/>
                <w:sz w:val="20"/>
                <w:szCs w:val="20"/>
              </w:rPr>
              <w:t>55</w:t>
            </w:r>
          </w:p>
        </w:tc>
      </w:tr>
      <w:tr w:rsidR="001B5E4C" w:rsidRPr="00A4792B" w:rsidTr="00A95302">
        <w:tc>
          <w:tcPr>
            <w:tcW w:w="3936" w:type="dxa"/>
          </w:tcPr>
          <w:p w:rsidR="001B5E4C" w:rsidRPr="00A4792B" w:rsidRDefault="001B5E4C" w:rsidP="00A0020C">
            <w:pPr>
              <w:widowControl w:val="0"/>
              <w:spacing w:after="0" w:line="240" w:lineRule="auto"/>
              <w:rPr>
                <w:rFonts w:cs="Arial"/>
                <w:color w:val="auto"/>
                <w:sz w:val="20"/>
                <w:szCs w:val="20"/>
              </w:rPr>
            </w:pPr>
          </w:p>
        </w:tc>
        <w:tc>
          <w:tcPr>
            <w:tcW w:w="815" w:type="dxa"/>
          </w:tcPr>
          <w:p w:rsidR="001B5E4C" w:rsidRPr="00A4792B" w:rsidRDefault="001B5E4C" w:rsidP="00A0020C">
            <w:pPr>
              <w:widowControl w:val="0"/>
              <w:spacing w:after="0" w:line="240" w:lineRule="auto"/>
              <w:jc w:val="center"/>
              <w:rPr>
                <w:rFonts w:cs="Arial"/>
                <w:color w:val="auto"/>
                <w:sz w:val="20"/>
                <w:szCs w:val="20"/>
              </w:rPr>
            </w:pPr>
          </w:p>
        </w:tc>
        <w:tc>
          <w:tcPr>
            <w:tcW w:w="4004" w:type="dxa"/>
          </w:tcPr>
          <w:p w:rsidR="001B5E4C" w:rsidRPr="00A4792B" w:rsidRDefault="001B5E4C" w:rsidP="00200444">
            <w:pPr>
              <w:widowControl w:val="0"/>
              <w:spacing w:after="0" w:line="240" w:lineRule="auto"/>
              <w:rPr>
                <w:rFonts w:cs="Arial"/>
                <w:color w:val="auto"/>
                <w:sz w:val="20"/>
                <w:szCs w:val="20"/>
              </w:rPr>
            </w:pPr>
            <w:r w:rsidRPr="00A4792B">
              <w:rPr>
                <w:rFonts w:cs="Arial"/>
                <w:color w:val="auto"/>
                <w:sz w:val="20"/>
                <w:szCs w:val="20"/>
              </w:rPr>
              <w:t>Note 21 Liabilities</w:t>
            </w:r>
          </w:p>
        </w:tc>
        <w:tc>
          <w:tcPr>
            <w:tcW w:w="762" w:type="dxa"/>
          </w:tcPr>
          <w:p w:rsidR="001B5E4C" w:rsidRPr="00A4792B" w:rsidRDefault="001B5E4C" w:rsidP="003043A4">
            <w:pPr>
              <w:widowControl w:val="0"/>
              <w:spacing w:after="0" w:line="240" w:lineRule="auto"/>
              <w:jc w:val="center"/>
              <w:rPr>
                <w:rFonts w:cs="Arial"/>
                <w:color w:val="auto"/>
                <w:sz w:val="20"/>
                <w:szCs w:val="20"/>
              </w:rPr>
            </w:pPr>
            <w:r w:rsidRPr="00A4792B">
              <w:rPr>
                <w:rFonts w:cs="Arial"/>
                <w:color w:val="auto"/>
                <w:sz w:val="20"/>
                <w:szCs w:val="20"/>
              </w:rPr>
              <w:t>5</w:t>
            </w:r>
            <w:r w:rsidR="003043A4" w:rsidRPr="00A4792B">
              <w:rPr>
                <w:rFonts w:cs="Arial"/>
                <w:color w:val="auto"/>
                <w:sz w:val="20"/>
                <w:szCs w:val="20"/>
              </w:rPr>
              <w:t>6</w:t>
            </w:r>
          </w:p>
        </w:tc>
      </w:tr>
      <w:tr w:rsidR="001B5E4C" w:rsidRPr="00A4792B" w:rsidTr="00A95302">
        <w:tc>
          <w:tcPr>
            <w:tcW w:w="3936" w:type="dxa"/>
          </w:tcPr>
          <w:p w:rsidR="001B5E4C" w:rsidRPr="00A4792B" w:rsidRDefault="001B5E4C" w:rsidP="00A0020C">
            <w:pPr>
              <w:widowControl w:val="0"/>
              <w:spacing w:after="0" w:line="240" w:lineRule="auto"/>
              <w:rPr>
                <w:rFonts w:cs="Arial"/>
                <w:b/>
                <w:color w:val="auto"/>
                <w:sz w:val="20"/>
                <w:szCs w:val="20"/>
              </w:rPr>
            </w:pPr>
            <w:r w:rsidRPr="00A4792B">
              <w:rPr>
                <w:rFonts w:cs="Arial"/>
                <w:b/>
                <w:color w:val="auto"/>
                <w:sz w:val="20"/>
                <w:szCs w:val="20"/>
              </w:rPr>
              <w:t>Core Financial Statements:-</w:t>
            </w:r>
          </w:p>
        </w:tc>
        <w:tc>
          <w:tcPr>
            <w:tcW w:w="815" w:type="dxa"/>
          </w:tcPr>
          <w:p w:rsidR="001B5E4C" w:rsidRPr="00A4792B" w:rsidRDefault="001B5E4C" w:rsidP="00A0020C">
            <w:pPr>
              <w:widowControl w:val="0"/>
              <w:spacing w:after="0" w:line="240" w:lineRule="auto"/>
              <w:jc w:val="center"/>
              <w:rPr>
                <w:rFonts w:cs="Arial"/>
                <w:color w:val="auto"/>
                <w:sz w:val="20"/>
                <w:szCs w:val="20"/>
              </w:rPr>
            </w:pPr>
          </w:p>
        </w:tc>
        <w:tc>
          <w:tcPr>
            <w:tcW w:w="4004" w:type="dxa"/>
          </w:tcPr>
          <w:p w:rsidR="001B5E4C" w:rsidRPr="00A4792B" w:rsidRDefault="001B5E4C" w:rsidP="00200444">
            <w:pPr>
              <w:widowControl w:val="0"/>
              <w:spacing w:after="0" w:line="240" w:lineRule="auto"/>
              <w:rPr>
                <w:rFonts w:cs="Arial"/>
                <w:color w:val="auto"/>
                <w:sz w:val="20"/>
                <w:szCs w:val="20"/>
              </w:rPr>
            </w:pPr>
            <w:r w:rsidRPr="00A4792B">
              <w:rPr>
                <w:rFonts w:cs="Arial"/>
                <w:color w:val="auto"/>
                <w:sz w:val="20"/>
                <w:szCs w:val="20"/>
              </w:rPr>
              <w:t>Note 22 Usable Reserves</w:t>
            </w:r>
          </w:p>
        </w:tc>
        <w:tc>
          <w:tcPr>
            <w:tcW w:w="762" w:type="dxa"/>
          </w:tcPr>
          <w:p w:rsidR="001B5E4C" w:rsidRPr="00A4792B" w:rsidRDefault="00D21038" w:rsidP="003043A4">
            <w:pPr>
              <w:widowControl w:val="0"/>
              <w:spacing w:after="0" w:line="240" w:lineRule="auto"/>
              <w:jc w:val="center"/>
              <w:rPr>
                <w:rFonts w:cs="Arial"/>
                <w:color w:val="auto"/>
                <w:sz w:val="20"/>
                <w:szCs w:val="20"/>
              </w:rPr>
            </w:pPr>
            <w:r>
              <w:rPr>
                <w:rFonts w:cs="Arial"/>
                <w:color w:val="auto"/>
                <w:sz w:val="20"/>
                <w:szCs w:val="20"/>
              </w:rPr>
              <w:t>60</w:t>
            </w:r>
          </w:p>
        </w:tc>
      </w:tr>
      <w:tr w:rsidR="001B5E4C" w:rsidRPr="00A4792B" w:rsidTr="001B5E4C">
        <w:trPr>
          <w:trHeight w:val="371"/>
        </w:trPr>
        <w:tc>
          <w:tcPr>
            <w:tcW w:w="3936" w:type="dxa"/>
          </w:tcPr>
          <w:p w:rsidR="001B5E4C" w:rsidRPr="00A4792B" w:rsidRDefault="001B5E4C" w:rsidP="00A0020C">
            <w:pPr>
              <w:widowControl w:val="0"/>
              <w:spacing w:after="0" w:line="240" w:lineRule="auto"/>
              <w:rPr>
                <w:rFonts w:cs="Arial"/>
                <w:b/>
                <w:color w:val="auto"/>
                <w:sz w:val="20"/>
                <w:szCs w:val="20"/>
              </w:rPr>
            </w:pPr>
            <w:r w:rsidRPr="00A4792B">
              <w:rPr>
                <w:rFonts w:cs="Arial"/>
                <w:b/>
                <w:color w:val="auto"/>
                <w:sz w:val="20"/>
                <w:szCs w:val="20"/>
              </w:rPr>
              <w:t>Movement in Reserves Statement</w:t>
            </w:r>
          </w:p>
        </w:tc>
        <w:tc>
          <w:tcPr>
            <w:tcW w:w="815" w:type="dxa"/>
          </w:tcPr>
          <w:p w:rsidR="001B5E4C" w:rsidRPr="00A4792B" w:rsidRDefault="00302AB0" w:rsidP="00A0020C">
            <w:pPr>
              <w:widowControl w:val="0"/>
              <w:spacing w:after="0" w:line="240" w:lineRule="auto"/>
              <w:jc w:val="center"/>
              <w:rPr>
                <w:rFonts w:cs="Arial"/>
                <w:color w:val="auto"/>
                <w:sz w:val="20"/>
                <w:szCs w:val="20"/>
              </w:rPr>
            </w:pPr>
            <w:r w:rsidRPr="00A4792B">
              <w:rPr>
                <w:rFonts w:cs="Arial"/>
                <w:color w:val="auto"/>
                <w:sz w:val="20"/>
                <w:szCs w:val="20"/>
              </w:rPr>
              <w:t>2</w:t>
            </w:r>
            <w:r w:rsidR="00D21038">
              <w:rPr>
                <w:rFonts w:cs="Arial"/>
                <w:color w:val="auto"/>
                <w:sz w:val="20"/>
                <w:szCs w:val="20"/>
              </w:rPr>
              <w:t>2</w:t>
            </w:r>
          </w:p>
        </w:tc>
        <w:tc>
          <w:tcPr>
            <w:tcW w:w="4004" w:type="dxa"/>
          </w:tcPr>
          <w:p w:rsidR="001B5E4C" w:rsidRPr="00A4792B" w:rsidRDefault="001B5E4C" w:rsidP="00200444">
            <w:pPr>
              <w:widowControl w:val="0"/>
              <w:spacing w:after="0" w:line="240" w:lineRule="auto"/>
              <w:rPr>
                <w:rFonts w:cs="Arial"/>
                <w:color w:val="auto"/>
                <w:sz w:val="20"/>
                <w:szCs w:val="20"/>
              </w:rPr>
            </w:pPr>
            <w:r w:rsidRPr="00A4792B">
              <w:rPr>
                <w:rFonts w:cs="Arial"/>
                <w:color w:val="auto"/>
                <w:sz w:val="20"/>
                <w:szCs w:val="20"/>
              </w:rPr>
              <w:t>Note 23 Unusable Reserves</w:t>
            </w:r>
          </w:p>
        </w:tc>
        <w:tc>
          <w:tcPr>
            <w:tcW w:w="762" w:type="dxa"/>
          </w:tcPr>
          <w:p w:rsidR="001B5E4C" w:rsidRPr="00A4792B" w:rsidRDefault="00D21038" w:rsidP="003F076E">
            <w:pPr>
              <w:widowControl w:val="0"/>
              <w:spacing w:after="0" w:line="240" w:lineRule="auto"/>
              <w:jc w:val="center"/>
              <w:rPr>
                <w:rFonts w:cs="Arial"/>
                <w:color w:val="auto"/>
                <w:sz w:val="20"/>
                <w:szCs w:val="20"/>
              </w:rPr>
            </w:pPr>
            <w:r>
              <w:rPr>
                <w:rFonts w:cs="Arial"/>
                <w:color w:val="auto"/>
                <w:sz w:val="20"/>
                <w:szCs w:val="20"/>
              </w:rPr>
              <w:t>61</w:t>
            </w:r>
          </w:p>
        </w:tc>
      </w:tr>
      <w:tr w:rsidR="001B5E4C" w:rsidRPr="00A4792B" w:rsidTr="00A95302">
        <w:tc>
          <w:tcPr>
            <w:tcW w:w="3936" w:type="dxa"/>
          </w:tcPr>
          <w:p w:rsidR="001B5E4C" w:rsidRPr="00A4792B" w:rsidRDefault="001B5E4C" w:rsidP="00A0020C">
            <w:pPr>
              <w:widowControl w:val="0"/>
              <w:spacing w:after="0" w:line="240" w:lineRule="auto"/>
              <w:rPr>
                <w:rFonts w:cs="Arial"/>
                <w:b/>
                <w:color w:val="auto"/>
                <w:sz w:val="20"/>
                <w:szCs w:val="20"/>
              </w:rPr>
            </w:pPr>
            <w:r w:rsidRPr="00A4792B">
              <w:rPr>
                <w:rFonts w:cs="Arial"/>
                <w:b/>
                <w:color w:val="auto"/>
                <w:sz w:val="20"/>
                <w:szCs w:val="20"/>
              </w:rPr>
              <w:t>Comprehensive Income and Expenditure Statement</w:t>
            </w:r>
          </w:p>
        </w:tc>
        <w:tc>
          <w:tcPr>
            <w:tcW w:w="815" w:type="dxa"/>
          </w:tcPr>
          <w:p w:rsidR="001B5E4C" w:rsidRPr="00A4792B" w:rsidRDefault="00302AB0" w:rsidP="00A0020C">
            <w:pPr>
              <w:widowControl w:val="0"/>
              <w:spacing w:after="0" w:line="240" w:lineRule="auto"/>
              <w:jc w:val="center"/>
              <w:rPr>
                <w:rFonts w:cs="Arial"/>
                <w:color w:val="auto"/>
                <w:sz w:val="20"/>
                <w:szCs w:val="20"/>
              </w:rPr>
            </w:pPr>
            <w:r w:rsidRPr="00A4792B">
              <w:rPr>
                <w:rFonts w:cs="Arial"/>
                <w:color w:val="auto"/>
                <w:sz w:val="20"/>
                <w:szCs w:val="20"/>
              </w:rPr>
              <w:t>2</w:t>
            </w:r>
            <w:r w:rsidR="00D21038">
              <w:rPr>
                <w:rFonts w:cs="Arial"/>
                <w:color w:val="auto"/>
                <w:sz w:val="20"/>
                <w:szCs w:val="20"/>
              </w:rPr>
              <w:t>4</w:t>
            </w:r>
          </w:p>
        </w:tc>
        <w:tc>
          <w:tcPr>
            <w:tcW w:w="4004" w:type="dxa"/>
          </w:tcPr>
          <w:p w:rsidR="001B5E4C" w:rsidRPr="00A4792B" w:rsidRDefault="001B5E4C" w:rsidP="00A10253">
            <w:pPr>
              <w:widowControl w:val="0"/>
              <w:spacing w:after="0" w:line="240" w:lineRule="auto"/>
              <w:rPr>
                <w:rFonts w:cs="Arial"/>
                <w:color w:val="auto"/>
                <w:sz w:val="20"/>
                <w:szCs w:val="20"/>
              </w:rPr>
            </w:pPr>
            <w:r w:rsidRPr="00A4792B">
              <w:rPr>
                <w:rFonts w:cs="Arial"/>
                <w:color w:val="auto"/>
                <w:sz w:val="20"/>
                <w:szCs w:val="20"/>
              </w:rPr>
              <w:t>Note 2</w:t>
            </w:r>
            <w:r w:rsidR="00A10253" w:rsidRPr="00A4792B">
              <w:rPr>
                <w:rFonts w:cs="Arial"/>
                <w:color w:val="auto"/>
                <w:sz w:val="20"/>
                <w:szCs w:val="20"/>
              </w:rPr>
              <w:t>4</w:t>
            </w:r>
            <w:r w:rsidRPr="00A4792B">
              <w:rPr>
                <w:rFonts w:cs="Arial"/>
                <w:color w:val="auto"/>
                <w:sz w:val="20"/>
                <w:szCs w:val="20"/>
              </w:rPr>
              <w:t xml:space="preserve"> Amounts Reported for Resource Allocation Decisions</w:t>
            </w:r>
          </w:p>
        </w:tc>
        <w:tc>
          <w:tcPr>
            <w:tcW w:w="762" w:type="dxa"/>
          </w:tcPr>
          <w:p w:rsidR="001B5E4C" w:rsidRPr="00A4792B" w:rsidRDefault="001B5E4C" w:rsidP="003F076E">
            <w:pPr>
              <w:widowControl w:val="0"/>
              <w:spacing w:after="0" w:line="240" w:lineRule="auto"/>
              <w:jc w:val="center"/>
              <w:rPr>
                <w:rFonts w:cs="Arial"/>
                <w:color w:val="auto"/>
                <w:sz w:val="20"/>
                <w:szCs w:val="20"/>
              </w:rPr>
            </w:pPr>
            <w:r w:rsidRPr="00A4792B">
              <w:rPr>
                <w:rFonts w:cs="Arial"/>
                <w:color w:val="auto"/>
                <w:sz w:val="20"/>
                <w:szCs w:val="20"/>
              </w:rPr>
              <w:t>6</w:t>
            </w:r>
            <w:r w:rsidR="00D21038">
              <w:rPr>
                <w:rFonts w:cs="Arial"/>
                <w:color w:val="auto"/>
                <w:sz w:val="20"/>
                <w:szCs w:val="20"/>
              </w:rPr>
              <w:t>2</w:t>
            </w:r>
          </w:p>
        </w:tc>
      </w:tr>
      <w:tr w:rsidR="001B5E4C" w:rsidRPr="00A4792B" w:rsidTr="00A95302">
        <w:tc>
          <w:tcPr>
            <w:tcW w:w="3936" w:type="dxa"/>
          </w:tcPr>
          <w:p w:rsidR="001B5E4C" w:rsidRPr="00A4792B" w:rsidRDefault="001B5E4C" w:rsidP="00A0020C">
            <w:pPr>
              <w:widowControl w:val="0"/>
              <w:spacing w:after="0" w:line="240" w:lineRule="auto"/>
              <w:rPr>
                <w:rFonts w:cs="Arial"/>
                <w:b/>
                <w:color w:val="auto"/>
                <w:sz w:val="20"/>
                <w:szCs w:val="20"/>
              </w:rPr>
            </w:pPr>
            <w:r w:rsidRPr="00A4792B">
              <w:rPr>
                <w:rFonts w:cs="Arial"/>
                <w:b/>
                <w:color w:val="auto"/>
                <w:sz w:val="20"/>
                <w:szCs w:val="20"/>
              </w:rPr>
              <w:t>Balance Sheet</w:t>
            </w:r>
          </w:p>
        </w:tc>
        <w:tc>
          <w:tcPr>
            <w:tcW w:w="815" w:type="dxa"/>
          </w:tcPr>
          <w:p w:rsidR="001B5E4C" w:rsidRPr="00A4792B" w:rsidRDefault="00302AB0" w:rsidP="00A0020C">
            <w:pPr>
              <w:widowControl w:val="0"/>
              <w:spacing w:after="0" w:line="240" w:lineRule="auto"/>
              <w:jc w:val="center"/>
              <w:rPr>
                <w:rFonts w:cs="Arial"/>
                <w:color w:val="auto"/>
                <w:sz w:val="20"/>
                <w:szCs w:val="20"/>
              </w:rPr>
            </w:pPr>
            <w:r w:rsidRPr="00A4792B">
              <w:rPr>
                <w:rFonts w:cs="Arial"/>
                <w:color w:val="auto"/>
                <w:sz w:val="20"/>
                <w:szCs w:val="20"/>
              </w:rPr>
              <w:t>2</w:t>
            </w:r>
            <w:r w:rsidR="00D21038">
              <w:rPr>
                <w:rFonts w:cs="Arial"/>
                <w:color w:val="auto"/>
                <w:sz w:val="20"/>
                <w:szCs w:val="20"/>
              </w:rPr>
              <w:t>5</w:t>
            </w:r>
          </w:p>
        </w:tc>
        <w:tc>
          <w:tcPr>
            <w:tcW w:w="4004" w:type="dxa"/>
          </w:tcPr>
          <w:p w:rsidR="001B5E4C" w:rsidRPr="00A4792B" w:rsidRDefault="001B5E4C" w:rsidP="00A10253">
            <w:pPr>
              <w:widowControl w:val="0"/>
              <w:spacing w:after="0" w:line="240" w:lineRule="auto"/>
              <w:rPr>
                <w:rFonts w:cs="Arial"/>
                <w:color w:val="auto"/>
                <w:sz w:val="20"/>
                <w:szCs w:val="20"/>
              </w:rPr>
            </w:pPr>
            <w:r w:rsidRPr="00A4792B">
              <w:rPr>
                <w:rFonts w:cs="Arial"/>
                <w:color w:val="auto"/>
                <w:sz w:val="20"/>
                <w:szCs w:val="20"/>
              </w:rPr>
              <w:t>Note 2</w:t>
            </w:r>
            <w:r w:rsidR="00A10253" w:rsidRPr="00A4792B">
              <w:rPr>
                <w:rFonts w:cs="Arial"/>
                <w:color w:val="auto"/>
                <w:sz w:val="20"/>
                <w:szCs w:val="20"/>
              </w:rPr>
              <w:t>5</w:t>
            </w:r>
            <w:r w:rsidRPr="00A4792B">
              <w:rPr>
                <w:rFonts w:cs="Arial"/>
                <w:color w:val="auto"/>
                <w:sz w:val="20"/>
                <w:szCs w:val="20"/>
              </w:rPr>
              <w:t xml:space="preserve"> Pooled Budgets</w:t>
            </w:r>
          </w:p>
        </w:tc>
        <w:tc>
          <w:tcPr>
            <w:tcW w:w="762" w:type="dxa"/>
          </w:tcPr>
          <w:p w:rsidR="001B5E4C" w:rsidRPr="00A4792B" w:rsidRDefault="003043A4" w:rsidP="003F076E">
            <w:pPr>
              <w:widowControl w:val="0"/>
              <w:spacing w:after="0" w:line="240" w:lineRule="auto"/>
              <w:jc w:val="center"/>
              <w:rPr>
                <w:rFonts w:cs="Arial"/>
                <w:color w:val="auto"/>
                <w:sz w:val="20"/>
                <w:szCs w:val="20"/>
              </w:rPr>
            </w:pPr>
            <w:r w:rsidRPr="00A4792B">
              <w:rPr>
                <w:rFonts w:cs="Arial"/>
                <w:color w:val="auto"/>
                <w:sz w:val="20"/>
                <w:szCs w:val="20"/>
              </w:rPr>
              <w:t>6</w:t>
            </w:r>
            <w:r w:rsidR="00D21038">
              <w:rPr>
                <w:rFonts w:cs="Arial"/>
                <w:color w:val="auto"/>
                <w:sz w:val="20"/>
                <w:szCs w:val="20"/>
              </w:rPr>
              <w:t>6</w:t>
            </w:r>
          </w:p>
        </w:tc>
      </w:tr>
      <w:tr w:rsidR="001B5E4C" w:rsidRPr="00A4792B" w:rsidTr="00A95302">
        <w:tc>
          <w:tcPr>
            <w:tcW w:w="3936" w:type="dxa"/>
          </w:tcPr>
          <w:p w:rsidR="001B5E4C" w:rsidRPr="00A4792B" w:rsidRDefault="001B5E4C" w:rsidP="00A0020C">
            <w:pPr>
              <w:widowControl w:val="0"/>
              <w:spacing w:after="0" w:line="240" w:lineRule="auto"/>
              <w:rPr>
                <w:rFonts w:cs="Arial"/>
                <w:b/>
                <w:color w:val="auto"/>
                <w:sz w:val="20"/>
                <w:szCs w:val="20"/>
              </w:rPr>
            </w:pPr>
            <w:r w:rsidRPr="00A4792B">
              <w:rPr>
                <w:rFonts w:cs="Arial"/>
                <w:b/>
                <w:color w:val="auto"/>
                <w:sz w:val="20"/>
                <w:szCs w:val="20"/>
              </w:rPr>
              <w:t>Cash Flow Statement</w:t>
            </w:r>
          </w:p>
          <w:p w:rsidR="001B5E4C" w:rsidRPr="00A4792B" w:rsidRDefault="001B5E4C" w:rsidP="00A0020C">
            <w:pPr>
              <w:widowControl w:val="0"/>
              <w:spacing w:after="0" w:line="240" w:lineRule="auto"/>
              <w:rPr>
                <w:rFonts w:cs="Arial"/>
                <w:b/>
                <w:color w:val="auto"/>
                <w:sz w:val="20"/>
                <w:szCs w:val="20"/>
              </w:rPr>
            </w:pPr>
            <w:r w:rsidRPr="00A4792B">
              <w:rPr>
                <w:rFonts w:cs="Arial"/>
                <w:b/>
                <w:color w:val="auto"/>
                <w:sz w:val="20"/>
                <w:szCs w:val="20"/>
              </w:rPr>
              <w:t xml:space="preserve"> </w:t>
            </w:r>
            <w:r w:rsidRPr="00A4792B">
              <w:rPr>
                <w:rFonts w:cs="Arial"/>
                <w:color w:val="auto"/>
                <w:sz w:val="20"/>
                <w:szCs w:val="20"/>
              </w:rPr>
              <w:t>Including: Adjustments on Provision of Services for non cash movements</w:t>
            </w:r>
          </w:p>
        </w:tc>
        <w:tc>
          <w:tcPr>
            <w:tcW w:w="815" w:type="dxa"/>
          </w:tcPr>
          <w:p w:rsidR="001B5E4C" w:rsidRPr="00A4792B" w:rsidRDefault="00302AB0" w:rsidP="00A0020C">
            <w:pPr>
              <w:widowControl w:val="0"/>
              <w:spacing w:after="0" w:line="240" w:lineRule="auto"/>
              <w:jc w:val="center"/>
              <w:rPr>
                <w:rFonts w:cs="Arial"/>
                <w:color w:val="auto"/>
                <w:sz w:val="20"/>
                <w:szCs w:val="20"/>
              </w:rPr>
            </w:pPr>
            <w:r w:rsidRPr="00A4792B">
              <w:rPr>
                <w:rFonts w:cs="Arial"/>
                <w:color w:val="auto"/>
                <w:sz w:val="20"/>
                <w:szCs w:val="20"/>
              </w:rPr>
              <w:t>2</w:t>
            </w:r>
            <w:r w:rsidR="00D21038">
              <w:rPr>
                <w:rFonts w:cs="Arial"/>
                <w:color w:val="auto"/>
                <w:sz w:val="20"/>
                <w:szCs w:val="20"/>
              </w:rPr>
              <w:t>7</w:t>
            </w:r>
          </w:p>
        </w:tc>
        <w:tc>
          <w:tcPr>
            <w:tcW w:w="4004" w:type="dxa"/>
          </w:tcPr>
          <w:p w:rsidR="001B5E4C" w:rsidRPr="00A4792B" w:rsidRDefault="001B5E4C" w:rsidP="00A10253">
            <w:pPr>
              <w:widowControl w:val="0"/>
              <w:spacing w:after="0" w:line="240" w:lineRule="auto"/>
              <w:rPr>
                <w:rFonts w:cs="Arial"/>
                <w:color w:val="auto"/>
                <w:sz w:val="20"/>
                <w:szCs w:val="20"/>
              </w:rPr>
            </w:pPr>
            <w:r w:rsidRPr="00A4792B">
              <w:rPr>
                <w:rFonts w:cs="Arial"/>
                <w:color w:val="auto"/>
                <w:sz w:val="20"/>
                <w:szCs w:val="20"/>
              </w:rPr>
              <w:t>Note 2</w:t>
            </w:r>
            <w:r w:rsidR="00A10253" w:rsidRPr="00A4792B">
              <w:rPr>
                <w:rFonts w:cs="Arial"/>
                <w:color w:val="auto"/>
                <w:sz w:val="20"/>
                <w:szCs w:val="20"/>
              </w:rPr>
              <w:t>6</w:t>
            </w:r>
            <w:r w:rsidRPr="00A4792B">
              <w:rPr>
                <w:rFonts w:cs="Arial"/>
                <w:color w:val="auto"/>
                <w:sz w:val="20"/>
                <w:szCs w:val="20"/>
              </w:rPr>
              <w:t xml:space="preserve"> Members’ Allowances</w:t>
            </w:r>
          </w:p>
        </w:tc>
        <w:tc>
          <w:tcPr>
            <w:tcW w:w="762" w:type="dxa"/>
          </w:tcPr>
          <w:p w:rsidR="001B5E4C" w:rsidRPr="00A4792B" w:rsidRDefault="003043A4" w:rsidP="003F076E">
            <w:pPr>
              <w:widowControl w:val="0"/>
              <w:spacing w:after="0" w:line="240" w:lineRule="auto"/>
              <w:jc w:val="center"/>
              <w:rPr>
                <w:rFonts w:cs="Arial"/>
                <w:color w:val="auto"/>
                <w:sz w:val="20"/>
                <w:szCs w:val="20"/>
              </w:rPr>
            </w:pPr>
            <w:r w:rsidRPr="00A4792B">
              <w:rPr>
                <w:rFonts w:cs="Arial"/>
                <w:color w:val="auto"/>
                <w:sz w:val="20"/>
                <w:szCs w:val="20"/>
              </w:rPr>
              <w:t>6</w:t>
            </w:r>
            <w:r w:rsidR="00D21038">
              <w:rPr>
                <w:rFonts w:cs="Arial"/>
                <w:color w:val="auto"/>
                <w:sz w:val="20"/>
                <w:szCs w:val="20"/>
              </w:rPr>
              <w:t>6</w:t>
            </w:r>
          </w:p>
        </w:tc>
      </w:tr>
      <w:tr w:rsidR="001B5E4C" w:rsidRPr="00A4792B" w:rsidTr="00A95302">
        <w:tc>
          <w:tcPr>
            <w:tcW w:w="3936" w:type="dxa"/>
          </w:tcPr>
          <w:p w:rsidR="001B5E4C" w:rsidRPr="00A4792B" w:rsidRDefault="001B5E4C" w:rsidP="00A0020C">
            <w:pPr>
              <w:widowControl w:val="0"/>
              <w:spacing w:after="0" w:line="240" w:lineRule="auto"/>
              <w:rPr>
                <w:rFonts w:cs="Arial"/>
                <w:b/>
                <w:color w:val="auto"/>
                <w:sz w:val="20"/>
                <w:szCs w:val="20"/>
              </w:rPr>
            </w:pPr>
            <w:r w:rsidRPr="00A4792B">
              <w:rPr>
                <w:rFonts w:cs="Arial"/>
                <w:b/>
                <w:color w:val="auto"/>
                <w:sz w:val="20"/>
                <w:szCs w:val="20"/>
              </w:rPr>
              <w:t>Notes to the Core Financial Statements:-</w:t>
            </w:r>
          </w:p>
        </w:tc>
        <w:tc>
          <w:tcPr>
            <w:tcW w:w="815" w:type="dxa"/>
          </w:tcPr>
          <w:p w:rsidR="001B5E4C" w:rsidRPr="00A4792B" w:rsidRDefault="001B5E4C" w:rsidP="00A0020C">
            <w:pPr>
              <w:widowControl w:val="0"/>
              <w:spacing w:after="0" w:line="240" w:lineRule="auto"/>
              <w:jc w:val="center"/>
              <w:rPr>
                <w:rFonts w:cs="Arial"/>
                <w:color w:val="auto"/>
                <w:sz w:val="20"/>
                <w:szCs w:val="20"/>
              </w:rPr>
            </w:pPr>
          </w:p>
        </w:tc>
        <w:tc>
          <w:tcPr>
            <w:tcW w:w="4004" w:type="dxa"/>
          </w:tcPr>
          <w:p w:rsidR="001B5E4C" w:rsidRPr="00A4792B" w:rsidRDefault="001B5E4C" w:rsidP="00A10253">
            <w:pPr>
              <w:widowControl w:val="0"/>
              <w:spacing w:after="0" w:line="240" w:lineRule="auto"/>
              <w:rPr>
                <w:rFonts w:cs="Arial"/>
                <w:color w:val="auto"/>
                <w:sz w:val="20"/>
                <w:szCs w:val="20"/>
              </w:rPr>
            </w:pPr>
            <w:r w:rsidRPr="00A4792B">
              <w:rPr>
                <w:rFonts w:cs="Arial"/>
                <w:color w:val="auto"/>
                <w:sz w:val="20"/>
                <w:szCs w:val="20"/>
              </w:rPr>
              <w:t>Note 2</w:t>
            </w:r>
            <w:r w:rsidR="00A10253" w:rsidRPr="00A4792B">
              <w:rPr>
                <w:rFonts w:cs="Arial"/>
                <w:color w:val="auto"/>
                <w:sz w:val="20"/>
                <w:szCs w:val="20"/>
              </w:rPr>
              <w:t>7</w:t>
            </w:r>
            <w:r w:rsidRPr="00A4792B">
              <w:rPr>
                <w:rFonts w:cs="Arial"/>
                <w:color w:val="auto"/>
                <w:sz w:val="20"/>
                <w:szCs w:val="20"/>
              </w:rPr>
              <w:t xml:space="preserve"> Officers’ Remuneration</w:t>
            </w:r>
          </w:p>
        </w:tc>
        <w:tc>
          <w:tcPr>
            <w:tcW w:w="762" w:type="dxa"/>
          </w:tcPr>
          <w:p w:rsidR="001B5E4C" w:rsidRPr="00A4792B" w:rsidRDefault="003043A4" w:rsidP="00115AB3">
            <w:pPr>
              <w:widowControl w:val="0"/>
              <w:spacing w:after="0" w:line="240" w:lineRule="auto"/>
              <w:jc w:val="center"/>
              <w:rPr>
                <w:rFonts w:cs="Arial"/>
                <w:color w:val="auto"/>
                <w:sz w:val="20"/>
                <w:szCs w:val="20"/>
              </w:rPr>
            </w:pPr>
            <w:r w:rsidRPr="00A4792B">
              <w:rPr>
                <w:rFonts w:cs="Arial"/>
                <w:color w:val="auto"/>
                <w:sz w:val="20"/>
                <w:szCs w:val="20"/>
              </w:rPr>
              <w:t>6</w:t>
            </w:r>
            <w:r w:rsidR="00D21038">
              <w:rPr>
                <w:rFonts w:cs="Arial"/>
                <w:color w:val="auto"/>
                <w:sz w:val="20"/>
                <w:szCs w:val="20"/>
              </w:rPr>
              <w:t>6</w:t>
            </w:r>
          </w:p>
        </w:tc>
      </w:tr>
      <w:tr w:rsidR="00EA5946" w:rsidRPr="00A4792B" w:rsidTr="00A95302">
        <w:tc>
          <w:tcPr>
            <w:tcW w:w="3936" w:type="dxa"/>
          </w:tcPr>
          <w:p w:rsidR="00EA5946" w:rsidRPr="00A4792B" w:rsidRDefault="00EA5946" w:rsidP="00A0020C">
            <w:pPr>
              <w:widowControl w:val="0"/>
              <w:spacing w:after="0" w:line="240" w:lineRule="auto"/>
              <w:rPr>
                <w:rFonts w:cs="Arial"/>
                <w:color w:val="auto"/>
                <w:sz w:val="20"/>
                <w:szCs w:val="20"/>
              </w:rPr>
            </w:pPr>
            <w:r w:rsidRPr="00A4792B">
              <w:rPr>
                <w:rFonts w:cs="Arial"/>
                <w:color w:val="auto"/>
                <w:sz w:val="20"/>
                <w:szCs w:val="20"/>
              </w:rPr>
              <w:t>General Notes:</w:t>
            </w:r>
          </w:p>
        </w:tc>
        <w:tc>
          <w:tcPr>
            <w:tcW w:w="815" w:type="dxa"/>
          </w:tcPr>
          <w:p w:rsidR="00EA5946" w:rsidRPr="00A4792B" w:rsidRDefault="00EA5946" w:rsidP="00A0020C">
            <w:pPr>
              <w:widowControl w:val="0"/>
              <w:spacing w:after="0" w:line="240" w:lineRule="auto"/>
              <w:jc w:val="center"/>
              <w:rPr>
                <w:rFonts w:cs="Arial"/>
                <w:color w:val="auto"/>
                <w:sz w:val="20"/>
                <w:szCs w:val="20"/>
              </w:rPr>
            </w:pP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2</w:t>
            </w:r>
            <w:r w:rsidR="00A10253" w:rsidRPr="00A4792B">
              <w:rPr>
                <w:rFonts w:cs="Arial"/>
                <w:color w:val="auto"/>
                <w:sz w:val="20"/>
                <w:szCs w:val="20"/>
              </w:rPr>
              <w:t>8</w:t>
            </w:r>
            <w:r w:rsidRPr="00A4792B">
              <w:rPr>
                <w:rFonts w:cs="Arial"/>
                <w:color w:val="auto"/>
                <w:sz w:val="20"/>
                <w:szCs w:val="20"/>
              </w:rPr>
              <w:t xml:space="preserve"> External Audit Costs</w:t>
            </w:r>
          </w:p>
        </w:tc>
        <w:tc>
          <w:tcPr>
            <w:tcW w:w="762" w:type="dxa"/>
          </w:tcPr>
          <w:p w:rsidR="00EA5946" w:rsidRPr="00A4792B" w:rsidRDefault="003043A4" w:rsidP="00D71527">
            <w:pPr>
              <w:widowControl w:val="0"/>
              <w:spacing w:after="0" w:line="240" w:lineRule="auto"/>
              <w:jc w:val="center"/>
              <w:rPr>
                <w:rFonts w:cs="Arial"/>
                <w:color w:val="auto"/>
                <w:sz w:val="20"/>
                <w:szCs w:val="20"/>
              </w:rPr>
            </w:pPr>
            <w:r w:rsidRPr="00A4792B">
              <w:rPr>
                <w:rFonts w:cs="Arial"/>
                <w:color w:val="auto"/>
                <w:sz w:val="20"/>
                <w:szCs w:val="20"/>
              </w:rPr>
              <w:t>6</w:t>
            </w:r>
            <w:r w:rsidR="00D71527">
              <w:rPr>
                <w:rFonts w:cs="Arial"/>
                <w:color w:val="auto"/>
                <w:sz w:val="20"/>
                <w:szCs w:val="20"/>
              </w:rPr>
              <w:t>8</w:t>
            </w:r>
          </w:p>
        </w:tc>
      </w:tr>
      <w:tr w:rsidR="00EA5946" w:rsidRPr="00A4792B" w:rsidTr="00A95302">
        <w:tc>
          <w:tcPr>
            <w:tcW w:w="3936" w:type="dxa"/>
          </w:tcPr>
          <w:p w:rsidR="00EA5946" w:rsidRPr="00A4792B" w:rsidRDefault="00EA5946" w:rsidP="00115AB3">
            <w:pPr>
              <w:widowControl w:val="0"/>
              <w:spacing w:after="0" w:line="240" w:lineRule="auto"/>
              <w:rPr>
                <w:rFonts w:cs="Arial"/>
                <w:color w:val="auto"/>
                <w:sz w:val="20"/>
                <w:szCs w:val="20"/>
              </w:rPr>
            </w:pPr>
            <w:r w:rsidRPr="00A4792B">
              <w:rPr>
                <w:rFonts w:cs="Arial"/>
                <w:color w:val="auto"/>
                <w:sz w:val="20"/>
                <w:szCs w:val="20"/>
              </w:rPr>
              <w:t>Note 1  Change in Accounting Policy</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29</w:t>
            </w: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 xml:space="preserve">Note </w:t>
            </w:r>
            <w:r w:rsidR="00A10253" w:rsidRPr="00A4792B">
              <w:rPr>
                <w:rFonts w:cs="Arial"/>
                <w:color w:val="auto"/>
                <w:sz w:val="20"/>
                <w:szCs w:val="20"/>
              </w:rPr>
              <w:t>29</w:t>
            </w:r>
            <w:r w:rsidRPr="00A4792B">
              <w:rPr>
                <w:rFonts w:cs="Arial"/>
                <w:color w:val="auto"/>
                <w:sz w:val="20"/>
                <w:szCs w:val="20"/>
              </w:rPr>
              <w:t xml:space="preserve"> Dedicated Schools Grant</w:t>
            </w:r>
          </w:p>
        </w:tc>
        <w:tc>
          <w:tcPr>
            <w:tcW w:w="762" w:type="dxa"/>
          </w:tcPr>
          <w:p w:rsidR="00EA5946" w:rsidRPr="00A4792B" w:rsidRDefault="003043A4" w:rsidP="00C37C2C">
            <w:pPr>
              <w:widowControl w:val="0"/>
              <w:spacing w:after="0" w:line="240" w:lineRule="auto"/>
              <w:jc w:val="center"/>
              <w:rPr>
                <w:rFonts w:cs="Arial"/>
                <w:color w:val="auto"/>
                <w:sz w:val="20"/>
                <w:szCs w:val="20"/>
              </w:rPr>
            </w:pPr>
            <w:r w:rsidRPr="00A4792B">
              <w:rPr>
                <w:rFonts w:cs="Arial"/>
                <w:color w:val="auto"/>
                <w:sz w:val="20"/>
                <w:szCs w:val="20"/>
              </w:rPr>
              <w:t>6</w:t>
            </w:r>
            <w:r w:rsidR="00D21038">
              <w:rPr>
                <w:rFonts w:cs="Arial"/>
                <w:color w:val="auto"/>
                <w:sz w:val="20"/>
                <w:szCs w:val="20"/>
              </w:rPr>
              <w:t>9</w:t>
            </w:r>
          </w:p>
        </w:tc>
      </w:tr>
      <w:tr w:rsidR="00EA5946" w:rsidRPr="00A4792B" w:rsidTr="00A95302">
        <w:tc>
          <w:tcPr>
            <w:tcW w:w="3936" w:type="dxa"/>
          </w:tcPr>
          <w:p w:rsidR="00EA5946" w:rsidRPr="00A4792B" w:rsidRDefault="00EA5946" w:rsidP="00A0020C">
            <w:pPr>
              <w:widowControl w:val="0"/>
              <w:spacing w:after="0" w:line="240" w:lineRule="auto"/>
              <w:rPr>
                <w:rFonts w:cs="Arial"/>
                <w:color w:val="auto"/>
                <w:sz w:val="20"/>
                <w:szCs w:val="20"/>
              </w:rPr>
            </w:pPr>
            <w:r w:rsidRPr="00A4792B">
              <w:rPr>
                <w:rFonts w:cs="Arial"/>
                <w:color w:val="auto"/>
                <w:sz w:val="20"/>
                <w:szCs w:val="20"/>
              </w:rPr>
              <w:t>Note 2 Accounting Standards Issued, Not Adopted</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29</w:t>
            </w: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3</w:t>
            </w:r>
            <w:r w:rsidR="00A10253" w:rsidRPr="00A4792B">
              <w:rPr>
                <w:rFonts w:cs="Arial"/>
                <w:color w:val="auto"/>
                <w:sz w:val="20"/>
                <w:szCs w:val="20"/>
              </w:rPr>
              <w:t>0</w:t>
            </w:r>
            <w:r w:rsidRPr="00A4792B">
              <w:rPr>
                <w:rFonts w:cs="Arial"/>
                <w:color w:val="auto"/>
                <w:sz w:val="20"/>
                <w:szCs w:val="20"/>
              </w:rPr>
              <w:t xml:space="preserve"> Grant Income</w:t>
            </w:r>
          </w:p>
        </w:tc>
        <w:tc>
          <w:tcPr>
            <w:tcW w:w="762" w:type="dxa"/>
          </w:tcPr>
          <w:p w:rsidR="00EA5946" w:rsidRPr="00A4792B" w:rsidRDefault="003043A4" w:rsidP="009C2ADB">
            <w:pPr>
              <w:widowControl w:val="0"/>
              <w:spacing w:after="0" w:line="240" w:lineRule="auto"/>
              <w:jc w:val="center"/>
              <w:rPr>
                <w:rFonts w:cs="Arial"/>
                <w:color w:val="auto"/>
                <w:sz w:val="20"/>
                <w:szCs w:val="20"/>
              </w:rPr>
            </w:pPr>
            <w:r w:rsidRPr="00A4792B">
              <w:rPr>
                <w:rFonts w:cs="Arial"/>
                <w:color w:val="auto"/>
                <w:sz w:val="20"/>
                <w:szCs w:val="20"/>
              </w:rPr>
              <w:t>6</w:t>
            </w:r>
            <w:r w:rsidR="00D21038">
              <w:rPr>
                <w:rFonts w:cs="Arial"/>
                <w:color w:val="auto"/>
                <w:sz w:val="20"/>
                <w:szCs w:val="20"/>
              </w:rPr>
              <w:t>9</w:t>
            </w:r>
          </w:p>
        </w:tc>
      </w:tr>
      <w:tr w:rsidR="00EA5946" w:rsidRPr="00A4792B" w:rsidTr="00A95302">
        <w:tc>
          <w:tcPr>
            <w:tcW w:w="3936" w:type="dxa"/>
          </w:tcPr>
          <w:p w:rsidR="00EA5946" w:rsidRPr="00A4792B" w:rsidRDefault="00EA5946" w:rsidP="00A0020C">
            <w:pPr>
              <w:widowControl w:val="0"/>
              <w:spacing w:after="0" w:line="240" w:lineRule="auto"/>
              <w:rPr>
                <w:rFonts w:cs="Arial"/>
                <w:color w:val="auto"/>
                <w:sz w:val="20"/>
                <w:szCs w:val="20"/>
              </w:rPr>
            </w:pPr>
            <w:r w:rsidRPr="00A4792B">
              <w:rPr>
                <w:rFonts w:cs="Arial"/>
                <w:color w:val="auto"/>
                <w:sz w:val="20"/>
                <w:szCs w:val="20"/>
              </w:rPr>
              <w:t>Note 3 Critical Judgements in Applying Accounting Policies</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29</w:t>
            </w: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3</w:t>
            </w:r>
            <w:r w:rsidR="00A10253" w:rsidRPr="00A4792B">
              <w:rPr>
                <w:rFonts w:cs="Arial"/>
                <w:color w:val="auto"/>
                <w:sz w:val="20"/>
                <w:szCs w:val="20"/>
              </w:rPr>
              <w:t>1</w:t>
            </w:r>
            <w:r w:rsidRPr="00A4792B">
              <w:rPr>
                <w:rFonts w:cs="Arial"/>
                <w:color w:val="auto"/>
                <w:sz w:val="20"/>
                <w:szCs w:val="20"/>
              </w:rPr>
              <w:t xml:space="preserve"> Related Parties</w:t>
            </w:r>
          </w:p>
        </w:tc>
        <w:tc>
          <w:tcPr>
            <w:tcW w:w="762" w:type="dxa"/>
          </w:tcPr>
          <w:p w:rsidR="00EA5946" w:rsidRPr="00A4792B" w:rsidRDefault="00D21038" w:rsidP="009C2ADB">
            <w:pPr>
              <w:widowControl w:val="0"/>
              <w:spacing w:after="0" w:line="240" w:lineRule="auto"/>
              <w:jc w:val="center"/>
              <w:rPr>
                <w:rFonts w:cs="Arial"/>
                <w:color w:val="auto"/>
                <w:sz w:val="20"/>
                <w:szCs w:val="20"/>
              </w:rPr>
            </w:pPr>
            <w:r>
              <w:rPr>
                <w:rFonts w:cs="Arial"/>
                <w:color w:val="auto"/>
                <w:sz w:val="20"/>
                <w:szCs w:val="20"/>
              </w:rPr>
              <w:t>70</w:t>
            </w:r>
          </w:p>
        </w:tc>
      </w:tr>
      <w:tr w:rsidR="00EA5946" w:rsidRPr="00A4792B" w:rsidTr="00A95302">
        <w:tc>
          <w:tcPr>
            <w:tcW w:w="3936" w:type="dxa"/>
          </w:tcPr>
          <w:p w:rsidR="00EA5946" w:rsidRPr="00A4792B" w:rsidRDefault="00EA5946" w:rsidP="00A0020C">
            <w:pPr>
              <w:widowControl w:val="0"/>
              <w:spacing w:after="0" w:line="240" w:lineRule="auto"/>
              <w:rPr>
                <w:rFonts w:cs="Arial"/>
                <w:color w:val="auto"/>
                <w:sz w:val="20"/>
                <w:szCs w:val="20"/>
              </w:rPr>
            </w:pPr>
            <w:r w:rsidRPr="00A4792B">
              <w:rPr>
                <w:rFonts w:cs="Arial"/>
                <w:color w:val="auto"/>
                <w:sz w:val="20"/>
                <w:szCs w:val="20"/>
              </w:rPr>
              <w:t>Note 4 Assumptions made about the future and other major sources of estimation uncertainty</w:t>
            </w:r>
          </w:p>
        </w:tc>
        <w:tc>
          <w:tcPr>
            <w:tcW w:w="815" w:type="dxa"/>
          </w:tcPr>
          <w:p w:rsidR="00EA5946" w:rsidRPr="00A4792B" w:rsidRDefault="00EA5946" w:rsidP="00A0020C">
            <w:pPr>
              <w:widowControl w:val="0"/>
              <w:spacing w:after="0" w:line="240" w:lineRule="auto"/>
              <w:jc w:val="center"/>
              <w:rPr>
                <w:rFonts w:cs="Arial"/>
                <w:color w:val="auto"/>
                <w:sz w:val="20"/>
                <w:szCs w:val="20"/>
              </w:rPr>
            </w:pPr>
            <w:r w:rsidRPr="00A4792B">
              <w:rPr>
                <w:rFonts w:cs="Arial"/>
                <w:color w:val="auto"/>
                <w:sz w:val="20"/>
                <w:szCs w:val="20"/>
              </w:rPr>
              <w:t>31</w:t>
            </w: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3</w:t>
            </w:r>
            <w:r w:rsidR="00A10253" w:rsidRPr="00A4792B">
              <w:rPr>
                <w:rFonts w:cs="Arial"/>
                <w:color w:val="auto"/>
                <w:sz w:val="20"/>
                <w:szCs w:val="20"/>
              </w:rPr>
              <w:t>2</w:t>
            </w:r>
            <w:r w:rsidRPr="00A4792B">
              <w:rPr>
                <w:rFonts w:cs="Arial"/>
                <w:color w:val="auto"/>
                <w:sz w:val="20"/>
                <w:szCs w:val="20"/>
              </w:rPr>
              <w:t xml:space="preserve"> Impairment Losses</w:t>
            </w:r>
          </w:p>
        </w:tc>
        <w:tc>
          <w:tcPr>
            <w:tcW w:w="762" w:type="dxa"/>
          </w:tcPr>
          <w:p w:rsidR="00EA5946" w:rsidRPr="00A4792B" w:rsidRDefault="003043A4" w:rsidP="00C37C2C">
            <w:pPr>
              <w:widowControl w:val="0"/>
              <w:spacing w:after="0" w:line="240" w:lineRule="auto"/>
              <w:jc w:val="center"/>
              <w:rPr>
                <w:rFonts w:cs="Arial"/>
                <w:color w:val="auto"/>
                <w:sz w:val="20"/>
                <w:szCs w:val="20"/>
              </w:rPr>
            </w:pPr>
            <w:r w:rsidRPr="00A4792B">
              <w:rPr>
                <w:rFonts w:cs="Arial"/>
                <w:color w:val="auto"/>
                <w:sz w:val="20"/>
                <w:szCs w:val="20"/>
              </w:rPr>
              <w:t>7</w:t>
            </w:r>
            <w:r w:rsidR="00D21038">
              <w:rPr>
                <w:rFonts w:cs="Arial"/>
                <w:color w:val="auto"/>
                <w:sz w:val="20"/>
                <w:szCs w:val="20"/>
              </w:rPr>
              <w:t>7</w:t>
            </w:r>
          </w:p>
        </w:tc>
      </w:tr>
      <w:tr w:rsidR="00EA5946" w:rsidRPr="00A4792B" w:rsidTr="00A95302">
        <w:tc>
          <w:tcPr>
            <w:tcW w:w="3936" w:type="dxa"/>
          </w:tcPr>
          <w:p w:rsidR="00EA5946" w:rsidRPr="00A4792B" w:rsidRDefault="00EA5946" w:rsidP="00302AB0">
            <w:pPr>
              <w:widowControl w:val="0"/>
              <w:spacing w:after="0" w:line="240" w:lineRule="auto"/>
              <w:rPr>
                <w:rFonts w:cs="Arial"/>
                <w:color w:val="auto"/>
                <w:sz w:val="20"/>
                <w:szCs w:val="20"/>
              </w:rPr>
            </w:pPr>
            <w:r w:rsidRPr="00A4792B">
              <w:rPr>
                <w:rFonts w:cs="Arial"/>
                <w:color w:val="auto"/>
                <w:sz w:val="20"/>
                <w:szCs w:val="20"/>
              </w:rPr>
              <w:t>Note 5 Material Items of Income and Expenditure</w:t>
            </w:r>
          </w:p>
        </w:tc>
        <w:tc>
          <w:tcPr>
            <w:tcW w:w="815" w:type="dxa"/>
          </w:tcPr>
          <w:p w:rsidR="00EA5946" w:rsidRPr="00A4792B" w:rsidRDefault="00EA5946" w:rsidP="00A0020C">
            <w:pPr>
              <w:widowControl w:val="0"/>
              <w:spacing w:after="0" w:line="240" w:lineRule="auto"/>
              <w:jc w:val="center"/>
              <w:rPr>
                <w:rFonts w:cs="Arial"/>
                <w:color w:val="auto"/>
                <w:sz w:val="20"/>
                <w:szCs w:val="20"/>
              </w:rPr>
            </w:pPr>
            <w:r w:rsidRPr="00A4792B">
              <w:rPr>
                <w:rFonts w:cs="Arial"/>
                <w:color w:val="auto"/>
                <w:sz w:val="20"/>
                <w:szCs w:val="20"/>
              </w:rPr>
              <w:t>32</w:t>
            </w: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3</w:t>
            </w:r>
            <w:r w:rsidR="00A10253" w:rsidRPr="00A4792B">
              <w:rPr>
                <w:rFonts w:cs="Arial"/>
                <w:color w:val="auto"/>
                <w:sz w:val="20"/>
                <w:szCs w:val="20"/>
              </w:rPr>
              <w:t>3</w:t>
            </w:r>
            <w:r w:rsidRPr="00A4792B">
              <w:rPr>
                <w:rFonts w:cs="Arial"/>
                <w:color w:val="auto"/>
                <w:sz w:val="20"/>
                <w:szCs w:val="20"/>
              </w:rPr>
              <w:t xml:space="preserve"> Contingent Liabilities</w:t>
            </w:r>
          </w:p>
        </w:tc>
        <w:tc>
          <w:tcPr>
            <w:tcW w:w="762" w:type="dxa"/>
          </w:tcPr>
          <w:p w:rsidR="00EA5946" w:rsidRPr="00A4792B" w:rsidRDefault="003043A4" w:rsidP="00C37C2C">
            <w:pPr>
              <w:widowControl w:val="0"/>
              <w:spacing w:after="0" w:line="240" w:lineRule="auto"/>
              <w:jc w:val="center"/>
              <w:rPr>
                <w:rFonts w:cs="Arial"/>
                <w:color w:val="auto"/>
                <w:sz w:val="20"/>
                <w:szCs w:val="20"/>
              </w:rPr>
            </w:pPr>
            <w:r w:rsidRPr="00A4792B">
              <w:rPr>
                <w:rFonts w:cs="Arial"/>
                <w:color w:val="auto"/>
                <w:sz w:val="20"/>
                <w:szCs w:val="20"/>
              </w:rPr>
              <w:t>7</w:t>
            </w:r>
            <w:r w:rsidR="00D21038">
              <w:rPr>
                <w:rFonts w:cs="Arial"/>
                <w:color w:val="auto"/>
                <w:sz w:val="20"/>
                <w:szCs w:val="20"/>
              </w:rPr>
              <w:t>7</w:t>
            </w: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6 Events After the Reporting Period</w:t>
            </w:r>
          </w:p>
        </w:tc>
        <w:tc>
          <w:tcPr>
            <w:tcW w:w="815" w:type="dxa"/>
          </w:tcPr>
          <w:p w:rsidR="00EA5946" w:rsidRPr="00A4792B" w:rsidRDefault="00EA5946" w:rsidP="00A0020C">
            <w:pPr>
              <w:widowControl w:val="0"/>
              <w:spacing w:after="0" w:line="240" w:lineRule="auto"/>
              <w:jc w:val="center"/>
              <w:rPr>
                <w:rFonts w:cs="Arial"/>
                <w:color w:val="auto"/>
                <w:sz w:val="20"/>
                <w:szCs w:val="20"/>
              </w:rPr>
            </w:pPr>
            <w:r w:rsidRPr="00A4792B">
              <w:rPr>
                <w:rFonts w:cs="Arial"/>
                <w:color w:val="auto"/>
                <w:sz w:val="20"/>
                <w:szCs w:val="20"/>
              </w:rPr>
              <w:t>32</w:t>
            </w: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3</w:t>
            </w:r>
            <w:r w:rsidR="00A10253" w:rsidRPr="00A4792B">
              <w:rPr>
                <w:rFonts w:cs="Arial"/>
                <w:color w:val="auto"/>
                <w:sz w:val="20"/>
                <w:szCs w:val="20"/>
              </w:rPr>
              <w:t>4</w:t>
            </w:r>
            <w:r w:rsidRPr="00A4792B">
              <w:rPr>
                <w:rFonts w:cs="Arial"/>
                <w:color w:val="auto"/>
                <w:sz w:val="20"/>
                <w:szCs w:val="20"/>
              </w:rPr>
              <w:t xml:space="preserve"> Termination Benefits &amp; Exit Packages</w:t>
            </w:r>
          </w:p>
        </w:tc>
        <w:tc>
          <w:tcPr>
            <w:tcW w:w="762" w:type="dxa"/>
          </w:tcPr>
          <w:p w:rsidR="00EA5946" w:rsidRPr="00A4792B" w:rsidRDefault="003043A4" w:rsidP="00C37C2C">
            <w:pPr>
              <w:widowControl w:val="0"/>
              <w:spacing w:after="0" w:line="240" w:lineRule="auto"/>
              <w:jc w:val="center"/>
              <w:rPr>
                <w:rFonts w:cs="Arial"/>
                <w:color w:val="auto"/>
                <w:sz w:val="20"/>
                <w:szCs w:val="20"/>
              </w:rPr>
            </w:pPr>
            <w:r w:rsidRPr="00A4792B">
              <w:rPr>
                <w:rFonts w:cs="Arial"/>
                <w:color w:val="auto"/>
                <w:sz w:val="20"/>
                <w:szCs w:val="20"/>
              </w:rPr>
              <w:t>7</w:t>
            </w:r>
            <w:r w:rsidR="00D21038">
              <w:rPr>
                <w:rFonts w:cs="Arial"/>
                <w:color w:val="auto"/>
                <w:sz w:val="20"/>
                <w:szCs w:val="20"/>
              </w:rPr>
              <w:t>9</w:t>
            </w:r>
          </w:p>
        </w:tc>
      </w:tr>
      <w:tr w:rsidR="00EA5946" w:rsidRPr="00A4792B" w:rsidTr="00A95302">
        <w:tc>
          <w:tcPr>
            <w:tcW w:w="3936" w:type="dxa"/>
          </w:tcPr>
          <w:p w:rsidR="00EA5946" w:rsidRPr="00A4792B" w:rsidRDefault="00EA5946" w:rsidP="00A0020C">
            <w:pPr>
              <w:widowControl w:val="0"/>
              <w:spacing w:after="0" w:line="240" w:lineRule="auto"/>
              <w:rPr>
                <w:rFonts w:cs="Arial"/>
                <w:color w:val="auto"/>
                <w:sz w:val="20"/>
                <w:szCs w:val="20"/>
              </w:rPr>
            </w:pPr>
            <w:r w:rsidRPr="00A4792B">
              <w:rPr>
                <w:rFonts w:cs="Arial"/>
                <w:color w:val="auto"/>
                <w:sz w:val="20"/>
                <w:szCs w:val="20"/>
              </w:rPr>
              <w:t>Notes re Movement in Reserves Statement:</w:t>
            </w:r>
          </w:p>
        </w:tc>
        <w:tc>
          <w:tcPr>
            <w:tcW w:w="815" w:type="dxa"/>
          </w:tcPr>
          <w:p w:rsidR="00EA5946" w:rsidRPr="00A4792B" w:rsidRDefault="00EA5946" w:rsidP="00A0020C">
            <w:pPr>
              <w:widowControl w:val="0"/>
              <w:spacing w:after="0" w:line="240" w:lineRule="auto"/>
              <w:jc w:val="center"/>
              <w:rPr>
                <w:rFonts w:cs="Arial"/>
                <w:color w:val="auto"/>
                <w:sz w:val="20"/>
                <w:szCs w:val="20"/>
              </w:rPr>
            </w:pP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3</w:t>
            </w:r>
            <w:r w:rsidR="00A10253" w:rsidRPr="00A4792B">
              <w:rPr>
                <w:rFonts w:cs="Arial"/>
                <w:color w:val="auto"/>
                <w:sz w:val="20"/>
                <w:szCs w:val="20"/>
              </w:rPr>
              <w:t>5</w:t>
            </w:r>
            <w:r w:rsidRPr="00A4792B">
              <w:rPr>
                <w:rFonts w:cs="Arial"/>
                <w:color w:val="auto"/>
                <w:sz w:val="20"/>
                <w:szCs w:val="20"/>
              </w:rPr>
              <w:t xml:space="preserve"> Capital Financing</w:t>
            </w:r>
          </w:p>
        </w:tc>
        <w:tc>
          <w:tcPr>
            <w:tcW w:w="762" w:type="dxa"/>
          </w:tcPr>
          <w:p w:rsidR="00EA5946" w:rsidRPr="00A4792B" w:rsidRDefault="003043A4" w:rsidP="00C37C2C">
            <w:pPr>
              <w:widowControl w:val="0"/>
              <w:spacing w:after="0" w:line="240" w:lineRule="auto"/>
              <w:jc w:val="center"/>
              <w:rPr>
                <w:rFonts w:cs="Arial"/>
                <w:color w:val="auto"/>
                <w:sz w:val="20"/>
                <w:szCs w:val="20"/>
              </w:rPr>
            </w:pPr>
            <w:r w:rsidRPr="00A4792B">
              <w:rPr>
                <w:rFonts w:cs="Arial"/>
                <w:color w:val="auto"/>
                <w:sz w:val="20"/>
                <w:szCs w:val="20"/>
              </w:rPr>
              <w:t>7</w:t>
            </w:r>
            <w:r w:rsidR="00D21038">
              <w:rPr>
                <w:rFonts w:cs="Arial"/>
                <w:color w:val="auto"/>
                <w:sz w:val="20"/>
                <w:szCs w:val="20"/>
              </w:rPr>
              <w:t>9</w:t>
            </w: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7 Adjustments between Accounting Basis and Funding Basis under Regulations</w:t>
            </w:r>
          </w:p>
        </w:tc>
        <w:tc>
          <w:tcPr>
            <w:tcW w:w="815" w:type="dxa"/>
          </w:tcPr>
          <w:p w:rsidR="00EA5946" w:rsidRPr="00A4792B" w:rsidRDefault="00EA5946" w:rsidP="00A0020C">
            <w:pPr>
              <w:widowControl w:val="0"/>
              <w:spacing w:after="0" w:line="240" w:lineRule="auto"/>
              <w:jc w:val="center"/>
              <w:rPr>
                <w:rFonts w:cs="Arial"/>
                <w:color w:val="auto"/>
                <w:sz w:val="20"/>
                <w:szCs w:val="20"/>
              </w:rPr>
            </w:pPr>
            <w:r w:rsidRPr="00A4792B">
              <w:rPr>
                <w:rFonts w:cs="Arial"/>
                <w:color w:val="auto"/>
                <w:sz w:val="20"/>
                <w:szCs w:val="20"/>
              </w:rPr>
              <w:t>32</w:t>
            </w: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3</w:t>
            </w:r>
            <w:r w:rsidR="00A10253" w:rsidRPr="00A4792B">
              <w:rPr>
                <w:rFonts w:cs="Arial"/>
                <w:color w:val="auto"/>
                <w:sz w:val="20"/>
                <w:szCs w:val="20"/>
              </w:rPr>
              <w:t>6</w:t>
            </w:r>
            <w:r w:rsidRPr="00A4792B">
              <w:rPr>
                <w:rFonts w:cs="Arial"/>
                <w:color w:val="auto"/>
                <w:sz w:val="20"/>
                <w:szCs w:val="20"/>
              </w:rPr>
              <w:t xml:space="preserve"> Leases</w:t>
            </w:r>
          </w:p>
        </w:tc>
        <w:tc>
          <w:tcPr>
            <w:tcW w:w="762" w:type="dxa"/>
          </w:tcPr>
          <w:p w:rsidR="00EA5946" w:rsidRPr="00A4792B" w:rsidRDefault="00D21038" w:rsidP="00C37C2C">
            <w:pPr>
              <w:widowControl w:val="0"/>
              <w:spacing w:after="0" w:line="240" w:lineRule="auto"/>
              <w:jc w:val="center"/>
              <w:rPr>
                <w:rFonts w:cs="Arial"/>
                <w:color w:val="auto"/>
                <w:sz w:val="20"/>
                <w:szCs w:val="20"/>
              </w:rPr>
            </w:pPr>
            <w:r>
              <w:rPr>
                <w:rFonts w:cs="Arial"/>
                <w:color w:val="auto"/>
                <w:sz w:val="20"/>
                <w:szCs w:val="20"/>
              </w:rPr>
              <w:t>80</w:t>
            </w: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8 Transfers to/from Earmarked Reserves</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39</w:t>
            </w: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3</w:t>
            </w:r>
            <w:r w:rsidR="00A10253" w:rsidRPr="00A4792B">
              <w:rPr>
                <w:rFonts w:cs="Arial"/>
                <w:color w:val="auto"/>
                <w:sz w:val="20"/>
                <w:szCs w:val="20"/>
              </w:rPr>
              <w:t>7</w:t>
            </w:r>
            <w:r w:rsidRPr="00A4792B">
              <w:rPr>
                <w:rFonts w:cs="Arial"/>
                <w:color w:val="auto"/>
                <w:sz w:val="20"/>
                <w:szCs w:val="20"/>
              </w:rPr>
              <w:t xml:space="preserve"> Pension Schemes Accounted for as Defined Contribution Schemes</w:t>
            </w:r>
          </w:p>
        </w:tc>
        <w:tc>
          <w:tcPr>
            <w:tcW w:w="762" w:type="dxa"/>
          </w:tcPr>
          <w:p w:rsidR="00EA5946" w:rsidRPr="00A4792B" w:rsidRDefault="00D21038" w:rsidP="00C37C2C">
            <w:pPr>
              <w:widowControl w:val="0"/>
              <w:spacing w:after="0" w:line="240" w:lineRule="auto"/>
              <w:jc w:val="center"/>
              <w:rPr>
                <w:rFonts w:cs="Arial"/>
                <w:color w:val="auto"/>
                <w:sz w:val="20"/>
                <w:szCs w:val="20"/>
              </w:rPr>
            </w:pPr>
            <w:r>
              <w:rPr>
                <w:rFonts w:cs="Arial"/>
                <w:color w:val="auto"/>
                <w:sz w:val="20"/>
                <w:szCs w:val="20"/>
              </w:rPr>
              <w:t>81</w:t>
            </w:r>
          </w:p>
        </w:tc>
      </w:tr>
      <w:tr w:rsidR="00EA5946" w:rsidRPr="00A4792B" w:rsidTr="00A95302">
        <w:tc>
          <w:tcPr>
            <w:tcW w:w="3936" w:type="dxa"/>
          </w:tcPr>
          <w:p w:rsidR="00EA5946" w:rsidRPr="00A4792B" w:rsidRDefault="00EA5946" w:rsidP="00A0020C">
            <w:pPr>
              <w:widowControl w:val="0"/>
              <w:spacing w:after="0" w:line="240" w:lineRule="auto"/>
              <w:rPr>
                <w:rFonts w:cs="Arial"/>
                <w:color w:val="auto"/>
                <w:sz w:val="20"/>
                <w:szCs w:val="20"/>
              </w:rPr>
            </w:pPr>
            <w:r w:rsidRPr="00A4792B">
              <w:rPr>
                <w:rFonts w:cs="Arial"/>
                <w:color w:val="auto"/>
                <w:sz w:val="20"/>
                <w:szCs w:val="20"/>
              </w:rPr>
              <w:t>Notes re Comprehensive Income &amp; Expenditure Statement:</w:t>
            </w:r>
          </w:p>
        </w:tc>
        <w:tc>
          <w:tcPr>
            <w:tcW w:w="815" w:type="dxa"/>
          </w:tcPr>
          <w:p w:rsidR="00EA5946" w:rsidRPr="00A4792B" w:rsidRDefault="00EA5946" w:rsidP="00A0020C">
            <w:pPr>
              <w:widowControl w:val="0"/>
              <w:spacing w:after="0" w:line="240" w:lineRule="auto"/>
              <w:jc w:val="center"/>
              <w:rPr>
                <w:rFonts w:cs="Arial"/>
                <w:color w:val="auto"/>
                <w:sz w:val="20"/>
                <w:szCs w:val="20"/>
              </w:rPr>
            </w:pP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Note 3</w:t>
            </w:r>
            <w:r w:rsidR="00A10253" w:rsidRPr="00A4792B">
              <w:rPr>
                <w:rFonts w:cs="Arial"/>
                <w:color w:val="auto"/>
                <w:sz w:val="20"/>
                <w:szCs w:val="20"/>
              </w:rPr>
              <w:t>8</w:t>
            </w:r>
            <w:r w:rsidRPr="00A4792B">
              <w:rPr>
                <w:rFonts w:cs="Arial"/>
                <w:color w:val="auto"/>
                <w:sz w:val="20"/>
                <w:szCs w:val="20"/>
              </w:rPr>
              <w:t xml:space="preserve"> Defined Benefit Pension Schemes</w:t>
            </w:r>
          </w:p>
        </w:tc>
        <w:tc>
          <w:tcPr>
            <w:tcW w:w="762" w:type="dxa"/>
          </w:tcPr>
          <w:p w:rsidR="00EA5946" w:rsidRPr="00A4792B" w:rsidRDefault="00D21038" w:rsidP="00C37C2C">
            <w:pPr>
              <w:widowControl w:val="0"/>
              <w:spacing w:after="0" w:line="240" w:lineRule="auto"/>
              <w:jc w:val="center"/>
              <w:rPr>
                <w:rFonts w:cs="Arial"/>
                <w:color w:val="auto"/>
                <w:sz w:val="20"/>
                <w:szCs w:val="20"/>
              </w:rPr>
            </w:pPr>
            <w:r>
              <w:rPr>
                <w:rFonts w:cs="Arial"/>
                <w:color w:val="auto"/>
                <w:sz w:val="20"/>
                <w:szCs w:val="20"/>
              </w:rPr>
              <w:t>82</w:t>
            </w: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9 Financing and Investment Income and Expenditure</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39</w:t>
            </w:r>
          </w:p>
        </w:tc>
        <w:tc>
          <w:tcPr>
            <w:tcW w:w="4004" w:type="dxa"/>
          </w:tcPr>
          <w:p w:rsidR="00EA5946" w:rsidRPr="00A4792B" w:rsidRDefault="00EA5946" w:rsidP="00A10253">
            <w:pPr>
              <w:widowControl w:val="0"/>
              <w:spacing w:after="0" w:line="240" w:lineRule="auto"/>
              <w:rPr>
                <w:rFonts w:cs="Arial"/>
                <w:color w:val="auto"/>
                <w:sz w:val="20"/>
                <w:szCs w:val="20"/>
              </w:rPr>
            </w:pPr>
            <w:r w:rsidRPr="00A4792B">
              <w:rPr>
                <w:rFonts w:cs="Arial"/>
                <w:color w:val="auto"/>
                <w:sz w:val="20"/>
                <w:szCs w:val="20"/>
              </w:rPr>
              <w:t xml:space="preserve">Note </w:t>
            </w:r>
            <w:r w:rsidR="00A10253" w:rsidRPr="00A4792B">
              <w:rPr>
                <w:rFonts w:cs="Arial"/>
                <w:color w:val="auto"/>
                <w:sz w:val="20"/>
                <w:szCs w:val="20"/>
              </w:rPr>
              <w:t>39</w:t>
            </w:r>
            <w:r w:rsidRPr="00A4792B">
              <w:rPr>
                <w:rFonts w:cs="Arial"/>
                <w:color w:val="auto"/>
                <w:sz w:val="20"/>
                <w:szCs w:val="20"/>
              </w:rPr>
              <w:t xml:space="preserve"> Summary of Significant Accounting Policies</w:t>
            </w:r>
          </w:p>
        </w:tc>
        <w:tc>
          <w:tcPr>
            <w:tcW w:w="762" w:type="dxa"/>
          </w:tcPr>
          <w:p w:rsidR="00EA5946" w:rsidRPr="00A4792B" w:rsidRDefault="00D21038" w:rsidP="00C37C2C">
            <w:pPr>
              <w:widowControl w:val="0"/>
              <w:spacing w:after="0" w:line="240" w:lineRule="auto"/>
              <w:jc w:val="center"/>
              <w:rPr>
                <w:rFonts w:cs="Arial"/>
                <w:color w:val="auto"/>
                <w:sz w:val="20"/>
                <w:szCs w:val="20"/>
              </w:rPr>
            </w:pPr>
            <w:r>
              <w:rPr>
                <w:rFonts w:cs="Arial"/>
                <w:color w:val="auto"/>
                <w:sz w:val="20"/>
                <w:szCs w:val="20"/>
              </w:rPr>
              <w:t>88</w:t>
            </w: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10 Taxation and Non-Specific Grant Income</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40</w:t>
            </w:r>
          </w:p>
        </w:tc>
        <w:tc>
          <w:tcPr>
            <w:tcW w:w="4004" w:type="dxa"/>
          </w:tcPr>
          <w:p w:rsidR="00EA5946" w:rsidRPr="00A4792B" w:rsidRDefault="00EA5946" w:rsidP="00200444">
            <w:pPr>
              <w:widowControl w:val="0"/>
              <w:spacing w:after="0" w:line="240" w:lineRule="auto"/>
              <w:rPr>
                <w:rFonts w:cs="Arial"/>
                <w:color w:val="auto"/>
                <w:sz w:val="20"/>
                <w:szCs w:val="20"/>
              </w:rPr>
            </w:pPr>
          </w:p>
        </w:tc>
        <w:tc>
          <w:tcPr>
            <w:tcW w:w="762" w:type="dxa"/>
          </w:tcPr>
          <w:p w:rsidR="00EA5946" w:rsidRPr="00A4792B" w:rsidRDefault="00EA5946" w:rsidP="003F076E">
            <w:pPr>
              <w:widowControl w:val="0"/>
              <w:spacing w:after="0" w:line="240" w:lineRule="auto"/>
              <w:jc w:val="center"/>
              <w:rPr>
                <w:rFonts w:cs="Arial"/>
                <w:color w:val="auto"/>
                <w:sz w:val="20"/>
                <w:szCs w:val="20"/>
              </w:rPr>
            </w:pPr>
          </w:p>
        </w:tc>
      </w:tr>
      <w:tr w:rsidR="00EA5946" w:rsidRPr="00A4792B" w:rsidTr="00A95302">
        <w:tc>
          <w:tcPr>
            <w:tcW w:w="3936" w:type="dxa"/>
          </w:tcPr>
          <w:p w:rsidR="00EA5946" w:rsidRPr="00A4792B" w:rsidRDefault="00EA5946" w:rsidP="00A0020C">
            <w:pPr>
              <w:widowControl w:val="0"/>
              <w:spacing w:after="0" w:line="240" w:lineRule="auto"/>
              <w:rPr>
                <w:rFonts w:cs="Arial"/>
                <w:color w:val="auto"/>
                <w:sz w:val="20"/>
                <w:szCs w:val="20"/>
              </w:rPr>
            </w:pPr>
            <w:r w:rsidRPr="00A4792B">
              <w:rPr>
                <w:rFonts w:cs="Arial"/>
                <w:color w:val="auto"/>
                <w:sz w:val="20"/>
                <w:szCs w:val="20"/>
              </w:rPr>
              <w:t>Notes re Balance Sheet:</w:t>
            </w:r>
          </w:p>
        </w:tc>
        <w:tc>
          <w:tcPr>
            <w:tcW w:w="815" w:type="dxa"/>
          </w:tcPr>
          <w:p w:rsidR="00EA5946" w:rsidRPr="00A4792B" w:rsidRDefault="00EA5946" w:rsidP="00A0020C">
            <w:pPr>
              <w:widowControl w:val="0"/>
              <w:spacing w:after="0" w:line="240" w:lineRule="auto"/>
              <w:jc w:val="center"/>
              <w:rPr>
                <w:rFonts w:cs="Arial"/>
                <w:color w:val="auto"/>
                <w:sz w:val="20"/>
                <w:szCs w:val="20"/>
              </w:rPr>
            </w:pPr>
          </w:p>
        </w:tc>
        <w:tc>
          <w:tcPr>
            <w:tcW w:w="4004" w:type="dxa"/>
          </w:tcPr>
          <w:p w:rsidR="00EA5946" w:rsidRPr="00A4792B" w:rsidRDefault="00EA5946" w:rsidP="00200444">
            <w:pPr>
              <w:widowControl w:val="0"/>
              <w:spacing w:after="0" w:line="240" w:lineRule="auto"/>
              <w:rPr>
                <w:rFonts w:cs="Arial"/>
                <w:color w:val="auto"/>
                <w:sz w:val="20"/>
                <w:szCs w:val="20"/>
              </w:rPr>
            </w:pPr>
            <w:r w:rsidRPr="00A4792B">
              <w:rPr>
                <w:rFonts w:cs="Arial"/>
                <w:color w:val="auto"/>
                <w:sz w:val="20"/>
                <w:szCs w:val="20"/>
              </w:rPr>
              <w:t>Supplementary Financial Statement:-</w:t>
            </w:r>
          </w:p>
        </w:tc>
        <w:tc>
          <w:tcPr>
            <w:tcW w:w="762" w:type="dxa"/>
          </w:tcPr>
          <w:p w:rsidR="00EA5946" w:rsidRPr="00A4792B" w:rsidRDefault="00EA5946" w:rsidP="003F076E">
            <w:pPr>
              <w:widowControl w:val="0"/>
              <w:spacing w:after="0" w:line="240" w:lineRule="auto"/>
              <w:jc w:val="center"/>
              <w:rPr>
                <w:rFonts w:cs="Arial"/>
                <w:color w:val="auto"/>
                <w:sz w:val="20"/>
                <w:szCs w:val="20"/>
              </w:rPr>
            </w:pP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11 Property, Plant and Equipment</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40</w:t>
            </w:r>
          </w:p>
        </w:tc>
        <w:tc>
          <w:tcPr>
            <w:tcW w:w="4004" w:type="dxa"/>
          </w:tcPr>
          <w:p w:rsidR="00EA5946" w:rsidRPr="00A4792B" w:rsidRDefault="00EA5946" w:rsidP="00200444">
            <w:pPr>
              <w:widowControl w:val="0"/>
              <w:spacing w:after="0" w:line="240" w:lineRule="auto"/>
              <w:rPr>
                <w:rFonts w:cs="Arial"/>
                <w:color w:val="auto"/>
                <w:sz w:val="20"/>
                <w:szCs w:val="20"/>
              </w:rPr>
            </w:pPr>
            <w:r w:rsidRPr="00A4792B">
              <w:rPr>
                <w:rFonts w:cs="Arial"/>
                <w:b/>
                <w:color w:val="auto"/>
                <w:sz w:val="20"/>
                <w:szCs w:val="20"/>
              </w:rPr>
              <w:t>Collection Fund Summary Account</w:t>
            </w:r>
          </w:p>
        </w:tc>
        <w:tc>
          <w:tcPr>
            <w:tcW w:w="762" w:type="dxa"/>
          </w:tcPr>
          <w:p w:rsidR="00EA5946" w:rsidRPr="00A4792B" w:rsidRDefault="00D21038" w:rsidP="00553895">
            <w:pPr>
              <w:widowControl w:val="0"/>
              <w:spacing w:after="0" w:line="240" w:lineRule="auto"/>
              <w:jc w:val="center"/>
              <w:rPr>
                <w:rFonts w:cs="Arial"/>
                <w:color w:val="auto"/>
                <w:sz w:val="20"/>
                <w:szCs w:val="20"/>
              </w:rPr>
            </w:pPr>
            <w:r>
              <w:rPr>
                <w:rFonts w:cs="Arial"/>
                <w:color w:val="auto"/>
                <w:sz w:val="20"/>
                <w:szCs w:val="20"/>
              </w:rPr>
              <w:t>10</w:t>
            </w:r>
            <w:r w:rsidR="00553895">
              <w:rPr>
                <w:rFonts w:cs="Arial"/>
                <w:color w:val="auto"/>
                <w:sz w:val="20"/>
                <w:szCs w:val="20"/>
              </w:rPr>
              <w:t>3</w:t>
            </w: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12 Heritage Assets</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43</w:t>
            </w:r>
          </w:p>
        </w:tc>
        <w:tc>
          <w:tcPr>
            <w:tcW w:w="4004" w:type="dxa"/>
          </w:tcPr>
          <w:p w:rsidR="00EA5946" w:rsidRPr="00A4792B" w:rsidRDefault="00EA5946" w:rsidP="00200444">
            <w:pPr>
              <w:widowControl w:val="0"/>
              <w:spacing w:after="0" w:line="240" w:lineRule="auto"/>
              <w:rPr>
                <w:rFonts w:cs="Arial"/>
                <w:color w:val="auto"/>
                <w:sz w:val="20"/>
                <w:szCs w:val="20"/>
              </w:rPr>
            </w:pPr>
            <w:r w:rsidRPr="00A4792B">
              <w:rPr>
                <w:rFonts w:cs="Arial"/>
                <w:color w:val="auto"/>
                <w:sz w:val="20"/>
                <w:szCs w:val="20"/>
              </w:rPr>
              <w:t>Notes to the Collection Fund Summary Account</w:t>
            </w:r>
          </w:p>
        </w:tc>
        <w:tc>
          <w:tcPr>
            <w:tcW w:w="762" w:type="dxa"/>
          </w:tcPr>
          <w:p w:rsidR="00EA5946" w:rsidRPr="00A4792B" w:rsidRDefault="00D21038" w:rsidP="00553895">
            <w:pPr>
              <w:widowControl w:val="0"/>
              <w:spacing w:after="0" w:line="240" w:lineRule="auto"/>
              <w:jc w:val="center"/>
              <w:rPr>
                <w:rFonts w:cs="Arial"/>
                <w:color w:val="auto"/>
                <w:sz w:val="20"/>
                <w:szCs w:val="20"/>
              </w:rPr>
            </w:pPr>
            <w:r>
              <w:rPr>
                <w:rFonts w:cs="Arial"/>
                <w:color w:val="auto"/>
                <w:sz w:val="20"/>
                <w:szCs w:val="20"/>
              </w:rPr>
              <w:t>10</w:t>
            </w:r>
            <w:r w:rsidR="00553895">
              <w:rPr>
                <w:rFonts w:cs="Arial"/>
                <w:color w:val="auto"/>
                <w:sz w:val="20"/>
                <w:szCs w:val="20"/>
              </w:rPr>
              <w:t>4</w:t>
            </w: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13 Financial Instruments</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45</w:t>
            </w:r>
          </w:p>
        </w:tc>
        <w:tc>
          <w:tcPr>
            <w:tcW w:w="4004" w:type="dxa"/>
          </w:tcPr>
          <w:p w:rsidR="00EA5946" w:rsidRPr="00A4792B" w:rsidRDefault="00EA5946" w:rsidP="00200444">
            <w:pPr>
              <w:widowControl w:val="0"/>
              <w:spacing w:after="0" w:line="240" w:lineRule="auto"/>
              <w:rPr>
                <w:rFonts w:cs="Arial"/>
                <w:b/>
                <w:color w:val="auto"/>
                <w:sz w:val="20"/>
                <w:szCs w:val="20"/>
              </w:rPr>
            </w:pPr>
          </w:p>
        </w:tc>
        <w:tc>
          <w:tcPr>
            <w:tcW w:w="762" w:type="dxa"/>
          </w:tcPr>
          <w:p w:rsidR="00EA5946" w:rsidRPr="00A4792B" w:rsidRDefault="00EA5946" w:rsidP="003F076E">
            <w:pPr>
              <w:widowControl w:val="0"/>
              <w:spacing w:after="0" w:line="240" w:lineRule="auto"/>
              <w:jc w:val="center"/>
              <w:rPr>
                <w:rFonts w:cs="Arial"/>
                <w:color w:val="auto"/>
                <w:sz w:val="20"/>
                <w:szCs w:val="20"/>
              </w:rPr>
            </w:pPr>
          </w:p>
        </w:tc>
      </w:tr>
      <w:tr w:rsidR="00EA5946" w:rsidRPr="00A4792B" w:rsidTr="00A95302">
        <w:tc>
          <w:tcPr>
            <w:tcW w:w="3936" w:type="dxa"/>
          </w:tcPr>
          <w:p w:rsidR="00EA5946" w:rsidRPr="00A4792B" w:rsidRDefault="00EA5946" w:rsidP="00A41AA3">
            <w:pPr>
              <w:widowControl w:val="0"/>
              <w:spacing w:after="0" w:line="240" w:lineRule="auto"/>
              <w:rPr>
                <w:rFonts w:cs="Arial"/>
                <w:strike/>
                <w:color w:val="auto"/>
                <w:sz w:val="20"/>
                <w:szCs w:val="20"/>
              </w:rPr>
            </w:pPr>
            <w:r w:rsidRPr="00A4792B">
              <w:rPr>
                <w:rFonts w:cs="Arial"/>
                <w:color w:val="auto"/>
                <w:sz w:val="20"/>
                <w:szCs w:val="20"/>
              </w:rPr>
              <w:t>Note 14 Nature and Extent of Risks Arising from Financial Instruments</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49</w:t>
            </w:r>
          </w:p>
        </w:tc>
        <w:tc>
          <w:tcPr>
            <w:tcW w:w="4004" w:type="dxa"/>
          </w:tcPr>
          <w:p w:rsidR="00EA5946" w:rsidRPr="00A4792B" w:rsidRDefault="00EA5946" w:rsidP="00200444">
            <w:pPr>
              <w:widowControl w:val="0"/>
              <w:spacing w:after="0" w:line="240" w:lineRule="auto"/>
              <w:rPr>
                <w:rFonts w:cs="Arial"/>
                <w:color w:val="auto"/>
                <w:sz w:val="20"/>
                <w:szCs w:val="20"/>
              </w:rPr>
            </w:pPr>
            <w:r w:rsidRPr="00A4792B">
              <w:rPr>
                <w:rFonts w:cs="Arial"/>
                <w:b/>
                <w:color w:val="auto"/>
                <w:sz w:val="20"/>
                <w:szCs w:val="20"/>
              </w:rPr>
              <w:t>Annual Governance Statement</w:t>
            </w:r>
          </w:p>
        </w:tc>
        <w:tc>
          <w:tcPr>
            <w:tcW w:w="762" w:type="dxa"/>
          </w:tcPr>
          <w:p w:rsidR="00EA5946" w:rsidRPr="00A4792B" w:rsidRDefault="00D21038" w:rsidP="00382CCB">
            <w:pPr>
              <w:widowControl w:val="0"/>
              <w:spacing w:after="0" w:line="240" w:lineRule="auto"/>
              <w:jc w:val="center"/>
              <w:rPr>
                <w:rFonts w:cs="Arial"/>
                <w:color w:val="auto"/>
                <w:sz w:val="20"/>
                <w:szCs w:val="20"/>
              </w:rPr>
            </w:pPr>
            <w:r>
              <w:rPr>
                <w:rFonts w:cs="Arial"/>
                <w:color w:val="auto"/>
                <w:sz w:val="20"/>
                <w:szCs w:val="20"/>
              </w:rPr>
              <w:t>10</w:t>
            </w:r>
            <w:r w:rsidR="00382CCB">
              <w:rPr>
                <w:rFonts w:cs="Arial"/>
                <w:color w:val="auto"/>
                <w:sz w:val="20"/>
                <w:szCs w:val="20"/>
              </w:rPr>
              <w:t>6</w:t>
            </w: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15  Investments</w:t>
            </w:r>
          </w:p>
        </w:tc>
        <w:tc>
          <w:tcPr>
            <w:tcW w:w="815" w:type="dxa"/>
          </w:tcPr>
          <w:p w:rsidR="00EA5946" w:rsidRPr="00A4792B" w:rsidRDefault="00EA5946" w:rsidP="00A0020C">
            <w:pPr>
              <w:widowControl w:val="0"/>
              <w:spacing w:after="0" w:line="240" w:lineRule="auto"/>
              <w:jc w:val="center"/>
              <w:rPr>
                <w:rFonts w:cs="Arial"/>
                <w:color w:val="auto"/>
                <w:sz w:val="20"/>
                <w:szCs w:val="20"/>
              </w:rPr>
            </w:pPr>
            <w:r w:rsidRPr="00A4792B">
              <w:rPr>
                <w:rFonts w:cs="Arial"/>
                <w:color w:val="auto"/>
                <w:sz w:val="20"/>
                <w:szCs w:val="20"/>
              </w:rPr>
              <w:t>52</w:t>
            </w:r>
          </w:p>
        </w:tc>
        <w:tc>
          <w:tcPr>
            <w:tcW w:w="4004" w:type="dxa"/>
          </w:tcPr>
          <w:p w:rsidR="00EA5946" w:rsidRPr="00A4792B" w:rsidRDefault="00EA5946" w:rsidP="00200444">
            <w:pPr>
              <w:widowControl w:val="0"/>
              <w:spacing w:after="0" w:line="240" w:lineRule="auto"/>
              <w:rPr>
                <w:rFonts w:cs="Arial"/>
                <w:color w:val="auto"/>
                <w:sz w:val="20"/>
                <w:szCs w:val="20"/>
              </w:rPr>
            </w:pPr>
          </w:p>
        </w:tc>
        <w:tc>
          <w:tcPr>
            <w:tcW w:w="762" w:type="dxa"/>
          </w:tcPr>
          <w:p w:rsidR="00EA5946" w:rsidRPr="00A4792B" w:rsidRDefault="00EA5946" w:rsidP="003F076E">
            <w:pPr>
              <w:widowControl w:val="0"/>
              <w:spacing w:after="0" w:line="240" w:lineRule="auto"/>
              <w:jc w:val="center"/>
              <w:rPr>
                <w:rFonts w:cs="Arial"/>
                <w:color w:val="auto"/>
                <w:sz w:val="20"/>
                <w:szCs w:val="20"/>
              </w:rPr>
            </w:pP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16 Debtors</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53</w:t>
            </w:r>
          </w:p>
        </w:tc>
        <w:tc>
          <w:tcPr>
            <w:tcW w:w="4004" w:type="dxa"/>
          </w:tcPr>
          <w:p w:rsidR="00EA5946" w:rsidRPr="00A4792B" w:rsidRDefault="00EA5946" w:rsidP="00200444">
            <w:pPr>
              <w:widowControl w:val="0"/>
              <w:spacing w:after="0" w:line="240" w:lineRule="auto"/>
              <w:rPr>
                <w:rFonts w:cs="Arial"/>
                <w:b/>
                <w:color w:val="auto"/>
                <w:sz w:val="20"/>
                <w:szCs w:val="20"/>
              </w:rPr>
            </w:pPr>
            <w:r w:rsidRPr="00A4792B">
              <w:rPr>
                <w:rFonts w:cs="Arial"/>
                <w:b/>
                <w:color w:val="auto"/>
                <w:sz w:val="20"/>
                <w:szCs w:val="20"/>
              </w:rPr>
              <w:t>Glossary of Terms</w:t>
            </w:r>
          </w:p>
        </w:tc>
        <w:tc>
          <w:tcPr>
            <w:tcW w:w="762" w:type="dxa"/>
          </w:tcPr>
          <w:p w:rsidR="00EA5946" w:rsidRPr="00A4792B" w:rsidRDefault="001960D2" w:rsidP="00553895">
            <w:pPr>
              <w:widowControl w:val="0"/>
              <w:spacing w:after="0" w:line="240" w:lineRule="auto"/>
              <w:jc w:val="center"/>
              <w:rPr>
                <w:rFonts w:cs="Arial"/>
                <w:color w:val="auto"/>
                <w:sz w:val="20"/>
                <w:szCs w:val="20"/>
              </w:rPr>
            </w:pPr>
            <w:r w:rsidRPr="00A4792B">
              <w:rPr>
                <w:rFonts w:cs="Arial"/>
                <w:color w:val="auto"/>
                <w:sz w:val="20"/>
                <w:szCs w:val="20"/>
              </w:rPr>
              <w:t>11</w:t>
            </w:r>
            <w:r w:rsidR="00553895">
              <w:rPr>
                <w:rFonts w:cs="Arial"/>
                <w:color w:val="auto"/>
                <w:sz w:val="20"/>
                <w:szCs w:val="20"/>
              </w:rPr>
              <w:t>8</w:t>
            </w: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r w:rsidRPr="00A4792B">
              <w:rPr>
                <w:rFonts w:cs="Arial"/>
                <w:color w:val="auto"/>
                <w:sz w:val="20"/>
                <w:szCs w:val="20"/>
              </w:rPr>
              <w:t>Note 17 Cash and Cash Equivalents</w:t>
            </w:r>
          </w:p>
        </w:tc>
        <w:tc>
          <w:tcPr>
            <w:tcW w:w="815" w:type="dxa"/>
          </w:tcPr>
          <w:p w:rsidR="00EA5946" w:rsidRPr="00A4792B" w:rsidRDefault="00D21038" w:rsidP="00A0020C">
            <w:pPr>
              <w:widowControl w:val="0"/>
              <w:spacing w:after="0" w:line="240" w:lineRule="auto"/>
              <w:jc w:val="center"/>
              <w:rPr>
                <w:rFonts w:cs="Arial"/>
                <w:color w:val="auto"/>
                <w:sz w:val="20"/>
                <w:szCs w:val="20"/>
              </w:rPr>
            </w:pPr>
            <w:r>
              <w:rPr>
                <w:rFonts w:cs="Arial"/>
                <w:color w:val="auto"/>
                <w:sz w:val="20"/>
                <w:szCs w:val="20"/>
              </w:rPr>
              <w:t>54</w:t>
            </w:r>
          </w:p>
        </w:tc>
        <w:tc>
          <w:tcPr>
            <w:tcW w:w="4004" w:type="dxa"/>
          </w:tcPr>
          <w:p w:rsidR="00EA5946" w:rsidRPr="00A4792B" w:rsidRDefault="00EA5946" w:rsidP="00200444">
            <w:pPr>
              <w:widowControl w:val="0"/>
              <w:spacing w:after="0" w:line="240" w:lineRule="auto"/>
              <w:rPr>
                <w:rFonts w:cs="Arial"/>
                <w:color w:val="auto"/>
                <w:sz w:val="20"/>
                <w:szCs w:val="20"/>
              </w:rPr>
            </w:pPr>
          </w:p>
        </w:tc>
        <w:tc>
          <w:tcPr>
            <w:tcW w:w="762" w:type="dxa"/>
          </w:tcPr>
          <w:p w:rsidR="00EA5946" w:rsidRPr="00A4792B" w:rsidRDefault="00EA5946" w:rsidP="003F076E">
            <w:pPr>
              <w:widowControl w:val="0"/>
              <w:spacing w:after="0" w:line="240" w:lineRule="auto"/>
              <w:jc w:val="center"/>
              <w:rPr>
                <w:rFonts w:cs="Arial"/>
                <w:color w:val="auto"/>
                <w:sz w:val="20"/>
                <w:szCs w:val="20"/>
              </w:rPr>
            </w:pPr>
          </w:p>
        </w:tc>
      </w:tr>
      <w:tr w:rsidR="00EA5946" w:rsidRPr="00A4792B" w:rsidTr="00A95302">
        <w:tc>
          <w:tcPr>
            <w:tcW w:w="3936" w:type="dxa"/>
          </w:tcPr>
          <w:p w:rsidR="00EA5946" w:rsidRPr="00A4792B" w:rsidRDefault="00EA5946" w:rsidP="00A41AA3">
            <w:pPr>
              <w:widowControl w:val="0"/>
              <w:spacing w:after="0" w:line="240" w:lineRule="auto"/>
              <w:rPr>
                <w:rFonts w:cs="Arial"/>
                <w:color w:val="auto"/>
                <w:sz w:val="20"/>
                <w:szCs w:val="20"/>
              </w:rPr>
            </w:pPr>
          </w:p>
        </w:tc>
        <w:tc>
          <w:tcPr>
            <w:tcW w:w="815" w:type="dxa"/>
          </w:tcPr>
          <w:p w:rsidR="00EA5946" w:rsidRPr="00A4792B" w:rsidRDefault="00EA5946" w:rsidP="001B5E4C">
            <w:pPr>
              <w:widowControl w:val="0"/>
              <w:tabs>
                <w:tab w:val="center" w:pos="299"/>
              </w:tabs>
              <w:spacing w:after="0" w:line="240" w:lineRule="auto"/>
              <w:rPr>
                <w:rFonts w:cs="Arial"/>
                <w:color w:val="auto"/>
                <w:sz w:val="20"/>
                <w:szCs w:val="20"/>
              </w:rPr>
            </w:pPr>
          </w:p>
        </w:tc>
        <w:tc>
          <w:tcPr>
            <w:tcW w:w="4004" w:type="dxa"/>
          </w:tcPr>
          <w:p w:rsidR="00EA5946" w:rsidRPr="00A4792B" w:rsidRDefault="00EA5946" w:rsidP="00200444">
            <w:pPr>
              <w:widowControl w:val="0"/>
              <w:spacing w:after="0" w:line="240" w:lineRule="auto"/>
              <w:rPr>
                <w:rFonts w:cs="Arial"/>
                <w:b/>
                <w:color w:val="auto"/>
                <w:sz w:val="20"/>
                <w:szCs w:val="20"/>
              </w:rPr>
            </w:pPr>
          </w:p>
        </w:tc>
        <w:tc>
          <w:tcPr>
            <w:tcW w:w="762" w:type="dxa"/>
          </w:tcPr>
          <w:p w:rsidR="00EA5946" w:rsidRPr="00A4792B" w:rsidRDefault="00EA5946" w:rsidP="00455CC6">
            <w:pPr>
              <w:widowControl w:val="0"/>
              <w:spacing w:after="0" w:line="240" w:lineRule="auto"/>
              <w:jc w:val="center"/>
              <w:rPr>
                <w:rFonts w:cs="Arial"/>
                <w:color w:val="auto"/>
                <w:sz w:val="20"/>
                <w:szCs w:val="20"/>
              </w:rPr>
            </w:pPr>
          </w:p>
        </w:tc>
      </w:tr>
    </w:tbl>
    <w:p w:rsidR="001B5E09" w:rsidRPr="00D42E0B" w:rsidRDefault="001B5E09" w:rsidP="00E075DA">
      <w:pPr>
        <w:rPr>
          <w:b/>
          <w:color w:val="548DD4" w:themeColor="text2" w:themeTint="99"/>
          <w:sz w:val="20"/>
          <w:szCs w:val="20"/>
        </w:rPr>
        <w:sectPr w:rsidR="001B5E09" w:rsidRPr="00D42E0B" w:rsidSect="001A3F09">
          <w:headerReference w:type="first" r:id="rId30"/>
          <w:pgSz w:w="11906" w:h="16838" w:code="9"/>
          <w:pgMar w:top="1440" w:right="1440" w:bottom="1440" w:left="1440" w:header="544" w:footer="544" w:gutter="0"/>
          <w:cols w:space="708"/>
          <w:titlePg/>
          <w:docGrid w:linePitch="360"/>
        </w:sectPr>
      </w:pPr>
    </w:p>
    <w:p w:rsidR="00E51139" w:rsidRPr="00D37CDB" w:rsidRDefault="00E51139" w:rsidP="00E075DA">
      <w:pPr>
        <w:rPr>
          <w:b/>
          <w:color w:val="auto"/>
          <w:sz w:val="20"/>
          <w:szCs w:val="20"/>
        </w:rPr>
      </w:pPr>
      <w:r w:rsidRPr="00D37CDB">
        <w:rPr>
          <w:b/>
          <w:color w:val="auto"/>
          <w:sz w:val="20"/>
          <w:szCs w:val="20"/>
        </w:rPr>
        <w:lastRenderedPageBreak/>
        <w:t>FINANCIAL CERTIFICATES</w:t>
      </w:r>
    </w:p>
    <w:p w:rsidR="00E51139" w:rsidRPr="00D37CDB" w:rsidRDefault="00E51139" w:rsidP="00E075DA">
      <w:pPr>
        <w:pStyle w:val="Heading7"/>
        <w:rPr>
          <w:color w:val="auto"/>
          <w:sz w:val="20"/>
          <w:szCs w:val="20"/>
        </w:rPr>
      </w:pPr>
      <w:r w:rsidRPr="00D37CDB">
        <w:rPr>
          <w:color w:val="auto"/>
          <w:sz w:val="20"/>
          <w:szCs w:val="20"/>
        </w:rPr>
        <w:t>The Statement of Responsibilities for the Statement of Accounts</w:t>
      </w:r>
    </w:p>
    <w:p w:rsidR="00E51139" w:rsidRPr="00D37CDB" w:rsidRDefault="00E51139" w:rsidP="00E075DA">
      <w:pPr>
        <w:pStyle w:val="Footer"/>
        <w:rPr>
          <w:b/>
          <w:color w:val="auto"/>
          <w:sz w:val="20"/>
          <w:szCs w:val="20"/>
          <w:u w:val="single"/>
        </w:rPr>
      </w:pPr>
    </w:p>
    <w:p w:rsidR="00E51139" w:rsidRPr="00D37CDB" w:rsidRDefault="00E51139" w:rsidP="00E075DA">
      <w:pPr>
        <w:pStyle w:val="Footer"/>
        <w:rPr>
          <w:b/>
          <w:color w:val="auto"/>
          <w:sz w:val="20"/>
          <w:szCs w:val="20"/>
          <w:u w:val="single"/>
        </w:rPr>
      </w:pPr>
      <w:r w:rsidRPr="00D37CDB">
        <w:rPr>
          <w:b/>
          <w:color w:val="auto"/>
          <w:sz w:val="20"/>
          <w:szCs w:val="20"/>
          <w:u w:val="single"/>
        </w:rPr>
        <w:t>The Council’s Responsibilities</w:t>
      </w:r>
    </w:p>
    <w:p w:rsidR="00E51139" w:rsidRPr="00D37CDB" w:rsidRDefault="00E51139" w:rsidP="00E075DA">
      <w:pPr>
        <w:pStyle w:val="Footer"/>
        <w:rPr>
          <w:b/>
          <w:color w:val="auto"/>
          <w:sz w:val="20"/>
          <w:szCs w:val="20"/>
        </w:rPr>
      </w:pPr>
    </w:p>
    <w:p w:rsidR="00E51139" w:rsidRPr="00D37CDB" w:rsidRDefault="00E51139" w:rsidP="00E075DA">
      <w:pPr>
        <w:pStyle w:val="Footer"/>
        <w:rPr>
          <w:color w:val="auto"/>
          <w:sz w:val="20"/>
          <w:szCs w:val="20"/>
        </w:rPr>
      </w:pPr>
      <w:r w:rsidRPr="00D37CDB">
        <w:rPr>
          <w:color w:val="auto"/>
          <w:sz w:val="20"/>
          <w:szCs w:val="20"/>
        </w:rPr>
        <w:t>The Council is required:-</w:t>
      </w:r>
    </w:p>
    <w:p w:rsidR="00E51139" w:rsidRPr="00D37CDB" w:rsidRDefault="00E51139" w:rsidP="00E075DA">
      <w:pPr>
        <w:pStyle w:val="Footer"/>
        <w:rPr>
          <w:color w:val="auto"/>
          <w:sz w:val="20"/>
          <w:szCs w:val="20"/>
        </w:rPr>
      </w:pPr>
    </w:p>
    <w:p w:rsidR="00E51139" w:rsidRPr="00D37CDB" w:rsidRDefault="00E51139" w:rsidP="004978D1">
      <w:pPr>
        <w:pStyle w:val="Footer"/>
        <w:widowControl w:val="0"/>
        <w:numPr>
          <w:ilvl w:val="0"/>
          <w:numId w:val="7"/>
        </w:numPr>
        <w:tabs>
          <w:tab w:val="clear" w:pos="4513"/>
          <w:tab w:val="clear" w:pos="9026"/>
        </w:tabs>
        <w:adjustRightInd w:val="0"/>
        <w:spacing w:line="360" w:lineRule="atLeast"/>
        <w:jc w:val="both"/>
        <w:textAlignment w:val="baseline"/>
        <w:rPr>
          <w:color w:val="auto"/>
          <w:sz w:val="20"/>
          <w:szCs w:val="20"/>
        </w:rPr>
      </w:pPr>
      <w:r w:rsidRPr="00D37CDB">
        <w:rPr>
          <w:color w:val="auto"/>
          <w:sz w:val="20"/>
          <w:szCs w:val="20"/>
        </w:rPr>
        <w:t>to make arrangements for the proper administration of its financial affairs and to secure that one of its officers has the responsibility for the administration of those affairs.  In this Council, that officer is the Council’s Chief Finance Officer</w:t>
      </w:r>
    </w:p>
    <w:p w:rsidR="00E51139" w:rsidRPr="00D37CDB" w:rsidRDefault="00E51139" w:rsidP="00E075DA">
      <w:pPr>
        <w:pStyle w:val="Footer"/>
        <w:rPr>
          <w:color w:val="auto"/>
          <w:sz w:val="20"/>
          <w:szCs w:val="20"/>
        </w:rPr>
      </w:pPr>
    </w:p>
    <w:p w:rsidR="00E51139" w:rsidRPr="00D37CDB" w:rsidRDefault="00E51139" w:rsidP="004978D1">
      <w:pPr>
        <w:pStyle w:val="Footer"/>
        <w:widowControl w:val="0"/>
        <w:numPr>
          <w:ilvl w:val="0"/>
          <w:numId w:val="8"/>
        </w:numPr>
        <w:tabs>
          <w:tab w:val="clear" w:pos="4513"/>
          <w:tab w:val="clear" w:pos="9026"/>
        </w:tabs>
        <w:adjustRightInd w:val="0"/>
        <w:spacing w:line="360" w:lineRule="atLeast"/>
        <w:jc w:val="both"/>
        <w:textAlignment w:val="baseline"/>
        <w:rPr>
          <w:color w:val="auto"/>
          <w:sz w:val="20"/>
          <w:szCs w:val="20"/>
        </w:rPr>
      </w:pPr>
      <w:r w:rsidRPr="00D37CDB">
        <w:rPr>
          <w:color w:val="auto"/>
          <w:sz w:val="20"/>
          <w:szCs w:val="20"/>
        </w:rPr>
        <w:t>to manage its affairs to secure economic, efficient and effective use of resources and safeguard its assets</w:t>
      </w:r>
    </w:p>
    <w:p w:rsidR="00E51139" w:rsidRPr="00D37CDB" w:rsidRDefault="00E51139" w:rsidP="00E075DA">
      <w:pPr>
        <w:pStyle w:val="Footer"/>
        <w:rPr>
          <w:color w:val="auto"/>
          <w:sz w:val="20"/>
          <w:szCs w:val="20"/>
        </w:rPr>
      </w:pPr>
    </w:p>
    <w:p w:rsidR="00E51139" w:rsidRPr="00D37CDB" w:rsidRDefault="00E51139" w:rsidP="004978D1">
      <w:pPr>
        <w:pStyle w:val="Footer"/>
        <w:widowControl w:val="0"/>
        <w:numPr>
          <w:ilvl w:val="0"/>
          <w:numId w:val="9"/>
        </w:numPr>
        <w:tabs>
          <w:tab w:val="clear" w:pos="4513"/>
          <w:tab w:val="clear" w:pos="9026"/>
        </w:tabs>
        <w:adjustRightInd w:val="0"/>
        <w:spacing w:line="360" w:lineRule="atLeast"/>
        <w:jc w:val="both"/>
        <w:textAlignment w:val="baseline"/>
        <w:rPr>
          <w:color w:val="auto"/>
          <w:sz w:val="20"/>
          <w:szCs w:val="20"/>
        </w:rPr>
      </w:pPr>
      <w:r w:rsidRPr="00D37CDB">
        <w:rPr>
          <w:color w:val="auto"/>
          <w:sz w:val="20"/>
          <w:szCs w:val="20"/>
        </w:rPr>
        <w:t>approve the Statement of Accounts</w:t>
      </w:r>
    </w:p>
    <w:p w:rsidR="00E51139" w:rsidRPr="00D42E0B" w:rsidRDefault="00E51139" w:rsidP="00E075DA">
      <w:pPr>
        <w:pStyle w:val="Footer"/>
        <w:rPr>
          <w:color w:val="548DD4" w:themeColor="text2" w:themeTint="99"/>
          <w:sz w:val="20"/>
          <w:szCs w:val="20"/>
        </w:rPr>
      </w:pPr>
    </w:p>
    <w:p w:rsidR="00E51139" w:rsidRPr="00D42E0B" w:rsidRDefault="00E51139" w:rsidP="00E075DA">
      <w:pPr>
        <w:pStyle w:val="Footer"/>
        <w:rPr>
          <w:b/>
          <w:color w:val="548DD4" w:themeColor="text2" w:themeTint="99"/>
          <w:sz w:val="20"/>
          <w:szCs w:val="20"/>
          <w:u w:val="single"/>
        </w:rPr>
      </w:pPr>
    </w:p>
    <w:p w:rsidR="00E51139" w:rsidRPr="0057671E" w:rsidRDefault="00E51139" w:rsidP="00E075DA">
      <w:pPr>
        <w:pStyle w:val="Footer"/>
        <w:rPr>
          <w:b/>
          <w:color w:val="auto"/>
          <w:sz w:val="20"/>
          <w:szCs w:val="20"/>
          <w:u w:val="single"/>
        </w:rPr>
      </w:pPr>
      <w:r w:rsidRPr="0057671E">
        <w:rPr>
          <w:b/>
          <w:color w:val="auto"/>
          <w:sz w:val="20"/>
          <w:szCs w:val="20"/>
          <w:u w:val="single"/>
        </w:rPr>
        <w:t>Audit Committee Approval o</w:t>
      </w:r>
      <w:r w:rsidR="00321102" w:rsidRPr="0057671E">
        <w:rPr>
          <w:b/>
          <w:color w:val="auto"/>
          <w:sz w:val="20"/>
          <w:szCs w:val="20"/>
          <w:u w:val="single"/>
        </w:rPr>
        <w:t>f the Statement of Accounts 201</w:t>
      </w:r>
      <w:r w:rsidR="00A85FEB" w:rsidRPr="0057671E">
        <w:rPr>
          <w:b/>
          <w:color w:val="auto"/>
          <w:sz w:val="20"/>
          <w:szCs w:val="20"/>
          <w:u w:val="single"/>
        </w:rPr>
        <w:t>5</w:t>
      </w:r>
      <w:r w:rsidR="00321102" w:rsidRPr="0057671E">
        <w:rPr>
          <w:b/>
          <w:color w:val="auto"/>
          <w:sz w:val="20"/>
          <w:szCs w:val="20"/>
          <w:u w:val="single"/>
        </w:rPr>
        <w:t>/1</w:t>
      </w:r>
      <w:r w:rsidR="00A85FEB" w:rsidRPr="0057671E">
        <w:rPr>
          <w:b/>
          <w:color w:val="auto"/>
          <w:sz w:val="20"/>
          <w:szCs w:val="20"/>
          <w:u w:val="single"/>
        </w:rPr>
        <w:t>6</w:t>
      </w:r>
    </w:p>
    <w:p w:rsidR="00E51139" w:rsidRPr="0057671E" w:rsidRDefault="00E51139" w:rsidP="00E075DA">
      <w:pPr>
        <w:pStyle w:val="Footer"/>
        <w:rPr>
          <w:b/>
          <w:color w:val="548DD4" w:themeColor="text2" w:themeTint="99"/>
          <w:sz w:val="20"/>
          <w:szCs w:val="20"/>
          <w:u w:val="single"/>
        </w:rPr>
      </w:pPr>
    </w:p>
    <w:p w:rsidR="00E51139" w:rsidRPr="0057671E" w:rsidRDefault="00E51139" w:rsidP="00E075DA">
      <w:pPr>
        <w:pStyle w:val="Footer"/>
        <w:rPr>
          <w:color w:val="548DD4" w:themeColor="text2" w:themeTint="99"/>
          <w:sz w:val="20"/>
          <w:szCs w:val="20"/>
        </w:rPr>
      </w:pPr>
    </w:p>
    <w:p w:rsidR="00E51139" w:rsidRPr="0057671E" w:rsidRDefault="00E51139" w:rsidP="00E075DA">
      <w:pPr>
        <w:pStyle w:val="Footer"/>
        <w:rPr>
          <w:color w:val="548DD4" w:themeColor="text2" w:themeTint="99"/>
          <w:sz w:val="20"/>
          <w:szCs w:val="20"/>
        </w:rPr>
      </w:pPr>
      <w:r w:rsidRPr="0057671E">
        <w:rPr>
          <w:color w:val="auto"/>
          <w:sz w:val="20"/>
          <w:szCs w:val="20"/>
        </w:rPr>
        <w:t>I confirm that the Council completed its approval process of the Statement of Accounts 201</w:t>
      </w:r>
      <w:r w:rsidR="00A85FEB" w:rsidRPr="0057671E">
        <w:rPr>
          <w:color w:val="auto"/>
          <w:sz w:val="20"/>
          <w:szCs w:val="20"/>
        </w:rPr>
        <w:t>5</w:t>
      </w:r>
      <w:r w:rsidR="00321102" w:rsidRPr="0057671E">
        <w:rPr>
          <w:color w:val="auto"/>
          <w:sz w:val="20"/>
          <w:szCs w:val="20"/>
        </w:rPr>
        <w:t>/201</w:t>
      </w:r>
      <w:r w:rsidR="00A85FEB" w:rsidRPr="0057671E">
        <w:rPr>
          <w:color w:val="auto"/>
          <w:sz w:val="20"/>
          <w:szCs w:val="20"/>
        </w:rPr>
        <w:t>6</w:t>
      </w:r>
      <w:r w:rsidRPr="0057671E">
        <w:rPr>
          <w:color w:val="auto"/>
          <w:sz w:val="20"/>
          <w:szCs w:val="20"/>
        </w:rPr>
        <w:t xml:space="preserve"> on the</w:t>
      </w:r>
      <w:r w:rsidRPr="0057671E">
        <w:rPr>
          <w:color w:val="548DD4" w:themeColor="text2" w:themeTint="99"/>
          <w:sz w:val="20"/>
          <w:szCs w:val="20"/>
        </w:rPr>
        <w:t xml:space="preserve"> </w:t>
      </w:r>
      <w:r w:rsidR="00156BAB" w:rsidRPr="0057671E">
        <w:rPr>
          <w:color w:val="auto"/>
          <w:sz w:val="20"/>
          <w:szCs w:val="20"/>
        </w:rPr>
        <w:t>2</w:t>
      </w:r>
      <w:r w:rsidR="00D37CDB" w:rsidRPr="0057671E">
        <w:rPr>
          <w:color w:val="auto"/>
          <w:sz w:val="20"/>
          <w:szCs w:val="20"/>
        </w:rPr>
        <w:t>7</w:t>
      </w:r>
      <w:r w:rsidR="00156BAB" w:rsidRPr="0057671E">
        <w:rPr>
          <w:color w:val="auto"/>
          <w:sz w:val="20"/>
          <w:szCs w:val="20"/>
          <w:vertAlign w:val="superscript"/>
        </w:rPr>
        <w:t>th</w:t>
      </w:r>
      <w:r w:rsidR="00156BAB" w:rsidRPr="0057671E">
        <w:rPr>
          <w:color w:val="auto"/>
          <w:sz w:val="20"/>
          <w:szCs w:val="20"/>
        </w:rPr>
        <w:t xml:space="preserve"> </w:t>
      </w:r>
      <w:r w:rsidR="00D24A22" w:rsidRPr="0057671E">
        <w:rPr>
          <w:color w:val="auto"/>
          <w:sz w:val="20"/>
          <w:szCs w:val="20"/>
        </w:rPr>
        <w:t>July 201</w:t>
      </w:r>
      <w:r w:rsidR="00D37CDB" w:rsidRPr="0057671E">
        <w:rPr>
          <w:color w:val="auto"/>
          <w:sz w:val="20"/>
          <w:szCs w:val="20"/>
        </w:rPr>
        <w:t>6</w:t>
      </w:r>
      <w:r w:rsidRPr="0057671E">
        <w:rPr>
          <w:color w:val="548DD4" w:themeColor="text2" w:themeTint="99"/>
          <w:sz w:val="20"/>
          <w:szCs w:val="20"/>
        </w:rPr>
        <w:t xml:space="preserve"> </w:t>
      </w:r>
      <w:r w:rsidRPr="0057671E">
        <w:rPr>
          <w:color w:val="auto"/>
          <w:sz w:val="20"/>
          <w:szCs w:val="20"/>
        </w:rPr>
        <w:t>at a meeting of the Council’s Audit Committee</w:t>
      </w:r>
      <w:r w:rsidRPr="0057671E">
        <w:rPr>
          <w:color w:val="548DD4" w:themeColor="text2" w:themeTint="99"/>
          <w:sz w:val="20"/>
          <w:szCs w:val="20"/>
        </w:rPr>
        <w:t>.</w:t>
      </w: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D42E0B" w:rsidRDefault="00E51139" w:rsidP="00E075DA">
      <w:pPr>
        <w:pStyle w:val="Footer"/>
        <w:rPr>
          <w:strike/>
          <w:color w:val="548DD4" w:themeColor="text2" w:themeTint="99"/>
          <w:sz w:val="20"/>
          <w:szCs w:val="20"/>
        </w:rPr>
      </w:pPr>
    </w:p>
    <w:p w:rsidR="00E51139" w:rsidRPr="0057671E" w:rsidRDefault="00E51139" w:rsidP="00E075DA">
      <w:pPr>
        <w:pStyle w:val="Footer"/>
        <w:rPr>
          <w:color w:val="auto"/>
          <w:sz w:val="20"/>
          <w:szCs w:val="20"/>
        </w:rPr>
      </w:pPr>
      <w:r w:rsidRPr="0057671E">
        <w:rPr>
          <w:color w:val="auto"/>
          <w:sz w:val="20"/>
          <w:szCs w:val="20"/>
        </w:rPr>
        <w:t xml:space="preserve">Councillor </w:t>
      </w:r>
      <w:r w:rsidR="00A01078" w:rsidRPr="0057671E">
        <w:rPr>
          <w:color w:val="auto"/>
          <w:sz w:val="20"/>
          <w:szCs w:val="20"/>
        </w:rPr>
        <w:t>Tyerman</w:t>
      </w:r>
    </w:p>
    <w:p w:rsidR="00E51139" w:rsidRPr="0057671E" w:rsidRDefault="00E51139" w:rsidP="00E075DA">
      <w:pPr>
        <w:pStyle w:val="Footer"/>
        <w:rPr>
          <w:color w:val="auto"/>
          <w:sz w:val="20"/>
          <w:szCs w:val="20"/>
        </w:rPr>
      </w:pPr>
    </w:p>
    <w:p w:rsidR="00E51139" w:rsidRPr="0057671E" w:rsidRDefault="00E51139" w:rsidP="00E075DA">
      <w:pPr>
        <w:pStyle w:val="Footer"/>
        <w:rPr>
          <w:color w:val="auto"/>
          <w:sz w:val="20"/>
          <w:szCs w:val="20"/>
        </w:rPr>
      </w:pPr>
      <w:r w:rsidRPr="0057671E">
        <w:rPr>
          <w:color w:val="auto"/>
          <w:sz w:val="20"/>
          <w:szCs w:val="20"/>
        </w:rPr>
        <w:t>Chair of Audit Committee</w:t>
      </w:r>
    </w:p>
    <w:p w:rsidR="00E51139" w:rsidRPr="0057671E" w:rsidRDefault="00E51139" w:rsidP="00E075DA">
      <w:pPr>
        <w:pStyle w:val="Footer"/>
        <w:rPr>
          <w:color w:val="auto"/>
          <w:sz w:val="20"/>
          <w:szCs w:val="20"/>
        </w:rPr>
      </w:pPr>
    </w:p>
    <w:p w:rsidR="00E51139" w:rsidRPr="0057671E" w:rsidRDefault="00156BAB" w:rsidP="00E075DA">
      <w:pPr>
        <w:pStyle w:val="Footer"/>
        <w:rPr>
          <w:color w:val="auto"/>
          <w:sz w:val="20"/>
          <w:szCs w:val="20"/>
        </w:rPr>
      </w:pPr>
      <w:r w:rsidRPr="0057671E">
        <w:rPr>
          <w:color w:val="auto"/>
          <w:sz w:val="20"/>
          <w:szCs w:val="20"/>
        </w:rPr>
        <w:t>2</w:t>
      </w:r>
      <w:r w:rsidR="00D37CDB" w:rsidRPr="0057671E">
        <w:rPr>
          <w:color w:val="auto"/>
          <w:sz w:val="20"/>
          <w:szCs w:val="20"/>
        </w:rPr>
        <w:t>7</w:t>
      </w:r>
      <w:r w:rsidR="009F0D13" w:rsidRPr="0057671E">
        <w:rPr>
          <w:color w:val="auto"/>
          <w:sz w:val="20"/>
          <w:szCs w:val="20"/>
        </w:rPr>
        <w:t>th</w:t>
      </w:r>
      <w:r w:rsidRPr="0057671E">
        <w:rPr>
          <w:color w:val="auto"/>
          <w:sz w:val="20"/>
          <w:szCs w:val="20"/>
        </w:rPr>
        <w:t xml:space="preserve"> </w:t>
      </w:r>
      <w:r w:rsidR="009F0D13" w:rsidRPr="0057671E">
        <w:rPr>
          <w:color w:val="auto"/>
          <w:sz w:val="20"/>
          <w:szCs w:val="20"/>
        </w:rPr>
        <w:t xml:space="preserve">July </w:t>
      </w:r>
      <w:r w:rsidR="00E51139" w:rsidRPr="0057671E">
        <w:rPr>
          <w:color w:val="auto"/>
          <w:sz w:val="20"/>
          <w:szCs w:val="20"/>
        </w:rPr>
        <w:t>201</w:t>
      </w:r>
      <w:r w:rsidR="00D37CDB" w:rsidRPr="0057671E">
        <w:rPr>
          <w:color w:val="auto"/>
          <w:sz w:val="20"/>
          <w:szCs w:val="20"/>
        </w:rPr>
        <w:t>6</w:t>
      </w:r>
    </w:p>
    <w:p w:rsidR="00E51139" w:rsidRPr="00D42E0B" w:rsidRDefault="00E51139" w:rsidP="00E075DA">
      <w:pPr>
        <w:pStyle w:val="Footer"/>
        <w:rPr>
          <w:b/>
          <w:color w:val="548DD4" w:themeColor="text2" w:themeTint="99"/>
          <w:sz w:val="20"/>
          <w:szCs w:val="20"/>
          <w:u w:val="single"/>
        </w:rPr>
      </w:pPr>
    </w:p>
    <w:p w:rsidR="00E51139" w:rsidRPr="00D42E0B" w:rsidRDefault="00E51139" w:rsidP="00E075DA">
      <w:pPr>
        <w:pStyle w:val="Footer"/>
        <w:rPr>
          <w:b/>
          <w:color w:val="548DD4" w:themeColor="text2" w:themeTint="99"/>
          <w:sz w:val="20"/>
          <w:szCs w:val="20"/>
          <w:u w:val="single"/>
        </w:rPr>
      </w:pPr>
    </w:p>
    <w:p w:rsidR="00E51139" w:rsidRPr="00D42E0B" w:rsidRDefault="00E51139" w:rsidP="00E075DA">
      <w:pPr>
        <w:pStyle w:val="Footer"/>
        <w:rPr>
          <w:b/>
          <w:color w:val="548DD4" w:themeColor="text2" w:themeTint="99"/>
          <w:sz w:val="20"/>
          <w:szCs w:val="20"/>
          <w:u w:val="single"/>
        </w:rPr>
      </w:pPr>
    </w:p>
    <w:p w:rsidR="00E51139" w:rsidRPr="00D42E0B" w:rsidRDefault="00E51139" w:rsidP="00E075DA">
      <w:pPr>
        <w:pStyle w:val="Footer"/>
        <w:rPr>
          <w:b/>
          <w:color w:val="548DD4" w:themeColor="text2" w:themeTint="99"/>
          <w:sz w:val="20"/>
          <w:szCs w:val="20"/>
          <w:u w:val="single"/>
        </w:rPr>
      </w:pPr>
    </w:p>
    <w:p w:rsidR="00E51139" w:rsidRPr="00D42E0B" w:rsidRDefault="00E51139" w:rsidP="00E075DA">
      <w:pPr>
        <w:pStyle w:val="Footer"/>
        <w:rPr>
          <w:b/>
          <w:color w:val="548DD4" w:themeColor="text2" w:themeTint="99"/>
          <w:sz w:val="20"/>
          <w:szCs w:val="20"/>
          <w:u w:val="single"/>
        </w:rPr>
      </w:pPr>
    </w:p>
    <w:p w:rsidR="00E51139" w:rsidRPr="00D42E0B" w:rsidRDefault="00E51139" w:rsidP="00E075DA">
      <w:pPr>
        <w:pStyle w:val="Footer"/>
        <w:rPr>
          <w:b/>
          <w:color w:val="548DD4" w:themeColor="text2" w:themeTint="99"/>
          <w:sz w:val="20"/>
          <w:szCs w:val="20"/>
          <w:u w:val="single"/>
        </w:rPr>
      </w:pPr>
    </w:p>
    <w:p w:rsidR="00E51139" w:rsidRPr="00D42E0B" w:rsidRDefault="00E51139" w:rsidP="00E075DA">
      <w:pPr>
        <w:pStyle w:val="Footer"/>
        <w:rPr>
          <w:b/>
          <w:color w:val="548DD4" w:themeColor="text2" w:themeTint="99"/>
          <w:sz w:val="20"/>
          <w:szCs w:val="20"/>
          <w:u w:val="single"/>
        </w:rPr>
      </w:pPr>
    </w:p>
    <w:p w:rsidR="00E51139" w:rsidRDefault="00E51139" w:rsidP="00E075DA">
      <w:pPr>
        <w:pStyle w:val="Footer"/>
        <w:rPr>
          <w:b/>
          <w:color w:val="548DD4" w:themeColor="text2" w:themeTint="99"/>
          <w:sz w:val="20"/>
          <w:szCs w:val="20"/>
          <w:u w:val="single"/>
        </w:rPr>
      </w:pPr>
    </w:p>
    <w:p w:rsidR="003850CB" w:rsidRDefault="003850CB" w:rsidP="00E075DA">
      <w:pPr>
        <w:pStyle w:val="Footer"/>
        <w:rPr>
          <w:b/>
          <w:color w:val="548DD4" w:themeColor="text2" w:themeTint="99"/>
          <w:sz w:val="20"/>
          <w:szCs w:val="20"/>
          <w:u w:val="single"/>
        </w:rPr>
      </w:pPr>
    </w:p>
    <w:p w:rsidR="003850CB" w:rsidRPr="00D42E0B" w:rsidRDefault="003850CB" w:rsidP="00E075DA">
      <w:pPr>
        <w:pStyle w:val="Footer"/>
        <w:rPr>
          <w:b/>
          <w:color w:val="548DD4" w:themeColor="text2" w:themeTint="99"/>
          <w:sz w:val="20"/>
          <w:szCs w:val="20"/>
          <w:u w:val="single"/>
        </w:rPr>
      </w:pPr>
    </w:p>
    <w:p w:rsidR="00E51139" w:rsidRPr="00D42E0B" w:rsidRDefault="00E51139" w:rsidP="00E075DA">
      <w:pPr>
        <w:pStyle w:val="Footer"/>
        <w:rPr>
          <w:b/>
          <w:color w:val="548DD4" w:themeColor="text2" w:themeTint="99"/>
          <w:sz w:val="20"/>
          <w:szCs w:val="20"/>
          <w:u w:val="single"/>
        </w:rPr>
      </w:pPr>
    </w:p>
    <w:p w:rsidR="00F82C04" w:rsidRPr="00D42E0B" w:rsidRDefault="00F82C04" w:rsidP="00E075DA">
      <w:pPr>
        <w:pStyle w:val="Footer"/>
        <w:rPr>
          <w:b/>
          <w:color w:val="548DD4" w:themeColor="text2" w:themeTint="99"/>
          <w:sz w:val="20"/>
          <w:szCs w:val="20"/>
          <w:u w:val="single"/>
        </w:rPr>
      </w:pPr>
    </w:p>
    <w:p w:rsidR="00E51139" w:rsidRPr="0042191A" w:rsidRDefault="00E51139" w:rsidP="00E075DA">
      <w:pPr>
        <w:pStyle w:val="Footer"/>
        <w:rPr>
          <w:b/>
          <w:color w:val="auto"/>
          <w:sz w:val="20"/>
          <w:szCs w:val="20"/>
          <w:u w:val="single"/>
        </w:rPr>
      </w:pPr>
      <w:r w:rsidRPr="0042191A">
        <w:rPr>
          <w:b/>
          <w:color w:val="auto"/>
          <w:sz w:val="20"/>
          <w:szCs w:val="20"/>
          <w:u w:val="single"/>
        </w:rPr>
        <w:lastRenderedPageBreak/>
        <w:t>The Chief Finance Officer’s Responsibilities</w:t>
      </w:r>
    </w:p>
    <w:p w:rsidR="00E51139" w:rsidRPr="0042191A" w:rsidRDefault="00E51139" w:rsidP="00E075DA">
      <w:pPr>
        <w:pStyle w:val="Footer"/>
        <w:rPr>
          <w:b/>
          <w:color w:val="auto"/>
          <w:sz w:val="20"/>
          <w:szCs w:val="20"/>
          <w:u w:val="single"/>
        </w:rPr>
      </w:pPr>
    </w:p>
    <w:p w:rsidR="00E51139" w:rsidRPr="0042191A" w:rsidRDefault="00E51139" w:rsidP="00E075DA">
      <w:pPr>
        <w:pStyle w:val="Footer"/>
        <w:rPr>
          <w:color w:val="auto"/>
          <w:sz w:val="20"/>
          <w:szCs w:val="20"/>
        </w:rPr>
      </w:pPr>
      <w:r w:rsidRPr="0042191A">
        <w:rPr>
          <w:color w:val="auto"/>
          <w:sz w:val="20"/>
          <w:szCs w:val="20"/>
        </w:rPr>
        <w:t>The Chief Finance Officer is responsible for the preparation of the Council’s statement of accounts in accordance with proper practices as set out in the CIPFA/LASAAC Code of Practice on Local Authority Accounting in the United Kingdom (Code of Practice).</w:t>
      </w:r>
    </w:p>
    <w:p w:rsidR="00E51139" w:rsidRPr="0042191A" w:rsidRDefault="00E51139" w:rsidP="00E075DA">
      <w:pPr>
        <w:pStyle w:val="Footer"/>
        <w:rPr>
          <w:color w:val="auto"/>
          <w:sz w:val="20"/>
          <w:szCs w:val="20"/>
        </w:rPr>
      </w:pPr>
    </w:p>
    <w:p w:rsidR="00E51139" w:rsidRPr="0042191A" w:rsidRDefault="00E51139" w:rsidP="00E075DA">
      <w:pPr>
        <w:pStyle w:val="Footer"/>
        <w:rPr>
          <w:color w:val="auto"/>
          <w:sz w:val="20"/>
          <w:szCs w:val="20"/>
        </w:rPr>
      </w:pPr>
      <w:r w:rsidRPr="0042191A">
        <w:rPr>
          <w:color w:val="auto"/>
          <w:sz w:val="20"/>
          <w:szCs w:val="20"/>
        </w:rPr>
        <w:t>In preparing this Statement of Accounts, the Chief Finance Officer has:-</w:t>
      </w:r>
    </w:p>
    <w:p w:rsidR="00E51139" w:rsidRPr="0042191A" w:rsidRDefault="00E51139" w:rsidP="004978D1">
      <w:pPr>
        <w:pStyle w:val="Footer"/>
        <w:widowControl w:val="0"/>
        <w:numPr>
          <w:ilvl w:val="0"/>
          <w:numId w:val="10"/>
        </w:numPr>
        <w:tabs>
          <w:tab w:val="clear" w:pos="4513"/>
          <w:tab w:val="clear" w:pos="9026"/>
        </w:tabs>
        <w:adjustRightInd w:val="0"/>
        <w:spacing w:line="360" w:lineRule="atLeast"/>
        <w:jc w:val="both"/>
        <w:textAlignment w:val="baseline"/>
        <w:rPr>
          <w:color w:val="auto"/>
          <w:sz w:val="20"/>
          <w:szCs w:val="20"/>
        </w:rPr>
      </w:pPr>
      <w:r w:rsidRPr="0042191A">
        <w:rPr>
          <w:color w:val="auto"/>
          <w:sz w:val="20"/>
          <w:szCs w:val="20"/>
        </w:rPr>
        <w:t>selected suitable accounting policies and then applied them consistently;</w:t>
      </w:r>
    </w:p>
    <w:p w:rsidR="00E51139" w:rsidRPr="0042191A" w:rsidRDefault="00E51139" w:rsidP="004978D1">
      <w:pPr>
        <w:pStyle w:val="Footer"/>
        <w:widowControl w:val="0"/>
        <w:numPr>
          <w:ilvl w:val="0"/>
          <w:numId w:val="11"/>
        </w:numPr>
        <w:tabs>
          <w:tab w:val="clear" w:pos="4513"/>
          <w:tab w:val="clear" w:pos="9026"/>
        </w:tabs>
        <w:adjustRightInd w:val="0"/>
        <w:spacing w:line="360" w:lineRule="atLeast"/>
        <w:jc w:val="both"/>
        <w:textAlignment w:val="baseline"/>
        <w:rPr>
          <w:color w:val="auto"/>
          <w:sz w:val="20"/>
          <w:szCs w:val="20"/>
        </w:rPr>
      </w:pPr>
      <w:r w:rsidRPr="0042191A">
        <w:rPr>
          <w:color w:val="auto"/>
          <w:sz w:val="20"/>
          <w:szCs w:val="20"/>
        </w:rPr>
        <w:t>made judgments and estimates that were reasonable and prudent;</w:t>
      </w:r>
    </w:p>
    <w:p w:rsidR="00E51139" w:rsidRPr="0042191A" w:rsidRDefault="00E51139" w:rsidP="004978D1">
      <w:pPr>
        <w:pStyle w:val="Footer"/>
        <w:widowControl w:val="0"/>
        <w:numPr>
          <w:ilvl w:val="0"/>
          <w:numId w:val="12"/>
        </w:numPr>
        <w:tabs>
          <w:tab w:val="clear" w:pos="4513"/>
          <w:tab w:val="clear" w:pos="9026"/>
        </w:tabs>
        <w:adjustRightInd w:val="0"/>
        <w:spacing w:line="360" w:lineRule="atLeast"/>
        <w:jc w:val="both"/>
        <w:textAlignment w:val="baseline"/>
        <w:rPr>
          <w:color w:val="auto"/>
          <w:sz w:val="20"/>
          <w:szCs w:val="20"/>
        </w:rPr>
      </w:pPr>
      <w:r w:rsidRPr="0042191A">
        <w:rPr>
          <w:color w:val="auto"/>
          <w:sz w:val="20"/>
          <w:szCs w:val="20"/>
        </w:rPr>
        <w:t>complied with the Code of Practice.</w:t>
      </w:r>
    </w:p>
    <w:p w:rsidR="00E51139" w:rsidRPr="0042191A" w:rsidRDefault="00E51139" w:rsidP="00E075DA">
      <w:pPr>
        <w:pStyle w:val="Footer"/>
        <w:rPr>
          <w:color w:val="auto"/>
          <w:sz w:val="20"/>
          <w:szCs w:val="20"/>
        </w:rPr>
      </w:pPr>
    </w:p>
    <w:p w:rsidR="00E51139" w:rsidRPr="0042191A" w:rsidRDefault="00E51139" w:rsidP="00E075DA">
      <w:pPr>
        <w:pStyle w:val="Footer"/>
        <w:rPr>
          <w:color w:val="auto"/>
          <w:sz w:val="20"/>
          <w:szCs w:val="20"/>
        </w:rPr>
      </w:pPr>
      <w:r w:rsidRPr="0042191A">
        <w:rPr>
          <w:color w:val="auto"/>
          <w:sz w:val="20"/>
          <w:szCs w:val="20"/>
        </w:rPr>
        <w:t>The Chief Finance Officer has also:-</w:t>
      </w:r>
    </w:p>
    <w:p w:rsidR="00E51139" w:rsidRPr="0042191A" w:rsidRDefault="00E51139" w:rsidP="004978D1">
      <w:pPr>
        <w:pStyle w:val="Footer"/>
        <w:widowControl w:val="0"/>
        <w:numPr>
          <w:ilvl w:val="0"/>
          <w:numId w:val="13"/>
        </w:numPr>
        <w:tabs>
          <w:tab w:val="clear" w:pos="4513"/>
          <w:tab w:val="clear" w:pos="9026"/>
        </w:tabs>
        <w:adjustRightInd w:val="0"/>
        <w:spacing w:line="360" w:lineRule="atLeast"/>
        <w:jc w:val="both"/>
        <w:textAlignment w:val="baseline"/>
        <w:rPr>
          <w:color w:val="auto"/>
          <w:sz w:val="20"/>
          <w:szCs w:val="20"/>
        </w:rPr>
      </w:pPr>
      <w:r w:rsidRPr="0042191A">
        <w:rPr>
          <w:color w:val="auto"/>
          <w:sz w:val="20"/>
          <w:szCs w:val="20"/>
        </w:rPr>
        <w:t>kept proper accounting records which were up to date;</w:t>
      </w:r>
    </w:p>
    <w:p w:rsidR="00E51139" w:rsidRPr="0042191A" w:rsidRDefault="00E51139" w:rsidP="004978D1">
      <w:pPr>
        <w:pStyle w:val="Footer"/>
        <w:widowControl w:val="0"/>
        <w:numPr>
          <w:ilvl w:val="0"/>
          <w:numId w:val="14"/>
        </w:numPr>
        <w:tabs>
          <w:tab w:val="clear" w:pos="4513"/>
          <w:tab w:val="clear" w:pos="9026"/>
        </w:tabs>
        <w:adjustRightInd w:val="0"/>
        <w:spacing w:line="360" w:lineRule="atLeast"/>
        <w:jc w:val="both"/>
        <w:textAlignment w:val="baseline"/>
        <w:rPr>
          <w:color w:val="auto"/>
          <w:sz w:val="20"/>
          <w:szCs w:val="20"/>
        </w:rPr>
      </w:pPr>
      <w:r w:rsidRPr="0042191A">
        <w:rPr>
          <w:color w:val="auto"/>
          <w:sz w:val="20"/>
          <w:szCs w:val="20"/>
        </w:rPr>
        <w:t>taken reasonable steps for the prevention and detection of fraud and other irregularities.</w:t>
      </w:r>
    </w:p>
    <w:p w:rsidR="00E51139" w:rsidRPr="00D42E0B" w:rsidRDefault="00E51139" w:rsidP="00E075DA">
      <w:pPr>
        <w:pStyle w:val="Footer"/>
        <w:pBdr>
          <w:bottom w:val="single" w:sz="12" w:space="1" w:color="auto"/>
        </w:pBdr>
        <w:rPr>
          <w:color w:val="548DD4" w:themeColor="text2" w:themeTint="99"/>
          <w:sz w:val="20"/>
          <w:szCs w:val="20"/>
        </w:rPr>
      </w:pPr>
    </w:p>
    <w:p w:rsidR="00E51139" w:rsidRPr="00D42E0B" w:rsidRDefault="00E51139" w:rsidP="00E075DA">
      <w:pPr>
        <w:pStyle w:val="Footer"/>
        <w:rPr>
          <w:color w:val="548DD4" w:themeColor="text2" w:themeTint="99"/>
          <w:sz w:val="20"/>
          <w:szCs w:val="20"/>
        </w:rPr>
      </w:pPr>
    </w:p>
    <w:p w:rsidR="00E51139" w:rsidRPr="00D42E0B" w:rsidRDefault="00E51139" w:rsidP="00E075DA">
      <w:pPr>
        <w:pStyle w:val="Footer"/>
        <w:rPr>
          <w:b/>
          <w:color w:val="548DD4" w:themeColor="text2" w:themeTint="99"/>
          <w:sz w:val="20"/>
          <w:szCs w:val="20"/>
          <w:u w:val="single"/>
        </w:rPr>
      </w:pPr>
    </w:p>
    <w:p w:rsidR="00E51139" w:rsidRPr="00A4792B" w:rsidRDefault="00E51139" w:rsidP="00E075DA">
      <w:pPr>
        <w:pStyle w:val="Footer"/>
        <w:rPr>
          <w:b/>
          <w:color w:val="auto"/>
          <w:sz w:val="20"/>
          <w:szCs w:val="20"/>
          <w:u w:val="single"/>
        </w:rPr>
      </w:pPr>
      <w:r w:rsidRPr="00A4792B">
        <w:rPr>
          <w:b/>
          <w:color w:val="auto"/>
          <w:sz w:val="20"/>
          <w:szCs w:val="20"/>
          <w:u w:val="single"/>
        </w:rPr>
        <w:t>The Chief Finance Officer’s Statement</w:t>
      </w:r>
    </w:p>
    <w:p w:rsidR="00E51139" w:rsidRPr="00A4792B" w:rsidRDefault="00E51139" w:rsidP="00E075DA">
      <w:pPr>
        <w:pStyle w:val="Footer"/>
        <w:rPr>
          <w:b/>
          <w:color w:val="auto"/>
          <w:sz w:val="20"/>
          <w:szCs w:val="20"/>
          <w:u w:val="single"/>
        </w:rPr>
      </w:pPr>
    </w:p>
    <w:p w:rsidR="00E51139" w:rsidRPr="000F459B" w:rsidRDefault="00E51139" w:rsidP="00E075DA">
      <w:pPr>
        <w:pStyle w:val="Footer"/>
        <w:rPr>
          <w:color w:val="auto"/>
          <w:sz w:val="20"/>
          <w:szCs w:val="20"/>
        </w:rPr>
      </w:pPr>
      <w:r w:rsidRPr="000F459B">
        <w:rPr>
          <w:color w:val="auto"/>
          <w:sz w:val="20"/>
          <w:szCs w:val="20"/>
        </w:rPr>
        <w:t>The Statement of Accounts as required by the Accounts and Audit Regulations</w:t>
      </w:r>
      <w:r w:rsidR="00ED0956" w:rsidRPr="000F459B">
        <w:rPr>
          <w:color w:val="auto"/>
          <w:sz w:val="20"/>
          <w:szCs w:val="20"/>
        </w:rPr>
        <w:t xml:space="preserve"> </w:t>
      </w:r>
      <w:r w:rsidRPr="000F459B">
        <w:rPr>
          <w:color w:val="auto"/>
          <w:sz w:val="20"/>
          <w:szCs w:val="20"/>
        </w:rPr>
        <w:t xml:space="preserve">is set out on pages </w:t>
      </w:r>
      <w:r w:rsidR="00305B45" w:rsidRPr="000F459B">
        <w:rPr>
          <w:color w:val="auto"/>
          <w:sz w:val="20"/>
          <w:szCs w:val="20"/>
        </w:rPr>
        <w:t>2</w:t>
      </w:r>
      <w:r w:rsidR="000F459B" w:rsidRPr="000F459B">
        <w:rPr>
          <w:color w:val="auto"/>
          <w:sz w:val="20"/>
          <w:szCs w:val="20"/>
        </w:rPr>
        <w:t>2</w:t>
      </w:r>
      <w:r w:rsidR="00321102" w:rsidRPr="000F459B">
        <w:rPr>
          <w:color w:val="auto"/>
          <w:sz w:val="20"/>
          <w:szCs w:val="20"/>
        </w:rPr>
        <w:t xml:space="preserve"> </w:t>
      </w:r>
      <w:r w:rsidRPr="000F459B">
        <w:rPr>
          <w:color w:val="auto"/>
          <w:sz w:val="20"/>
          <w:szCs w:val="20"/>
        </w:rPr>
        <w:t xml:space="preserve"> to page </w:t>
      </w:r>
      <w:r w:rsidR="000F459B" w:rsidRPr="000F459B">
        <w:rPr>
          <w:color w:val="auto"/>
          <w:sz w:val="20"/>
          <w:szCs w:val="20"/>
        </w:rPr>
        <w:t>105</w:t>
      </w:r>
      <w:r w:rsidRPr="000F459B">
        <w:rPr>
          <w:color w:val="auto"/>
          <w:sz w:val="20"/>
          <w:szCs w:val="20"/>
        </w:rPr>
        <w:t xml:space="preserve"> and has been prepared in accordance with the accounting policies </w:t>
      </w:r>
      <w:r w:rsidR="001A79FA" w:rsidRPr="000F459B">
        <w:rPr>
          <w:color w:val="auto"/>
          <w:sz w:val="20"/>
          <w:szCs w:val="20"/>
        </w:rPr>
        <w:t xml:space="preserve">which are </w:t>
      </w:r>
      <w:r w:rsidRPr="000F459B">
        <w:rPr>
          <w:color w:val="auto"/>
          <w:sz w:val="20"/>
          <w:szCs w:val="20"/>
        </w:rPr>
        <w:t>set out</w:t>
      </w:r>
      <w:r w:rsidR="001A79FA" w:rsidRPr="000F459B">
        <w:rPr>
          <w:color w:val="auto"/>
          <w:sz w:val="20"/>
          <w:szCs w:val="20"/>
        </w:rPr>
        <w:t xml:space="preserve">, if significant, </w:t>
      </w:r>
      <w:r w:rsidRPr="000F459B">
        <w:rPr>
          <w:color w:val="auto"/>
          <w:sz w:val="20"/>
          <w:szCs w:val="20"/>
        </w:rPr>
        <w:t>on pages</w:t>
      </w:r>
      <w:r w:rsidR="00305B45" w:rsidRPr="000F459B">
        <w:rPr>
          <w:color w:val="auto"/>
          <w:sz w:val="20"/>
          <w:szCs w:val="20"/>
        </w:rPr>
        <w:t xml:space="preserve"> </w:t>
      </w:r>
      <w:r w:rsidR="001A79FA" w:rsidRPr="000F459B">
        <w:rPr>
          <w:color w:val="auto"/>
          <w:sz w:val="20"/>
          <w:szCs w:val="20"/>
        </w:rPr>
        <w:t>8</w:t>
      </w:r>
      <w:r w:rsidR="000F459B" w:rsidRPr="000F459B">
        <w:rPr>
          <w:color w:val="auto"/>
          <w:sz w:val="20"/>
          <w:szCs w:val="20"/>
        </w:rPr>
        <w:t>8</w:t>
      </w:r>
      <w:r w:rsidR="00305B45" w:rsidRPr="000F459B">
        <w:rPr>
          <w:color w:val="auto"/>
          <w:sz w:val="20"/>
          <w:szCs w:val="20"/>
        </w:rPr>
        <w:t xml:space="preserve"> </w:t>
      </w:r>
      <w:r w:rsidRPr="000F459B">
        <w:rPr>
          <w:color w:val="auto"/>
          <w:sz w:val="20"/>
          <w:szCs w:val="20"/>
        </w:rPr>
        <w:t xml:space="preserve"> to </w:t>
      </w:r>
      <w:r w:rsidR="000F459B" w:rsidRPr="000F459B">
        <w:rPr>
          <w:color w:val="auto"/>
          <w:sz w:val="20"/>
          <w:szCs w:val="20"/>
        </w:rPr>
        <w:t>102</w:t>
      </w:r>
      <w:r w:rsidRPr="000F459B">
        <w:rPr>
          <w:color w:val="auto"/>
          <w:sz w:val="20"/>
          <w:szCs w:val="20"/>
        </w:rPr>
        <w:t>. In my opinion it is a true and fair view of the financial position of the Council at 31st March 201</w:t>
      </w:r>
      <w:r w:rsidR="00607E02" w:rsidRPr="000F459B">
        <w:rPr>
          <w:color w:val="auto"/>
          <w:sz w:val="20"/>
          <w:szCs w:val="20"/>
        </w:rPr>
        <w:t>6</w:t>
      </w:r>
      <w:r w:rsidRPr="000F459B">
        <w:rPr>
          <w:color w:val="auto"/>
          <w:sz w:val="20"/>
          <w:szCs w:val="20"/>
        </w:rPr>
        <w:t xml:space="preserve"> and its income and expenditure for the year ended 31st March 201</w:t>
      </w:r>
      <w:r w:rsidR="00A4792B" w:rsidRPr="000F459B">
        <w:rPr>
          <w:color w:val="auto"/>
          <w:sz w:val="20"/>
          <w:szCs w:val="20"/>
        </w:rPr>
        <w:t>6</w:t>
      </w:r>
      <w:r w:rsidRPr="000F459B">
        <w:rPr>
          <w:color w:val="auto"/>
          <w:sz w:val="20"/>
          <w:szCs w:val="20"/>
        </w:rPr>
        <w:t>.</w:t>
      </w:r>
    </w:p>
    <w:p w:rsidR="00E51139" w:rsidRPr="00A4792B" w:rsidRDefault="00E51139" w:rsidP="00E075DA">
      <w:pPr>
        <w:pStyle w:val="Footer"/>
        <w:rPr>
          <w:color w:val="auto"/>
          <w:sz w:val="20"/>
          <w:szCs w:val="20"/>
        </w:rPr>
      </w:pPr>
    </w:p>
    <w:p w:rsidR="00E51139" w:rsidRPr="00A4792B" w:rsidRDefault="00E51139" w:rsidP="00E075DA">
      <w:pPr>
        <w:pStyle w:val="Footer"/>
        <w:rPr>
          <w:color w:val="auto"/>
          <w:sz w:val="20"/>
          <w:szCs w:val="20"/>
        </w:rPr>
      </w:pPr>
      <w:r w:rsidRPr="00A4792B">
        <w:rPr>
          <w:color w:val="auto"/>
          <w:sz w:val="20"/>
          <w:szCs w:val="20"/>
        </w:rPr>
        <w:t>The accounts are audited by the Council’s External Auditor, Grant Thornton</w:t>
      </w:r>
      <w:r w:rsidR="00FA1FDE">
        <w:rPr>
          <w:color w:val="auto"/>
          <w:sz w:val="20"/>
          <w:szCs w:val="20"/>
        </w:rPr>
        <w:t xml:space="preserve"> LLP</w:t>
      </w:r>
      <w:r w:rsidRPr="00A4792B">
        <w:rPr>
          <w:color w:val="auto"/>
          <w:sz w:val="20"/>
          <w:szCs w:val="20"/>
        </w:rPr>
        <w:t xml:space="preserve">. </w:t>
      </w:r>
    </w:p>
    <w:p w:rsidR="00E51139" w:rsidRPr="00D42E0B" w:rsidRDefault="00E51139" w:rsidP="00E075DA">
      <w:pPr>
        <w:pStyle w:val="Footer"/>
        <w:rPr>
          <w:color w:val="548DD4" w:themeColor="text2" w:themeTint="99"/>
          <w:sz w:val="20"/>
          <w:szCs w:val="20"/>
        </w:rPr>
      </w:pPr>
    </w:p>
    <w:p w:rsidR="00E51139" w:rsidRPr="001D1489" w:rsidRDefault="00E51139" w:rsidP="00E075DA">
      <w:pPr>
        <w:pStyle w:val="Footer"/>
        <w:rPr>
          <w:color w:val="auto"/>
          <w:sz w:val="20"/>
          <w:szCs w:val="20"/>
        </w:rPr>
      </w:pPr>
      <w:r w:rsidRPr="001D1489">
        <w:rPr>
          <w:color w:val="auto"/>
          <w:sz w:val="20"/>
          <w:szCs w:val="20"/>
        </w:rPr>
        <w:t>The Statement of Accounts 201</w:t>
      </w:r>
      <w:r w:rsidR="006A2421" w:rsidRPr="001D1489">
        <w:rPr>
          <w:color w:val="auto"/>
          <w:sz w:val="20"/>
          <w:szCs w:val="20"/>
        </w:rPr>
        <w:t>5</w:t>
      </w:r>
      <w:r w:rsidR="00607E02" w:rsidRPr="001D1489">
        <w:rPr>
          <w:color w:val="auto"/>
          <w:sz w:val="20"/>
          <w:szCs w:val="20"/>
        </w:rPr>
        <w:t>/16</w:t>
      </w:r>
      <w:r w:rsidRPr="001D1489">
        <w:rPr>
          <w:color w:val="auto"/>
          <w:sz w:val="20"/>
          <w:szCs w:val="20"/>
        </w:rPr>
        <w:t xml:space="preserve"> were authorised for issue on the </w:t>
      </w:r>
      <w:r w:rsidR="0042191A" w:rsidRPr="001D1489">
        <w:rPr>
          <w:color w:val="auto"/>
          <w:sz w:val="20"/>
          <w:szCs w:val="20"/>
        </w:rPr>
        <w:t>3rd</w:t>
      </w:r>
      <w:r w:rsidR="006341B7" w:rsidRPr="001D1489">
        <w:rPr>
          <w:color w:val="auto"/>
          <w:sz w:val="20"/>
          <w:szCs w:val="20"/>
        </w:rPr>
        <w:t xml:space="preserve"> June</w:t>
      </w:r>
      <w:r w:rsidRPr="001D1489">
        <w:rPr>
          <w:color w:val="auto"/>
          <w:sz w:val="20"/>
          <w:szCs w:val="20"/>
        </w:rPr>
        <w:t xml:space="preserve"> 201</w:t>
      </w:r>
      <w:r w:rsidR="0042191A" w:rsidRPr="001D1489">
        <w:rPr>
          <w:color w:val="auto"/>
          <w:sz w:val="20"/>
          <w:szCs w:val="20"/>
        </w:rPr>
        <w:t>6</w:t>
      </w:r>
      <w:r w:rsidRPr="001D1489">
        <w:rPr>
          <w:color w:val="auto"/>
          <w:sz w:val="20"/>
          <w:szCs w:val="20"/>
        </w:rPr>
        <w:t>. This is also the date up to which events after the balance sheet date have been considered.</w:t>
      </w:r>
    </w:p>
    <w:p w:rsidR="00E51139" w:rsidRPr="001D1489" w:rsidRDefault="00E51139" w:rsidP="00E075DA">
      <w:pPr>
        <w:pStyle w:val="Footer"/>
        <w:rPr>
          <w:color w:val="auto"/>
          <w:sz w:val="20"/>
          <w:szCs w:val="20"/>
        </w:rPr>
      </w:pPr>
    </w:p>
    <w:p w:rsidR="00E51139" w:rsidRPr="001D1489" w:rsidRDefault="00E51139" w:rsidP="00E075DA">
      <w:pPr>
        <w:pStyle w:val="Footer"/>
        <w:rPr>
          <w:color w:val="auto"/>
          <w:sz w:val="20"/>
          <w:szCs w:val="20"/>
        </w:rPr>
      </w:pPr>
    </w:p>
    <w:p w:rsidR="00E51139" w:rsidRPr="001D1489" w:rsidRDefault="00E51139" w:rsidP="00E075DA">
      <w:pPr>
        <w:pStyle w:val="Footer"/>
        <w:rPr>
          <w:color w:val="auto"/>
          <w:sz w:val="20"/>
          <w:szCs w:val="20"/>
        </w:rPr>
      </w:pPr>
    </w:p>
    <w:p w:rsidR="00E51139" w:rsidRPr="001D1489" w:rsidRDefault="00E51139" w:rsidP="00E075DA">
      <w:pPr>
        <w:pStyle w:val="Footer"/>
        <w:rPr>
          <w:color w:val="auto"/>
          <w:sz w:val="20"/>
          <w:szCs w:val="20"/>
        </w:rPr>
      </w:pPr>
    </w:p>
    <w:p w:rsidR="00E51139" w:rsidRPr="001D1489" w:rsidRDefault="00E51139" w:rsidP="00E075DA">
      <w:pPr>
        <w:pStyle w:val="Footer"/>
        <w:rPr>
          <w:color w:val="auto"/>
          <w:sz w:val="20"/>
          <w:szCs w:val="20"/>
        </w:rPr>
      </w:pPr>
    </w:p>
    <w:p w:rsidR="00E51139" w:rsidRPr="001D1489" w:rsidRDefault="00C852D5" w:rsidP="00E075DA">
      <w:pPr>
        <w:pStyle w:val="Footer"/>
        <w:rPr>
          <w:color w:val="auto"/>
          <w:sz w:val="20"/>
          <w:szCs w:val="20"/>
        </w:rPr>
      </w:pPr>
      <w:r w:rsidRPr="001D1489">
        <w:rPr>
          <w:color w:val="auto"/>
          <w:sz w:val="20"/>
          <w:szCs w:val="20"/>
        </w:rPr>
        <w:t>Martin Phillips</w:t>
      </w:r>
      <w:r w:rsidR="00E51139" w:rsidRPr="001D1489">
        <w:rPr>
          <w:color w:val="auto"/>
          <w:sz w:val="20"/>
          <w:szCs w:val="20"/>
        </w:rPr>
        <w:tab/>
      </w:r>
    </w:p>
    <w:p w:rsidR="00E51139" w:rsidRPr="001D1489" w:rsidRDefault="00E51139" w:rsidP="00E075DA">
      <w:pPr>
        <w:pStyle w:val="Footer"/>
        <w:rPr>
          <w:color w:val="auto"/>
          <w:sz w:val="20"/>
          <w:szCs w:val="20"/>
        </w:rPr>
      </w:pPr>
      <w:r w:rsidRPr="001D1489">
        <w:rPr>
          <w:color w:val="auto"/>
          <w:sz w:val="20"/>
          <w:szCs w:val="20"/>
        </w:rPr>
        <w:t>Chief Finance Officer</w:t>
      </w:r>
    </w:p>
    <w:p w:rsidR="00E51139" w:rsidRPr="001D1489" w:rsidRDefault="0042191A" w:rsidP="00E075DA">
      <w:pPr>
        <w:pStyle w:val="Footer"/>
        <w:rPr>
          <w:rFonts w:cs="Arial"/>
          <w:color w:val="auto"/>
          <w:sz w:val="20"/>
          <w:szCs w:val="20"/>
        </w:rPr>
      </w:pPr>
      <w:r w:rsidRPr="001D1489">
        <w:rPr>
          <w:rFonts w:cs="Arial"/>
          <w:color w:val="auto"/>
          <w:sz w:val="20"/>
          <w:szCs w:val="20"/>
        </w:rPr>
        <w:t>3rd</w:t>
      </w:r>
      <w:r w:rsidR="006341B7" w:rsidRPr="001D1489">
        <w:rPr>
          <w:rFonts w:cs="Arial"/>
          <w:color w:val="auto"/>
          <w:sz w:val="20"/>
          <w:szCs w:val="20"/>
        </w:rPr>
        <w:t xml:space="preserve"> June </w:t>
      </w:r>
      <w:r w:rsidR="00E51139" w:rsidRPr="001D1489">
        <w:rPr>
          <w:rFonts w:cs="Arial"/>
          <w:color w:val="auto"/>
          <w:sz w:val="20"/>
          <w:szCs w:val="20"/>
        </w:rPr>
        <w:t>201</w:t>
      </w:r>
      <w:r w:rsidRPr="001D1489">
        <w:rPr>
          <w:rFonts w:cs="Arial"/>
          <w:color w:val="auto"/>
          <w:sz w:val="20"/>
          <w:szCs w:val="20"/>
        </w:rPr>
        <w:t>6</w:t>
      </w:r>
    </w:p>
    <w:p w:rsidR="00E51139" w:rsidRPr="00D42E0B" w:rsidRDefault="00E51139" w:rsidP="00E075DA">
      <w:pPr>
        <w:autoSpaceDE w:val="0"/>
        <w:autoSpaceDN w:val="0"/>
        <w:spacing w:line="240" w:lineRule="auto"/>
        <w:rPr>
          <w:rFonts w:cs="Arial"/>
          <w:b/>
          <w:bCs/>
          <w:color w:val="548DD4" w:themeColor="text2" w:themeTint="99"/>
          <w:sz w:val="20"/>
          <w:szCs w:val="20"/>
          <w:lang w:eastAsia="en-GB"/>
        </w:rPr>
      </w:pPr>
    </w:p>
    <w:p w:rsidR="00E51139" w:rsidRPr="00D42E0B" w:rsidRDefault="00E51139" w:rsidP="00E075DA">
      <w:pPr>
        <w:autoSpaceDE w:val="0"/>
        <w:autoSpaceDN w:val="0"/>
        <w:spacing w:line="240" w:lineRule="auto"/>
        <w:rPr>
          <w:rFonts w:cs="Arial"/>
          <w:b/>
          <w:bCs/>
          <w:color w:val="548DD4" w:themeColor="text2" w:themeTint="99"/>
          <w:sz w:val="20"/>
          <w:szCs w:val="20"/>
          <w:lang w:eastAsia="en-GB"/>
        </w:rPr>
      </w:pPr>
    </w:p>
    <w:p w:rsidR="00E51139" w:rsidRPr="00D42E0B" w:rsidRDefault="00E51139" w:rsidP="00E075DA">
      <w:pPr>
        <w:autoSpaceDE w:val="0"/>
        <w:autoSpaceDN w:val="0"/>
        <w:spacing w:line="240" w:lineRule="auto"/>
        <w:rPr>
          <w:rFonts w:cs="Arial"/>
          <w:b/>
          <w:bCs/>
          <w:color w:val="548DD4" w:themeColor="text2" w:themeTint="99"/>
          <w:sz w:val="20"/>
          <w:szCs w:val="20"/>
          <w:lang w:eastAsia="en-GB"/>
        </w:rPr>
      </w:pPr>
    </w:p>
    <w:p w:rsidR="00E51139" w:rsidRPr="0057671E" w:rsidRDefault="00E51139" w:rsidP="00C52E9B">
      <w:pPr>
        <w:pStyle w:val="Footer"/>
        <w:spacing w:line="240" w:lineRule="atLeast"/>
        <w:rPr>
          <w:color w:val="auto"/>
          <w:sz w:val="20"/>
          <w:szCs w:val="20"/>
        </w:rPr>
      </w:pPr>
      <w:r w:rsidRPr="0057671E">
        <w:rPr>
          <w:color w:val="auto"/>
          <w:sz w:val="20"/>
          <w:szCs w:val="20"/>
        </w:rPr>
        <w:t xml:space="preserve">The Statement of Accounts </w:t>
      </w:r>
      <w:r w:rsidR="00321102" w:rsidRPr="0057671E">
        <w:rPr>
          <w:color w:val="auto"/>
          <w:sz w:val="20"/>
          <w:szCs w:val="20"/>
        </w:rPr>
        <w:t>201</w:t>
      </w:r>
      <w:r w:rsidR="00607E02" w:rsidRPr="0057671E">
        <w:rPr>
          <w:color w:val="auto"/>
          <w:sz w:val="20"/>
          <w:szCs w:val="20"/>
        </w:rPr>
        <w:t>5</w:t>
      </w:r>
      <w:r w:rsidR="00321102" w:rsidRPr="0057671E">
        <w:rPr>
          <w:color w:val="auto"/>
          <w:sz w:val="20"/>
          <w:szCs w:val="20"/>
        </w:rPr>
        <w:t>/1</w:t>
      </w:r>
      <w:r w:rsidR="00607E02" w:rsidRPr="0057671E">
        <w:rPr>
          <w:color w:val="auto"/>
          <w:sz w:val="20"/>
          <w:szCs w:val="20"/>
        </w:rPr>
        <w:t>6</w:t>
      </w:r>
      <w:r w:rsidRPr="0057671E">
        <w:rPr>
          <w:color w:val="auto"/>
          <w:sz w:val="20"/>
          <w:szCs w:val="20"/>
        </w:rPr>
        <w:t xml:space="preserve"> were authorised for approval by Members on the</w:t>
      </w:r>
      <w:r w:rsidRPr="0057671E">
        <w:rPr>
          <w:color w:val="548DD4" w:themeColor="text2" w:themeTint="99"/>
          <w:sz w:val="20"/>
          <w:szCs w:val="20"/>
        </w:rPr>
        <w:t xml:space="preserve"> </w:t>
      </w:r>
      <w:r w:rsidR="006341B7" w:rsidRPr="0057671E">
        <w:rPr>
          <w:color w:val="auto"/>
          <w:sz w:val="20"/>
          <w:szCs w:val="20"/>
        </w:rPr>
        <w:t>2</w:t>
      </w:r>
      <w:r w:rsidR="00D620DB" w:rsidRPr="0057671E">
        <w:rPr>
          <w:color w:val="auto"/>
          <w:sz w:val="20"/>
          <w:szCs w:val="20"/>
        </w:rPr>
        <w:t>7</w:t>
      </w:r>
      <w:r w:rsidR="006341B7" w:rsidRPr="0057671E">
        <w:rPr>
          <w:color w:val="auto"/>
          <w:sz w:val="20"/>
          <w:szCs w:val="20"/>
        </w:rPr>
        <w:t>th</w:t>
      </w:r>
      <w:r w:rsidRPr="0057671E">
        <w:rPr>
          <w:color w:val="auto"/>
          <w:sz w:val="20"/>
          <w:szCs w:val="20"/>
        </w:rPr>
        <w:t xml:space="preserve"> </w:t>
      </w:r>
      <w:r w:rsidR="0008137E" w:rsidRPr="0057671E">
        <w:rPr>
          <w:color w:val="auto"/>
          <w:sz w:val="20"/>
          <w:szCs w:val="20"/>
        </w:rPr>
        <w:t>July</w:t>
      </w:r>
      <w:r w:rsidRPr="0057671E">
        <w:rPr>
          <w:color w:val="548DD4" w:themeColor="text2" w:themeTint="99"/>
          <w:sz w:val="20"/>
          <w:szCs w:val="20"/>
        </w:rPr>
        <w:t xml:space="preserve"> </w:t>
      </w:r>
      <w:r w:rsidRPr="0057671E">
        <w:rPr>
          <w:color w:val="auto"/>
          <w:sz w:val="20"/>
          <w:szCs w:val="20"/>
        </w:rPr>
        <w:t>and for publication on</w:t>
      </w:r>
      <w:r w:rsidR="0008137E" w:rsidRPr="0057671E">
        <w:rPr>
          <w:color w:val="auto"/>
          <w:sz w:val="20"/>
          <w:szCs w:val="20"/>
        </w:rPr>
        <w:t>ce the audit opinion has been received, which will be before</w:t>
      </w:r>
      <w:r w:rsidRPr="0057671E">
        <w:rPr>
          <w:color w:val="auto"/>
          <w:sz w:val="20"/>
          <w:szCs w:val="20"/>
        </w:rPr>
        <w:t xml:space="preserve"> the</w:t>
      </w:r>
      <w:r w:rsidR="0008137E" w:rsidRPr="0057671E">
        <w:rPr>
          <w:color w:val="auto"/>
          <w:sz w:val="20"/>
          <w:szCs w:val="20"/>
        </w:rPr>
        <w:t xml:space="preserve"> statutory deadline of the</w:t>
      </w:r>
      <w:r w:rsidRPr="0057671E">
        <w:rPr>
          <w:color w:val="auto"/>
          <w:sz w:val="20"/>
          <w:szCs w:val="20"/>
        </w:rPr>
        <w:t xml:space="preserve"> </w:t>
      </w:r>
      <w:r w:rsidR="0008137E" w:rsidRPr="0057671E">
        <w:rPr>
          <w:color w:val="auto"/>
          <w:sz w:val="20"/>
          <w:szCs w:val="20"/>
        </w:rPr>
        <w:t>30</w:t>
      </w:r>
      <w:r w:rsidR="00A01459" w:rsidRPr="0057671E">
        <w:rPr>
          <w:color w:val="auto"/>
          <w:sz w:val="20"/>
          <w:szCs w:val="20"/>
          <w:vertAlign w:val="superscript"/>
        </w:rPr>
        <w:t>th</w:t>
      </w:r>
      <w:r w:rsidR="0008137E" w:rsidRPr="0057671E">
        <w:rPr>
          <w:color w:val="auto"/>
          <w:sz w:val="20"/>
          <w:szCs w:val="20"/>
        </w:rPr>
        <w:t xml:space="preserve"> September</w:t>
      </w:r>
      <w:r w:rsidR="00A01459" w:rsidRPr="0057671E">
        <w:rPr>
          <w:color w:val="auto"/>
          <w:sz w:val="20"/>
          <w:szCs w:val="20"/>
        </w:rPr>
        <w:t xml:space="preserve"> 201</w:t>
      </w:r>
      <w:r w:rsidR="00D620DB" w:rsidRPr="0057671E">
        <w:rPr>
          <w:color w:val="auto"/>
          <w:sz w:val="20"/>
          <w:szCs w:val="20"/>
        </w:rPr>
        <w:t>6</w:t>
      </w:r>
      <w:r w:rsidRPr="0057671E">
        <w:rPr>
          <w:color w:val="auto"/>
          <w:sz w:val="20"/>
          <w:szCs w:val="20"/>
        </w:rPr>
        <w:t xml:space="preserve">. This is also the date up to which events after the balance sheet date </w:t>
      </w:r>
      <w:r w:rsidR="0008137E" w:rsidRPr="0057671E">
        <w:rPr>
          <w:color w:val="auto"/>
          <w:sz w:val="20"/>
          <w:szCs w:val="20"/>
        </w:rPr>
        <w:t xml:space="preserve">will be </w:t>
      </w:r>
      <w:r w:rsidRPr="0057671E">
        <w:rPr>
          <w:color w:val="auto"/>
          <w:sz w:val="20"/>
          <w:szCs w:val="20"/>
        </w:rPr>
        <w:t>considered.</w:t>
      </w:r>
    </w:p>
    <w:p w:rsidR="00E51139" w:rsidRPr="0057671E" w:rsidRDefault="00E51139" w:rsidP="00E0645E">
      <w:pPr>
        <w:pStyle w:val="Footer"/>
        <w:rPr>
          <w:color w:val="548DD4" w:themeColor="text2" w:themeTint="99"/>
          <w:sz w:val="20"/>
          <w:szCs w:val="20"/>
        </w:rPr>
      </w:pPr>
    </w:p>
    <w:p w:rsidR="00E51139" w:rsidRPr="0057671E" w:rsidRDefault="00E51139" w:rsidP="00E0645E">
      <w:pPr>
        <w:pStyle w:val="Footer"/>
        <w:rPr>
          <w:color w:val="548DD4" w:themeColor="text2" w:themeTint="99"/>
          <w:sz w:val="20"/>
          <w:szCs w:val="20"/>
        </w:rPr>
      </w:pPr>
    </w:p>
    <w:p w:rsidR="00E51139" w:rsidRPr="0057671E" w:rsidRDefault="00E51139" w:rsidP="00E0645E">
      <w:pPr>
        <w:pStyle w:val="Footer"/>
        <w:rPr>
          <w:color w:val="548DD4" w:themeColor="text2" w:themeTint="99"/>
          <w:sz w:val="20"/>
          <w:szCs w:val="20"/>
        </w:rPr>
      </w:pPr>
    </w:p>
    <w:p w:rsidR="00E51139" w:rsidRPr="0057671E" w:rsidRDefault="00E51139" w:rsidP="00E0645E">
      <w:pPr>
        <w:pStyle w:val="Footer"/>
        <w:rPr>
          <w:color w:val="548DD4" w:themeColor="text2" w:themeTint="99"/>
          <w:sz w:val="20"/>
          <w:szCs w:val="20"/>
        </w:rPr>
      </w:pPr>
    </w:p>
    <w:p w:rsidR="00E51139" w:rsidRPr="0057671E" w:rsidRDefault="00E51139" w:rsidP="00E0645E">
      <w:pPr>
        <w:pStyle w:val="Footer"/>
        <w:rPr>
          <w:color w:val="548DD4" w:themeColor="text2" w:themeTint="99"/>
          <w:sz w:val="20"/>
          <w:szCs w:val="20"/>
        </w:rPr>
      </w:pPr>
    </w:p>
    <w:p w:rsidR="00C852D5" w:rsidRPr="0057671E" w:rsidRDefault="00C852D5" w:rsidP="00C852D5">
      <w:pPr>
        <w:pStyle w:val="Footer"/>
        <w:rPr>
          <w:color w:val="548DD4" w:themeColor="text2" w:themeTint="99"/>
          <w:sz w:val="20"/>
          <w:szCs w:val="20"/>
        </w:rPr>
      </w:pPr>
    </w:p>
    <w:p w:rsidR="00E51139" w:rsidRPr="0057671E" w:rsidRDefault="00C852D5" w:rsidP="00C852D5">
      <w:pPr>
        <w:pStyle w:val="Footer"/>
        <w:rPr>
          <w:color w:val="auto"/>
          <w:sz w:val="20"/>
          <w:szCs w:val="20"/>
        </w:rPr>
      </w:pPr>
      <w:r w:rsidRPr="0057671E">
        <w:rPr>
          <w:color w:val="auto"/>
          <w:sz w:val="20"/>
          <w:szCs w:val="20"/>
        </w:rPr>
        <w:t xml:space="preserve">Martin Phillips </w:t>
      </w:r>
    </w:p>
    <w:p w:rsidR="00E51139" w:rsidRPr="0057671E" w:rsidRDefault="00E51139" w:rsidP="00E0645E">
      <w:pPr>
        <w:pStyle w:val="Footer"/>
        <w:rPr>
          <w:color w:val="auto"/>
          <w:sz w:val="20"/>
          <w:szCs w:val="20"/>
        </w:rPr>
      </w:pPr>
      <w:r w:rsidRPr="0057671E">
        <w:rPr>
          <w:color w:val="auto"/>
          <w:sz w:val="20"/>
          <w:szCs w:val="20"/>
        </w:rPr>
        <w:t>Chief Finance Officer</w:t>
      </w:r>
    </w:p>
    <w:p w:rsidR="00CE6909" w:rsidRPr="00BD2831" w:rsidRDefault="002F36BA" w:rsidP="00BD2831">
      <w:pPr>
        <w:pStyle w:val="Footer"/>
        <w:rPr>
          <w:rFonts w:cs="Arial"/>
          <w:color w:val="auto"/>
          <w:sz w:val="20"/>
          <w:szCs w:val="20"/>
        </w:rPr>
        <w:sectPr w:rsidR="00CE6909" w:rsidRPr="00BD2831" w:rsidSect="001A3F09">
          <w:headerReference w:type="default" r:id="rId31"/>
          <w:headerReference w:type="first" r:id="rId32"/>
          <w:pgSz w:w="11906" w:h="16838" w:code="9"/>
          <w:pgMar w:top="1440" w:right="1440" w:bottom="1440" w:left="1440" w:header="544" w:footer="544" w:gutter="0"/>
          <w:cols w:space="708"/>
          <w:titlePg/>
          <w:docGrid w:linePitch="360"/>
        </w:sectPr>
      </w:pPr>
      <w:proofErr w:type="gramStart"/>
      <w:r w:rsidRPr="0057671E">
        <w:rPr>
          <w:rFonts w:cs="Arial"/>
          <w:color w:val="auto"/>
          <w:sz w:val="20"/>
          <w:szCs w:val="20"/>
        </w:rPr>
        <w:t>2</w:t>
      </w:r>
      <w:r w:rsidR="00D620DB" w:rsidRPr="0057671E">
        <w:rPr>
          <w:rFonts w:cs="Arial"/>
          <w:color w:val="auto"/>
          <w:sz w:val="20"/>
          <w:szCs w:val="20"/>
        </w:rPr>
        <w:t>7</w:t>
      </w:r>
      <w:r w:rsidRPr="0057671E">
        <w:rPr>
          <w:rFonts w:cs="Arial"/>
          <w:color w:val="auto"/>
          <w:sz w:val="20"/>
          <w:szCs w:val="20"/>
        </w:rPr>
        <w:t>th</w:t>
      </w:r>
      <w:r w:rsidR="00321102" w:rsidRPr="0057671E">
        <w:rPr>
          <w:rFonts w:cs="Arial"/>
          <w:color w:val="auto"/>
          <w:sz w:val="20"/>
          <w:szCs w:val="20"/>
        </w:rPr>
        <w:t xml:space="preserve"> </w:t>
      </w:r>
      <w:r w:rsidR="00E51139" w:rsidRPr="0057671E">
        <w:rPr>
          <w:rFonts w:cs="Arial"/>
          <w:color w:val="auto"/>
          <w:sz w:val="20"/>
          <w:szCs w:val="20"/>
        </w:rPr>
        <w:t xml:space="preserve"> </w:t>
      </w:r>
      <w:r w:rsidR="00A01459" w:rsidRPr="0057671E">
        <w:rPr>
          <w:rFonts w:cs="Arial"/>
          <w:color w:val="auto"/>
          <w:sz w:val="20"/>
          <w:szCs w:val="20"/>
        </w:rPr>
        <w:t>July</w:t>
      </w:r>
      <w:proofErr w:type="gramEnd"/>
      <w:r w:rsidR="00E51139" w:rsidRPr="0057671E">
        <w:rPr>
          <w:rFonts w:cs="Arial"/>
          <w:color w:val="auto"/>
          <w:sz w:val="20"/>
          <w:szCs w:val="20"/>
        </w:rPr>
        <w:t xml:space="preserve"> 201</w:t>
      </w:r>
      <w:r w:rsidR="00D620DB" w:rsidRPr="0057671E">
        <w:rPr>
          <w:rFonts w:cs="Arial"/>
          <w:color w:val="auto"/>
          <w:sz w:val="20"/>
          <w:szCs w:val="20"/>
        </w:rPr>
        <w:t>6</w:t>
      </w:r>
    </w:p>
    <w:p w:rsidR="00BD2831" w:rsidRPr="00A4031D" w:rsidRDefault="00BD2831" w:rsidP="00BD2831">
      <w:pPr>
        <w:rPr>
          <w:rFonts w:cs="Arial"/>
          <w:b/>
          <w:sz w:val="22"/>
          <w:szCs w:val="22"/>
        </w:rPr>
      </w:pPr>
      <w:r w:rsidRPr="00A4031D">
        <w:rPr>
          <w:rFonts w:cs="Arial"/>
          <w:b/>
          <w:sz w:val="22"/>
          <w:szCs w:val="22"/>
        </w:rPr>
        <w:lastRenderedPageBreak/>
        <w:t>INDEPENDENT AUDITOR’S REPORT TO THE MEMBERS OF TORBAY COUNCIL</w:t>
      </w:r>
    </w:p>
    <w:p w:rsidR="00BD2831" w:rsidRPr="00A4031D" w:rsidRDefault="00BD2831" w:rsidP="00BD2831">
      <w:pPr>
        <w:rPr>
          <w:rFonts w:cs="Arial"/>
          <w:sz w:val="22"/>
          <w:szCs w:val="22"/>
        </w:rPr>
      </w:pPr>
      <w:r w:rsidRPr="00A4031D">
        <w:rPr>
          <w:rFonts w:cs="Arial"/>
          <w:sz w:val="22"/>
          <w:szCs w:val="22"/>
        </w:rPr>
        <w:t>We have audited the financial statements of Torbay Council (the "Authority") for the year ended 31 March 2016 under the Local Audit and Accountability Act 2014 (the "Act"). The financial statements comprise the Movement in Reserves Statement, the Comprehensive Income and Expenditure Statement, the Balance Sheet, the Cash Flow Statement, the Collection Fund and the related notes. The financial reporting framework that has been applied in their preparation is applicable law and the CIPFA/LASAAC Code of Practice on Local Authority Accounting in the United Kingdom 2015/16.</w:t>
      </w:r>
    </w:p>
    <w:p w:rsidR="00BD2831" w:rsidRPr="00A4031D" w:rsidRDefault="00BD2831" w:rsidP="00BD2831">
      <w:pPr>
        <w:rPr>
          <w:rFonts w:cs="Arial"/>
          <w:sz w:val="22"/>
          <w:szCs w:val="22"/>
        </w:rPr>
      </w:pPr>
      <w:r w:rsidRPr="00A4031D">
        <w:rPr>
          <w:rFonts w:cs="Arial"/>
          <w:sz w:val="22"/>
          <w:szCs w:val="22"/>
        </w:rPr>
        <w:t>This report is made solely to the members of the Authority, as a body, in accordance with Part 5 of the Act and as set out in paragraph 43 of the Statement of Responsibilities of Auditors and Audited Bodies published by Public Sector Audit Appointments Limited. Our audit work has been undertaken so that we might state to the members those matters we are required to state to them in an auditor's report and for no other purpose. To the fullest extent permitted by law, we do not accept or assume responsibility to anyone other than the Authority and the Authority's members as a body, for our audit work, for this report, or for the opinions we have formed.</w:t>
      </w:r>
    </w:p>
    <w:p w:rsidR="00BD2831" w:rsidRPr="00A4031D" w:rsidRDefault="00BD2831" w:rsidP="00BD2831">
      <w:pPr>
        <w:rPr>
          <w:rFonts w:cs="Arial"/>
          <w:b/>
          <w:sz w:val="22"/>
          <w:szCs w:val="22"/>
        </w:rPr>
      </w:pPr>
      <w:r w:rsidRPr="00A4031D">
        <w:rPr>
          <w:rFonts w:cs="Arial"/>
          <w:b/>
          <w:sz w:val="22"/>
          <w:szCs w:val="22"/>
        </w:rPr>
        <w:t>Respective responsibilities of the Chief Finance Officer and auditor</w:t>
      </w:r>
    </w:p>
    <w:p w:rsidR="00BD2831" w:rsidRPr="00A4031D" w:rsidRDefault="00BD2831" w:rsidP="00BD2831">
      <w:pPr>
        <w:autoSpaceDE w:val="0"/>
        <w:autoSpaceDN w:val="0"/>
        <w:adjustRightInd w:val="0"/>
        <w:rPr>
          <w:rFonts w:cs="Arial"/>
          <w:iCs/>
          <w:sz w:val="22"/>
          <w:szCs w:val="22"/>
        </w:rPr>
      </w:pPr>
      <w:r w:rsidRPr="00A4031D">
        <w:rPr>
          <w:rFonts w:cs="Arial"/>
          <w:sz w:val="22"/>
          <w:szCs w:val="22"/>
        </w:rPr>
        <w:t xml:space="preserve">As explained more fully in the Statement of the Chief Finance Officer’s Responsibilities, the Chief Finance Officer is responsible for the preparation of the Statement of Accounts, which includes the financial statements, in accordance with proper practices as set out in the CIPFA/LASAAC </w:t>
      </w:r>
      <w:r w:rsidRPr="00A4031D">
        <w:rPr>
          <w:rFonts w:cs="Arial"/>
          <w:iCs/>
          <w:sz w:val="22"/>
          <w:szCs w:val="22"/>
        </w:rPr>
        <w:t xml:space="preserve">Code of Practice on Local Authority Accounting in the United Kingdom 2015/16, </w:t>
      </w:r>
      <w:r w:rsidRPr="00A4031D">
        <w:rPr>
          <w:rFonts w:cs="Arial"/>
          <w:sz w:val="22"/>
          <w:szCs w:val="22"/>
        </w:rPr>
        <w:t>which give a true and fair view</w:t>
      </w:r>
      <w:r w:rsidRPr="00A4031D">
        <w:rPr>
          <w:rFonts w:cs="Arial"/>
          <w:iCs/>
          <w:sz w:val="22"/>
          <w:szCs w:val="22"/>
        </w:rPr>
        <w:t>. Our responsibility is to audit and express an opinion on the financial statements in accordance with applicable law and International Standards on Auditing (UK and Ireland). Those standards require us to comply with the Auditing Practices Board’s Ethical Standards for Auditors.</w:t>
      </w:r>
    </w:p>
    <w:p w:rsidR="00BD2831" w:rsidRPr="00A4031D" w:rsidRDefault="00BD2831" w:rsidP="00BD2831">
      <w:pPr>
        <w:autoSpaceDE w:val="0"/>
        <w:autoSpaceDN w:val="0"/>
        <w:adjustRightInd w:val="0"/>
        <w:rPr>
          <w:rFonts w:cs="Arial"/>
          <w:b/>
          <w:iCs/>
          <w:sz w:val="22"/>
          <w:szCs w:val="22"/>
        </w:rPr>
      </w:pPr>
      <w:r w:rsidRPr="00A4031D">
        <w:rPr>
          <w:rFonts w:cs="Arial"/>
          <w:b/>
          <w:iCs/>
          <w:sz w:val="22"/>
          <w:szCs w:val="22"/>
        </w:rPr>
        <w:t>Scope of the audit of the financial statements</w:t>
      </w:r>
    </w:p>
    <w:p w:rsidR="00BD2831" w:rsidRPr="00A4031D" w:rsidRDefault="00BD2831" w:rsidP="00BD2831">
      <w:pPr>
        <w:autoSpaceDE w:val="0"/>
        <w:autoSpaceDN w:val="0"/>
        <w:adjustRightInd w:val="0"/>
        <w:rPr>
          <w:rFonts w:cs="Arial"/>
          <w:sz w:val="22"/>
          <w:szCs w:val="22"/>
        </w:rPr>
      </w:pPr>
      <w:r w:rsidRPr="00A4031D">
        <w:rPr>
          <w:rFonts w:cs="Arial"/>
          <w:sz w:val="22"/>
          <w:szCs w:val="22"/>
        </w:rPr>
        <w:t>An audit involves obtaining evidence about the amounts and disclosures in the financial statements sufficient to give reasonable assurance that the financial statements are free from material misstatement, whether caused by fraud or error. This includes an assessment of whether the accounting policies are appropriate to the Authority’s circumstances and have been consistently applied and adequately disclosed; the reasonableness of significant accounting estimates made by the Chief Finance Officer; and the overall presentation of the financial statements. In addition, we read all the financial and non-financial information in the Narrative Report and the Annual Governance Statement to identify material inconsistencies with the audited financial statements and to identify any information that is apparently materially incorrect based on, or materially inconsistent with, the knowledge acquired by us in the course of performing the audit. If we become aware of any apparent material misstatements or inconsistencies we consider the implications for our report.</w:t>
      </w:r>
    </w:p>
    <w:p w:rsidR="00BD2831" w:rsidRPr="00A4031D" w:rsidRDefault="00BD2831" w:rsidP="00BD2831">
      <w:pPr>
        <w:autoSpaceDE w:val="0"/>
        <w:autoSpaceDN w:val="0"/>
        <w:adjustRightInd w:val="0"/>
        <w:rPr>
          <w:rFonts w:cs="Arial"/>
          <w:b/>
          <w:sz w:val="22"/>
          <w:szCs w:val="22"/>
        </w:rPr>
      </w:pPr>
      <w:r w:rsidRPr="00A4031D">
        <w:rPr>
          <w:rFonts w:cs="Arial"/>
          <w:b/>
          <w:sz w:val="22"/>
          <w:szCs w:val="22"/>
        </w:rPr>
        <w:t>Opinion on financial statements</w:t>
      </w:r>
    </w:p>
    <w:p w:rsidR="00BD2831" w:rsidRPr="00A4031D" w:rsidRDefault="00BD2831" w:rsidP="00BD2831">
      <w:pPr>
        <w:autoSpaceDE w:val="0"/>
        <w:autoSpaceDN w:val="0"/>
        <w:adjustRightInd w:val="0"/>
        <w:rPr>
          <w:rFonts w:cs="Arial"/>
          <w:sz w:val="22"/>
          <w:szCs w:val="22"/>
        </w:rPr>
      </w:pPr>
      <w:r w:rsidRPr="00A4031D">
        <w:rPr>
          <w:rFonts w:cs="Arial"/>
          <w:sz w:val="22"/>
          <w:szCs w:val="22"/>
        </w:rPr>
        <w:t>In our opinion the financial statements:</w:t>
      </w:r>
    </w:p>
    <w:p w:rsidR="00BD2831" w:rsidRPr="00A4031D" w:rsidRDefault="00BD2831" w:rsidP="00BD2831">
      <w:pPr>
        <w:numPr>
          <w:ilvl w:val="0"/>
          <w:numId w:val="39"/>
        </w:numPr>
        <w:autoSpaceDE w:val="0"/>
        <w:autoSpaceDN w:val="0"/>
        <w:adjustRightInd w:val="0"/>
        <w:spacing w:after="0" w:line="240" w:lineRule="auto"/>
        <w:rPr>
          <w:rFonts w:cs="Arial"/>
          <w:sz w:val="22"/>
          <w:szCs w:val="22"/>
        </w:rPr>
      </w:pPr>
      <w:r w:rsidRPr="00A4031D">
        <w:rPr>
          <w:rFonts w:cs="Arial"/>
          <w:sz w:val="22"/>
          <w:szCs w:val="22"/>
        </w:rPr>
        <w:t>present a true and fair view of the financial position of the Authority as at 31 March 2016 and of its expenditure and income for the year then ended; and</w:t>
      </w:r>
    </w:p>
    <w:p w:rsidR="00BD2831" w:rsidRPr="00A4031D" w:rsidRDefault="00BD2831" w:rsidP="00BD2831">
      <w:pPr>
        <w:numPr>
          <w:ilvl w:val="0"/>
          <w:numId w:val="39"/>
        </w:numPr>
        <w:autoSpaceDE w:val="0"/>
        <w:autoSpaceDN w:val="0"/>
        <w:adjustRightInd w:val="0"/>
        <w:spacing w:after="0" w:line="240" w:lineRule="auto"/>
        <w:rPr>
          <w:rFonts w:cs="Arial"/>
          <w:sz w:val="22"/>
          <w:szCs w:val="22"/>
        </w:rPr>
      </w:pPr>
      <w:r w:rsidRPr="00A4031D">
        <w:rPr>
          <w:rFonts w:cs="Arial"/>
          <w:sz w:val="22"/>
          <w:szCs w:val="22"/>
        </w:rPr>
        <w:t xml:space="preserve">have been prepared properly in accordance with the CIPFA/LASAAC </w:t>
      </w:r>
      <w:r w:rsidRPr="00A4031D">
        <w:rPr>
          <w:rFonts w:cs="Arial"/>
          <w:iCs/>
          <w:sz w:val="22"/>
          <w:szCs w:val="22"/>
        </w:rPr>
        <w:t>Code of Practice on Local Authority Accounting in the United Kingdom 2015/16 and applicable law.</w:t>
      </w:r>
    </w:p>
    <w:p w:rsidR="00BD2831" w:rsidRPr="00A4031D" w:rsidRDefault="00BD2831" w:rsidP="00BD2831">
      <w:pPr>
        <w:autoSpaceDE w:val="0"/>
        <w:autoSpaceDN w:val="0"/>
        <w:adjustRightInd w:val="0"/>
        <w:spacing w:after="0" w:line="240" w:lineRule="auto"/>
        <w:ind w:left="757"/>
        <w:rPr>
          <w:rFonts w:cs="Arial"/>
          <w:sz w:val="22"/>
          <w:szCs w:val="22"/>
        </w:rPr>
      </w:pPr>
    </w:p>
    <w:p w:rsidR="00BD2831" w:rsidRPr="00A4031D" w:rsidRDefault="00BD2831" w:rsidP="00BD2831">
      <w:pPr>
        <w:autoSpaceDE w:val="0"/>
        <w:autoSpaceDN w:val="0"/>
        <w:adjustRightInd w:val="0"/>
        <w:rPr>
          <w:rFonts w:cs="Arial"/>
          <w:b/>
          <w:iCs/>
          <w:sz w:val="22"/>
          <w:szCs w:val="22"/>
        </w:rPr>
      </w:pPr>
      <w:r w:rsidRPr="00A4031D">
        <w:rPr>
          <w:rFonts w:cs="Arial"/>
          <w:b/>
          <w:iCs/>
          <w:sz w:val="22"/>
          <w:szCs w:val="22"/>
        </w:rPr>
        <w:lastRenderedPageBreak/>
        <w:t>Opinion on other matters</w:t>
      </w:r>
    </w:p>
    <w:p w:rsidR="00BD2831" w:rsidRPr="00A4031D" w:rsidRDefault="00BD2831" w:rsidP="00BD2831">
      <w:pPr>
        <w:autoSpaceDE w:val="0"/>
        <w:autoSpaceDN w:val="0"/>
        <w:adjustRightInd w:val="0"/>
        <w:rPr>
          <w:rFonts w:cs="Arial"/>
          <w:iCs/>
          <w:sz w:val="22"/>
          <w:szCs w:val="22"/>
        </w:rPr>
      </w:pPr>
      <w:r w:rsidRPr="00A4031D">
        <w:rPr>
          <w:rFonts w:cs="Arial"/>
          <w:iCs/>
          <w:sz w:val="22"/>
          <w:szCs w:val="22"/>
        </w:rPr>
        <w:t>In our opinion, the other information published together with the audited financial statements in the Narrative Report and the Annual Governance Statement is consistent with the audited financial statements.</w:t>
      </w:r>
    </w:p>
    <w:p w:rsidR="00BD2831" w:rsidRPr="00A4031D" w:rsidRDefault="00BD2831" w:rsidP="00BD2831">
      <w:pPr>
        <w:autoSpaceDE w:val="0"/>
        <w:autoSpaceDN w:val="0"/>
        <w:adjustRightInd w:val="0"/>
        <w:rPr>
          <w:rFonts w:cs="Arial"/>
          <w:b/>
          <w:iCs/>
          <w:sz w:val="22"/>
          <w:szCs w:val="22"/>
        </w:rPr>
      </w:pPr>
      <w:r w:rsidRPr="00A4031D">
        <w:rPr>
          <w:rFonts w:cs="Arial"/>
          <w:b/>
          <w:iCs/>
          <w:sz w:val="22"/>
          <w:szCs w:val="22"/>
        </w:rPr>
        <w:t>Matters on which we are required to report by exception</w:t>
      </w:r>
    </w:p>
    <w:p w:rsidR="00BD2831" w:rsidRPr="00A4031D" w:rsidRDefault="00BD2831" w:rsidP="00BD2831">
      <w:pPr>
        <w:autoSpaceDE w:val="0"/>
        <w:autoSpaceDN w:val="0"/>
        <w:adjustRightInd w:val="0"/>
        <w:rPr>
          <w:rFonts w:cs="Arial"/>
          <w:iCs/>
          <w:sz w:val="22"/>
          <w:szCs w:val="22"/>
        </w:rPr>
      </w:pPr>
      <w:r w:rsidRPr="00A4031D">
        <w:rPr>
          <w:rFonts w:cs="Arial"/>
          <w:iCs/>
          <w:sz w:val="22"/>
          <w:szCs w:val="22"/>
        </w:rPr>
        <w:t>We are required to report to you if:</w:t>
      </w:r>
    </w:p>
    <w:p w:rsidR="00BD2831" w:rsidRPr="00A4031D" w:rsidRDefault="00BD2831" w:rsidP="00BD2831">
      <w:pPr>
        <w:numPr>
          <w:ilvl w:val="0"/>
          <w:numId w:val="40"/>
        </w:numPr>
        <w:autoSpaceDE w:val="0"/>
        <w:autoSpaceDN w:val="0"/>
        <w:adjustRightInd w:val="0"/>
        <w:spacing w:after="0" w:line="240" w:lineRule="auto"/>
        <w:rPr>
          <w:rFonts w:cs="Arial"/>
          <w:sz w:val="22"/>
          <w:szCs w:val="22"/>
        </w:rPr>
      </w:pPr>
      <w:r w:rsidRPr="00A4031D">
        <w:rPr>
          <w:rFonts w:cs="Arial"/>
          <w:iCs/>
          <w:sz w:val="22"/>
          <w:szCs w:val="22"/>
        </w:rPr>
        <w:t>in our opinion</w:t>
      </w:r>
      <w:r w:rsidRPr="00A4031D">
        <w:rPr>
          <w:rFonts w:cs="Arial"/>
          <w:sz w:val="22"/>
          <w:szCs w:val="22"/>
        </w:rPr>
        <w:t xml:space="preserve"> the Annual Governance Statement does not comply with the guidance included in ‘Delivering Good Governance in Local Government: a Framework’ published by CIPFA/SOLACE in June 2007; or</w:t>
      </w:r>
    </w:p>
    <w:p w:rsidR="00BD2831" w:rsidRPr="00A4031D" w:rsidRDefault="00BD2831" w:rsidP="00BD2831">
      <w:pPr>
        <w:numPr>
          <w:ilvl w:val="0"/>
          <w:numId w:val="40"/>
        </w:numPr>
        <w:autoSpaceDE w:val="0"/>
        <w:autoSpaceDN w:val="0"/>
        <w:adjustRightInd w:val="0"/>
        <w:spacing w:after="0" w:line="240" w:lineRule="auto"/>
        <w:rPr>
          <w:rFonts w:cs="Arial"/>
          <w:sz w:val="22"/>
          <w:szCs w:val="22"/>
        </w:rPr>
      </w:pPr>
      <w:r w:rsidRPr="00A4031D">
        <w:rPr>
          <w:rFonts w:cs="Arial"/>
          <w:sz w:val="22"/>
          <w:szCs w:val="22"/>
        </w:rPr>
        <w:t>we issue a report in the public interest under section 24 of the Act; or</w:t>
      </w:r>
    </w:p>
    <w:p w:rsidR="00BD2831" w:rsidRPr="00A4031D" w:rsidRDefault="00BD2831" w:rsidP="00BD2831">
      <w:pPr>
        <w:numPr>
          <w:ilvl w:val="0"/>
          <w:numId w:val="40"/>
        </w:numPr>
        <w:autoSpaceDE w:val="0"/>
        <w:autoSpaceDN w:val="0"/>
        <w:adjustRightInd w:val="0"/>
        <w:spacing w:after="0" w:line="240" w:lineRule="auto"/>
        <w:rPr>
          <w:rFonts w:cs="Arial"/>
          <w:sz w:val="22"/>
          <w:szCs w:val="22"/>
        </w:rPr>
      </w:pPr>
      <w:r w:rsidRPr="00A4031D">
        <w:rPr>
          <w:rFonts w:cs="Arial"/>
          <w:sz w:val="22"/>
          <w:szCs w:val="22"/>
        </w:rPr>
        <w:t>we make a written recommendation to the Authority under section 24 of the Act; or</w:t>
      </w:r>
    </w:p>
    <w:p w:rsidR="00BD2831" w:rsidRDefault="00BD2831" w:rsidP="00A4031D">
      <w:pPr>
        <w:numPr>
          <w:ilvl w:val="0"/>
          <w:numId w:val="40"/>
        </w:numPr>
        <w:autoSpaceDE w:val="0"/>
        <w:autoSpaceDN w:val="0"/>
        <w:adjustRightInd w:val="0"/>
        <w:spacing w:after="0" w:line="240" w:lineRule="auto"/>
        <w:rPr>
          <w:rFonts w:cs="Arial"/>
          <w:sz w:val="22"/>
          <w:szCs w:val="22"/>
        </w:rPr>
      </w:pPr>
      <w:proofErr w:type="gramStart"/>
      <w:r w:rsidRPr="00A4031D">
        <w:rPr>
          <w:rFonts w:cs="Arial"/>
          <w:sz w:val="22"/>
          <w:szCs w:val="22"/>
        </w:rPr>
        <w:t>we</w:t>
      </w:r>
      <w:proofErr w:type="gramEnd"/>
      <w:r w:rsidRPr="00A4031D">
        <w:rPr>
          <w:rFonts w:cs="Arial"/>
          <w:sz w:val="22"/>
          <w:szCs w:val="22"/>
        </w:rPr>
        <w:t xml:space="preserve"> exercise any other special powers of the auditor under the Act.</w:t>
      </w:r>
    </w:p>
    <w:p w:rsidR="00A4031D" w:rsidRPr="00A4031D" w:rsidRDefault="00A4031D" w:rsidP="00A4031D">
      <w:pPr>
        <w:autoSpaceDE w:val="0"/>
        <w:autoSpaceDN w:val="0"/>
        <w:adjustRightInd w:val="0"/>
        <w:spacing w:after="0" w:line="240" w:lineRule="auto"/>
        <w:ind w:left="757"/>
        <w:rPr>
          <w:rFonts w:cs="Arial"/>
          <w:sz w:val="22"/>
          <w:szCs w:val="22"/>
        </w:rPr>
      </w:pPr>
    </w:p>
    <w:p w:rsidR="00A4031D" w:rsidRDefault="00BD2831" w:rsidP="00BD2831">
      <w:pPr>
        <w:autoSpaceDE w:val="0"/>
        <w:autoSpaceDN w:val="0"/>
        <w:adjustRightInd w:val="0"/>
        <w:rPr>
          <w:rFonts w:cs="Arial"/>
          <w:iCs/>
          <w:sz w:val="22"/>
          <w:szCs w:val="22"/>
        </w:rPr>
      </w:pPr>
      <w:r w:rsidRPr="00A4031D">
        <w:rPr>
          <w:rFonts w:cs="Arial"/>
          <w:iCs/>
          <w:sz w:val="22"/>
          <w:szCs w:val="22"/>
        </w:rPr>
        <w:t>We have nothing to report in these respects.</w:t>
      </w:r>
    </w:p>
    <w:p w:rsidR="00A4031D" w:rsidRPr="00A4031D" w:rsidRDefault="00A4031D" w:rsidP="00BD2831">
      <w:pPr>
        <w:autoSpaceDE w:val="0"/>
        <w:autoSpaceDN w:val="0"/>
        <w:adjustRightInd w:val="0"/>
        <w:rPr>
          <w:rFonts w:cs="Arial"/>
          <w:iCs/>
          <w:sz w:val="22"/>
          <w:szCs w:val="22"/>
        </w:rPr>
      </w:pPr>
    </w:p>
    <w:p w:rsidR="00BD2831" w:rsidRPr="00A4031D" w:rsidRDefault="00BD2831" w:rsidP="00BD2831">
      <w:pPr>
        <w:pStyle w:val="inlinenormal"/>
        <w:spacing w:before="0" w:after="0" w:line="240" w:lineRule="auto"/>
        <w:rPr>
          <w:sz w:val="22"/>
          <w:szCs w:val="22"/>
        </w:rPr>
      </w:pPr>
      <w:r w:rsidRPr="00A4031D">
        <w:rPr>
          <w:rStyle w:val="Strong"/>
          <w:rFonts w:cs="Arial"/>
          <w:sz w:val="22"/>
          <w:szCs w:val="22"/>
        </w:rPr>
        <w:t>Conclusion on the Authority’s arrangements to secure value for money through economic, efficient and effective use of its resources</w:t>
      </w:r>
    </w:p>
    <w:p w:rsidR="00BD2831" w:rsidRPr="00A4031D" w:rsidRDefault="00BD2831" w:rsidP="00BD2831">
      <w:pPr>
        <w:pStyle w:val="inlinenormal"/>
        <w:spacing w:before="0" w:after="0" w:line="240" w:lineRule="auto"/>
        <w:rPr>
          <w:rStyle w:val="Emphasis"/>
          <w:rFonts w:cs="Arial"/>
          <w:b/>
          <w:i w:val="0"/>
          <w:sz w:val="22"/>
          <w:szCs w:val="22"/>
        </w:rPr>
      </w:pPr>
    </w:p>
    <w:p w:rsidR="00BD2831" w:rsidRPr="00A4031D" w:rsidRDefault="00BD2831" w:rsidP="00BD2831">
      <w:pPr>
        <w:rPr>
          <w:rFonts w:cs="Arial"/>
          <w:b/>
          <w:sz w:val="22"/>
          <w:szCs w:val="22"/>
        </w:rPr>
      </w:pPr>
      <w:r w:rsidRPr="00A4031D">
        <w:rPr>
          <w:rFonts w:cs="Arial"/>
          <w:b/>
          <w:sz w:val="22"/>
          <w:szCs w:val="22"/>
        </w:rPr>
        <w:t>Respective responsibilities of the Authority and auditor</w:t>
      </w:r>
    </w:p>
    <w:p w:rsidR="00BD2831" w:rsidRPr="00A4031D" w:rsidRDefault="00BD2831" w:rsidP="00BD2831">
      <w:pPr>
        <w:pStyle w:val="inlinenormal"/>
        <w:spacing w:before="0" w:after="0" w:line="240" w:lineRule="auto"/>
        <w:rPr>
          <w:sz w:val="22"/>
          <w:szCs w:val="22"/>
        </w:rPr>
      </w:pPr>
      <w:r w:rsidRPr="00A4031D">
        <w:rPr>
          <w:sz w:val="22"/>
          <w:szCs w:val="22"/>
        </w:rPr>
        <w:t>The Authority is responsible for putting in place proper arrangements to secure economy, efficiency and effectiveness in its use of resources, to ensure proper stewardship and governance, and to review regularly the adequacy and effectiveness of these arrangements.</w:t>
      </w:r>
    </w:p>
    <w:p w:rsidR="00BD2831" w:rsidRPr="00A4031D" w:rsidRDefault="00BD2831" w:rsidP="00BD2831">
      <w:pPr>
        <w:pStyle w:val="inlinenormal"/>
        <w:spacing w:before="0" w:after="0" w:line="240" w:lineRule="auto"/>
        <w:rPr>
          <w:sz w:val="22"/>
          <w:szCs w:val="22"/>
        </w:rPr>
      </w:pPr>
    </w:p>
    <w:p w:rsidR="00BD2831" w:rsidRPr="00A4031D" w:rsidRDefault="00BD2831" w:rsidP="00BD2831">
      <w:pPr>
        <w:rPr>
          <w:rFonts w:cs="Arial"/>
          <w:iCs/>
          <w:sz w:val="22"/>
          <w:szCs w:val="22"/>
        </w:rPr>
      </w:pPr>
      <w:r w:rsidRPr="00A4031D">
        <w:rPr>
          <w:rFonts w:cs="Arial"/>
          <w:iCs/>
          <w:sz w:val="22"/>
          <w:szCs w:val="22"/>
        </w:rPr>
        <w:t>We are required under Section 20(1)(c) of the Act to be satisfied that the Authority has made proper arrangements for securing economy, efficiency and effectiveness in its use of resources and</w:t>
      </w:r>
      <w:r w:rsidRPr="00A4031D">
        <w:rPr>
          <w:rFonts w:cs="Arial"/>
          <w:sz w:val="22"/>
          <w:szCs w:val="22"/>
        </w:rPr>
        <w:t xml:space="preserve"> to report to you if we are not satisfied that the Authority has made proper arrangements. </w:t>
      </w:r>
      <w:r w:rsidRPr="00A4031D">
        <w:rPr>
          <w:rFonts w:cs="Arial"/>
          <w:iCs/>
          <w:sz w:val="22"/>
          <w:szCs w:val="22"/>
        </w:rPr>
        <w:t>We are not required to consider, nor have we considered, whether all aspects of the Authority's arrangements for securing economy, efficiency and effectiveness in its use of resources are operating effectively.</w:t>
      </w:r>
    </w:p>
    <w:p w:rsidR="00BD2831" w:rsidRPr="00A4031D" w:rsidRDefault="00BD2831" w:rsidP="00BD2831">
      <w:pPr>
        <w:autoSpaceDE w:val="0"/>
        <w:autoSpaceDN w:val="0"/>
        <w:adjustRightInd w:val="0"/>
        <w:rPr>
          <w:rFonts w:cs="Arial"/>
          <w:b/>
          <w:sz w:val="22"/>
          <w:szCs w:val="22"/>
        </w:rPr>
      </w:pPr>
      <w:r w:rsidRPr="00A4031D">
        <w:rPr>
          <w:rFonts w:cs="Arial"/>
          <w:b/>
          <w:sz w:val="22"/>
          <w:szCs w:val="22"/>
        </w:rPr>
        <w:t>Scope of the review of the Authority's arrangements to secure value for money through economic, efficient and effective use of its resources</w:t>
      </w:r>
    </w:p>
    <w:p w:rsidR="00BD2831" w:rsidRPr="00A4031D" w:rsidRDefault="00BD2831" w:rsidP="00BD2831">
      <w:pPr>
        <w:autoSpaceDE w:val="0"/>
        <w:autoSpaceDN w:val="0"/>
        <w:adjustRightInd w:val="0"/>
        <w:rPr>
          <w:rFonts w:cs="Arial"/>
          <w:sz w:val="22"/>
          <w:szCs w:val="22"/>
        </w:rPr>
      </w:pPr>
      <w:r w:rsidRPr="00A4031D">
        <w:rPr>
          <w:rFonts w:cs="Arial"/>
          <w:sz w:val="22"/>
          <w:szCs w:val="22"/>
        </w:rPr>
        <w:t>We have undertaken our review in accordance with the Code of Audit Practice prepared by the Comptroller and Auditor General as required by the Act (the "Code"), having regard to the guidance on the specified criteria issued by the Comptroller and Auditor General in November 2015, as to whether the Authority had proper arrangements to ensure it took properly informed decisions and deployed resources to achieve planned and sustainable outcomes for taxpayers and local people. The Comptroller and Auditor General</w:t>
      </w:r>
      <w:r w:rsidRPr="00A4031D" w:rsidDel="00960B67">
        <w:rPr>
          <w:rFonts w:cs="Arial"/>
          <w:sz w:val="22"/>
          <w:szCs w:val="22"/>
        </w:rPr>
        <w:t xml:space="preserve"> </w:t>
      </w:r>
      <w:r w:rsidRPr="00A4031D">
        <w:rPr>
          <w:rFonts w:cs="Arial"/>
          <w:sz w:val="22"/>
          <w:szCs w:val="22"/>
        </w:rPr>
        <w:t>determined these criteria as those necessary for us to consider under the Code in satisfying ourselves whether the Authority put in place proper arrangements to secure value for money through the economic, efficient and effective use of its resources for the year ended 31 March 2016.</w:t>
      </w:r>
    </w:p>
    <w:p w:rsidR="00BD2831" w:rsidRPr="00A4031D" w:rsidRDefault="00BD2831" w:rsidP="00BD2831">
      <w:pPr>
        <w:autoSpaceDE w:val="0"/>
        <w:autoSpaceDN w:val="0"/>
        <w:adjustRightInd w:val="0"/>
        <w:rPr>
          <w:rStyle w:val="Strong"/>
          <w:rFonts w:cs="Arial"/>
          <w:b w:val="0"/>
          <w:bCs w:val="0"/>
          <w:sz w:val="22"/>
          <w:szCs w:val="22"/>
        </w:rPr>
      </w:pPr>
      <w:r w:rsidRPr="00A4031D">
        <w:rPr>
          <w:rFonts w:cs="Arial"/>
          <w:sz w:val="22"/>
          <w:szCs w:val="22"/>
        </w:rPr>
        <w:t>We planned our work in accordance with the Code. Based on our risk assessment, we undertook such work as we considered necessary to form a view on whether in all significant respects the Authority has put in place proper arrangements to secure value for money through economic, efficient and effective use of its resources.</w:t>
      </w:r>
    </w:p>
    <w:p w:rsidR="00BD2831" w:rsidRPr="00A4031D" w:rsidRDefault="00BD2831" w:rsidP="00BD2831">
      <w:pPr>
        <w:autoSpaceDE w:val="0"/>
        <w:autoSpaceDN w:val="0"/>
        <w:adjustRightInd w:val="0"/>
        <w:rPr>
          <w:rFonts w:cs="Arial"/>
          <w:b/>
          <w:sz w:val="22"/>
          <w:szCs w:val="22"/>
        </w:rPr>
      </w:pPr>
      <w:r w:rsidRPr="00A4031D">
        <w:rPr>
          <w:rFonts w:cs="Arial"/>
          <w:b/>
          <w:sz w:val="22"/>
          <w:szCs w:val="22"/>
        </w:rPr>
        <w:lastRenderedPageBreak/>
        <w:t>Basis for qualified conclusion</w:t>
      </w:r>
    </w:p>
    <w:p w:rsidR="00BD2831" w:rsidRPr="00A4031D" w:rsidRDefault="00BD2831" w:rsidP="00BD2831">
      <w:pPr>
        <w:pStyle w:val="inlinenormal"/>
        <w:rPr>
          <w:sz w:val="22"/>
          <w:szCs w:val="22"/>
        </w:rPr>
      </w:pPr>
      <w:r w:rsidRPr="00A4031D">
        <w:rPr>
          <w:sz w:val="22"/>
          <w:szCs w:val="22"/>
        </w:rPr>
        <w:t>In considering the Authority's arrangements for securing efficiency, economy and effectiveness we identified the following matter:</w:t>
      </w:r>
    </w:p>
    <w:p w:rsidR="00BD2831" w:rsidRPr="00A4031D" w:rsidRDefault="00BD2831" w:rsidP="00BD2831">
      <w:pPr>
        <w:autoSpaceDE w:val="0"/>
        <w:autoSpaceDN w:val="0"/>
        <w:adjustRightInd w:val="0"/>
        <w:rPr>
          <w:rFonts w:cs="Arial"/>
          <w:sz w:val="22"/>
          <w:szCs w:val="22"/>
        </w:rPr>
      </w:pPr>
      <w:r w:rsidRPr="00A4031D">
        <w:rPr>
          <w:rFonts w:cs="Arial"/>
          <w:sz w:val="22"/>
          <w:szCs w:val="22"/>
        </w:rPr>
        <w:t xml:space="preserve">In January 2016, </w:t>
      </w:r>
      <w:proofErr w:type="spellStart"/>
      <w:r w:rsidRPr="00A4031D">
        <w:rPr>
          <w:rFonts w:cs="Arial"/>
          <w:sz w:val="22"/>
          <w:szCs w:val="22"/>
        </w:rPr>
        <w:t>Ofsted</w:t>
      </w:r>
      <w:proofErr w:type="spellEnd"/>
      <w:r w:rsidRPr="00A4031D">
        <w:rPr>
          <w:rFonts w:cs="Arial"/>
          <w:sz w:val="22"/>
          <w:szCs w:val="22"/>
        </w:rPr>
        <w:t xml:space="preserve"> issued its report on the inspection of the Authority's services for children in need of help and </w:t>
      </w:r>
      <w:proofErr w:type="gramStart"/>
      <w:r w:rsidRPr="00A4031D">
        <w:rPr>
          <w:rFonts w:cs="Arial"/>
          <w:sz w:val="22"/>
          <w:szCs w:val="22"/>
        </w:rPr>
        <w:t>protection,</w:t>
      </w:r>
      <w:proofErr w:type="gramEnd"/>
      <w:r w:rsidRPr="00A4031D">
        <w:rPr>
          <w:rFonts w:cs="Arial"/>
          <w:sz w:val="22"/>
          <w:szCs w:val="22"/>
        </w:rPr>
        <w:t xml:space="preserve"> children looked after and care leavers. The overall judgement was that children's services were rated as inadequate.</w:t>
      </w:r>
    </w:p>
    <w:p w:rsidR="00BD2831" w:rsidRPr="00A4031D" w:rsidRDefault="00BD2831" w:rsidP="00BD2831">
      <w:pPr>
        <w:autoSpaceDE w:val="0"/>
        <w:autoSpaceDN w:val="0"/>
        <w:adjustRightInd w:val="0"/>
        <w:rPr>
          <w:rFonts w:cs="Arial"/>
          <w:sz w:val="22"/>
          <w:szCs w:val="22"/>
        </w:rPr>
      </w:pPr>
      <w:r w:rsidRPr="00A4031D">
        <w:rPr>
          <w:rFonts w:cs="Arial"/>
          <w:sz w:val="22"/>
          <w:szCs w:val="22"/>
        </w:rPr>
        <w:t>The report concluded that:</w:t>
      </w:r>
    </w:p>
    <w:p w:rsidR="00BD2831" w:rsidRPr="00A4031D" w:rsidRDefault="00BD2831" w:rsidP="00BD2831">
      <w:pPr>
        <w:pStyle w:val="ListParagraph"/>
        <w:numPr>
          <w:ilvl w:val="0"/>
          <w:numId w:val="41"/>
        </w:numPr>
        <w:autoSpaceDE w:val="0"/>
        <w:autoSpaceDN w:val="0"/>
        <w:adjustRightInd w:val="0"/>
        <w:spacing w:after="0" w:line="240" w:lineRule="auto"/>
        <w:rPr>
          <w:rFonts w:cs="Arial"/>
          <w:sz w:val="22"/>
          <w:szCs w:val="22"/>
        </w:rPr>
      </w:pPr>
      <w:r w:rsidRPr="00A4031D">
        <w:rPr>
          <w:rFonts w:cs="Arial"/>
          <w:sz w:val="22"/>
          <w:szCs w:val="22"/>
        </w:rPr>
        <w:t>turnover within the senior leadership had adversely affected the speed and effectiveness of improvement in response to previous inspection reports;</w:t>
      </w:r>
    </w:p>
    <w:p w:rsidR="00BD2831" w:rsidRPr="00A4031D" w:rsidRDefault="00BD2831" w:rsidP="00BD2831">
      <w:pPr>
        <w:pStyle w:val="ListParagraph"/>
        <w:numPr>
          <w:ilvl w:val="0"/>
          <w:numId w:val="41"/>
        </w:numPr>
        <w:autoSpaceDE w:val="0"/>
        <w:autoSpaceDN w:val="0"/>
        <w:adjustRightInd w:val="0"/>
        <w:spacing w:after="0" w:line="240" w:lineRule="auto"/>
        <w:rPr>
          <w:rFonts w:cs="Arial"/>
          <w:sz w:val="22"/>
          <w:szCs w:val="22"/>
        </w:rPr>
      </w:pPr>
      <w:r w:rsidRPr="00A4031D">
        <w:rPr>
          <w:rFonts w:cs="Arial"/>
          <w:sz w:val="22"/>
          <w:szCs w:val="22"/>
        </w:rPr>
        <w:t>performance information was not reliable and quality assurance processes were not embedded to identify improvements across the service;</w:t>
      </w:r>
    </w:p>
    <w:p w:rsidR="00BD2831" w:rsidRPr="00A4031D" w:rsidRDefault="00BD2831" w:rsidP="00BD2831">
      <w:pPr>
        <w:pStyle w:val="ListParagraph"/>
        <w:numPr>
          <w:ilvl w:val="0"/>
          <w:numId w:val="41"/>
        </w:numPr>
        <w:autoSpaceDE w:val="0"/>
        <w:autoSpaceDN w:val="0"/>
        <w:adjustRightInd w:val="0"/>
        <w:spacing w:after="0" w:line="240" w:lineRule="auto"/>
        <w:rPr>
          <w:rFonts w:cs="Arial"/>
          <w:sz w:val="22"/>
          <w:szCs w:val="22"/>
        </w:rPr>
      </w:pPr>
      <w:proofErr w:type="gramStart"/>
      <w:r w:rsidRPr="00A4031D">
        <w:rPr>
          <w:rFonts w:cs="Arial"/>
          <w:sz w:val="22"/>
          <w:szCs w:val="22"/>
        </w:rPr>
        <w:t>there</w:t>
      </w:r>
      <w:proofErr w:type="gramEnd"/>
      <w:r w:rsidRPr="00A4031D">
        <w:rPr>
          <w:rFonts w:cs="Arial"/>
          <w:sz w:val="22"/>
          <w:szCs w:val="22"/>
        </w:rPr>
        <w:t xml:space="preserve"> were weaknesses and inconsistencies in social work practice across the service.</w:t>
      </w:r>
    </w:p>
    <w:p w:rsidR="00BD2831" w:rsidRPr="00A4031D" w:rsidRDefault="00BD2831" w:rsidP="00BD2831">
      <w:pPr>
        <w:pStyle w:val="ListParagraph"/>
        <w:autoSpaceDE w:val="0"/>
        <w:autoSpaceDN w:val="0"/>
        <w:adjustRightInd w:val="0"/>
        <w:spacing w:after="0" w:line="240" w:lineRule="auto"/>
        <w:rPr>
          <w:rFonts w:cs="Arial"/>
          <w:sz w:val="22"/>
          <w:szCs w:val="22"/>
        </w:rPr>
      </w:pPr>
    </w:p>
    <w:p w:rsidR="00BD2831" w:rsidRPr="00A4031D" w:rsidRDefault="00BD2831" w:rsidP="00BD2831">
      <w:pPr>
        <w:autoSpaceDE w:val="0"/>
        <w:autoSpaceDN w:val="0"/>
        <w:adjustRightInd w:val="0"/>
        <w:rPr>
          <w:rFonts w:cs="Arial"/>
          <w:sz w:val="22"/>
          <w:szCs w:val="22"/>
        </w:rPr>
      </w:pPr>
      <w:r w:rsidRPr="00A4031D">
        <w:rPr>
          <w:rFonts w:cs="Arial"/>
          <w:sz w:val="22"/>
          <w:szCs w:val="22"/>
        </w:rPr>
        <w:t>At the date of our opinion, the Authority had yet to formally approve a clear action plan to address the issues highlighted in the report.</w:t>
      </w:r>
    </w:p>
    <w:p w:rsidR="00BD2831" w:rsidRPr="00A4031D" w:rsidRDefault="00BD2831" w:rsidP="00BD2831">
      <w:pPr>
        <w:autoSpaceDE w:val="0"/>
        <w:autoSpaceDN w:val="0"/>
        <w:adjustRightInd w:val="0"/>
        <w:rPr>
          <w:rFonts w:cs="Arial"/>
          <w:sz w:val="22"/>
          <w:szCs w:val="22"/>
        </w:rPr>
      </w:pPr>
      <w:r w:rsidRPr="00A4031D">
        <w:rPr>
          <w:rFonts w:cs="Arial"/>
          <w:sz w:val="22"/>
          <w:szCs w:val="22"/>
        </w:rPr>
        <w:t>These matters are evidence of weaknesses in proper arrangements for understanding and using appropriate and reliable financial and performance information to support informed decision making and performance management, and for planning, organising and developing the workforce effectively to deliver strategic priorities.</w:t>
      </w:r>
    </w:p>
    <w:p w:rsidR="00BD2831" w:rsidRPr="00A4031D" w:rsidRDefault="00BD2831" w:rsidP="00BD2831">
      <w:pPr>
        <w:autoSpaceDE w:val="0"/>
        <w:autoSpaceDN w:val="0"/>
        <w:adjustRightInd w:val="0"/>
        <w:rPr>
          <w:rFonts w:cs="Arial"/>
          <w:b/>
          <w:sz w:val="22"/>
          <w:szCs w:val="22"/>
        </w:rPr>
      </w:pPr>
      <w:r w:rsidRPr="00A4031D">
        <w:rPr>
          <w:rFonts w:cs="Arial"/>
          <w:b/>
          <w:sz w:val="22"/>
          <w:szCs w:val="22"/>
        </w:rPr>
        <w:t>Qualified conclusion</w:t>
      </w:r>
    </w:p>
    <w:p w:rsidR="00BD2831" w:rsidRPr="00A4031D" w:rsidRDefault="00BD2831" w:rsidP="00BD2831">
      <w:pPr>
        <w:autoSpaceDE w:val="0"/>
        <w:autoSpaceDN w:val="0"/>
        <w:adjustRightInd w:val="0"/>
        <w:rPr>
          <w:rFonts w:cs="Arial"/>
          <w:sz w:val="22"/>
          <w:szCs w:val="22"/>
        </w:rPr>
      </w:pPr>
      <w:r w:rsidRPr="00A4031D">
        <w:rPr>
          <w:rFonts w:cs="Arial"/>
          <w:sz w:val="22"/>
          <w:szCs w:val="22"/>
        </w:rPr>
        <w:t>On the basis of our work, having regard to the guidance on the specified criteria issued by the Comptroller and Auditor General in November 2015, except for the effects of the matters described in the Basis for qualified conclusion paragraph, we are satisfied that, in all significant respects, the Authority put in place proper arrangements to secure value for money through economic, efficient and effective use of its resources for the year ended 31 March 2016.</w:t>
      </w:r>
    </w:p>
    <w:p w:rsidR="00BD2831" w:rsidRPr="00A4031D" w:rsidRDefault="00BD2831" w:rsidP="00BD2831">
      <w:pPr>
        <w:autoSpaceDE w:val="0"/>
        <w:autoSpaceDN w:val="0"/>
        <w:adjustRightInd w:val="0"/>
        <w:rPr>
          <w:rFonts w:cs="Arial"/>
          <w:b/>
          <w:sz w:val="22"/>
          <w:szCs w:val="22"/>
        </w:rPr>
      </w:pPr>
      <w:r w:rsidRPr="00A4031D">
        <w:rPr>
          <w:rFonts w:cs="Arial"/>
          <w:b/>
          <w:sz w:val="22"/>
          <w:szCs w:val="22"/>
        </w:rPr>
        <w:t>Certificate</w:t>
      </w:r>
    </w:p>
    <w:p w:rsidR="00BD2831" w:rsidRPr="00A4031D" w:rsidRDefault="00BD2831" w:rsidP="00BD2831">
      <w:pPr>
        <w:autoSpaceDE w:val="0"/>
        <w:autoSpaceDN w:val="0"/>
        <w:adjustRightInd w:val="0"/>
        <w:rPr>
          <w:rFonts w:cs="Arial"/>
          <w:sz w:val="22"/>
          <w:szCs w:val="22"/>
        </w:rPr>
      </w:pPr>
      <w:r w:rsidRPr="00A4031D">
        <w:rPr>
          <w:rFonts w:cs="Arial"/>
          <w:sz w:val="22"/>
          <w:szCs w:val="22"/>
        </w:rPr>
        <w:t>We certify that we have completed the audit of the accounts of the Authority in accordance with the requirements of the Act and the Code.</w:t>
      </w:r>
    </w:p>
    <w:p w:rsidR="00BD2831" w:rsidRPr="00BD2831" w:rsidRDefault="00BD2831" w:rsidP="00BD2831">
      <w:pPr>
        <w:pStyle w:val="BodyText2"/>
        <w:rPr>
          <w:rFonts w:ascii="Garamond" w:hAnsi="Garamond"/>
          <w:i/>
          <w:sz w:val="28"/>
          <w:szCs w:val="28"/>
        </w:rPr>
      </w:pPr>
      <w:r w:rsidRPr="00A85226">
        <w:rPr>
          <w:rFonts w:ascii="Garamond" w:hAnsi="Garamond"/>
          <w:i/>
          <w:sz w:val="28"/>
          <w:szCs w:val="28"/>
        </w:rPr>
        <w:t>Alex Walling</w:t>
      </w:r>
    </w:p>
    <w:p w:rsidR="00BD2831" w:rsidRPr="00A4031D" w:rsidRDefault="00BD2831" w:rsidP="00A4031D">
      <w:pPr>
        <w:pStyle w:val="BodyText2"/>
        <w:spacing w:line="240" w:lineRule="auto"/>
        <w:rPr>
          <w:sz w:val="22"/>
          <w:szCs w:val="22"/>
        </w:rPr>
      </w:pPr>
      <w:r w:rsidRPr="00A4031D">
        <w:rPr>
          <w:sz w:val="22"/>
          <w:szCs w:val="22"/>
        </w:rPr>
        <w:t>Alex Walling</w:t>
      </w:r>
      <w:r w:rsidRPr="00A4031D">
        <w:rPr>
          <w:sz w:val="22"/>
          <w:szCs w:val="22"/>
        </w:rPr>
        <w:br/>
        <w:t>for and on behalf of Grant Thornton UK LLP, Appointed Auditor</w:t>
      </w:r>
    </w:p>
    <w:p w:rsidR="00BD2831" w:rsidRPr="006066EC" w:rsidRDefault="00BD2831" w:rsidP="00A4031D">
      <w:pPr>
        <w:pStyle w:val="BodyText2"/>
        <w:spacing w:line="240" w:lineRule="auto"/>
      </w:pPr>
      <w:r w:rsidRPr="00A4031D">
        <w:rPr>
          <w:sz w:val="22"/>
          <w:szCs w:val="22"/>
        </w:rPr>
        <w:t>Grant Thornton</w:t>
      </w:r>
      <w:r w:rsidRPr="00A4031D">
        <w:rPr>
          <w:sz w:val="22"/>
          <w:szCs w:val="22"/>
        </w:rPr>
        <w:br/>
        <w:t>Hartwell House</w:t>
      </w:r>
      <w:r w:rsidRPr="00A4031D">
        <w:rPr>
          <w:sz w:val="22"/>
          <w:szCs w:val="22"/>
        </w:rPr>
        <w:br/>
        <w:t>55-61 Victoria Street</w:t>
      </w:r>
      <w:r w:rsidRPr="006066EC">
        <w:br/>
        <w:t>Bristol</w:t>
      </w:r>
      <w:r w:rsidRPr="006066EC">
        <w:br/>
        <w:t>BS1 6FT</w:t>
      </w:r>
    </w:p>
    <w:p w:rsidR="00BD2831" w:rsidRPr="0078130E" w:rsidRDefault="00BD2831" w:rsidP="00BD2831">
      <w:pPr>
        <w:pStyle w:val="BodyText2"/>
        <w:keepNext/>
        <w:rPr>
          <w:szCs w:val="22"/>
        </w:rPr>
      </w:pPr>
      <w:r>
        <w:rPr>
          <w:szCs w:val="22"/>
        </w:rPr>
        <w:t>28 July 2016</w:t>
      </w:r>
    </w:p>
    <w:p w:rsidR="00BD2831" w:rsidRPr="00BD2831" w:rsidRDefault="00BD2831" w:rsidP="00BD2831">
      <w:pPr>
        <w:autoSpaceDE w:val="0"/>
        <w:autoSpaceDN w:val="0"/>
        <w:adjustRightInd w:val="0"/>
        <w:rPr>
          <w:rFonts w:cs="Arial"/>
          <w:b/>
        </w:rPr>
      </w:pPr>
    </w:p>
    <w:p w:rsidR="00CE513E" w:rsidRPr="00D42E0B" w:rsidRDefault="00CE513E" w:rsidP="00CE513E">
      <w:pPr>
        <w:rPr>
          <w:rFonts w:cs="Arial"/>
          <w:strike/>
          <w:color w:val="548DD4" w:themeColor="text2" w:themeTint="99"/>
          <w:sz w:val="22"/>
          <w:szCs w:val="22"/>
        </w:rPr>
        <w:sectPr w:rsidR="00CE513E" w:rsidRPr="00D42E0B" w:rsidSect="001A3F09">
          <w:headerReference w:type="default" r:id="rId33"/>
          <w:headerReference w:type="first" r:id="rId34"/>
          <w:pgSz w:w="11906" w:h="16838" w:code="9"/>
          <w:pgMar w:top="1440" w:right="1440" w:bottom="1440" w:left="1440" w:header="544" w:footer="544" w:gutter="0"/>
          <w:cols w:space="708"/>
          <w:titlePg/>
          <w:docGrid w:linePitch="360"/>
        </w:sectPr>
      </w:pPr>
    </w:p>
    <w:p w:rsidR="001C1561" w:rsidRPr="00607E02" w:rsidRDefault="00E51139" w:rsidP="00E262B1">
      <w:pPr>
        <w:pStyle w:val="BodyText"/>
        <w:widowControl w:val="0"/>
        <w:jc w:val="center"/>
        <w:rPr>
          <w:rFonts w:cs="Arial"/>
          <w:b/>
          <w:color w:val="auto"/>
          <w:sz w:val="28"/>
          <w:szCs w:val="28"/>
        </w:rPr>
      </w:pPr>
      <w:r w:rsidRPr="00607E02">
        <w:rPr>
          <w:rFonts w:cs="Arial"/>
          <w:b/>
          <w:color w:val="auto"/>
          <w:sz w:val="28"/>
          <w:szCs w:val="28"/>
        </w:rPr>
        <w:lastRenderedPageBreak/>
        <w:t>Core Financial Statements</w:t>
      </w:r>
    </w:p>
    <w:p w:rsidR="00763E74" w:rsidRPr="00D42E0B" w:rsidRDefault="00763E74" w:rsidP="00E262B1">
      <w:pPr>
        <w:pStyle w:val="BodyText"/>
        <w:widowControl w:val="0"/>
        <w:jc w:val="center"/>
        <w:rPr>
          <w:rFonts w:cs="Arial"/>
          <w:b/>
          <w:color w:val="548DD4" w:themeColor="text2" w:themeTint="99"/>
          <w:sz w:val="28"/>
          <w:szCs w:val="28"/>
        </w:rPr>
      </w:pPr>
    </w:p>
    <w:p w:rsidR="00763E74" w:rsidRPr="00607E02" w:rsidRDefault="00E51139" w:rsidP="00021B5D">
      <w:pPr>
        <w:widowControl w:val="0"/>
        <w:rPr>
          <w:b/>
          <w:color w:val="auto"/>
          <w:sz w:val="24"/>
          <w:szCs w:val="24"/>
        </w:rPr>
      </w:pPr>
      <w:r w:rsidRPr="00607E02">
        <w:rPr>
          <w:b/>
          <w:color w:val="auto"/>
          <w:sz w:val="24"/>
          <w:szCs w:val="24"/>
        </w:rPr>
        <w:t>Movement in Reserves Statement</w:t>
      </w:r>
    </w:p>
    <w:p w:rsidR="00763E74" w:rsidRPr="00607E02" w:rsidRDefault="00E51139" w:rsidP="000D3AFB">
      <w:pPr>
        <w:pStyle w:val="BodyText"/>
        <w:widowControl w:val="0"/>
        <w:ind w:right="-105"/>
        <w:rPr>
          <w:rFonts w:cs="Arial"/>
          <w:color w:val="auto"/>
          <w:sz w:val="20"/>
          <w:szCs w:val="20"/>
        </w:rPr>
      </w:pPr>
      <w:r w:rsidRPr="00607E02">
        <w:rPr>
          <w:rFonts w:cs="Arial"/>
          <w:color w:val="auto"/>
          <w:sz w:val="20"/>
          <w:szCs w:val="20"/>
        </w:rPr>
        <w:t>This statement shows the movement in the year on the different reserves held by the Council, analysed into ‘usable reserves’ (i.e. those that can be applied to fund expenditure or reduce local taxation) and other ‘unusable’ reserves. The Surplus or (Deficit) on the Provision of Services line shows the true economic cost of providing the Council’s services, more details of which are shown in the Comprehensive Income and Expenditure Statement. These are different from the statutory amounts required to be charged to the General Fund Balance for council tax setting. The Net Increase /Decrease before Transfers to Earmarked Reserves line shows the statutory General Fund Balance before any discretionary transfers to or from earmarked reserves undertaken by the council</w:t>
      </w:r>
      <w:r w:rsidR="000D3AFB" w:rsidRPr="00607E02">
        <w:rPr>
          <w:rFonts w:cs="Arial"/>
          <w:color w:val="auto"/>
          <w:sz w:val="20"/>
          <w:szCs w:val="20"/>
        </w:rPr>
        <w:t xml:space="preserve">. </w:t>
      </w:r>
    </w:p>
    <w:p w:rsidR="00763E74" w:rsidRPr="00D42E0B" w:rsidRDefault="00763E74" w:rsidP="000D3AFB">
      <w:pPr>
        <w:pStyle w:val="BodyText"/>
        <w:widowControl w:val="0"/>
        <w:ind w:right="-105"/>
        <w:rPr>
          <w:rFonts w:cs="Arial"/>
          <w:color w:val="548DD4" w:themeColor="text2" w:themeTint="99"/>
          <w:sz w:val="20"/>
          <w:szCs w:val="20"/>
        </w:rPr>
      </w:pPr>
    </w:p>
    <w:tbl>
      <w:tblPr>
        <w:tblStyle w:val="GridTable4-Accent51"/>
        <w:tblW w:w="14236" w:type="dxa"/>
        <w:tblLayout w:type="fixed"/>
        <w:tblLook w:val="00A0"/>
      </w:tblPr>
      <w:tblGrid>
        <w:gridCol w:w="4597"/>
        <w:gridCol w:w="1134"/>
        <w:gridCol w:w="1559"/>
        <w:gridCol w:w="1418"/>
        <w:gridCol w:w="1465"/>
        <w:gridCol w:w="1417"/>
        <w:gridCol w:w="1418"/>
        <w:gridCol w:w="1228"/>
      </w:tblGrid>
      <w:tr w:rsidR="000D3AFB" w:rsidRPr="00D42E0B" w:rsidTr="000C7FF0">
        <w:trPr>
          <w:cnfStyle w:val="100000000000"/>
          <w:trHeight w:val="246"/>
        </w:trPr>
        <w:tc>
          <w:tcPr>
            <w:cnfStyle w:val="001000000000"/>
            <w:tcW w:w="4597" w:type="dxa"/>
            <w:tcBorders>
              <w:bottom w:val="nil"/>
            </w:tcBorders>
            <w:noWrap/>
          </w:tcPr>
          <w:p w:rsidR="00E51139" w:rsidRPr="00607E02" w:rsidRDefault="000D3AFB" w:rsidP="009066C8">
            <w:pPr>
              <w:widowControl w:val="0"/>
              <w:spacing w:after="0" w:line="240" w:lineRule="auto"/>
              <w:rPr>
                <w:rFonts w:cs="Arial"/>
                <w:bCs w:val="0"/>
                <w:color w:val="auto"/>
                <w:sz w:val="24"/>
                <w:szCs w:val="24"/>
                <w:lang w:eastAsia="en-GB"/>
              </w:rPr>
            </w:pPr>
            <w:r w:rsidRPr="00607E02">
              <w:rPr>
                <w:rFonts w:cs="Arial"/>
                <w:bCs w:val="0"/>
                <w:color w:val="auto"/>
                <w:sz w:val="24"/>
                <w:szCs w:val="24"/>
                <w:lang w:eastAsia="en-GB"/>
              </w:rPr>
              <w:t>201</w:t>
            </w:r>
            <w:r w:rsidR="00607E02" w:rsidRPr="00607E02">
              <w:rPr>
                <w:rFonts w:cs="Arial"/>
                <w:bCs w:val="0"/>
                <w:color w:val="auto"/>
                <w:sz w:val="24"/>
                <w:szCs w:val="24"/>
                <w:lang w:eastAsia="en-GB"/>
              </w:rPr>
              <w:t>4</w:t>
            </w:r>
            <w:r w:rsidRPr="00607E02">
              <w:rPr>
                <w:rFonts w:cs="Arial"/>
                <w:bCs w:val="0"/>
                <w:color w:val="auto"/>
                <w:sz w:val="24"/>
                <w:szCs w:val="24"/>
                <w:lang w:eastAsia="en-GB"/>
              </w:rPr>
              <w:t>/1</w:t>
            </w:r>
            <w:r w:rsidR="00607E02" w:rsidRPr="00607E02">
              <w:rPr>
                <w:rFonts w:cs="Arial"/>
                <w:bCs w:val="0"/>
                <w:color w:val="auto"/>
                <w:sz w:val="24"/>
                <w:szCs w:val="24"/>
                <w:lang w:eastAsia="en-GB"/>
              </w:rPr>
              <w:t>5</w:t>
            </w:r>
            <w:r w:rsidR="007E2A0C" w:rsidRPr="00607E02">
              <w:rPr>
                <w:rFonts w:cs="Arial"/>
                <w:bCs w:val="0"/>
                <w:color w:val="auto"/>
                <w:sz w:val="24"/>
                <w:szCs w:val="24"/>
                <w:lang w:eastAsia="en-GB"/>
              </w:rPr>
              <w:t xml:space="preserve"> </w:t>
            </w:r>
          </w:p>
        </w:tc>
        <w:tc>
          <w:tcPr>
            <w:cnfStyle w:val="000010000000"/>
            <w:tcW w:w="1134" w:type="dxa"/>
            <w:tcBorders>
              <w:bottom w:val="nil"/>
            </w:tcBorders>
            <w:noWrap/>
          </w:tcPr>
          <w:p w:rsidR="00E51139" w:rsidRPr="00607E02" w:rsidRDefault="00E51139" w:rsidP="00A220C4">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General</w:t>
            </w:r>
          </w:p>
          <w:p w:rsidR="00E51139" w:rsidRPr="00607E02" w:rsidRDefault="00E51139" w:rsidP="00A220C4">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Fund</w:t>
            </w:r>
          </w:p>
          <w:p w:rsidR="00E51139" w:rsidRPr="00607E02" w:rsidRDefault="00E262B1" w:rsidP="00E262B1">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Balance</w:t>
            </w:r>
          </w:p>
        </w:tc>
        <w:tc>
          <w:tcPr>
            <w:tcW w:w="1559" w:type="dxa"/>
            <w:tcBorders>
              <w:bottom w:val="nil"/>
            </w:tcBorders>
            <w:noWrap/>
          </w:tcPr>
          <w:p w:rsidR="00E51139" w:rsidRPr="00607E02" w:rsidRDefault="00E51139" w:rsidP="00A220C4">
            <w:pPr>
              <w:widowControl w:val="0"/>
              <w:spacing w:after="0" w:line="240" w:lineRule="auto"/>
              <w:jc w:val="center"/>
              <w:cnfStyle w:val="100000000000"/>
              <w:rPr>
                <w:rFonts w:cs="Arial"/>
                <w:bCs w:val="0"/>
                <w:color w:val="auto"/>
                <w:sz w:val="18"/>
                <w:szCs w:val="18"/>
                <w:lang w:eastAsia="en-GB"/>
              </w:rPr>
            </w:pPr>
            <w:r w:rsidRPr="00607E02">
              <w:rPr>
                <w:rFonts w:cs="Arial"/>
                <w:bCs w:val="0"/>
                <w:color w:val="auto"/>
                <w:sz w:val="18"/>
                <w:szCs w:val="18"/>
                <w:lang w:eastAsia="en-GB"/>
              </w:rPr>
              <w:t>Earmarked</w:t>
            </w:r>
          </w:p>
          <w:p w:rsidR="00E51139" w:rsidRPr="00607E02" w:rsidRDefault="00E51139" w:rsidP="00A220C4">
            <w:pPr>
              <w:widowControl w:val="0"/>
              <w:spacing w:after="0" w:line="240" w:lineRule="auto"/>
              <w:jc w:val="center"/>
              <w:cnfStyle w:val="100000000000"/>
              <w:rPr>
                <w:rFonts w:cs="Arial"/>
                <w:bCs w:val="0"/>
                <w:color w:val="auto"/>
                <w:sz w:val="18"/>
                <w:szCs w:val="18"/>
                <w:lang w:eastAsia="en-GB"/>
              </w:rPr>
            </w:pPr>
            <w:r w:rsidRPr="00607E02">
              <w:rPr>
                <w:rFonts w:cs="Arial"/>
                <w:bCs w:val="0"/>
                <w:color w:val="auto"/>
                <w:sz w:val="18"/>
                <w:szCs w:val="18"/>
                <w:lang w:eastAsia="en-GB"/>
              </w:rPr>
              <w:t>General Fund</w:t>
            </w:r>
          </w:p>
          <w:p w:rsidR="00E51139" w:rsidRPr="00607E02" w:rsidRDefault="00E262B1" w:rsidP="00E262B1">
            <w:pPr>
              <w:widowControl w:val="0"/>
              <w:spacing w:after="0" w:line="240" w:lineRule="auto"/>
              <w:jc w:val="center"/>
              <w:cnfStyle w:val="100000000000"/>
              <w:rPr>
                <w:rFonts w:cs="Arial"/>
                <w:bCs w:val="0"/>
                <w:color w:val="auto"/>
                <w:sz w:val="18"/>
                <w:szCs w:val="18"/>
                <w:lang w:eastAsia="en-GB"/>
              </w:rPr>
            </w:pPr>
            <w:r w:rsidRPr="00607E02">
              <w:rPr>
                <w:rFonts w:cs="Arial"/>
                <w:bCs w:val="0"/>
                <w:color w:val="auto"/>
                <w:sz w:val="18"/>
                <w:szCs w:val="18"/>
                <w:lang w:eastAsia="en-GB"/>
              </w:rPr>
              <w:t>Reserves</w:t>
            </w:r>
          </w:p>
        </w:tc>
        <w:tc>
          <w:tcPr>
            <w:cnfStyle w:val="000010000000"/>
            <w:tcW w:w="1418" w:type="dxa"/>
            <w:tcBorders>
              <w:bottom w:val="nil"/>
            </w:tcBorders>
            <w:noWrap/>
          </w:tcPr>
          <w:p w:rsidR="00E51139" w:rsidRPr="00607E02" w:rsidRDefault="00E51139" w:rsidP="00A220C4">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Capital</w:t>
            </w:r>
          </w:p>
          <w:p w:rsidR="00E51139" w:rsidRPr="00607E02" w:rsidRDefault="00E51139" w:rsidP="00A220C4">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Receipts</w:t>
            </w:r>
          </w:p>
          <w:p w:rsidR="00E51139" w:rsidRPr="00607E02" w:rsidRDefault="00E262B1" w:rsidP="00E262B1">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Reserve</w:t>
            </w:r>
          </w:p>
        </w:tc>
        <w:tc>
          <w:tcPr>
            <w:tcW w:w="1465" w:type="dxa"/>
            <w:tcBorders>
              <w:bottom w:val="nil"/>
            </w:tcBorders>
          </w:tcPr>
          <w:p w:rsidR="00E51139" w:rsidRPr="00607E02" w:rsidRDefault="00E51139" w:rsidP="00A220C4">
            <w:pPr>
              <w:widowControl w:val="0"/>
              <w:spacing w:after="0" w:line="240" w:lineRule="auto"/>
              <w:jc w:val="center"/>
              <w:cnfStyle w:val="100000000000"/>
              <w:rPr>
                <w:rFonts w:cs="Arial"/>
                <w:bCs w:val="0"/>
                <w:color w:val="auto"/>
                <w:sz w:val="18"/>
                <w:szCs w:val="18"/>
                <w:lang w:eastAsia="en-GB"/>
              </w:rPr>
            </w:pPr>
            <w:r w:rsidRPr="00607E02">
              <w:rPr>
                <w:rFonts w:cs="Arial"/>
                <w:bCs w:val="0"/>
                <w:color w:val="auto"/>
                <w:sz w:val="18"/>
                <w:szCs w:val="18"/>
                <w:lang w:eastAsia="en-GB"/>
              </w:rPr>
              <w:t>Capital Grants Unapplied</w:t>
            </w:r>
            <w:r w:rsidR="00093118">
              <w:rPr>
                <w:rFonts w:cs="Arial"/>
                <w:bCs w:val="0"/>
                <w:color w:val="auto"/>
                <w:sz w:val="18"/>
                <w:szCs w:val="18"/>
                <w:lang w:eastAsia="en-GB"/>
              </w:rPr>
              <w:t xml:space="preserve"> Account</w:t>
            </w:r>
          </w:p>
          <w:p w:rsidR="00E51139" w:rsidRPr="00607E02" w:rsidRDefault="00E51139" w:rsidP="00A220C4">
            <w:pPr>
              <w:widowControl w:val="0"/>
              <w:spacing w:after="0" w:line="240" w:lineRule="auto"/>
              <w:jc w:val="center"/>
              <w:cnfStyle w:val="100000000000"/>
              <w:rPr>
                <w:rFonts w:cs="Arial"/>
                <w:bCs w:val="0"/>
                <w:color w:val="auto"/>
                <w:sz w:val="18"/>
                <w:szCs w:val="18"/>
                <w:lang w:eastAsia="en-GB"/>
              </w:rPr>
            </w:pPr>
          </w:p>
        </w:tc>
        <w:tc>
          <w:tcPr>
            <w:cnfStyle w:val="000010000000"/>
            <w:tcW w:w="1417" w:type="dxa"/>
            <w:tcBorders>
              <w:bottom w:val="nil"/>
            </w:tcBorders>
            <w:noWrap/>
          </w:tcPr>
          <w:p w:rsidR="00E51139" w:rsidRPr="00607E02" w:rsidRDefault="00E51139" w:rsidP="00A220C4">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Total</w:t>
            </w:r>
          </w:p>
          <w:p w:rsidR="00E51139" w:rsidRPr="00607E02" w:rsidRDefault="00E51139" w:rsidP="00A220C4">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Usable</w:t>
            </w:r>
          </w:p>
          <w:p w:rsidR="00E51139" w:rsidRPr="00607E02" w:rsidRDefault="00E262B1" w:rsidP="00E262B1">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Reserves</w:t>
            </w:r>
          </w:p>
        </w:tc>
        <w:tc>
          <w:tcPr>
            <w:tcW w:w="1418" w:type="dxa"/>
            <w:tcBorders>
              <w:bottom w:val="nil"/>
            </w:tcBorders>
            <w:noWrap/>
          </w:tcPr>
          <w:p w:rsidR="00E51139" w:rsidRPr="00607E02" w:rsidRDefault="00E51139" w:rsidP="00A220C4">
            <w:pPr>
              <w:widowControl w:val="0"/>
              <w:spacing w:after="0" w:line="240" w:lineRule="auto"/>
              <w:jc w:val="center"/>
              <w:cnfStyle w:val="100000000000"/>
              <w:rPr>
                <w:rFonts w:cs="Arial"/>
                <w:bCs w:val="0"/>
                <w:color w:val="auto"/>
                <w:sz w:val="18"/>
                <w:szCs w:val="18"/>
                <w:lang w:eastAsia="en-GB"/>
              </w:rPr>
            </w:pPr>
            <w:r w:rsidRPr="00607E02">
              <w:rPr>
                <w:rFonts w:cs="Arial"/>
                <w:bCs w:val="0"/>
                <w:color w:val="auto"/>
                <w:sz w:val="18"/>
                <w:szCs w:val="18"/>
                <w:lang w:eastAsia="en-GB"/>
              </w:rPr>
              <w:t>Unusable</w:t>
            </w:r>
          </w:p>
          <w:p w:rsidR="00E51139" w:rsidRPr="00607E02" w:rsidRDefault="00E51139" w:rsidP="00A220C4">
            <w:pPr>
              <w:widowControl w:val="0"/>
              <w:spacing w:after="0" w:line="240" w:lineRule="auto"/>
              <w:jc w:val="center"/>
              <w:cnfStyle w:val="100000000000"/>
              <w:rPr>
                <w:rFonts w:cs="Arial"/>
                <w:bCs w:val="0"/>
                <w:color w:val="auto"/>
                <w:sz w:val="18"/>
                <w:szCs w:val="18"/>
                <w:lang w:eastAsia="en-GB"/>
              </w:rPr>
            </w:pPr>
            <w:r w:rsidRPr="00607E02">
              <w:rPr>
                <w:rFonts w:cs="Arial"/>
                <w:bCs w:val="0"/>
                <w:color w:val="auto"/>
                <w:sz w:val="18"/>
                <w:szCs w:val="18"/>
                <w:lang w:eastAsia="en-GB"/>
              </w:rPr>
              <w:t>Reserves</w:t>
            </w:r>
          </w:p>
          <w:p w:rsidR="00E51139" w:rsidRPr="00607E02" w:rsidRDefault="00E51139" w:rsidP="00A220C4">
            <w:pPr>
              <w:widowControl w:val="0"/>
              <w:spacing w:after="0" w:line="240" w:lineRule="auto"/>
              <w:jc w:val="center"/>
              <w:cnfStyle w:val="100000000000"/>
              <w:rPr>
                <w:rFonts w:cs="Arial"/>
                <w:bCs w:val="0"/>
                <w:color w:val="auto"/>
                <w:sz w:val="18"/>
                <w:szCs w:val="18"/>
                <w:lang w:eastAsia="en-GB"/>
              </w:rPr>
            </w:pPr>
          </w:p>
        </w:tc>
        <w:tc>
          <w:tcPr>
            <w:cnfStyle w:val="000010000000"/>
            <w:tcW w:w="1228" w:type="dxa"/>
            <w:tcBorders>
              <w:bottom w:val="nil"/>
            </w:tcBorders>
            <w:noWrap/>
          </w:tcPr>
          <w:p w:rsidR="00E51139" w:rsidRPr="00607E02" w:rsidRDefault="00E51139" w:rsidP="00A220C4">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Total</w:t>
            </w:r>
          </w:p>
          <w:p w:rsidR="00E51139" w:rsidRPr="00607E02" w:rsidRDefault="00E51139" w:rsidP="00A220C4">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Council</w:t>
            </w:r>
          </w:p>
          <w:p w:rsidR="00E51139" w:rsidRPr="00607E02" w:rsidRDefault="00E262B1" w:rsidP="00E262B1">
            <w:pPr>
              <w:widowControl w:val="0"/>
              <w:spacing w:after="0" w:line="240" w:lineRule="auto"/>
              <w:jc w:val="center"/>
              <w:rPr>
                <w:rFonts w:cs="Arial"/>
                <w:bCs w:val="0"/>
                <w:color w:val="auto"/>
                <w:sz w:val="18"/>
                <w:szCs w:val="18"/>
                <w:lang w:eastAsia="en-GB"/>
              </w:rPr>
            </w:pPr>
            <w:r w:rsidRPr="00607E02">
              <w:rPr>
                <w:rFonts w:cs="Arial"/>
                <w:bCs w:val="0"/>
                <w:color w:val="auto"/>
                <w:sz w:val="18"/>
                <w:szCs w:val="18"/>
                <w:lang w:eastAsia="en-GB"/>
              </w:rPr>
              <w:t>Reserves</w:t>
            </w:r>
          </w:p>
        </w:tc>
      </w:tr>
      <w:tr w:rsidR="000D3AFB" w:rsidRPr="00D42E0B" w:rsidTr="000C7FF0">
        <w:trPr>
          <w:cnfStyle w:val="000000100000"/>
          <w:trHeight w:val="246"/>
        </w:trPr>
        <w:tc>
          <w:tcPr>
            <w:cnfStyle w:val="001000000000"/>
            <w:tcW w:w="4597" w:type="dxa"/>
            <w:tcBorders>
              <w:top w:val="nil"/>
              <w:left w:val="nil"/>
              <w:bottom w:val="nil"/>
              <w:right w:val="nil"/>
            </w:tcBorders>
            <w:shd w:val="clear" w:color="auto" w:fill="4BACC6" w:themeFill="accent5"/>
            <w:noWrap/>
          </w:tcPr>
          <w:p w:rsidR="00E17024" w:rsidRPr="00607E02" w:rsidRDefault="00E17024" w:rsidP="00A220C4">
            <w:pPr>
              <w:widowControl w:val="0"/>
              <w:spacing w:after="0" w:line="240" w:lineRule="auto"/>
              <w:rPr>
                <w:rFonts w:cs="Arial"/>
                <w:color w:val="auto"/>
                <w:sz w:val="20"/>
                <w:szCs w:val="20"/>
                <w:lang w:eastAsia="en-GB"/>
              </w:rPr>
            </w:pPr>
          </w:p>
        </w:tc>
        <w:tc>
          <w:tcPr>
            <w:cnfStyle w:val="000010000000"/>
            <w:tcW w:w="1134" w:type="dxa"/>
            <w:tcBorders>
              <w:top w:val="nil"/>
              <w:left w:val="nil"/>
              <w:bottom w:val="nil"/>
              <w:right w:val="nil"/>
            </w:tcBorders>
            <w:shd w:val="clear" w:color="auto" w:fill="4BACC6" w:themeFill="accent5"/>
            <w:noWrap/>
          </w:tcPr>
          <w:p w:rsidR="00E17024" w:rsidRPr="00607E02" w:rsidRDefault="00E17024" w:rsidP="00A220C4">
            <w:pPr>
              <w:widowControl w:val="0"/>
              <w:spacing w:after="0" w:line="240" w:lineRule="auto"/>
              <w:jc w:val="center"/>
              <w:rPr>
                <w:rFonts w:cs="Arial"/>
                <w:color w:val="auto"/>
                <w:sz w:val="20"/>
                <w:szCs w:val="20"/>
                <w:lang w:eastAsia="en-GB"/>
              </w:rPr>
            </w:pPr>
            <w:r w:rsidRPr="00607E02">
              <w:rPr>
                <w:rFonts w:cs="Arial"/>
                <w:color w:val="auto"/>
                <w:sz w:val="20"/>
                <w:szCs w:val="20"/>
                <w:lang w:eastAsia="en-GB"/>
              </w:rPr>
              <w:t>£m</w:t>
            </w:r>
          </w:p>
        </w:tc>
        <w:tc>
          <w:tcPr>
            <w:tcW w:w="1559" w:type="dxa"/>
            <w:tcBorders>
              <w:top w:val="nil"/>
              <w:left w:val="nil"/>
              <w:bottom w:val="nil"/>
              <w:right w:val="nil"/>
            </w:tcBorders>
            <w:shd w:val="clear" w:color="auto" w:fill="4BACC6" w:themeFill="accent5"/>
            <w:noWrap/>
          </w:tcPr>
          <w:p w:rsidR="00E17024" w:rsidRPr="00607E02" w:rsidRDefault="00E17024" w:rsidP="00A220C4">
            <w:pPr>
              <w:widowControl w:val="0"/>
              <w:spacing w:after="0" w:line="240" w:lineRule="auto"/>
              <w:jc w:val="center"/>
              <w:cnfStyle w:val="000000100000"/>
              <w:rPr>
                <w:rFonts w:cs="Arial"/>
                <w:color w:val="auto"/>
                <w:sz w:val="18"/>
                <w:szCs w:val="18"/>
                <w:lang w:eastAsia="en-GB"/>
              </w:rPr>
            </w:pPr>
            <w:r w:rsidRPr="00607E02">
              <w:rPr>
                <w:rFonts w:cs="Arial"/>
                <w:color w:val="auto"/>
                <w:sz w:val="18"/>
                <w:szCs w:val="18"/>
                <w:lang w:eastAsia="en-GB"/>
              </w:rPr>
              <w:t>£m</w:t>
            </w:r>
          </w:p>
        </w:tc>
        <w:tc>
          <w:tcPr>
            <w:cnfStyle w:val="000010000000"/>
            <w:tcW w:w="1418" w:type="dxa"/>
            <w:tcBorders>
              <w:top w:val="nil"/>
              <w:left w:val="nil"/>
              <w:bottom w:val="nil"/>
              <w:right w:val="nil"/>
            </w:tcBorders>
            <w:shd w:val="clear" w:color="auto" w:fill="4BACC6" w:themeFill="accent5"/>
            <w:noWrap/>
          </w:tcPr>
          <w:p w:rsidR="00E17024" w:rsidRPr="00607E02" w:rsidRDefault="00E17024" w:rsidP="008C7006">
            <w:pPr>
              <w:widowControl w:val="0"/>
              <w:spacing w:after="0" w:line="240" w:lineRule="auto"/>
              <w:jc w:val="center"/>
              <w:rPr>
                <w:rFonts w:cs="Arial"/>
                <w:color w:val="auto"/>
                <w:sz w:val="18"/>
                <w:szCs w:val="18"/>
                <w:lang w:eastAsia="en-GB"/>
              </w:rPr>
            </w:pPr>
            <w:r w:rsidRPr="00607E02">
              <w:rPr>
                <w:rFonts w:cs="Arial"/>
                <w:color w:val="auto"/>
                <w:sz w:val="18"/>
                <w:szCs w:val="18"/>
                <w:lang w:eastAsia="en-GB"/>
              </w:rPr>
              <w:t>£m</w:t>
            </w:r>
          </w:p>
        </w:tc>
        <w:tc>
          <w:tcPr>
            <w:tcW w:w="1465" w:type="dxa"/>
            <w:tcBorders>
              <w:top w:val="nil"/>
              <w:left w:val="nil"/>
              <w:bottom w:val="nil"/>
              <w:right w:val="nil"/>
            </w:tcBorders>
            <w:shd w:val="clear" w:color="auto" w:fill="4BACC6" w:themeFill="accent5"/>
          </w:tcPr>
          <w:p w:rsidR="00E17024" w:rsidRPr="00607E02" w:rsidRDefault="00E17024" w:rsidP="008C7006">
            <w:pPr>
              <w:widowControl w:val="0"/>
              <w:spacing w:after="0" w:line="240" w:lineRule="auto"/>
              <w:jc w:val="center"/>
              <w:cnfStyle w:val="000000100000"/>
              <w:rPr>
                <w:rFonts w:cs="Arial"/>
                <w:bCs/>
                <w:color w:val="auto"/>
                <w:sz w:val="18"/>
                <w:szCs w:val="18"/>
                <w:lang w:eastAsia="en-GB"/>
              </w:rPr>
            </w:pPr>
            <w:r w:rsidRPr="00607E02">
              <w:rPr>
                <w:rFonts w:cs="Arial"/>
                <w:bCs/>
                <w:color w:val="auto"/>
                <w:sz w:val="18"/>
                <w:szCs w:val="18"/>
                <w:lang w:eastAsia="en-GB"/>
              </w:rPr>
              <w:t>£m</w:t>
            </w:r>
          </w:p>
        </w:tc>
        <w:tc>
          <w:tcPr>
            <w:cnfStyle w:val="000010000000"/>
            <w:tcW w:w="1417" w:type="dxa"/>
            <w:tcBorders>
              <w:top w:val="nil"/>
              <w:left w:val="nil"/>
              <w:bottom w:val="nil"/>
              <w:right w:val="nil"/>
            </w:tcBorders>
            <w:shd w:val="clear" w:color="auto" w:fill="4BACC6" w:themeFill="accent5"/>
            <w:noWrap/>
          </w:tcPr>
          <w:p w:rsidR="00E17024" w:rsidRPr="00607E02" w:rsidRDefault="00E17024" w:rsidP="008C7006">
            <w:pPr>
              <w:widowControl w:val="0"/>
              <w:spacing w:after="0" w:line="240" w:lineRule="auto"/>
              <w:jc w:val="center"/>
              <w:rPr>
                <w:rFonts w:cs="Arial"/>
                <w:bCs/>
                <w:color w:val="auto"/>
                <w:sz w:val="18"/>
                <w:szCs w:val="18"/>
                <w:lang w:eastAsia="en-GB"/>
              </w:rPr>
            </w:pPr>
            <w:r w:rsidRPr="00607E02">
              <w:rPr>
                <w:rFonts w:cs="Arial"/>
                <w:bCs/>
                <w:color w:val="auto"/>
                <w:sz w:val="18"/>
                <w:szCs w:val="18"/>
                <w:lang w:eastAsia="en-GB"/>
              </w:rPr>
              <w:t>£m</w:t>
            </w:r>
          </w:p>
        </w:tc>
        <w:tc>
          <w:tcPr>
            <w:tcW w:w="1418" w:type="dxa"/>
            <w:tcBorders>
              <w:top w:val="nil"/>
              <w:left w:val="nil"/>
              <w:bottom w:val="nil"/>
              <w:right w:val="nil"/>
            </w:tcBorders>
            <w:shd w:val="clear" w:color="auto" w:fill="4BACC6" w:themeFill="accent5"/>
            <w:noWrap/>
          </w:tcPr>
          <w:p w:rsidR="00E17024" w:rsidRPr="00607E02" w:rsidRDefault="00E17024" w:rsidP="00E17024">
            <w:pPr>
              <w:widowControl w:val="0"/>
              <w:spacing w:after="0" w:line="240" w:lineRule="auto"/>
              <w:jc w:val="center"/>
              <w:cnfStyle w:val="000000100000"/>
              <w:rPr>
                <w:rFonts w:cs="Arial"/>
                <w:color w:val="auto"/>
                <w:sz w:val="18"/>
                <w:szCs w:val="18"/>
                <w:lang w:eastAsia="en-GB"/>
              </w:rPr>
            </w:pPr>
            <w:r w:rsidRPr="00607E02">
              <w:rPr>
                <w:rFonts w:cs="Arial"/>
                <w:color w:val="auto"/>
                <w:sz w:val="18"/>
                <w:szCs w:val="18"/>
                <w:lang w:eastAsia="en-GB"/>
              </w:rPr>
              <w:t>£m</w:t>
            </w:r>
          </w:p>
        </w:tc>
        <w:tc>
          <w:tcPr>
            <w:cnfStyle w:val="000010000000"/>
            <w:tcW w:w="1228" w:type="dxa"/>
            <w:tcBorders>
              <w:top w:val="nil"/>
              <w:left w:val="nil"/>
              <w:bottom w:val="nil"/>
              <w:right w:val="nil"/>
            </w:tcBorders>
            <w:shd w:val="clear" w:color="auto" w:fill="4BACC6" w:themeFill="accent5"/>
            <w:noWrap/>
          </w:tcPr>
          <w:p w:rsidR="00E17024" w:rsidRPr="00607E02" w:rsidRDefault="00E17024" w:rsidP="00E17024">
            <w:pPr>
              <w:widowControl w:val="0"/>
              <w:spacing w:after="0" w:line="240" w:lineRule="auto"/>
              <w:jc w:val="center"/>
              <w:rPr>
                <w:rFonts w:cs="Arial"/>
                <w:bCs/>
                <w:color w:val="auto"/>
                <w:sz w:val="20"/>
                <w:szCs w:val="20"/>
                <w:lang w:eastAsia="en-GB"/>
              </w:rPr>
            </w:pPr>
            <w:r w:rsidRPr="00607E02">
              <w:rPr>
                <w:rFonts w:cs="Arial"/>
                <w:bCs/>
                <w:color w:val="auto"/>
                <w:sz w:val="20"/>
                <w:szCs w:val="20"/>
                <w:lang w:eastAsia="en-GB"/>
              </w:rPr>
              <w:t>£m</w:t>
            </w:r>
          </w:p>
        </w:tc>
      </w:tr>
      <w:tr w:rsidR="000D3AFB" w:rsidRPr="00D42E0B" w:rsidTr="000C7FF0">
        <w:trPr>
          <w:trHeight w:val="246"/>
        </w:trPr>
        <w:tc>
          <w:tcPr>
            <w:cnfStyle w:val="001000000000"/>
            <w:tcW w:w="4597" w:type="dxa"/>
            <w:tcBorders>
              <w:top w:val="nil"/>
              <w:left w:val="nil"/>
              <w:bottom w:val="nil"/>
              <w:right w:val="nil"/>
            </w:tcBorders>
            <w:shd w:val="clear" w:color="auto" w:fill="4BACC6" w:themeFill="accent5"/>
            <w:noWrap/>
          </w:tcPr>
          <w:p w:rsidR="00E51139" w:rsidRPr="00607E02" w:rsidRDefault="00E51139" w:rsidP="00A220C4">
            <w:pPr>
              <w:widowControl w:val="0"/>
              <w:spacing w:after="0" w:line="240" w:lineRule="auto"/>
              <w:rPr>
                <w:rFonts w:cs="Arial"/>
                <w:color w:val="auto"/>
                <w:sz w:val="20"/>
                <w:szCs w:val="20"/>
                <w:lang w:eastAsia="en-GB"/>
              </w:rPr>
            </w:pPr>
          </w:p>
        </w:tc>
        <w:tc>
          <w:tcPr>
            <w:cnfStyle w:val="000010000000"/>
            <w:tcW w:w="1134" w:type="dxa"/>
            <w:tcBorders>
              <w:top w:val="nil"/>
              <w:left w:val="nil"/>
              <w:bottom w:val="nil"/>
              <w:right w:val="nil"/>
            </w:tcBorders>
            <w:shd w:val="clear" w:color="auto" w:fill="4BACC6" w:themeFill="accent5"/>
            <w:noWrap/>
          </w:tcPr>
          <w:p w:rsidR="00E51139" w:rsidRPr="00607E02" w:rsidRDefault="00E51139" w:rsidP="00A220C4">
            <w:pPr>
              <w:widowControl w:val="0"/>
              <w:spacing w:after="0" w:line="240" w:lineRule="auto"/>
              <w:jc w:val="center"/>
              <w:rPr>
                <w:rFonts w:cs="Arial"/>
                <w:color w:val="auto"/>
                <w:sz w:val="20"/>
                <w:szCs w:val="20"/>
                <w:lang w:eastAsia="en-GB"/>
              </w:rPr>
            </w:pPr>
          </w:p>
        </w:tc>
        <w:tc>
          <w:tcPr>
            <w:tcW w:w="1559" w:type="dxa"/>
            <w:tcBorders>
              <w:top w:val="nil"/>
              <w:left w:val="nil"/>
              <w:bottom w:val="nil"/>
              <w:right w:val="nil"/>
            </w:tcBorders>
            <w:shd w:val="clear" w:color="auto" w:fill="4BACC6" w:themeFill="accent5"/>
            <w:noWrap/>
          </w:tcPr>
          <w:p w:rsidR="00E51139" w:rsidRPr="00607E02" w:rsidRDefault="00E51139" w:rsidP="00A220C4">
            <w:pPr>
              <w:widowControl w:val="0"/>
              <w:spacing w:after="0" w:line="240" w:lineRule="auto"/>
              <w:jc w:val="center"/>
              <w:cnfStyle w:val="000000000000"/>
              <w:rPr>
                <w:rFonts w:cs="Arial"/>
                <w:color w:val="auto"/>
                <w:sz w:val="18"/>
                <w:szCs w:val="18"/>
                <w:lang w:eastAsia="en-GB"/>
              </w:rPr>
            </w:pPr>
            <w:r w:rsidRPr="00607E02">
              <w:rPr>
                <w:rFonts w:cs="Arial"/>
                <w:color w:val="auto"/>
                <w:sz w:val="18"/>
                <w:szCs w:val="18"/>
                <w:lang w:eastAsia="en-GB"/>
              </w:rPr>
              <w:t>Note 8</w:t>
            </w:r>
          </w:p>
        </w:tc>
        <w:tc>
          <w:tcPr>
            <w:cnfStyle w:val="000010000000"/>
            <w:tcW w:w="1418" w:type="dxa"/>
            <w:tcBorders>
              <w:top w:val="nil"/>
              <w:left w:val="nil"/>
              <w:bottom w:val="nil"/>
              <w:right w:val="nil"/>
            </w:tcBorders>
            <w:shd w:val="clear" w:color="auto" w:fill="4BACC6" w:themeFill="accent5"/>
            <w:noWrap/>
          </w:tcPr>
          <w:p w:rsidR="00E51139" w:rsidRPr="00607E02" w:rsidRDefault="00F51FE4" w:rsidP="008C7006">
            <w:pPr>
              <w:widowControl w:val="0"/>
              <w:spacing w:after="0" w:line="240" w:lineRule="auto"/>
              <w:jc w:val="center"/>
              <w:rPr>
                <w:rFonts w:cs="Arial"/>
                <w:color w:val="auto"/>
                <w:sz w:val="18"/>
                <w:szCs w:val="18"/>
                <w:lang w:eastAsia="en-GB"/>
              </w:rPr>
            </w:pPr>
            <w:r>
              <w:rPr>
                <w:rFonts w:cs="Arial"/>
                <w:color w:val="auto"/>
                <w:sz w:val="18"/>
                <w:szCs w:val="18"/>
                <w:lang w:eastAsia="en-GB"/>
              </w:rPr>
              <w:t>Note 7</w:t>
            </w:r>
          </w:p>
        </w:tc>
        <w:tc>
          <w:tcPr>
            <w:tcW w:w="1465" w:type="dxa"/>
            <w:tcBorders>
              <w:top w:val="nil"/>
              <w:left w:val="nil"/>
              <w:bottom w:val="nil"/>
              <w:right w:val="nil"/>
            </w:tcBorders>
            <w:shd w:val="clear" w:color="auto" w:fill="4BACC6" w:themeFill="accent5"/>
          </w:tcPr>
          <w:p w:rsidR="00E51139" w:rsidRPr="00607E02" w:rsidRDefault="00E51139" w:rsidP="00AB4BB2">
            <w:pPr>
              <w:widowControl w:val="0"/>
              <w:spacing w:after="0" w:line="240" w:lineRule="auto"/>
              <w:jc w:val="center"/>
              <w:cnfStyle w:val="000000000000"/>
              <w:rPr>
                <w:rFonts w:cs="Arial"/>
                <w:bCs/>
                <w:color w:val="auto"/>
                <w:sz w:val="18"/>
                <w:szCs w:val="18"/>
                <w:lang w:eastAsia="en-GB"/>
              </w:rPr>
            </w:pPr>
            <w:r w:rsidRPr="00607E02">
              <w:rPr>
                <w:rFonts w:cs="Arial"/>
                <w:bCs/>
                <w:color w:val="auto"/>
                <w:sz w:val="18"/>
                <w:szCs w:val="18"/>
                <w:lang w:eastAsia="en-GB"/>
              </w:rPr>
              <w:t xml:space="preserve">Note </w:t>
            </w:r>
            <w:r w:rsidR="00AB4BB2">
              <w:rPr>
                <w:rFonts w:cs="Arial"/>
                <w:bCs/>
                <w:color w:val="auto"/>
                <w:sz w:val="18"/>
                <w:szCs w:val="18"/>
                <w:lang w:eastAsia="en-GB"/>
              </w:rPr>
              <w:t>7</w:t>
            </w:r>
          </w:p>
        </w:tc>
        <w:tc>
          <w:tcPr>
            <w:cnfStyle w:val="000010000000"/>
            <w:tcW w:w="1417" w:type="dxa"/>
            <w:tcBorders>
              <w:top w:val="nil"/>
              <w:left w:val="nil"/>
              <w:bottom w:val="nil"/>
              <w:right w:val="nil"/>
            </w:tcBorders>
            <w:shd w:val="clear" w:color="auto" w:fill="4BACC6" w:themeFill="accent5"/>
            <w:noWrap/>
          </w:tcPr>
          <w:p w:rsidR="00E51139" w:rsidRPr="00607E02" w:rsidRDefault="00E51139" w:rsidP="008C7006">
            <w:pPr>
              <w:widowControl w:val="0"/>
              <w:spacing w:after="0" w:line="240" w:lineRule="auto"/>
              <w:jc w:val="center"/>
              <w:rPr>
                <w:rFonts w:cs="Arial"/>
                <w:bCs/>
                <w:color w:val="auto"/>
                <w:sz w:val="18"/>
                <w:szCs w:val="18"/>
                <w:lang w:eastAsia="en-GB"/>
              </w:rPr>
            </w:pPr>
            <w:r w:rsidRPr="00607E02">
              <w:rPr>
                <w:rFonts w:cs="Arial"/>
                <w:bCs/>
                <w:color w:val="auto"/>
                <w:sz w:val="18"/>
                <w:szCs w:val="18"/>
                <w:lang w:eastAsia="en-GB"/>
              </w:rPr>
              <w:t>Note 2</w:t>
            </w:r>
            <w:r w:rsidR="008C7006" w:rsidRPr="00607E02">
              <w:rPr>
                <w:rFonts w:cs="Arial"/>
                <w:bCs/>
                <w:color w:val="auto"/>
                <w:sz w:val="18"/>
                <w:szCs w:val="18"/>
                <w:lang w:eastAsia="en-GB"/>
              </w:rPr>
              <w:t>2</w:t>
            </w:r>
          </w:p>
        </w:tc>
        <w:tc>
          <w:tcPr>
            <w:tcW w:w="1418" w:type="dxa"/>
            <w:tcBorders>
              <w:top w:val="nil"/>
              <w:left w:val="nil"/>
              <w:bottom w:val="nil"/>
              <w:right w:val="nil"/>
            </w:tcBorders>
            <w:shd w:val="clear" w:color="auto" w:fill="4BACC6" w:themeFill="accent5"/>
            <w:noWrap/>
          </w:tcPr>
          <w:p w:rsidR="00E51139" w:rsidRPr="00607E02" w:rsidRDefault="00E51139" w:rsidP="00AB4BB2">
            <w:pPr>
              <w:widowControl w:val="0"/>
              <w:spacing w:after="0" w:line="240" w:lineRule="auto"/>
              <w:jc w:val="center"/>
              <w:cnfStyle w:val="000000000000"/>
              <w:rPr>
                <w:rFonts w:cs="Arial"/>
                <w:color w:val="auto"/>
                <w:sz w:val="18"/>
                <w:szCs w:val="18"/>
                <w:lang w:eastAsia="en-GB"/>
              </w:rPr>
            </w:pPr>
            <w:r w:rsidRPr="00607E02">
              <w:rPr>
                <w:rFonts w:cs="Arial"/>
                <w:color w:val="auto"/>
                <w:sz w:val="18"/>
                <w:szCs w:val="18"/>
                <w:lang w:eastAsia="en-GB"/>
              </w:rPr>
              <w:t xml:space="preserve">Note </w:t>
            </w:r>
            <w:r w:rsidR="00AB4BB2">
              <w:rPr>
                <w:rFonts w:cs="Arial"/>
                <w:color w:val="auto"/>
                <w:sz w:val="18"/>
                <w:szCs w:val="18"/>
                <w:lang w:eastAsia="en-GB"/>
              </w:rPr>
              <w:t>7</w:t>
            </w:r>
          </w:p>
        </w:tc>
        <w:tc>
          <w:tcPr>
            <w:cnfStyle w:val="000010000000"/>
            <w:tcW w:w="1228" w:type="dxa"/>
            <w:tcBorders>
              <w:top w:val="nil"/>
              <w:left w:val="nil"/>
              <w:bottom w:val="nil"/>
              <w:right w:val="nil"/>
            </w:tcBorders>
            <w:shd w:val="clear" w:color="auto" w:fill="4BACC6" w:themeFill="accent5"/>
            <w:noWrap/>
          </w:tcPr>
          <w:p w:rsidR="00E51139" w:rsidRPr="00607E02" w:rsidRDefault="00E51139" w:rsidP="00A220C4">
            <w:pPr>
              <w:widowControl w:val="0"/>
              <w:spacing w:after="0" w:line="240" w:lineRule="auto"/>
              <w:rPr>
                <w:rFonts w:cs="Arial"/>
                <w:b/>
                <w:bCs/>
                <w:color w:val="auto"/>
                <w:sz w:val="20"/>
                <w:szCs w:val="20"/>
                <w:lang w:eastAsia="en-GB"/>
              </w:rPr>
            </w:pPr>
          </w:p>
        </w:tc>
      </w:tr>
      <w:tr w:rsidR="00607E02" w:rsidRPr="00D42E0B" w:rsidTr="000C7FF0">
        <w:trPr>
          <w:cnfStyle w:val="000000100000"/>
          <w:trHeight w:val="385"/>
        </w:trPr>
        <w:tc>
          <w:tcPr>
            <w:cnfStyle w:val="001000000000"/>
            <w:tcW w:w="4597" w:type="dxa"/>
            <w:shd w:val="clear" w:color="auto" w:fill="auto"/>
            <w:noWrap/>
          </w:tcPr>
          <w:p w:rsidR="00607E02" w:rsidRPr="00607E02" w:rsidRDefault="00607E02" w:rsidP="00607E02">
            <w:pPr>
              <w:widowControl w:val="0"/>
              <w:spacing w:after="0" w:line="240" w:lineRule="auto"/>
              <w:rPr>
                <w:rFonts w:cs="Arial"/>
                <w:bCs w:val="0"/>
                <w:color w:val="auto"/>
                <w:sz w:val="20"/>
                <w:szCs w:val="20"/>
                <w:lang w:eastAsia="en-GB"/>
              </w:rPr>
            </w:pPr>
            <w:r w:rsidRPr="00607E02">
              <w:rPr>
                <w:rFonts w:cs="Arial"/>
                <w:bCs w:val="0"/>
                <w:color w:val="auto"/>
                <w:sz w:val="20"/>
                <w:szCs w:val="20"/>
                <w:lang w:eastAsia="en-GB"/>
              </w:rPr>
              <w:t>Balance at 31st March 2014 brought forward</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4.4</w:t>
            </w:r>
          </w:p>
        </w:tc>
        <w:tc>
          <w:tcPr>
            <w:tcW w:w="1559" w:type="dxa"/>
            <w:shd w:val="clear" w:color="auto" w:fill="auto"/>
            <w:noWrap/>
          </w:tcPr>
          <w:p w:rsidR="00607E02" w:rsidRPr="00607E02" w:rsidRDefault="00607E02" w:rsidP="00607E02">
            <w:pPr>
              <w:widowControl w:val="0"/>
              <w:spacing w:after="0" w:line="240" w:lineRule="auto"/>
              <w:jc w:val="center"/>
              <w:cnfStyle w:val="000000100000"/>
              <w:rPr>
                <w:rFonts w:cs="Arial"/>
                <w:b/>
                <w:color w:val="auto"/>
                <w:sz w:val="20"/>
                <w:szCs w:val="20"/>
                <w:lang w:eastAsia="en-GB"/>
              </w:rPr>
            </w:pPr>
            <w:r w:rsidRPr="00607E02">
              <w:rPr>
                <w:rFonts w:cs="Arial"/>
                <w:b/>
                <w:color w:val="auto"/>
                <w:sz w:val="20"/>
                <w:szCs w:val="20"/>
                <w:lang w:eastAsia="en-GB"/>
              </w:rPr>
              <w:t>34.0</w:t>
            </w: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1.8</w:t>
            </w:r>
          </w:p>
        </w:tc>
        <w:tc>
          <w:tcPr>
            <w:tcW w:w="1465" w:type="dxa"/>
            <w:shd w:val="clear" w:color="auto" w:fill="auto"/>
          </w:tcPr>
          <w:p w:rsidR="00607E02" w:rsidRPr="00607E02" w:rsidRDefault="00607E02" w:rsidP="00607E02">
            <w:pPr>
              <w:widowControl w:val="0"/>
              <w:spacing w:after="0" w:line="240" w:lineRule="auto"/>
              <w:jc w:val="center"/>
              <w:cnfStyle w:val="000000100000"/>
              <w:rPr>
                <w:rFonts w:cs="Arial"/>
                <w:b/>
                <w:bCs/>
                <w:color w:val="auto"/>
                <w:sz w:val="20"/>
                <w:szCs w:val="20"/>
                <w:lang w:eastAsia="en-GB"/>
              </w:rPr>
            </w:pPr>
            <w:r w:rsidRPr="00607E02">
              <w:rPr>
                <w:rFonts w:cs="Arial"/>
                <w:b/>
                <w:bCs/>
                <w:color w:val="auto"/>
                <w:sz w:val="20"/>
                <w:szCs w:val="20"/>
                <w:lang w:eastAsia="en-GB"/>
              </w:rPr>
              <w:t>10.4</w:t>
            </w: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50.6</w:t>
            </w:r>
          </w:p>
        </w:tc>
        <w:tc>
          <w:tcPr>
            <w:tcW w:w="1418" w:type="dxa"/>
            <w:shd w:val="clear" w:color="auto" w:fill="auto"/>
            <w:noWrap/>
          </w:tcPr>
          <w:p w:rsidR="00607E02" w:rsidRPr="00607E02" w:rsidRDefault="00607E02" w:rsidP="00607E02">
            <w:pPr>
              <w:widowControl w:val="0"/>
              <w:spacing w:after="0" w:line="240" w:lineRule="auto"/>
              <w:jc w:val="center"/>
              <w:cnfStyle w:val="000000100000"/>
              <w:rPr>
                <w:rFonts w:cs="Arial"/>
                <w:b/>
                <w:bCs/>
                <w:color w:val="auto"/>
                <w:sz w:val="20"/>
                <w:szCs w:val="20"/>
                <w:lang w:eastAsia="en-GB"/>
              </w:rPr>
            </w:pPr>
            <w:r w:rsidRPr="00607E02">
              <w:rPr>
                <w:rFonts w:cs="Arial"/>
                <w:b/>
                <w:bCs/>
                <w:color w:val="auto"/>
                <w:sz w:val="20"/>
                <w:szCs w:val="20"/>
                <w:lang w:eastAsia="en-GB"/>
              </w:rPr>
              <w:t>51.1</w:t>
            </w: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101.7</w:t>
            </w:r>
          </w:p>
        </w:tc>
      </w:tr>
      <w:tr w:rsidR="00607E02" w:rsidRPr="00D42E0B" w:rsidTr="000C7FF0">
        <w:trPr>
          <w:trHeight w:val="319"/>
        </w:trPr>
        <w:tc>
          <w:tcPr>
            <w:cnfStyle w:val="001000000000"/>
            <w:tcW w:w="4597" w:type="dxa"/>
            <w:shd w:val="clear" w:color="auto" w:fill="auto"/>
            <w:noWrap/>
          </w:tcPr>
          <w:p w:rsidR="00607E02" w:rsidRPr="00607E02" w:rsidRDefault="00607E02" w:rsidP="00607E02">
            <w:pPr>
              <w:widowControl w:val="0"/>
              <w:spacing w:after="0" w:line="240" w:lineRule="auto"/>
              <w:rPr>
                <w:rFonts w:cs="Arial"/>
                <w:bCs w:val="0"/>
                <w:color w:val="auto"/>
                <w:sz w:val="20"/>
                <w:szCs w:val="20"/>
                <w:lang w:eastAsia="en-GB"/>
              </w:rPr>
            </w:pPr>
            <w:r w:rsidRPr="00607E02">
              <w:rPr>
                <w:rFonts w:cs="Arial"/>
                <w:bCs w:val="0"/>
                <w:color w:val="auto"/>
                <w:sz w:val="20"/>
                <w:szCs w:val="20"/>
                <w:lang w:eastAsia="en-GB"/>
              </w:rPr>
              <w:t>Movement in Reserves during 2014/15</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p>
        </w:tc>
        <w:tc>
          <w:tcPr>
            <w:tcW w:w="1559" w:type="dxa"/>
            <w:shd w:val="clear" w:color="auto" w:fill="auto"/>
            <w:noWrap/>
          </w:tcPr>
          <w:p w:rsidR="00607E02" w:rsidRPr="00607E02" w:rsidRDefault="00607E02" w:rsidP="00607E02">
            <w:pPr>
              <w:widowControl w:val="0"/>
              <w:spacing w:after="0" w:line="240" w:lineRule="auto"/>
              <w:jc w:val="center"/>
              <w:cnfStyle w:val="000000000000"/>
              <w:rPr>
                <w:rFonts w:cs="Arial"/>
                <w:color w:val="auto"/>
                <w:sz w:val="20"/>
                <w:szCs w:val="20"/>
                <w:lang w:eastAsia="en-GB"/>
              </w:rPr>
            </w:pP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p>
        </w:tc>
        <w:tc>
          <w:tcPr>
            <w:tcW w:w="1465" w:type="dxa"/>
            <w:shd w:val="clear" w:color="auto" w:fill="auto"/>
          </w:tcPr>
          <w:p w:rsidR="00607E02" w:rsidRPr="00607E02" w:rsidRDefault="00607E02" w:rsidP="00607E02">
            <w:pPr>
              <w:widowControl w:val="0"/>
              <w:spacing w:after="0" w:line="240" w:lineRule="auto"/>
              <w:jc w:val="center"/>
              <w:cnfStyle w:val="000000000000"/>
              <w:rPr>
                <w:rFonts w:cs="Arial"/>
                <w:bCs/>
                <w:color w:val="auto"/>
                <w:sz w:val="20"/>
                <w:szCs w:val="20"/>
                <w:lang w:eastAsia="en-GB"/>
              </w:rPr>
            </w:pP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p>
        </w:tc>
        <w:tc>
          <w:tcPr>
            <w:tcW w:w="1418" w:type="dxa"/>
            <w:shd w:val="clear" w:color="auto" w:fill="auto"/>
            <w:noWrap/>
          </w:tcPr>
          <w:p w:rsidR="00607E02" w:rsidRPr="00607E02" w:rsidRDefault="00607E02" w:rsidP="00607E02">
            <w:pPr>
              <w:widowControl w:val="0"/>
              <w:spacing w:after="0" w:line="240" w:lineRule="auto"/>
              <w:jc w:val="center"/>
              <w:cnfStyle w:val="000000000000"/>
              <w:rPr>
                <w:rFonts w:cs="Arial"/>
                <w:color w:val="auto"/>
                <w:sz w:val="20"/>
                <w:szCs w:val="20"/>
                <w:lang w:eastAsia="en-GB"/>
              </w:rPr>
            </w:pP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p>
        </w:tc>
      </w:tr>
      <w:tr w:rsidR="00607E02" w:rsidRPr="00D42E0B" w:rsidTr="000C7FF0">
        <w:trPr>
          <w:cnfStyle w:val="000000100000"/>
          <w:trHeight w:val="319"/>
        </w:trPr>
        <w:tc>
          <w:tcPr>
            <w:cnfStyle w:val="001000000000"/>
            <w:tcW w:w="4597" w:type="dxa"/>
            <w:shd w:val="clear" w:color="auto" w:fill="auto"/>
            <w:noWrap/>
          </w:tcPr>
          <w:p w:rsidR="00607E02" w:rsidRPr="00607E02" w:rsidRDefault="00607E02" w:rsidP="00432242">
            <w:pPr>
              <w:widowControl w:val="0"/>
              <w:spacing w:after="0" w:line="240" w:lineRule="auto"/>
              <w:rPr>
                <w:rFonts w:cs="Arial"/>
                <w:b w:val="0"/>
                <w:color w:val="auto"/>
                <w:sz w:val="20"/>
                <w:szCs w:val="20"/>
                <w:lang w:eastAsia="en-GB"/>
              </w:rPr>
            </w:pPr>
            <w:r w:rsidRPr="00607E02">
              <w:rPr>
                <w:rFonts w:cs="Arial"/>
                <w:b w:val="0"/>
                <w:color w:val="auto"/>
                <w:sz w:val="20"/>
                <w:szCs w:val="20"/>
                <w:lang w:eastAsia="en-GB"/>
              </w:rPr>
              <w:t xml:space="preserve">Surplus or (deficit) on provision of services </w:t>
            </w:r>
            <w:r w:rsidR="009066C8">
              <w:rPr>
                <w:rFonts w:cs="Arial"/>
                <w:b w:val="0"/>
                <w:color w:val="auto"/>
                <w:sz w:val="20"/>
                <w:szCs w:val="20"/>
                <w:lang w:eastAsia="en-GB"/>
              </w:rPr>
              <w:t>(accounting basis)</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r w:rsidRPr="00607E02">
              <w:rPr>
                <w:rFonts w:cs="Arial"/>
                <w:color w:val="auto"/>
                <w:sz w:val="20"/>
                <w:szCs w:val="20"/>
                <w:lang w:eastAsia="en-GB"/>
              </w:rPr>
              <w:t>(17.1)</w:t>
            </w:r>
          </w:p>
        </w:tc>
        <w:tc>
          <w:tcPr>
            <w:tcW w:w="1559" w:type="dxa"/>
            <w:shd w:val="clear" w:color="auto" w:fill="auto"/>
            <w:noWrap/>
          </w:tcPr>
          <w:p w:rsidR="00607E02" w:rsidRPr="00607E02" w:rsidRDefault="00607E02" w:rsidP="00607E02">
            <w:pPr>
              <w:widowControl w:val="0"/>
              <w:spacing w:after="0" w:line="240" w:lineRule="auto"/>
              <w:jc w:val="center"/>
              <w:cnfStyle w:val="000000100000"/>
              <w:rPr>
                <w:rFonts w:cs="Arial"/>
                <w:color w:val="auto"/>
                <w:sz w:val="20"/>
                <w:szCs w:val="20"/>
                <w:lang w:eastAsia="en-GB"/>
              </w:rPr>
            </w:pPr>
            <w:r w:rsidRPr="00607E02">
              <w:rPr>
                <w:rFonts w:cs="Arial"/>
                <w:color w:val="auto"/>
                <w:sz w:val="20"/>
                <w:szCs w:val="20"/>
                <w:lang w:eastAsia="en-GB"/>
              </w:rPr>
              <w:t>-</w:t>
            </w: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r w:rsidRPr="00607E02">
              <w:rPr>
                <w:rFonts w:cs="Arial"/>
                <w:color w:val="auto"/>
                <w:sz w:val="20"/>
                <w:szCs w:val="20"/>
                <w:lang w:eastAsia="en-GB"/>
              </w:rPr>
              <w:t>-</w:t>
            </w:r>
          </w:p>
        </w:tc>
        <w:tc>
          <w:tcPr>
            <w:tcW w:w="1465" w:type="dxa"/>
            <w:shd w:val="clear" w:color="auto" w:fill="auto"/>
          </w:tcPr>
          <w:p w:rsidR="00607E02" w:rsidRPr="00607E02" w:rsidRDefault="00607E02" w:rsidP="00607E02">
            <w:pPr>
              <w:widowControl w:val="0"/>
              <w:spacing w:after="0" w:line="240" w:lineRule="auto"/>
              <w:jc w:val="center"/>
              <w:cnfStyle w:val="000000100000"/>
              <w:rPr>
                <w:rFonts w:cs="Arial"/>
                <w:bCs/>
                <w:color w:val="auto"/>
                <w:sz w:val="20"/>
                <w:szCs w:val="20"/>
                <w:lang w:eastAsia="en-GB"/>
              </w:rPr>
            </w:pPr>
            <w:r w:rsidRPr="00607E02">
              <w:rPr>
                <w:rFonts w:cs="Arial"/>
                <w:bCs/>
                <w:color w:val="auto"/>
                <w:sz w:val="20"/>
                <w:szCs w:val="20"/>
                <w:lang w:eastAsia="en-GB"/>
              </w:rPr>
              <w:t>-</w:t>
            </w: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Cs/>
                <w:color w:val="auto"/>
                <w:sz w:val="20"/>
                <w:szCs w:val="20"/>
                <w:lang w:eastAsia="en-GB"/>
              </w:rPr>
            </w:pPr>
            <w:r w:rsidRPr="00607E02">
              <w:rPr>
                <w:rFonts w:cs="Arial"/>
                <w:bCs/>
                <w:color w:val="auto"/>
                <w:sz w:val="20"/>
                <w:szCs w:val="20"/>
                <w:lang w:eastAsia="en-GB"/>
              </w:rPr>
              <w:t>(17.1)</w:t>
            </w:r>
          </w:p>
        </w:tc>
        <w:tc>
          <w:tcPr>
            <w:tcW w:w="1418" w:type="dxa"/>
            <w:shd w:val="clear" w:color="auto" w:fill="auto"/>
            <w:noWrap/>
          </w:tcPr>
          <w:p w:rsidR="00607E02" w:rsidRPr="00607E02" w:rsidRDefault="00607E02" w:rsidP="00607E02">
            <w:pPr>
              <w:widowControl w:val="0"/>
              <w:spacing w:after="0" w:line="240" w:lineRule="auto"/>
              <w:jc w:val="center"/>
              <w:cnfStyle w:val="000000100000"/>
              <w:rPr>
                <w:rFonts w:cs="Arial"/>
                <w:color w:val="auto"/>
                <w:sz w:val="20"/>
                <w:szCs w:val="20"/>
                <w:lang w:eastAsia="en-GB"/>
              </w:rPr>
            </w:pPr>
            <w:r w:rsidRPr="00607E02">
              <w:rPr>
                <w:rFonts w:cs="Arial"/>
                <w:color w:val="auto"/>
                <w:sz w:val="20"/>
                <w:szCs w:val="20"/>
                <w:lang w:eastAsia="en-GB"/>
              </w:rPr>
              <w:t>0</w:t>
            </w: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Cs/>
                <w:color w:val="auto"/>
                <w:sz w:val="20"/>
                <w:szCs w:val="20"/>
                <w:lang w:eastAsia="en-GB"/>
              </w:rPr>
            </w:pPr>
            <w:r w:rsidRPr="00607E02">
              <w:rPr>
                <w:rFonts w:cs="Arial"/>
                <w:bCs/>
                <w:color w:val="auto"/>
                <w:sz w:val="20"/>
                <w:szCs w:val="20"/>
                <w:lang w:eastAsia="en-GB"/>
              </w:rPr>
              <w:t>(17.1)</w:t>
            </w:r>
          </w:p>
        </w:tc>
      </w:tr>
      <w:tr w:rsidR="00607E02" w:rsidRPr="00D42E0B" w:rsidTr="000C7FF0">
        <w:trPr>
          <w:trHeight w:val="246"/>
        </w:trPr>
        <w:tc>
          <w:tcPr>
            <w:cnfStyle w:val="001000000000"/>
            <w:tcW w:w="4597" w:type="dxa"/>
            <w:shd w:val="clear" w:color="auto" w:fill="auto"/>
            <w:noWrap/>
          </w:tcPr>
          <w:p w:rsidR="00607E02" w:rsidRPr="00607E02" w:rsidRDefault="00607E02" w:rsidP="00432242">
            <w:pPr>
              <w:widowControl w:val="0"/>
              <w:spacing w:after="0" w:line="240" w:lineRule="auto"/>
              <w:rPr>
                <w:rFonts w:cs="Arial"/>
                <w:b w:val="0"/>
                <w:color w:val="auto"/>
                <w:sz w:val="20"/>
                <w:szCs w:val="20"/>
                <w:lang w:eastAsia="en-GB"/>
              </w:rPr>
            </w:pPr>
            <w:r w:rsidRPr="00607E02">
              <w:rPr>
                <w:rFonts w:cs="Arial"/>
                <w:b w:val="0"/>
                <w:color w:val="auto"/>
                <w:sz w:val="20"/>
                <w:szCs w:val="20"/>
                <w:lang w:eastAsia="en-GB"/>
              </w:rPr>
              <w:t>Other Comprehensive Expenditure and Income</w:t>
            </w:r>
          </w:p>
          <w:p w:rsidR="00607E02" w:rsidRPr="00607E02" w:rsidRDefault="00607E02" w:rsidP="000D3AFB">
            <w:pPr>
              <w:widowControl w:val="0"/>
              <w:spacing w:after="0" w:line="240" w:lineRule="auto"/>
              <w:rPr>
                <w:rFonts w:cs="Arial"/>
                <w:b w:val="0"/>
                <w:color w:val="auto"/>
                <w:sz w:val="20"/>
                <w:szCs w:val="20"/>
                <w:lang w:eastAsia="en-GB"/>
              </w:rPr>
            </w:pPr>
            <w:r w:rsidRPr="00607E02">
              <w:rPr>
                <w:rFonts w:cs="Arial"/>
                <w:b w:val="0"/>
                <w:color w:val="auto"/>
                <w:sz w:val="20"/>
                <w:szCs w:val="20"/>
                <w:lang w:eastAsia="en-GB"/>
              </w:rPr>
              <w:t>(see C I&amp;E Statement)</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r w:rsidRPr="00607E02">
              <w:rPr>
                <w:rFonts w:cs="Arial"/>
                <w:color w:val="auto"/>
                <w:sz w:val="20"/>
                <w:szCs w:val="20"/>
                <w:lang w:eastAsia="en-GB"/>
              </w:rPr>
              <w:t>-</w:t>
            </w:r>
          </w:p>
        </w:tc>
        <w:tc>
          <w:tcPr>
            <w:tcW w:w="1559" w:type="dxa"/>
            <w:shd w:val="clear" w:color="auto" w:fill="auto"/>
            <w:noWrap/>
          </w:tcPr>
          <w:p w:rsidR="00607E02" w:rsidRPr="00607E02" w:rsidRDefault="00607E02" w:rsidP="00607E02">
            <w:pPr>
              <w:widowControl w:val="0"/>
              <w:spacing w:after="0" w:line="240" w:lineRule="auto"/>
              <w:jc w:val="center"/>
              <w:cnfStyle w:val="000000000000"/>
              <w:rPr>
                <w:rFonts w:cs="Arial"/>
                <w:color w:val="auto"/>
                <w:sz w:val="20"/>
                <w:szCs w:val="20"/>
                <w:lang w:eastAsia="en-GB"/>
              </w:rPr>
            </w:pPr>
            <w:r w:rsidRPr="00607E02">
              <w:rPr>
                <w:rFonts w:cs="Arial"/>
                <w:color w:val="auto"/>
                <w:sz w:val="20"/>
                <w:szCs w:val="20"/>
                <w:lang w:eastAsia="en-GB"/>
              </w:rPr>
              <w:t>-</w:t>
            </w: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r w:rsidRPr="00607E02">
              <w:rPr>
                <w:rFonts w:cs="Arial"/>
                <w:color w:val="auto"/>
                <w:sz w:val="20"/>
                <w:szCs w:val="20"/>
                <w:lang w:eastAsia="en-GB"/>
              </w:rPr>
              <w:t>-</w:t>
            </w:r>
          </w:p>
        </w:tc>
        <w:tc>
          <w:tcPr>
            <w:tcW w:w="1465" w:type="dxa"/>
            <w:shd w:val="clear" w:color="auto" w:fill="auto"/>
          </w:tcPr>
          <w:p w:rsidR="00607E02" w:rsidRPr="00607E02" w:rsidRDefault="00607E02" w:rsidP="00607E02">
            <w:pPr>
              <w:widowControl w:val="0"/>
              <w:spacing w:after="0" w:line="240" w:lineRule="auto"/>
              <w:jc w:val="center"/>
              <w:cnfStyle w:val="000000000000"/>
              <w:rPr>
                <w:rFonts w:cs="Arial"/>
                <w:bCs/>
                <w:color w:val="auto"/>
                <w:sz w:val="20"/>
                <w:szCs w:val="20"/>
                <w:lang w:eastAsia="en-GB"/>
              </w:rPr>
            </w:pPr>
            <w:r w:rsidRPr="00607E02">
              <w:rPr>
                <w:rFonts w:cs="Arial"/>
                <w:bCs/>
                <w:color w:val="auto"/>
                <w:sz w:val="20"/>
                <w:szCs w:val="20"/>
                <w:lang w:eastAsia="en-GB"/>
              </w:rPr>
              <w:t>-</w:t>
            </w: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Cs/>
                <w:color w:val="auto"/>
                <w:sz w:val="20"/>
                <w:szCs w:val="20"/>
                <w:lang w:eastAsia="en-GB"/>
              </w:rPr>
            </w:pPr>
            <w:r w:rsidRPr="00607E02">
              <w:rPr>
                <w:rFonts w:cs="Arial"/>
                <w:bCs/>
                <w:color w:val="auto"/>
                <w:sz w:val="20"/>
                <w:szCs w:val="20"/>
                <w:lang w:eastAsia="en-GB"/>
              </w:rPr>
              <w:t>-</w:t>
            </w:r>
          </w:p>
        </w:tc>
        <w:tc>
          <w:tcPr>
            <w:tcW w:w="1418" w:type="dxa"/>
            <w:shd w:val="clear" w:color="auto" w:fill="auto"/>
            <w:noWrap/>
          </w:tcPr>
          <w:p w:rsidR="00607E02" w:rsidRPr="00607E02" w:rsidRDefault="00607E02" w:rsidP="00607E02">
            <w:pPr>
              <w:widowControl w:val="0"/>
              <w:spacing w:after="0" w:line="240" w:lineRule="auto"/>
              <w:jc w:val="center"/>
              <w:cnfStyle w:val="000000000000"/>
              <w:rPr>
                <w:rFonts w:cs="Arial"/>
                <w:color w:val="auto"/>
                <w:sz w:val="20"/>
                <w:szCs w:val="20"/>
                <w:lang w:eastAsia="en-GB"/>
              </w:rPr>
            </w:pPr>
            <w:r w:rsidRPr="00607E02">
              <w:rPr>
                <w:rFonts w:cs="Arial"/>
                <w:color w:val="auto"/>
                <w:sz w:val="20"/>
                <w:szCs w:val="20"/>
                <w:lang w:eastAsia="en-GB"/>
              </w:rPr>
              <w:t>(42.0)</w:t>
            </w: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Cs/>
                <w:color w:val="auto"/>
                <w:sz w:val="20"/>
                <w:szCs w:val="20"/>
                <w:lang w:eastAsia="en-GB"/>
              </w:rPr>
            </w:pPr>
            <w:r w:rsidRPr="00607E02">
              <w:rPr>
                <w:rFonts w:cs="Arial"/>
                <w:bCs/>
                <w:color w:val="auto"/>
                <w:sz w:val="20"/>
                <w:szCs w:val="20"/>
                <w:lang w:eastAsia="en-GB"/>
              </w:rPr>
              <w:t>(42.0)</w:t>
            </w:r>
          </w:p>
        </w:tc>
      </w:tr>
      <w:tr w:rsidR="00607E02" w:rsidRPr="00D42E0B" w:rsidTr="000C7FF0">
        <w:trPr>
          <w:cnfStyle w:val="000000100000"/>
          <w:trHeight w:val="246"/>
        </w:trPr>
        <w:tc>
          <w:tcPr>
            <w:cnfStyle w:val="001000000000"/>
            <w:tcW w:w="4597" w:type="dxa"/>
            <w:shd w:val="clear" w:color="auto" w:fill="auto"/>
            <w:noWrap/>
          </w:tcPr>
          <w:p w:rsidR="00607E02" w:rsidRPr="00607E02" w:rsidRDefault="00607E02" w:rsidP="00432242">
            <w:pPr>
              <w:widowControl w:val="0"/>
              <w:spacing w:after="0" w:line="240" w:lineRule="auto"/>
              <w:rPr>
                <w:rFonts w:cs="Arial"/>
                <w:bCs w:val="0"/>
                <w:color w:val="auto"/>
                <w:sz w:val="20"/>
                <w:szCs w:val="20"/>
                <w:lang w:eastAsia="en-GB"/>
              </w:rPr>
            </w:pPr>
            <w:r w:rsidRPr="00607E02">
              <w:rPr>
                <w:rFonts w:cs="Arial"/>
                <w:bCs w:val="0"/>
                <w:color w:val="auto"/>
                <w:sz w:val="20"/>
                <w:szCs w:val="20"/>
                <w:lang w:eastAsia="en-GB"/>
              </w:rPr>
              <w:t>Total Comprehensive Expenditure and Income</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(17.1)</w:t>
            </w:r>
          </w:p>
        </w:tc>
        <w:tc>
          <w:tcPr>
            <w:tcW w:w="1559" w:type="dxa"/>
            <w:shd w:val="clear" w:color="auto" w:fill="auto"/>
            <w:noWrap/>
          </w:tcPr>
          <w:p w:rsidR="00607E02" w:rsidRPr="00607E02" w:rsidRDefault="00607E02" w:rsidP="00607E02">
            <w:pPr>
              <w:widowControl w:val="0"/>
              <w:spacing w:after="0" w:line="240" w:lineRule="auto"/>
              <w:jc w:val="center"/>
              <w:cnfStyle w:val="000000100000"/>
              <w:rPr>
                <w:rFonts w:cs="Arial"/>
                <w:b/>
                <w:color w:val="auto"/>
                <w:sz w:val="20"/>
                <w:szCs w:val="20"/>
                <w:lang w:eastAsia="en-GB"/>
              </w:rPr>
            </w:pPr>
            <w:r w:rsidRPr="00607E02">
              <w:rPr>
                <w:rFonts w:cs="Arial"/>
                <w:b/>
                <w:color w:val="auto"/>
                <w:sz w:val="20"/>
                <w:szCs w:val="20"/>
                <w:lang w:eastAsia="en-GB"/>
              </w:rPr>
              <w:t>-</w:t>
            </w: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w:t>
            </w:r>
          </w:p>
        </w:tc>
        <w:tc>
          <w:tcPr>
            <w:tcW w:w="1465" w:type="dxa"/>
            <w:shd w:val="clear" w:color="auto" w:fill="auto"/>
          </w:tcPr>
          <w:p w:rsidR="00607E02" w:rsidRPr="00607E02" w:rsidRDefault="00607E02" w:rsidP="00607E02">
            <w:pPr>
              <w:widowControl w:val="0"/>
              <w:spacing w:after="0" w:line="240" w:lineRule="auto"/>
              <w:jc w:val="center"/>
              <w:cnfStyle w:val="000000100000"/>
              <w:rPr>
                <w:rFonts w:cs="Arial"/>
                <w:b/>
                <w:bCs/>
                <w:color w:val="auto"/>
                <w:sz w:val="20"/>
                <w:szCs w:val="20"/>
                <w:lang w:eastAsia="en-GB"/>
              </w:rPr>
            </w:pPr>
            <w:r w:rsidRPr="00607E02">
              <w:rPr>
                <w:rFonts w:cs="Arial"/>
                <w:b/>
                <w:bCs/>
                <w:color w:val="auto"/>
                <w:sz w:val="20"/>
                <w:szCs w:val="20"/>
                <w:lang w:eastAsia="en-GB"/>
              </w:rPr>
              <w:t>-</w:t>
            </w: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(17.1)</w:t>
            </w:r>
          </w:p>
        </w:tc>
        <w:tc>
          <w:tcPr>
            <w:tcW w:w="1418" w:type="dxa"/>
            <w:shd w:val="clear" w:color="auto" w:fill="auto"/>
            <w:noWrap/>
          </w:tcPr>
          <w:p w:rsidR="00607E02" w:rsidRPr="00607E02" w:rsidRDefault="00607E02" w:rsidP="00607E02">
            <w:pPr>
              <w:widowControl w:val="0"/>
              <w:spacing w:after="0" w:line="240" w:lineRule="auto"/>
              <w:jc w:val="center"/>
              <w:cnfStyle w:val="000000100000"/>
              <w:rPr>
                <w:rFonts w:cs="Arial"/>
                <w:b/>
                <w:bCs/>
                <w:color w:val="auto"/>
                <w:sz w:val="20"/>
                <w:szCs w:val="20"/>
                <w:lang w:eastAsia="en-GB"/>
              </w:rPr>
            </w:pPr>
            <w:r w:rsidRPr="00607E02">
              <w:rPr>
                <w:rFonts w:cs="Arial"/>
                <w:b/>
                <w:bCs/>
                <w:color w:val="auto"/>
                <w:sz w:val="20"/>
                <w:szCs w:val="20"/>
                <w:lang w:eastAsia="en-GB"/>
              </w:rPr>
              <w:t>(42.0)</w:t>
            </w: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(59.1)</w:t>
            </w:r>
          </w:p>
        </w:tc>
      </w:tr>
      <w:tr w:rsidR="00607E02" w:rsidRPr="00D42E0B" w:rsidTr="000C7FF0">
        <w:trPr>
          <w:trHeight w:val="246"/>
        </w:trPr>
        <w:tc>
          <w:tcPr>
            <w:cnfStyle w:val="001000000000"/>
            <w:tcW w:w="4597" w:type="dxa"/>
            <w:shd w:val="clear" w:color="auto" w:fill="auto"/>
            <w:noWrap/>
          </w:tcPr>
          <w:p w:rsidR="00607E02" w:rsidRPr="00607E02" w:rsidRDefault="00607E02" w:rsidP="00432242">
            <w:pPr>
              <w:widowControl w:val="0"/>
              <w:spacing w:after="0" w:line="240" w:lineRule="auto"/>
              <w:rPr>
                <w:rFonts w:cs="Arial"/>
                <w:b w:val="0"/>
                <w:color w:val="auto"/>
                <w:sz w:val="20"/>
                <w:szCs w:val="20"/>
                <w:lang w:eastAsia="en-GB"/>
              </w:rPr>
            </w:pPr>
            <w:r w:rsidRPr="00607E02">
              <w:rPr>
                <w:rFonts w:cs="Arial"/>
                <w:b w:val="0"/>
                <w:color w:val="auto"/>
                <w:sz w:val="20"/>
                <w:szCs w:val="20"/>
                <w:lang w:eastAsia="en-GB"/>
              </w:rPr>
              <w:t>Adjustments between accounting basis &amp; funding basis under regulations (Note 7)</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r w:rsidRPr="00607E02">
              <w:rPr>
                <w:rFonts w:cs="Arial"/>
                <w:color w:val="auto"/>
                <w:sz w:val="20"/>
                <w:szCs w:val="20"/>
                <w:lang w:eastAsia="en-GB"/>
              </w:rPr>
              <w:t>14.0</w:t>
            </w:r>
          </w:p>
        </w:tc>
        <w:tc>
          <w:tcPr>
            <w:tcW w:w="1559" w:type="dxa"/>
            <w:shd w:val="clear" w:color="auto" w:fill="auto"/>
            <w:noWrap/>
          </w:tcPr>
          <w:p w:rsidR="00607E02" w:rsidRPr="00607E02" w:rsidRDefault="00607E02" w:rsidP="00607E02">
            <w:pPr>
              <w:widowControl w:val="0"/>
              <w:spacing w:after="0" w:line="240" w:lineRule="auto"/>
              <w:jc w:val="center"/>
              <w:cnfStyle w:val="000000000000"/>
              <w:rPr>
                <w:rFonts w:cs="Arial"/>
                <w:color w:val="auto"/>
                <w:sz w:val="20"/>
                <w:szCs w:val="20"/>
                <w:lang w:eastAsia="en-GB"/>
              </w:rPr>
            </w:pPr>
            <w:r w:rsidRPr="00607E02">
              <w:rPr>
                <w:rFonts w:cs="Arial"/>
                <w:color w:val="auto"/>
                <w:sz w:val="20"/>
                <w:szCs w:val="20"/>
                <w:lang w:eastAsia="en-GB"/>
              </w:rPr>
              <w:t>-</w:t>
            </w: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r w:rsidRPr="00607E02">
              <w:rPr>
                <w:rFonts w:cs="Arial"/>
                <w:color w:val="auto"/>
                <w:sz w:val="20"/>
                <w:szCs w:val="20"/>
                <w:lang w:eastAsia="en-GB"/>
              </w:rPr>
              <w:t>1.6</w:t>
            </w:r>
          </w:p>
        </w:tc>
        <w:tc>
          <w:tcPr>
            <w:tcW w:w="1465" w:type="dxa"/>
            <w:shd w:val="clear" w:color="auto" w:fill="auto"/>
          </w:tcPr>
          <w:p w:rsidR="00607E02" w:rsidRPr="00607E02" w:rsidRDefault="00607E02" w:rsidP="00607E02">
            <w:pPr>
              <w:widowControl w:val="0"/>
              <w:spacing w:after="0" w:line="240" w:lineRule="auto"/>
              <w:jc w:val="center"/>
              <w:cnfStyle w:val="000000000000"/>
              <w:rPr>
                <w:rFonts w:cs="Arial"/>
                <w:bCs/>
                <w:color w:val="auto"/>
                <w:sz w:val="20"/>
                <w:szCs w:val="20"/>
                <w:lang w:eastAsia="en-GB"/>
              </w:rPr>
            </w:pPr>
            <w:r w:rsidRPr="00607E02">
              <w:rPr>
                <w:rFonts w:cs="Arial"/>
                <w:bCs/>
                <w:color w:val="auto"/>
                <w:sz w:val="20"/>
                <w:szCs w:val="20"/>
                <w:lang w:eastAsia="en-GB"/>
              </w:rPr>
              <w:t>(5.2)</w:t>
            </w: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Cs/>
                <w:color w:val="auto"/>
                <w:sz w:val="20"/>
                <w:szCs w:val="20"/>
                <w:lang w:eastAsia="en-GB"/>
              </w:rPr>
            </w:pPr>
            <w:r w:rsidRPr="00607E02">
              <w:rPr>
                <w:rFonts w:cs="Arial"/>
                <w:bCs/>
                <w:color w:val="auto"/>
                <w:sz w:val="20"/>
                <w:szCs w:val="20"/>
                <w:lang w:eastAsia="en-GB"/>
              </w:rPr>
              <w:t>10.4</w:t>
            </w:r>
          </w:p>
        </w:tc>
        <w:tc>
          <w:tcPr>
            <w:tcW w:w="1418" w:type="dxa"/>
            <w:shd w:val="clear" w:color="auto" w:fill="auto"/>
            <w:noWrap/>
          </w:tcPr>
          <w:p w:rsidR="00607E02" w:rsidRPr="00607E02" w:rsidRDefault="00607E02" w:rsidP="00607E02">
            <w:pPr>
              <w:widowControl w:val="0"/>
              <w:spacing w:after="0" w:line="240" w:lineRule="auto"/>
              <w:jc w:val="center"/>
              <w:cnfStyle w:val="000000000000"/>
              <w:rPr>
                <w:rFonts w:cs="Arial"/>
                <w:color w:val="auto"/>
                <w:sz w:val="20"/>
                <w:szCs w:val="20"/>
                <w:lang w:eastAsia="en-GB"/>
              </w:rPr>
            </w:pPr>
            <w:r w:rsidRPr="00607E02">
              <w:rPr>
                <w:rFonts w:cs="Arial"/>
                <w:color w:val="auto"/>
                <w:sz w:val="20"/>
                <w:szCs w:val="20"/>
                <w:lang w:eastAsia="en-GB"/>
              </w:rPr>
              <w:t>(10.4)</w:t>
            </w: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Cs/>
                <w:color w:val="auto"/>
                <w:sz w:val="20"/>
                <w:szCs w:val="20"/>
                <w:lang w:eastAsia="en-GB"/>
              </w:rPr>
            </w:pPr>
            <w:r w:rsidRPr="00607E02">
              <w:rPr>
                <w:rFonts w:cs="Arial"/>
                <w:bCs/>
                <w:color w:val="auto"/>
                <w:sz w:val="20"/>
                <w:szCs w:val="20"/>
                <w:lang w:eastAsia="en-GB"/>
              </w:rPr>
              <w:t>0</w:t>
            </w:r>
          </w:p>
        </w:tc>
      </w:tr>
      <w:tr w:rsidR="00607E02" w:rsidRPr="00D42E0B" w:rsidTr="000C7FF0">
        <w:trPr>
          <w:cnfStyle w:val="000000100000"/>
          <w:trHeight w:val="246"/>
        </w:trPr>
        <w:tc>
          <w:tcPr>
            <w:cnfStyle w:val="001000000000"/>
            <w:tcW w:w="4597" w:type="dxa"/>
            <w:shd w:val="clear" w:color="auto" w:fill="auto"/>
            <w:noWrap/>
          </w:tcPr>
          <w:p w:rsidR="00607E02" w:rsidRPr="00607E02" w:rsidRDefault="00607E02" w:rsidP="00432242">
            <w:pPr>
              <w:widowControl w:val="0"/>
              <w:spacing w:after="0" w:line="240" w:lineRule="auto"/>
              <w:rPr>
                <w:rFonts w:cs="Arial"/>
                <w:bCs w:val="0"/>
                <w:color w:val="auto"/>
                <w:sz w:val="20"/>
                <w:szCs w:val="20"/>
                <w:lang w:eastAsia="en-GB"/>
              </w:rPr>
            </w:pPr>
            <w:r w:rsidRPr="00607E02">
              <w:rPr>
                <w:rFonts w:cs="Arial"/>
                <w:bCs w:val="0"/>
                <w:color w:val="auto"/>
                <w:sz w:val="20"/>
                <w:szCs w:val="20"/>
                <w:lang w:eastAsia="en-GB"/>
              </w:rPr>
              <w:t>Net Increase/Decrease before Transfers to Earmarked Reserves</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(3.1)</w:t>
            </w:r>
          </w:p>
        </w:tc>
        <w:tc>
          <w:tcPr>
            <w:tcW w:w="1559" w:type="dxa"/>
            <w:shd w:val="clear" w:color="auto" w:fill="auto"/>
            <w:noWrap/>
          </w:tcPr>
          <w:p w:rsidR="00607E02" w:rsidRPr="00607E02" w:rsidRDefault="00607E02" w:rsidP="00607E02">
            <w:pPr>
              <w:widowControl w:val="0"/>
              <w:spacing w:after="0" w:line="240" w:lineRule="auto"/>
              <w:jc w:val="center"/>
              <w:cnfStyle w:val="000000100000"/>
              <w:rPr>
                <w:rFonts w:cs="Arial"/>
                <w:b/>
                <w:bCs/>
                <w:color w:val="auto"/>
                <w:sz w:val="20"/>
                <w:szCs w:val="20"/>
                <w:lang w:eastAsia="en-GB"/>
              </w:rPr>
            </w:pPr>
            <w:r w:rsidRPr="00607E02">
              <w:rPr>
                <w:rFonts w:cs="Arial"/>
                <w:b/>
                <w:bCs/>
                <w:color w:val="auto"/>
                <w:sz w:val="20"/>
                <w:szCs w:val="20"/>
                <w:lang w:eastAsia="en-GB"/>
              </w:rPr>
              <w:t>-</w:t>
            </w: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1.6</w:t>
            </w:r>
          </w:p>
        </w:tc>
        <w:tc>
          <w:tcPr>
            <w:tcW w:w="1465" w:type="dxa"/>
            <w:shd w:val="clear" w:color="auto" w:fill="auto"/>
          </w:tcPr>
          <w:p w:rsidR="00607E02" w:rsidRPr="00607E02" w:rsidRDefault="00607E02" w:rsidP="00607E02">
            <w:pPr>
              <w:widowControl w:val="0"/>
              <w:spacing w:after="0" w:line="240" w:lineRule="auto"/>
              <w:jc w:val="center"/>
              <w:cnfStyle w:val="000000100000"/>
              <w:rPr>
                <w:rFonts w:cs="Arial"/>
                <w:b/>
                <w:bCs/>
                <w:color w:val="auto"/>
                <w:sz w:val="20"/>
                <w:szCs w:val="20"/>
                <w:lang w:eastAsia="en-GB"/>
              </w:rPr>
            </w:pPr>
            <w:r w:rsidRPr="00607E02">
              <w:rPr>
                <w:rFonts w:cs="Arial"/>
                <w:b/>
                <w:bCs/>
                <w:color w:val="auto"/>
                <w:sz w:val="20"/>
                <w:szCs w:val="20"/>
                <w:lang w:eastAsia="en-GB"/>
              </w:rPr>
              <w:t>(5.2)</w:t>
            </w: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(6.7)</w:t>
            </w:r>
          </w:p>
        </w:tc>
        <w:tc>
          <w:tcPr>
            <w:tcW w:w="1418" w:type="dxa"/>
            <w:shd w:val="clear" w:color="auto" w:fill="auto"/>
            <w:noWrap/>
          </w:tcPr>
          <w:p w:rsidR="00607E02" w:rsidRPr="00607E02" w:rsidRDefault="00607E02" w:rsidP="00607E02">
            <w:pPr>
              <w:widowControl w:val="0"/>
              <w:spacing w:after="0" w:line="240" w:lineRule="auto"/>
              <w:jc w:val="center"/>
              <w:cnfStyle w:val="000000100000"/>
              <w:rPr>
                <w:rFonts w:cs="Arial"/>
                <w:b/>
                <w:bCs/>
                <w:color w:val="auto"/>
                <w:sz w:val="20"/>
                <w:szCs w:val="20"/>
                <w:lang w:eastAsia="en-GB"/>
              </w:rPr>
            </w:pPr>
            <w:r w:rsidRPr="00607E02">
              <w:rPr>
                <w:rFonts w:cs="Arial"/>
                <w:b/>
                <w:bCs/>
                <w:color w:val="auto"/>
                <w:sz w:val="20"/>
                <w:szCs w:val="20"/>
                <w:lang w:eastAsia="en-GB"/>
              </w:rPr>
              <w:t>(52.4)</w:t>
            </w: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(59.1)</w:t>
            </w:r>
          </w:p>
        </w:tc>
      </w:tr>
      <w:tr w:rsidR="00607E02" w:rsidRPr="00D42E0B" w:rsidTr="000C7FF0">
        <w:trPr>
          <w:trHeight w:val="246"/>
        </w:trPr>
        <w:tc>
          <w:tcPr>
            <w:cnfStyle w:val="001000000000"/>
            <w:tcW w:w="4597" w:type="dxa"/>
            <w:shd w:val="clear" w:color="auto" w:fill="auto"/>
            <w:noWrap/>
          </w:tcPr>
          <w:p w:rsidR="00607E02" w:rsidRPr="00607E02" w:rsidRDefault="00607E02" w:rsidP="00432242">
            <w:pPr>
              <w:widowControl w:val="0"/>
              <w:spacing w:after="0" w:line="240" w:lineRule="auto"/>
              <w:rPr>
                <w:rFonts w:cs="Arial"/>
                <w:b w:val="0"/>
                <w:color w:val="auto"/>
                <w:sz w:val="20"/>
                <w:szCs w:val="20"/>
                <w:lang w:eastAsia="en-GB"/>
              </w:rPr>
            </w:pPr>
            <w:r w:rsidRPr="00607E02">
              <w:rPr>
                <w:rFonts w:cs="Arial"/>
                <w:b w:val="0"/>
                <w:color w:val="auto"/>
                <w:sz w:val="20"/>
                <w:szCs w:val="20"/>
                <w:lang w:eastAsia="en-GB"/>
              </w:rPr>
              <w:t>Transfers to/from Earmarked Reserves (Note 8)</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r w:rsidRPr="00607E02">
              <w:rPr>
                <w:rFonts w:cs="Arial"/>
                <w:color w:val="auto"/>
                <w:sz w:val="20"/>
                <w:szCs w:val="20"/>
                <w:lang w:eastAsia="en-GB"/>
              </w:rPr>
              <w:t>3.1</w:t>
            </w:r>
          </w:p>
        </w:tc>
        <w:tc>
          <w:tcPr>
            <w:tcW w:w="1559" w:type="dxa"/>
            <w:shd w:val="clear" w:color="auto" w:fill="auto"/>
            <w:noWrap/>
          </w:tcPr>
          <w:p w:rsidR="00607E02" w:rsidRPr="00607E02" w:rsidRDefault="00607E02" w:rsidP="00607E02">
            <w:pPr>
              <w:widowControl w:val="0"/>
              <w:spacing w:after="0" w:line="240" w:lineRule="auto"/>
              <w:jc w:val="center"/>
              <w:cnfStyle w:val="000000000000"/>
              <w:rPr>
                <w:rFonts w:cs="Arial"/>
                <w:color w:val="auto"/>
                <w:sz w:val="20"/>
                <w:szCs w:val="20"/>
                <w:lang w:eastAsia="en-GB"/>
              </w:rPr>
            </w:pPr>
            <w:r w:rsidRPr="00607E02">
              <w:rPr>
                <w:rFonts w:cs="Arial"/>
                <w:color w:val="auto"/>
                <w:sz w:val="20"/>
                <w:szCs w:val="20"/>
                <w:lang w:eastAsia="en-GB"/>
              </w:rPr>
              <w:t>(3.1)</w:t>
            </w: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color w:val="auto"/>
                <w:sz w:val="20"/>
                <w:szCs w:val="20"/>
                <w:lang w:eastAsia="en-GB"/>
              </w:rPr>
            </w:pPr>
            <w:r w:rsidRPr="00607E02">
              <w:rPr>
                <w:rFonts w:cs="Arial"/>
                <w:color w:val="auto"/>
                <w:sz w:val="20"/>
                <w:szCs w:val="20"/>
                <w:lang w:eastAsia="en-GB"/>
              </w:rPr>
              <w:t>-</w:t>
            </w:r>
          </w:p>
        </w:tc>
        <w:tc>
          <w:tcPr>
            <w:tcW w:w="1465" w:type="dxa"/>
            <w:shd w:val="clear" w:color="auto" w:fill="auto"/>
          </w:tcPr>
          <w:p w:rsidR="00607E02" w:rsidRPr="00607E02" w:rsidRDefault="00607E02" w:rsidP="00607E02">
            <w:pPr>
              <w:widowControl w:val="0"/>
              <w:spacing w:after="0" w:line="240" w:lineRule="auto"/>
              <w:jc w:val="center"/>
              <w:cnfStyle w:val="000000000000"/>
              <w:rPr>
                <w:rFonts w:cs="Arial"/>
                <w:bCs/>
                <w:color w:val="auto"/>
                <w:sz w:val="20"/>
                <w:szCs w:val="20"/>
                <w:lang w:eastAsia="en-GB"/>
              </w:rPr>
            </w:pPr>
            <w:r w:rsidRPr="00607E02">
              <w:rPr>
                <w:rFonts w:cs="Arial"/>
                <w:bCs/>
                <w:color w:val="auto"/>
                <w:sz w:val="20"/>
                <w:szCs w:val="20"/>
                <w:lang w:eastAsia="en-GB"/>
              </w:rPr>
              <w:t>-</w:t>
            </w: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Cs/>
                <w:color w:val="auto"/>
                <w:sz w:val="20"/>
                <w:szCs w:val="20"/>
                <w:lang w:eastAsia="en-GB"/>
              </w:rPr>
            </w:pPr>
            <w:r w:rsidRPr="00607E02">
              <w:rPr>
                <w:rFonts w:cs="Arial"/>
                <w:bCs/>
                <w:color w:val="auto"/>
                <w:sz w:val="20"/>
                <w:szCs w:val="20"/>
                <w:lang w:eastAsia="en-GB"/>
              </w:rPr>
              <w:t>0</w:t>
            </w:r>
          </w:p>
        </w:tc>
        <w:tc>
          <w:tcPr>
            <w:tcW w:w="1418" w:type="dxa"/>
            <w:shd w:val="clear" w:color="auto" w:fill="auto"/>
            <w:noWrap/>
          </w:tcPr>
          <w:p w:rsidR="00607E02" w:rsidRPr="00607E02" w:rsidRDefault="00607E02" w:rsidP="00607E02">
            <w:pPr>
              <w:widowControl w:val="0"/>
              <w:spacing w:after="0" w:line="240" w:lineRule="auto"/>
              <w:jc w:val="center"/>
              <w:cnfStyle w:val="000000000000"/>
              <w:rPr>
                <w:rFonts w:cs="Arial"/>
                <w:color w:val="auto"/>
                <w:sz w:val="20"/>
                <w:szCs w:val="20"/>
                <w:lang w:eastAsia="en-GB"/>
              </w:rPr>
            </w:pPr>
            <w:r w:rsidRPr="00607E02">
              <w:rPr>
                <w:rFonts w:cs="Arial"/>
                <w:color w:val="auto"/>
                <w:sz w:val="20"/>
                <w:szCs w:val="20"/>
                <w:lang w:eastAsia="en-GB"/>
              </w:rPr>
              <w:t>0</w:t>
            </w: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Cs/>
                <w:color w:val="auto"/>
                <w:sz w:val="20"/>
                <w:szCs w:val="20"/>
                <w:lang w:eastAsia="en-GB"/>
              </w:rPr>
            </w:pPr>
            <w:r w:rsidRPr="00607E02">
              <w:rPr>
                <w:rFonts w:cs="Arial"/>
                <w:bCs/>
                <w:color w:val="auto"/>
                <w:sz w:val="20"/>
                <w:szCs w:val="20"/>
                <w:lang w:eastAsia="en-GB"/>
              </w:rPr>
              <w:t>0</w:t>
            </w:r>
          </w:p>
        </w:tc>
      </w:tr>
      <w:tr w:rsidR="00607E02" w:rsidRPr="00D42E0B" w:rsidTr="000C7FF0">
        <w:trPr>
          <w:cnfStyle w:val="000000100000"/>
          <w:trHeight w:val="380"/>
        </w:trPr>
        <w:tc>
          <w:tcPr>
            <w:cnfStyle w:val="001000000000"/>
            <w:tcW w:w="4597" w:type="dxa"/>
            <w:shd w:val="clear" w:color="auto" w:fill="auto"/>
            <w:noWrap/>
          </w:tcPr>
          <w:p w:rsidR="00607E02" w:rsidRPr="00607E02" w:rsidRDefault="00607E02" w:rsidP="003C5E34">
            <w:pPr>
              <w:widowControl w:val="0"/>
              <w:spacing w:after="0" w:line="240" w:lineRule="auto"/>
              <w:rPr>
                <w:rFonts w:cs="Arial"/>
                <w:bCs w:val="0"/>
                <w:color w:val="auto"/>
                <w:sz w:val="20"/>
                <w:szCs w:val="20"/>
                <w:lang w:eastAsia="en-GB"/>
              </w:rPr>
            </w:pPr>
            <w:r w:rsidRPr="00607E02">
              <w:rPr>
                <w:rFonts w:cs="Arial"/>
                <w:bCs w:val="0"/>
                <w:color w:val="auto"/>
                <w:sz w:val="20"/>
                <w:szCs w:val="20"/>
                <w:lang w:eastAsia="en-GB"/>
              </w:rPr>
              <w:t>Increase/(Decrease) in Year</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0</w:t>
            </w:r>
          </w:p>
        </w:tc>
        <w:tc>
          <w:tcPr>
            <w:tcW w:w="1559" w:type="dxa"/>
            <w:shd w:val="clear" w:color="auto" w:fill="auto"/>
            <w:noWrap/>
          </w:tcPr>
          <w:p w:rsidR="00607E02" w:rsidRPr="00607E02" w:rsidRDefault="00607E02" w:rsidP="00607E02">
            <w:pPr>
              <w:widowControl w:val="0"/>
              <w:spacing w:after="0" w:line="240" w:lineRule="auto"/>
              <w:jc w:val="center"/>
              <w:cnfStyle w:val="000000100000"/>
              <w:rPr>
                <w:rFonts w:cs="Arial"/>
                <w:b/>
                <w:color w:val="auto"/>
                <w:sz w:val="20"/>
                <w:szCs w:val="20"/>
                <w:lang w:eastAsia="en-GB"/>
              </w:rPr>
            </w:pPr>
            <w:r w:rsidRPr="00607E02">
              <w:rPr>
                <w:rFonts w:cs="Arial"/>
                <w:b/>
                <w:color w:val="auto"/>
                <w:sz w:val="20"/>
                <w:szCs w:val="20"/>
                <w:lang w:eastAsia="en-GB"/>
              </w:rPr>
              <w:t>(3.1)</w:t>
            </w: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1.6</w:t>
            </w:r>
          </w:p>
        </w:tc>
        <w:tc>
          <w:tcPr>
            <w:tcW w:w="1465" w:type="dxa"/>
            <w:shd w:val="clear" w:color="auto" w:fill="auto"/>
          </w:tcPr>
          <w:p w:rsidR="00607E02" w:rsidRPr="00607E02" w:rsidRDefault="00607E02" w:rsidP="00607E02">
            <w:pPr>
              <w:widowControl w:val="0"/>
              <w:spacing w:after="0" w:line="240" w:lineRule="auto"/>
              <w:jc w:val="center"/>
              <w:cnfStyle w:val="000000100000"/>
              <w:rPr>
                <w:rFonts w:cs="Arial"/>
                <w:b/>
                <w:bCs/>
                <w:color w:val="auto"/>
                <w:sz w:val="20"/>
                <w:szCs w:val="20"/>
                <w:lang w:eastAsia="en-GB"/>
              </w:rPr>
            </w:pPr>
            <w:r w:rsidRPr="00607E02">
              <w:rPr>
                <w:rFonts w:cs="Arial"/>
                <w:b/>
                <w:bCs/>
                <w:color w:val="auto"/>
                <w:sz w:val="20"/>
                <w:szCs w:val="20"/>
                <w:lang w:eastAsia="en-GB"/>
              </w:rPr>
              <w:t>(5.2)</w:t>
            </w: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(6.7)</w:t>
            </w:r>
          </w:p>
        </w:tc>
        <w:tc>
          <w:tcPr>
            <w:tcW w:w="1418" w:type="dxa"/>
            <w:shd w:val="clear" w:color="auto" w:fill="auto"/>
            <w:noWrap/>
          </w:tcPr>
          <w:p w:rsidR="00607E02" w:rsidRPr="00607E02" w:rsidRDefault="00607E02" w:rsidP="00607E02">
            <w:pPr>
              <w:widowControl w:val="0"/>
              <w:spacing w:after="0" w:line="240" w:lineRule="auto"/>
              <w:jc w:val="center"/>
              <w:cnfStyle w:val="000000100000"/>
              <w:rPr>
                <w:rFonts w:cs="Arial"/>
                <w:b/>
                <w:color w:val="auto"/>
                <w:sz w:val="20"/>
                <w:szCs w:val="20"/>
                <w:lang w:eastAsia="en-GB"/>
              </w:rPr>
            </w:pPr>
            <w:r w:rsidRPr="00607E02">
              <w:rPr>
                <w:rFonts w:cs="Arial"/>
                <w:b/>
                <w:color w:val="auto"/>
                <w:sz w:val="20"/>
                <w:szCs w:val="20"/>
                <w:lang w:eastAsia="en-GB"/>
              </w:rPr>
              <w:t>(52.4)</w:t>
            </w: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(59.1)</w:t>
            </w:r>
          </w:p>
        </w:tc>
      </w:tr>
      <w:tr w:rsidR="00607E02" w:rsidRPr="00D42E0B" w:rsidTr="000C7FF0">
        <w:trPr>
          <w:trHeight w:val="261"/>
        </w:trPr>
        <w:tc>
          <w:tcPr>
            <w:cnfStyle w:val="001000000000"/>
            <w:tcW w:w="4597" w:type="dxa"/>
            <w:shd w:val="clear" w:color="auto" w:fill="auto"/>
            <w:noWrap/>
          </w:tcPr>
          <w:p w:rsidR="00607E02" w:rsidRPr="00607E02" w:rsidRDefault="00607E02" w:rsidP="00ED35CC">
            <w:pPr>
              <w:widowControl w:val="0"/>
              <w:spacing w:after="0" w:line="240" w:lineRule="auto"/>
              <w:rPr>
                <w:rFonts w:cs="Arial"/>
                <w:bCs w:val="0"/>
                <w:color w:val="auto"/>
                <w:sz w:val="20"/>
                <w:szCs w:val="20"/>
                <w:lang w:eastAsia="en-GB"/>
              </w:rPr>
            </w:pPr>
            <w:r w:rsidRPr="00607E02">
              <w:rPr>
                <w:rFonts w:cs="Arial"/>
                <w:bCs w:val="0"/>
                <w:color w:val="auto"/>
                <w:sz w:val="20"/>
                <w:szCs w:val="20"/>
                <w:lang w:eastAsia="en-GB"/>
              </w:rPr>
              <w:t>Balance at 31st March 2015 carried forward</w:t>
            </w:r>
          </w:p>
        </w:tc>
        <w:tc>
          <w:tcPr>
            <w:cnfStyle w:val="000010000000"/>
            <w:tcW w:w="1134"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4.4</w:t>
            </w:r>
          </w:p>
        </w:tc>
        <w:tc>
          <w:tcPr>
            <w:tcW w:w="1559" w:type="dxa"/>
            <w:shd w:val="clear" w:color="auto" w:fill="auto"/>
            <w:noWrap/>
          </w:tcPr>
          <w:p w:rsidR="00607E02" w:rsidRPr="00607E02" w:rsidRDefault="00607E02" w:rsidP="00607E02">
            <w:pPr>
              <w:widowControl w:val="0"/>
              <w:spacing w:after="0" w:line="240" w:lineRule="auto"/>
              <w:jc w:val="center"/>
              <w:cnfStyle w:val="000000000000"/>
              <w:rPr>
                <w:rFonts w:cs="Arial"/>
                <w:b/>
                <w:color w:val="auto"/>
                <w:sz w:val="20"/>
                <w:szCs w:val="20"/>
                <w:lang w:eastAsia="en-GB"/>
              </w:rPr>
            </w:pPr>
            <w:r w:rsidRPr="00607E02">
              <w:rPr>
                <w:rFonts w:cs="Arial"/>
                <w:b/>
                <w:color w:val="auto"/>
                <w:sz w:val="20"/>
                <w:szCs w:val="20"/>
                <w:lang w:eastAsia="en-GB"/>
              </w:rPr>
              <w:t>30.9</w:t>
            </w:r>
          </w:p>
        </w:tc>
        <w:tc>
          <w:tcPr>
            <w:cnfStyle w:val="000010000000"/>
            <w:tcW w:w="1418"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3.4</w:t>
            </w:r>
          </w:p>
        </w:tc>
        <w:tc>
          <w:tcPr>
            <w:tcW w:w="1465" w:type="dxa"/>
            <w:shd w:val="clear" w:color="auto" w:fill="auto"/>
          </w:tcPr>
          <w:p w:rsidR="00607E02" w:rsidRPr="00607E02" w:rsidRDefault="00607E02" w:rsidP="00607E02">
            <w:pPr>
              <w:widowControl w:val="0"/>
              <w:spacing w:after="0" w:line="240" w:lineRule="auto"/>
              <w:jc w:val="center"/>
              <w:cnfStyle w:val="000000000000"/>
              <w:rPr>
                <w:rFonts w:cs="Arial"/>
                <w:b/>
                <w:bCs/>
                <w:color w:val="auto"/>
                <w:sz w:val="20"/>
                <w:szCs w:val="20"/>
                <w:lang w:eastAsia="en-GB"/>
              </w:rPr>
            </w:pPr>
            <w:r w:rsidRPr="00607E02">
              <w:rPr>
                <w:rFonts w:cs="Arial"/>
                <w:b/>
                <w:bCs/>
                <w:color w:val="auto"/>
                <w:sz w:val="20"/>
                <w:szCs w:val="20"/>
                <w:lang w:eastAsia="en-GB"/>
              </w:rPr>
              <w:t>5.2</w:t>
            </w:r>
          </w:p>
        </w:tc>
        <w:tc>
          <w:tcPr>
            <w:cnfStyle w:val="000010000000"/>
            <w:tcW w:w="1417" w:type="dxa"/>
            <w:shd w:val="clear" w:color="auto" w:fill="auto"/>
            <w:noWrap/>
          </w:tcPr>
          <w:p w:rsidR="00607E02" w:rsidRPr="00607E02" w:rsidRDefault="00607E02" w:rsidP="00607E02">
            <w:pPr>
              <w:widowControl w:val="0"/>
              <w:spacing w:after="0" w:line="240" w:lineRule="auto"/>
              <w:jc w:val="center"/>
              <w:rPr>
                <w:rFonts w:cs="Arial"/>
                <w:b/>
                <w:bCs/>
                <w:color w:val="auto"/>
                <w:sz w:val="20"/>
                <w:szCs w:val="20"/>
                <w:lang w:eastAsia="en-GB"/>
              </w:rPr>
            </w:pPr>
            <w:r w:rsidRPr="00607E02">
              <w:rPr>
                <w:rFonts w:cs="Arial"/>
                <w:b/>
                <w:bCs/>
                <w:color w:val="auto"/>
                <w:sz w:val="20"/>
                <w:szCs w:val="20"/>
                <w:lang w:eastAsia="en-GB"/>
              </w:rPr>
              <w:t>43.9</w:t>
            </w:r>
          </w:p>
        </w:tc>
        <w:tc>
          <w:tcPr>
            <w:tcW w:w="1418" w:type="dxa"/>
            <w:shd w:val="clear" w:color="auto" w:fill="auto"/>
            <w:noWrap/>
          </w:tcPr>
          <w:p w:rsidR="00607E02" w:rsidRPr="00607E02" w:rsidRDefault="00607E02" w:rsidP="00607E02">
            <w:pPr>
              <w:widowControl w:val="0"/>
              <w:spacing w:after="0" w:line="240" w:lineRule="auto"/>
              <w:jc w:val="center"/>
              <w:cnfStyle w:val="000000000000"/>
              <w:rPr>
                <w:rFonts w:cs="Arial"/>
                <w:b/>
                <w:bCs/>
                <w:color w:val="auto"/>
                <w:sz w:val="20"/>
                <w:szCs w:val="20"/>
                <w:lang w:eastAsia="en-GB"/>
              </w:rPr>
            </w:pPr>
            <w:r w:rsidRPr="00607E02">
              <w:rPr>
                <w:rFonts w:cs="Arial"/>
                <w:b/>
                <w:bCs/>
                <w:color w:val="auto"/>
                <w:sz w:val="20"/>
                <w:szCs w:val="20"/>
                <w:lang w:eastAsia="en-GB"/>
              </w:rPr>
              <w:t>(1.3)</w:t>
            </w:r>
          </w:p>
        </w:tc>
        <w:tc>
          <w:tcPr>
            <w:cnfStyle w:val="000010000000"/>
            <w:tcW w:w="1228" w:type="dxa"/>
            <w:shd w:val="clear" w:color="auto" w:fill="auto"/>
            <w:noWrap/>
          </w:tcPr>
          <w:p w:rsidR="00607E02" w:rsidRPr="00607E02" w:rsidRDefault="00607E02" w:rsidP="00607E02">
            <w:pPr>
              <w:widowControl w:val="0"/>
              <w:spacing w:after="0" w:line="240" w:lineRule="auto"/>
              <w:jc w:val="center"/>
              <w:rPr>
                <w:rFonts w:cs="Arial"/>
                <w:b/>
                <w:color w:val="auto"/>
                <w:sz w:val="20"/>
                <w:szCs w:val="20"/>
                <w:lang w:eastAsia="en-GB"/>
              </w:rPr>
            </w:pPr>
            <w:r w:rsidRPr="00607E02">
              <w:rPr>
                <w:rFonts w:cs="Arial"/>
                <w:b/>
                <w:color w:val="auto"/>
                <w:sz w:val="20"/>
                <w:szCs w:val="20"/>
                <w:lang w:eastAsia="en-GB"/>
              </w:rPr>
              <w:t>42.6</w:t>
            </w:r>
          </w:p>
        </w:tc>
      </w:tr>
    </w:tbl>
    <w:p w:rsidR="00763E74" w:rsidRPr="00D42E0B" w:rsidRDefault="00763E74" w:rsidP="00763E74">
      <w:pPr>
        <w:widowControl w:val="0"/>
        <w:rPr>
          <w:b/>
          <w:color w:val="548DD4" w:themeColor="text2" w:themeTint="99"/>
          <w:sz w:val="24"/>
          <w:szCs w:val="24"/>
        </w:rPr>
      </w:pPr>
    </w:p>
    <w:p w:rsidR="00763E74" w:rsidRPr="00845088" w:rsidRDefault="00763E74" w:rsidP="00763E74">
      <w:pPr>
        <w:widowControl w:val="0"/>
        <w:rPr>
          <w:b/>
          <w:color w:val="auto"/>
          <w:sz w:val="24"/>
          <w:szCs w:val="24"/>
        </w:rPr>
      </w:pPr>
      <w:r w:rsidRPr="00845088">
        <w:rPr>
          <w:b/>
          <w:color w:val="auto"/>
          <w:sz w:val="24"/>
          <w:szCs w:val="24"/>
        </w:rPr>
        <w:t>Movement in Reserves Statement</w:t>
      </w:r>
    </w:p>
    <w:p w:rsidR="00763E74" w:rsidRPr="00D42E0B" w:rsidRDefault="00763E74" w:rsidP="000D3AFB">
      <w:pPr>
        <w:rPr>
          <w:b/>
          <w:color w:val="548DD4" w:themeColor="text2" w:themeTint="99"/>
        </w:rPr>
      </w:pPr>
    </w:p>
    <w:tbl>
      <w:tblPr>
        <w:tblStyle w:val="GridTable4-Accent51"/>
        <w:tblW w:w="14236" w:type="dxa"/>
        <w:tblLayout w:type="fixed"/>
        <w:tblLook w:val="00A0"/>
      </w:tblPr>
      <w:tblGrid>
        <w:gridCol w:w="4597"/>
        <w:gridCol w:w="1134"/>
        <w:gridCol w:w="1559"/>
        <w:gridCol w:w="1418"/>
        <w:gridCol w:w="1465"/>
        <w:gridCol w:w="1417"/>
        <w:gridCol w:w="1418"/>
        <w:gridCol w:w="1228"/>
      </w:tblGrid>
      <w:tr w:rsidR="00763E74" w:rsidRPr="00D42E0B" w:rsidTr="001742A7">
        <w:trPr>
          <w:cnfStyle w:val="100000000000"/>
          <w:trHeight w:val="246"/>
        </w:trPr>
        <w:tc>
          <w:tcPr>
            <w:cnfStyle w:val="001000000000"/>
            <w:tcW w:w="4597" w:type="dxa"/>
            <w:tcBorders>
              <w:bottom w:val="nil"/>
            </w:tcBorders>
            <w:noWrap/>
          </w:tcPr>
          <w:p w:rsidR="00763E74" w:rsidRPr="00F30237" w:rsidRDefault="00607E02" w:rsidP="00763E74">
            <w:pPr>
              <w:widowControl w:val="0"/>
              <w:spacing w:after="0" w:line="240" w:lineRule="auto"/>
              <w:rPr>
                <w:rFonts w:cs="Arial"/>
                <w:bCs w:val="0"/>
                <w:color w:val="auto"/>
                <w:sz w:val="24"/>
                <w:szCs w:val="24"/>
                <w:lang w:eastAsia="en-GB"/>
              </w:rPr>
            </w:pPr>
            <w:r w:rsidRPr="00F30237">
              <w:rPr>
                <w:rFonts w:cs="Arial"/>
                <w:bCs w:val="0"/>
                <w:color w:val="auto"/>
                <w:sz w:val="24"/>
                <w:szCs w:val="24"/>
                <w:lang w:eastAsia="en-GB"/>
              </w:rPr>
              <w:t>2015/16</w:t>
            </w:r>
          </w:p>
        </w:tc>
        <w:tc>
          <w:tcPr>
            <w:cnfStyle w:val="000010000000"/>
            <w:tcW w:w="1134" w:type="dxa"/>
            <w:tcBorders>
              <w:bottom w:val="nil"/>
            </w:tcBorders>
            <w:noWrap/>
          </w:tcPr>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General</w:t>
            </w:r>
          </w:p>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Fund</w:t>
            </w:r>
          </w:p>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Balance</w:t>
            </w:r>
          </w:p>
        </w:tc>
        <w:tc>
          <w:tcPr>
            <w:tcW w:w="1559" w:type="dxa"/>
            <w:tcBorders>
              <w:bottom w:val="nil"/>
            </w:tcBorders>
            <w:noWrap/>
          </w:tcPr>
          <w:p w:rsidR="00763E74" w:rsidRPr="00F30237" w:rsidRDefault="00763E74" w:rsidP="001742A7">
            <w:pPr>
              <w:widowControl w:val="0"/>
              <w:spacing w:after="0" w:line="240" w:lineRule="auto"/>
              <w:jc w:val="center"/>
              <w:cnfStyle w:val="100000000000"/>
              <w:rPr>
                <w:rFonts w:cs="Arial"/>
                <w:bCs w:val="0"/>
                <w:color w:val="auto"/>
                <w:sz w:val="18"/>
                <w:szCs w:val="18"/>
                <w:lang w:eastAsia="en-GB"/>
              </w:rPr>
            </w:pPr>
            <w:r w:rsidRPr="00F30237">
              <w:rPr>
                <w:rFonts w:cs="Arial"/>
                <w:bCs w:val="0"/>
                <w:color w:val="auto"/>
                <w:sz w:val="18"/>
                <w:szCs w:val="18"/>
                <w:lang w:eastAsia="en-GB"/>
              </w:rPr>
              <w:t>Earmarked</w:t>
            </w:r>
          </w:p>
          <w:p w:rsidR="00763E74" w:rsidRPr="00F30237" w:rsidRDefault="00763E74" w:rsidP="001742A7">
            <w:pPr>
              <w:widowControl w:val="0"/>
              <w:spacing w:after="0" w:line="240" w:lineRule="auto"/>
              <w:jc w:val="center"/>
              <w:cnfStyle w:val="100000000000"/>
              <w:rPr>
                <w:rFonts w:cs="Arial"/>
                <w:bCs w:val="0"/>
                <w:color w:val="auto"/>
                <w:sz w:val="18"/>
                <w:szCs w:val="18"/>
                <w:lang w:eastAsia="en-GB"/>
              </w:rPr>
            </w:pPr>
            <w:r w:rsidRPr="00F30237">
              <w:rPr>
                <w:rFonts w:cs="Arial"/>
                <w:bCs w:val="0"/>
                <w:color w:val="auto"/>
                <w:sz w:val="18"/>
                <w:szCs w:val="18"/>
                <w:lang w:eastAsia="en-GB"/>
              </w:rPr>
              <w:t>General Fund</w:t>
            </w:r>
          </w:p>
          <w:p w:rsidR="00763E74" w:rsidRPr="00F30237" w:rsidRDefault="00763E74" w:rsidP="001742A7">
            <w:pPr>
              <w:widowControl w:val="0"/>
              <w:spacing w:after="0" w:line="240" w:lineRule="auto"/>
              <w:jc w:val="center"/>
              <w:cnfStyle w:val="100000000000"/>
              <w:rPr>
                <w:rFonts w:cs="Arial"/>
                <w:bCs w:val="0"/>
                <w:color w:val="auto"/>
                <w:sz w:val="18"/>
                <w:szCs w:val="18"/>
                <w:lang w:eastAsia="en-GB"/>
              </w:rPr>
            </w:pPr>
            <w:r w:rsidRPr="00F30237">
              <w:rPr>
                <w:rFonts w:cs="Arial"/>
                <w:bCs w:val="0"/>
                <w:color w:val="auto"/>
                <w:sz w:val="18"/>
                <w:szCs w:val="18"/>
                <w:lang w:eastAsia="en-GB"/>
              </w:rPr>
              <w:t>Reserves</w:t>
            </w:r>
          </w:p>
        </w:tc>
        <w:tc>
          <w:tcPr>
            <w:cnfStyle w:val="000010000000"/>
            <w:tcW w:w="1418" w:type="dxa"/>
            <w:tcBorders>
              <w:bottom w:val="nil"/>
            </w:tcBorders>
            <w:noWrap/>
          </w:tcPr>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Capital</w:t>
            </w:r>
          </w:p>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Receipts</w:t>
            </w:r>
          </w:p>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Reserve</w:t>
            </w:r>
          </w:p>
        </w:tc>
        <w:tc>
          <w:tcPr>
            <w:tcW w:w="1465" w:type="dxa"/>
            <w:tcBorders>
              <w:bottom w:val="nil"/>
            </w:tcBorders>
          </w:tcPr>
          <w:p w:rsidR="00763E74" w:rsidRPr="00F30237" w:rsidRDefault="00763E74" w:rsidP="001742A7">
            <w:pPr>
              <w:widowControl w:val="0"/>
              <w:spacing w:after="0" w:line="240" w:lineRule="auto"/>
              <w:jc w:val="center"/>
              <w:cnfStyle w:val="100000000000"/>
              <w:rPr>
                <w:rFonts w:cs="Arial"/>
                <w:bCs w:val="0"/>
                <w:color w:val="auto"/>
                <w:sz w:val="18"/>
                <w:szCs w:val="18"/>
                <w:lang w:eastAsia="en-GB"/>
              </w:rPr>
            </w:pPr>
            <w:r w:rsidRPr="00F30237">
              <w:rPr>
                <w:rFonts w:cs="Arial"/>
                <w:bCs w:val="0"/>
                <w:color w:val="auto"/>
                <w:sz w:val="18"/>
                <w:szCs w:val="18"/>
                <w:lang w:eastAsia="en-GB"/>
              </w:rPr>
              <w:t>Capital Grants Unapplied</w:t>
            </w:r>
            <w:r w:rsidR="00093118">
              <w:rPr>
                <w:rFonts w:cs="Arial"/>
                <w:bCs w:val="0"/>
                <w:color w:val="auto"/>
                <w:sz w:val="18"/>
                <w:szCs w:val="18"/>
                <w:lang w:eastAsia="en-GB"/>
              </w:rPr>
              <w:t xml:space="preserve"> Account</w:t>
            </w:r>
          </w:p>
          <w:p w:rsidR="00763E74" w:rsidRPr="00F30237" w:rsidRDefault="00763E74" w:rsidP="001742A7">
            <w:pPr>
              <w:widowControl w:val="0"/>
              <w:spacing w:after="0" w:line="240" w:lineRule="auto"/>
              <w:jc w:val="center"/>
              <w:cnfStyle w:val="100000000000"/>
              <w:rPr>
                <w:rFonts w:cs="Arial"/>
                <w:bCs w:val="0"/>
                <w:color w:val="auto"/>
                <w:sz w:val="18"/>
                <w:szCs w:val="18"/>
                <w:lang w:eastAsia="en-GB"/>
              </w:rPr>
            </w:pPr>
          </w:p>
        </w:tc>
        <w:tc>
          <w:tcPr>
            <w:cnfStyle w:val="000010000000"/>
            <w:tcW w:w="1417" w:type="dxa"/>
            <w:tcBorders>
              <w:bottom w:val="nil"/>
            </w:tcBorders>
            <w:noWrap/>
          </w:tcPr>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Total</w:t>
            </w:r>
          </w:p>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Usable</w:t>
            </w:r>
          </w:p>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Reserves</w:t>
            </w:r>
          </w:p>
        </w:tc>
        <w:tc>
          <w:tcPr>
            <w:tcW w:w="1418" w:type="dxa"/>
            <w:tcBorders>
              <w:bottom w:val="nil"/>
            </w:tcBorders>
            <w:noWrap/>
          </w:tcPr>
          <w:p w:rsidR="00763E74" w:rsidRPr="00F30237" w:rsidRDefault="00763E74" w:rsidP="001742A7">
            <w:pPr>
              <w:widowControl w:val="0"/>
              <w:spacing w:after="0" w:line="240" w:lineRule="auto"/>
              <w:jc w:val="center"/>
              <w:cnfStyle w:val="100000000000"/>
              <w:rPr>
                <w:rFonts w:cs="Arial"/>
                <w:bCs w:val="0"/>
                <w:color w:val="auto"/>
                <w:sz w:val="18"/>
                <w:szCs w:val="18"/>
                <w:lang w:eastAsia="en-GB"/>
              </w:rPr>
            </w:pPr>
            <w:r w:rsidRPr="00F30237">
              <w:rPr>
                <w:rFonts w:cs="Arial"/>
                <w:bCs w:val="0"/>
                <w:color w:val="auto"/>
                <w:sz w:val="18"/>
                <w:szCs w:val="18"/>
                <w:lang w:eastAsia="en-GB"/>
              </w:rPr>
              <w:t>Unusable</w:t>
            </w:r>
          </w:p>
          <w:p w:rsidR="00763E74" w:rsidRPr="00F30237" w:rsidRDefault="00763E74" w:rsidP="001742A7">
            <w:pPr>
              <w:widowControl w:val="0"/>
              <w:spacing w:after="0" w:line="240" w:lineRule="auto"/>
              <w:jc w:val="center"/>
              <w:cnfStyle w:val="100000000000"/>
              <w:rPr>
                <w:rFonts w:cs="Arial"/>
                <w:bCs w:val="0"/>
                <w:color w:val="auto"/>
                <w:sz w:val="18"/>
                <w:szCs w:val="18"/>
                <w:lang w:eastAsia="en-GB"/>
              </w:rPr>
            </w:pPr>
            <w:r w:rsidRPr="00F30237">
              <w:rPr>
                <w:rFonts w:cs="Arial"/>
                <w:bCs w:val="0"/>
                <w:color w:val="auto"/>
                <w:sz w:val="18"/>
                <w:szCs w:val="18"/>
                <w:lang w:eastAsia="en-GB"/>
              </w:rPr>
              <w:t>Reserves</w:t>
            </w:r>
          </w:p>
          <w:p w:rsidR="00763E74" w:rsidRPr="00F30237" w:rsidRDefault="00763E74" w:rsidP="001742A7">
            <w:pPr>
              <w:widowControl w:val="0"/>
              <w:spacing w:after="0" w:line="240" w:lineRule="auto"/>
              <w:jc w:val="center"/>
              <w:cnfStyle w:val="100000000000"/>
              <w:rPr>
                <w:rFonts w:cs="Arial"/>
                <w:bCs w:val="0"/>
                <w:color w:val="auto"/>
                <w:sz w:val="18"/>
                <w:szCs w:val="18"/>
                <w:lang w:eastAsia="en-GB"/>
              </w:rPr>
            </w:pPr>
          </w:p>
        </w:tc>
        <w:tc>
          <w:tcPr>
            <w:cnfStyle w:val="000010000000"/>
            <w:tcW w:w="1228" w:type="dxa"/>
            <w:tcBorders>
              <w:bottom w:val="nil"/>
            </w:tcBorders>
            <w:noWrap/>
          </w:tcPr>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Total</w:t>
            </w:r>
          </w:p>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Council</w:t>
            </w:r>
          </w:p>
          <w:p w:rsidR="00763E74" w:rsidRPr="00F30237" w:rsidRDefault="00763E74" w:rsidP="001742A7">
            <w:pPr>
              <w:widowControl w:val="0"/>
              <w:spacing w:after="0" w:line="240" w:lineRule="auto"/>
              <w:jc w:val="center"/>
              <w:rPr>
                <w:rFonts w:cs="Arial"/>
                <w:bCs w:val="0"/>
                <w:color w:val="auto"/>
                <w:sz w:val="18"/>
                <w:szCs w:val="18"/>
                <w:lang w:eastAsia="en-GB"/>
              </w:rPr>
            </w:pPr>
            <w:r w:rsidRPr="00F30237">
              <w:rPr>
                <w:rFonts w:cs="Arial"/>
                <w:bCs w:val="0"/>
                <w:color w:val="auto"/>
                <w:sz w:val="18"/>
                <w:szCs w:val="18"/>
                <w:lang w:eastAsia="en-GB"/>
              </w:rPr>
              <w:t>Reserves</w:t>
            </w:r>
          </w:p>
        </w:tc>
      </w:tr>
      <w:tr w:rsidR="00763E74" w:rsidRPr="00D42E0B" w:rsidTr="001742A7">
        <w:trPr>
          <w:cnfStyle w:val="000000100000"/>
          <w:trHeight w:val="246"/>
        </w:trPr>
        <w:tc>
          <w:tcPr>
            <w:cnfStyle w:val="001000000000"/>
            <w:tcW w:w="4597"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rPr>
                <w:rFonts w:cs="Arial"/>
                <w:color w:val="auto"/>
                <w:sz w:val="20"/>
                <w:szCs w:val="20"/>
                <w:lang w:eastAsia="en-GB"/>
              </w:rPr>
            </w:pPr>
          </w:p>
        </w:tc>
        <w:tc>
          <w:tcPr>
            <w:cnfStyle w:val="000010000000"/>
            <w:tcW w:w="1134"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jc w:val="center"/>
              <w:rPr>
                <w:rFonts w:cs="Arial"/>
                <w:color w:val="auto"/>
                <w:sz w:val="20"/>
                <w:szCs w:val="20"/>
                <w:lang w:eastAsia="en-GB"/>
              </w:rPr>
            </w:pPr>
            <w:r w:rsidRPr="00F30237">
              <w:rPr>
                <w:rFonts w:cs="Arial"/>
                <w:color w:val="auto"/>
                <w:sz w:val="20"/>
                <w:szCs w:val="20"/>
                <w:lang w:eastAsia="en-GB"/>
              </w:rPr>
              <w:t>£m</w:t>
            </w:r>
          </w:p>
        </w:tc>
        <w:tc>
          <w:tcPr>
            <w:tcW w:w="1559"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jc w:val="center"/>
              <w:cnfStyle w:val="000000100000"/>
              <w:rPr>
                <w:rFonts w:cs="Arial"/>
                <w:color w:val="auto"/>
                <w:sz w:val="18"/>
                <w:szCs w:val="18"/>
                <w:lang w:eastAsia="en-GB"/>
              </w:rPr>
            </w:pPr>
            <w:r w:rsidRPr="00F30237">
              <w:rPr>
                <w:rFonts w:cs="Arial"/>
                <w:color w:val="auto"/>
                <w:sz w:val="18"/>
                <w:szCs w:val="18"/>
                <w:lang w:eastAsia="en-GB"/>
              </w:rPr>
              <w:t>£m</w:t>
            </w:r>
          </w:p>
        </w:tc>
        <w:tc>
          <w:tcPr>
            <w:cnfStyle w:val="000010000000"/>
            <w:tcW w:w="1418"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jc w:val="center"/>
              <w:rPr>
                <w:rFonts w:cs="Arial"/>
                <w:color w:val="auto"/>
                <w:sz w:val="18"/>
                <w:szCs w:val="18"/>
                <w:lang w:eastAsia="en-GB"/>
              </w:rPr>
            </w:pPr>
            <w:r w:rsidRPr="00F30237">
              <w:rPr>
                <w:rFonts w:cs="Arial"/>
                <w:color w:val="auto"/>
                <w:sz w:val="18"/>
                <w:szCs w:val="18"/>
                <w:lang w:eastAsia="en-GB"/>
              </w:rPr>
              <w:t>£m</w:t>
            </w:r>
          </w:p>
        </w:tc>
        <w:tc>
          <w:tcPr>
            <w:tcW w:w="1465" w:type="dxa"/>
            <w:tcBorders>
              <w:top w:val="nil"/>
              <w:left w:val="nil"/>
              <w:bottom w:val="nil"/>
              <w:right w:val="nil"/>
            </w:tcBorders>
            <w:shd w:val="clear" w:color="auto" w:fill="4BACC6" w:themeFill="accent5"/>
          </w:tcPr>
          <w:p w:rsidR="00763E74" w:rsidRPr="00F30237" w:rsidRDefault="00763E74" w:rsidP="001742A7">
            <w:pPr>
              <w:widowControl w:val="0"/>
              <w:spacing w:after="0" w:line="240" w:lineRule="auto"/>
              <w:jc w:val="center"/>
              <w:cnfStyle w:val="000000100000"/>
              <w:rPr>
                <w:rFonts w:cs="Arial"/>
                <w:bCs/>
                <w:color w:val="auto"/>
                <w:sz w:val="18"/>
                <w:szCs w:val="18"/>
                <w:lang w:eastAsia="en-GB"/>
              </w:rPr>
            </w:pPr>
            <w:r w:rsidRPr="00F30237">
              <w:rPr>
                <w:rFonts w:cs="Arial"/>
                <w:bCs/>
                <w:color w:val="auto"/>
                <w:sz w:val="18"/>
                <w:szCs w:val="18"/>
                <w:lang w:eastAsia="en-GB"/>
              </w:rPr>
              <w:t>£m</w:t>
            </w:r>
          </w:p>
        </w:tc>
        <w:tc>
          <w:tcPr>
            <w:cnfStyle w:val="000010000000"/>
            <w:tcW w:w="1417"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jc w:val="center"/>
              <w:rPr>
                <w:rFonts w:cs="Arial"/>
                <w:bCs/>
                <w:color w:val="auto"/>
                <w:sz w:val="18"/>
                <w:szCs w:val="18"/>
                <w:lang w:eastAsia="en-GB"/>
              </w:rPr>
            </w:pPr>
            <w:r w:rsidRPr="00F30237">
              <w:rPr>
                <w:rFonts w:cs="Arial"/>
                <w:bCs/>
                <w:color w:val="auto"/>
                <w:sz w:val="18"/>
                <w:szCs w:val="18"/>
                <w:lang w:eastAsia="en-GB"/>
              </w:rPr>
              <w:t>£m</w:t>
            </w:r>
          </w:p>
        </w:tc>
        <w:tc>
          <w:tcPr>
            <w:tcW w:w="1418"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jc w:val="center"/>
              <w:cnfStyle w:val="000000100000"/>
              <w:rPr>
                <w:rFonts w:cs="Arial"/>
                <w:color w:val="auto"/>
                <w:sz w:val="18"/>
                <w:szCs w:val="18"/>
                <w:lang w:eastAsia="en-GB"/>
              </w:rPr>
            </w:pPr>
            <w:r w:rsidRPr="00F30237">
              <w:rPr>
                <w:rFonts w:cs="Arial"/>
                <w:color w:val="auto"/>
                <w:sz w:val="18"/>
                <w:szCs w:val="18"/>
                <w:lang w:eastAsia="en-GB"/>
              </w:rPr>
              <w:t>£m</w:t>
            </w:r>
          </w:p>
        </w:tc>
        <w:tc>
          <w:tcPr>
            <w:cnfStyle w:val="000010000000"/>
            <w:tcW w:w="1228"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jc w:val="center"/>
              <w:rPr>
                <w:rFonts w:cs="Arial"/>
                <w:bCs/>
                <w:color w:val="auto"/>
                <w:sz w:val="20"/>
                <w:szCs w:val="20"/>
                <w:lang w:eastAsia="en-GB"/>
              </w:rPr>
            </w:pPr>
            <w:r w:rsidRPr="00F30237">
              <w:rPr>
                <w:rFonts w:cs="Arial"/>
                <w:bCs/>
                <w:color w:val="auto"/>
                <w:sz w:val="20"/>
                <w:szCs w:val="20"/>
                <w:lang w:eastAsia="en-GB"/>
              </w:rPr>
              <w:t>£m</w:t>
            </w:r>
          </w:p>
        </w:tc>
      </w:tr>
      <w:tr w:rsidR="00763E74" w:rsidRPr="00D42E0B" w:rsidTr="001742A7">
        <w:trPr>
          <w:trHeight w:val="246"/>
        </w:trPr>
        <w:tc>
          <w:tcPr>
            <w:cnfStyle w:val="001000000000"/>
            <w:tcW w:w="4597"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rPr>
                <w:rFonts w:cs="Arial"/>
                <w:color w:val="auto"/>
                <w:sz w:val="20"/>
                <w:szCs w:val="20"/>
                <w:lang w:eastAsia="en-GB"/>
              </w:rPr>
            </w:pPr>
          </w:p>
        </w:tc>
        <w:tc>
          <w:tcPr>
            <w:cnfStyle w:val="000010000000"/>
            <w:tcW w:w="1134"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jc w:val="center"/>
              <w:rPr>
                <w:rFonts w:cs="Arial"/>
                <w:color w:val="auto"/>
                <w:sz w:val="20"/>
                <w:szCs w:val="20"/>
                <w:lang w:eastAsia="en-GB"/>
              </w:rPr>
            </w:pPr>
          </w:p>
        </w:tc>
        <w:tc>
          <w:tcPr>
            <w:tcW w:w="1559"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jc w:val="center"/>
              <w:cnfStyle w:val="000000000000"/>
              <w:rPr>
                <w:rFonts w:cs="Arial"/>
                <w:color w:val="auto"/>
                <w:sz w:val="18"/>
                <w:szCs w:val="18"/>
                <w:lang w:eastAsia="en-GB"/>
              </w:rPr>
            </w:pPr>
            <w:r w:rsidRPr="00F30237">
              <w:rPr>
                <w:rFonts w:cs="Arial"/>
                <w:color w:val="auto"/>
                <w:sz w:val="18"/>
                <w:szCs w:val="18"/>
                <w:lang w:eastAsia="en-GB"/>
              </w:rPr>
              <w:t>Note 8</w:t>
            </w:r>
          </w:p>
        </w:tc>
        <w:tc>
          <w:tcPr>
            <w:cnfStyle w:val="000010000000"/>
            <w:tcW w:w="1418" w:type="dxa"/>
            <w:tcBorders>
              <w:top w:val="nil"/>
              <w:left w:val="nil"/>
              <w:bottom w:val="nil"/>
              <w:right w:val="nil"/>
            </w:tcBorders>
            <w:shd w:val="clear" w:color="auto" w:fill="4BACC6" w:themeFill="accent5"/>
            <w:noWrap/>
          </w:tcPr>
          <w:p w:rsidR="00763E74" w:rsidRPr="00F30237" w:rsidRDefault="00F51FE4" w:rsidP="001742A7">
            <w:pPr>
              <w:widowControl w:val="0"/>
              <w:spacing w:after="0" w:line="240" w:lineRule="auto"/>
              <w:jc w:val="center"/>
              <w:rPr>
                <w:rFonts w:cs="Arial"/>
                <w:color w:val="auto"/>
                <w:sz w:val="18"/>
                <w:szCs w:val="18"/>
                <w:lang w:eastAsia="en-GB"/>
              </w:rPr>
            </w:pPr>
            <w:r>
              <w:rPr>
                <w:rFonts w:cs="Arial"/>
                <w:color w:val="auto"/>
                <w:sz w:val="18"/>
                <w:szCs w:val="18"/>
                <w:lang w:eastAsia="en-GB"/>
              </w:rPr>
              <w:t>Note 7</w:t>
            </w:r>
          </w:p>
        </w:tc>
        <w:tc>
          <w:tcPr>
            <w:tcW w:w="1465" w:type="dxa"/>
            <w:tcBorders>
              <w:top w:val="nil"/>
              <w:left w:val="nil"/>
              <w:bottom w:val="nil"/>
              <w:right w:val="nil"/>
            </w:tcBorders>
            <w:shd w:val="clear" w:color="auto" w:fill="4BACC6" w:themeFill="accent5"/>
          </w:tcPr>
          <w:p w:rsidR="00763E74" w:rsidRPr="00F30237" w:rsidRDefault="00763E74" w:rsidP="00AB4BB2">
            <w:pPr>
              <w:widowControl w:val="0"/>
              <w:spacing w:after="0" w:line="240" w:lineRule="auto"/>
              <w:jc w:val="center"/>
              <w:cnfStyle w:val="000000000000"/>
              <w:rPr>
                <w:rFonts w:cs="Arial"/>
                <w:bCs/>
                <w:color w:val="auto"/>
                <w:sz w:val="18"/>
                <w:szCs w:val="18"/>
                <w:lang w:eastAsia="en-GB"/>
              </w:rPr>
            </w:pPr>
            <w:r w:rsidRPr="00F30237">
              <w:rPr>
                <w:rFonts w:cs="Arial"/>
                <w:bCs/>
                <w:color w:val="auto"/>
                <w:sz w:val="18"/>
                <w:szCs w:val="18"/>
                <w:lang w:eastAsia="en-GB"/>
              </w:rPr>
              <w:t xml:space="preserve">Note </w:t>
            </w:r>
            <w:r w:rsidR="00AB4BB2">
              <w:rPr>
                <w:rFonts w:cs="Arial"/>
                <w:bCs/>
                <w:color w:val="auto"/>
                <w:sz w:val="18"/>
                <w:szCs w:val="18"/>
                <w:lang w:eastAsia="en-GB"/>
              </w:rPr>
              <w:t>7</w:t>
            </w:r>
          </w:p>
        </w:tc>
        <w:tc>
          <w:tcPr>
            <w:cnfStyle w:val="000010000000"/>
            <w:tcW w:w="1417"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jc w:val="center"/>
              <w:rPr>
                <w:rFonts w:cs="Arial"/>
                <w:bCs/>
                <w:color w:val="auto"/>
                <w:sz w:val="18"/>
                <w:szCs w:val="18"/>
                <w:lang w:eastAsia="en-GB"/>
              </w:rPr>
            </w:pPr>
            <w:r w:rsidRPr="00F30237">
              <w:rPr>
                <w:rFonts w:cs="Arial"/>
                <w:bCs/>
                <w:color w:val="auto"/>
                <w:sz w:val="18"/>
                <w:szCs w:val="18"/>
                <w:lang w:eastAsia="en-GB"/>
              </w:rPr>
              <w:t>Note 22</w:t>
            </w:r>
          </w:p>
        </w:tc>
        <w:tc>
          <w:tcPr>
            <w:tcW w:w="1418" w:type="dxa"/>
            <w:tcBorders>
              <w:top w:val="nil"/>
              <w:left w:val="nil"/>
              <w:bottom w:val="nil"/>
              <w:right w:val="nil"/>
            </w:tcBorders>
            <w:shd w:val="clear" w:color="auto" w:fill="4BACC6" w:themeFill="accent5"/>
            <w:noWrap/>
          </w:tcPr>
          <w:p w:rsidR="00763E74" w:rsidRPr="00F30237" w:rsidRDefault="00763E74" w:rsidP="00AB4BB2">
            <w:pPr>
              <w:widowControl w:val="0"/>
              <w:spacing w:after="0" w:line="240" w:lineRule="auto"/>
              <w:jc w:val="center"/>
              <w:cnfStyle w:val="000000000000"/>
              <w:rPr>
                <w:rFonts w:cs="Arial"/>
                <w:color w:val="auto"/>
                <w:sz w:val="18"/>
                <w:szCs w:val="18"/>
                <w:lang w:eastAsia="en-GB"/>
              </w:rPr>
            </w:pPr>
            <w:r w:rsidRPr="00F30237">
              <w:rPr>
                <w:rFonts w:cs="Arial"/>
                <w:color w:val="auto"/>
                <w:sz w:val="18"/>
                <w:szCs w:val="18"/>
                <w:lang w:eastAsia="en-GB"/>
              </w:rPr>
              <w:t xml:space="preserve">Note </w:t>
            </w:r>
            <w:r w:rsidR="00AB4BB2">
              <w:rPr>
                <w:rFonts w:cs="Arial"/>
                <w:color w:val="auto"/>
                <w:sz w:val="18"/>
                <w:szCs w:val="18"/>
                <w:lang w:eastAsia="en-GB"/>
              </w:rPr>
              <w:t>7</w:t>
            </w:r>
          </w:p>
        </w:tc>
        <w:tc>
          <w:tcPr>
            <w:cnfStyle w:val="000010000000"/>
            <w:tcW w:w="1228" w:type="dxa"/>
            <w:tcBorders>
              <w:top w:val="nil"/>
              <w:left w:val="nil"/>
              <w:bottom w:val="nil"/>
              <w:right w:val="nil"/>
            </w:tcBorders>
            <w:shd w:val="clear" w:color="auto" w:fill="4BACC6" w:themeFill="accent5"/>
            <w:noWrap/>
          </w:tcPr>
          <w:p w:rsidR="00763E74" w:rsidRPr="00F30237" w:rsidRDefault="00763E74" w:rsidP="001742A7">
            <w:pPr>
              <w:widowControl w:val="0"/>
              <w:spacing w:after="0" w:line="240" w:lineRule="auto"/>
              <w:rPr>
                <w:rFonts w:cs="Arial"/>
                <w:b/>
                <w:bCs/>
                <w:color w:val="auto"/>
                <w:sz w:val="20"/>
                <w:szCs w:val="20"/>
                <w:lang w:eastAsia="en-GB"/>
              </w:rPr>
            </w:pPr>
          </w:p>
        </w:tc>
      </w:tr>
      <w:tr w:rsidR="00763E74" w:rsidRPr="00D42E0B" w:rsidTr="001742A7">
        <w:trPr>
          <w:cnfStyle w:val="000000100000"/>
          <w:trHeight w:val="385"/>
        </w:trPr>
        <w:tc>
          <w:tcPr>
            <w:cnfStyle w:val="001000000000"/>
            <w:tcW w:w="4597" w:type="dxa"/>
            <w:shd w:val="clear" w:color="auto" w:fill="auto"/>
            <w:noWrap/>
          </w:tcPr>
          <w:p w:rsidR="00763E74" w:rsidRPr="00F30237" w:rsidRDefault="00763E74" w:rsidP="00763E74">
            <w:pPr>
              <w:widowControl w:val="0"/>
              <w:spacing w:after="0" w:line="240" w:lineRule="auto"/>
              <w:rPr>
                <w:rFonts w:cs="Arial"/>
                <w:bCs w:val="0"/>
                <w:color w:val="auto"/>
                <w:sz w:val="20"/>
                <w:szCs w:val="20"/>
                <w:lang w:eastAsia="en-GB"/>
              </w:rPr>
            </w:pPr>
            <w:r w:rsidRPr="00F30237">
              <w:rPr>
                <w:rFonts w:cs="Arial"/>
                <w:bCs w:val="0"/>
                <w:color w:val="auto"/>
                <w:sz w:val="20"/>
                <w:szCs w:val="20"/>
                <w:lang w:eastAsia="en-GB"/>
              </w:rPr>
              <w:t>Balance at 31</w:t>
            </w:r>
            <w:r w:rsidR="001742A7" w:rsidRPr="00F30237">
              <w:rPr>
                <w:rFonts w:cs="Arial"/>
                <w:bCs w:val="0"/>
                <w:color w:val="auto"/>
                <w:sz w:val="20"/>
                <w:szCs w:val="20"/>
                <w:lang w:eastAsia="en-GB"/>
              </w:rPr>
              <w:t>st</w:t>
            </w:r>
            <w:r w:rsidR="00607E02" w:rsidRPr="00F30237">
              <w:rPr>
                <w:rFonts w:cs="Arial"/>
                <w:bCs w:val="0"/>
                <w:color w:val="auto"/>
                <w:sz w:val="20"/>
                <w:szCs w:val="20"/>
                <w:lang w:eastAsia="en-GB"/>
              </w:rPr>
              <w:t xml:space="preserve"> March 2015</w:t>
            </w:r>
            <w:r w:rsidRPr="00F30237">
              <w:rPr>
                <w:rFonts w:cs="Arial"/>
                <w:bCs w:val="0"/>
                <w:color w:val="auto"/>
                <w:sz w:val="20"/>
                <w:szCs w:val="20"/>
                <w:lang w:eastAsia="en-GB"/>
              </w:rPr>
              <w:t xml:space="preserve"> brought forward</w:t>
            </w:r>
          </w:p>
        </w:tc>
        <w:tc>
          <w:tcPr>
            <w:cnfStyle w:val="000010000000"/>
            <w:tcW w:w="1134" w:type="dxa"/>
            <w:shd w:val="clear" w:color="auto" w:fill="auto"/>
            <w:noWrap/>
          </w:tcPr>
          <w:p w:rsidR="00763E74" w:rsidRPr="00F30237" w:rsidRDefault="00A6586C" w:rsidP="001742A7">
            <w:pPr>
              <w:widowControl w:val="0"/>
              <w:spacing w:after="0" w:line="240" w:lineRule="auto"/>
              <w:jc w:val="center"/>
              <w:rPr>
                <w:rFonts w:cs="Arial"/>
                <w:b/>
                <w:color w:val="auto"/>
                <w:sz w:val="20"/>
                <w:szCs w:val="20"/>
                <w:lang w:eastAsia="en-GB"/>
              </w:rPr>
            </w:pPr>
            <w:r>
              <w:rPr>
                <w:rFonts w:cs="Arial"/>
                <w:b/>
                <w:color w:val="auto"/>
                <w:sz w:val="20"/>
                <w:szCs w:val="20"/>
                <w:lang w:eastAsia="en-GB"/>
              </w:rPr>
              <w:t>4.4</w:t>
            </w:r>
          </w:p>
        </w:tc>
        <w:tc>
          <w:tcPr>
            <w:tcW w:w="1559" w:type="dxa"/>
            <w:shd w:val="clear" w:color="auto" w:fill="auto"/>
            <w:noWrap/>
          </w:tcPr>
          <w:p w:rsidR="00763E74" w:rsidRPr="00F30237" w:rsidRDefault="00A6586C" w:rsidP="001742A7">
            <w:pPr>
              <w:widowControl w:val="0"/>
              <w:spacing w:after="0" w:line="240" w:lineRule="auto"/>
              <w:jc w:val="center"/>
              <w:cnfStyle w:val="000000100000"/>
              <w:rPr>
                <w:rFonts w:cs="Arial"/>
                <w:b/>
                <w:color w:val="auto"/>
                <w:sz w:val="20"/>
                <w:szCs w:val="20"/>
                <w:lang w:eastAsia="en-GB"/>
              </w:rPr>
            </w:pPr>
            <w:r>
              <w:rPr>
                <w:rFonts w:cs="Arial"/>
                <w:b/>
                <w:color w:val="auto"/>
                <w:sz w:val="20"/>
                <w:szCs w:val="20"/>
                <w:lang w:eastAsia="en-GB"/>
              </w:rPr>
              <w:t>30.9</w:t>
            </w:r>
          </w:p>
        </w:tc>
        <w:tc>
          <w:tcPr>
            <w:cnfStyle w:val="000010000000"/>
            <w:tcW w:w="1418" w:type="dxa"/>
            <w:shd w:val="clear" w:color="auto" w:fill="auto"/>
            <w:noWrap/>
          </w:tcPr>
          <w:p w:rsidR="00763E74" w:rsidRPr="00F30237" w:rsidRDefault="00B3351B" w:rsidP="001742A7">
            <w:pPr>
              <w:widowControl w:val="0"/>
              <w:spacing w:after="0" w:line="240" w:lineRule="auto"/>
              <w:jc w:val="center"/>
              <w:rPr>
                <w:rFonts w:cs="Arial"/>
                <w:b/>
                <w:color w:val="auto"/>
                <w:sz w:val="20"/>
                <w:szCs w:val="20"/>
                <w:lang w:eastAsia="en-GB"/>
              </w:rPr>
            </w:pPr>
            <w:r>
              <w:rPr>
                <w:rFonts w:cs="Arial"/>
                <w:b/>
                <w:color w:val="auto"/>
                <w:sz w:val="20"/>
                <w:szCs w:val="20"/>
                <w:lang w:eastAsia="en-GB"/>
              </w:rPr>
              <w:t>3.4</w:t>
            </w:r>
          </w:p>
        </w:tc>
        <w:tc>
          <w:tcPr>
            <w:tcW w:w="1465" w:type="dxa"/>
            <w:shd w:val="clear" w:color="auto" w:fill="auto"/>
          </w:tcPr>
          <w:p w:rsidR="00763E74" w:rsidRPr="00F30237" w:rsidRDefault="00B3351B" w:rsidP="001742A7">
            <w:pPr>
              <w:widowControl w:val="0"/>
              <w:spacing w:after="0" w:line="240" w:lineRule="auto"/>
              <w:jc w:val="center"/>
              <w:cnfStyle w:val="000000100000"/>
              <w:rPr>
                <w:rFonts w:cs="Arial"/>
                <w:b/>
                <w:bCs/>
                <w:color w:val="auto"/>
                <w:sz w:val="20"/>
                <w:szCs w:val="20"/>
                <w:lang w:eastAsia="en-GB"/>
              </w:rPr>
            </w:pPr>
            <w:r>
              <w:rPr>
                <w:rFonts w:cs="Arial"/>
                <w:b/>
                <w:bCs/>
                <w:color w:val="auto"/>
                <w:sz w:val="20"/>
                <w:szCs w:val="20"/>
                <w:lang w:eastAsia="en-GB"/>
              </w:rPr>
              <w:t>5.2</w:t>
            </w:r>
          </w:p>
        </w:tc>
        <w:tc>
          <w:tcPr>
            <w:cnfStyle w:val="000010000000"/>
            <w:tcW w:w="1417" w:type="dxa"/>
            <w:shd w:val="clear" w:color="auto" w:fill="auto"/>
            <w:noWrap/>
          </w:tcPr>
          <w:p w:rsidR="00763E74" w:rsidRPr="00F30237" w:rsidRDefault="00B3351B" w:rsidP="001742A7">
            <w:pPr>
              <w:widowControl w:val="0"/>
              <w:spacing w:after="0" w:line="240" w:lineRule="auto"/>
              <w:jc w:val="center"/>
              <w:rPr>
                <w:rFonts w:cs="Arial"/>
                <w:b/>
                <w:bCs/>
                <w:color w:val="auto"/>
                <w:sz w:val="20"/>
                <w:szCs w:val="20"/>
                <w:lang w:eastAsia="en-GB"/>
              </w:rPr>
            </w:pPr>
            <w:r>
              <w:rPr>
                <w:rFonts w:cs="Arial"/>
                <w:b/>
                <w:bCs/>
                <w:color w:val="auto"/>
                <w:sz w:val="20"/>
                <w:szCs w:val="20"/>
                <w:lang w:eastAsia="en-GB"/>
              </w:rPr>
              <w:t>43.9</w:t>
            </w:r>
          </w:p>
        </w:tc>
        <w:tc>
          <w:tcPr>
            <w:tcW w:w="1418" w:type="dxa"/>
            <w:shd w:val="clear" w:color="auto" w:fill="auto"/>
            <w:noWrap/>
          </w:tcPr>
          <w:p w:rsidR="00763E74" w:rsidRPr="00F30237" w:rsidRDefault="00B3351B" w:rsidP="001742A7">
            <w:pPr>
              <w:widowControl w:val="0"/>
              <w:spacing w:after="0" w:line="240" w:lineRule="auto"/>
              <w:jc w:val="center"/>
              <w:cnfStyle w:val="000000100000"/>
              <w:rPr>
                <w:rFonts w:cs="Arial"/>
                <w:b/>
                <w:bCs/>
                <w:color w:val="auto"/>
                <w:sz w:val="20"/>
                <w:szCs w:val="20"/>
                <w:lang w:eastAsia="en-GB"/>
              </w:rPr>
            </w:pPr>
            <w:r>
              <w:rPr>
                <w:rFonts w:cs="Arial"/>
                <w:b/>
                <w:bCs/>
                <w:color w:val="auto"/>
                <w:sz w:val="20"/>
                <w:szCs w:val="20"/>
                <w:lang w:eastAsia="en-GB"/>
              </w:rPr>
              <w:t>(1.3)</w:t>
            </w:r>
          </w:p>
        </w:tc>
        <w:tc>
          <w:tcPr>
            <w:cnfStyle w:val="000010000000"/>
            <w:tcW w:w="1228" w:type="dxa"/>
            <w:shd w:val="clear" w:color="auto" w:fill="auto"/>
            <w:noWrap/>
          </w:tcPr>
          <w:p w:rsidR="00763E74" w:rsidRPr="00F30237" w:rsidRDefault="00B3351B" w:rsidP="001742A7">
            <w:pPr>
              <w:widowControl w:val="0"/>
              <w:spacing w:after="0" w:line="240" w:lineRule="auto"/>
              <w:jc w:val="center"/>
              <w:rPr>
                <w:rFonts w:cs="Arial"/>
                <w:b/>
                <w:color w:val="auto"/>
                <w:sz w:val="20"/>
                <w:szCs w:val="20"/>
                <w:lang w:eastAsia="en-GB"/>
              </w:rPr>
            </w:pPr>
            <w:r>
              <w:rPr>
                <w:rFonts w:cs="Arial"/>
                <w:b/>
                <w:color w:val="auto"/>
                <w:sz w:val="20"/>
                <w:szCs w:val="20"/>
                <w:lang w:eastAsia="en-GB"/>
              </w:rPr>
              <w:t>42.6</w:t>
            </w:r>
          </w:p>
        </w:tc>
      </w:tr>
      <w:tr w:rsidR="00763E74" w:rsidRPr="00D42E0B" w:rsidTr="001742A7">
        <w:trPr>
          <w:trHeight w:val="319"/>
        </w:trPr>
        <w:tc>
          <w:tcPr>
            <w:cnfStyle w:val="001000000000"/>
            <w:tcW w:w="4597" w:type="dxa"/>
            <w:shd w:val="clear" w:color="auto" w:fill="auto"/>
            <w:noWrap/>
          </w:tcPr>
          <w:p w:rsidR="00763E74" w:rsidRPr="00F30237" w:rsidRDefault="00763E74" w:rsidP="00607E02">
            <w:pPr>
              <w:widowControl w:val="0"/>
              <w:spacing w:after="0" w:line="240" w:lineRule="auto"/>
              <w:rPr>
                <w:rFonts w:cs="Arial"/>
                <w:bCs w:val="0"/>
                <w:color w:val="auto"/>
                <w:sz w:val="20"/>
                <w:szCs w:val="20"/>
                <w:lang w:eastAsia="en-GB"/>
              </w:rPr>
            </w:pPr>
            <w:r w:rsidRPr="00F30237">
              <w:rPr>
                <w:rFonts w:cs="Arial"/>
                <w:bCs w:val="0"/>
                <w:color w:val="auto"/>
                <w:sz w:val="20"/>
                <w:szCs w:val="20"/>
                <w:lang w:eastAsia="en-GB"/>
              </w:rPr>
              <w:t>Movement in Reserves during 201</w:t>
            </w:r>
            <w:r w:rsidR="00607E02" w:rsidRPr="00F30237">
              <w:rPr>
                <w:rFonts w:cs="Arial"/>
                <w:bCs w:val="0"/>
                <w:color w:val="auto"/>
                <w:sz w:val="20"/>
                <w:szCs w:val="20"/>
                <w:lang w:eastAsia="en-GB"/>
              </w:rPr>
              <w:t>5</w:t>
            </w:r>
            <w:r w:rsidRPr="00F30237">
              <w:rPr>
                <w:rFonts w:cs="Arial"/>
                <w:bCs w:val="0"/>
                <w:color w:val="auto"/>
                <w:sz w:val="20"/>
                <w:szCs w:val="20"/>
                <w:lang w:eastAsia="en-GB"/>
              </w:rPr>
              <w:t>/1</w:t>
            </w:r>
            <w:r w:rsidR="00607E02" w:rsidRPr="00F30237">
              <w:rPr>
                <w:rFonts w:cs="Arial"/>
                <w:bCs w:val="0"/>
                <w:color w:val="auto"/>
                <w:sz w:val="20"/>
                <w:szCs w:val="20"/>
                <w:lang w:eastAsia="en-GB"/>
              </w:rPr>
              <w:t>6</w:t>
            </w:r>
          </w:p>
        </w:tc>
        <w:tc>
          <w:tcPr>
            <w:cnfStyle w:val="000010000000"/>
            <w:tcW w:w="1134" w:type="dxa"/>
            <w:shd w:val="clear" w:color="auto" w:fill="auto"/>
            <w:noWrap/>
          </w:tcPr>
          <w:p w:rsidR="00763E74" w:rsidRPr="00F30237" w:rsidRDefault="00763E74" w:rsidP="001742A7">
            <w:pPr>
              <w:widowControl w:val="0"/>
              <w:spacing w:after="0" w:line="240" w:lineRule="auto"/>
              <w:jc w:val="center"/>
              <w:rPr>
                <w:rFonts w:cs="Arial"/>
                <w:color w:val="auto"/>
                <w:sz w:val="20"/>
                <w:szCs w:val="20"/>
                <w:lang w:eastAsia="en-GB"/>
              </w:rPr>
            </w:pPr>
          </w:p>
        </w:tc>
        <w:tc>
          <w:tcPr>
            <w:tcW w:w="1559" w:type="dxa"/>
            <w:shd w:val="clear" w:color="auto" w:fill="auto"/>
            <w:noWrap/>
          </w:tcPr>
          <w:p w:rsidR="00763E74" w:rsidRPr="00F30237" w:rsidRDefault="00763E74" w:rsidP="001742A7">
            <w:pPr>
              <w:widowControl w:val="0"/>
              <w:spacing w:after="0" w:line="240" w:lineRule="auto"/>
              <w:jc w:val="center"/>
              <w:cnfStyle w:val="000000000000"/>
              <w:rPr>
                <w:rFonts w:cs="Arial"/>
                <w:color w:val="auto"/>
                <w:sz w:val="20"/>
                <w:szCs w:val="20"/>
                <w:lang w:eastAsia="en-GB"/>
              </w:rPr>
            </w:pPr>
          </w:p>
        </w:tc>
        <w:tc>
          <w:tcPr>
            <w:cnfStyle w:val="000010000000"/>
            <w:tcW w:w="1418" w:type="dxa"/>
            <w:shd w:val="clear" w:color="auto" w:fill="auto"/>
            <w:noWrap/>
          </w:tcPr>
          <w:p w:rsidR="00763E74" w:rsidRPr="00F30237" w:rsidRDefault="00763E74" w:rsidP="001742A7">
            <w:pPr>
              <w:widowControl w:val="0"/>
              <w:spacing w:after="0" w:line="240" w:lineRule="auto"/>
              <w:jc w:val="center"/>
              <w:rPr>
                <w:rFonts w:cs="Arial"/>
                <w:color w:val="auto"/>
                <w:sz w:val="20"/>
                <w:szCs w:val="20"/>
                <w:lang w:eastAsia="en-GB"/>
              </w:rPr>
            </w:pPr>
          </w:p>
        </w:tc>
        <w:tc>
          <w:tcPr>
            <w:tcW w:w="1465" w:type="dxa"/>
            <w:shd w:val="clear" w:color="auto" w:fill="auto"/>
          </w:tcPr>
          <w:p w:rsidR="00763E74" w:rsidRPr="00F30237" w:rsidRDefault="00763E74" w:rsidP="001742A7">
            <w:pPr>
              <w:widowControl w:val="0"/>
              <w:spacing w:after="0" w:line="240" w:lineRule="auto"/>
              <w:jc w:val="center"/>
              <w:cnfStyle w:val="000000000000"/>
              <w:rPr>
                <w:rFonts w:cs="Arial"/>
                <w:bCs/>
                <w:color w:val="auto"/>
                <w:sz w:val="20"/>
                <w:szCs w:val="20"/>
                <w:lang w:eastAsia="en-GB"/>
              </w:rPr>
            </w:pPr>
          </w:p>
        </w:tc>
        <w:tc>
          <w:tcPr>
            <w:cnfStyle w:val="000010000000"/>
            <w:tcW w:w="1417" w:type="dxa"/>
            <w:shd w:val="clear" w:color="auto" w:fill="auto"/>
            <w:noWrap/>
          </w:tcPr>
          <w:p w:rsidR="00763E74" w:rsidRPr="00F30237" w:rsidRDefault="00763E74" w:rsidP="001742A7">
            <w:pPr>
              <w:widowControl w:val="0"/>
              <w:spacing w:after="0" w:line="240" w:lineRule="auto"/>
              <w:jc w:val="center"/>
              <w:rPr>
                <w:rFonts w:cs="Arial"/>
                <w:b/>
                <w:bCs/>
                <w:color w:val="auto"/>
                <w:sz w:val="20"/>
                <w:szCs w:val="20"/>
                <w:lang w:eastAsia="en-GB"/>
              </w:rPr>
            </w:pPr>
          </w:p>
        </w:tc>
        <w:tc>
          <w:tcPr>
            <w:tcW w:w="1418" w:type="dxa"/>
            <w:shd w:val="clear" w:color="auto" w:fill="auto"/>
            <w:noWrap/>
          </w:tcPr>
          <w:p w:rsidR="00763E74" w:rsidRPr="00F30237" w:rsidRDefault="00763E74" w:rsidP="001742A7">
            <w:pPr>
              <w:widowControl w:val="0"/>
              <w:spacing w:after="0" w:line="240" w:lineRule="auto"/>
              <w:jc w:val="center"/>
              <w:cnfStyle w:val="000000000000"/>
              <w:rPr>
                <w:rFonts w:cs="Arial"/>
                <w:color w:val="auto"/>
                <w:sz w:val="20"/>
                <w:szCs w:val="20"/>
                <w:lang w:eastAsia="en-GB"/>
              </w:rPr>
            </w:pPr>
          </w:p>
        </w:tc>
        <w:tc>
          <w:tcPr>
            <w:cnfStyle w:val="000010000000"/>
            <w:tcW w:w="1228" w:type="dxa"/>
            <w:shd w:val="clear" w:color="auto" w:fill="auto"/>
            <w:noWrap/>
          </w:tcPr>
          <w:p w:rsidR="00763E74" w:rsidRPr="00F30237" w:rsidRDefault="00763E74" w:rsidP="001742A7">
            <w:pPr>
              <w:widowControl w:val="0"/>
              <w:spacing w:after="0" w:line="240" w:lineRule="auto"/>
              <w:jc w:val="center"/>
              <w:rPr>
                <w:rFonts w:cs="Arial"/>
                <w:b/>
                <w:bCs/>
                <w:color w:val="auto"/>
                <w:sz w:val="20"/>
                <w:szCs w:val="20"/>
                <w:lang w:eastAsia="en-GB"/>
              </w:rPr>
            </w:pPr>
          </w:p>
        </w:tc>
      </w:tr>
      <w:tr w:rsidR="00763E74" w:rsidRPr="00D42E0B" w:rsidTr="001742A7">
        <w:trPr>
          <w:cnfStyle w:val="000000100000"/>
          <w:trHeight w:val="319"/>
        </w:trPr>
        <w:tc>
          <w:tcPr>
            <w:cnfStyle w:val="001000000000"/>
            <w:tcW w:w="4597" w:type="dxa"/>
            <w:shd w:val="clear" w:color="auto" w:fill="auto"/>
            <w:noWrap/>
          </w:tcPr>
          <w:p w:rsidR="00763E74" w:rsidRPr="00F30237" w:rsidRDefault="00763E74" w:rsidP="001742A7">
            <w:pPr>
              <w:widowControl w:val="0"/>
              <w:spacing w:after="0" w:line="240" w:lineRule="auto"/>
              <w:rPr>
                <w:rFonts w:cs="Arial"/>
                <w:b w:val="0"/>
                <w:color w:val="auto"/>
                <w:sz w:val="20"/>
                <w:szCs w:val="20"/>
                <w:lang w:eastAsia="en-GB"/>
              </w:rPr>
            </w:pPr>
            <w:r w:rsidRPr="00F30237">
              <w:rPr>
                <w:rFonts w:cs="Arial"/>
                <w:b w:val="0"/>
                <w:color w:val="auto"/>
                <w:sz w:val="20"/>
                <w:szCs w:val="20"/>
                <w:lang w:eastAsia="en-GB"/>
              </w:rPr>
              <w:t xml:space="preserve">Surplus or (deficit) on provision of services </w:t>
            </w:r>
            <w:r w:rsidR="009066C8">
              <w:rPr>
                <w:rFonts w:cs="Arial"/>
                <w:b w:val="0"/>
                <w:color w:val="auto"/>
                <w:sz w:val="20"/>
                <w:szCs w:val="20"/>
                <w:lang w:eastAsia="en-GB"/>
              </w:rPr>
              <w:t>(accounting basis)</w:t>
            </w:r>
          </w:p>
        </w:tc>
        <w:tc>
          <w:tcPr>
            <w:cnfStyle w:val="000010000000"/>
            <w:tcW w:w="1134" w:type="dxa"/>
            <w:shd w:val="clear" w:color="auto" w:fill="auto"/>
            <w:noWrap/>
          </w:tcPr>
          <w:p w:rsidR="00763E74" w:rsidRPr="00F30237" w:rsidRDefault="00A6586C" w:rsidP="00A61777">
            <w:pPr>
              <w:widowControl w:val="0"/>
              <w:spacing w:after="0" w:line="240" w:lineRule="auto"/>
              <w:jc w:val="center"/>
              <w:rPr>
                <w:rFonts w:cs="Arial"/>
                <w:color w:val="auto"/>
                <w:sz w:val="20"/>
                <w:szCs w:val="20"/>
                <w:lang w:eastAsia="en-GB"/>
              </w:rPr>
            </w:pPr>
            <w:r>
              <w:rPr>
                <w:rFonts w:cs="Arial"/>
                <w:color w:val="auto"/>
                <w:sz w:val="20"/>
                <w:szCs w:val="20"/>
                <w:lang w:eastAsia="en-GB"/>
              </w:rPr>
              <w:t>(26.4)</w:t>
            </w:r>
          </w:p>
        </w:tc>
        <w:tc>
          <w:tcPr>
            <w:tcW w:w="1559" w:type="dxa"/>
            <w:shd w:val="clear" w:color="auto" w:fill="auto"/>
            <w:noWrap/>
          </w:tcPr>
          <w:p w:rsidR="00763E74" w:rsidRPr="00F30237" w:rsidRDefault="00A6586C" w:rsidP="001742A7">
            <w:pPr>
              <w:widowControl w:val="0"/>
              <w:spacing w:after="0" w:line="240" w:lineRule="auto"/>
              <w:jc w:val="center"/>
              <w:cnfStyle w:val="000000100000"/>
              <w:rPr>
                <w:rFonts w:cs="Arial"/>
                <w:color w:val="auto"/>
                <w:sz w:val="20"/>
                <w:szCs w:val="20"/>
                <w:lang w:eastAsia="en-GB"/>
              </w:rPr>
            </w:pPr>
            <w:r>
              <w:rPr>
                <w:rFonts w:cs="Arial"/>
                <w:color w:val="auto"/>
                <w:sz w:val="20"/>
                <w:szCs w:val="20"/>
                <w:lang w:eastAsia="en-GB"/>
              </w:rPr>
              <w:t>-</w:t>
            </w:r>
          </w:p>
        </w:tc>
        <w:tc>
          <w:tcPr>
            <w:cnfStyle w:val="000010000000"/>
            <w:tcW w:w="1418" w:type="dxa"/>
            <w:shd w:val="clear" w:color="auto" w:fill="auto"/>
            <w:noWrap/>
          </w:tcPr>
          <w:p w:rsidR="00763E74" w:rsidRPr="00F30237" w:rsidRDefault="00B3351B" w:rsidP="001742A7">
            <w:pPr>
              <w:widowControl w:val="0"/>
              <w:spacing w:after="0" w:line="240" w:lineRule="auto"/>
              <w:jc w:val="center"/>
              <w:rPr>
                <w:rFonts w:cs="Arial"/>
                <w:color w:val="auto"/>
                <w:sz w:val="20"/>
                <w:szCs w:val="20"/>
                <w:lang w:eastAsia="en-GB"/>
              </w:rPr>
            </w:pPr>
            <w:r>
              <w:rPr>
                <w:rFonts w:cs="Arial"/>
                <w:color w:val="auto"/>
                <w:sz w:val="20"/>
                <w:szCs w:val="20"/>
                <w:lang w:eastAsia="en-GB"/>
              </w:rPr>
              <w:t>-</w:t>
            </w:r>
          </w:p>
        </w:tc>
        <w:tc>
          <w:tcPr>
            <w:tcW w:w="1465" w:type="dxa"/>
            <w:shd w:val="clear" w:color="auto" w:fill="auto"/>
          </w:tcPr>
          <w:p w:rsidR="00763E74" w:rsidRPr="00F30237" w:rsidRDefault="00B3351B" w:rsidP="001742A7">
            <w:pPr>
              <w:widowControl w:val="0"/>
              <w:spacing w:after="0" w:line="240" w:lineRule="auto"/>
              <w:jc w:val="center"/>
              <w:cnfStyle w:val="000000100000"/>
              <w:rPr>
                <w:rFonts w:cs="Arial"/>
                <w:bCs/>
                <w:color w:val="auto"/>
                <w:sz w:val="20"/>
                <w:szCs w:val="20"/>
                <w:lang w:eastAsia="en-GB"/>
              </w:rPr>
            </w:pPr>
            <w:r>
              <w:rPr>
                <w:rFonts w:cs="Arial"/>
                <w:bCs/>
                <w:color w:val="auto"/>
                <w:sz w:val="20"/>
                <w:szCs w:val="20"/>
                <w:lang w:eastAsia="en-GB"/>
              </w:rPr>
              <w:t>-</w:t>
            </w:r>
          </w:p>
        </w:tc>
        <w:tc>
          <w:tcPr>
            <w:cnfStyle w:val="000010000000"/>
            <w:tcW w:w="1417" w:type="dxa"/>
            <w:shd w:val="clear" w:color="auto" w:fill="auto"/>
            <w:noWrap/>
          </w:tcPr>
          <w:p w:rsidR="00763E74" w:rsidRPr="00F30237" w:rsidRDefault="00B3351B" w:rsidP="00A61777">
            <w:pPr>
              <w:widowControl w:val="0"/>
              <w:spacing w:after="0" w:line="240" w:lineRule="auto"/>
              <w:jc w:val="center"/>
              <w:rPr>
                <w:rFonts w:cs="Arial"/>
                <w:bCs/>
                <w:color w:val="auto"/>
                <w:sz w:val="20"/>
                <w:szCs w:val="20"/>
                <w:lang w:eastAsia="en-GB"/>
              </w:rPr>
            </w:pPr>
            <w:r>
              <w:rPr>
                <w:rFonts w:cs="Arial"/>
                <w:bCs/>
                <w:color w:val="auto"/>
                <w:sz w:val="20"/>
                <w:szCs w:val="20"/>
                <w:lang w:eastAsia="en-GB"/>
              </w:rPr>
              <w:t>(26.4)</w:t>
            </w:r>
          </w:p>
        </w:tc>
        <w:tc>
          <w:tcPr>
            <w:tcW w:w="1418" w:type="dxa"/>
            <w:shd w:val="clear" w:color="auto" w:fill="auto"/>
            <w:noWrap/>
          </w:tcPr>
          <w:p w:rsidR="00763E74" w:rsidRPr="00F30237" w:rsidRDefault="00B3351B" w:rsidP="001742A7">
            <w:pPr>
              <w:widowControl w:val="0"/>
              <w:spacing w:after="0" w:line="240" w:lineRule="auto"/>
              <w:jc w:val="center"/>
              <w:cnfStyle w:val="000000100000"/>
              <w:rPr>
                <w:rFonts w:cs="Arial"/>
                <w:color w:val="auto"/>
                <w:sz w:val="20"/>
                <w:szCs w:val="20"/>
                <w:lang w:eastAsia="en-GB"/>
              </w:rPr>
            </w:pPr>
            <w:r>
              <w:rPr>
                <w:rFonts w:cs="Arial"/>
                <w:color w:val="auto"/>
                <w:sz w:val="20"/>
                <w:szCs w:val="20"/>
                <w:lang w:eastAsia="en-GB"/>
              </w:rPr>
              <w:t>-</w:t>
            </w:r>
          </w:p>
        </w:tc>
        <w:tc>
          <w:tcPr>
            <w:cnfStyle w:val="000010000000"/>
            <w:tcW w:w="1228" w:type="dxa"/>
            <w:shd w:val="clear" w:color="auto" w:fill="auto"/>
            <w:noWrap/>
          </w:tcPr>
          <w:p w:rsidR="00763E74" w:rsidRPr="00F30237" w:rsidRDefault="00B3351B" w:rsidP="00A61777">
            <w:pPr>
              <w:widowControl w:val="0"/>
              <w:spacing w:after="0" w:line="240" w:lineRule="auto"/>
              <w:jc w:val="center"/>
              <w:rPr>
                <w:rFonts w:cs="Arial"/>
                <w:bCs/>
                <w:color w:val="auto"/>
                <w:sz w:val="20"/>
                <w:szCs w:val="20"/>
                <w:lang w:eastAsia="en-GB"/>
              </w:rPr>
            </w:pPr>
            <w:r>
              <w:rPr>
                <w:rFonts w:cs="Arial"/>
                <w:bCs/>
                <w:color w:val="auto"/>
                <w:sz w:val="20"/>
                <w:szCs w:val="20"/>
                <w:lang w:eastAsia="en-GB"/>
              </w:rPr>
              <w:t>(26.4)</w:t>
            </w:r>
          </w:p>
        </w:tc>
      </w:tr>
      <w:tr w:rsidR="00763E74" w:rsidRPr="00D42E0B" w:rsidTr="001742A7">
        <w:trPr>
          <w:trHeight w:val="246"/>
        </w:trPr>
        <w:tc>
          <w:tcPr>
            <w:cnfStyle w:val="001000000000"/>
            <w:tcW w:w="4597" w:type="dxa"/>
            <w:shd w:val="clear" w:color="auto" w:fill="auto"/>
            <w:noWrap/>
          </w:tcPr>
          <w:p w:rsidR="00763E74" w:rsidRPr="00F30237" w:rsidRDefault="00763E74" w:rsidP="001742A7">
            <w:pPr>
              <w:widowControl w:val="0"/>
              <w:spacing w:after="0" w:line="240" w:lineRule="auto"/>
              <w:rPr>
                <w:rFonts w:cs="Arial"/>
                <w:b w:val="0"/>
                <w:color w:val="auto"/>
                <w:sz w:val="20"/>
                <w:szCs w:val="20"/>
                <w:lang w:eastAsia="en-GB"/>
              </w:rPr>
            </w:pPr>
            <w:r w:rsidRPr="00F30237">
              <w:rPr>
                <w:rFonts w:cs="Arial"/>
                <w:b w:val="0"/>
                <w:color w:val="auto"/>
                <w:sz w:val="20"/>
                <w:szCs w:val="20"/>
                <w:lang w:eastAsia="en-GB"/>
              </w:rPr>
              <w:t>Other Comprehensive Expenditure and Income</w:t>
            </w:r>
          </w:p>
          <w:p w:rsidR="00763E74" w:rsidRPr="00F30237" w:rsidRDefault="00763E74" w:rsidP="001742A7">
            <w:pPr>
              <w:widowControl w:val="0"/>
              <w:spacing w:after="0" w:line="240" w:lineRule="auto"/>
              <w:rPr>
                <w:rFonts w:cs="Arial"/>
                <w:b w:val="0"/>
                <w:color w:val="auto"/>
                <w:sz w:val="20"/>
                <w:szCs w:val="20"/>
                <w:lang w:eastAsia="en-GB"/>
              </w:rPr>
            </w:pPr>
            <w:r w:rsidRPr="00F30237">
              <w:rPr>
                <w:rFonts w:cs="Arial"/>
                <w:b w:val="0"/>
                <w:color w:val="auto"/>
                <w:sz w:val="20"/>
                <w:szCs w:val="20"/>
                <w:lang w:eastAsia="en-GB"/>
              </w:rPr>
              <w:t>(see C I&amp;E Statement)</w:t>
            </w:r>
          </w:p>
        </w:tc>
        <w:tc>
          <w:tcPr>
            <w:cnfStyle w:val="000010000000"/>
            <w:tcW w:w="1134" w:type="dxa"/>
            <w:shd w:val="clear" w:color="auto" w:fill="auto"/>
            <w:noWrap/>
          </w:tcPr>
          <w:p w:rsidR="00763E74" w:rsidRPr="00F30237" w:rsidRDefault="00A6586C" w:rsidP="001742A7">
            <w:pPr>
              <w:widowControl w:val="0"/>
              <w:spacing w:after="0" w:line="240" w:lineRule="auto"/>
              <w:jc w:val="center"/>
              <w:rPr>
                <w:rFonts w:cs="Arial"/>
                <w:color w:val="auto"/>
                <w:sz w:val="20"/>
                <w:szCs w:val="20"/>
                <w:lang w:eastAsia="en-GB"/>
              </w:rPr>
            </w:pPr>
            <w:r>
              <w:rPr>
                <w:rFonts w:cs="Arial"/>
                <w:color w:val="auto"/>
                <w:sz w:val="20"/>
                <w:szCs w:val="20"/>
                <w:lang w:eastAsia="en-GB"/>
              </w:rPr>
              <w:t>-</w:t>
            </w:r>
          </w:p>
        </w:tc>
        <w:tc>
          <w:tcPr>
            <w:tcW w:w="1559" w:type="dxa"/>
            <w:shd w:val="clear" w:color="auto" w:fill="auto"/>
            <w:noWrap/>
          </w:tcPr>
          <w:p w:rsidR="00763E74" w:rsidRPr="00F30237" w:rsidRDefault="00A6586C" w:rsidP="001742A7">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w:t>
            </w:r>
          </w:p>
        </w:tc>
        <w:tc>
          <w:tcPr>
            <w:cnfStyle w:val="000010000000"/>
            <w:tcW w:w="1418" w:type="dxa"/>
            <w:shd w:val="clear" w:color="auto" w:fill="auto"/>
            <w:noWrap/>
          </w:tcPr>
          <w:p w:rsidR="00763E74" w:rsidRPr="00F30237" w:rsidRDefault="00B3351B" w:rsidP="001742A7">
            <w:pPr>
              <w:widowControl w:val="0"/>
              <w:spacing w:after="0" w:line="240" w:lineRule="auto"/>
              <w:jc w:val="center"/>
              <w:rPr>
                <w:rFonts w:cs="Arial"/>
                <w:color w:val="auto"/>
                <w:sz w:val="20"/>
                <w:szCs w:val="20"/>
                <w:lang w:eastAsia="en-GB"/>
              </w:rPr>
            </w:pPr>
            <w:r>
              <w:rPr>
                <w:rFonts w:cs="Arial"/>
                <w:color w:val="auto"/>
                <w:sz w:val="20"/>
                <w:szCs w:val="20"/>
                <w:lang w:eastAsia="en-GB"/>
              </w:rPr>
              <w:t>-</w:t>
            </w:r>
          </w:p>
        </w:tc>
        <w:tc>
          <w:tcPr>
            <w:tcW w:w="1465" w:type="dxa"/>
            <w:shd w:val="clear" w:color="auto" w:fill="auto"/>
          </w:tcPr>
          <w:p w:rsidR="00763E74" w:rsidRPr="00F30237" w:rsidRDefault="00B3351B" w:rsidP="001742A7">
            <w:pPr>
              <w:widowControl w:val="0"/>
              <w:spacing w:after="0" w:line="240" w:lineRule="auto"/>
              <w:jc w:val="center"/>
              <w:cnfStyle w:val="000000000000"/>
              <w:rPr>
                <w:rFonts w:cs="Arial"/>
                <w:bCs/>
                <w:color w:val="auto"/>
                <w:sz w:val="20"/>
                <w:szCs w:val="20"/>
                <w:lang w:eastAsia="en-GB"/>
              </w:rPr>
            </w:pPr>
            <w:r>
              <w:rPr>
                <w:rFonts w:cs="Arial"/>
                <w:bCs/>
                <w:color w:val="auto"/>
                <w:sz w:val="20"/>
                <w:szCs w:val="20"/>
                <w:lang w:eastAsia="en-GB"/>
              </w:rPr>
              <w:t>-</w:t>
            </w:r>
          </w:p>
        </w:tc>
        <w:tc>
          <w:tcPr>
            <w:cnfStyle w:val="000010000000"/>
            <w:tcW w:w="1417" w:type="dxa"/>
            <w:shd w:val="clear" w:color="auto" w:fill="auto"/>
            <w:noWrap/>
          </w:tcPr>
          <w:p w:rsidR="00763E74" w:rsidRPr="00F30237" w:rsidRDefault="00B3351B" w:rsidP="001742A7">
            <w:pPr>
              <w:widowControl w:val="0"/>
              <w:spacing w:after="0" w:line="240" w:lineRule="auto"/>
              <w:jc w:val="center"/>
              <w:rPr>
                <w:rFonts w:cs="Arial"/>
                <w:bCs/>
                <w:color w:val="auto"/>
                <w:sz w:val="20"/>
                <w:szCs w:val="20"/>
                <w:lang w:eastAsia="en-GB"/>
              </w:rPr>
            </w:pPr>
            <w:r>
              <w:rPr>
                <w:rFonts w:cs="Arial"/>
                <w:bCs/>
                <w:color w:val="auto"/>
                <w:sz w:val="20"/>
                <w:szCs w:val="20"/>
                <w:lang w:eastAsia="en-GB"/>
              </w:rPr>
              <w:t>-</w:t>
            </w:r>
          </w:p>
        </w:tc>
        <w:tc>
          <w:tcPr>
            <w:tcW w:w="1418" w:type="dxa"/>
            <w:shd w:val="clear" w:color="auto" w:fill="auto"/>
            <w:noWrap/>
          </w:tcPr>
          <w:p w:rsidR="00763E74" w:rsidRPr="00F30237" w:rsidRDefault="00B766AA" w:rsidP="00B3351B">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31.1</w:t>
            </w:r>
          </w:p>
        </w:tc>
        <w:tc>
          <w:tcPr>
            <w:cnfStyle w:val="000010000000"/>
            <w:tcW w:w="1228" w:type="dxa"/>
            <w:shd w:val="clear" w:color="auto" w:fill="auto"/>
            <w:noWrap/>
          </w:tcPr>
          <w:p w:rsidR="00763E74" w:rsidRPr="00F30237" w:rsidRDefault="00CF6017" w:rsidP="00B3351B">
            <w:pPr>
              <w:widowControl w:val="0"/>
              <w:spacing w:after="0" w:line="240" w:lineRule="auto"/>
              <w:jc w:val="center"/>
              <w:rPr>
                <w:rFonts w:cs="Arial"/>
                <w:bCs/>
                <w:color w:val="auto"/>
                <w:sz w:val="20"/>
                <w:szCs w:val="20"/>
                <w:lang w:eastAsia="en-GB"/>
              </w:rPr>
            </w:pPr>
            <w:r>
              <w:rPr>
                <w:rFonts w:cs="Arial"/>
                <w:bCs/>
                <w:color w:val="auto"/>
                <w:sz w:val="20"/>
                <w:szCs w:val="20"/>
                <w:lang w:eastAsia="en-GB"/>
              </w:rPr>
              <w:t>31.1</w:t>
            </w:r>
          </w:p>
        </w:tc>
      </w:tr>
      <w:tr w:rsidR="00763E74" w:rsidRPr="00D42E0B" w:rsidTr="001742A7">
        <w:trPr>
          <w:cnfStyle w:val="000000100000"/>
          <w:trHeight w:val="246"/>
        </w:trPr>
        <w:tc>
          <w:tcPr>
            <w:cnfStyle w:val="001000000000"/>
            <w:tcW w:w="4597" w:type="dxa"/>
            <w:shd w:val="clear" w:color="auto" w:fill="auto"/>
            <w:noWrap/>
          </w:tcPr>
          <w:p w:rsidR="00763E74" w:rsidRPr="00F30237" w:rsidRDefault="00763E74" w:rsidP="001742A7">
            <w:pPr>
              <w:widowControl w:val="0"/>
              <w:spacing w:after="0" w:line="240" w:lineRule="auto"/>
              <w:rPr>
                <w:rFonts w:cs="Arial"/>
                <w:bCs w:val="0"/>
                <w:color w:val="auto"/>
                <w:sz w:val="20"/>
                <w:szCs w:val="20"/>
                <w:lang w:eastAsia="en-GB"/>
              </w:rPr>
            </w:pPr>
            <w:r w:rsidRPr="00F30237">
              <w:rPr>
                <w:rFonts w:cs="Arial"/>
                <w:bCs w:val="0"/>
                <w:color w:val="auto"/>
                <w:sz w:val="20"/>
                <w:szCs w:val="20"/>
                <w:lang w:eastAsia="en-GB"/>
              </w:rPr>
              <w:t>Total Comprehensive Expenditure and Income</w:t>
            </w:r>
          </w:p>
        </w:tc>
        <w:tc>
          <w:tcPr>
            <w:cnfStyle w:val="000010000000"/>
            <w:tcW w:w="1134" w:type="dxa"/>
            <w:shd w:val="clear" w:color="auto" w:fill="auto"/>
            <w:noWrap/>
          </w:tcPr>
          <w:p w:rsidR="00763E74" w:rsidRPr="00F30237" w:rsidRDefault="00A6586C" w:rsidP="00A61777">
            <w:pPr>
              <w:widowControl w:val="0"/>
              <w:spacing w:after="0" w:line="240" w:lineRule="auto"/>
              <w:jc w:val="center"/>
              <w:rPr>
                <w:rFonts w:cs="Arial"/>
                <w:b/>
                <w:color w:val="auto"/>
                <w:sz w:val="20"/>
                <w:szCs w:val="20"/>
                <w:lang w:eastAsia="en-GB"/>
              </w:rPr>
            </w:pPr>
            <w:r>
              <w:rPr>
                <w:rFonts w:cs="Arial"/>
                <w:b/>
                <w:color w:val="auto"/>
                <w:sz w:val="20"/>
                <w:szCs w:val="20"/>
                <w:lang w:eastAsia="en-GB"/>
              </w:rPr>
              <w:t>(26.4)</w:t>
            </w:r>
          </w:p>
        </w:tc>
        <w:tc>
          <w:tcPr>
            <w:tcW w:w="1559" w:type="dxa"/>
            <w:shd w:val="clear" w:color="auto" w:fill="auto"/>
            <w:noWrap/>
          </w:tcPr>
          <w:p w:rsidR="00763E74" w:rsidRPr="00F30237" w:rsidRDefault="00A6586C" w:rsidP="001742A7">
            <w:pPr>
              <w:widowControl w:val="0"/>
              <w:spacing w:after="0" w:line="240" w:lineRule="auto"/>
              <w:jc w:val="center"/>
              <w:cnfStyle w:val="000000100000"/>
              <w:rPr>
                <w:rFonts w:cs="Arial"/>
                <w:b/>
                <w:color w:val="auto"/>
                <w:sz w:val="20"/>
                <w:szCs w:val="20"/>
                <w:lang w:eastAsia="en-GB"/>
              </w:rPr>
            </w:pPr>
            <w:r>
              <w:rPr>
                <w:rFonts w:cs="Arial"/>
                <w:b/>
                <w:color w:val="auto"/>
                <w:sz w:val="20"/>
                <w:szCs w:val="20"/>
                <w:lang w:eastAsia="en-GB"/>
              </w:rPr>
              <w:t>-</w:t>
            </w:r>
          </w:p>
        </w:tc>
        <w:tc>
          <w:tcPr>
            <w:cnfStyle w:val="000010000000"/>
            <w:tcW w:w="1418" w:type="dxa"/>
            <w:shd w:val="clear" w:color="auto" w:fill="auto"/>
            <w:noWrap/>
          </w:tcPr>
          <w:p w:rsidR="00763E74" w:rsidRPr="00F30237" w:rsidRDefault="00B3351B" w:rsidP="001742A7">
            <w:pPr>
              <w:widowControl w:val="0"/>
              <w:spacing w:after="0" w:line="240" w:lineRule="auto"/>
              <w:jc w:val="center"/>
              <w:rPr>
                <w:rFonts w:cs="Arial"/>
                <w:b/>
                <w:color w:val="auto"/>
                <w:sz w:val="20"/>
                <w:szCs w:val="20"/>
                <w:lang w:eastAsia="en-GB"/>
              </w:rPr>
            </w:pPr>
            <w:r>
              <w:rPr>
                <w:rFonts w:cs="Arial"/>
                <w:b/>
                <w:color w:val="auto"/>
                <w:sz w:val="20"/>
                <w:szCs w:val="20"/>
                <w:lang w:eastAsia="en-GB"/>
              </w:rPr>
              <w:t>-</w:t>
            </w:r>
          </w:p>
        </w:tc>
        <w:tc>
          <w:tcPr>
            <w:tcW w:w="1465" w:type="dxa"/>
            <w:shd w:val="clear" w:color="auto" w:fill="auto"/>
          </w:tcPr>
          <w:p w:rsidR="00763E74" w:rsidRPr="00F30237" w:rsidRDefault="00B3351B" w:rsidP="001742A7">
            <w:pPr>
              <w:widowControl w:val="0"/>
              <w:spacing w:after="0" w:line="240" w:lineRule="auto"/>
              <w:jc w:val="center"/>
              <w:cnfStyle w:val="000000100000"/>
              <w:rPr>
                <w:rFonts w:cs="Arial"/>
                <w:b/>
                <w:bCs/>
                <w:color w:val="auto"/>
                <w:sz w:val="20"/>
                <w:szCs w:val="20"/>
                <w:lang w:eastAsia="en-GB"/>
              </w:rPr>
            </w:pPr>
            <w:r>
              <w:rPr>
                <w:rFonts w:cs="Arial"/>
                <w:b/>
                <w:bCs/>
                <w:color w:val="auto"/>
                <w:sz w:val="20"/>
                <w:szCs w:val="20"/>
                <w:lang w:eastAsia="en-GB"/>
              </w:rPr>
              <w:t>-</w:t>
            </w:r>
          </w:p>
        </w:tc>
        <w:tc>
          <w:tcPr>
            <w:cnfStyle w:val="000010000000"/>
            <w:tcW w:w="1417" w:type="dxa"/>
            <w:shd w:val="clear" w:color="auto" w:fill="auto"/>
            <w:noWrap/>
          </w:tcPr>
          <w:p w:rsidR="00763E74" w:rsidRPr="00F30237" w:rsidRDefault="00B3351B" w:rsidP="00B3351B">
            <w:pPr>
              <w:widowControl w:val="0"/>
              <w:spacing w:after="0" w:line="240" w:lineRule="auto"/>
              <w:jc w:val="center"/>
              <w:rPr>
                <w:rFonts w:cs="Arial"/>
                <w:b/>
                <w:bCs/>
                <w:color w:val="auto"/>
                <w:sz w:val="20"/>
                <w:szCs w:val="20"/>
                <w:lang w:eastAsia="en-GB"/>
              </w:rPr>
            </w:pPr>
            <w:r>
              <w:rPr>
                <w:rFonts w:cs="Arial"/>
                <w:b/>
                <w:bCs/>
                <w:color w:val="auto"/>
                <w:sz w:val="20"/>
                <w:szCs w:val="20"/>
                <w:lang w:eastAsia="en-GB"/>
              </w:rPr>
              <w:t>(26.4)</w:t>
            </w:r>
          </w:p>
        </w:tc>
        <w:tc>
          <w:tcPr>
            <w:tcW w:w="1418" w:type="dxa"/>
            <w:shd w:val="clear" w:color="auto" w:fill="auto"/>
            <w:noWrap/>
          </w:tcPr>
          <w:p w:rsidR="00763E74" w:rsidRPr="00F30237" w:rsidRDefault="00B766AA" w:rsidP="00B766AA">
            <w:pPr>
              <w:widowControl w:val="0"/>
              <w:spacing w:after="0" w:line="240" w:lineRule="auto"/>
              <w:jc w:val="center"/>
              <w:cnfStyle w:val="000000100000"/>
              <w:rPr>
                <w:rFonts w:cs="Arial"/>
                <w:b/>
                <w:bCs/>
                <w:color w:val="auto"/>
                <w:sz w:val="20"/>
                <w:szCs w:val="20"/>
                <w:lang w:eastAsia="en-GB"/>
              </w:rPr>
            </w:pPr>
            <w:r>
              <w:rPr>
                <w:rFonts w:cs="Arial"/>
                <w:b/>
                <w:bCs/>
                <w:color w:val="auto"/>
                <w:sz w:val="20"/>
                <w:szCs w:val="20"/>
                <w:lang w:eastAsia="en-GB"/>
              </w:rPr>
              <w:t>31.1</w:t>
            </w:r>
          </w:p>
        </w:tc>
        <w:tc>
          <w:tcPr>
            <w:cnfStyle w:val="000010000000"/>
            <w:tcW w:w="1228" w:type="dxa"/>
            <w:shd w:val="clear" w:color="auto" w:fill="auto"/>
            <w:noWrap/>
          </w:tcPr>
          <w:p w:rsidR="00763E74" w:rsidRPr="00F30237" w:rsidRDefault="00CF6017" w:rsidP="001742A7">
            <w:pPr>
              <w:widowControl w:val="0"/>
              <w:spacing w:after="0" w:line="240" w:lineRule="auto"/>
              <w:jc w:val="center"/>
              <w:rPr>
                <w:rFonts w:cs="Arial"/>
                <w:b/>
                <w:bCs/>
                <w:color w:val="auto"/>
                <w:sz w:val="20"/>
                <w:szCs w:val="20"/>
                <w:lang w:eastAsia="en-GB"/>
              </w:rPr>
            </w:pPr>
            <w:r>
              <w:rPr>
                <w:rFonts w:cs="Arial"/>
                <w:b/>
                <w:bCs/>
                <w:color w:val="auto"/>
                <w:sz w:val="20"/>
                <w:szCs w:val="20"/>
                <w:lang w:eastAsia="en-GB"/>
              </w:rPr>
              <w:t>4.7</w:t>
            </w:r>
          </w:p>
        </w:tc>
      </w:tr>
      <w:tr w:rsidR="00763E74" w:rsidRPr="00D42E0B" w:rsidTr="001742A7">
        <w:trPr>
          <w:trHeight w:val="246"/>
        </w:trPr>
        <w:tc>
          <w:tcPr>
            <w:cnfStyle w:val="001000000000"/>
            <w:tcW w:w="4597" w:type="dxa"/>
            <w:shd w:val="clear" w:color="auto" w:fill="auto"/>
            <w:noWrap/>
          </w:tcPr>
          <w:p w:rsidR="00763E74" w:rsidRPr="00F30237" w:rsidRDefault="00763E74" w:rsidP="001742A7">
            <w:pPr>
              <w:widowControl w:val="0"/>
              <w:spacing w:after="0" w:line="240" w:lineRule="auto"/>
              <w:rPr>
                <w:rFonts w:cs="Arial"/>
                <w:b w:val="0"/>
                <w:color w:val="auto"/>
                <w:sz w:val="20"/>
                <w:szCs w:val="20"/>
                <w:lang w:eastAsia="en-GB"/>
              </w:rPr>
            </w:pPr>
            <w:r w:rsidRPr="00F30237">
              <w:rPr>
                <w:rFonts w:cs="Arial"/>
                <w:b w:val="0"/>
                <w:color w:val="auto"/>
                <w:sz w:val="20"/>
                <w:szCs w:val="20"/>
                <w:lang w:eastAsia="en-GB"/>
              </w:rPr>
              <w:t>Adjustments between accounting basis &amp; funding basis under regulations (Note 7)</w:t>
            </w:r>
          </w:p>
        </w:tc>
        <w:tc>
          <w:tcPr>
            <w:cnfStyle w:val="000010000000"/>
            <w:tcW w:w="1134" w:type="dxa"/>
            <w:shd w:val="clear" w:color="auto" w:fill="auto"/>
            <w:noWrap/>
          </w:tcPr>
          <w:p w:rsidR="00763E74" w:rsidRPr="00F30237" w:rsidRDefault="00A6586C" w:rsidP="00F527A1">
            <w:pPr>
              <w:widowControl w:val="0"/>
              <w:spacing w:after="0" w:line="240" w:lineRule="auto"/>
              <w:jc w:val="center"/>
              <w:rPr>
                <w:rFonts w:cs="Arial"/>
                <w:color w:val="auto"/>
                <w:sz w:val="20"/>
                <w:szCs w:val="20"/>
                <w:lang w:eastAsia="en-GB"/>
              </w:rPr>
            </w:pPr>
            <w:r>
              <w:rPr>
                <w:rFonts w:cs="Arial"/>
                <w:color w:val="auto"/>
                <w:sz w:val="20"/>
                <w:szCs w:val="20"/>
                <w:lang w:eastAsia="en-GB"/>
              </w:rPr>
              <w:t>20.</w:t>
            </w:r>
            <w:r w:rsidR="00C74644">
              <w:rPr>
                <w:rFonts w:cs="Arial"/>
                <w:color w:val="auto"/>
                <w:sz w:val="20"/>
                <w:szCs w:val="20"/>
                <w:lang w:eastAsia="en-GB"/>
              </w:rPr>
              <w:t>8</w:t>
            </w:r>
          </w:p>
        </w:tc>
        <w:tc>
          <w:tcPr>
            <w:tcW w:w="1559" w:type="dxa"/>
            <w:shd w:val="clear" w:color="auto" w:fill="auto"/>
            <w:noWrap/>
          </w:tcPr>
          <w:p w:rsidR="00763E74" w:rsidRPr="00F30237" w:rsidRDefault="00A6586C" w:rsidP="001742A7">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w:t>
            </w:r>
          </w:p>
        </w:tc>
        <w:tc>
          <w:tcPr>
            <w:cnfStyle w:val="000010000000"/>
            <w:tcW w:w="1418" w:type="dxa"/>
            <w:shd w:val="clear" w:color="auto" w:fill="auto"/>
            <w:noWrap/>
          </w:tcPr>
          <w:p w:rsidR="00763E74" w:rsidRPr="00F30237" w:rsidRDefault="00B3351B" w:rsidP="001742A7">
            <w:pPr>
              <w:widowControl w:val="0"/>
              <w:spacing w:after="0" w:line="240" w:lineRule="auto"/>
              <w:jc w:val="center"/>
              <w:rPr>
                <w:rFonts w:cs="Arial"/>
                <w:color w:val="auto"/>
                <w:sz w:val="20"/>
                <w:szCs w:val="20"/>
                <w:lang w:eastAsia="en-GB"/>
              </w:rPr>
            </w:pPr>
            <w:r>
              <w:rPr>
                <w:rFonts w:cs="Arial"/>
                <w:color w:val="auto"/>
                <w:sz w:val="20"/>
                <w:szCs w:val="20"/>
                <w:lang w:eastAsia="en-GB"/>
              </w:rPr>
              <w:t>(2.0)</w:t>
            </w:r>
          </w:p>
        </w:tc>
        <w:tc>
          <w:tcPr>
            <w:tcW w:w="1465" w:type="dxa"/>
            <w:shd w:val="clear" w:color="auto" w:fill="auto"/>
          </w:tcPr>
          <w:p w:rsidR="00763E74" w:rsidRPr="00F30237" w:rsidRDefault="00B3351B" w:rsidP="001742A7">
            <w:pPr>
              <w:widowControl w:val="0"/>
              <w:spacing w:after="0" w:line="240" w:lineRule="auto"/>
              <w:jc w:val="center"/>
              <w:cnfStyle w:val="000000000000"/>
              <w:rPr>
                <w:rFonts w:cs="Arial"/>
                <w:bCs/>
                <w:color w:val="auto"/>
                <w:sz w:val="20"/>
                <w:szCs w:val="20"/>
                <w:lang w:eastAsia="en-GB"/>
              </w:rPr>
            </w:pPr>
            <w:r>
              <w:rPr>
                <w:rFonts w:cs="Arial"/>
                <w:bCs/>
                <w:color w:val="auto"/>
                <w:sz w:val="20"/>
                <w:szCs w:val="20"/>
                <w:lang w:eastAsia="en-GB"/>
              </w:rPr>
              <w:t>(1.0)</w:t>
            </w:r>
          </w:p>
        </w:tc>
        <w:tc>
          <w:tcPr>
            <w:cnfStyle w:val="000010000000"/>
            <w:tcW w:w="1417" w:type="dxa"/>
            <w:shd w:val="clear" w:color="auto" w:fill="auto"/>
            <w:noWrap/>
          </w:tcPr>
          <w:p w:rsidR="00763E74" w:rsidRPr="00F30237" w:rsidRDefault="00B3351B" w:rsidP="00A61777">
            <w:pPr>
              <w:widowControl w:val="0"/>
              <w:spacing w:after="0" w:line="240" w:lineRule="auto"/>
              <w:jc w:val="center"/>
              <w:rPr>
                <w:rFonts w:cs="Arial"/>
                <w:bCs/>
                <w:color w:val="auto"/>
                <w:sz w:val="20"/>
                <w:szCs w:val="20"/>
                <w:lang w:eastAsia="en-GB"/>
              </w:rPr>
            </w:pPr>
            <w:r>
              <w:rPr>
                <w:rFonts w:cs="Arial"/>
                <w:bCs/>
                <w:color w:val="auto"/>
                <w:sz w:val="20"/>
                <w:szCs w:val="20"/>
                <w:lang w:eastAsia="en-GB"/>
              </w:rPr>
              <w:t>17.</w:t>
            </w:r>
            <w:r w:rsidR="00C74644">
              <w:rPr>
                <w:rFonts w:cs="Arial"/>
                <w:bCs/>
                <w:color w:val="auto"/>
                <w:sz w:val="20"/>
                <w:szCs w:val="20"/>
                <w:lang w:eastAsia="en-GB"/>
              </w:rPr>
              <w:t>8</w:t>
            </w:r>
          </w:p>
        </w:tc>
        <w:tc>
          <w:tcPr>
            <w:tcW w:w="1418" w:type="dxa"/>
            <w:shd w:val="clear" w:color="auto" w:fill="auto"/>
            <w:noWrap/>
          </w:tcPr>
          <w:p w:rsidR="00763E74" w:rsidRPr="00F30237" w:rsidRDefault="00B3351B" w:rsidP="00C74644">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(17.</w:t>
            </w:r>
            <w:r w:rsidR="00C74644">
              <w:rPr>
                <w:rFonts w:cs="Arial"/>
                <w:color w:val="auto"/>
                <w:sz w:val="20"/>
                <w:szCs w:val="20"/>
                <w:lang w:eastAsia="en-GB"/>
              </w:rPr>
              <w:t>8</w:t>
            </w:r>
            <w:r>
              <w:rPr>
                <w:rFonts w:cs="Arial"/>
                <w:color w:val="auto"/>
                <w:sz w:val="20"/>
                <w:szCs w:val="20"/>
                <w:lang w:eastAsia="en-GB"/>
              </w:rPr>
              <w:t>)</w:t>
            </w:r>
          </w:p>
        </w:tc>
        <w:tc>
          <w:tcPr>
            <w:cnfStyle w:val="000010000000"/>
            <w:tcW w:w="1228" w:type="dxa"/>
            <w:shd w:val="clear" w:color="auto" w:fill="auto"/>
            <w:noWrap/>
          </w:tcPr>
          <w:p w:rsidR="00763E74" w:rsidRPr="00F30237" w:rsidRDefault="00B3351B" w:rsidP="001742A7">
            <w:pPr>
              <w:widowControl w:val="0"/>
              <w:spacing w:after="0" w:line="240" w:lineRule="auto"/>
              <w:jc w:val="center"/>
              <w:rPr>
                <w:rFonts w:cs="Arial"/>
                <w:bCs/>
                <w:color w:val="auto"/>
                <w:sz w:val="20"/>
                <w:szCs w:val="20"/>
                <w:lang w:eastAsia="en-GB"/>
              </w:rPr>
            </w:pPr>
            <w:r>
              <w:rPr>
                <w:rFonts w:cs="Arial"/>
                <w:bCs/>
                <w:color w:val="auto"/>
                <w:sz w:val="20"/>
                <w:szCs w:val="20"/>
                <w:lang w:eastAsia="en-GB"/>
              </w:rPr>
              <w:t>0</w:t>
            </w:r>
          </w:p>
        </w:tc>
      </w:tr>
      <w:tr w:rsidR="00763E74" w:rsidRPr="00D42E0B" w:rsidTr="001742A7">
        <w:trPr>
          <w:cnfStyle w:val="000000100000"/>
          <w:trHeight w:val="246"/>
        </w:trPr>
        <w:tc>
          <w:tcPr>
            <w:cnfStyle w:val="001000000000"/>
            <w:tcW w:w="4597" w:type="dxa"/>
            <w:shd w:val="clear" w:color="auto" w:fill="auto"/>
            <w:noWrap/>
          </w:tcPr>
          <w:p w:rsidR="00763E74" w:rsidRPr="00F30237" w:rsidRDefault="00763E74" w:rsidP="001742A7">
            <w:pPr>
              <w:widowControl w:val="0"/>
              <w:spacing w:after="0" w:line="240" w:lineRule="auto"/>
              <w:rPr>
                <w:rFonts w:cs="Arial"/>
                <w:bCs w:val="0"/>
                <w:color w:val="auto"/>
                <w:sz w:val="20"/>
                <w:szCs w:val="20"/>
                <w:lang w:eastAsia="en-GB"/>
              </w:rPr>
            </w:pPr>
            <w:r w:rsidRPr="00F30237">
              <w:rPr>
                <w:rFonts w:cs="Arial"/>
                <w:bCs w:val="0"/>
                <w:color w:val="auto"/>
                <w:sz w:val="20"/>
                <w:szCs w:val="20"/>
                <w:lang w:eastAsia="en-GB"/>
              </w:rPr>
              <w:t>Net Increase/Decrease before Transfers to Earmarked Reserves</w:t>
            </w:r>
          </w:p>
        </w:tc>
        <w:tc>
          <w:tcPr>
            <w:cnfStyle w:val="000010000000"/>
            <w:tcW w:w="1134" w:type="dxa"/>
            <w:shd w:val="clear" w:color="auto" w:fill="auto"/>
            <w:noWrap/>
          </w:tcPr>
          <w:p w:rsidR="00763E74" w:rsidRPr="00F30237" w:rsidRDefault="00A6586C" w:rsidP="00C74644">
            <w:pPr>
              <w:widowControl w:val="0"/>
              <w:spacing w:after="0" w:line="240" w:lineRule="auto"/>
              <w:jc w:val="center"/>
              <w:rPr>
                <w:rFonts w:cs="Arial"/>
                <w:b/>
                <w:bCs/>
                <w:color w:val="auto"/>
                <w:sz w:val="20"/>
                <w:szCs w:val="20"/>
                <w:lang w:eastAsia="en-GB"/>
              </w:rPr>
            </w:pPr>
            <w:r>
              <w:rPr>
                <w:rFonts w:cs="Arial"/>
                <w:b/>
                <w:bCs/>
                <w:color w:val="auto"/>
                <w:sz w:val="20"/>
                <w:szCs w:val="20"/>
                <w:lang w:eastAsia="en-GB"/>
              </w:rPr>
              <w:t>(5.</w:t>
            </w:r>
            <w:r w:rsidR="00C74644">
              <w:rPr>
                <w:rFonts w:cs="Arial"/>
                <w:b/>
                <w:bCs/>
                <w:color w:val="auto"/>
                <w:sz w:val="20"/>
                <w:szCs w:val="20"/>
                <w:lang w:eastAsia="en-GB"/>
              </w:rPr>
              <w:t>6</w:t>
            </w:r>
            <w:r>
              <w:rPr>
                <w:rFonts w:cs="Arial"/>
                <w:b/>
                <w:bCs/>
                <w:color w:val="auto"/>
                <w:sz w:val="20"/>
                <w:szCs w:val="20"/>
                <w:lang w:eastAsia="en-GB"/>
              </w:rPr>
              <w:t>)</w:t>
            </w:r>
          </w:p>
        </w:tc>
        <w:tc>
          <w:tcPr>
            <w:tcW w:w="1559" w:type="dxa"/>
            <w:shd w:val="clear" w:color="auto" w:fill="auto"/>
            <w:noWrap/>
          </w:tcPr>
          <w:p w:rsidR="00763E74" w:rsidRPr="00F30237" w:rsidRDefault="00A6586C" w:rsidP="001742A7">
            <w:pPr>
              <w:widowControl w:val="0"/>
              <w:spacing w:after="0" w:line="240" w:lineRule="auto"/>
              <w:jc w:val="center"/>
              <w:cnfStyle w:val="000000100000"/>
              <w:rPr>
                <w:rFonts w:cs="Arial"/>
                <w:b/>
                <w:bCs/>
                <w:color w:val="auto"/>
                <w:sz w:val="20"/>
                <w:szCs w:val="20"/>
                <w:lang w:eastAsia="en-GB"/>
              </w:rPr>
            </w:pPr>
            <w:r>
              <w:rPr>
                <w:rFonts w:cs="Arial"/>
                <w:b/>
                <w:bCs/>
                <w:color w:val="auto"/>
                <w:sz w:val="20"/>
                <w:szCs w:val="20"/>
                <w:lang w:eastAsia="en-GB"/>
              </w:rPr>
              <w:t>-</w:t>
            </w:r>
          </w:p>
        </w:tc>
        <w:tc>
          <w:tcPr>
            <w:cnfStyle w:val="000010000000"/>
            <w:tcW w:w="1418" w:type="dxa"/>
            <w:shd w:val="clear" w:color="auto" w:fill="auto"/>
            <w:noWrap/>
          </w:tcPr>
          <w:p w:rsidR="00763E74" w:rsidRPr="00F30237" w:rsidRDefault="00B3351B" w:rsidP="001742A7">
            <w:pPr>
              <w:widowControl w:val="0"/>
              <w:spacing w:after="0" w:line="240" w:lineRule="auto"/>
              <w:jc w:val="center"/>
              <w:rPr>
                <w:rFonts w:cs="Arial"/>
                <w:b/>
                <w:bCs/>
                <w:color w:val="auto"/>
                <w:sz w:val="20"/>
                <w:szCs w:val="20"/>
                <w:lang w:eastAsia="en-GB"/>
              </w:rPr>
            </w:pPr>
            <w:r>
              <w:rPr>
                <w:rFonts w:cs="Arial"/>
                <w:b/>
                <w:bCs/>
                <w:color w:val="auto"/>
                <w:sz w:val="20"/>
                <w:szCs w:val="20"/>
                <w:lang w:eastAsia="en-GB"/>
              </w:rPr>
              <w:t>(2.0)</w:t>
            </w:r>
          </w:p>
        </w:tc>
        <w:tc>
          <w:tcPr>
            <w:tcW w:w="1465" w:type="dxa"/>
            <w:shd w:val="clear" w:color="auto" w:fill="auto"/>
          </w:tcPr>
          <w:p w:rsidR="00763E74" w:rsidRPr="00F30237" w:rsidRDefault="00B3351B" w:rsidP="001742A7">
            <w:pPr>
              <w:widowControl w:val="0"/>
              <w:spacing w:after="0" w:line="240" w:lineRule="auto"/>
              <w:jc w:val="center"/>
              <w:cnfStyle w:val="000000100000"/>
              <w:rPr>
                <w:rFonts w:cs="Arial"/>
                <w:b/>
                <w:bCs/>
                <w:color w:val="auto"/>
                <w:sz w:val="20"/>
                <w:szCs w:val="20"/>
                <w:lang w:eastAsia="en-GB"/>
              </w:rPr>
            </w:pPr>
            <w:r>
              <w:rPr>
                <w:rFonts w:cs="Arial"/>
                <w:b/>
                <w:bCs/>
                <w:color w:val="auto"/>
                <w:sz w:val="20"/>
                <w:szCs w:val="20"/>
                <w:lang w:eastAsia="en-GB"/>
              </w:rPr>
              <w:t>(1.0)</w:t>
            </w:r>
          </w:p>
        </w:tc>
        <w:tc>
          <w:tcPr>
            <w:cnfStyle w:val="000010000000"/>
            <w:tcW w:w="1417" w:type="dxa"/>
            <w:shd w:val="clear" w:color="auto" w:fill="auto"/>
            <w:noWrap/>
          </w:tcPr>
          <w:p w:rsidR="00763E74" w:rsidRPr="00F30237" w:rsidRDefault="00B766AA" w:rsidP="00CE69E7">
            <w:pPr>
              <w:widowControl w:val="0"/>
              <w:spacing w:after="0" w:line="240" w:lineRule="auto"/>
              <w:jc w:val="center"/>
              <w:rPr>
                <w:rFonts w:cs="Arial"/>
                <w:b/>
                <w:bCs/>
                <w:color w:val="auto"/>
                <w:sz w:val="20"/>
                <w:szCs w:val="20"/>
                <w:lang w:eastAsia="en-GB"/>
              </w:rPr>
            </w:pPr>
            <w:r>
              <w:rPr>
                <w:rFonts w:cs="Arial"/>
                <w:b/>
                <w:bCs/>
                <w:color w:val="auto"/>
                <w:sz w:val="20"/>
                <w:szCs w:val="20"/>
                <w:lang w:eastAsia="en-GB"/>
              </w:rPr>
              <w:t>(8.</w:t>
            </w:r>
            <w:r w:rsidR="00CE69E7">
              <w:rPr>
                <w:rFonts w:cs="Arial"/>
                <w:b/>
                <w:bCs/>
                <w:color w:val="auto"/>
                <w:sz w:val="20"/>
                <w:szCs w:val="20"/>
                <w:lang w:eastAsia="en-GB"/>
              </w:rPr>
              <w:t>6</w:t>
            </w:r>
            <w:r>
              <w:rPr>
                <w:rFonts w:cs="Arial"/>
                <w:b/>
                <w:bCs/>
                <w:color w:val="auto"/>
                <w:sz w:val="20"/>
                <w:szCs w:val="20"/>
                <w:lang w:eastAsia="en-GB"/>
              </w:rPr>
              <w:t>)</w:t>
            </w:r>
          </w:p>
        </w:tc>
        <w:tc>
          <w:tcPr>
            <w:tcW w:w="1418" w:type="dxa"/>
            <w:shd w:val="clear" w:color="auto" w:fill="auto"/>
            <w:noWrap/>
          </w:tcPr>
          <w:p w:rsidR="00763E74" w:rsidRPr="00F30237" w:rsidRDefault="00B766AA" w:rsidP="00CE69E7">
            <w:pPr>
              <w:widowControl w:val="0"/>
              <w:spacing w:after="0" w:line="240" w:lineRule="auto"/>
              <w:jc w:val="center"/>
              <w:cnfStyle w:val="000000100000"/>
              <w:rPr>
                <w:rFonts w:cs="Arial"/>
                <w:b/>
                <w:bCs/>
                <w:color w:val="auto"/>
                <w:sz w:val="20"/>
                <w:szCs w:val="20"/>
                <w:lang w:eastAsia="en-GB"/>
              </w:rPr>
            </w:pPr>
            <w:r>
              <w:rPr>
                <w:rFonts w:cs="Arial"/>
                <w:b/>
                <w:bCs/>
                <w:color w:val="auto"/>
                <w:sz w:val="20"/>
                <w:szCs w:val="20"/>
                <w:lang w:eastAsia="en-GB"/>
              </w:rPr>
              <w:t>13.</w:t>
            </w:r>
            <w:r w:rsidR="00CE69E7">
              <w:rPr>
                <w:rFonts w:cs="Arial"/>
                <w:b/>
                <w:bCs/>
                <w:color w:val="auto"/>
                <w:sz w:val="20"/>
                <w:szCs w:val="20"/>
                <w:lang w:eastAsia="en-GB"/>
              </w:rPr>
              <w:t>3</w:t>
            </w:r>
          </w:p>
        </w:tc>
        <w:tc>
          <w:tcPr>
            <w:cnfStyle w:val="000010000000"/>
            <w:tcW w:w="1228" w:type="dxa"/>
            <w:shd w:val="clear" w:color="auto" w:fill="auto"/>
            <w:noWrap/>
          </w:tcPr>
          <w:p w:rsidR="00763E74" w:rsidRPr="00F30237" w:rsidRDefault="00103E45" w:rsidP="00103E45">
            <w:pPr>
              <w:widowControl w:val="0"/>
              <w:spacing w:after="0" w:line="240" w:lineRule="auto"/>
              <w:jc w:val="center"/>
              <w:rPr>
                <w:rFonts w:cs="Arial"/>
                <w:b/>
                <w:bCs/>
                <w:color w:val="auto"/>
                <w:sz w:val="20"/>
                <w:szCs w:val="20"/>
                <w:lang w:eastAsia="en-GB"/>
              </w:rPr>
            </w:pPr>
            <w:r>
              <w:rPr>
                <w:rFonts w:cs="Arial"/>
                <w:b/>
                <w:bCs/>
                <w:color w:val="auto"/>
                <w:sz w:val="20"/>
                <w:szCs w:val="20"/>
                <w:lang w:eastAsia="en-GB"/>
              </w:rPr>
              <w:t>4.7</w:t>
            </w:r>
          </w:p>
        </w:tc>
      </w:tr>
      <w:tr w:rsidR="00763E74" w:rsidRPr="00D42E0B" w:rsidTr="001742A7">
        <w:trPr>
          <w:trHeight w:val="246"/>
        </w:trPr>
        <w:tc>
          <w:tcPr>
            <w:cnfStyle w:val="001000000000"/>
            <w:tcW w:w="4597" w:type="dxa"/>
            <w:shd w:val="clear" w:color="auto" w:fill="auto"/>
            <w:noWrap/>
          </w:tcPr>
          <w:p w:rsidR="00763E74" w:rsidRPr="00F30237" w:rsidRDefault="00763E74" w:rsidP="001742A7">
            <w:pPr>
              <w:widowControl w:val="0"/>
              <w:spacing w:after="0" w:line="240" w:lineRule="auto"/>
              <w:rPr>
                <w:rFonts w:cs="Arial"/>
                <w:b w:val="0"/>
                <w:color w:val="auto"/>
                <w:sz w:val="20"/>
                <w:szCs w:val="20"/>
                <w:lang w:eastAsia="en-GB"/>
              </w:rPr>
            </w:pPr>
            <w:r w:rsidRPr="00F30237">
              <w:rPr>
                <w:rFonts w:cs="Arial"/>
                <w:b w:val="0"/>
                <w:color w:val="auto"/>
                <w:sz w:val="20"/>
                <w:szCs w:val="20"/>
                <w:lang w:eastAsia="en-GB"/>
              </w:rPr>
              <w:t>Transfers to/from Earmarked Reserves (Note 8)</w:t>
            </w:r>
          </w:p>
        </w:tc>
        <w:tc>
          <w:tcPr>
            <w:cnfStyle w:val="000010000000"/>
            <w:tcW w:w="1134" w:type="dxa"/>
            <w:shd w:val="clear" w:color="auto" w:fill="auto"/>
            <w:noWrap/>
          </w:tcPr>
          <w:p w:rsidR="00763E74" w:rsidRPr="00F30237" w:rsidRDefault="00A6586C" w:rsidP="00C74644">
            <w:pPr>
              <w:widowControl w:val="0"/>
              <w:spacing w:after="0" w:line="240" w:lineRule="auto"/>
              <w:jc w:val="center"/>
              <w:rPr>
                <w:rFonts w:cs="Arial"/>
                <w:color w:val="auto"/>
                <w:sz w:val="20"/>
                <w:szCs w:val="20"/>
                <w:lang w:eastAsia="en-GB"/>
              </w:rPr>
            </w:pPr>
            <w:r>
              <w:rPr>
                <w:rFonts w:cs="Arial"/>
                <w:color w:val="auto"/>
                <w:sz w:val="20"/>
                <w:szCs w:val="20"/>
                <w:lang w:eastAsia="en-GB"/>
              </w:rPr>
              <w:t>5.</w:t>
            </w:r>
            <w:r w:rsidR="00C74644">
              <w:rPr>
                <w:rFonts w:cs="Arial"/>
                <w:color w:val="auto"/>
                <w:sz w:val="20"/>
                <w:szCs w:val="20"/>
                <w:lang w:eastAsia="en-GB"/>
              </w:rPr>
              <w:t>6</w:t>
            </w:r>
          </w:p>
        </w:tc>
        <w:tc>
          <w:tcPr>
            <w:tcW w:w="1559" w:type="dxa"/>
            <w:shd w:val="clear" w:color="auto" w:fill="auto"/>
            <w:noWrap/>
          </w:tcPr>
          <w:p w:rsidR="00763E74" w:rsidRPr="00F30237" w:rsidRDefault="00A6586C" w:rsidP="00C74644">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(5.</w:t>
            </w:r>
            <w:r w:rsidR="00C74644">
              <w:rPr>
                <w:rFonts w:cs="Arial"/>
                <w:color w:val="auto"/>
                <w:sz w:val="20"/>
                <w:szCs w:val="20"/>
                <w:lang w:eastAsia="en-GB"/>
              </w:rPr>
              <w:t>6</w:t>
            </w:r>
            <w:r>
              <w:rPr>
                <w:rFonts w:cs="Arial"/>
                <w:color w:val="auto"/>
                <w:sz w:val="20"/>
                <w:szCs w:val="20"/>
                <w:lang w:eastAsia="en-GB"/>
              </w:rPr>
              <w:t>)</w:t>
            </w:r>
          </w:p>
        </w:tc>
        <w:tc>
          <w:tcPr>
            <w:cnfStyle w:val="000010000000"/>
            <w:tcW w:w="1418" w:type="dxa"/>
            <w:shd w:val="clear" w:color="auto" w:fill="auto"/>
            <w:noWrap/>
          </w:tcPr>
          <w:p w:rsidR="00763E74" w:rsidRPr="00F30237" w:rsidRDefault="00B3351B" w:rsidP="001742A7">
            <w:pPr>
              <w:widowControl w:val="0"/>
              <w:spacing w:after="0" w:line="240" w:lineRule="auto"/>
              <w:jc w:val="center"/>
              <w:rPr>
                <w:rFonts w:cs="Arial"/>
                <w:color w:val="auto"/>
                <w:sz w:val="20"/>
                <w:szCs w:val="20"/>
                <w:lang w:eastAsia="en-GB"/>
              </w:rPr>
            </w:pPr>
            <w:r>
              <w:rPr>
                <w:rFonts w:cs="Arial"/>
                <w:color w:val="auto"/>
                <w:sz w:val="20"/>
                <w:szCs w:val="20"/>
                <w:lang w:eastAsia="en-GB"/>
              </w:rPr>
              <w:t>-</w:t>
            </w:r>
          </w:p>
        </w:tc>
        <w:tc>
          <w:tcPr>
            <w:tcW w:w="1465" w:type="dxa"/>
            <w:shd w:val="clear" w:color="auto" w:fill="auto"/>
          </w:tcPr>
          <w:p w:rsidR="00763E74" w:rsidRPr="00F30237" w:rsidRDefault="00B3351B" w:rsidP="001742A7">
            <w:pPr>
              <w:widowControl w:val="0"/>
              <w:spacing w:after="0" w:line="240" w:lineRule="auto"/>
              <w:jc w:val="center"/>
              <w:cnfStyle w:val="000000000000"/>
              <w:rPr>
                <w:rFonts w:cs="Arial"/>
                <w:bCs/>
                <w:color w:val="auto"/>
                <w:sz w:val="20"/>
                <w:szCs w:val="20"/>
                <w:lang w:eastAsia="en-GB"/>
              </w:rPr>
            </w:pPr>
            <w:r>
              <w:rPr>
                <w:rFonts w:cs="Arial"/>
                <w:bCs/>
                <w:color w:val="auto"/>
                <w:sz w:val="20"/>
                <w:szCs w:val="20"/>
                <w:lang w:eastAsia="en-GB"/>
              </w:rPr>
              <w:t>-</w:t>
            </w:r>
          </w:p>
        </w:tc>
        <w:tc>
          <w:tcPr>
            <w:cnfStyle w:val="000010000000"/>
            <w:tcW w:w="1417" w:type="dxa"/>
            <w:shd w:val="clear" w:color="auto" w:fill="auto"/>
            <w:noWrap/>
          </w:tcPr>
          <w:p w:rsidR="00763E74" w:rsidRPr="00F30237" w:rsidRDefault="00B3351B" w:rsidP="001742A7">
            <w:pPr>
              <w:widowControl w:val="0"/>
              <w:spacing w:after="0" w:line="240" w:lineRule="auto"/>
              <w:jc w:val="center"/>
              <w:rPr>
                <w:rFonts w:cs="Arial"/>
                <w:bCs/>
                <w:color w:val="auto"/>
                <w:sz w:val="20"/>
                <w:szCs w:val="20"/>
                <w:lang w:eastAsia="en-GB"/>
              </w:rPr>
            </w:pPr>
            <w:r>
              <w:rPr>
                <w:rFonts w:cs="Arial"/>
                <w:bCs/>
                <w:color w:val="auto"/>
                <w:sz w:val="20"/>
                <w:szCs w:val="20"/>
                <w:lang w:eastAsia="en-GB"/>
              </w:rPr>
              <w:t>0</w:t>
            </w:r>
          </w:p>
        </w:tc>
        <w:tc>
          <w:tcPr>
            <w:tcW w:w="1418" w:type="dxa"/>
            <w:shd w:val="clear" w:color="auto" w:fill="auto"/>
            <w:noWrap/>
          </w:tcPr>
          <w:p w:rsidR="00763E74" w:rsidRPr="00F30237" w:rsidRDefault="00B3351B" w:rsidP="001742A7">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0</w:t>
            </w:r>
          </w:p>
        </w:tc>
        <w:tc>
          <w:tcPr>
            <w:cnfStyle w:val="000010000000"/>
            <w:tcW w:w="1228" w:type="dxa"/>
            <w:shd w:val="clear" w:color="auto" w:fill="auto"/>
            <w:noWrap/>
          </w:tcPr>
          <w:p w:rsidR="00763E74" w:rsidRPr="00F30237" w:rsidRDefault="00B3351B" w:rsidP="001742A7">
            <w:pPr>
              <w:widowControl w:val="0"/>
              <w:spacing w:after="0" w:line="240" w:lineRule="auto"/>
              <w:jc w:val="center"/>
              <w:rPr>
                <w:rFonts w:cs="Arial"/>
                <w:bCs/>
                <w:color w:val="auto"/>
                <w:sz w:val="20"/>
                <w:szCs w:val="20"/>
                <w:lang w:eastAsia="en-GB"/>
              </w:rPr>
            </w:pPr>
            <w:r>
              <w:rPr>
                <w:rFonts w:cs="Arial"/>
                <w:bCs/>
                <w:color w:val="auto"/>
                <w:sz w:val="20"/>
                <w:szCs w:val="20"/>
                <w:lang w:eastAsia="en-GB"/>
              </w:rPr>
              <w:t>0</w:t>
            </w:r>
          </w:p>
        </w:tc>
      </w:tr>
      <w:tr w:rsidR="00763E74" w:rsidRPr="00D42E0B" w:rsidTr="001742A7">
        <w:trPr>
          <w:cnfStyle w:val="000000100000"/>
          <w:trHeight w:val="380"/>
        </w:trPr>
        <w:tc>
          <w:tcPr>
            <w:cnfStyle w:val="001000000000"/>
            <w:tcW w:w="4597" w:type="dxa"/>
            <w:shd w:val="clear" w:color="auto" w:fill="auto"/>
            <w:noWrap/>
          </w:tcPr>
          <w:p w:rsidR="00763E74" w:rsidRPr="00F30237" w:rsidRDefault="00763E74" w:rsidP="001742A7">
            <w:pPr>
              <w:widowControl w:val="0"/>
              <w:spacing w:after="0" w:line="240" w:lineRule="auto"/>
              <w:rPr>
                <w:rFonts w:cs="Arial"/>
                <w:bCs w:val="0"/>
                <w:color w:val="auto"/>
                <w:sz w:val="20"/>
                <w:szCs w:val="20"/>
                <w:lang w:eastAsia="en-GB"/>
              </w:rPr>
            </w:pPr>
            <w:r w:rsidRPr="00F30237">
              <w:rPr>
                <w:rFonts w:cs="Arial"/>
                <w:bCs w:val="0"/>
                <w:color w:val="auto"/>
                <w:sz w:val="20"/>
                <w:szCs w:val="20"/>
                <w:lang w:eastAsia="en-GB"/>
              </w:rPr>
              <w:t>Increase/(Decrease) in Year</w:t>
            </w:r>
          </w:p>
        </w:tc>
        <w:tc>
          <w:tcPr>
            <w:cnfStyle w:val="000010000000"/>
            <w:tcW w:w="1134" w:type="dxa"/>
            <w:shd w:val="clear" w:color="auto" w:fill="auto"/>
            <w:noWrap/>
          </w:tcPr>
          <w:p w:rsidR="00763E74" w:rsidRPr="00C74644" w:rsidRDefault="00A6586C" w:rsidP="001742A7">
            <w:pPr>
              <w:widowControl w:val="0"/>
              <w:spacing w:after="0" w:line="240" w:lineRule="auto"/>
              <w:jc w:val="center"/>
              <w:rPr>
                <w:rFonts w:cs="Arial"/>
                <w:b/>
                <w:color w:val="auto"/>
                <w:sz w:val="20"/>
                <w:szCs w:val="20"/>
                <w:lang w:eastAsia="en-GB"/>
              </w:rPr>
            </w:pPr>
            <w:r w:rsidRPr="00C74644">
              <w:rPr>
                <w:rFonts w:cs="Arial"/>
                <w:b/>
                <w:color w:val="auto"/>
                <w:sz w:val="20"/>
                <w:szCs w:val="20"/>
                <w:lang w:eastAsia="en-GB"/>
              </w:rPr>
              <w:t>0</w:t>
            </w:r>
          </w:p>
        </w:tc>
        <w:tc>
          <w:tcPr>
            <w:tcW w:w="1559" w:type="dxa"/>
            <w:shd w:val="clear" w:color="auto" w:fill="auto"/>
            <w:noWrap/>
          </w:tcPr>
          <w:p w:rsidR="00763E74" w:rsidRPr="00C74644" w:rsidRDefault="00A6586C" w:rsidP="00CE69E7">
            <w:pPr>
              <w:widowControl w:val="0"/>
              <w:spacing w:after="0" w:line="240" w:lineRule="auto"/>
              <w:jc w:val="center"/>
              <w:cnfStyle w:val="000000100000"/>
              <w:rPr>
                <w:rFonts w:cs="Arial"/>
                <w:b/>
                <w:color w:val="auto"/>
                <w:sz w:val="20"/>
                <w:szCs w:val="20"/>
                <w:lang w:eastAsia="en-GB"/>
              </w:rPr>
            </w:pPr>
            <w:r w:rsidRPr="00C74644">
              <w:rPr>
                <w:rFonts w:cs="Arial"/>
                <w:b/>
                <w:color w:val="auto"/>
                <w:sz w:val="20"/>
                <w:szCs w:val="20"/>
                <w:lang w:eastAsia="en-GB"/>
              </w:rPr>
              <w:t>(5.</w:t>
            </w:r>
            <w:r w:rsidR="00CE69E7">
              <w:rPr>
                <w:rFonts w:cs="Arial"/>
                <w:b/>
                <w:color w:val="auto"/>
                <w:sz w:val="20"/>
                <w:szCs w:val="20"/>
                <w:lang w:eastAsia="en-GB"/>
              </w:rPr>
              <w:t>6</w:t>
            </w:r>
            <w:r w:rsidRPr="00C74644">
              <w:rPr>
                <w:rFonts w:cs="Arial"/>
                <w:b/>
                <w:color w:val="auto"/>
                <w:sz w:val="20"/>
                <w:szCs w:val="20"/>
                <w:lang w:eastAsia="en-GB"/>
              </w:rPr>
              <w:t>)</w:t>
            </w:r>
          </w:p>
        </w:tc>
        <w:tc>
          <w:tcPr>
            <w:cnfStyle w:val="000010000000"/>
            <w:tcW w:w="1418" w:type="dxa"/>
            <w:shd w:val="clear" w:color="auto" w:fill="auto"/>
            <w:noWrap/>
          </w:tcPr>
          <w:p w:rsidR="00763E74" w:rsidRPr="00C74644" w:rsidRDefault="00B766AA" w:rsidP="001742A7">
            <w:pPr>
              <w:widowControl w:val="0"/>
              <w:spacing w:after="0" w:line="240" w:lineRule="auto"/>
              <w:jc w:val="center"/>
              <w:rPr>
                <w:rFonts w:cs="Arial"/>
                <w:b/>
                <w:color w:val="auto"/>
                <w:sz w:val="20"/>
                <w:szCs w:val="20"/>
                <w:lang w:eastAsia="en-GB"/>
              </w:rPr>
            </w:pPr>
            <w:r w:rsidRPr="00C74644">
              <w:rPr>
                <w:rFonts w:cs="Arial"/>
                <w:b/>
                <w:color w:val="auto"/>
                <w:sz w:val="20"/>
                <w:szCs w:val="20"/>
                <w:lang w:eastAsia="en-GB"/>
              </w:rPr>
              <w:t>(2.0)</w:t>
            </w:r>
          </w:p>
        </w:tc>
        <w:tc>
          <w:tcPr>
            <w:tcW w:w="1465" w:type="dxa"/>
            <w:shd w:val="clear" w:color="auto" w:fill="auto"/>
          </w:tcPr>
          <w:p w:rsidR="00763E74" w:rsidRPr="00C74644" w:rsidRDefault="00B766AA" w:rsidP="001742A7">
            <w:pPr>
              <w:widowControl w:val="0"/>
              <w:spacing w:after="0" w:line="240" w:lineRule="auto"/>
              <w:jc w:val="center"/>
              <w:cnfStyle w:val="000000100000"/>
              <w:rPr>
                <w:rFonts w:cs="Arial"/>
                <w:b/>
                <w:bCs/>
                <w:color w:val="auto"/>
                <w:sz w:val="20"/>
                <w:szCs w:val="20"/>
                <w:lang w:eastAsia="en-GB"/>
              </w:rPr>
            </w:pPr>
            <w:r w:rsidRPr="00C74644">
              <w:rPr>
                <w:rFonts w:cs="Arial"/>
                <w:b/>
                <w:bCs/>
                <w:color w:val="auto"/>
                <w:sz w:val="20"/>
                <w:szCs w:val="20"/>
                <w:lang w:eastAsia="en-GB"/>
              </w:rPr>
              <w:t>(1.0)</w:t>
            </w:r>
          </w:p>
        </w:tc>
        <w:tc>
          <w:tcPr>
            <w:cnfStyle w:val="000010000000"/>
            <w:tcW w:w="1417" w:type="dxa"/>
            <w:shd w:val="clear" w:color="auto" w:fill="auto"/>
            <w:noWrap/>
          </w:tcPr>
          <w:p w:rsidR="00763E74" w:rsidRPr="00C74644" w:rsidRDefault="00B766AA" w:rsidP="00CE69E7">
            <w:pPr>
              <w:widowControl w:val="0"/>
              <w:spacing w:after="0" w:line="240" w:lineRule="auto"/>
              <w:jc w:val="center"/>
              <w:rPr>
                <w:rFonts w:cs="Arial"/>
                <w:b/>
                <w:bCs/>
                <w:color w:val="auto"/>
                <w:sz w:val="20"/>
                <w:szCs w:val="20"/>
                <w:lang w:eastAsia="en-GB"/>
              </w:rPr>
            </w:pPr>
            <w:r w:rsidRPr="00C74644">
              <w:rPr>
                <w:rFonts w:cs="Arial"/>
                <w:b/>
                <w:bCs/>
                <w:color w:val="auto"/>
                <w:sz w:val="20"/>
                <w:szCs w:val="20"/>
                <w:lang w:eastAsia="en-GB"/>
              </w:rPr>
              <w:t>(8.</w:t>
            </w:r>
            <w:r w:rsidR="00CE69E7">
              <w:rPr>
                <w:rFonts w:cs="Arial"/>
                <w:b/>
                <w:bCs/>
                <w:color w:val="auto"/>
                <w:sz w:val="20"/>
                <w:szCs w:val="20"/>
                <w:lang w:eastAsia="en-GB"/>
              </w:rPr>
              <w:t>6</w:t>
            </w:r>
            <w:r w:rsidRPr="00C74644">
              <w:rPr>
                <w:rFonts w:cs="Arial"/>
                <w:b/>
                <w:bCs/>
                <w:color w:val="auto"/>
                <w:sz w:val="20"/>
                <w:szCs w:val="20"/>
                <w:lang w:eastAsia="en-GB"/>
              </w:rPr>
              <w:t>)</w:t>
            </w:r>
          </w:p>
        </w:tc>
        <w:tc>
          <w:tcPr>
            <w:tcW w:w="1418" w:type="dxa"/>
            <w:shd w:val="clear" w:color="auto" w:fill="auto"/>
            <w:noWrap/>
          </w:tcPr>
          <w:p w:rsidR="00763E74" w:rsidRPr="00C74644" w:rsidRDefault="00B766AA" w:rsidP="00CE69E7">
            <w:pPr>
              <w:widowControl w:val="0"/>
              <w:spacing w:after="0" w:line="240" w:lineRule="auto"/>
              <w:jc w:val="center"/>
              <w:cnfStyle w:val="000000100000"/>
              <w:rPr>
                <w:rFonts w:cs="Arial"/>
                <w:b/>
                <w:color w:val="auto"/>
                <w:sz w:val="20"/>
                <w:szCs w:val="20"/>
                <w:lang w:eastAsia="en-GB"/>
              </w:rPr>
            </w:pPr>
            <w:r w:rsidRPr="00C74644">
              <w:rPr>
                <w:rFonts w:cs="Arial"/>
                <w:b/>
                <w:color w:val="auto"/>
                <w:sz w:val="20"/>
                <w:szCs w:val="20"/>
                <w:lang w:eastAsia="en-GB"/>
              </w:rPr>
              <w:t>13.</w:t>
            </w:r>
            <w:r w:rsidR="00CE69E7">
              <w:rPr>
                <w:rFonts w:cs="Arial"/>
                <w:b/>
                <w:color w:val="auto"/>
                <w:sz w:val="20"/>
                <w:szCs w:val="20"/>
                <w:lang w:eastAsia="en-GB"/>
              </w:rPr>
              <w:t>3</w:t>
            </w:r>
          </w:p>
        </w:tc>
        <w:tc>
          <w:tcPr>
            <w:cnfStyle w:val="000010000000"/>
            <w:tcW w:w="1228" w:type="dxa"/>
            <w:shd w:val="clear" w:color="auto" w:fill="auto"/>
            <w:noWrap/>
          </w:tcPr>
          <w:p w:rsidR="00763E74" w:rsidRPr="00C74644" w:rsidRDefault="008B08A9" w:rsidP="00103E45">
            <w:pPr>
              <w:widowControl w:val="0"/>
              <w:spacing w:after="0" w:line="240" w:lineRule="auto"/>
              <w:jc w:val="center"/>
              <w:rPr>
                <w:rFonts w:cs="Arial"/>
                <w:b/>
                <w:bCs/>
                <w:color w:val="auto"/>
                <w:sz w:val="20"/>
                <w:szCs w:val="20"/>
                <w:lang w:eastAsia="en-GB"/>
              </w:rPr>
            </w:pPr>
            <w:r w:rsidRPr="00C74644">
              <w:rPr>
                <w:rFonts w:cs="Arial"/>
                <w:b/>
                <w:bCs/>
                <w:color w:val="auto"/>
                <w:sz w:val="20"/>
                <w:szCs w:val="20"/>
                <w:lang w:eastAsia="en-GB"/>
              </w:rPr>
              <w:t>4.</w:t>
            </w:r>
            <w:r w:rsidR="00103E45" w:rsidRPr="00C74644">
              <w:rPr>
                <w:rFonts w:cs="Arial"/>
                <w:b/>
                <w:bCs/>
                <w:color w:val="auto"/>
                <w:sz w:val="20"/>
                <w:szCs w:val="20"/>
                <w:lang w:eastAsia="en-GB"/>
              </w:rPr>
              <w:t>7</w:t>
            </w:r>
          </w:p>
        </w:tc>
      </w:tr>
      <w:tr w:rsidR="00763E74" w:rsidRPr="00D42E0B" w:rsidTr="001742A7">
        <w:trPr>
          <w:trHeight w:val="261"/>
        </w:trPr>
        <w:tc>
          <w:tcPr>
            <w:cnfStyle w:val="001000000000"/>
            <w:tcW w:w="4597" w:type="dxa"/>
            <w:shd w:val="clear" w:color="auto" w:fill="auto"/>
            <w:noWrap/>
          </w:tcPr>
          <w:p w:rsidR="00763E74" w:rsidRPr="00F30237" w:rsidRDefault="00763E74" w:rsidP="00763E74">
            <w:pPr>
              <w:widowControl w:val="0"/>
              <w:spacing w:after="0" w:line="240" w:lineRule="auto"/>
              <w:rPr>
                <w:rFonts w:cs="Arial"/>
                <w:bCs w:val="0"/>
                <w:color w:val="auto"/>
                <w:sz w:val="20"/>
                <w:szCs w:val="20"/>
                <w:lang w:eastAsia="en-GB"/>
              </w:rPr>
            </w:pPr>
            <w:r w:rsidRPr="00F30237">
              <w:rPr>
                <w:rFonts w:cs="Arial"/>
                <w:bCs w:val="0"/>
                <w:color w:val="auto"/>
                <w:sz w:val="20"/>
                <w:szCs w:val="20"/>
                <w:lang w:eastAsia="en-GB"/>
              </w:rPr>
              <w:t>Balance at 31</w:t>
            </w:r>
            <w:r w:rsidR="001742A7" w:rsidRPr="00F30237">
              <w:rPr>
                <w:rFonts w:cs="Arial"/>
                <w:bCs w:val="0"/>
                <w:color w:val="auto"/>
                <w:sz w:val="20"/>
                <w:szCs w:val="20"/>
                <w:lang w:eastAsia="en-GB"/>
              </w:rPr>
              <w:t>st</w:t>
            </w:r>
            <w:r w:rsidRPr="00F30237">
              <w:rPr>
                <w:rFonts w:cs="Arial"/>
                <w:bCs w:val="0"/>
                <w:color w:val="auto"/>
                <w:sz w:val="20"/>
                <w:szCs w:val="20"/>
                <w:lang w:eastAsia="en-GB"/>
              </w:rPr>
              <w:t xml:space="preserve"> M</w:t>
            </w:r>
            <w:r w:rsidR="00607E02" w:rsidRPr="00F30237">
              <w:rPr>
                <w:rFonts w:cs="Arial"/>
                <w:bCs w:val="0"/>
                <w:color w:val="auto"/>
                <w:sz w:val="20"/>
                <w:szCs w:val="20"/>
                <w:lang w:eastAsia="en-GB"/>
              </w:rPr>
              <w:t>arch 2016</w:t>
            </w:r>
            <w:r w:rsidRPr="00F30237">
              <w:rPr>
                <w:rFonts w:cs="Arial"/>
                <w:bCs w:val="0"/>
                <w:color w:val="auto"/>
                <w:sz w:val="20"/>
                <w:szCs w:val="20"/>
                <w:lang w:eastAsia="en-GB"/>
              </w:rPr>
              <w:t xml:space="preserve"> carried forward</w:t>
            </w:r>
          </w:p>
        </w:tc>
        <w:tc>
          <w:tcPr>
            <w:cnfStyle w:val="000010000000"/>
            <w:tcW w:w="1134" w:type="dxa"/>
            <w:shd w:val="clear" w:color="auto" w:fill="auto"/>
            <w:noWrap/>
          </w:tcPr>
          <w:p w:rsidR="00763E74" w:rsidRPr="00C74644" w:rsidRDefault="00A6586C" w:rsidP="001742A7">
            <w:pPr>
              <w:widowControl w:val="0"/>
              <w:spacing w:after="0" w:line="240" w:lineRule="auto"/>
              <w:jc w:val="center"/>
              <w:rPr>
                <w:rFonts w:cs="Arial"/>
                <w:b/>
                <w:color w:val="auto"/>
                <w:sz w:val="20"/>
                <w:szCs w:val="20"/>
                <w:lang w:eastAsia="en-GB"/>
              </w:rPr>
            </w:pPr>
            <w:r w:rsidRPr="00C74644">
              <w:rPr>
                <w:rFonts w:cs="Arial"/>
                <w:b/>
                <w:color w:val="auto"/>
                <w:sz w:val="20"/>
                <w:szCs w:val="20"/>
                <w:lang w:eastAsia="en-GB"/>
              </w:rPr>
              <w:t>4.4</w:t>
            </w:r>
          </w:p>
        </w:tc>
        <w:tc>
          <w:tcPr>
            <w:tcW w:w="1559" w:type="dxa"/>
            <w:shd w:val="clear" w:color="auto" w:fill="auto"/>
            <w:noWrap/>
          </w:tcPr>
          <w:p w:rsidR="00763E74" w:rsidRPr="00C74644" w:rsidRDefault="00A6586C" w:rsidP="00C74644">
            <w:pPr>
              <w:widowControl w:val="0"/>
              <w:spacing w:after="0" w:line="240" w:lineRule="auto"/>
              <w:jc w:val="center"/>
              <w:cnfStyle w:val="000000000000"/>
              <w:rPr>
                <w:rFonts w:cs="Arial"/>
                <w:b/>
                <w:color w:val="auto"/>
                <w:sz w:val="20"/>
                <w:szCs w:val="20"/>
                <w:lang w:eastAsia="en-GB"/>
              </w:rPr>
            </w:pPr>
            <w:r w:rsidRPr="00C74644">
              <w:rPr>
                <w:rFonts w:cs="Arial"/>
                <w:b/>
                <w:color w:val="auto"/>
                <w:sz w:val="20"/>
                <w:szCs w:val="20"/>
                <w:lang w:eastAsia="en-GB"/>
              </w:rPr>
              <w:t>25.</w:t>
            </w:r>
            <w:r w:rsidR="00C74644" w:rsidRPr="00C74644">
              <w:rPr>
                <w:rFonts w:cs="Arial"/>
                <w:b/>
                <w:color w:val="auto"/>
                <w:sz w:val="20"/>
                <w:szCs w:val="20"/>
                <w:lang w:eastAsia="en-GB"/>
              </w:rPr>
              <w:t>3</w:t>
            </w:r>
          </w:p>
        </w:tc>
        <w:tc>
          <w:tcPr>
            <w:cnfStyle w:val="000010000000"/>
            <w:tcW w:w="1418" w:type="dxa"/>
            <w:shd w:val="clear" w:color="auto" w:fill="auto"/>
            <w:noWrap/>
          </w:tcPr>
          <w:p w:rsidR="00763E74" w:rsidRPr="00C74644" w:rsidRDefault="00B3351B" w:rsidP="001742A7">
            <w:pPr>
              <w:widowControl w:val="0"/>
              <w:spacing w:after="0" w:line="240" w:lineRule="auto"/>
              <w:jc w:val="center"/>
              <w:rPr>
                <w:rFonts w:cs="Arial"/>
                <w:b/>
                <w:color w:val="auto"/>
                <w:sz w:val="20"/>
                <w:szCs w:val="20"/>
                <w:lang w:eastAsia="en-GB"/>
              </w:rPr>
            </w:pPr>
            <w:r w:rsidRPr="00C74644">
              <w:rPr>
                <w:rFonts w:cs="Arial"/>
                <w:b/>
                <w:color w:val="auto"/>
                <w:sz w:val="20"/>
                <w:szCs w:val="20"/>
                <w:lang w:eastAsia="en-GB"/>
              </w:rPr>
              <w:t>1.4</w:t>
            </w:r>
          </w:p>
        </w:tc>
        <w:tc>
          <w:tcPr>
            <w:tcW w:w="1465" w:type="dxa"/>
            <w:shd w:val="clear" w:color="auto" w:fill="auto"/>
          </w:tcPr>
          <w:p w:rsidR="00763E74" w:rsidRPr="00C74644" w:rsidRDefault="00B3351B" w:rsidP="001742A7">
            <w:pPr>
              <w:widowControl w:val="0"/>
              <w:spacing w:after="0" w:line="240" w:lineRule="auto"/>
              <w:jc w:val="center"/>
              <w:cnfStyle w:val="000000000000"/>
              <w:rPr>
                <w:rFonts w:cs="Arial"/>
                <w:b/>
                <w:bCs/>
                <w:color w:val="auto"/>
                <w:sz w:val="20"/>
                <w:szCs w:val="20"/>
                <w:lang w:eastAsia="en-GB"/>
              </w:rPr>
            </w:pPr>
            <w:r w:rsidRPr="00C74644">
              <w:rPr>
                <w:rFonts w:cs="Arial"/>
                <w:b/>
                <w:bCs/>
                <w:color w:val="auto"/>
                <w:sz w:val="20"/>
                <w:szCs w:val="20"/>
                <w:lang w:eastAsia="en-GB"/>
              </w:rPr>
              <w:t>4.2</w:t>
            </w:r>
          </w:p>
        </w:tc>
        <w:tc>
          <w:tcPr>
            <w:cnfStyle w:val="000010000000"/>
            <w:tcW w:w="1417" w:type="dxa"/>
            <w:shd w:val="clear" w:color="auto" w:fill="auto"/>
            <w:noWrap/>
          </w:tcPr>
          <w:p w:rsidR="00763E74" w:rsidRPr="00C74644" w:rsidRDefault="00B3351B" w:rsidP="00C74644">
            <w:pPr>
              <w:widowControl w:val="0"/>
              <w:spacing w:after="0" w:line="240" w:lineRule="auto"/>
              <w:jc w:val="center"/>
              <w:rPr>
                <w:rFonts w:cs="Arial"/>
                <w:b/>
                <w:bCs/>
                <w:color w:val="auto"/>
                <w:sz w:val="20"/>
                <w:szCs w:val="20"/>
                <w:lang w:eastAsia="en-GB"/>
              </w:rPr>
            </w:pPr>
            <w:r w:rsidRPr="00C74644">
              <w:rPr>
                <w:rFonts w:cs="Arial"/>
                <w:b/>
                <w:bCs/>
                <w:color w:val="auto"/>
                <w:sz w:val="20"/>
                <w:szCs w:val="20"/>
                <w:lang w:eastAsia="en-GB"/>
              </w:rPr>
              <w:t>35.</w:t>
            </w:r>
            <w:r w:rsidR="00C74644" w:rsidRPr="00C74644">
              <w:rPr>
                <w:rFonts w:cs="Arial"/>
                <w:b/>
                <w:bCs/>
                <w:color w:val="auto"/>
                <w:sz w:val="20"/>
                <w:szCs w:val="20"/>
                <w:lang w:eastAsia="en-GB"/>
              </w:rPr>
              <w:t>3</w:t>
            </w:r>
          </w:p>
        </w:tc>
        <w:tc>
          <w:tcPr>
            <w:tcW w:w="1418" w:type="dxa"/>
            <w:shd w:val="clear" w:color="auto" w:fill="auto"/>
            <w:noWrap/>
          </w:tcPr>
          <w:p w:rsidR="00763E74" w:rsidRPr="00C74644" w:rsidRDefault="00B3351B" w:rsidP="00C74644">
            <w:pPr>
              <w:widowControl w:val="0"/>
              <w:spacing w:after="0" w:line="240" w:lineRule="auto"/>
              <w:jc w:val="center"/>
              <w:cnfStyle w:val="000000000000"/>
              <w:rPr>
                <w:rFonts w:cs="Arial"/>
                <w:b/>
                <w:bCs/>
                <w:color w:val="auto"/>
                <w:sz w:val="20"/>
                <w:szCs w:val="20"/>
                <w:lang w:eastAsia="en-GB"/>
              </w:rPr>
            </w:pPr>
            <w:r w:rsidRPr="00C74644">
              <w:rPr>
                <w:rFonts w:cs="Arial"/>
                <w:b/>
                <w:bCs/>
                <w:color w:val="auto"/>
                <w:sz w:val="20"/>
                <w:szCs w:val="20"/>
                <w:lang w:eastAsia="en-GB"/>
              </w:rPr>
              <w:t>1</w:t>
            </w:r>
            <w:r w:rsidR="00C74644" w:rsidRPr="00C74644">
              <w:rPr>
                <w:rFonts w:cs="Arial"/>
                <w:b/>
                <w:bCs/>
                <w:color w:val="auto"/>
                <w:sz w:val="20"/>
                <w:szCs w:val="20"/>
                <w:lang w:eastAsia="en-GB"/>
              </w:rPr>
              <w:t>2.0</w:t>
            </w:r>
          </w:p>
        </w:tc>
        <w:tc>
          <w:tcPr>
            <w:cnfStyle w:val="000010000000"/>
            <w:tcW w:w="1228" w:type="dxa"/>
            <w:shd w:val="clear" w:color="auto" w:fill="auto"/>
            <w:noWrap/>
          </w:tcPr>
          <w:p w:rsidR="00763E74" w:rsidRPr="00C74644" w:rsidRDefault="00B3351B" w:rsidP="00A61777">
            <w:pPr>
              <w:widowControl w:val="0"/>
              <w:spacing w:after="0" w:line="240" w:lineRule="auto"/>
              <w:jc w:val="center"/>
              <w:rPr>
                <w:rFonts w:cs="Arial"/>
                <w:b/>
                <w:color w:val="auto"/>
                <w:sz w:val="20"/>
                <w:szCs w:val="20"/>
                <w:lang w:eastAsia="en-GB"/>
              </w:rPr>
            </w:pPr>
            <w:r w:rsidRPr="00C74644">
              <w:rPr>
                <w:rFonts w:cs="Arial"/>
                <w:b/>
                <w:color w:val="auto"/>
                <w:sz w:val="20"/>
                <w:szCs w:val="20"/>
                <w:lang w:eastAsia="en-GB"/>
              </w:rPr>
              <w:t>47.3</w:t>
            </w:r>
          </w:p>
        </w:tc>
      </w:tr>
    </w:tbl>
    <w:p w:rsidR="00D21986" w:rsidRPr="00D42E0B" w:rsidRDefault="00D21986" w:rsidP="000D3AFB">
      <w:pPr>
        <w:rPr>
          <w:b/>
          <w:color w:val="548DD4" w:themeColor="text2" w:themeTint="99"/>
        </w:rPr>
        <w:sectPr w:rsidR="00D21986" w:rsidRPr="00D42E0B" w:rsidSect="001A3F09">
          <w:headerReference w:type="default" r:id="rId35"/>
          <w:headerReference w:type="first" r:id="rId36"/>
          <w:pgSz w:w="16838" w:h="11906" w:orient="landscape" w:code="9"/>
          <w:pgMar w:top="1440" w:right="1440" w:bottom="1440" w:left="1440" w:header="544" w:footer="544" w:gutter="0"/>
          <w:cols w:space="708"/>
          <w:titlePg/>
          <w:docGrid w:linePitch="360"/>
        </w:sectPr>
      </w:pPr>
    </w:p>
    <w:p w:rsidR="00E51139" w:rsidRPr="00F30237" w:rsidRDefault="00E51139" w:rsidP="00334CF7">
      <w:pPr>
        <w:widowControl w:val="0"/>
        <w:rPr>
          <w:b/>
          <w:color w:val="auto"/>
        </w:rPr>
      </w:pPr>
      <w:r w:rsidRPr="00F30237">
        <w:rPr>
          <w:b/>
          <w:color w:val="auto"/>
        </w:rPr>
        <w:lastRenderedPageBreak/>
        <w:t>Comprehensive Income and Expenditure Statement</w:t>
      </w:r>
    </w:p>
    <w:p w:rsidR="00E51139" w:rsidRPr="00D42E0B" w:rsidRDefault="00E51139" w:rsidP="006259C3">
      <w:pPr>
        <w:pStyle w:val="BodyText"/>
        <w:widowControl w:val="0"/>
        <w:ind w:right="-105"/>
        <w:rPr>
          <w:rFonts w:cs="Arial"/>
          <w:color w:val="548DD4" w:themeColor="text2" w:themeTint="99"/>
          <w:sz w:val="20"/>
          <w:szCs w:val="20"/>
        </w:rPr>
      </w:pPr>
      <w:r w:rsidRPr="00F30237">
        <w:rPr>
          <w:rFonts w:cs="Arial"/>
          <w:color w:val="auto"/>
          <w:sz w:val="20"/>
          <w:szCs w:val="20"/>
        </w:rPr>
        <w:t>This statement shows the accounting cost in the year of providing services in accordance with generally accepted accounting practices, rather than the amount to be funded from taxation. Authorities raise taxation to cover expenditure in accordance with regulations; this may be different from the “accounting” cost. The taxation position is shown in the Movement in Reserves Statement</w:t>
      </w:r>
      <w:r w:rsidRPr="00D42E0B">
        <w:rPr>
          <w:rFonts w:cs="Arial"/>
          <w:color w:val="548DD4" w:themeColor="text2" w:themeTint="99"/>
          <w:sz w:val="20"/>
          <w:szCs w:val="20"/>
        </w:rPr>
        <w:t xml:space="preserve">. </w:t>
      </w:r>
    </w:p>
    <w:tbl>
      <w:tblPr>
        <w:tblStyle w:val="ListTable3-Accent51"/>
        <w:tblW w:w="10031" w:type="dxa"/>
        <w:tblLayout w:type="fixed"/>
        <w:tblLook w:val="00A0"/>
      </w:tblPr>
      <w:tblGrid>
        <w:gridCol w:w="817"/>
        <w:gridCol w:w="851"/>
        <w:gridCol w:w="850"/>
        <w:gridCol w:w="142"/>
        <w:gridCol w:w="3118"/>
        <w:gridCol w:w="709"/>
        <w:gridCol w:w="1134"/>
        <w:gridCol w:w="1276"/>
        <w:gridCol w:w="1134"/>
      </w:tblGrid>
      <w:tr w:rsidR="007C5978" w:rsidRPr="00D42E0B" w:rsidTr="006B666B">
        <w:trPr>
          <w:cnfStyle w:val="100000000000"/>
          <w:trHeight w:val="297"/>
        </w:trPr>
        <w:tc>
          <w:tcPr>
            <w:cnfStyle w:val="001000000100"/>
            <w:tcW w:w="2660" w:type="dxa"/>
            <w:gridSpan w:val="4"/>
          </w:tcPr>
          <w:p w:rsidR="007C5978" w:rsidRPr="00F30237" w:rsidRDefault="0020369D" w:rsidP="0020369D">
            <w:pPr>
              <w:rPr>
                <w:color w:val="auto"/>
                <w:lang w:eastAsia="en-GB"/>
              </w:rPr>
            </w:pPr>
            <w:r w:rsidRPr="00F30237">
              <w:rPr>
                <w:color w:val="auto"/>
                <w:lang w:eastAsia="en-GB"/>
              </w:rPr>
              <w:t>2014/15</w:t>
            </w:r>
          </w:p>
        </w:tc>
        <w:tc>
          <w:tcPr>
            <w:cnfStyle w:val="000010000000"/>
            <w:tcW w:w="3118" w:type="dxa"/>
          </w:tcPr>
          <w:p w:rsidR="007C5978" w:rsidRPr="00F30237" w:rsidRDefault="007C5978" w:rsidP="00930D15">
            <w:pPr>
              <w:rPr>
                <w:color w:val="auto"/>
                <w:lang w:eastAsia="en-GB"/>
              </w:rPr>
            </w:pPr>
          </w:p>
        </w:tc>
        <w:tc>
          <w:tcPr>
            <w:tcW w:w="709" w:type="dxa"/>
          </w:tcPr>
          <w:p w:rsidR="007C5978" w:rsidRPr="00F30237" w:rsidRDefault="007C5978" w:rsidP="00930D15">
            <w:pPr>
              <w:cnfStyle w:val="100000000000"/>
              <w:rPr>
                <w:color w:val="auto"/>
                <w:lang w:eastAsia="en-GB"/>
              </w:rPr>
            </w:pPr>
          </w:p>
        </w:tc>
        <w:tc>
          <w:tcPr>
            <w:cnfStyle w:val="000010000000"/>
            <w:tcW w:w="1134" w:type="dxa"/>
          </w:tcPr>
          <w:p w:rsidR="007C5978" w:rsidRPr="00F30237" w:rsidRDefault="007C5978" w:rsidP="00930D15">
            <w:pPr>
              <w:rPr>
                <w:color w:val="auto"/>
                <w:lang w:eastAsia="en-GB"/>
              </w:rPr>
            </w:pPr>
          </w:p>
        </w:tc>
        <w:tc>
          <w:tcPr>
            <w:tcW w:w="1276" w:type="dxa"/>
          </w:tcPr>
          <w:p w:rsidR="007C5978" w:rsidRPr="00F30237" w:rsidRDefault="007C5978" w:rsidP="00F30237">
            <w:pPr>
              <w:cnfStyle w:val="100000000000"/>
              <w:rPr>
                <w:color w:val="auto"/>
                <w:lang w:eastAsia="en-GB"/>
              </w:rPr>
            </w:pPr>
            <w:r w:rsidRPr="00F30237">
              <w:rPr>
                <w:color w:val="auto"/>
                <w:lang w:eastAsia="en-GB"/>
              </w:rPr>
              <w:t>201</w:t>
            </w:r>
            <w:r w:rsidR="00F30237" w:rsidRPr="00F30237">
              <w:rPr>
                <w:color w:val="auto"/>
                <w:lang w:eastAsia="en-GB"/>
              </w:rPr>
              <w:t>5</w:t>
            </w:r>
            <w:r w:rsidRPr="00F30237">
              <w:rPr>
                <w:color w:val="auto"/>
                <w:lang w:eastAsia="en-GB"/>
              </w:rPr>
              <w:t>/1</w:t>
            </w:r>
            <w:r w:rsidR="00F30237" w:rsidRPr="00F30237">
              <w:rPr>
                <w:color w:val="auto"/>
                <w:lang w:eastAsia="en-GB"/>
              </w:rPr>
              <w:t>6</w:t>
            </w:r>
          </w:p>
        </w:tc>
        <w:tc>
          <w:tcPr>
            <w:cnfStyle w:val="000010000000"/>
            <w:tcW w:w="1134" w:type="dxa"/>
            <w:noWrap/>
          </w:tcPr>
          <w:p w:rsidR="007C5978" w:rsidRPr="00F30237" w:rsidRDefault="007C5978" w:rsidP="00930D15">
            <w:pPr>
              <w:rPr>
                <w:color w:val="auto"/>
                <w:lang w:eastAsia="en-GB"/>
              </w:rPr>
            </w:pPr>
          </w:p>
        </w:tc>
      </w:tr>
      <w:tr w:rsidR="00A77442" w:rsidRPr="00D42E0B" w:rsidTr="006B666B">
        <w:trPr>
          <w:cnfStyle w:val="000000100000"/>
          <w:trHeight w:val="375"/>
        </w:trPr>
        <w:tc>
          <w:tcPr>
            <w:cnfStyle w:val="001000000000"/>
            <w:tcW w:w="817" w:type="dxa"/>
            <w:shd w:val="clear" w:color="auto" w:fill="4BACC6" w:themeFill="accent5"/>
          </w:tcPr>
          <w:p w:rsidR="00A77442" w:rsidRPr="006B666B" w:rsidRDefault="00A77442" w:rsidP="00930D15">
            <w:pPr>
              <w:pStyle w:val="NoSpacing"/>
              <w:jc w:val="center"/>
              <w:rPr>
                <w:rFonts w:ascii="Arial" w:hAnsi="Arial" w:cs="Arial"/>
                <w:b w:val="0"/>
                <w:sz w:val="18"/>
                <w:szCs w:val="18"/>
              </w:rPr>
            </w:pPr>
            <w:r w:rsidRPr="006B666B">
              <w:rPr>
                <w:rFonts w:ascii="Arial" w:hAnsi="Arial" w:cs="Arial"/>
                <w:b w:val="0"/>
                <w:sz w:val="18"/>
                <w:szCs w:val="18"/>
              </w:rPr>
              <w:t>Gross</w:t>
            </w:r>
          </w:p>
          <w:p w:rsidR="00A77442" w:rsidRPr="006B666B" w:rsidRDefault="00A77442" w:rsidP="00930D15">
            <w:pPr>
              <w:pStyle w:val="NoSpacing"/>
              <w:jc w:val="center"/>
              <w:rPr>
                <w:rFonts w:ascii="Arial" w:hAnsi="Arial" w:cs="Arial"/>
                <w:b w:val="0"/>
                <w:sz w:val="18"/>
                <w:szCs w:val="18"/>
              </w:rPr>
            </w:pPr>
            <w:r w:rsidRPr="006B666B">
              <w:rPr>
                <w:rFonts w:ascii="Arial" w:hAnsi="Arial" w:cs="Arial"/>
                <w:b w:val="0"/>
                <w:sz w:val="18"/>
                <w:szCs w:val="18"/>
              </w:rPr>
              <w:t>Exp</w:t>
            </w:r>
          </w:p>
        </w:tc>
        <w:tc>
          <w:tcPr>
            <w:cnfStyle w:val="000010000000"/>
            <w:tcW w:w="851" w:type="dxa"/>
            <w:shd w:val="clear" w:color="auto" w:fill="4BACC6" w:themeFill="accent5"/>
          </w:tcPr>
          <w:p w:rsidR="00A77442" w:rsidRPr="006B666B" w:rsidRDefault="00A77442" w:rsidP="00930D15">
            <w:pPr>
              <w:pStyle w:val="NoSpacing"/>
              <w:jc w:val="center"/>
              <w:rPr>
                <w:rFonts w:ascii="Arial" w:hAnsi="Arial" w:cs="Arial"/>
                <w:sz w:val="18"/>
                <w:szCs w:val="18"/>
              </w:rPr>
            </w:pPr>
            <w:r w:rsidRPr="006B666B">
              <w:rPr>
                <w:rFonts w:ascii="Arial" w:hAnsi="Arial" w:cs="Arial"/>
                <w:sz w:val="18"/>
                <w:szCs w:val="18"/>
              </w:rPr>
              <w:t>Gross</w:t>
            </w:r>
          </w:p>
          <w:p w:rsidR="00A77442" w:rsidRPr="006B666B" w:rsidRDefault="00A77442" w:rsidP="00930D15">
            <w:pPr>
              <w:pStyle w:val="NoSpacing"/>
              <w:jc w:val="center"/>
              <w:rPr>
                <w:rFonts w:ascii="Arial" w:hAnsi="Arial" w:cs="Arial"/>
                <w:sz w:val="18"/>
                <w:szCs w:val="18"/>
              </w:rPr>
            </w:pPr>
            <w:r w:rsidRPr="006B666B">
              <w:rPr>
                <w:rFonts w:ascii="Arial" w:hAnsi="Arial" w:cs="Arial"/>
                <w:sz w:val="18"/>
                <w:szCs w:val="18"/>
              </w:rPr>
              <w:t>Income</w:t>
            </w:r>
          </w:p>
        </w:tc>
        <w:tc>
          <w:tcPr>
            <w:tcW w:w="850" w:type="dxa"/>
            <w:shd w:val="clear" w:color="auto" w:fill="4BACC6" w:themeFill="accent5"/>
          </w:tcPr>
          <w:p w:rsidR="00A77442" w:rsidRPr="006B666B" w:rsidRDefault="00A77442" w:rsidP="00930D15">
            <w:pPr>
              <w:pStyle w:val="NoSpacing"/>
              <w:jc w:val="center"/>
              <w:cnfStyle w:val="000000100000"/>
              <w:rPr>
                <w:rFonts w:ascii="Arial" w:hAnsi="Arial" w:cs="Arial"/>
                <w:sz w:val="18"/>
                <w:szCs w:val="18"/>
              </w:rPr>
            </w:pPr>
            <w:r w:rsidRPr="006B666B">
              <w:rPr>
                <w:rFonts w:ascii="Arial" w:hAnsi="Arial" w:cs="Arial"/>
                <w:sz w:val="18"/>
                <w:szCs w:val="18"/>
              </w:rPr>
              <w:t>Net</w:t>
            </w:r>
          </w:p>
          <w:p w:rsidR="00A77442" w:rsidRPr="006B666B" w:rsidRDefault="00A77442" w:rsidP="00930D15">
            <w:pPr>
              <w:pStyle w:val="NoSpacing"/>
              <w:jc w:val="center"/>
              <w:cnfStyle w:val="000000100000"/>
              <w:rPr>
                <w:rFonts w:ascii="Arial" w:hAnsi="Arial" w:cs="Arial"/>
                <w:sz w:val="18"/>
                <w:szCs w:val="18"/>
              </w:rPr>
            </w:pPr>
            <w:r w:rsidRPr="006B666B">
              <w:rPr>
                <w:rFonts w:ascii="Arial" w:hAnsi="Arial" w:cs="Arial"/>
                <w:sz w:val="18"/>
                <w:szCs w:val="18"/>
              </w:rPr>
              <w:t>Exp</w:t>
            </w:r>
          </w:p>
        </w:tc>
        <w:tc>
          <w:tcPr>
            <w:cnfStyle w:val="000010000000"/>
            <w:tcW w:w="3260" w:type="dxa"/>
            <w:gridSpan w:val="2"/>
            <w:shd w:val="clear" w:color="auto" w:fill="4BACC6" w:themeFill="accent5"/>
          </w:tcPr>
          <w:p w:rsidR="00A77442" w:rsidRPr="006B666B" w:rsidRDefault="00930D15" w:rsidP="00930D15">
            <w:pPr>
              <w:pStyle w:val="NoSpacing"/>
              <w:rPr>
                <w:rFonts w:ascii="Arial" w:hAnsi="Arial" w:cs="Arial"/>
                <w:sz w:val="18"/>
                <w:szCs w:val="18"/>
              </w:rPr>
            </w:pPr>
            <w:r w:rsidRPr="006B666B">
              <w:rPr>
                <w:rFonts w:ascii="Arial" w:hAnsi="Arial" w:cs="Arial"/>
                <w:sz w:val="18"/>
                <w:szCs w:val="18"/>
              </w:rPr>
              <w:t>Services</w:t>
            </w:r>
          </w:p>
        </w:tc>
        <w:tc>
          <w:tcPr>
            <w:tcW w:w="709" w:type="dxa"/>
            <w:shd w:val="clear" w:color="auto" w:fill="4BACC6" w:themeFill="accent5"/>
          </w:tcPr>
          <w:p w:rsidR="00A77442" w:rsidRPr="006B666B" w:rsidRDefault="00A77442" w:rsidP="00930D15">
            <w:pPr>
              <w:pStyle w:val="NoSpacing"/>
              <w:cnfStyle w:val="000000100000"/>
              <w:rPr>
                <w:rFonts w:ascii="Arial" w:hAnsi="Arial" w:cs="Arial"/>
                <w:sz w:val="18"/>
                <w:szCs w:val="18"/>
              </w:rPr>
            </w:pPr>
            <w:r w:rsidRPr="006B666B">
              <w:rPr>
                <w:rFonts w:ascii="Arial" w:hAnsi="Arial" w:cs="Arial"/>
                <w:sz w:val="18"/>
                <w:szCs w:val="18"/>
              </w:rPr>
              <w:t>Note</w:t>
            </w:r>
          </w:p>
        </w:tc>
        <w:tc>
          <w:tcPr>
            <w:cnfStyle w:val="000010000000"/>
            <w:tcW w:w="1134" w:type="dxa"/>
            <w:shd w:val="clear" w:color="auto" w:fill="4BACC6" w:themeFill="accent5"/>
          </w:tcPr>
          <w:p w:rsidR="00A77442" w:rsidRPr="006B666B" w:rsidRDefault="00A77442" w:rsidP="00930D15">
            <w:pPr>
              <w:pStyle w:val="NoSpacing"/>
              <w:jc w:val="center"/>
              <w:rPr>
                <w:rFonts w:ascii="Arial" w:hAnsi="Arial" w:cs="Arial"/>
                <w:sz w:val="18"/>
                <w:szCs w:val="18"/>
              </w:rPr>
            </w:pPr>
            <w:r w:rsidRPr="006B666B">
              <w:rPr>
                <w:rFonts w:ascii="Arial" w:hAnsi="Arial" w:cs="Arial"/>
                <w:sz w:val="18"/>
                <w:szCs w:val="18"/>
              </w:rPr>
              <w:t>Gross</w:t>
            </w:r>
          </w:p>
          <w:p w:rsidR="00A77442" w:rsidRPr="006B666B" w:rsidRDefault="00A77442" w:rsidP="00930D15">
            <w:pPr>
              <w:pStyle w:val="NoSpacing"/>
              <w:jc w:val="center"/>
              <w:rPr>
                <w:rFonts w:ascii="Arial" w:hAnsi="Arial" w:cs="Arial"/>
                <w:sz w:val="18"/>
                <w:szCs w:val="18"/>
              </w:rPr>
            </w:pPr>
            <w:r w:rsidRPr="006B666B">
              <w:rPr>
                <w:rFonts w:ascii="Arial" w:hAnsi="Arial" w:cs="Arial"/>
                <w:sz w:val="18"/>
                <w:szCs w:val="18"/>
              </w:rPr>
              <w:t>Exp</w:t>
            </w:r>
          </w:p>
        </w:tc>
        <w:tc>
          <w:tcPr>
            <w:tcW w:w="1276" w:type="dxa"/>
            <w:shd w:val="clear" w:color="auto" w:fill="4BACC6" w:themeFill="accent5"/>
          </w:tcPr>
          <w:p w:rsidR="00A77442" w:rsidRPr="006B666B" w:rsidRDefault="00A77442" w:rsidP="00930D15">
            <w:pPr>
              <w:pStyle w:val="NoSpacing"/>
              <w:jc w:val="center"/>
              <w:cnfStyle w:val="000000100000"/>
              <w:rPr>
                <w:rFonts w:ascii="Arial" w:hAnsi="Arial" w:cs="Arial"/>
                <w:sz w:val="18"/>
                <w:szCs w:val="18"/>
              </w:rPr>
            </w:pPr>
            <w:r w:rsidRPr="006B666B">
              <w:rPr>
                <w:rFonts w:ascii="Arial" w:hAnsi="Arial" w:cs="Arial"/>
                <w:sz w:val="18"/>
                <w:szCs w:val="18"/>
              </w:rPr>
              <w:t>Gross</w:t>
            </w:r>
          </w:p>
          <w:p w:rsidR="00A77442" w:rsidRPr="006B666B" w:rsidRDefault="00A77442" w:rsidP="00930D15">
            <w:pPr>
              <w:pStyle w:val="NoSpacing"/>
              <w:jc w:val="center"/>
              <w:cnfStyle w:val="000000100000"/>
              <w:rPr>
                <w:rFonts w:ascii="Arial" w:hAnsi="Arial" w:cs="Arial"/>
                <w:sz w:val="18"/>
                <w:szCs w:val="18"/>
              </w:rPr>
            </w:pPr>
            <w:r w:rsidRPr="006B666B">
              <w:rPr>
                <w:rFonts w:ascii="Arial" w:hAnsi="Arial" w:cs="Arial"/>
                <w:sz w:val="18"/>
                <w:szCs w:val="18"/>
              </w:rPr>
              <w:t>Income</w:t>
            </w:r>
          </w:p>
        </w:tc>
        <w:tc>
          <w:tcPr>
            <w:cnfStyle w:val="000010000000"/>
            <w:tcW w:w="1134" w:type="dxa"/>
            <w:shd w:val="clear" w:color="auto" w:fill="4BACC6" w:themeFill="accent5"/>
            <w:noWrap/>
          </w:tcPr>
          <w:p w:rsidR="00A77442" w:rsidRPr="006B666B" w:rsidRDefault="00A77442" w:rsidP="00930D15">
            <w:pPr>
              <w:pStyle w:val="NoSpacing"/>
              <w:jc w:val="center"/>
              <w:rPr>
                <w:rFonts w:ascii="Arial" w:hAnsi="Arial" w:cs="Arial"/>
                <w:sz w:val="18"/>
                <w:szCs w:val="18"/>
              </w:rPr>
            </w:pPr>
            <w:r w:rsidRPr="006B666B">
              <w:rPr>
                <w:rFonts w:ascii="Arial" w:hAnsi="Arial" w:cs="Arial"/>
                <w:sz w:val="18"/>
                <w:szCs w:val="18"/>
              </w:rPr>
              <w:t>Net</w:t>
            </w:r>
          </w:p>
          <w:p w:rsidR="00A77442" w:rsidRPr="006B666B" w:rsidRDefault="00A77442" w:rsidP="00930D15">
            <w:pPr>
              <w:pStyle w:val="NoSpacing"/>
              <w:jc w:val="center"/>
              <w:rPr>
                <w:rFonts w:ascii="Arial" w:hAnsi="Arial" w:cs="Arial"/>
                <w:sz w:val="18"/>
                <w:szCs w:val="18"/>
              </w:rPr>
            </w:pPr>
            <w:r w:rsidRPr="006B666B">
              <w:rPr>
                <w:rFonts w:ascii="Arial" w:hAnsi="Arial" w:cs="Arial"/>
                <w:sz w:val="18"/>
                <w:szCs w:val="18"/>
              </w:rPr>
              <w:t>Exp</w:t>
            </w:r>
          </w:p>
        </w:tc>
      </w:tr>
      <w:tr w:rsidR="00930D15" w:rsidRPr="00D42E0B" w:rsidTr="006B666B">
        <w:trPr>
          <w:trHeight w:val="325"/>
        </w:trPr>
        <w:tc>
          <w:tcPr>
            <w:cnfStyle w:val="001000000000"/>
            <w:tcW w:w="817" w:type="dxa"/>
            <w:shd w:val="clear" w:color="auto" w:fill="4BACC6" w:themeFill="accent5"/>
          </w:tcPr>
          <w:p w:rsidR="00930D15" w:rsidRPr="006B666B" w:rsidRDefault="00930D15" w:rsidP="00930D15">
            <w:pPr>
              <w:jc w:val="center"/>
              <w:rPr>
                <w:rFonts w:cs="Arial"/>
                <w:b w:val="0"/>
                <w:bCs w:val="0"/>
                <w:color w:val="auto"/>
                <w:sz w:val="18"/>
                <w:szCs w:val="18"/>
                <w:lang w:eastAsia="en-GB"/>
              </w:rPr>
            </w:pPr>
            <w:r w:rsidRPr="006B666B">
              <w:rPr>
                <w:rFonts w:cs="Arial"/>
                <w:b w:val="0"/>
                <w:bCs w:val="0"/>
                <w:color w:val="auto"/>
                <w:sz w:val="18"/>
                <w:szCs w:val="18"/>
                <w:lang w:eastAsia="en-GB"/>
              </w:rPr>
              <w:t>£m</w:t>
            </w:r>
          </w:p>
        </w:tc>
        <w:tc>
          <w:tcPr>
            <w:cnfStyle w:val="000010000000"/>
            <w:tcW w:w="851" w:type="dxa"/>
            <w:shd w:val="clear" w:color="auto" w:fill="4BACC6" w:themeFill="accent5"/>
          </w:tcPr>
          <w:p w:rsidR="00930D15" w:rsidRPr="006B666B" w:rsidRDefault="00930D15" w:rsidP="00930D15">
            <w:pPr>
              <w:jc w:val="center"/>
              <w:rPr>
                <w:rFonts w:cs="Arial"/>
                <w:color w:val="auto"/>
                <w:sz w:val="18"/>
                <w:szCs w:val="18"/>
                <w:lang w:eastAsia="en-GB"/>
              </w:rPr>
            </w:pPr>
            <w:r w:rsidRPr="006B666B">
              <w:rPr>
                <w:rFonts w:cs="Arial"/>
                <w:color w:val="auto"/>
                <w:sz w:val="18"/>
                <w:szCs w:val="18"/>
                <w:lang w:eastAsia="en-GB"/>
              </w:rPr>
              <w:t>£m</w:t>
            </w:r>
          </w:p>
        </w:tc>
        <w:tc>
          <w:tcPr>
            <w:tcW w:w="850" w:type="dxa"/>
            <w:shd w:val="clear" w:color="auto" w:fill="4BACC6" w:themeFill="accent5"/>
          </w:tcPr>
          <w:p w:rsidR="00930D15" w:rsidRPr="006B666B" w:rsidRDefault="00930D15" w:rsidP="00930D15">
            <w:pPr>
              <w:jc w:val="center"/>
              <w:cnfStyle w:val="000000000000"/>
              <w:rPr>
                <w:rFonts w:cs="Arial"/>
                <w:color w:val="auto"/>
                <w:sz w:val="18"/>
                <w:szCs w:val="18"/>
                <w:lang w:eastAsia="en-GB"/>
              </w:rPr>
            </w:pPr>
            <w:r w:rsidRPr="006B666B">
              <w:rPr>
                <w:rFonts w:cs="Arial"/>
                <w:color w:val="auto"/>
                <w:sz w:val="18"/>
                <w:szCs w:val="18"/>
                <w:lang w:eastAsia="en-GB"/>
              </w:rPr>
              <w:t>£m</w:t>
            </w:r>
          </w:p>
        </w:tc>
        <w:tc>
          <w:tcPr>
            <w:cnfStyle w:val="000010000000"/>
            <w:tcW w:w="3260" w:type="dxa"/>
            <w:gridSpan w:val="2"/>
            <w:shd w:val="clear" w:color="auto" w:fill="4BACC6" w:themeFill="accent5"/>
          </w:tcPr>
          <w:p w:rsidR="00930D15" w:rsidRPr="006B666B" w:rsidRDefault="00930D15" w:rsidP="00930D15">
            <w:pPr>
              <w:rPr>
                <w:rFonts w:cs="Arial"/>
                <w:color w:val="auto"/>
                <w:sz w:val="18"/>
                <w:szCs w:val="18"/>
                <w:lang w:eastAsia="en-GB"/>
              </w:rPr>
            </w:pPr>
          </w:p>
        </w:tc>
        <w:tc>
          <w:tcPr>
            <w:tcW w:w="709" w:type="dxa"/>
            <w:shd w:val="clear" w:color="auto" w:fill="4BACC6" w:themeFill="accent5"/>
          </w:tcPr>
          <w:p w:rsidR="00930D15" w:rsidRPr="006B666B" w:rsidRDefault="00930D15" w:rsidP="00930D15">
            <w:pPr>
              <w:cnfStyle w:val="000000000000"/>
              <w:rPr>
                <w:rFonts w:cs="Arial"/>
                <w:color w:val="auto"/>
                <w:sz w:val="18"/>
                <w:szCs w:val="18"/>
                <w:lang w:eastAsia="en-GB"/>
              </w:rPr>
            </w:pPr>
          </w:p>
        </w:tc>
        <w:tc>
          <w:tcPr>
            <w:cnfStyle w:val="000010000000"/>
            <w:tcW w:w="1134" w:type="dxa"/>
            <w:shd w:val="clear" w:color="auto" w:fill="4BACC6" w:themeFill="accent5"/>
            <w:noWrap/>
          </w:tcPr>
          <w:p w:rsidR="00930D15" w:rsidRPr="006B666B" w:rsidRDefault="006B666B" w:rsidP="006B666B">
            <w:pPr>
              <w:jc w:val="center"/>
              <w:rPr>
                <w:rFonts w:cs="Arial"/>
                <w:color w:val="auto"/>
                <w:sz w:val="18"/>
                <w:szCs w:val="18"/>
                <w:lang w:eastAsia="en-GB"/>
              </w:rPr>
            </w:pPr>
            <w:r w:rsidRPr="006B666B">
              <w:rPr>
                <w:rFonts w:cs="Arial"/>
                <w:color w:val="auto"/>
                <w:sz w:val="18"/>
                <w:szCs w:val="18"/>
                <w:lang w:eastAsia="en-GB"/>
              </w:rPr>
              <w:t>£m</w:t>
            </w:r>
          </w:p>
        </w:tc>
        <w:tc>
          <w:tcPr>
            <w:tcW w:w="1276" w:type="dxa"/>
            <w:shd w:val="clear" w:color="auto" w:fill="4BACC6" w:themeFill="accent5"/>
            <w:noWrap/>
          </w:tcPr>
          <w:p w:rsidR="00930D15" w:rsidRPr="006B666B" w:rsidRDefault="00930D15" w:rsidP="00930D15">
            <w:pPr>
              <w:jc w:val="center"/>
              <w:cnfStyle w:val="000000000000"/>
              <w:rPr>
                <w:rFonts w:cs="Arial"/>
                <w:color w:val="auto"/>
                <w:sz w:val="18"/>
                <w:szCs w:val="18"/>
                <w:lang w:eastAsia="en-GB"/>
              </w:rPr>
            </w:pPr>
            <w:r w:rsidRPr="006B666B">
              <w:rPr>
                <w:rFonts w:cs="Arial"/>
                <w:color w:val="auto"/>
                <w:sz w:val="18"/>
                <w:szCs w:val="18"/>
                <w:lang w:eastAsia="en-GB"/>
              </w:rPr>
              <w:t>£m</w:t>
            </w:r>
          </w:p>
        </w:tc>
        <w:tc>
          <w:tcPr>
            <w:cnfStyle w:val="000010000000"/>
            <w:tcW w:w="1134" w:type="dxa"/>
            <w:shd w:val="clear" w:color="auto" w:fill="4BACC6" w:themeFill="accent5"/>
            <w:noWrap/>
          </w:tcPr>
          <w:p w:rsidR="00930D15" w:rsidRPr="006B666B" w:rsidRDefault="00930D15" w:rsidP="00930D15">
            <w:pPr>
              <w:jc w:val="center"/>
              <w:rPr>
                <w:rFonts w:cs="Arial"/>
                <w:color w:val="auto"/>
                <w:sz w:val="18"/>
                <w:szCs w:val="18"/>
                <w:lang w:eastAsia="en-GB"/>
              </w:rPr>
            </w:pPr>
            <w:r w:rsidRPr="006B666B">
              <w:rPr>
                <w:rFonts w:cs="Arial"/>
                <w:color w:val="auto"/>
                <w:sz w:val="18"/>
                <w:szCs w:val="18"/>
                <w:lang w:eastAsia="en-GB"/>
              </w:rPr>
              <w:t>£m</w:t>
            </w:r>
          </w:p>
        </w:tc>
      </w:tr>
      <w:tr w:rsidR="00F30237" w:rsidRPr="00D42E0B" w:rsidTr="006B666B">
        <w:trPr>
          <w:cnfStyle w:val="000000100000"/>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3.1</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(2.3)</w:t>
            </w:r>
          </w:p>
        </w:tc>
        <w:tc>
          <w:tcPr>
            <w:tcW w:w="850" w:type="dxa"/>
          </w:tcPr>
          <w:p w:rsidR="00F30237" w:rsidRPr="00D46620" w:rsidRDefault="00F30237" w:rsidP="00F30237">
            <w:pPr>
              <w:widowControl w:val="0"/>
              <w:spacing w:after="0" w:line="240" w:lineRule="auto"/>
              <w:jc w:val="right"/>
              <w:cnfStyle w:val="000000100000"/>
              <w:rPr>
                <w:rFonts w:cs="Arial"/>
                <w:color w:val="auto"/>
                <w:sz w:val="20"/>
                <w:szCs w:val="20"/>
                <w:lang w:eastAsia="en-GB"/>
              </w:rPr>
            </w:pPr>
            <w:r w:rsidRPr="00D46620">
              <w:rPr>
                <w:rFonts w:cs="Arial"/>
                <w:color w:val="auto"/>
                <w:sz w:val="20"/>
                <w:szCs w:val="20"/>
                <w:lang w:eastAsia="en-GB"/>
              </w:rPr>
              <w:t>0.8</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Central Services to the Public</w:t>
            </w:r>
          </w:p>
        </w:tc>
        <w:tc>
          <w:tcPr>
            <w:tcW w:w="709" w:type="dxa"/>
          </w:tcPr>
          <w:p w:rsidR="00F30237" w:rsidRPr="00F30237" w:rsidRDefault="00F30237" w:rsidP="00930D15">
            <w:pPr>
              <w:widowControl w:val="0"/>
              <w:spacing w:after="0" w:line="240" w:lineRule="auto"/>
              <w:jc w:val="center"/>
              <w:cnfStyle w:val="000000100000"/>
              <w:rPr>
                <w:rFonts w:cs="Arial"/>
                <w:color w:val="auto"/>
                <w:sz w:val="18"/>
                <w:szCs w:val="18"/>
                <w:lang w:eastAsia="en-GB"/>
              </w:rPr>
            </w:pPr>
          </w:p>
        </w:tc>
        <w:tc>
          <w:tcPr>
            <w:cnfStyle w:val="000010000000"/>
            <w:tcW w:w="1134" w:type="dxa"/>
            <w:noWrap/>
          </w:tcPr>
          <w:p w:rsidR="00F30237" w:rsidRPr="00F30237" w:rsidRDefault="00A62E52" w:rsidP="00930D15">
            <w:pPr>
              <w:widowControl w:val="0"/>
              <w:spacing w:after="0" w:line="240" w:lineRule="auto"/>
              <w:jc w:val="right"/>
              <w:rPr>
                <w:rFonts w:cs="Arial"/>
                <w:color w:val="auto"/>
                <w:sz w:val="20"/>
                <w:szCs w:val="20"/>
                <w:lang w:eastAsia="en-GB"/>
              </w:rPr>
            </w:pPr>
            <w:r>
              <w:rPr>
                <w:rFonts w:cs="Arial"/>
                <w:color w:val="auto"/>
                <w:sz w:val="20"/>
                <w:szCs w:val="20"/>
                <w:lang w:eastAsia="en-GB"/>
              </w:rPr>
              <w:t>4.3</w:t>
            </w:r>
          </w:p>
        </w:tc>
        <w:tc>
          <w:tcPr>
            <w:tcW w:w="1276" w:type="dxa"/>
            <w:noWrap/>
          </w:tcPr>
          <w:p w:rsidR="00F30237" w:rsidRPr="00F30237" w:rsidRDefault="006D5C8C" w:rsidP="00930D15">
            <w:pPr>
              <w:widowControl w:val="0"/>
              <w:spacing w:after="0" w:line="240" w:lineRule="auto"/>
              <w:jc w:val="right"/>
              <w:cnfStyle w:val="000000100000"/>
              <w:rPr>
                <w:rFonts w:cs="Arial"/>
                <w:color w:val="auto"/>
                <w:sz w:val="20"/>
                <w:szCs w:val="20"/>
                <w:lang w:eastAsia="en-GB"/>
              </w:rPr>
            </w:pPr>
            <w:r>
              <w:rPr>
                <w:rFonts w:cs="Arial"/>
                <w:color w:val="auto"/>
                <w:sz w:val="20"/>
                <w:szCs w:val="20"/>
                <w:lang w:eastAsia="en-GB"/>
              </w:rPr>
              <w:t>(1.7)</w:t>
            </w:r>
          </w:p>
        </w:tc>
        <w:tc>
          <w:tcPr>
            <w:cnfStyle w:val="000010000000"/>
            <w:tcW w:w="1134" w:type="dxa"/>
            <w:noWrap/>
          </w:tcPr>
          <w:p w:rsidR="00F30237" w:rsidRPr="00F30237" w:rsidRDefault="00F412E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2.6</w:t>
            </w:r>
          </w:p>
        </w:tc>
      </w:tr>
      <w:tr w:rsidR="00F30237" w:rsidRPr="00D42E0B" w:rsidTr="006B666B">
        <w:trPr>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11.0</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(1.8)</w:t>
            </w:r>
          </w:p>
        </w:tc>
        <w:tc>
          <w:tcPr>
            <w:tcW w:w="850" w:type="dxa"/>
          </w:tcPr>
          <w:p w:rsidR="00F30237" w:rsidRPr="00D46620" w:rsidRDefault="00F30237" w:rsidP="00F30237">
            <w:pPr>
              <w:widowControl w:val="0"/>
              <w:spacing w:after="0" w:line="240" w:lineRule="auto"/>
              <w:jc w:val="right"/>
              <w:cnfStyle w:val="000000000000"/>
              <w:rPr>
                <w:rFonts w:cs="Arial"/>
                <w:color w:val="auto"/>
                <w:sz w:val="20"/>
                <w:szCs w:val="20"/>
                <w:lang w:eastAsia="en-GB"/>
              </w:rPr>
            </w:pPr>
            <w:r w:rsidRPr="00D46620">
              <w:rPr>
                <w:rFonts w:cs="Arial"/>
                <w:color w:val="auto"/>
                <w:sz w:val="20"/>
                <w:szCs w:val="20"/>
                <w:lang w:eastAsia="en-GB"/>
              </w:rPr>
              <w:t>9.2</w:t>
            </w:r>
          </w:p>
        </w:tc>
        <w:tc>
          <w:tcPr>
            <w:cnfStyle w:val="000010000000"/>
            <w:tcW w:w="3260" w:type="dxa"/>
            <w:gridSpan w:val="2"/>
            <w:noWrap/>
          </w:tcPr>
          <w:p w:rsidR="00F30237" w:rsidRPr="00F30237" w:rsidRDefault="00F30237" w:rsidP="00930D15">
            <w:pPr>
              <w:autoSpaceDE w:val="0"/>
              <w:autoSpaceDN w:val="0"/>
              <w:adjustRightInd w:val="0"/>
              <w:spacing w:after="0" w:line="240" w:lineRule="auto"/>
              <w:ind w:right="-224"/>
              <w:rPr>
                <w:rFonts w:cs="Arial"/>
                <w:color w:val="auto"/>
                <w:sz w:val="20"/>
                <w:szCs w:val="20"/>
                <w:lang w:eastAsia="en-GB"/>
              </w:rPr>
            </w:pPr>
            <w:r w:rsidRPr="00F30237">
              <w:rPr>
                <w:rFonts w:cs="Arial"/>
                <w:color w:val="auto"/>
                <w:sz w:val="20"/>
                <w:szCs w:val="20"/>
                <w:lang w:eastAsia="en-GB"/>
              </w:rPr>
              <w:t>Cultural and Related Services</w:t>
            </w:r>
          </w:p>
        </w:tc>
        <w:tc>
          <w:tcPr>
            <w:tcW w:w="709" w:type="dxa"/>
          </w:tcPr>
          <w:p w:rsidR="00F30237" w:rsidRPr="00F30237" w:rsidRDefault="00F30237" w:rsidP="00930D15">
            <w:pPr>
              <w:widowControl w:val="0"/>
              <w:spacing w:after="0" w:line="240" w:lineRule="auto"/>
              <w:jc w:val="center"/>
              <w:cnfStyle w:val="000000000000"/>
              <w:rPr>
                <w:rFonts w:cs="Arial"/>
                <w:color w:val="auto"/>
                <w:sz w:val="18"/>
                <w:szCs w:val="18"/>
                <w:lang w:eastAsia="en-GB"/>
              </w:rPr>
            </w:pPr>
          </w:p>
        </w:tc>
        <w:tc>
          <w:tcPr>
            <w:cnfStyle w:val="000010000000"/>
            <w:tcW w:w="1134" w:type="dxa"/>
            <w:noWrap/>
          </w:tcPr>
          <w:p w:rsidR="00F30237" w:rsidRPr="00F30237" w:rsidRDefault="00A7719D" w:rsidP="00930D15">
            <w:pPr>
              <w:widowControl w:val="0"/>
              <w:spacing w:after="0" w:line="240" w:lineRule="auto"/>
              <w:jc w:val="right"/>
              <w:rPr>
                <w:rFonts w:cs="Arial"/>
                <w:color w:val="auto"/>
                <w:sz w:val="20"/>
                <w:szCs w:val="20"/>
                <w:lang w:eastAsia="en-GB"/>
              </w:rPr>
            </w:pPr>
            <w:r>
              <w:rPr>
                <w:rFonts w:cs="Arial"/>
                <w:color w:val="auto"/>
                <w:sz w:val="20"/>
                <w:szCs w:val="20"/>
                <w:lang w:eastAsia="en-GB"/>
              </w:rPr>
              <w:t>9.3</w:t>
            </w:r>
          </w:p>
        </w:tc>
        <w:tc>
          <w:tcPr>
            <w:tcW w:w="1276" w:type="dxa"/>
            <w:noWrap/>
          </w:tcPr>
          <w:p w:rsidR="00F30237" w:rsidRPr="00F30237" w:rsidRDefault="006D5C8C" w:rsidP="00930D15">
            <w:pPr>
              <w:widowControl w:val="0"/>
              <w:spacing w:after="0" w:line="240" w:lineRule="auto"/>
              <w:jc w:val="right"/>
              <w:cnfStyle w:val="000000000000"/>
              <w:rPr>
                <w:rFonts w:cs="Arial"/>
                <w:color w:val="auto"/>
                <w:sz w:val="20"/>
                <w:szCs w:val="20"/>
                <w:lang w:eastAsia="en-GB"/>
              </w:rPr>
            </w:pPr>
            <w:r>
              <w:rPr>
                <w:rFonts w:cs="Arial"/>
                <w:color w:val="auto"/>
                <w:sz w:val="20"/>
                <w:szCs w:val="20"/>
                <w:lang w:eastAsia="en-GB"/>
              </w:rPr>
              <w:t>(3.0)</w:t>
            </w:r>
          </w:p>
        </w:tc>
        <w:tc>
          <w:tcPr>
            <w:cnfStyle w:val="000010000000"/>
            <w:tcW w:w="1134" w:type="dxa"/>
            <w:noWrap/>
          </w:tcPr>
          <w:p w:rsidR="00F30237" w:rsidRPr="00F30237" w:rsidRDefault="00F412E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6.3</w:t>
            </w:r>
          </w:p>
        </w:tc>
      </w:tr>
      <w:tr w:rsidR="00F30237" w:rsidRPr="00D42E0B" w:rsidTr="006B666B">
        <w:trPr>
          <w:cnfStyle w:val="000000100000"/>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19.8</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(5.3)</w:t>
            </w:r>
          </w:p>
        </w:tc>
        <w:tc>
          <w:tcPr>
            <w:tcW w:w="850" w:type="dxa"/>
          </w:tcPr>
          <w:p w:rsidR="00F30237" w:rsidRPr="00D46620" w:rsidRDefault="00F30237" w:rsidP="00F30237">
            <w:pPr>
              <w:widowControl w:val="0"/>
              <w:spacing w:after="0" w:line="240" w:lineRule="auto"/>
              <w:jc w:val="right"/>
              <w:cnfStyle w:val="000000100000"/>
              <w:rPr>
                <w:rFonts w:cs="Arial"/>
                <w:color w:val="auto"/>
                <w:sz w:val="20"/>
                <w:szCs w:val="20"/>
                <w:lang w:eastAsia="en-GB"/>
              </w:rPr>
            </w:pPr>
            <w:r w:rsidRPr="00D46620">
              <w:rPr>
                <w:rFonts w:cs="Arial"/>
                <w:color w:val="auto"/>
                <w:sz w:val="20"/>
                <w:szCs w:val="20"/>
                <w:lang w:eastAsia="en-GB"/>
              </w:rPr>
              <w:t>14.5</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Environmental and Regulatory Services</w:t>
            </w:r>
          </w:p>
        </w:tc>
        <w:tc>
          <w:tcPr>
            <w:tcW w:w="709" w:type="dxa"/>
          </w:tcPr>
          <w:p w:rsidR="00F30237" w:rsidRPr="00F30237" w:rsidRDefault="00F30237" w:rsidP="00930D15">
            <w:pPr>
              <w:widowControl w:val="0"/>
              <w:spacing w:after="0" w:line="240" w:lineRule="auto"/>
              <w:jc w:val="center"/>
              <w:cnfStyle w:val="000000100000"/>
              <w:rPr>
                <w:rFonts w:cs="Arial"/>
                <w:color w:val="auto"/>
                <w:sz w:val="18"/>
                <w:szCs w:val="18"/>
                <w:lang w:eastAsia="en-GB"/>
              </w:rPr>
            </w:pPr>
          </w:p>
        </w:tc>
        <w:tc>
          <w:tcPr>
            <w:cnfStyle w:val="000010000000"/>
            <w:tcW w:w="1134" w:type="dxa"/>
            <w:noWrap/>
          </w:tcPr>
          <w:p w:rsidR="00F30237" w:rsidRPr="00F30237" w:rsidRDefault="00A7719D" w:rsidP="00930D15">
            <w:pPr>
              <w:widowControl w:val="0"/>
              <w:spacing w:after="0" w:line="240" w:lineRule="auto"/>
              <w:jc w:val="right"/>
              <w:rPr>
                <w:rFonts w:cs="Arial"/>
                <w:color w:val="auto"/>
                <w:sz w:val="20"/>
                <w:szCs w:val="20"/>
                <w:lang w:eastAsia="en-GB"/>
              </w:rPr>
            </w:pPr>
            <w:r>
              <w:rPr>
                <w:rFonts w:cs="Arial"/>
                <w:color w:val="auto"/>
                <w:sz w:val="20"/>
                <w:szCs w:val="20"/>
                <w:lang w:eastAsia="en-GB"/>
              </w:rPr>
              <w:t>19.2</w:t>
            </w:r>
          </w:p>
        </w:tc>
        <w:tc>
          <w:tcPr>
            <w:tcW w:w="1276" w:type="dxa"/>
            <w:noWrap/>
          </w:tcPr>
          <w:p w:rsidR="00F30237" w:rsidRPr="00F30237" w:rsidRDefault="006D5C8C" w:rsidP="00930D15">
            <w:pPr>
              <w:widowControl w:val="0"/>
              <w:spacing w:after="0" w:line="240" w:lineRule="auto"/>
              <w:jc w:val="right"/>
              <w:cnfStyle w:val="000000100000"/>
              <w:rPr>
                <w:rFonts w:cs="Arial"/>
                <w:color w:val="auto"/>
                <w:sz w:val="20"/>
                <w:szCs w:val="20"/>
                <w:lang w:eastAsia="en-GB"/>
              </w:rPr>
            </w:pPr>
            <w:r>
              <w:rPr>
                <w:rFonts w:cs="Arial"/>
                <w:color w:val="auto"/>
                <w:sz w:val="20"/>
                <w:szCs w:val="20"/>
                <w:lang w:eastAsia="en-GB"/>
              </w:rPr>
              <w:t>(6.6)</w:t>
            </w:r>
          </w:p>
        </w:tc>
        <w:tc>
          <w:tcPr>
            <w:cnfStyle w:val="000010000000"/>
            <w:tcW w:w="1134" w:type="dxa"/>
            <w:noWrap/>
          </w:tcPr>
          <w:p w:rsidR="00F30237" w:rsidRPr="00F30237" w:rsidRDefault="00F412E0" w:rsidP="00F412E0">
            <w:pPr>
              <w:widowControl w:val="0"/>
              <w:spacing w:after="0" w:line="240" w:lineRule="auto"/>
              <w:jc w:val="right"/>
              <w:rPr>
                <w:rFonts w:cs="Arial"/>
                <w:b/>
                <w:color w:val="auto"/>
                <w:sz w:val="20"/>
                <w:szCs w:val="20"/>
                <w:lang w:eastAsia="en-GB"/>
              </w:rPr>
            </w:pPr>
            <w:r>
              <w:rPr>
                <w:rFonts w:cs="Arial"/>
                <w:b/>
                <w:color w:val="auto"/>
                <w:sz w:val="20"/>
                <w:szCs w:val="20"/>
                <w:lang w:eastAsia="en-GB"/>
              </w:rPr>
              <w:t>12.6</w:t>
            </w:r>
          </w:p>
        </w:tc>
      </w:tr>
      <w:tr w:rsidR="00F30237" w:rsidRPr="00D42E0B" w:rsidTr="006B666B">
        <w:trPr>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6.3</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(1.6)</w:t>
            </w:r>
          </w:p>
        </w:tc>
        <w:tc>
          <w:tcPr>
            <w:tcW w:w="850" w:type="dxa"/>
          </w:tcPr>
          <w:p w:rsidR="00F30237" w:rsidRPr="00D46620" w:rsidRDefault="00F30237" w:rsidP="00F30237">
            <w:pPr>
              <w:widowControl w:val="0"/>
              <w:spacing w:after="0" w:line="240" w:lineRule="auto"/>
              <w:jc w:val="right"/>
              <w:cnfStyle w:val="000000000000"/>
              <w:rPr>
                <w:rFonts w:cs="Arial"/>
                <w:color w:val="auto"/>
                <w:sz w:val="20"/>
                <w:szCs w:val="20"/>
                <w:lang w:eastAsia="en-GB"/>
              </w:rPr>
            </w:pPr>
            <w:r w:rsidRPr="00D46620">
              <w:rPr>
                <w:rFonts w:cs="Arial"/>
                <w:color w:val="auto"/>
                <w:sz w:val="20"/>
                <w:szCs w:val="20"/>
                <w:lang w:eastAsia="en-GB"/>
              </w:rPr>
              <w:t>4.7</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Planning Services</w:t>
            </w:r>
          </w:p>
        </w:tc>
        <w:tc>
          <w:tcPr>
            <w:tcW w:w="709" w:type="dxa"/>
          </w:tcPr>
          <w:p w:rsidR="00F30237" w:rsidRPr="00F30237" w:rsidRDefault="00F30237" w:rsidP="00930D15">
            <w:pPr>
              <w:widowControl w:val="0"/>
              <w:spacing w:after="0" w:line="240" w:lineRule="auto"/>
              <w:jc w:val="center"/>
              <w:cnfStyle w:val="000000000000"/>
              <w:rPr>
                <w:rFonts w:cs="Arial"/>
                <w:color w:val="auto"/>
                <w:sz w:val="18"/>
                <w:szCs w:val="18"/>
                <w:lang w:eastAsia="en-GB"/>
              </w:rPr>
            </w:pPr>
          </w:p>
        </w:tc>
        <w:tc>
          <w:tcPr>
            <w:cnfStyle w:val="000010000000"/>
            <w:tcW w:w="1134" w:type="dxa"/>
            <w:noWrap/>
          </w:tcPr>
          <w:p w:rsidR="00F30237" w:rsidRPr="00F30237" w:rsidRDefault="00A7719D" w:rsidP="00930D15">
            <w:pPr>
              <w:widowControl w:val="0"/>
              <w:spacing w:after="0" w:line="240" w:lineRule="auto"/>
              <w:jc w:val="right"/>
              <w:rPr>
                <w:rFonts w:cs="Arial"/>
                <w:color w:val="auto"/>
                <w:sz w:val="20"/>
                <w:szCs w:val="20"/>
                <w:lang w:eastAsia="en-GB"/>
              </w:rPr>
            </w:pPr>
            <w:r>
              <w:rPr>
                <w:rFonts w:cs="Arial"/>
                <w:color w:val="auto"/>
                <w:sz w:val="20"/>
                <w:szCs w:val="20"/>
                <w:lang w:eastAsia="en-GB"/>
              </w:rPr>
              <w:t>6.2</w:t>
            </w:r>
          </w:p>
        </w:tc>
        <w:tc>
          <w:tcPr>
            <w:tcW w:w="1276" w:type="dxa"/>
            <w:noWrap/>
          </w:tcPr>
          <w:p w:rsidR="00F30237" w:rsidRPr="00F30237" w:rsidRDefault="006D5C8C" w:rsidP="00F83EEF">
            <w:pPr>
              <w:widowControl w:val="0"/>
              <w:spacing w:after="0" w:line="240" w:lineRule="auto"/>
              <w:jc w:val="right"/>
              <w:cnfStyle w:val="000000000000"/>
              <w:rPr>
                <w:rFonts w:cs="Arial"/>
                <w:color w:val="auto"/>
                <w:sz w:val="20"/>
                <w:szCs w:val="20"/>
                <w:lang w:eastAsia="en-GB"/>
              </w:rPr>
            </w:pPr>
            <w:r>
              <w:rPr>
                <w:rFonts w:cs="Arial"/>
                <w:color w:val="auto"/>
                <w:sz w:val="20"/>
                <w:szCs w:val="20"/>
                <w:lang w:eastAsia="en-GB"/>
              </w:rPr>
              <w:t>(1.9)</w:t>
            </w:r>
          </w:p>
        </w:tc>
        <w:tc>
          <w:tcPr>
            <w:cnfStyle w:val="000010000000"/>
            <w:tcW w:w="1134" w:type="dxa"/>
            <w:noWrap/>
          </w:tcPr>
          <w:p w:rsidR="00F30237" w:rsidRPr="00F30237" w:rsidRDefault="00F412E0" w:rsidP="00F83EEF">
            <w:pPr>
              <w:widowControl w:val="0"/>
              <w:spacing w:after="0" w:line="240" w:lineRule="auto"/>
              <w:jc w:val="right"/>
              <w:rPr>
                <w:rFonts w:cs="Arial"/>
                <w:b/>
                <w:color w:val="auto"/>
                <w:sz w:val="20"/>
                <w:szCs w:val="20"/>
                <w:lang w:eastAsia="en-GB"/>
              </w:rPr>
            </w:pPr>
            <w:r>
              <w:rPr>
                <w:rFonts w:cs="Arial"/>
                <w:b/>
                <w:color w:val="auto"/>
                <w:sz w:val="20"/>
                <w:szCs w:val="20"/>
                <w:lang w:eastAsia="en-GB"/>
              </w:rPr>
              <w:t>4.3</w:t>
            </w:r>
          </w:p>
        </w:tc>
      </w:tr>
      <w:tr w:rsidR="00F30237" w:rsidRPr="00D42E0B" w:rsidTr="006B666B">
        <w:trPr>
          <w:cnfStyle w:val="000000100000"/>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97.2</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(54.7)</w:t>
            </w:r>
          </w:p>
        </w:tc>
        <w:tc>
          <w:tcPr>
            <w:tcW w:w="850" w:type="dxa"/>
          </w:tcPr>
          <w:p w:rsidR="00F30237" w:rsidRPr="00D46620" w:rsidRDefault="00F30237" w:rsidP="00F30237">
            <w:pPr>
              <w:widowControl w:val="0"/>
              <w:spacing w:after="0" w:line="240" w:lineRule="auto"/>
              <w:jc w:val="right"/>
              <w:cnfStyle w:val="000000100000"/>
              <w:rPr>
                <w:rFonts w:cs="Arial"/>
                <w:color w:val="auto"/>
                <w:sz w:val="20"/>
                <w:szCs w:val="20"/>
                <w:lang w:eastAsia="en-GB"/>
              </w:rPr>
            </w:pPr>
            <w:r w:rsidRPr="00D46620">
              <w:rPr>
                <w:rFonts w:cs="Arial"/>
                <w:color w:val="auto"/>
                <w:sz w:val="20"/>
                <w:szCs w:val="20"/>
                <w:lang w:eastAsia="en-GB"/>
              </w:rPr>
              <w:t>42.5</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Childrens and Education Service</w:t>
            </w:r>
          </w:p>
        </w:tc>
        <w:tc>
          <w:tcPr>
            <w:tcW w:w="709" w:type="dxa"/>
          </w:tcPr>
          <w:p w:rsidR="00F30237" w:rsidRPr="00F30237" w:rsidRDefault="00F30237" w:rsidP="00930D15">
            <w:pPr>
              <w:widowControl w:val="0"/>
              <w:spacing w:after="0" w:line="240" w:lineRule="auto"/>
              <w:jc w:val="center"/>
              <w:cnfStyle w:val="000000100000"/>
              <w:rPr>
                <w:rFonts w:cs="Arial"/>
                <w:color w:val="auto"/>
                <w:sz w:val="18"/>
                <w:szCs w:val="18"/>
                <w:lang w:eastAsia="en-GB"/>
              </w:rPr>
            </w:pPr>
          </w:p>
        </w:tc>
        <w:tc>
          <w:tcPr>
            <w:cnfStyle w:val="000010000000"/>
            <w:tcW w:w="1134" w:type="dxa"/>
            <w:noWrap/>
          </w:tcPr>
          <w:p w:rsidR="00F30237" w:rsidRPr="00F30237" w:rsidRDefault="00A62E52" w:rsidP="00905DC7">
            <w:pPr>
              <w:widowControl w:val="0"/>
              <w:spacing w:after="0" w:line="240" w:lineRule="auto"/>
              <w:jc w:val="right"/>
              <w:rPr>
                <w:rFonts w:cs="Arial"/>
                <w:color w:val="auto"/>
                <w:sz w:val="20"/>
                <w:szCs w:val="20"/>
                <w:lang w:eastAsia="en-GB"/>
              </w:rPr>
            </w:pPr>
            <w:r>
              <w:rPr>
                <w:rFonts w:cs="Arial"/>
                <w:color w:val="auto"/>
                <w:sz w:val="20"/>
                <w:szCs w:val="20"/>
                <w:lang w:eastAsia="en-GB"/>
              </w:rPr>
              <w:t>97.7</w:t>
            </w:r>
          </w:p>
        </w:tc>
        <w:tc>
          <w:tcPr>
            <w:tcW w:w="1276" w:type="dxa"/>
            <w:noWrap/>
          </w:tcPr>
          <w:p w:rsidR="00F30237" w:rsidRPr="00F30237" w:rsidRDefault="006D5C8C" w:rsidP="00930D15">
            <w:pPr>
              <w:widowControl w:val="0"/>
              <w:spacing w:after="0" w:line="240" w:lineRule="auto"/>
              <w:jc w:val="right"/>
              <w:cnfStyle w:val="000000100000"/>
              <w:rPr>
                <w:rFonts w:cs="Arial"/>
                <w:color w:val="auto"/>
                <w:sz w:val="20"/>
                <w:szCs w:val="20"/>
                <w:lang w:eastAsia="en-GB"/>
              </w:rPr>
            </w:pPr>
            <w:r>
              <w:rPr>
                <w:rFonts w:cs="Arial"/>
                <w:color w:val="auto"/>
                <w:sz w:val="20"/>
                <w:szCs w:val="20"/>
                <w:lang w:eastAsia="en-GB"/>
              </w:rPr>
              <w:t>(54.0)</w:t>
            </w:r>
          </w:p>
        </w:tc>
        <w:tc>
          <w:tcPr>
            <w:cnfStyle w:val="000010000000"/>
            <w:tcW w:w="1134" w:type="dxa"/>
            <w:noWrap/>
          </w:tcPr>
          <w:p w:rsidR="00F30237" w:rsidRPr="00F30237" w:rsidRDefault="00F412E0" w:rsidP="00905DC7">
            <w:pPr>
              <w:widowControl w:val="0"/>
              <w:spacing w:after="0" w:line="240" w:lineRule="auto"/>
              <w:jc w:val="right"/>
              <w:rPr>
                <w:rFonts w:cs="Arial"/>
                <w:b/>
                <w:color w:val="auto"/>
                <w:sz w:val="20"/>
                <w:szCs w:val="20"/>
                <w:lang w:eastAsia="en-GB"/>
              </w:rPr>
            </w:pPr>
            <w:r>
              <w:rPr>
                <w:rFonts w:cs="Arial"/>
                <w:b/>
                <w:color w:val="auto"/>
                <w:sz w:val="20"/>
                <w:szCs w:val="20"/>
                <w:lang w:eastAsia="en-GB"/>
              </w:rPr>
              <w:t>43.7</w:t>
            </w:r>
          </w:p>
        </w:tc>
      </w:tr>
      <w:tr w:rsidR="00F30237" w:rsidRPr="00D42E0B" w:rsidTr="006B666B">
        <w:trPr>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21.3</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(9.4)</w:t>
            </w:r>
          </w:p>
        </w:tc>
        <w:tc>
          <w:tcPr>
            <w:tcW w:w="850" w:type="dxa"/>
          </w:tcPr>
          <w:p w:rsidR="00F30237" w:rsidRPr="00D46620" w:rsidRDefault="00F30237" w:rsidP="00F30237">
            <w:pPr>
              <w:widowControl w:val="0"/>
              <w:spacing w:after="0" w:line="240" w:lineRule="auto"/>
              <w:jc w:val="right"/>
              <w:cnfStyle w:val="000000000000"/>
              <w:rPr>
                <w:rFonts w:cs="Arial"/>
                <w:color w:val="auto"/>
                <w:sz w:val="20"/>
                <w:szCs w:val="20"/>
                <w:lang w:eastAsia="en-GB"/>
              </w:rPr>
            </w:pPr>
            <w:r w:rsidRPr="00D46620">
              <w:rPr>
                <w:rFonts w:cs="Arial"/>
                <w:color w:val="auto"/>
                <w:sz w:val="20"/>
                <w:szCs w:val="20"/>
                <w:lang w:eastAsia="en-GB"/>
              </w:rPr>
              <w:t>11.9</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Highways and Transport Service</w:t>
            </w:r>
          </w:p>
        </w:tc>
        <w:tc>
          <w:tcPr>
            <w:tcW w:w="709" w:type="dxa"/>
          </w:tcPr>
          <w:p w:rsidR="00F30237" w:rsidRPr="00F30237" w:rsidRDefault="00F30237" w:rsidP="00930D15">
            <w:pPr>
              <w:widowControl w:val="0"/>
              <w:spacing w:after="0" w:line="240" w:lineRule="auto"/>
              <w:jc w:val="center"/>
              <w:cnfStyle w:val="000000000000"/>
              <w:rPr>
                <w:rFonts w:cs="Arial"/>
                <w:color w:val="auto"/>
                <w:sz w:val="18"/>
                <w:szCs w:val="18"/>
                <w:lang w:eastAsia="en-GB"/>
              </w:rPr>
            </w:pPr>
          </w:p>
        </w:tc>
        <w:tc>
          <w:tcPr>
            <w:cnfStyle w:val="000010000000"/>
            <w:tcW w:w="1134" w:type="dxa"/>
            <w:noWrap/>
          </w:tcPr>
          <w:p w:rsidR="00F30237" w:rsidRPr="00F30237" w:rsidRDefault="00A7719D" w:rsidP="00930D15">
            <w:pPr>
              <w:widowControl w:val="0"/>
              <w:spacing w:after="0" w:line="240" w:lineRule="auto"/>
              <w:jc w:val="right"/>
              <w:rPr>
                <w:rFonts w:cs="Arial"/>
                <w:color w:val="auto"/>
                <w:sz w:val="20"/>
                <w:szCs w:val="20"/>
                <w:lang w:eastAsia="en-GB"/>
              </w:rPr>
            </w:pPr>
            <w:r>
              <w:rPr>
                <w:rFonts w:cs="Arial"/>
                <w:color w:val="auto"/>
                <w:sz w:val="20"/>
                <w:szCs w:val="20"/>
                <w:lang w:eastAsia="en-GB"/>
              </w:rPr>
              <w:t>18.1</w:t>
            </w:r>
          </w:p>
        </w:tc>
        <w:tc>
          <w:tcPr>
            <w:tcW w:w="1276" w:type="dxa"/>
            <w:noWrap/>
          </w:tcPr>
          <w:p w:rsidR="00F30237" w:rsidRPr="00F30237" w:rsidRDefault="006D5C8C" w:rsidP="00930D15">
            <w:pPr>
              <w:widowControl w:val="0"/>
              <w:spacing w:after="0" w:line="240" w:lineRule="auto"/>
              <w:jc w:val="right"/>
              <w:cnfStyle w:val="000000000000"/>
              <w:rPr>
                <w:rFonts w:cs="Arial"/>
                <w:color w:val="auto"/>
                <w:sz w:val="20"/>
                <w:szCs w:val="20"/>
                <w:lang w:eastAsia="en-GB"/>
              </w:rPr>
            </w:pPr>
            <w:r>
              <w:rPr>
                <w:rFonts w:cs="Arial"/>
                <w:color w:val="auto"/>
                <w:sz w:val="20"/>
                <w:szCs w:val="20"/>
                <w:lang w:eastAsia="en-GB"/>
              </w:rPr>
              <w:t>(8.8)</w:t>
            </w:r>
          </w:p>
        </w:tc>
        <w:tc>
          <w:tcPr>
            <w:cnfStyle w:val="000010000000"/>
            <w:tcW w:w="1134" w:type="dxa"/>
            <w:noWrap/>
          </w:tcPr>
          <w:p w:rsidR="00F30237" w:rsidRPr="00F30237" w:rsidRDefault="00F412E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9.3</w:t>
            </w:r>
          </w:p>
        </w:tc>
      </w:tr>
      <w:tr w:rsidR="00F30237" w:rsidRPr="00D42E0B" w:rsidTr="006B666B">
        <w:trPr>
          <w:cnfStyle w:val="000000100000"/>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74.0</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(69.6)</w:t>
            </w:r>
          </w:p>
        </w:tc>
        <w:tc>
          <w:tcPr>
            <w:tcW w:w="850" w:type="dxa"/>
          </w:tcPr>
          <w:p w:rsidR="00F30237" w:rsidRPr="00D46620" w:rsidRDefault="00F30237" w:rsidP="00F30237">
            <w:pPr>
              <w:widowControl w:val="0"/>
              <w:spacing w:after="0" w:line="240" w:lineRule="auto"/>
              <w:jc w:val="right"/>
              <w:cnfStyle w:val="000000100000"/>
              <w:rPr>
                <w:rFonts w:cs="Arial"/>
                <w:color w:val="auto"/>
                <w:sz w:val="20"/>
                <w:szCs w:val="20"/>
                <w:lang w:eastAsia="en-GB"/>
              </w:rPr>
            </w:pPr>
            <w:r w:rsidRPr="00D46620">
              <w:rPr>
                <w:rFonts w:cs="Arial"/>
                <w:color w:val="auto"/>
                <w:sz w:val="20"/>
                <w:szCs w:val="20"/>
                <w:lang w:eastAsia="en-GB"/>
              </w:rPr>
              <w:t>4.4</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Housing Service</w:t>
            </w:r>
          </w:p>
        </w:tc>
        <w:tc>
          <w:tcPr>
            <w:tcW w:w="709" w:type="dxa"/>
          </w:tcPr>
          <w:p w:rsidR="00F30237" w:rsidRPr="00F30237" w:rsidRDefault="00F30237" w:rsidP="00930D15">
            <w:pPr>
              <w:widowControl w:val="0"/>
              <w:spacing w:after="0" w:line="240" w:lineRule="auto"/>
              <w:jc w:val="center"/>
              <w:cnfStyle w:val="000000100000"/>
              <w:rPr>
                <w:rFonts w:cs="Arial"/>
                <w:color w:val="auto"/>
                <w:sz w:val="18"/>
                <w:szCs w:val="18"/>
                <w:lang w:eastAsia="en-GB"/>
              </w:rPr>
            </w:pPr>
          </w:p>
        </w:tc>
        <w:tc>
          <w:tcPr>
            <w:cnfStyle w:val="000010000000"/>
            <w:tcW w:w="1134" w:type="dxa"/>
            <w:noWrap/>
          </w:tcPr>
          <w:p w:rsidR="00F30237" w:rsidRPr="00F30237" w:rsidRDefault="00A7719D" w:rsidP="00930D15">
            <w:pPr>
              <w:widowControl w:val="0"/>
              <w:spacing w:after="0" w:line="240" w:lineRule="auto"/>
              <w:jc w:val="right"/>
              <w:rPr>
                <w:rFonts w:cs="Arial"/>
                <w:color w:val="auto"/>
                <w:sz w:val="20"/>
                <w:szCs w:val="20"/>
                <w:lang w:eastAsia="en-GB"/>
              </w:rPr>
            </w:pPr>
            <w:r>
              <w:rPr>
                <w:rFonts w:cs="Arial"/>
                <w:color w:val="auto"/>
                <w:sz w:val="20"/>
                <w:szCs w:val="20"/>
                <w:lang w:eastAsia="en-GB"/>
              </w:rPr>
              <w:t>71.1</w:t>
            </w:r>
          </w:p>
        </w:tc>
        <w:tc>
          <w:tcPr>
            <w:tcW w:w="1276" w:type="dxa"/>
            <w:noWrap/>
          </w:tcPr>
          <w:p w:rsidR="00F30237" w:rsidRPr="00F30237" w:rsidRDefault="006D5C8C" w:rsidP="00930D15">
            <w:pPr>
              <w:widowControl w:val="0"/>
              <w:spacing w:after="0" w:line="240" w:lineRule="auto"/>
              <w:jc w:val="right"/>
              <w:cnfStyle w:val="000000100000"/>
              <w:rPr>
                <w:rFonts w:cs="Arial"/>
                <w:color w:val="auto"/>
                <w:sz w:val="20"/>
                <w:szCs w:val="20"/>
                <w:lang w:eastAsia="en-GB"/>
              </w:rPr>
            </w:pPr>
            <w:r>
              <w:rPr>
                <w:rFonts w:cs="Arial"/>
                <w:color w:val="auto"/>
                <w:sz w:val="20"/>
                <w:szCs w:val="20"/>
                <w:lang w:eastAsia="en-GB"/>
              </w:rPr>
              <w:t>(68.8)</w:t>
            </w:r>
          </w:p>
        </w:tc>
        <w:tc>
          <w:tcPr>
            <w:cnfStyle w:val="000010000000"/>
            <w:tcW w:w="1134" w:type="dxa"/>
            <w:noWrap/>
          </w:tcPr>
          <w:p w:rsidR="00F30237" w:rsidRPr="00F30237" w:rsidRDefault="00F412E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2.3</w:t>
            </w:r>
          </w:p>
        </w:tc>
      </w:tr>
      <w:tr w:rsidR="00F30237" w:rsidRPr="00D42E0B" w:rsidTr="006B666B">
        <w:trPr>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45.5</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(4.9)</w:t>
            </w:r>
          </w:p>
        </w:tc>
        <w:tc>
          <w:tcPr>
            <w:tcW w:w="850" w:type="dxa"/>
          </w:tcPr>
          <w:p w:rsidR="00F30237" w:rsidRPr="00D46620" w:rsidRDefault="00F30237" w:rsidP="00F30237">
            <w:pPr>
              <w:widowControl w:val="0"/>
              <w:spacing w:after="0" w:line="240" w:lineRule="auto"/>
              <w:jc w:val="right"/>
              <w:cnfStyle w:val="000000000000"/>
              <w:rPr>
                <w:rFonts w:cs="Arial"/>
                <w:color w:val="auto"/>
                <w:sz w:val="20"/>
                <w:szCs w:val="20"/>
                <w:lang w:eastAsia="en-GB"/>
              </w:rPr>
            </w:pPr>
            <w:r w:rsidRPr="00D46620">
              <w:rPr>
                <w:rFonts w:cs="Arial"/>
                <w:color w:val="auto"/>
                <w:sz w:val="20"/>
                <w:szCs w:val="20"/>
                <w:lang w:eastAsia="en-GB"/>
              </w:rPr>
              <w:t>40.6</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Adult Social Care</w:t>
            </w:r>
          </w:p>
        </w:tc>
        <w:tc>
          <w:tcPr>
            <w:tcW w:w="709" w:type="dxa"/>
          </w:tcPr>
          <w:p w:rsidR="00F30237" w:rsidRPr="00F30237" w:rsidRDefault="00F30237" w:rsidP="00930D15">
            <w:pPr>
              <w:widowControl w:val="0"/>
              <w:spacing w:after="0" w:line="240" w:lineRule="auto"/>
              <w:jc w:val="center"/>
              <w:cnfStyle w:val="000000000000"/>
              <w:rPr>
                <w:rFonts w:cs="Arial"/>
                <w:color w:val="auto"/>
                <w:sz w:val="18"/>
                <w:szCs w:val="18"/>
                <w:lang w:eastAsia="en-GB"/>
              </w:rPr>
            </w:pPr>
          </w:p>
        </w:tc>
        <w:tc>
          <w:tcPr>
            <w:cnfStyle w:val="000010000000"/>
            <w:tcW w:w="1134" w:type="dxa"/>
            <w:noWrap/>
          </w:tcPr>
          <w:p w:rsidR="00F30237" w:rsidRPr="00F30237" w:rsidRDefault="00A62E52" w:rsidP="00930D15">
            <w:pPr>
              <w:widowControl w:val="0"/>
              <w:spacing w:after="0" w:line="240" w:lineRule="auto"/>
              <w:jc w:val="right"/>
              <w:rPr>
                <w:rFonts w:cs="Arial"/>
                <w:color w:val="auto"/>
                <w:sz w:val="20"/>
                <w:szCs w:val="20"/>
                <w:lang w:eastAsia="en-GB"/>
              </w:rPr>
            </w:pPr>
            <w:r>
              <w:rPr>
                <w:rFonts w:cs="Arial"/>
                <w:color w:val="auto"/>
                <w:sz w:val="20"/>
                <w:szCs w:val="20"/>
                <w:lang w:eastAsia="en-GB"/>
              </w:rPr>
              <w:t>45.6</w:t>
            </w:r>
          </w:p>
        </w:tc>
        <w:tc>
          <w:tcPr>
            <w:tcW w:w="1276" w:type="dxa"/>
            <w:noWrap/>
          </w:tcPr>
          <w:p w:rsidR="00F30237" w:rsidRPr="00F30237" w:rsidRDefault="006D5C8C" w:rsidP="00930D15">
            <w:pPr>
              <w:widowControl w:val="0"/>
              <w:spacing w:after="0" w:line="240" w:lineRule="auto"/>
              <w:jc w:val="right"/>
              <w:cnfStyle w:val="000000000000"/>
              <w:rPr>
                <w:rFonts w:cs="Arial"/>
                <w:color w:val="auto"/>
                <w:sz w:val="20"/>
                <w:szCs w:val="20"/>
                <w:lang w:eastAsia="en-GB"/>
              </w:rPr>
            </w:pPr>
            <w:r>
              <w:rPr>
                <w:rFonts w:cs="Arial"/>
                <w:color w:val="auto"/>
                <w:sz w:val="20"/>
                <w:szCs w:val="20"/>
                <w:lang w:eastAsia="en-GB"/>
              </w:rPr>
              <w:t>(5.4)</w:t>
            </w:r>
          </w:p>
        </w:tc>
        <w:tc>
          <w:tcPr>
            <w:cnfStyle w:val="000010000000"/>
            <w:tcW w:w="1134" w:type="dxa"/>
            <w:noWrap/>
          </w:tcPr>
          <w:p w:rsidR="00F30237" w:rsidRPr="00F30237" w:rsidRDefault="00F412E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40.2</w:t>
            </w:r>
          </w:p>
        </w:tc>
      </w:tr>
      <w:tr w:rsidR="00F30237" w:rsidRPr="00D42E0B" w:rsidTr="006B666B">
        <w:trPr>
          <w:cnfStyle w:val="000000100000"/>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8.1</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(8.6)</w:t>
            </w:r>
          </w:p>
        </w:tc>
        <w:tc>
          <w:tcPr>
            <w:tcW w:w="850" w:type="dxa"/>
          </w:tcPr>
          <w:p w:rsidR="00F30237" w:rsidRPr="00D46620" w:rsidRDefault="00F30237" w:rsidP="00F30237">
            <w:pPr>
              <w:widowControl w:val="0"/>
              <w:spacing w:after="0" w:line="240" w:lineRule="auto"/>
              <w:jc w:val="right"/>
              <w:cnfStyle w:val="000000100000"/>
              <w:rPr>
                <w:rFonts w:cs="Arial"/>
                <w:color w:val="auto"/>
                <w:sz w:val="20"/>
                <w:szCs w:val="20"/>
                <w:lang w:eastAsia="en-GB"/>
              </w:rPr>
            </w:pPr>
            <w:r w:rsidRPr="00D46620">
              <w:rPr>
                <w:rFonts w:cs="Arial"/>
                <w:color w:val="auto"/>
                <w:sz w:val="20"/>
                <w:szCs w:val="20"/>
                <w:lang w:eastAsia="en-GB"/>
              </w:rPr>
              <w:t>(0.5)</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 xml:space="preserve">Public Health </w:t>
            </w:r>
          </w:p>
        </w:tc>
        <w:tc>
          <w:tcPr>
            <w:tcW w:w="709" w:type="dxa"/>
          </w:tcPr>
          <w:p w:rsidR="00F30237" w:rsidRPr="00F30237" w:rsidRDefault="00F30237" w:rsidP="00930D15">
            <w:pPr>
              <w:widowControl w:val="0"/>
              <w:spacing w:after="0" w:line="240" w:lineRule="auto"/>
              <w:jc w:val="center"/>
              <w:cnfStyle w:val="000000100000"/>
              <w:rPr>
                <w:rFonts w:cs="Arial"/>
                <w:color w:val="auto"/>
                <w:sz w:val="18"/>
                <w:szCs w:val="18"/>
                <w:lang w:eastAsia="en-GB"/>
              </w:rPr>
            </w:pPr>
          </w:p>
        </w:tc>
        <w:tc>
          <w:tcPr>
            <w:cnfStyle w:val="000010000000"/>
            <w:tcW w:w="1134" w:type="dxa"/>
            <w:noWrap/>
          </w:tcPr>
          <w:p w:rsidR="00F30237" w:rsidRPr="00F30237" w:rsidRDefault="00A7719D" w:rsidP="00930D15">
            <w:pPr>
              <w:widowControl w:val="0"/>
              <w:spacing w:after="0" w:line="240" w:lineRule="auto"/>
              <w:jc w:val="right"/>
              <w:rPr>
                <w:rFonts w:cs="Arial"/>
                <w:color w:val="auto"/>
                <w:sz w:val="20"/>
                <w:szCs w:val="20"/>
                <w:lang w:eastAsia="en-GB"/>
              </w:rPr>
            </w:pPr>
            <w:r>
              <w:rPr>
                <w:rFonts w:cs="Arial"/>
                <w:color w:val="auto"/>
                <w:sz w:val="20"/>
                <w:szCs w:val="20"/>
                <w:lang w:eastAsia="en-GB"/>
              </w:rPr>
              <w:t>9.1</w:t>
            </w:r>
          </w:p>
        </w:tc>
        <w:tc>
          <w:tcPr>
            <w:tcW w:w="1276" w:type="dxa"/>
            <w:noWrap/>
          </w:tcPr>
          <w:p w:rsidR="00F30237" w:rsidRPr="00F30237" w:rsidRDefault="006D5C8C" w:rsidP="00930D15">
            <w:pPr>
              <w:widowControl w:val="0"/>
              <w:spacing w:after="0" w:line="240" w:lineRule="auto"/>
              <w:jc w:val="right"/>
              <w:cnfStyle w:val="000000100000"/>
              <w:rPr>
                <w:rFonts w:cs="Arial"/>
                <w:color w:val="auto"/>
                <w:sz w:val="20"/>
                <w:szCs w:val="20"/>
                <w:lang w:eastAsia="en-GB"/>
              </w:rPr>
            </w:pPr>
            <w:r>
              <w:rPr>
                <w:rFonts w:cs="Arial"/>
                <w:color w:val="auto"/>
                <w:sz w:val="20"/>
                <w:szCs w:val="20"/>
                <w:lang w:eastAsia="en-GB"/>
              </w:rPr>
              <w:t>(9.0)</w:t>
            </w:r>
          </w:p>
        </w:tc>
        <w:tc>
          <w:tcPr>
            <w:cnfStyle w:val="000010000000"/>
            <w:tcW w:w="1134" w:type="dxa"/>
            <w:noWrap/>
          </w:tcPr>
          <w:p w:rsidR="00F30237" w:rsidRPr="00F30237" w:rsidRDefault="00F412E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0.1</w:t>
            </w:r>
          </w:p>
        </w:tc>
      </w:tr>
      <w:tr w:rsidR="00F30237" w:rsidRPr="00D42E0B" w:rsidTr="006B666B">
        <w:trPr>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2.3</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0</w:t>
            </w:r>
          </w:p>
        </w:tc>
        <w:tc>
          <w:tcPr>
            <w:tcW w:w="850" w:type="dxa"/>
          </w:tcPr>
          <w:p w:rsidR="00F30237" w:rsidRPr="00D46620" w:rsidRDefault="00F30237" w:rsidP="00F30237">
            <w:pPr>
              <w:widowControl w:val="0"/>
              <w:spacing w:after="0" w:line="240" w:lineRule="auto"/>
              <w:jc w:val="right"/>
              <w:cnfStyle w:val="000000000000"/>
              <w:rPr>
                <w:rFonts w:cs="Arial"/>
                <w:color w:val="auto"/>
                <w:sz w:val="20"/>
                <w:szCs w:val="20"/>
                <w:lang w:eastAsia="en-GB"/>
              </w:rPr>
            </w:pPr>
            <w:r w:rsidRPr="00D46620">
              <w:rPr>
                <w:rFonts w:cs="Arial"/>
                <w:color w:val="auto"/>
                <w:sz w:val="20"/>
                <w:szCs w:val="20"/>
                <w:lang w:eastAsia="en-GB"/>
              </w:rPr>
              <w:t>2.3</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Corporate and Democratic Core</w:t>
            </w:r>
          </w:p>
        </w:tc>
        <w:tc>
          <w:tcPr>
            <w:tcW w:w="709" w:type="dxa"/>
          </w:tcPr>
          <w:p w:rsidR="00F30237" w:rsidRPr="00F30237" w:rsidRDefault="00F30237" w:rsidP="00930D15">
            <w:pPr>
              <w:widowControl w:val="0"/>
              <w:spacing w:after="0" w:line="240" w:lineRule="auto"/>
              <w:jc w:val="center"/>
              <w:cnfStyle w:val="000000000000"/>
              <w:rPr>
                <w:rFonts w:cs="Arial"/>
                <w:color w:val="auto"/>
                <w:sz w:val="18"/>
                <w:szCs w:val="18"/>
                <w:lang w:eastAsia="en-GB"/>
              </w:rPr>
            </w:pPr>
          </w:p>
        </w:tc>
        <w:tc>
          <w:tcPr>
            <w:cnfStyle w:val="000010000000"/>
            <w:tcW w:w="1134" w:type="dxa"/>
            <w:noWrap/>
          </w:tcPr>
          <w:p w:rsidR="00F30237" w:rsidRPr="00F30237" w:rsidRDefault="00A7719D" w:rsidP="00930D15">
            <w:pPr>
              <w:widowControl w:val="0"/>
              <w:spacing w:after="0" w:line="240" w:lineRule="auto"/>
              <w:jc w:val="right"/>
              <w:rPr>
                <w:rFonts w:cs="Arial"/>
                <w:color w:val="auto"/>
                <w:sz w:val="20"/>
                <w:szCs w:val="20"/>
                <w:lang w:eastAsia="en-GB"/>
              </w:rPr>
            </w:pPr>
            <w:r>
              <w:rPr>
                <w:rFonts w:cs="Arial"/>
                <w:color w:val="auto"/>
                <w:sz w:val="20"/>
                <w:szCs w:val="20"/>
                <w:lang w:eastAsia="en-GB"/>
              </w:rPr>
              <w:t>2.4</w:t>
            </w:r>
          </w:p>
        </w:tc>
        <w:tc>
          <w:tcPr>
            <w:tcW w:w="1276" w:type="dxa"/>
            <w:noWrap/>
          </w:tcPr>
          <w:p w:rsidR="00F30237" w:rsidRPr="00F30237" w:rsidRDefault="006D5C8C" w:rsidP="00930D15">
            <w:pPr>
              <w:widowControl w:val="0"/>
              <w:spacing w:after="0" w:line="240" w:lineRule="auto"/>
              <w:jc w:val="right"/>
              <w:cnfStyle w:val="000000000000"/>
              <w:rPr>
                <w:rFonts w:cs="Arial"/>
                <w:color w:val="auto"/>
                <w:sz w:val="20"/>
                <w:szCs w:val="20"/>
                <w:lang w:eastAsia="en-GB"/>
              </w:rPr>
            </w:pPr>
            <w:r>
              <w:rPr>
                <w:rFonts w:cs="Arial"/>
                <w:color w:val="auto"/>
                <w:sz w:val="20"/>
                <w:szCs w:val="20"/>
                <w:lang w:eastAsia="en-GB"/>
              </w:rPr>
              <w:t>0</w:t>
            </w:r>
          </w:p>
        </w:tc>
        <w:tc>
          <w:tcPr>
            <w:cnfStyle w:val="000010000000"/>
            <w:tcW w:w="1134" w:type="dxa"/>
            <w:noWrap/>
          </w:tcPr>
          <w:p w:rsidR="00F30237" w:rsidRPr="00F30237" w:rsidRDefault="00F412E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2.4</w:t>
            </w:r>
          </w:p>
        </w:tc>
      </w:tr>
      <w:tr w:rsidR="00F30237" w:rsidRPr="00D42E0B" w:rsidTr="006B666B">
        <w:trPr>
          <w:cnfStyle w:val="000000100000"/>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2.4</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(2.9)</w:t>
            </w:r>
          </w:p>
        </w:tc>
        <w:tc>
          <w:tcPr>
            <w:tcW w:w="850" w:type="dxa"/>
          </w:tcPr>
          <w:p w:rsidR="00F30237" w:rsidRPr="00D46620" w:rsidRDefault="00F30237" w:rsidP="00F30237">
            <w:pPr>
              <w:widowControl w:val="0"/>
              <w:spacing w:after="0" w:line="240" w:lineRule="auto"/>
              <w:jc w:val="right"/>
              <w:cnfStyle w:val="000000100000"/>
              <w:rPr>
                <w:rFonts w:cs="Arial"/>
                <w:color w:val="auto"/>
                <w:sz w:val="20"/>
                <w:szCs w:val="20"/>
                <w:lang w:eastAsia="en-GB"/>
              </w:rPr>
            </w:pPr>
            <w:r w:rsidRPr="00D46620">
              <w:rPr>
                <w:rFonts w:cs="Arial"/>
                <w:color w:val="auto"/>
                <w:sz w:val="20"/>
                <w:szCs w:val="20"/>
                <w:lang w:eastAsia="en-GB"/>
              </w:rPr>
              <w:t>(0.5)</w:t>
            </w:r>
          </w:p>
        </w:tc>
        <w:tc>
          <w:tcPr>
            <w:cnfStyle w:val="000010000000"/>
            <w:tcW w:w="3260" w:type="dxa"/>
            <w:gridSpan w:val="2"/>
            <w:noWrap/>
          </w:tcPr>
          <w:p w:rsidR="00F30237" w:rsidRPr="00F30237" w:rsidRDefault="00F30237" w:rsidP="0020369D">
            <w:pPr>
              <w:widowControl w:val="0"/>
              <w:spacing w:after="0" w:line="240" w:lineRule="auto"/>
              <w:jc w:val="both"/>
              <w:rPr>
                <w:rFonts w:cs="Arial"/>
                <w:color w:val="auto"/>
                <w:sz w:val="20"/>
                <w:szCs w:val="20"/>
                <w:lang w:eastAsia="en-GB"/>
              </w:rPr>
            </w:pPr>
            <w:r w:rsidRPr="00F30237">
              <w:rPr>
                <w:rFonts w:cs="Arial"/>
                <w:color w:val="auto"/>
                <w:sz w:val="20"/>
                <w:szCs w:val="20"/>
                <w:lang w:eastAsia="en-GB"/>
              </w:rPr>
              <w:t>Non distributed costs</w:t>
            </w:r>
          </w:p>
        </w:tc>
        <w:tc>
          <w:tcPr>
            <w:tcW w:w="709" w:type="dxa"/>
          </w:tcPr>
          <w:p w:rsidR="00F30237" w:rsidRPr="00F30237" w:rsidRDefault="00F30237" w:rsidP="00930D15">
            <w:pPr>
              <w:widowControl w:val="0"/>
              <w:spacing w:after="0" w:line="240" w:lineRule="auto"/>
              <w:jc w:val="center"/>
              <w:cnfStyle w:val="000000100000"/>
              <w:rPr>
                <w:rFonts w:cs="Arial"/>
                <w:color w:val="auto"/>
                <w:sz w:val="18"/>
                <w:szCs w:val="18"/>
                <w:lang w:eastAsia="en-GB"/>
              </w:rPr>
            </w:pPr>
          </w:p>
        </w:tc>
        <w:tc>
          <w:tcPr>
            <w:cnfStyle w:val="000010000000"/>
            <w:tcW w:w="1134" w:type="dxa"/>
            <w:noWrap/>
          </w:tcPr>
          <w:p w:rsidR="00F30237" w:rsidRPr="00F30237" w:rsidRDefault="006D5C8C" w:rsidP="00930D15">
            <w:pPr>
              <w:widowControl w:val="0"/>
              <w:spacing w:after="0" w:line="240" w:lineRule="auto"/>
              <w:jc w:val="right"/>
              <w:rPr>
                <w:rFonts w:cs="Arial"/>
                <w:color w:val="auto"/>
                <w:sz w:val="20"/>
                <w:szCs w:val="20"/>
                <w:lang w:eastAsia="en-GB"/>
              </w:rPr>
            </w:pPr>
            <w:r>
              <w:rPr>
                <w:rFonts w:cs="Arial"/>
                <w:color w:val="auto"/>
                <w:sz w:val="20"/>
                <w:szCs w:val="20"/>
                <w:lang w:eastAsia="en-GB"/>
              </w:rPr>
              <w:t>0.3</w:t>
            </w:r>
          </w:p>
        </w:tc>
        <w:tc>
          <w:tcPr>
            <w:tcW w:w="1276" w:type="dxa"/>
            <w:noWrap/>
          </w:tcPr>
          <w:p w:rsidR="00F30237" w:rsidRPr="00F30237" w:rsidRDefault="006D5C8C" w:rsidP="00930D15">
            <w:pPr>
              <w:widowControl w:val="0"/>
              <w:spacing w:after="0" w:line="240" w:lineRule="auto"/>
              <w:jc w:val="right"/>
              <w:cnfStyle w:val="000000100000"/>
              <w:rPr>
                <w:rFonts w:cs="Arial"/>
                <w:color w:val="auto"/>
                <w:sz w:val="20"/>
                <w:szCs w:val="20"/>
                <w:lang w:eastAsia="en-GB"/>
              </w:rPr>
            </w:pPr>
            <w:r>
              <w:rPr>
                <w:rFonts w:cs="Arial"/>
                <w:color w:val="auto"/>
                <w:sz w:val="20"/>
                <w:szCs w:val="20"/>
                <w:lang w:eastAsia="en-GB"/>
              </w:rPr>
              <w:t>(1.6)</w:t>
            </w:r>
          </w:p>
        </w:tc>
        <w:tc>
          <w:tcPr>
            <w:cnfStyle w:val="000010000000"/>
            <w:tcW w:w="1134" w:type="dxa"/>
            <w:noWrap/>
          </w:tcPr>
          <w:p w:rsidR="00F30237" w:rsidRPr="00F30237" w:rsidRDefault="00F412E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(1.3)</w:t>
            </w:r>
          </w:p>
        </w:tc>
      </w:tr>
      <w:tr w:rsidR="00F30237" w:rsidRPr="00D42E0B" w:rsidTr="006B666B">
        <w:trPr>
          <w:trHeight w:val="255"/>
        </w:trPr>
        <w:tc>
          <w:tcPr>
            <w:cnfStyle w:val="001000000000"/>
            <w:tcW w:w="817" w:type="dxa"/>
          </w:tcPr>
          <w:p w:rsidR="00F30237" w:rsidRPr="00D46620" w:rsidRDefault="00F30237" w:rsidP="00F30237">
            <w:pPr>
              <w:widowControl w:val="0"/>
              <w:spacing w:after="0" w:line="240" w:lineRule="auto"/>
              <w:jc w:val="right"/>
              <w:rPr>
                <w:rFonts w:cs="Arial"/>
                <w:b w:val="0"/>
                <w:bCs w:val="0"/>
                <w:color w:val="auto"/>
                <w:sz w:val="20"/>
                <w:szCs w:val="20"/>
                <w:lang w:eastAsia="en-GB"/>
              </w:rPr>
            </w:pPr>
            <w:r w:rsidRPr="00D46620">
              <w:rPr>
                <w:rFonts w:cs="Arial"/>
                <w:b w:val="0"/>
                <w:bCs w:val="0"/>
                <w:color w:val="auto"/>
                <w:sz w:val="20"/>
                <w:szCs w:val="20"/>
                <w:lang w:eastAsia="en-GB"/>
              </w:rPr>
              <w:t>291.0</w:t>
            </w:r>
          </w:p>
        </w:tc>
        <w:tc>
          <w:tcPr>
            <w:cnfStyle w:val="000010000000"/>
            <w:tcW w:w="851" w:type="dxa"/>
          </w:tcPr>
          <w:p w:rsidR="00F30237" w:rsidRPr="00D46620" w:rsidRDefault="00F30237" w:rsidP="00F30237">
            <w:pPr>
              <w:widowControl w:val="0"/>
              <w:spacing w:after="0" w:line="240" w:lineRule="auto"/>
              <w:jc w:val="right"/>
              <w:rPr>
                <w:rFonts w:cs="Arial"/>
                <w:bCs/>
                <w:color w:val="auto"/>
                <w:sz w:val="20"/>
                <w:szCs w:val="20"/>
                <w:lang w:eastAsia="en-GB"/>
              </w:rPr>
            </w:pPr>
            <w:r w:rsidRPr="00D46620">
              <w:rPr>
                <w:rFonts w:cs="Arial"/>
                <w:bCs/>
                <w:color w:val="auto"/>
                <w:sz w:val="20"/>
                <w:szCs w:val="20"/>
                <w:lang w:eastAsia="en-GB"/>
              </w:rPr>
              <w:t>(161.1)</w:t>
            </w:r>
          </w:p>
        </w:tc>
        <w:tc>
          <w:tcPr>
            <w:tcW w:w="850" w:type="dxa"/>
          </w:tcPr>
          <w:p w:rsidR="00F30237" w:rsidRPr="00D46620" w:rsidRDefault="00F30237" w:rsidP="00F30237">
            <w:pPr>
              <w:widowControl w:val="0"/>
              <w:spacing w:after="0" w:line="240" w:lineRule="auto"/>
              <w:jc w:val="right"/>
              <w:cnfStyle w:val="000000000000"/>
              <w:rPr>
                <w:rFonts w:cs="Arial"/>
                <w:bCs/>
                <w:color w:val="auto"/>
                <w:sz w:val="20"/>
                <w:szCs w:val="20"/>
                <w:lang w:eastAsia="en-GB"/>
              </w:rPr>
            </w:pPr>
            <w:r w:rsidRPr="00D46620">
              <w:rPr>
                <w:rFonts w:cs="Arial"/>
                <w:bCs/>
                <w:color w:val="auto"/>
                <w:sz w:val="20"/>
                <w:szCs w:val="20"/>
                <w:lang w:eastAsia="en-GB"/>
              </w:rPr>
              <w:t>129.9</w:t>
            </w:r>
          </w:p>
        </w:tc>
        <w:tc>
          <w:tcPr>
            <w:cnfStyle w:val="000010000000"/>
            <w:tcW w:w="3260" w:type="dxa"/>
            <w:gridSpan w:val="2"/>
            <w:noWrap/>
          </w:tcPr>
          <w:p w:rsidR="00F30237" w:rsidRPr="00F30237" w:rsidRDefault="00F30237" w:rsidP="00930D15">
            <w:pPr>
              <w:widowControl w:val="0"/>
              <w:spacing w:after="0" w:line="240" w:lineRule="auto"/>
              <w:rPr>
                <w:rFonts w:cs="Arial"/>
                <w:b/>
                <w:bCs/>
                <w:color w:val="auto"/>
                <w:sz w:val="20"/>
                <w:szCs w:val="20"/>
                <w:lang w:eastAsia="en-GB"/>
              </w:rPr>
            </w:pPr>
            <w:r w:rsidRPr="00F30237">
              <w:rPr>
                <w:rFonts w:cs="Arial"/>
                <w:b/>
                <w:bCs/>
                <w:color w:val="auto"/>
                <w:sz w:val="20"/>
                <w:szCs w:val="20"/>
                <w:lang w:eastAsia="en-GB"/>
              </w:rPr>
              <w:t>Cost Of Services</w:t>
            </w:r>
          </w:p>
        </w:tc>
        <w:tc>
          <w:tcPr>
            <w:tcW w:w="709" w:type="dxa"/>
          </w:tcPr>
          <w:p w:rsidR="00F30237" w:rsidRPr="00F30237" w:rsidRDefault="00F30237" w:rsidP="00930D15">
            <w:pPr>
              <w:widowControl w:val="0"/>
              <w:spacing w:after="0" w:line="240" w:lineRule="auto"/>
              <w:jc w:val="center"/>
              <w:cnfStyle w:val="000000000000"/>
              <w:rPr>
                <w:rFonts w:cs="Arial"/>
                <w:b/>
                <w:bCs/>
                <w:color w:val="auto"/>
                <w:sz w:val="18"/>
                <w:szCs w:val="18"/>
                <w:lang w:eastAsia="en-GB"/>
              </w:rPr>
            </w:pPr>
          </w:p>
        </w:tc>
        <w:tc>
          <w:tcPr>
            <w:cnfStyle w:val="000010000000"/>
            <w:tcW w:w="1134" w:type="dxa"/>
            <w:noWrap/>
          </w:tcPr>
          <w:p w:rsidR="00F30237" w:rsidRPr="00F30237" w:rsidRDefault="002F6FBD" w:rsidP="00905DC7">
            <w:pPr>
              <w:widowControl w:val="0"/>
              <w:spacing w:after="0" w:line="240" w:lineRule="auto"/>
              <w:jc w:val="right"/>
              <w:rPr>
                <w:rFonts w:cs="Arial"/>
                <w:b/>
                <w:bCs/>
                <w:color w:val="auto"/>
                <w:sz w:val="20"/>
                <w:szCs w:val="20"/>
                <w:lang w:eastAsia="en-GB"/>
              </w:rPr>
            </w:pPr>
            <w:r>
              <w:rPr>
                <w:rFonts w:cs="Arial"/>
                <w:b/>
                <w:bCs/>
                <w:color w:val="auto"/>
                <w:sz w:val="20"/>
                <w:szCs w:val="20"/>
                <w:lang w:eastAsia="en-GB"/>
              </w:rPr>
              <w:t>283.3</w:t>
            </w:r>
          </w:p>
        </w:tc>
        <w:tc>
          <w:tcPr>
            <w:tcW w:w="1276" w:type="dxa"/>
            <w:noWrap/>
          </w:tcPr>
          <w:p w:rsidR="00F30237" w:rsidRPr="00F30237" w:rsidRDefault="002F6FBD" w:rsidP="00F83EEF">
            <w:pPr>
              <w:widowControl w:val="0"/>
              <w:spacing w:after="0" w:line="240" w:lineRule="auto"/>
              <w:jc w:val="right"/>
              <w:cnfStyle w:val="000000000000"/>
              <w:rPr>
                <w:rFonts w:cs="Arial"/>
                <w:b/>
                <w:bCs/>
                <w:color w:val="auto"/>
                <w:sz w:val="20"/>
                <w:szCs w:val="20"/>
                <w:lang w:eastAsia="en-GB"/>
              </w:rPr>
            </w:pPr>
            <w:r>
              <w:rPr>
                <w:rFonts w:cs="Arial"/>
                <w:b/>
                <w:bCs/>
                <w:color w:val="auto"/>
                <w:sz w:val="20"/>
                <w:szCs w:val="20"/>
                <w:lang w:eastAsia="en-GB"/>
              </w:rPr>
              <w:t>(160.8)</w:t>
            </w:r>
          </w:p>
        </w:tc>
        <w:tc>
          <w:tcPr>
            <w:cnfStyle w:val="000010000000"/>
            <w:tcW w:w="1134" w:type="dxa"/>
            <w:noWrap/>
          </w:tcPr>
          <w:p w:rsidR="00F30237" w:rsidRPr="00F30237" w:rsidRDefault="00700280" w:rsidP="00905DC7">
            <w:pPr>
              <w:widowControl w:val="0"/>
              <w:spacing w:after="0" w:line="240" w:lineRule="auto"/>
              <w:jc w:val="right"/>
              <w:rPr>
                <w:rFonts w:cs="Arial"/>
                <w:b/>
                <w:bCs/>
                <w:color w:val="auto"/>
                <w:sz w:val="20"/>
                <w:szCs w:val="20"/>
                <w:lang w:eastAsia="en-GB"/>
              </w:rPr>
            </w:pPr>
            <w:r>
              <w:rPr>
                <w:rFonts w:cs="Arial"/>
                <w:b/>
                <w:bCs/>
                <w:color w:val="auto"/>
                <w:sz w:val="20"/>
                <w:szCs w:val="20"/>
                <w:lang w:eastAsia="en-GB"/>
              </w:rPr>
              <w:t>122.5</w:t>
            </w:r>
          </w:p>
        </w:tc>
      </w:tr>
      <w:tr w:rsidR="00F30237" w:rsidRPr="00D42E0B" w:rsidTr="006B666B">
        <w:trPr>
          <w:cnfStyle w:val="000000100000"/>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1.1</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(1.8)</w:t>
            </w:r>
          </w:p>
        </w:tc>
        <w:tc>
          <w:tcPr>
            <w:tcW w:w="850" w:type="dxa"/>
          </w:tcPr>
          <w:p w:rsidR="00F30237" w:rsidRPr="00D46620" w:rsidRDefault="00F30237" w:rsidP="00F30237">
            <w:pPr>
              <w:widowControl w:val="0"/>
              <w:spacing w:after="0" w:line="240" w:lineRule="auto"/>
              <w:jc w:val="right"/>
              <w:cnfStyle w:val="000000100000"/>
              <w:rPr>
                <w:rFonts w:cs="Arial"/>
                <w:color w:val="auto"/>
                <w:sz w:val="20"/>
                <w:szCs w:val="20"/>
                <w:lang w:eastAsia="en-GB"/>
              </w:rPr>
            </w:pPr>
            <w:r w:rsidRPr="00D46620">
              <w:rPr>
                <w:rFonts w:cs="Arial"/>
                <w:color w:val="auto"/>
                <w:sz w:val="20"/>
                <w:szCs w:val="20"/>
                <w:lang w:eastAsia="en-GB"/>
              </w:rPr>
              <w:t>(0.7)</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 xml:space="preserve">Other Operating Income &amp; Expenditure </w:t>
            </w:r>
          </w:p>
        </w:tc>
        <w:tc>
          <w:tcPr>
            <w:tcW w:w="709" w:type="dxa"/>
          </w:tcPr>
          <w:p w:rsidR="00F30237" w:rsidRPr="00F30237" w:rsidRDefault="00F30237" w:rsidP="00930D15">
            <w:pPr>
              <w:widowControl w:val="0"/>
              <w:spacing w:after="0" w:line="240" w:lineRule="auto"/>
              <w:jc w:val="center"/>
              <w:cnfStyle w:val="000000100000"/>
              <w:rPr>
                <w:rFonts w:cs="Arial"/>
                <w:color w:val="auto"/>
                <w:sz w:val="18"/>
                <w:szCs w:val="18"/>
                <w:lang w:eastAsia="en-GB"/>
              </w:rPr>
            </w:pPr>
          </w:p>
        </w:tc>
        <w:tc>
          <w:tcPr>
            <w:cnfStyle w:val="000010000000"/>
            <w:tcW w:w="1134" w:type="dxa"/>
            <w:noWrap/>
          </w:tcPr>
          <w:p w:rsidR="00F30237" w:rsidRPr="00F30237" w:rsidRDefault="00700280" w:rsidP="005901E6">
            <w:pPr>
              <w:widowControl w:val="0"/>
              <w:spacing w:after="0" w:line="240" w:lineRule="auto"/>
              <w:jc w:val="right"/>
              <w:rPr>
                <w:rFonts w:cs="Arial"/>
                <w:color w:val="auto"/>
                <w:sz w:val="20"/>
                <w:szCs w:val="20"/>
                <w:lang w:eastAsia="en-GB"/>
              </w:rPr>
            </w:pPr>
            <w:r>
              <w:rPr>
                <w:rFonts w:cs="Arial"/>
                <w:color w:val="auto"/>
                <w:sz w:val="20"/>
                <w:szCs w:val="20"/>
                <w:lang w:eastAsia="en-GB"/>
              </w:rPr>
              <w:t>1</w:t>
            </w:r>
            <w:r w:rsidR="005901E6">
              <w:rPr>
                <w:rFonts w:cs="Arial"/>
                <w:color w:val="auto"/>
                <w:sz w:val="20"/>
                <w:szCs w:val="20"/>
                <w:lang w:eastAsia="en-GB"/>
              </w:rPr>
              <w:t>.0</w:t>
            </w:r>
          </w:p>
        </w:tc>
        <w:tc>
          <w:tcPr>
            <w:tcW w:w="1276" w:type="dxa"/>
            <w:noWrap/>
          </w:tcPr>
          <w:p w:rsidR="00F30237" w:rsidRPr="00F30237" w:rsidRDefault="00700280" w:rsidP="00930D15">
            <w:pPr>
              <w:widowControl w:val="0"/>
              <w:spacing w:after="0" w:line="240" w:lineRule="auto"/>
              <w:jc w:val="right"/>
              <w:cnfStyle w:val="000000100000"/>
              <w:rPr>
                <w:rFonts w:cs="Arial"/>
                <w:color w:val="auto"/>
                <w:sz w:val="20"/>
                <w:szCs w:val="20"/>
                <w:lang w:eastAsia="en-GB"/>
              </w:rPr>
            </w:pPr>
            <w:r>
              <w:rPr>
                <w:rFonts w:cs="Arial"/>
                <w:color w:val="auto"/>
                <w:sz w:val="20"/>
                <w:szCs w:val="20"/>
                <w:lang w:eastAsia="en-GB"/>
              </w:rPr>
              <w:t>(0.7)</w:t>
            </w:r>
          </w:p>
        </w:tc>
        <w:tc>
          <w:tcPr>
            <w:cnfStyle w:val="000010000000"/>
            <w:tcW w:w="1134" w:type="dxa"/>
            <w:noWrap/>
          </w:tcPr>
          <w:p w:rsidR="00F30237" w:rsidRPr="00F30237" w:rsidRDefault="005901E6" w:rsidP="005901E6">
            <w:pPr>
              <w:widowControl w:val="0"/>
              <w:spacing w:after="0" w:line="240" w:lineRule="auto"/>
              <w:jc w:val="right"/>
              <w:rPr>
                <w:rFonts w:cs="Arial"/>
                <w:b/>
                <w:color w:val="auto"/>
                <w:sz w:val="20"/>
                <w:szCs w:val="20"/>
                <w:lang w:eastAsia="en-GB"/>
              </w:rPr>
            </w:pPr>
            <w:r>
              <w:rPr>
                <w:rFonts w:cs="Arial"/>
                <w:b/>
                <w:color w:val="auto"/>
                <w:sz w:val="20"/>
                <w:szCs w:val="20"/>
                <w:lang w:eastAsia="en-GB"/>
              </w:rPr>
              <w:t>0.3</w:t>
            </w:r>
          </w:p>
        </w:tc>
      </w:tr>
      <w:tr w:rsidR="00F30237" w:rsidRPr="00D42E0B" w:rsidTr="006B666B">
        <w:trPr>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10.5</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0</w:t>
            </w:r>
          </w:p>
        </w:tc>
        <w:tc>
          <w:tcPr>
            <w:tcW w:w="850" w:type="dxa"/>
          </w:tcPr>
          <w:p w:rsidR="00F30237" w:rsidRPr="00D46620" w:rsidRDefault="00F30237" w:rsidP="00F30237">
            <w:pPr>
              <w:widowControl w:val="0"/>
              <w:spacing w:after="0" w:line="240" w:lineRule="auto"/>
              <w:jc w:val="right"/>
              <w:cnfStyle w:val="000000000000"/>
              <w:rPr>
                <w:rFonts w:cs="Arial"/>
                <w:color w:val="auto"/>
                <w:sz w:val="20"/>
                <w:szCs w:val="20"/>
                <w:lang w:eastAsia="en-GB"/>
              </w:rPr>
            </w:pPr>
            <w:r w:rsidRPr="00D46620">
              <w:rPr>
                <w:rFonts w:cs="Arial"/>
                <w:color w:val="auto"/>
                <w:sz w:val="20"/>
                <w:szCs w:val="20"/>
                <w:lang w:eastAsia="en-GB"/>
              </w:rPr>
              <w:t>10.5</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 xml:space="preserve">Transfer of schools to academies </w:t>
            </w:r>
          </w:p>
        </w:tc>
        <w:tc>
          <w:tcPr>
            <w:tcW w:w="709" w:type="dxa"/>
          </w:tcPr>
          <w:p w:rsidR="00F30237" w:rsidRPr="00F30237" w:rsidRDefault="00F30237" w:rsidP="00EA5B95">
            <w:pPr>
              <w:widowControl w:val="0"/>
              <w:spacing w:after="0" w:line="240" w:lineRule="auto"/>
              <w:cnfStyle w:val="000000000000"/>
              <w:rPr>
                <w:rFonts w:cs="Arial"/>
                <w:color w:val="auto"/>
                <w:sz w:val="18"/>
                <w:szCs w:val="18"/>
                <w:lang w:eastAsia="en-GB"/>
              </w:rPr>
            </w:pPr>
          </w:p>
        </w:tc>
        <w:tc>
          <w:tcPr>
            <w:cnfStyle w:val="000010000000"/>
            <w:tcW w:w="1134" w:type="dxa"/>
            <w:noWrap/>
          </w:tcPr>
          <w:p w:rsidR="00F30237" w:rsidRPr="00F30237" w:rsidRDefault="005901E6" w:rsidP="00930D15">
            <w:pPr>
              <w:widowControl w:val="0"/>
              <w:spacing w:after="0" w:line="240" w:lineRule="auto"/>
              <w:jc w:val="right"/>
              <w:rPr>
                <w:rFonts w:cs="Arial"/>
                <w:color w:val="auto"/>
                <w:sz w:val="20"/>
                <w:szCs w:val="20"/>
                <w:lang w:eastAsia="en-GB"/>
              </w:rPr>
            </w:pPr>
            <w:r>
              <w:rPr>
                <w:rFonts w:cs="Arial"/>
                <w:color w:val="auto"/>
                <w:sz w:val="20"/>
                <w:szCs w:val="20"/>
                <w:lang w:eastAsia="en-GB"/>
              </w:rPr>
              <w:t>14.1</w:t>
            </w:r>
          </w:p>
        </w:tc>
        <w:tc>
          <w:tcPr>
            <w:tcW w:w="1276" w:type="dxa"/>
            <w:noWrap/>
          </w:tcPr>
          <w:p w:rsidR="00F30237" w:rsidRPr="00F30237" w:rsidRDefault="0068407E" w:rsidP="00930D15">
            <w:pPr>
              <w:widowControl w:val="0"/>
              <w:spacing w:after="0" w:line="240" w:lineRule="auto"/>
              <w:jc w:val="right"/>
              <w:cnfStyle w:val="000000000000"/>
              <w:rPr>
                <w:rFonts w:cs="Arial"/>
                <w:color w:val="auto"/>
                <w:sz w:val="20"/>
                <w:szCs w:val="20"/>
                <w:lang w:eastAsia="en-GB"/>
              </w:rPr>
            </w:pPr>
            <w:r>
              <w:rPr>
                <w:rFonts w:cs="Arial"/>
                <w:color w:val="auto"/>
                <w:sz w:val="20"/>
                <w:szCs w:val="20"/>
                <w:lang w:eastAsia="en-GB"/>
              </w:rPr>
              <w:t>0</w:t>
            </w:r>
          </w:p>
        </w:tc>
        <w:tc>
          <w:tcPr>
            <w:cnfStyle w:val="000010000000"/>
            <w:tcW w:w="1134" w:type="dxa"/>
            <w:noWrap/>
          </w:tcPr>
          <w:p w:rsidR="00F30237" w:rsidRPr="00F30237" w:rsidRDefault="005901E6"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14.1</w:t>
            </w:r>
          </w:p>
        </w:tc>
      </w:tr>
      <w:tr w:rsidR="00F30237" w:rsidRPr="00D42E0B" w:rsidTr="006B666B">
        <w:trPr>
          <w:cnfStyle w:val="000000100000"/>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11.9</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(1.8)</w:t>
            </w:r>
          </w:p>
        </w:tc>
        <w:tc>
          <w:tcPr>
            <w:tcW w:w="850" w:type="dxa"/>
          </w:tcPr>
          <w:p w:rsidR="00F30237" w:rsidRPr="00D46620" w:rsidRDefault="00F30237" w:rsidP="00F30237">
            <w:pPr>
              <w:widowControl w:val="0"/>
              <w:spacing w:after="0" w:line="240" w:lineRule="auto"/>
              <w:jc w:val="right"/>
              <w:cnfStyle w:val="000000100000"/>
              <w:rPr>
                <w:rFonts w:cs="Arial"/>
                <w:color w:val="auto"/>
                <w:sz w:val="20"/>
                <w:szCs w:val="20"/>
                <w:lang w:eastAsia="en-GB"/>
              </w:rPr>
            </w:pPr>
            <w:r w:rsidRPr="00D46620">
              <w:rPr>
                <w:rFonts w:cs="Arial"/>
                <w:color w:val="auto"/>
                <w:sz w:val="20"/>
                <w:szCs w:val="20"/>
                <w:lang w:eastAsia="en-GB"/>
              </w:rPr>
              <w:t>10.1</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 xml:space="preserve">Financing and Investment Income and Expenditure </w:t>
            </w:r>
          </w:p>
        </w:tc>
        <w:tc>
          <w:tcPr>
            <w:tcW w:w="709" w:type="dxa"/>
          </w:tcPr>
          <w:p w:rsidR="00F30237" w:rsidRPr="00F30237" w:rsidRDefault="00F30237" w:rsidP="00930D15">
            <w:pPr>
              <w:widowControl w:val="0"/>
              <w:spacing w:after="0" w:line="240" w:lineRule="auto"/>
              <w:jc w:val="center"/>
              <w:cnfStyle w:val="000000100000"/>
              <w:rPr>
                <w:rFonts w:cs="Arial"/>
                <w:color w:val="auto"/>
                <w:sz w:val="18"/>
                <w:szCs w:val="18"/>
                <w:lang w:eastAsia="en-GB"/>
              </w:rPr>
            </w:pPr>
            <w:r w:rsidRPr="00F30237">
              <w:rPr>
                <w:rFonts w:cs="Arial"/>
                <w:color w:val="auto"/>
                <w:sz w:val="18"/>
                <w:szCs w:val="18"/>
                <w:lang w:eastAsia="en-GB"/>
              </w:rPr>
              <w:t>9</w:t>
            </w:r>
          </w:p>
        </w:tc>
        <w:tc>
          <w:tcPr>
            <w:cnfStyle w:val="000010000000"/>
            <w:tcW w:w="1134" w:type="dxa"/>
            <w:noWrap/>
          </w:tcPr>
          <w:p w:rsidR="00F30237" w:rsidRPr="00F30237" w:rsidRDefault="00700280" w:rsidP="00930D15">
            <w:pPr>
              <w:widowControl w:val="0"/>
              <w:spacing w:after="0" w:line="240" w:lineRule="auto"/>
              <w:jc w:val="right"/>
              <w:rPr>
                <w:rFonts w:cs="Arial"/>
                <w:color w:val="auto"/>
                <w:sz w:val="20"/>
                <w:szCs w:val="20"/>
                <w:lang w:eastAsia="en-GB"/>
              </w:rPr>
            </w:pPr>
            <w:r>
              <w:rPr>
                <w:rFonts w:cs="Arial"/>
                <w:color w:val="auto"/>
                <w:sz w:val="20"/>
                <w:szCs w:val="20"/>
                <w:lang w:eastAsia="en-GB"/>
              </w:rPr>
              <w:t>13.8</w:t>
            </w:r>
          </w:p>
        </w:tc>
        <w:tc>
          <w:tcPr>
            <w:tcW w:w="1276" w:type="dxa"/>
            <w:noWrap/>
          </w:tcPr>
          <w:p w:rsidR="00F30237" w:rsidRPr="00F30237" w:rsidRDefault="00700280" w:rsidP="00F83EEF">
            <w:pPr>
              <w:widowControl w:val="0"/>
              <w:spacing w:after="0" w:line="240" w:lineRule="auto"/>
              <w:jc w:val="right"/>
              <w:cnfStyle w:val="000000100000"/>
              <w:rPr>
                <w:rFonts w:cs="Arial"/>
                <w:color w:val="auto"/>
                <w:sz w:val="20"/>
                <w:szCs w:val="20"/>
                <w:lang w:eastAsia="en-GB"/>
              </w:rPr>
            </w:pPr>
            <w:r>
              <w:rPr>
                <w:rFonts w:cs="Arial"/>
                <w:color w:val="auto"/>
                <w:sz w:val="20"/>
                <w:szCs w:val="20"/>
                <w:lang w:eastAsia="en-GB"/>
              </w:rPr>
              <w:t>(2.5)</w:t>
            </w:r>
          </w:p>
        </w:tc>
        <w:tc>
          <w:tcPr>
            <w:cnfStyle w:val="000010000000"/>
            <w:tcW w:w="1134" w:type="dxa"/>
            <w:noWrap/>
          </w:tcPr>
          <w:p w:rsidR="00F30237" w:rsidRPr="00F30237" w:rsidRDefault="00700280" w:rsidP="00700280">
            <w:pPr>
              <w:widowControl w:val="0"/>
              <w:spacing w:after="0" w:line="240" w:lineRule="auto"/>
              <w:jc w:val="right"/>
              <w:rPr>
                <w:rFonts w:cs="Arial"/>
                <w:b/>
                <w:color w:val="auto"/>
                <w:sz w:val="20"/>
                <w:szCs w:val="20"/>
                <w:lang w:eastAsia="en-GB"/>
              </w:rPr>
            </w:pPr>
            <w:r>
              <w:rPr>
                <w:rFonts w:cs="Arial"/>
                <w:b/>
                <w:color w:val="auto"/>
                <w:sz w:val="20"/>
                <w:szCs w:val="20"/>
                <w:lang w:eastAsia="en-GB"/>
              </w:rPr>
              <w:t>11.3</w:t>
            </w:r>
          </w:p>
        </w:tc>
      </w:tr>
      <w:tr w:rsidR="00F30237" w:rsidRPr="00D42E0B" w:rsidTr="006B666B">
        <w:trPr>
          <w:trHeight w:val="516"/>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r w:rsidRPr="00D46620">
              <w:rPr>
                <w:rFonts w:cs="Arial"/>
                <w:b w:val="0"/>
                <w:color w:val="auto"/>
                <w:sz w:val="20"/>
                <w:szCs w:val="20"/>
                <w:lang w:eastAsia="en-GB"/>
              </w:rPr>
              <w:t>0</w:t>
            </w:r>
          </w:p>
        </w:tc>
        <w:tc>
          <w:tcPr>
            <w:cnfStyle w:val="000010000000"/>
            <w:tcW w:w="851" w:type="dxa"/>
          </w:tcPr>
          <w:p w:rsidR="00F30237" w:rsidRPr="00D46620" w:rsidRDefault="00F30237" w:rsidP="00F30237">
            <w:pPr>
              <w:widowControl w:val="0"/>
              <w:spacing w:after="0" w:line="240" w:lineRule="auto"/>
              <w:jc w:val="right"/>
              <w:rPr>
                <w:rFonts w:cs="Arial"/>
                <w:color w:val="auto"/>
                <w:sz w:val="20"/>
                <w:szCs w:val="20"/>
                <w:lang w:eastAsia="en-GB"/>
              </w:rPr>
            </w:pPr>
            <w:r w:rsidRPr="00D46620">
              <w:rPr>
                <w:rFonts w:cs="Arial"/>
                <w:color w:val="auto"/>
                <w:sz w:val="20"/>
                <w:szCs w:val="20"/>
                <w:lang w:eastAsia="en-GB"/>
              </w:rPr>
              <w:t>(132.7)</w:t>
            </w:r>
          </w:p>
        </w:tc>
        <w:tc>
          <w:tcPr>
            <w:tcW w:w="850" w:type="dxa"/>
          </w:tcPr>
          <w:p w:rsidR="00F30237" w:rsidRPr="00D46620" w:rsidRDefault="00F30237" w:rsidP="00F30237">
            <w:pPr>
              <w:widowControl w:val="0"/>
              <w:spacing w:after="0" w:line="240" w:lineRule="auto"/>
              <w:jc w:val="right"/>
              <w:cnfStyle w:val="000000000000"/>
              <w:rPr>
                <w:rFonts w:cs="Arial"/>
                <w:color w:val="auto"/>
                <w:sz w:val="20"/>
                <w:szCs w:val="20"/>
                <w:lang w:eastAsia="en-GB"/>
              </w:rPr>
            </w:pPr>
            <w:r w:rsidRPr="00D46620">
              <w:rPr>
                <w:rFonts w:cs="Arial"/>
                <w:color w:val="auto"/>
                <w:sz w:val="20"/>
                <w:szCs w:val="20"/>
                <w:lang w:eastAsia="en-GB"/>
              </w:rPr>
              <w:t>(132.7)</w:t>
            </w:r>
          </w:p>
        </w:tc>
        <w:tc>
          <w:tcPr>
            <w:cnfStyle w:val="000010000000"/>
            <w:tcW w:w="3260" w:type="dxa"/>
            <w:gridSpan w:val="2"/>
            <w:noWrap/>
          </w:tcPr>
          <w:p w:rsidR="00F30237" w:rsidRPr="00F30237" w:rsidRDefault="00F30237"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 xml:space="preserve">Taxation and Non-Specific Grant Income </w:t>
            </w:r>
            <w:r w:rsidR="00D46620">
              <w:rPr>
                <w:rFonts w:cs="Arial"/>
                <w:color w:val="auto"/>
                <w:sz w:val="20"/>
                <w:szCs w:val="20"/>
                <w:lang w:eastAsia="en-GB"/>
              </w:rPr>
              <w:t>and expenditure</w:t>
            </w:r>
          </w:p>
        </w:tc>
        <w:tc>
          <w:tcPr>
            <w:tcW w:w="709" w:type="dxa"/>
          </w:tcPr>
          <w:p w:rsidR="00F30237" w:rsidRPr="00F30237" w:rsidRDefault="00F30237" w:rsidP="00930D15">
            <w:pPr>
              <w:widowControl w:val="0"/>
              <w:spacing w:after="0" w:line="240" w:lineRule="auto"/>
              <w:jc w:val="center"/>
              <w:cnfStyle w:val="000000000000"/>
              <w:rPr>
                <w:rFonts w:cs="Arial"/>
                <w:color w:val="auto"/>
                <w:sz w:val="18"/>
                <w:szCs w:val="18"/>
                <w:lang w:eastAsia="en-GB"/>
              </w:rPr>
            </w:pPr>
            <w:r w:rsidRPr="00F30237">
              <w:rPr>
                <w:rFonts w:cs="Arial"/>
                <w:color w:val="auto"/>
                <w:sz w:val="18"/>
                <w:szCs w:val="18"/>
                <w:lang w:eastAsia="en-GB"/>
              </w:rPr>
              <w:t>10</w:t>
            </w:r>
          </w:p>
        </w:tc>
        <w:tc>
          <w:tcPr>
            <w:cnfStyle w:val="000010000000"/>
            <w:tcW w:w="1134" w:type="dxa"/>
            <w:noWrap/>
          </w:tcPr>
          <w:p w:rsidR="00F30237" w:rsidRPr="00F30237" w:rsidRDefault="00700280" w:rsidP="00930D15">
            <w:pPr>
              <w:widowControl w:val="0"/>
              <w:spacing w:after="0" w:line="240" w:lineRule="auto"/>
              <w:jc w:val="right"/>
              <w:rPr>
                <w:rFonts w:cs="Arial"/>
                <w:color w:val="auto"/>
                <w:sz w:val="20"/>
                <w:szCs w:val="20"/>
                <w:lang w:eastAsia="en-GB"/>
              </w:rPr>
            </w:pPr>
            <w:r>
              <w:rPr>
                <w:rFonts w:cs="Arial"/>
                <w:color w:val="auto"/>
                <w:sz w:val="20"/>
                <w:szCs w:val="20"/>
                <w:lang w:eastAsia="en-GB"/>
              </w:rPr>
              <w:t>0</w:t>
            </w:r>
          </w:p>
        </w:tc>
        <w:tc>
          <w:tcPr>
            <w:tcW w:w="1276" w:type="dxa"/>
            <w:noWrap/>
          </w:tcPr>
          <w:p w:rsidR="00F30237" w:rsidRPr="00F30237" w:rsidRDefault="00700280" w:rsidP="00930D15">
            <w:pPr>
              <w:widowControl w:val="0"/>
              <w:spacing w:after="0" w:line="240" w:lineRule="auto"/>
              <w:jc w:val="right"/>
              <w:cnfStyle w:val="000000000000"/>
              <w:rPr>
                <w:rFonts w:cs="Arial"/>
                <w:color w:val="auto"/>
                <w:sz w:val="20"/>
                <w:szCs w:val="20"/>
                <w:lang w:eastAsia="en-GB"/>
              </w:rPr>
            </w:pPr>
            <w:r>
              <w:rPr>
                <w:rFonts w:cs="Arial"/>
                <w:color w:val="auto"/>
                <w:sz w:val="20"/>
                <w:szCs w:val="20"/>
                <w:lang w:eastAsia="en-GB"/>
              </w:rPr>
              <w:t>(121.8)</w:t>
            </w:r>
          </w:p>
        </w:tc>
        <w:tc>
          <w:tcPr>
            <w:cnfStyle w:val="000010000000"/>
            <w:tcW w:w="1134" w:type="dxa"/>
            <w:noWrap/>
          </w:tcPr>
          <w:p w:rsidR="00F30237" w:rsidRPr="00F30237" w:rsidRDefault="0070028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(121.8)</w:t>
            </w:r>
          </w:p>
        </w:tc>
      </w:tr>
      <w:tr w:rsidR="00F30237" w:rsidRPr="00D42E0B" w:rsidTr="006B666B">
        <w:trPr>
          <w:cnfStyle w:val="000000100000"/>
          <w:trHeight w:val="255"/>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p>
        </w:tc>
        <w:tc>
          <w:tcPr>
            <w:cnfStyle w:val="000010000000"/>
            <w:tcW w:w="851" w:type="dxa"/>
          </w:tcPr>
          <w:p w:rsidR="00F30237" w:rsidRPr="00D46620" w:rsidRDefault="00F30237" w:rsidP="00F30237">
            <w:pPr>
              <w:widowControl w:val="0"/>
              <w:spacing w:after="0" w:line="240" w:lineRule="auto"/>
              <w:jc w:val="right"/>
              <w:rPr>
                <w:rFonts w:cs="Arial"/>
                <w:bCs/>
                <w:color w:val="auto"/>
                <w:sz w:val="20"/>
                <w:szCs w:val="20"/>
                <w:lang w:eastAsia="en-GB"/>
              </w:rPr>
            </w:pPr>
          </w:p>
        </w:tc>
        <w:tc>
          <w:tcPr>
            <w:tcW w:w="850" w:type="dxa"/>
          </w:tcPr>
          <w:p w:rsidR="00F30237" w:rsidRPr="00D46620" w:rsidRDefault="00F30237" w:rsidP="00F30237">
            <w:pPr>
              <w:widowControl w:val="0"/>
              <w:spacing w:after="0" w:line="240" w:lineRule="auto"/>
              <w:jc w:val="right"/>
              <w:cnfStyle w:val="000000100000"/>
              <w:rPr>
                <w:rFonts w:cs="Arial"/>
                <w:bCs/>
                <w:color w:val="auto"/>
                <w:sz w:val="20"/>
                <w:szCs w:val="20"/>
                <w:lang w:eastAsia="en-GB"/>
              </w:rPr>
            </w:pPr>
            <w:r w:rsidRPr="00D46620">
              <w:rPr>
                <w:rFonts w:cs="Arial"/>
                <w:bCs/>
                <w:color w:val="auto"/>
                <w:sz w:val="20"/>
                <w:szCs w:val="20"/>
                <w:lang w:eastAsia="en-GB"/>
              </w:rPr>
              <w:t>17.1</w:t>
            </w:r>
          </w:p>
        </w:tc>
        <w:tc>
          <w:tcPr>
            <w:cnfStyle w:val="000010000000"/>
            <w:tcW w:w="3260" w:type="dxa"/>
            <w:gridSpan w:val="2"/>
            <w:noWrap/>
          </w:tcPr>
          <w:p w:rsidR="00F30237" w:rsidRPr="00F30237" w:rsidRDefault="00F30237" w:rsidP="00930D15">
            <w:pPr>
              <w:widowControl w:val="0"/>
              <w:spacing w:after="0" w:line="240" w:lineRule="auto"/>
              <w:rPr>
                <w:rFonts w:cs="Arial"/>
                <w:b/>
                <w:bCs/>
                <w:color w:val="auto"/>
                <w:sz w:val="20"/>
                <w:szCs w:val="20"/>
                <w:lang w:eastAsia="en-GB"/>
              </w:rPr>
            </w:pPr>
            <w:r w:rsidRPr="00F30237">
              <w:rPr>
                <w:rFonts w:cs="Arial"/>
                <w:b/>
                <w:bCs/>
                <w:color w:val="auto"/>
                <w:sz w:val="20"/>
                <w:szCs w:val="20"/>
                <w:lang w:eastAsia="en-GB"/>
              </w:rPr>
              <w:t>(Surplus)/Deficit on Provision of Services</w:t>
            </w:r>
          </w:p>
        </w:tc>
        <w:tc>
          <w:tcPr>
            <w:tcW w:w="709" w:type="dxa"/>
          </w:tcPr>
          <w:p w:rsidR="00F30237" w:rsidRPr="00F30237" w:rsidRDefault="00F30237" w:rsidP="00930D15">
            <w:pPr>
              <w:widowControl w:val="0"/>
              <w:spacing w:after="0" w:line="240" w:lineRule="auto"/>
              <w:jc w:val="center"/>
              <w:cnfStyle w:val="000000100000"/>
              <w:rPr>
                <w:rFonts w:cs="Arial"/>
                <w:color w:val="auto"/>
                <w:sz w:val="18"/>
                <w:szCs w:val="18"/>
                <w:lang w:eastAsia="en-GB"/>
              </w:rPr>
            </w:pPr>
          </w:p>
        </w:tc>
        <w:tc>
          <w:tcPr>
            <w:cnfStyle w:val="000010000000"/>
            <w:tcW w:w="1134" w:type="dxa"/>
            <w:noWrap/>
          </w:tcPr>
          <w:p w:rsidR="00F30237" w:rsidRPr="00F30237" w:rsidRDefault="00F30237" w:rsidP="00930D15">
            <w:pPr>
              <w:widowControl w:val="0"/>
              <w:spacing w:after="0" w:line="240" w:lineRule="auto"/>
              <w:jc w:val="right"/>
              <w:rPr>
                <w:rFonts w:cs="Arial"/>
                <w:color w:val="auto"/>
                <w:sz w:val="20"/>
                <w:szCs w:val="20"/>
                <w:lang w:eastAsia="en-GB"/>
              </w:rPr>
            </w:pPr>
          </w:p>
        </w:tc>
        <w:tc>
          <w:tcPr>
            <w:tcW w:w="1276" w:type="dxa"/>
            <w:noWrap/>
          </w:tcPr>
          <w:p w:rsidR="00F30237" w:rsidRPr="00F30237" w:rsidRDefault="00F30237" w:rsidP="00930D15">
            <w:pPr>
              <w:widowControl w:val="0"/>
              <w:spacing w:after="0" w:line="240" w:lineRule="auto"/>
              <w:jc w:val="right"/>
              <w:cnfStyle w:val="000000100000"/>
              <w:rPr>
                <w:rFonts w:cs="Arial"/>
                <w:b/>
                <w:bCs/>
                <w:color w:val="auto"/>
                <w:sz w:val="20"/>
                <w:szCs w:val="20"/>
                <w:lang w:eastAsia="en-GB"/>
              </w:rPr>
            </w:pPr>
          </w:p>
        </w:tc>
        <w:tc>
          <w:tcPr>
            <w:cnfStyle w:val="000010000000"/>
            <w:tcW w:w="1134" w:type="dxa"/>
            <w:noWrap/>
          </w:tcPr>
          <w:p w:rsidR="00F30237" w:rsidRPr="00F30237" w:rsidRDefault="00EA6482" w:rsidP="00930D15">
            <w:pPr>
              <w:widowControl w:val="0"/>
              <w:spacing w:after="0" w:line="240" w:lineRule="auto"/>
              <w:jc w:val="right"/>
              <w:rPr>
                <w:rFonts w:cs="Arial"/>
                <w:b/>
                <w:bCs/>
                <w:color w:val="auto"/>
                <w:sz w:val="20"/>
                <w:szCs w:val="20"/>
                <w:lang w:eastAsia="en-GB"/>
              </w:rPr>
            </w:pPr>
            <w:r>
              <w:rPr>
                <w:rFonts w:cs="Arial"/>
                <w:b/>
                <w:bCs/>
                <w:color w:val="auto"/>
                <w:sz w:val="20"/>
                <w:szCs w:val="20"/>
                <w:lang w:eastAsia="en-GB"/>
              </w:rPr>
              <w:t>26.4</w:t>
            </w:r>
          </w:p>
        </w:tc>
      </w:tr>
      <w:tr w:rsidR="00F30237" w:rsidRPr="00D42E0B" w:rsidTr="006B666B">
        <w:trPr>
          <w:trHeight w:val="270"/>
        </w:trPr>
        <w:tc>
          <w:tcPr>
            <w:cnfStyle w:val="001000000000"/>
            <w:tcW w:w="817" w:type="dxa"/>
          </w:tcPr>
          <w:p w:rsidR="00F30237" w:rsidRPr="00D46620" w:rsidRDefault="00F30237" w:rsidP="00F30237">
            <w:pPr>
              <w:widowControl w:val="0"/>
              <w:spacing w:after="0" w:line="240" w:lineRule="auto"/>
              <w:jc w:val="right"/>
              <w:rPr>
                <w:rFonts w:cs="Arial"/>
                <w:b w:val="0"/>
                <w:color w:val="auto"/>
                <w:sz w:val="20"/>
                <w:szCs w:val="20"/>
                <w:lang w:eastAsia="en-GB"/>
              </w:rPr>
            </w:pPr>
          </w:p>
        </w:tc>
        <w:tc>
          <w:tcPr>
            <w:cnfStyle w:val="000010000000"/>
            <w:tcW w:w="851" w:type="dxa"/>
          </w:tcPr>
          <w:p w:rsidR="00F30237" w:rsidRPr="00D46620" w:rsidRDefault="00F30237" w:rsidP="00F30237">
            <w:pPr>
              <w:widowControl w:val="0"/>
              <w:spacing w:after="0" w:line="240" w:lineRule="auto"/>
              <w:jc w:val="right"/>
              <w:rPr>
                <w:rFonts w:cs="Arial"/>
                <w:bCs/>
                <w:color w:val="auto"/>
                <w:sz w:val="20"/>
                <w:szCs w:val="20"/>
                <w:lang w:eastAsia="en-GB"/>
              </w:rPr>
            </w:pPr>
          </w:p>
        </w:tc>
        <w:tc>
          <w:tcPr>
            <w:tcW w:w="850" w:type="dxa"/>
          </w:tcPr>
          <w:p w:rsidR="00F30237" w:rsidRPr="00D46620" w:rsidRDefault="00F30237" w:rsidP="00B448D2">
            <w:pPr>
              <w:widowControl w:val="0"/>
              <w:spacing w:after="0" w:line="240" w:lineRule="auto"/>
              <w:jc w:val="right"/>
              <w:cnfStyle w:val="000000000000"/>
              <w:rPr>
                <w:rFonts w:cs="Arial"/>
                <w:color w:val="auto"/>
                <w:sz w:val="20"/>
                <w:szCs w:val="20"/>
                <w:lang w:eastAsia="en-GB"/>
              </w:rPr>
            </w:pPr>
            <w:r w:rsidRPr="00D46620">
              <w:rPr>
                <w:rFonts w:cs="Arial"/>
                <w:color w:val="auto"/>
                <w:sz w:val="20"/>
                <w:szCs w:val="20"/>
                <w:lang w:eastAsia="en-GB"/>
              </w:rPr>
              <w:t>(</w:t>
            </w:r>
            <w:r w:rsidR="00B448D2">
              <w:rPr>
                <w:rFonts w:cs="Arial"/>
                <w:color w:val="auto"/>
                <w:sz w:val="20"/>
                <w:szCs w:val="20"/>
                <w:lang w:eastAsia="en-GB"/>
              </w:rPr>
              <w:t>8.6</w:t>
            </w:r>
            <w:r w:rsidRPr="00D46620">
              <w:rPr>
                <w:rFonts w:cs="Arial"/>
                <w:color w:val="auto"/>
                <w:sz w:val="20"/>
                <w:szCs w:val="20"/>
                <w:lang w:eastAsia="en-GB"/>
              </w:rPr>
              <w:t>)</w:t>
            </w:r>
          </w:p>
        </w:tc>
        <w:tc>
          <w:tcPr>
            <w:cnfStyle w:val="000010000000"/>
            <w:tcW w:w="3260" w:type="dxa"/>
            <w:gridSpan w:val="2"/>
            <w:noWrap/>
          </w:tcPr>
          <w:p w:rsidR="00F30237" w:rsidRPr="000C2218" w:rsidRDefault="00F30237" w:rsidP="00811056">
            <w:pPr>
              <w:widowControl w:val="0"/>
              <w:spacing w:after="0" w:line="240" w:lineRule="auto"/>
              <w:rPr>
                <w:rFonts w:cs="Arial"/>
                <w:color w:val="auto"/>
                <w:sz w:val="20"/>
                <w:szCs w:val="20"/>
                <w:lang w:eastAsia="en-GB"/>
              </w:rPr>
            </w:pPr>
            <w:r w:rsidRPr="000C2218">
              <w:rPr>
                <w:rFonts w:cs="Arial"/>
                <w:color w:val="auto"/>
                <w:sz w:val="20"/>
                <w:szCs w:val="20"/>
                <w:lang w:eastAsia="en-GB"/>
              </w:rPr>
              <w:t xml:space="preserve">(Surplus)/Deficit on revaluation on Non Current Assets </w:t>
            </w:r>
            <w:r w:rsidR="00D46620" w:rsidRPr="000C2218">
              <w:rPr>
                <w:rFonts w:cs="Arial"/>
                <w:color w:val="auto"/>
                <w:sz w:val="20"/>
                <w:szCs w:val="20"/>
                <w:lang w:eastAsia="en-GB"/>
              </w:rPr>
              <w:t xml:space="preserve"> (PPE)</w:t>
            </w:r>
          </w:p>
        </w:tc>
        <w:tc>
          <w:tcPr>
            <w:tcW w:w="709" w:type="dxa"/>
          </w:tcPr>
          <w:p w:rsidR="00F30237" w:rsidRPr="00F30237" w:rsidRDefault="00F30237" w:rsidP="00930D15">
            <w:pPr>
              <w:widowControl w:val="0"/>
              <w:spacing w:after="0" w:line="240" w:lineRule="auto"/>
              <w:jc w:val="center"/>
              <w:cnfStyle w:val="000000000000"/>
              <w:rPr>
                <w:rFonts w:cs="Arial"/>
                <w:color w:val="auto"/>
                <w:sz w:val="18"/>
                <w:szCs w:val="18"/>
                <w:lang w:eastAsia="en-GB"/>
              </w:rPr>
            </w:pPr>
            <w:r w:rsidRPr="00F30237">
              <w:rPr>
                <w:rFonts w:cs="Arial"/>
                <w:color w:val="auto"/>
                <w:sz w:val="18"/>
                <w:szCs w:val="18"/>
                <w:lang w:eastAsia="en-GB"/>
              </w:rPr>
              <w:t>23</w:t>
            </w:r>
          </w:p>
        </w:tc>
        <w:tc>
          <w:tcPr>
            <w:cnfStyle w:val="000010000000"/>
            <w:tcW w:w="1134" w:type="dxa"/>
            <w:noWrap/>
          </w:tcPr>
          <w:p w:rsidR="00F30237" w:rsidRPr="00F30237" w:rsidRDefault="00F30237" w:rsidP="00930D15">
            <w:pPr>
              <w:widowControl w:val="0"/>
              <w:spacing w:after="0" w:line="240" w:lineRule="auto"/>
              <w:jc w:val="right"/>
              <w:rPr>
                <w:rFonts w:cs="Arial"/>
                <w:color w:val="auto"/>
                <w:sz w:val="20"/>
                <w:szCs w:val="20"/>
                <w:lang w:eastAsia="en-GB"/>
              </w:rPr>
            </w:pPr>
          </w:p>
        </w:tc>
        <w:tc>
          <w:tcPr>
            <w:tcW w:w="1276" w:type="dxa"/>
            <w:noWrap/>
          </w:tcPr>
          <w:p w:rsidR="00F30237" w:rsidRPr="00F30237" w:rsidRDefault="00F30237" w:rsidP="00930D15">
            <w:pPr>
              <w:widowControl w:val="0"/>
              <w:spacing w:after="0" w:line="240" w:lineRule="auto"/>
              <w:jc w:val="right"/>
              <w:cnfStyle w:val="000000000000"/>
              <w:rPr>
                <w:rFonts w:cs="Arial"/>
                <w:b/>
                <w:bCs/>
                <w:color w:val="auto"/>
                <w:sz w:val="20"/>
                <w:szCs w:val="20"/>
                <w:lang w:eastAsia="en-GB"/>
              </w:rPr>
            </w:pPr>
          </w:p>
        </w:tc>
        <w:tc>
          <w:tcPr>
            <w:cnfStyle w:val="000010000000"/>
            <w:tcW w:w="1134" w:type="dxa"/>
            <w:noWrap/>
          </w:tcPr>
          <w:p w:rsidR="00F30237" w:rsidRPr="00F30237" w:rsidRDefault="00EA6482" w:rsidP="00700280">
            <w:pPr>
              <w:widowControl w:val="0"/>
              <w:spacing w:after="0" w:line="240" w:lineRule="auto"/>
              <w:jc w:val="right"/>
              <w:rPr>
                <w:rFonts w:cs="Arial"/>
                <w:b/>
                <w:color w:val="auto"/>
                <w:sz w:val="20"/>
                <w:szCs w:val="20"/>
                <w:lang w:eastAsia="en-GB"/>
              </w:rPr>
            </w:pPr>
            <w:r>
              <w:rPr>
                <w:rFonts w:cs="Arial"/>
                <w:b/>
                <w:color w:val="auto"/>
                <w:sz w:val="20"/>
                <w:szCs w:val="20"/>
                <w:lang w:eastAsia="en-GB"/>
              </w:rPr>
              <w:t>(10.</w:t>
            </w:r>
            <w:r w:rsidR="00700280">
              <w:rPr>
                <w:rFonts w:cs="Arial"/>
                <w:b/>
                <w:color w:val="auto"/>
                <w:sz w:val="20"/>
                <w:szCs w:val="20"/>
                <w:lang w:eastAsia="en-GB"/>
              </w:rPr>
              <w:t>7</w:t>
            </w:r>
            <w:r>
              <w:rPr>
                <w:rFonts w:cs="Arial"/>
                <w:b/>
                <w:color w:val="auto"/>
                <w:sz w:val="20"/>
                <w:szCs w:val="20"/>
                <w:lang w:eastAsia="en-GB"/>
              </w:rPr>
              <w:t>)</w:t>
            </w:r>
          </w:p>
        </w:tc>
      </w:tr>
      <w:tr w:rsidR="00766368" w:rsidRPr="00D42E0B" w:rsidTr="006B666B">
        <w:trPr>
          <w:cnfStyle w:val="000000100000"/>
          <w:trHeight w:val="270"/>
        </w:trPr>
        <w:tc>
          <w:tcPr>
            <w:cnfStyle w:val="001000000000"/>
            <w:tcW w:w="817" w:type="dxa"/>
          </w:tcPr>
          <w:p w:rsidR="00766368" w:rsidRPr="00D46620" w:rsidRDefault="00766368" w:rsidP="00F30237">
            <w:pPr>
              <w:widowControl w:val="0"/>
              <w:spacing w:after="0" w:line="240" w:lineRule="auto"/>
              <w:jc w:val="right"/>
              <w:rPr>
                <w:rFonts w:cs="Arial"/>
                <w:b w:val="0"/>
                <w:color w:val="auto"/>
                <w:sz w:val="20"/>
                <w:szCs w:val="20"/>
                <w:lang w:eastAsia="en-GB"/>
              </w:rPr>
            </w:pPr>
          </w:p>
        </w:tc>
        <w:tc>
          <w:tcPr>
            <w:cnfStyle w:val="000010000000"/>
            <w:tcW w:w="851" w:type="dxa"/>
          </w:tcPr>
          <w:p w:rsidR="00766368" w:rsidRPr="00D46620" w:rsidRDefault="00766368" w:rsidP="00F30237">
            <w:pPr>
              <w:widowControl w:val="0"/>
              <w:spacing w:after="0" w:line="240" w:lineRule="auto"/>
              <w:jc w:val="right"/>
              <w:rPr>
                <w:rFonts w:cs="Arial"/>
                <w:bCs/>
                <w:color w:val="auto"/>
                <w:sz w:val="20"/>
                <w:szCs w:val="20"/>
                <w:lang w:eastAsia="en-GB"/>
              </w:rPr>
            </w:pPr>
          </w:p>
        </w:tc>
        <w:tc>
          <w:tcPr>
            <w:tcW w:w="850" w:type="dxa"/>
          </w:tcPr>
          <w:p w:rsidR="00766368" w:rsidRPr="00D46620" w:rsidRDefault="00B448D2" w:rsidP="00F30237">
            <w:pPr>
              <w:widowControl w:val="0"/>
              <w:spacing w:after="0" w:line="240" w:lineRule="auto"/>
              <w:jc w:val="right"/>
              <w:cnfStyle w:val="000000100000"/>
              <w:rPr>
                <w:rFonts w:cs="Arial"/>
                <w:color w:val="auto"/>
                <w:sz w:val="20"/>
                <w:szCs w:val="20"/>
                <w:lang w:eastAsia="en-GB"/>
              </w:rPr>
            </w:pPr>
            <w:r>
              <w:rPr>
                <w:rFonts w:cs="Arial"/>
                <w:color w:val="auto"/>
                <w:sz w:val="20"/>
                <w:szCs w:val="20"/>
                <w:lang w:eastAsia="en-GB"/>
              </w:rPr>
              <w:t>5.2</w:t>
            </w:r>
          </w:p>
        </w:tc>
        <w:tc>
          <w:tcPr>
            <w:cnfStyle w:val="000010000000"/>
            <w:tcW w:w="3260" w:type="dxa"/>
            <w:gridSpan w:val="2"/>
            <w:noWrap/>
          </w:tcPr>
          <w:p w:rsidR="00766368" w:rsidRPr="000C2218" w:rsidRDefault="00766368" w:rsidP="00E2794C">
            <w:pPr>
              <w:widowControl w:val="0"/>
              <w:spacing w:after="0" w:line="240" w:lineRule="auto"/>
              <w:rPr>
                <w:rFonts w:cs="Arial"/>
                <w:color w:val="auto"/>
                <w:sz w:val="20"/>
                <w:szCs w:val="20"/>
                <w:lang w:eastAsia="en-GB"/>
              </w:rPr>
            </w:pPr>
            <w:r w:rsidRPr="000C2218">
              <w:rPr>
                <w:rFonts w:cs="Arial"/>
                <w:color w:val="auto"/>
                <w:sz w:val="20"/>
                <w:szCs w:val="20"/>
                <w:lang w:eastAsia="en-GB"/>
              </w:rPr>
              <w:t>Impairment losses on non current assets charged to the revaluation reserve</w:t>
            </w:r>
          </w:p>
        </w:tc>
        <w:tc>
          <w:tcPr>
            <w:tcW w:w="709" w:type="dxa"/>
          </w:tcPr>
          <w:p w:rsidR="00766368" w:rsidRPr="00F30237" w:rsidRDefault="00C53D1D" w:rsidP="00930D15">
            <w:pPr>
              <w:widowControl w:val="0"/>
              <w:spacing w:after="0" w:line="240" w:lineRule="auto"/>
              <w:jc w:val="center"/>
              <w:cnfStyle w:val="000000100000"/>
              <w:rPr>
                <w:rFonts w:cs="Arial"/>
                <w:color w:val="auto"/>
                <w:sz w:val="18"/>
                <w:szCs w:val="18"/>
                <w:lang w:eastAsia="en-GB"/>
              </w:rPr>
            </w:pPr>
            <w:r>
              <w:rPr>
                <w:rFonts w:cs="Arial"/>
                <w:color w:val="auto"/>
                <w:sz w:val="18"/>
                <w:szCs w:val="18"/>
                <w:lang w:eastAsia="en-GB"/>
              </w:rPr>
              <w:t>23</w:t>
            </w:r>
          </w:p>
        </w:tc>
        <w:tc>
          <w:tcPr>
            <w:cnfStyle w:val="000010000000"/>
            <w:tcW w:w="1134" w:type="dxa"/>
            <w:noWrap/>
          </w:tcPr>
          <w:p w:rsidR="00766368" w:rsidRPr="00F30237" w:rsidRDefault="00766368" w:rsidP="00930D15">
            <w:pPr>
              <w:widowControl w:val="0"/>
              <w:spacing w:after="0" w:line="240" w:lineRule="auto"/>
              <w:jc w:val="right"/>
              <w:rPr>
                <w:rFonts w:cs="Arial"/>
                <w:color w:val="auto"/>
                <w:sz w:val="20"/>
                <w:szCs w:val="20"/>
                <w:lang w:eastAsia="en-GB"/>
              </w:rPr>
            </w:pPr>
          </w:p>
        </w:tc>
        <w:tc>
          <w:tcPr>
            <w:tcW w:w="1276" w:type="dxa"/>
            <w:noWrap/>
          </w:tcPr>
          <w:p w:rsidR="00766368" w:rsidRPr="00F30237" w:rsidRDefault="00766368" w:rsidP="00930D15">
            <w:pPr>
              <w:widowControl w:val="0"/>
              <w:spacing w:after="0" w:line="240" w:lineRule="auto"/>
              <w:jc w:val="right"/>
              <w:cnfStyle w:val="000000100000"/>
              <w:rPr>
                <w:rFonts w:cs="Arial"/>
                <w:b/>
                <w:bCs/>
                <w:color w:val="auto"/>
                <w:sz w:val="20"/>
                <w:szCs w:val="20"/>
                <w:lang w:eastAsia="en-GB"/>
              </w:rPr>
            </w:pPr>
          </w:p>
        </w:tc>
        <w:tc>
          <w:tcPr>
            <w:cnfStyle w:val="000010000000"/>
            <w:tcW w:w="1134" w:type="dxa"/>
            <w:noWrap/>
          </w:tcPr>
          <w:p w:rsidR="00766368" w:rsidRPr="00F30237" w:rsidRDefault="00EA6482" w:rsidP="00EA6973">
            <w:pPr>
              <w:widowControl w:val="0"/>
              <w:spacing w:after="0" w:line="240" w:lineRule="auto"/>
              <w:jc w:val="right"/>
              <w:rPr>
                <w:rFonts w:cs="Arial"/>
                <w:b/>
                <w:color w:val="auto"/>
                <w:sz w:val="20"/>
                <w:szCs w:val="20"/>
                <w:lang w:eastAsia="en-GB"/>
              </w:rPr>
            </w:pPr>
            <w:r>
              <w:rPr>
                <w:rFonts w:cs="Arial"/>
                <w:b/>
                <w:color w:val="auto"/>
                <w:sz w:val="20"/>
                <w:szCs w:val="20"/>
                <w:lang w:eastAsia="en-GB"/>
              </w:rPr>
              <w:t>3.5</w:t>
            </w:r>
          </w:p>
        </w:tc>
      </w:tr>
      <w:tr w:rsidR="00766368" w:rsidRPr="00D42E0B" w:rsidTr="006B666B">
        <w:trPr>
          <w:trHeight w:val="270"/>
        </w:trPr>
        <w:tc>
          <w:tcPr>
            <w:cnfStyle w:val="001000000000"/>
            <w:tcW w:w="817" w:type="dxa"/>
          </w:tcPr>
          <w:p w:rsidR="00766368" w:rsidRPr="00D46620" w:rsidRDefault="00766368" w:rsidP="00F30237">
            <w:pPr>
              <w:widowControl w:val="0"/>
              <w:spacing w:after="0" w:line="240" w:lineRule="auto"/>
              <w:jc w:val="right"/>
              <w:rPr>
                <w:rFonts w:cs="Arial"/>
                <w:b w:val="0"/>
                <w:color w:val="auto"/>
                <w:sz w:val="20"/>
                <w:szCs w:val="20"/>
                <w:lang w:eastAsia="en-GB"/>
              </w:rPr>
            </w:pPr>
          </w:p>
        </w:tc>
        <w:tc>
          <w:tcPr>
            <w:cnfStyle w:val="000010000000"/>
            <w:tcW w:w="851" w:type="dxa"/>
          </w:tcPr>
          <w:p w:rsidR="00766368" w:rsidRPr="00D46620" w:rsidRDefault="00766368" w:rsidP="00F30237">
            <w:pPr>
              <w:widowControl w:val="0"/>
              <w:spacing w:after="0" w:line="240" w:lineRule="auto"/>
              <w:jc w:val="right"/>
              <w:rPr>
                <w:rFonts w:cs="Arial"/>
                <w:bCs/>
                <w:color w:val="auto"/>
                <w:sz w:val="20"/>
                <w:szCs w:val="20"/>
                <w:lang w:eastAsia="en-GB"/>
              </w:rPr>
            </w:pPr>
          </w:p>
        </w:tc>
        <w:tc>
          <w:tcPr>
            <w:tcW w:w="850" w:type="dxa"/>
          </w:tcPr>
          <w:p w:rsidR="00766368" w:rsidRPr="00D46620" w:rsidRDefault="00766368" w:rsidP="00F30237">
            <w:pPr>
              <w:widowControl w:val="0"/>
              <w:spacing w:after="0" w:line="240" w:lineRule="auto"/>
              <w:jc w:val="right"/>
              <w:cnfStyle w:val="000000000000"/>
              <w:rPr>
                <w:rFonts w:cs="Arial"/>
                <w:color w:val="auto"/>
                <w:sz w:val="20"/>
                <w:szCs w:val="20"/>
                <w:lang w:eastAsia="en-GB"/>
              </w:rPr>
            </w:pPr>
            <w:r w:rsidRPr="00D46620">
              <w:rPr>
                <w:rFonts w:cs="Arial"/>
                <w:color w:val="auto"/>
                <w:sz w:val="20"/>
                <w:szCs w:val="20"/>
                <w:lang w:eastAsia="en-GB"/>
              </w:rPr>
              <w:t>1.5</w:t>
            </w:r>
          </w:p>
        </w:tc>
        <w:tc>
          <w:tcPr>
            <w:cnfStyle w:val="000010000000"/>
            <w:tcW w:w="3260" w:type="dxa"/>
            <w:gridSpan w:val="2"/>
            <w:noWrap/>
          </w:tcPr>
          <w:p w:rsidR="00766368" w:rsidRPr="00F30237" w:rsidRDefault="00766368" w:rsidP="00930D15">
            <w:pPr>
              <w:widowControl w:val="0"/>
              <w:spacing w:after="0" w:line="240" w:lineRule="auto"/>
              <w:rPr>
                <w:rFonts w:cs="Arial"/>
                <w:color w:val="auto"/>
                <w:sz w:val="20"/>
                <w:szCs w:val="20"/>
                <w:lang w:eastAsia="en-GB"/>
              </w:rPr>
            </w:pPr>
            <w:r w:rsidRPr="00F30237">
              <w:rPr>
                <w:rFonts w:cs="Arial"/>
                <w:color w:val="auto"/>
                <w:sz w:val="20"/>
                <w:szCs w:val="20"/>
                <w:lang w:eastAsia="en-GB"/>
              </w:rPr>
              <w:t xml:space="preserve">(Surplus)/Deficit on revaluation of available for sale financial assets </w:t>
            </w:r>
          </w:p>
        </w:tc>
        <w:tc>
          <w:tcPr>
            <w:tcW w:w="709" w:type="dxa"/>
          </w:tcPr>
          <w:p w:rsidR="00766368" w:rsidRPr="00F30237" w:rsidRDefault="00766368" w:rsidP="00930D15">
            <w:pPr>
              <w:widowControl w:val="0"/>
              <w:spacing w:after="0" w:line="240" w:lineRule="auto"/>
              <w:jc w:val="center"/>
              <w:cnfStyle w:val="000000000000"/>
              <w:rPr>
                <w:rFonts w:cs="Arial"/>
                <w:color w:val="auto"/>
                <w:sz w:val="18"/>
                <w:szCs w:val="18"/>
                <w:lang w:eastAsia="en-GB"/>
              </w:rPr>
            </w:pPr>
            <w:r w:rsidRPr="00F30237">
              <w:rPr>
                <w:rFonts w:cs="Arial"/>
                <w:color w:val="auto"/>
                <w:sz w:val="18"/>
                <w:szCs w:val="18"/>
                <w:lang w:eastAsia="en-GB"/>
              </w:rPr>
              <w:t>See * below</w:t>
            </w:r>
          </w:p>
        </w:tc>
        <w:tc>
          <w:tcPr>
            <w:cnfStyle w:val="000010000000"/>
            <w:tcW w:w="1134" w:type="dxa"/>
            <w:noWrap/>
          </w:tcPr>
          <w:p w:rsidR="00766368" w:rsidRPr="00F30237" w:rsidRDefault="00766368" w:rsidP="00930D15">
            <w:pPr>
              <w:widowControl w:val="0"/>
              <w:spacing w:after="0" w:line="240" w:lineRule="auto"/>
              <w:jc w:val="right"/>
              <w:rPr>
                <w:rFonts w:cs="Arial"/>
                <w:color w:val="auto"/>
                <w:sz w:val="20"/>
                <w:szCs w:val="20"/>
                <w:lang w:eastAsia="en-GB"/>
              </w:rPr>
            </w:pPr>
          </w:p>
        </w:tc>
        <w:tc>
          <w:tcPr>
            <w:tcW w:w="1276" w:type="dxa"/>
            <w:noWrap/>
          </w:tcPr>
          <w:p w:rsidR="00766368" w:rsidRPr="00F30237" w:rsidRDefault="00766368" w:rsidP="00930D15">
            <w:pPr>
              <w:widowControl w:val="0"/>
              <w:spacing w:after="0" w:line="240" w:lineRule="auto"/>
              <w:jc w:val="right"/>
              <w:cnfStyle w:val="000000000000"/>
              <w:rPr>
                <w:rFonts w:cs="Arial"/>
                <w:b/>
                <w:bCs/>
                <w:color w:val="auto"/>
                <w:sz w:val="20"/>
                <w:szCs w:val="20"/>
                <w:lang w:eastAsia="en-GB"/>
              </w:rPr>
            </w:pPr>
          </w:p>
        </w:tc>
        <w:tc>
          <w:tcPr>
            <w:cnfStyle w:val="000010000000"/>
            <w:tcW w:w="1134" w:type="dxa"/>
            <w:noWrap/>
          </w:tcPr>
          <w:p w:rsidR="00766368" w:rsidRPr="00F30237" w:rsidRDefault="00EA6482" w:rsidP="00EA6973">
            <w:pPr>
              <w:widowControl w:val="0"/>
              <w:spacing w:after="0" w:line="240" w:lineRule="auto"/>
              <w:jc w:val="right"/>
              <w:rPr>
                <w:rFonts w:cs="Arial"/>
                <w:b/>
                <w:color w:val="auto"/>
                <w:sz w:val="20"/>
                <w:szCs w:val="20"/>
                <w:lang w:eastAsia="en-GB"/>
              </w:rPr>
            </w:pPr>
            <w:r>
              <w:rPr>
                <w:rFonts w:cs="Arial"/>
                <w:b/>
                <w:color w:val="auto"/>
                <w:sz w:val="20"/>
                <w:szCs w:val="20"/>
                <w:lang w:eastAsia="en-GB"/>
              </w:rPr>
              <w:t>(1.2)</w:t>
            </w:r>
          </w:p>
        </w:tc>
      </w:tr>
      <w:tr w:rsidR="00766368" w:rsidRPr="00D42E0B" w:rsidTr="006B666B">
        <w:trPr>
          <w:cnfStyle w:val="000000100000"/>
          <w:trHeight w:val="476"/>
        </w:trPr>
        <w:tc>
          <w:tcPr>
            <w:cnfStyle w:val="001000000000"/>
            <w:tcW w:w="817" w:type="dxa"/>
          </w:tcPr>
          <w:p w:rsidR="00766368" w:rsidRPr="00D46620" w:rsidRDefault="00766368" w:rsidP="00F30237">
            <w:pPr>
              <w:widowControl w:val="0"/>
              <w:spacing w:after="0" w:line="240" w:lineRule="auto"/>
              <w:jc w:val="right"/>
              <w:rPr>
                <w:rFonts w:cs="Arial"/>
                <w:b w:val="0"/>
                <w:color w:val="auto"/>
                <w:sz w:val="20"/>
                <w:szCs w:val="20"/>
                <w:lang w:eastAsia="en-GB"/>
              </w:rPr>
            </w:pPr>
          </w:p>
        </w:tc>
        <w:tc>
          <w:tcPr>
            <w:cnfStyle w:val="000010000000"/>
            <w:tcW w:w="851" w:type="dxa"/>
          </w:tcPr>
          <w:p w:rsidR="00766368" w:rsidRPr="00D46620" w:rsidRDefault="00766368" w:rsidP="00F30237">
            <w:pPr>
              <w:widowControl w:val="0"/>
              <w:spacing w:after="0" w:line="240" w:lineRule="auto"/>
              <w:jc w:val="right"/>
              <w:rPr>
                <w:rFonts w:cs="Arial"/>
                <w:bCs/>
                <w:color w:val="auto"/>
                <w:sz w:val="20"/>
                <w:szCs w:val="20"/>
                <w:lang w:eastAsia="en-GB"/>
              </w:rPr>
            </w:pPr>
          </w:p>
        </w:tc>
        <w:tc>
          <w:tcPr>
            <w:tcW w:w="850" w:type="dxa"/>
          </w:tcPr>
          <w:p w:rsidR="00766368" w:rsidRPr="00D46620" w:rsidRDefault="00766368" w:rsidP="00F30237">
            <w:pPr>
              <w:widowControl w:val="0"/>
              <w:spacing w:after="0" w:line="240" w:lineRule="auto"/>
              <w:jc w:val="right"/>
              <w:cnfStyle w:val="000000100000"/>
              <w:rPr>
                <w:rFonts w:cs="Arial"/>
                <w:color w:val="auto"/>
                <w:sz w:val="20"/>
                <w:szCs w:val="20"/>
                <w:lang w:eastAsia="en-GB"/>
              </w:rPr>
            </w:pPr>
            <w:r w:rsidRPr="00D46620">
              <w:rPr>
                <w:rFonts w:cs="Arial"/>
                <w:color w:val="auto"/>
                <w:sz w:val="20"/>
                <w:szCs w:val="20"/>
                <w:lang w:eastAsia="en-GB"/>
              </w:rPr>
              <w:t>43.9</w:t>
            </w:r>
          </w:p>
        </w:tc>
        <w:tc>
          <w:tcPr>
            <w:cnfStyle w:val="000010000000"/>
            <w:tcW w:w="3260" w:type="dxa"/>
            <w:gridSpan w:val="2"/>
            <w:noWrap/>
          </w:tcPr>
          <w:p w:rsidR="00766368" w:rsidRPr="00F30237" w:rsidRDefault="00766368" w:rsidP="006D411F">
            <w:pPr>
              <w:widowControl w:val="0"/>
              <w:spacing w:after="0" w:line="240" w:lineRule="auto"/>
              <w:rPr>
                <w:rFonts w:cs="Arial"/>
                <w:color w:val="auto"/>
                <w:sz w:val="20"/>
                <w:szCs w:val="20"/>
                <w:lang w:eastAsia="en-GB"/>
              </w:rPr>
            </w:pPr>
            <w:r w:rsidRPr="00F30237">
              <w:rPr>
                <w:rFonts w:cs="Arial"/>
                <w:color w:val="auto"/>
                <w:sz w:val="20"/>
                <w:szCs w:val="20"/>
                <w:lang w:eastAsia="en-GB"/>
              </w:rPr>
              <w:t>Remeasurement of net defined pension liabilities</w:t>
            </w:r>
          </w:p>
        </w:tc>
        <w:tc>
          <w:tcPr>
            <w:tcW w:w="709" w:type="dxa"/>
          </w:tcPr>
          <w:p w:rsidR="00766368" w:rsidRPr="00F30237" w:rsidRDefault="00766368" w:rsidP="00930D15">
            <w:pPr>
              <w:widowControl w:val="0"/>
              <w:spacing w:after="0" w:line="240" w:lineRule="auto"/>
              <w:jc w:val="center"/>
              <w:cnfStyle w:val="000000100000"/>
              <w:rPr>
                <w:rFonts w:cs="Arial"/>
                <w:color w:val="auto"/>
                <w:sz w:val="18"/>
                <w:szCs w:val="18"/>
                <w:lang w:eastAsia="en-GB"/>
              </w:rPr>
            </w:pPr>
            <w:r w:rsidRPr="00F30237">
              <w:rPr>
                <w:rFonts w:cs="Arial"/>
                <w:color w:val="auto"/>
                <w:sz w:val="18"/>
                <w:szCs w:val="18"/>
                <w:lang w:eastAsia="en-GB"/>
              </w:rPr>
              <w:t>38</w:t>
            </w:r>
          </w:p>
        </w:tc>
        <w:tc>
          <w:tcPr>
            <w:cnfStyle w:val="000010000000"/>
            <w:tcW w:w="1134" w:type="dxa"/>
            <w:noWrap/>
          </w:tcPr>
          <w:p w:rsidR="00766368" w:rsidRPr="00F30237" w:rsidRDefault="00766368" w:rsidP="00930D15">
            <w:pPr>
              <w:widowControl w:val="0"/>
              <w:spacing w:after="0" w:line="240" w:lineRule="auto"/>
              <w:jc w:val="right"/>
              <w:rPr>
                <w:rFonts w:cs="Arial"/>
                <w:color w:val="auto"/>
                <w:sz w:val="20"/>
                <w:szCs w:val="20"/>
                <w:lang w:eastAsia="en-GB"/>
              </w:rPr>
            </w:pPr>
          </w:p>
        </w:tc>
        <w:tc>
          <w:tcPr>
            <w:tcW w:w="1276" w:type="dxa"/>
            <w:noWrap/>
          </w:tcPr>
          <w:p w:rsidR="00766368" w:rsidRPr="00F30237" w:rsidRDefault="00766368" w:rsidP="00930D15">
            <w:pPr>
              <w:widowControl w:val="0"/>
              <w:spacing w:after="0" w:line="240" w:lineRule="auto"/>
              <w:jc w:val="right"/>
              <w:cnfStyle w:val="000000100000"/>
              <w:rPr>
                <w:rFonts w:cs="Arial"/>
                <w:b/>
                <w:bCs/>
                <w:color w:val="auto"/>
                <w:sz w:val="20"/>
                <w:szCs w:val="20"/>
                <w:lang w:eastAsia="en-GB"/>
              </w:rPr>
            </w:pPr>
          </w:p>
        </w:tc>
        <w:tc>
          <w:tcPr>
            <w:cnfStyle w:val="000010000000"/>
            <w:tcW w:w="1134" w:type="dxa"/>
            <w:noWrap/>
          </w:tcPr>
          <w:p w:rsidR="00766368" w:rsidRPr="00F30237" w:rsidRDefault="00700280" w:rsidP="00930D15">
            <w:pPr>
              <w:widowControl w:val="0"/>
              <w:spacing w:after="0" w:line="240" w:lineRule="auto"/>
              <w:jc w:val="right"/>
              <w:rPr>
                <w:rFonts w:cs="Arial"/>
                <w:b/>
                <w:color w:val="auto"/>
                <w:sz w:val="20"/>
                <w:szCs w:val="20"/>
                <w:lang w:eastAsia="en-GB"/>
              </w:rPr>
            </w:pPr>
            <w:r>
              <w:rPr>
                <w:rFonts w:cs="Arial"/>
                <w:b/>
                <w:color w:val="auto"/>
                <w:sz w:val="20"/>
                <w:szCs w:val="20"/>
                <w:lang w:eastAsia="en-GB"/>
              </w:rPr>
              <w:t>(22.7)</w:t>
            </w:r>
          </w:p>
        </w:tc>
      </w:tr>
      <w:tr w:rsidR="00766368" w:rsidRPr="00D42E0B" w:rsidTr="006B666B">
        <w:trPr>
          <w:trHeight w:val="413"/>
        </w:trPr>
        <w:tc>
          <w:tcPr>
            <w:cnfStyle w:val="001000000000"/>
            <w:tcW w:w="817" w:type="dxa"/>
          </w:tcPr>
          <w:p w:rsidR="00766368" w:rsidRPr="00D46620" w:rsidRDefault="00766368" w:rsidP="00F30237">
            <w:pPr>
              <w:widowControl w:val="0"/>
              <w:spacing w:after="0" w:line="240" w:lineRule="auto"/>
              <w:jc w:val="right"/>
              <w:rPr>
                <w:rFonts w:cs="Arial"/>
                <w:b w:val="0"/>
                <w:bCs w:val="0"/>
                <w:color w:val="auto"/>
                <w:sz w:val="20"/>
                <w:szCs w:val="20"/>
                <w:lang w:eastAsia="en-GB"/>
              </w:rPr>
            </w:pPr>
          </w:p>
        </w:tc>
        <w:tc>
          <w:tcPr>
            <w:cnfStyle w:val="000010000000"/>
            <w:tcW w:w="851" w:type="dxa"/>
          </w:tcPr>
          <w:p w:rsidR="00766368" w:rsidRPr="00D46620" w:rsidRDefault="00766368" w:rsidP="00F30237">
            <w:pPr>
              <w:widowControl w:val="0"/>
              <w:spacing w:after="0" w:line="240" w:lineRule="auto"/>
              <w:jc w:val="right"/>
              <w:rPr>
                <w:rFonts w:cs="Arial"/>
                <w:bCs/>
                <w:color w:val="auto"/>
                <w:sz w:val="20"/>
                <w:szCs w:val="20"/>
                <w:lang w:eastAsia="en-GB"/>
              </w:rPr>
            </w:pPr>
          </w:p>
        </w:tc>
        <w:tc>
          <w:tcPr>
            <w:tcW w:w="850" w:type="dxa"/>
          </w:tcPr>
          <w:p w:rsidR="00766368" w:rsidRPr="00D46620" w:rsidRDefault="00766368" w:rsidP="00F30237">
            <w:pPr>
              <w:widowControl w:val="0"/>
              <w:spacing w:after="0" w:line="240" w:lineRule="auto"/>
              <w:jc w:val="right"/>
              <w:cnfStyle w:val="000000000000"/>
              <w:rPr>
                <w:rFonts w:cs="Arial"/>
                <w:bCs/>
                <w:color w:val="auto"/>
                <w:sz w:val="20"/>
                <w:szCs w:val="20"/>
                <w:lang w:eastAsia="en-GB"/>
              </w:rPr>
            </w:pPr>
            <w:r w:rsidRPr="00D46620">
              <w:rPr>
                <w:rFonts w:cs="Arial"/>
                <w:bCs/>
                <w:color w:val="auto"/>
                <w:sz w:val="20"/>
                <w:szCs w:val="20"/>
                <w:lang w:eastAsia="en-GB"/>
              </w:rPr>
              <w:t>42.0</w:t>
            </w:r>
          </w:p>
        </w:tc>
        <w:tc>
          <w:tcPr>
            <w:cnfStyle w:val="000010000000"/>
            <w:tcW w:w="3260" w:type="dxa"/>
            <w:gridSpan w:val="2"/>
            <w:noWrap/>
          </w:tcPr>
          <w:p w:rsidR="00766368" w:rsidRPr="00F30237" w:rsidRDefault="00766368" w:rsidP="00930D15">
            <w:pPr>
              <w:widowControl w:val="0"/>
              <w:spacing w:after="0" w:line="240" w:lineRule="auto"/>
              <w:rPr>
                <w:rFonts w:cs="Arial"/>
                <w:b/>
                <w:bCs/>
                <w:color w:val="auto"/>
                <w:sz w:val="20"/>
                <w:szCs w:val="20"/>
                <w:lang w:eastAsia="en-GB"/>
              </w:rPr>
            </w:pPr>
            <w:r w:rsidRPr="00F30237">
              <w:rPr>
                <w:rFonts w:cs="Arial"/>
                <w:b/>
                <w:bCs/>
                <w:color w:val="auto"/>
                <w:sz w:val="20"/>
                <w:szCs w:val="20"/>
                <w:lang w:eastAsia="en-GB"/>
              </w:rPr>
              <w:t>Other Comprehensive Income and Expenditure</w:t>
            </w:r>
          </w:p>
        </w:tc>
        <w:tc>
          <w:tcPr>
            <w:tcW w:w="709" w:type="dxa"/>
          </w:tcPr>
          <w:p w:rsidR="00766368" w:rsidRPr="00F30237" w:rsidRDefault="00766368" w:rsidP="00930D15">
            <w:pPr>
              <w:widowControl w:val="0"/>
              <w:spacing w:after="0" w:line="240" w:lineRule="auto"/>
              <w:jc w:val="center"/>
              <w:cnfStyle w:val="000000000000"/>
              <w:rPr>
                <w:rFonts w:cs="Arial"/>
                <w:b/>
                <w:bCs/>
                <w:color w:val="auto"/>
                <w:sz w:val="18"/>
                <w:szCs w:val="18"/>
                <w:lang w:eastAsia="en-GB"/>
              </w:rPr>
            </w:pPr>
          </w:p>
        </w:tc>
        <w:tc>
          <w:tcPr>
            <w:cnfStyle w:val="000010000000"/>
            <w:tcW w:w="1134" w:type="dxa"/>
            <w:noWrap/>
          </w:tcPr>
          <w:p w:rsidR="00766368" w:rsidRPr="00F30237" w:rsidRDefault="00766368" w:rsidP="00930D15">
            <w:pPr>
              <w:widowControl w:val="0"/>
              <w:spacing w:after="0" w:line="240" w:lineRule="auto"/>
              <w:jc w:val="right"/>
              <w:rPr>
                <w:rFonts w:cs="Arial"/>
                <w:b/>
                <w:bCs/>
                <w:color w:val="auto"/>
                <w:sz w:val="20"/>
                <w:szCs w:val="20"/>
                <w:lang w:eastAsia="en-GB"/>
              </w:rPr>
            </w:pPr>
          </w:p>
        </w:tc>
        <w:tc>
          <w:tcPr>
            <w:tcW w:w="1276" w:type="dxa"/>
            <w:noWrap/>
          </w:tcPr>
          <w:p w:rsidR="00766368" w:rsidRPr="00F30237" w:rsidRDefault="00766368" w:rsidP="00930D15">
            <w:pPr>
              <w:widowControl w:val="0"/>
              <w:spacing w:after="0" w:line="240" w:lineRule="auto"/>
              <w:jc w:val="right"/>
              <w:cnfStyle w:val="000000000000"/>
              <w:rPr>
                <w:rFonts w:cs="Arial"/>
                <w:b/>
                <w:bCs/>
                <w:color w:val="auto"/>
                <w:sz w:val="20"/>
                <w:szCs w:val="20"/>
                <w:lang w:eastAsia="en-GB"/>
              </w:rPr>
            </w:pPr>
          </w:p>
        </w:tc>
        <w:tc>
          <w:tcPr>
            <w:cnfStyle w:val="000010000000"/>
            <w:tcW w:w="1134" w:type="dxa"/>
            <w:noWrap/>
          </w:tcPr>
          <w:p w:rsidR="00766368" w:rsidRPr="00F30237" w:rsidRDefault="00700280" w:rsidP="00D43F6D">
            <w:pPr>
              <w:widowControl w:val="0"/>
              <w:spacing w:after="0" w:line="240" w:lineRule="auto"/>
              <w:jc w:val="right"/>
              <w:rPr>
                <w:rFonts w:cs="Arial"/>
                <w:b/>
                <w:bCs/>
                <w:color w:val="auto"/>
                <w:sz w:val="20"/>
                <w:szCs w:val="20"/>
                <w:lang w:eastAsia="en-GB"/>
              </w:rPr>
            </w:pPr>
            <w:r>
              <w:rPr>
                <w:rFonts w:cs="Arial"/>
                <w:b/>
                <w:bCs/>
                <w:color w:val="auto"/>
                <w:sz w:val="20"/>
                <w:szCs w:val="20"/>
                <w:lang w:eastAsia="en-GB"/>
              </w:rPr>
              <w:t>(31.1)</w:t>
            </w:r>
          </w:p>
        </w:tc>
      </w:tr>
      <w:tr w:rsidR="00766368" w:rsidRPr="00D42E0B" w:rsidTr="006B666B">
        <w:trPr>
          <w:cnfStyle w:val="000000100000"/>
          <w:trHeight w:val="270"/>
        </w:trPr>
        <w:tc>
          <w:tcPr>
            <w:cnfStyle w:val="001000000000"/>
            <w:tcW w:w="817" w:type="dxa"/>
          </w:tcPr>
          <w:p w:rsidR="00766368" w:rsidRPr="00D46620" w:rsidRDefault="00766368" w:rsidP="00F30237">
            <w:pPr>
              <w:widowControl w:val="0"/>
              <w:spacing w:after="0" w:line="240" w:lineRule="auto"/>
              <w:jc w:val="right"/>
              <w:rPr>
                <w:rFonts w:cs="Arial"/>
                <w:b w:val="0"/>
                <w:bCs w:val="0"/>
                <w:color w:val="auto"/>
                <w:sz w:val="20"/>
                <w:szCs w:val="20"/>
                <w:lang w:eastAsia="en-GB"/>
              </w:rPr>
            </w:pPr>
          </w:p>
        </w:tc>
        <w:tc>
          <w:tcPr>
            <w:cnfStyle w:val="000010000000"/>
            <w:tcW w:w="851" w:type="dxa"/>
          </w:tcPr>
          <w:p w:rsidR="00766368" w:rsidRPr="00D46620" w:rsidRDefault="00766368" w:rsidP="00F30237">
            <w:pPr>
              <w:widowControl w:val="0"/>
              <w:spacing w:after="0" w:line="240" w:lineRule="auto"/>
              <w:jc w:val="right"/>
              <w:rPr>
                <w:rFonts w:cs="Arial"/>
                <w:bCs/>
                <w:color w:val="auto"/>
                <w:sz w:val="20"/>
                <w:szCs w:val="20"/>
                <w:lang w:eastAsia="en-GB"/>
              </w:rPr>
            </w:pPr>
          </w:p>
        </w:tc>
        <w:tc>
          <w:tcPr>
            <w:tcW w:w="850" w:type="dxa"/>
          </w:tcPr>
          <w:p w:rsidR="00766368" w:rsidRPr="00D46620" w:rsidRDefault="00766368" w:rsidP="00F30237">
            <w:pPr>
              <w:widowControl w:val="0"/>
              <w:spacing w:after="0" w:line="240" w:lineRule="auto"/>
              <w:jc w:val="right"/>
              <w:cnfStyle w:val="000000100000"/>
              <w:rPr>
                <w:rFonts w:cs="Arial"/>
                <w:bCs/>
                <w:color w:val="auto"/>
                <w:sz w:val="20"/>
                <w:szCs w:val="20"/>
                <w:lang w:eastAsia="en-GB"/>
              </w:rPr>
            </w:pPr>
            <w:r w:rsidRPr="00D46620">
              <w:rPr>
                <w:rFonts w:cs="Arial"/>
                <w:bCs/>
                <w:color w:val="auto"/>
                <w:sz w:val="20"/>
                <w:szCs w:val="20"/>
                <w:lang w:eastAsia="en-GB"/>
              </w:rPr>
              <w:t>59.1</w:t>
            </w:r>
          </w:p>
        </w:tc>
        <w:tc>
          <w:tcPr>
            <w:cnfStyle w:val="000010000000"/>
            <w:tcW w:w="3260" w:type="dxa"/>
            <w:gridSpan w:val="2"/>
            <w:noWrap/>
          </w:tcPr>
          <w:p w:rsidR="00766368" w:rsidRPr="00F30237" w:rsidRDefault="00766368" w:rsidP="00930D15">
            <w:pPr>
              <w:widowControl w:val="0"/>
              <w:spacing w:after="0" w:line="240" w:lineRule="auto"/>
              <w:rPr>
                <w:rFonts w:cs="Arial"/>
                <w:b/>
                <w:bCs/>
                <w:color w:val="auto"/>
                <w:sz w:val="20"/>
                <w:szCs w:val="20"/>
                <w:lang w:eastAsia="en-GB"/>
              </w:rPr>
            </w:pPr>
            <w:r w:rsidRPr="00F30237">
              <w:rPr>
                <w:rFonts w:cs="Arial"/>
                <w:b/>
                <w:bCs/>
                <w:color w:val="auto"/>
                <w:sz w:val="20"/>
                <w:szCs w:val="20"/>
                <w:lang w:eastAsia="en-GB"/>
              </w:rPr>
              <w:t>Total (Surplus)/Deficit in Comprehensive Income and Expenditure</w:t>
            </w:r>
          </w:p>
        </w:tc>
        <w:tc>
          <w:tcPr>
            <w:tcW w:w="709" w:type="dxa"/>
          </w:tcPr>
          <w:p w:rsidR="00766368" w:rsidRPr="00F30237" w:rsidRDefault="00766368" w:rsidP="00930D15">
            <w:pPr>
              <w:widowControl w:val="0"/>
              <w:spacing w:after="0" w:line="240" w:lineRule="auto"/>
              <w:jc w:val="center"/>
              <w:cnfStyle w:val="000000100000"/>
              <w:rPr>
                <w:rFonts w:cs="Arial"/>
                <w:b/>
                <w:bCs/>
                <w:color w:val="auto"/>
                <w:sz w:val="18"/>
                <w:szCs w:val="18"/>
                <w:lang w:eastAsia="en-GB"/>
              </w:rPr>
            </w:pPr>
          </w:p>
        </w:tc>
        <w:tc>
          <w:tcPr>
            <w:cnfStyle w:val="000010000000"/>
            <w:tcW w:w="1134" w:type="dxa"/>
            <w:noWrap/>
          </w:tcPr>
          <w:p w:rsidR="00766368" w:rsidRPr="00F30237" w:rsidRDefault="00766368" w:rsidP="00930D15">
            <w:pPr>
              <w:widowControl w:val="0"/>
              <w:spacing w:after="0" w:line="240" w:lineRule="auto"/>
              <w:jc w:val="right"/>
              <w:rPr>
                <w:rFonts w:cs="Arial"/>
                <w:b/>
                <w:bCs/>
                <w:color w:val="auto"/>
                <w:sz w:val="20"/>
                <w:szCs w:val="20"/>
                <w:lang w:eastAsia="en-GB"/>
              </w:rPr>
            </w:pPr>
          </w:p>
        </w:tc>
        <w:tc>
          <w:tcPr>
            <w:tcW w:w="1276" w:type="dxa"/>
            <w:noWrap/>
          </w:tcPr>
          <w:p w:rsidR="00766368" w:rsidRPr="00F30237" w:rsidRDefault="00766368" w:rsidP="00930D15">
            <w:pPr>
              <w:widowControl w:val="0"/>
              <w:spacing w:after="0" w:line="240" w:lineRule="auto"/>
              <w:jc w:val="right"/>
              <w:cnfStyle w:val="000000100000"/>
              <w:rPr>
                <w:rFonts w:cs="Arial"/>
                <w:b/>
                <w:bCs/>
                <w:color w:val="auto"/>
                <w:sz w:val="20"/>
                <w:szCs w:val="20"/>
                <w:lang w:eastAsia="en-GB"/>
              </w:rPr>
            </w:pPr>
          </w:p>
        </w:tc>
        <w:tc>
          <w:tcPr>
            <w:cnfStyle w:val="000010000000"/>
            <w:tcW w:w="1134" w:type="dxa"/>
            <w:noWrap/>
          </w:tcPr>
          <w:p w:rsidR="00766368" w:rsidRPr="00F30237" w:rsidRDefault="00700280" w:rsidP="00C452B5">
            <w:pPr>
              <w:widowControl w:val="0"/>
              <w:spacing w:after="0" w:line="240" w:lineRule="auto"/>
              <w:jc w:val="right"/>
              <w:rPr>
                <w:rFonts w:cs="Arial"/>
                <w:b/>
                <w:bCs/>
                <w:color w:val="auto"/>
                <w:sz w:val="20"/>
                <w:szCs w:val="20"/>
                <w:lang w:eastAsia="en-GB"/>
              </w:rPr>
            </w:pPr>
            <w:r>
              <w:rPr>
                <w:rFonts w:cs="Arial"/>
                <w:b/>
                <w:bCs/>
                <w:color w:val="auto"/>
                <w:sz w:val="20"/>
                <w:szCs w:val="20"/>
                <w:lang w:eastAsia="en-GB"/>
              </w:rPr>
              <w:t>(4.</w:t>
            </w:r>
            <w:r w:rsidR="00C452B5">
              <w:rPr>
                <w:rFonts w:cs="Arial"/>
                <w:b/>
                <w:bCs/>
                <w:color w:val="auto"/>
                <w:sz w:val="20"/>
                <w:szCs w:val="20"/>
                <w:lang w:eastAsia="en-GB"/>
              </w:rPr>
              <w:t>7</w:t>
            </w:r>
            <w:r>
              <w:rPr>
                <w:rFonts w:cs="Arial"/>
                <w:b/>
                <w:bCs/>
                <w:color w:val="auto"/>
                <w:sz w:val="20"/>
                <w:szCs w:val="20"/>
                <w:lang w:eastAsia="en-GB"/>
              </w:rPr>
              <w:t>)</w:t>
            </w:r>
          </w:p>
        </w:tc>
      </w:tr>
    </w:tbl>
    <w:p w:rsidR="00E51139" w:rsidRPr="00D42E0B" w:rsidRDefault="00E51139" w:rsidP="003D26D8">
      <w:pPr>
        <w:widowControl w:val="0"/>
        <w:rPr>
          <w:b/>
          <w:color w:val="548DD4" w:themeColor="text2" w:themeTint="99"/>
          <w:sz w:val="20"/>
          <w:szCs w:val="20"/>
        </w:rPr>
      </w:pPr>
    </w:p>
    <w:p w:rsidR="00160354" w:rsidRPr="00D42E0B" w:rsidRDefault="00D02205" w:rsidP="00953889">
      <w:pPr>
        <w:pStyle w:val="Default"/>
        <w:rPr>
          <w:rFonts w:ascii="Arial" w:eastAsia="Arial" w:hAnsi="Arial" w:cs="Arial"/>
          <w:color w:val="548DD4" w:themeColor="text2" w:themeTint="99"/>
          <w:sz w:val="20"/>
          <w:szCs w:val="20"/>
        </w:rPr>
      </w:pPr>
      <w:r w:rsidRPr="00F30237">
        <w:rPr>
          <w:rFonts w:ascii="Arial" w:eastAsia="Arial" w:hAnsi="Arial" w:cs="Arial"/>
          <w:color w:val="auto"/>
          <w:sz w:val="20"/>
          <w:szCs w:val="20"/>
        </w:rPr>
        <w:t>Note *: There is potential for this item within Other Comprehensive Income and Expenditure (OCIE) to also be within</w:t>
      </w:r>
      <w:r w:rsidR="0081088E" w:rsidRPr="00F30237">
        <w:rPr>
          <w:rFonts w:ascii="Arial" w:eastAsia="Arial" w:hAnsi="Arial" w:cs="Arial"/>
          <w:color w:val="auto"/>
          <w:sz w:val="20"/>
          <w:szCs w:val="20"/>
        </w:rPr>
        <w:t xml:space="preserve"> </w:t>
      </w:r>
      <w:r w:rsidRPr="00F30237">
        <w:rPr>
          <w:rFonts w:ascii="Arial" w:eastAsia="Arial" w:hAnsi="Arial" w:cs="Arial"/>
          <w:color w:val="auto"/>
          <w:sz w:val="20"/>
          <w:szCs w:val="20"/>
        </w:rPr>
        <w:t xml:space="preserve">Surplus/Deficit on the Provision of </w:t>
      </w:r>
      <w:r w:rsidR="006121F2" w:rsidRPr="00F30237">
        <w:rPr>
          <w:rFonts w:ascii="Arial" w:eastAsia="Arial" w:hAnsi="Arial" w:cs="Arial"/>
          <w:color w:val="auto"/>
          <w:sz w:val="20"/>
          <w:szCs w:val="20"/>
        </w:rPr>
        <w:t>Services in a subsequent year</w:t>
      </w:r>
      <w:r w:rsidR="006121F2" w:rsidRPr="00D42E0B">
        <w:rPr>
          <w:rFonts w:ascii="Arial" w:eastAsia="Arial" w:hAnsi="Arial" w:cs="Arial"/>
          <w:color w:val="548DD4" w:themeColor="text2" w:themeTint="99"/>
          <w:sz w:val="20"/>
          <w:szCs w:val="20"/>
        </w:rPr>
        <w:t xml:space="preserve">. </w:t>
      </w:r>
    </w:p>
    <w:p w:rsidR="00866FE9" w:rsidRDefault="00866FE9" w:rsidP="00866FE9">
      <w:pPr>
        <w:pStyle w:val="Default"/>
        <w:ind w:left="720"/>
        <w:rPr>
          <w:rFonts w:ascii="Arial" w:eastAsia="Arial" w:hAnsi="Arial" w:cs="Arial"/>
          <w:color w:val="548DD4" w:themeColor="text2" w:themeTint="99"/>
          <w:sz w:val="20"/>
          <w:szCs w:val="20"/>
        </w:rPr>
      </w:pPr>
    </w:p>
    <w:p w:rsidR="006B666B" w:rsidRPr="00D42E0B" w:rsidRDefault="006B666B" w:rsidP="00866FE9">
      <w:pPr>
        <w:pStyle w:val="Default"/>
        <w:ind w:left="720"/>
        <w:rPr>
          <w:rFonts w:ascii="Arial" w:eastAsia="Arial" w:hAnsi="Arial" w:cs="Arial"/>
          <w:color w:val="548DD4" w:themeColor="text2" w:themeTint="99"/>
          <w:sz w:val="20"/>
          <w:szCs w:val="20"/>
        </w:rPr>
      </w:pPr>
    </w:p>
    <w:p w:rsidR="00866FE9" w:rsidRDefault="00866FE9" w:rsidP="00866FE9">
      <w:pPr>
        <w:pStyle w:val="Default"/>
        <w:ind w:left="720"/>
        <w:rPr>
          <w:b/>
          <w:color w:val="548DD4" w:themeColor="text2" w:themeTint="99"/>
        </w:rPr>
      </w:pPr>
    </w:p>
    <w:p w:rsidR="00451936" w:rsidRPr="00D42E0B" w:rsidRDefault="00451936" w:rsidP="00866FE9">
      <w:pPr>
        <w:pStyle w:val="Default"/>
        <w:ind w:left="720"/>
        <w:rPr>
          <w:b/>
          <w:color w:val="548DD4" w:themeColor="text2" w:themeTint="99"/>
        </w:rPr>
      </w:pPr>
    </w:p>
    <w:p w:rsidR="00E51139" w:rsidRPr="00F30237" w:rsidRDefault="00754C03" w:rsidP="003D26D8">
      <w:pPr>
        <w:widowControl w:val="0"/>
        <w:rPr>
          <w:b/>
          <w:color w:val="auto"/>
        </w:rPr>
      </w:pPr>
      <w:r w:rsidRPr="00F30237">
        <w:rPr>
          <w:b/>
          <w:color w:val="auto"/>
        </w:rPr>
        <w:t>B</w:t>
      </w:r>
      <w:r w:rsidR="00E51139" w:rsidRPr="00F30237">
        <w:rPr>
          <w:b/>
          <w:color w:val="auto"/>
        </w:rPr>
        <w:t>alance Sheet</w:t>
      </w:r>
    </w:p>
    <w:p w:rsidR="00E51139" w:rsidRPr="00F30237" w:rsidRDefault="00E51139" w:rsidP="005D1523">
      <w:pPr>
        <w:pStyle w:val="BodyText"/>
        <w:widowControl w:val="0"/>
        <w:ind w:right="-143"/>
        <w:rPr>
          <w:rFonts w:cs="Arial"/>
          <w:color w:val="auto"/>
          <w:sz w:val="20"/>
          <w:szCs w:val="20"/>
        </w:rPr>
      </w:pPr>
      <w:r w:rsidRPr="00F30237">
        <w:rPr>
          <w:rFonts w:cs="Arial"/>
          <w:color w:val="auto"/>
          <w:sz w:val="20"/>
          <w:szCs w:val="20"/>
        </w:rPr>
        <w:t xml:space="preserve">The Balance Sheet shows the value as at the Balance Sheet date of the assets and liabilities recognised by the Council. The Net Assets of the Council, (assets less liabilities), are matched by the reserves held by the Council. </w:t>
      </w:r>
    </w:p>
    <w:p w:rsidR="007E0FBD" w:rsidRPr="00F30237" w:rsidRDefault="00E51139" w:rsidP="005D1523">
      <w:pPr>
        <w:pStyle w:val="BodyText"/>
        <w:widowControl w:val="0"/>
        <w:ind w:right="-143"/>
        <w:rPr>
          <w:rFonts w:cs="Arial"/>
          <w:color w:val="auto"/>
          <w:sz w:val="20"/>
          <w:szCs w:val="20"/>
        </w:rPr>
      </w:pPr>
      <w:r w:rsidRPr="00F30237">
        <w:rPr>
          <w:rFonts w:cs="Arial"/>
          <w:color w:val="auto"/>
          <w:sz w:val="20"/>
          <w:szCs w:val="20"/>
        </w:rPr>
        <w:t>Reserves are reported in two categories. The first category of reserves are usable reserves, i.e. those reserves that the  Council may use to provide services, subject to the need to maintain a prudent level of reserves and any statutory limitations on their use (for example the Capital Receipts Reserve that may only be used to fund capital expenditure or repay debt). The second category of reserves is those that the Council is not able to use to provide services. This category of reserves includes reserves that hold unrealised gains and losses (for example the Revaluation Reserve), where amounts would only become available to provide services if the assets are sold; and reserves that hold timing differences shown in the Movement in Reserves S</w:t>
      </w:r>
      <w:r w:rsidR="00FD69E5" w:rsidRPr="00F30237">
        <w:rPr>
          <w:rFonts w:cs="Arial"/>
          <w:color w:val="auto"/>
          <w:sz w:val="20"/>
          <w:szCs w:val="20"/>
        </w:rPr>
        <w:t>t</w:t>
      </w:r>
      <w:r w:rsidRPr="00F30237">
        <w:rPr>
          <w:rFonts w:cs="Arial"/>
          <w:color w:val="auto"/>
          <w:sz w:val="20"/>
          <w:szCs w:val="20"/>
        </w:rPr>
        <w:t>atement line ‘Adjustments between accounting basis and funding basis under regulations’.</w:t>
      </w:r>
    </w:p>
    <w:tbl>
      <w:tblPr>
        <w:tblStyle w:val="GridTable4-Accent51"/>
        <w:tblW w:w="8931" w:type="dxa"/>
        <w:tblInd w:w="108" w:type="dxa"/>
        <w:tblLayout w:type="fixed"/>
        <w:tblLook w:val="00A0"/>
      </w:tblPr>
      <w:tblGrid>
        <w:gridCol w:w="1701"/>
        <w:gridCol w:w="4395"/>
        <w:gridCol w:w="992"/>
        <w:gridCol w:w="1843"/>
      </w:tblGrid>
      <w:tr w:rsidR="006B666B" w:rsidRPr="00F30237" w:rsidTr="0035317D">
        <w:trPr>
          <w:cnfStyle w:val="100000000000"/>
          <w:trHeight w:hRule="exact" w:val="578"/>
        </w:trPr>
        <w:tc>
          <w:tcPr>
            <w:cnfStyle w:val="001000000000"/>
            <w:tcW w:w="1701" w:type="dxa"/>
            <w:tcBorders>
              <w:top w:val="nil"/>
              <w:bottom w:val="nil"/>
            </w:tcBorders>
          </w:tcPr>
          <w:p w:rsidR="006B666B" w:rsidRPr="006B666B" w:rsidRDefault="006B666B" w:rsidP="006B666B">
            <w:pPr>
              <w:jc w:val="center"/>
              <w:rPr>
                <w:b w:val="0"/>
                <w:bCs w:val="0"/>
                <w:color w:val="auto"/>
              </w:rPr>
            </w:pPr>
            <w:r>
              <w:rPr>
                <w:rFonts w:cs="Arial"/>
                <w:b w:val="0"/>
                <w:bCs w:val="0"/>
                <w:color w:val="auto"/>
                <w:sz w:val="20"/>
                <w:szCs w:val="20"/>
              </w:rPr>
              <w:t xml:space="preserve">31st March </w:t>
            </w:r>
            <w:r w:rsidRPr="006B666B">
              <w:rPr>
                <w:rFonts w:cs="Arial"/>
                <w:b w:val="0"/>
                <w:bCs w:val="0"/>
                <w:color w:val="auto"/>
                <w:sz w:val="20"/>
                <w:szCs w:val="20"/>
              </w:rPr>
              <w:t xml:space="preserve">2015 </w:t>
            </w:r>
          </w:p>
        </w:tc>
        <w:tc>
          <w:tcPr>
            <w:cnfStyle w:val="000010000000"/>
            <w:tcW w:w="4395" w:type="dxa"/>
            <w:tcBorders>
              <w:top w:val="nil"/>
              <w:bottom w:val="nil"/>
            </w:tcBorders>
          </w:tcPr>
          <w:p w:rsidR="006B666B" w:rsidRPr="00F30237" w:rsidRDefault="006B666B" w:rsidP="001742A7">
            <w:pPr>
              <w:rPr>
                <w:b w:val="0"/>
                <w:color w:val="auto"/>
              </w:rPr>
            </w:pPr>
          </w:p>
        </w:tc>
        <w:tc>
          <w:tcPr>
            <w:tcW w:w="992" w:type="dxa"/>
            <w:tcBorders>
              <w:top w:val="nil"/>
              <w:bottom w:val="nil"/>
            </w:tcBorders>
            <w:noWrap/>
          </w:tcPr>
          <w:p w:rsidR="006B666B" w:rsidRPr="00F30237" w:rsidRDefault="006B666B" w:rsidP="00C87AF0">
            <w:pPr>
              <w:widowControl w:val="0"/>
              <w:jc w:val="center"/>
              <w:cnfStyle w:val="100000000000"/>
              <w:rPr>
                <w:rFonts w:cs="Arial"/>
                <w:bCs w:val="0"/>
                <w:color w:val="auto"/>
                <w:sz w:val="20"/>
                <w:szCs w:val="20"/>
              </w:rPr>
            </w:pPr>
          </w:p>
        </w:tc>
        <w:tc>
          <w:tcPr>
            <w:cnfStyle w:val="000010000000"/>
            <w:tcW w:w="1843" w:type="dxa"/>
            <w:tcBorders>
              <w:top w:val="nil"/>
              <w:bottom w:val="nil"/>
              <w:right w:val="nil"/>
            </w:tcBorders>
            <w:noWrap/>
          </w:tcPr>
          <w:p w:rsidR="006B666B" w:rsidRPr="00F30237" w:rsidRDefault="006B666B" w:rsidP="006B666B">
            <w:pPr>
              <w:widowControl w:val="0"/>
              <w:jc w:val="center"/>
              <w:rPr>
                <w:rFonts w:cs="Arial"/>
                <w:bCs w:val="0"/>
                <w:color w:val="auto"/>
                <w:sz w:val="20"/>
                <w:szCs w:val="20"/>
              </w:rPr>
            </w:pPr>
            <w:r w:rsidRPr="00F30237">
              <w:rPr>
                <w:rFonts w:cs="Arial"/>
                <w:bCs w:val="0"/>
                <w:color w:val="auto"/>
                <w:sz w:val="20"/>
                <w:szCs w:val="20"/>
              </w:rPr>
              <w:t>31</w:t>
            </w:r>
            <w:r w:rsidRPr="00F30237">
              <w:rPr>
                <w:rFonts w:cs="Arial"/>
                <w:bCs w:val="0"/>
                <w:color w:val="auto"/>
                <w:sz w:val="20"/>
                <w:szCs w:val="20"/>
                <w:vertAlign w:val="superscript"/>
              </w:rPr>
              <w:t>st</w:t>
            </w:r>
            <w:r w:rsidRPr="00F30237">
              <w:rPr>
                <w:rFonts w:cs="Arial"/>
                <w:bCs w:val="0"/>
                <w:color w:val="auto"/>
                <w:sz w:val="20"/>
                <w:szCs w:val="20"/>
              </w:rPr>
              <w:t xml:space="preserve"> March 2016</w:t>
            </w:r>
          </w:p>
          <w:p w:rsidR="006B666B" w:rsidRPr="00F30237" w:rsidRDefault="006B666B" w:rsidP="003C5E34">
            <w:pPr>
              <w:widowControl w:val="0"/>
              <w:jc w:val="center"/>
              <w:rPr>
                <w:rFonts w:cs="Arial"/>
                <w:bCs w:val="0"/>
                <w:color w:val="auto"/>
                <w:sz w:val="20"/>
                <w:szCs w:val="20"/>
              </w:rPr>
            </w:pPr>
          </w:p>
        </w:tc>
      </w:tr>
      <w:tr w:rsidR="006B666B" w:rsidRPr="00F30237" w:rsidTr="006B666B">
        <w:trPr>
          <w:cnfStyle w:val="000000100000"/>
          <w:trHeight w:hRule="exact" w:val="274"/>
        </w:trPr>
        <w:tc>
          <w:tcPr>
            <w:cnfStyle w:val="001000000000"/>
            <w:tcW w:w="1701" w:type="dxa"/>
            <w:tcBorders>
              <w:top w:val="nil"/>
              <w:left w:val="nil"/>
              <w:bottom w:val="nil"/>
              <w:right w:val="nil"/>
            </w:tcBorders>
            <w:shd w:val="clear" w:color="auto" w:fill="4BACC6" w:themeFill="accent5"/>
          </w:tcPr>
          <w:p w:rsidR="006B666B" w:rsidRPr="006B666B" w:rsidRDefault="006B666B" w:rsidP="00BE000B">
            <w:pPr>
              <w:widowControl w:val="0"/>
              <w:jc w:val="center"/>
              <w:rPr>
                <w:rFonts w:cs="Arial"/>
                <w:b w:val="0"/>
                <w:bCs w:val="0"/>
                <w:color w:val="auto"/>
                <w:sz w:val="20"/>
                <w:szCs w:val="20"/>
              </w:rPr>
            </w:pPr>
            <w:r w:rsidRPr="006B666B">
              <w:rPr>
                <w:rFonts w:cs="Arial"/>
                <w:b w:val="0"/>
                <w:bCs w:val="0"/>
                <w:color w:val="auto"/>
                <w:sz w:val="20"/>
                <w:szCs w:val="20"/>
              </w:rPr>
              <w:t xml:space="preserve">£m </w:t>
            </w:r>
          </w:p>
        </w:tc>
        <w:tc>
          <w:tcPr>
            <w:cnfStyle w:val="000010000000"/>
            <w:tcW w:w="4395" w:type="dxa"/>
            <w:tcBorders>
              <w:top w:val="nil"/>
              <w:left w:val="nil"/>
              <w:bottom w:val="nil"/>
              <w:right w:val="nil"/>
            </w:tcBorders>
            <w:shd w:val="clear" w:color="auto" w:fill="4BACC6" w:themeFill="accent5"/>
            <w:noWrap/>
          </w:tcPr>
          <w:p w:rsidR="006B666B" w:rsidRPr="00F30237" w:rsidRDefault="006B666B" w:rsidP="003C5E34">
            <w:pPr>
              <w:widowControl w:val="0"/>
              <w:ind w:left="80"/>
              <w:rPr>
                <w:rFonts w:cs="Arial"/>
                <w:b/>
                <w:bCs/>
                <w:color w:val="auto"/>
                <w:sz w:val="20"/>
                <w:szCs w:val="20"/>
              </w:rPr>
            </w:pPr>
          </w:p>
        </w:tc>
        <w:tc>
          <w:tcPr>
            <w:tcW w:w="992" w:type="dxa"/>
            <w:tcBorders>
              <w:top w:val="nil"/>
              <w:left w:val="nil"/>
              <w:bottom w:val="nil"/>
              <w:right w:val="nil"/>
            </w:tcBorders>
            <w:shd w:val="clear" w:color="auto" w:fill="4BACC6" w:themeFill="accent5"/>
            <w:noWrap/>
          </w:tcPr>
          <w:p w:rsidR="006B666B" w:rsidRPr="00F30237" w:rsidRDefault="006B666B" w:rsidP="00C87AF0">
            <w:pPr>
              <w:widowControl w:val="0"/>
              <w:jc w:val="center"/>
              <w:cnfStyle w:val="000000100000"/>
              <w:rPr>
                <w:rFonts w:cs="Arial"/>
                <w:bCs/>
                <w:color w:val="auto"/>
                <w:sz w:val="20"/>
                <w:szCs w:val="20"/>
              </w:rPr>
            </w:pPr>
            <w:r w:rsidRPr="00F30237">
              <w:rPr>
                <w:rFonts w:cs="Arial"/>
                <w:bCs/>
                <w:color w:val="auto"/>
                <w:sz w:val="20"/>
                <w:szCs w:val="20"/>
              </w:rPr>
              <w:t>Note</w:t>
            </w:r>
          </w:p>
        </w:tc>
        <w:tc>
          <w:tcPr>
            <w:cnfStyle w:val="000010000000"/>
            <w:tcW w:w="1843" w:type="dxa"/>
            <w:tcBorders>
              <w:top w:val="nil"/>
              <w:left w:val="nil"/>
              <w:bottom w:val="nil"/>
              <w:right w:val="nil"/>
            </w:tcBorders>
            <w:shd w:val="clear" w:color="auto" w:fill="4BACC6" w:themeFill="accent5"/>
            <w:noWrap/>
          </w:tcPr>
          <w:p w:rsidR="006B666B" w:rsidRPr="00F30237" w:rsidRDefault="006B666B" w:rsidP="003C5E34">
            <w:pPr>
              <w:widowControl w:val="0"/>
              <w:jc w:val="center"/>
              <w:rPr>
                <w:rFonts w:cs="Arial"/>
                <w:b/>
                <w:bCs/>
                <w:color w:val="auto"/>
                <w:sz w:val="20"/>
                <w:szCs w:val="20"/>
              </w:rPr>
            </w:pPr>
            <w:r w:rsidRPr="00F30237">
              <w:rPr>
                <w:rFonts w:cs="Arial"/>
                <w:b/>
                <w:bCs/>
                <w:color w:val="auto"/>
                <w:sz w:val="20"/>
                <w:szCs w:val="20"/>
              </w:rPr>
              <w:t>£m</w:t>
            </w:r>
          </w:p>
        </w:tc>
      </w:tr>
      <w:tr w:rsidR="006B666B" w:rsidRPr="00F30237" w:rsidTr="006B666B">
        <w:trPr>
          <w:trHeight w:hRule="exact" w:val="397"/>
        </w:trPr>
        <w:tc>
          <w:tcPr>
            <w:cnfStyle w:val="001000000000"/>
            <w:tcW w:w="1701" w:type="dxa"/>
            <w:tcBorders>
              <w:top w:val="nil"/>
            </w:tcBorders>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275.8</w:t>
            </w:r>
          </w:p>
        </w:tc>
        <w:tc>
          <w:tcPr>
            <w:cnfStyle w:val="000010000000"/>
            <w:tcW w:w="4395" w:type="dxa"/>
            <w:tcBorders>
              <w:top w:val="nil"/>
            </w:tcBorders>
            <w:shd w:val="clear" w:color="auto" w:fill="auto"/>
            <w:noWrap/>
          </w:tcPr>
          <w:p w:rsidR="006B666B" w:rsidRPr="00F30237" w:rsidRDefault="006B666B" w:rsidP="00C917D5">
            <w:pPr>
              <w:widowControl w:val="0"/>
              <w:tabs>
                <w:tab w:val="left" w:pos="3396"/>
              </w:tabs>
              <w:ind w:left="80"/>
              <w:rPr>
                <w:rFonts w:cs="Arial"/>
                <w:color w:val="auto"/>
                <w:sz w:val="20"/>
                <w:szCs w:val="20"/>
              </w:rPr>
            </w:pPr>
            <w:r w:rsidRPr="00F30237">
              <w:rPr>
                <w:rFonts w:cs="Arial"/>
                <w:color w:val="auto"/>
                <w:sz w:val="20"/>
                <w:szCs w:val="20"/>
              </w:rPr>
              <w:t>Property, Plant &amp; Equipment</w:t>
            </w:r>
            <w:r w:rsidRPr="00F30237">
              <w:rPr>
                <w:rFonts w:cs="Arial"/>
                <w:color w:val="auto"/>
                <w:sz w:val="20"/>
                <w:szCs w:val="20"/>
              </w:rPr>
              <w:tab/>
            </w:r>
          </w:p>
        </w:tc>
        <w:tc>
          <w:tcPr>
            <w:tcW w:w="992" w:type="dxa"/>
            <w:tcBorders>
              <w:top w:val="nil"/>
            </w:tcBorders>
            <w:shd w:val="clear" w:color="auto" w:fill="auto"/>
            <w:noWrap/>
          </w:tcPr>
          <w:p w:rsidR="006B666B" w:rsidRPr="00F30237" w:rsidRDefault="006B666B" w:rsidP="00C87AF0">
            <w:pPr>
              <w:widowControl w:val="0"/>
              <w:jc w:val="center"/>
              <w:cnfStyle w:val="000000000000"/>
              <w:rPr>
                <w:rFonts w:cs="Arial"/>
                <w:bCs/>
                <w:color w:val="auto"/>
                <w:sz w:val="20"/>
                <w:szCs w:val="20"/>
              </w:rPr>
            </w:pPr>
            <w:r w:rsidRPr="00F30237">
              <w:rPr>
                <w:rFonts w:cs="Arial"/>
                <w:bCs/>
                <w:color w:val="auto"/>
                <w:sz w:val="20"/>
                <w:szCs w:val="20"/>
              </w:rPr>
              <w:t>11</w:t>
            </w:r>
          </w:p>
        </w:tc>
        <w:tc>
          <w:tcPr>
            <w:cnfStyle w:val="000010000000"/>
            <w:tcW w:w="1843" w:type="dxa"/>
            <w:tcBorders>
              <w:top w:val="nil"/>
            </w:tcBorders>
            <w:shd w:val="clear" w:color="auto" w:fill="auto"/>
            <w:noWrap/>
          </w:tcPr>
          <w:p w:rsidR="006B666B" w:rsidRPr="00711E5C" w:rsidRDefault="002E5BEF" w:rsidP="00711E5C">
            <w:pPr>
              <w:widowControl w:val="0"/>
              <w:jc w:val="center"/>
              <w:rPr>
                <w:rFonts w:cs="Arial"/>
                <w:b/>
                <w:color w:val="auto"/>
                <w:sz w:val="20"/>
                <w:szCs w:val="20"/>
              </w:rPr>
            </w:pPr>
            <w:r w:rsidRPr="00711E5C">
              <w:rPr>
                <w:rFonts w:cs="Arial"/>
                <w:b/>
                <w:color w:val="auto"/>
                <w:sz w:val="20"/>
                <w:szCs w:val="20"/>
              </w:rPr>
              <w:t>30</w:t>
            </w:r>
            <w:r w:rsidR="00711E5C" w:rsidRPr="00711E5C">
              <w:rPr>
                <w:rFonts w:cs="Arial"/>
                <w:b/>
                <w:color w:val="auto"/>
                <w:sz w:val="20"/>
                <w:szCs w:val="20"/>
              </w:rPr>
              <w:t>2.7</w:t>
            </w:r>
          </w:p>
        </w:tc>
      </w:tr>
      <w:tr w:rsidR="006B666B" w:rsidRPr="00F30237" w:rsidTr="006B666B">
        <w:trPr>
          <w:cnfStyle w:val="000000100000"/>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27.4</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Heritage Assets</w:t>
            </w:r>
          </w:p>
        </w:tc>
        <w:tc>
          <w:tcPr>
            <w:tcW w:w="992" w:type="dxa"/>
            <w:shd w:val="clear" w:color="auto" w:fill="auto"/>
            <w:noWrap/>
          </w:tcPr>
          <w:p w:rsidR="006B666B" w:rsidRPr="00F30237" w:rsidRDefault="006B666B" w:rsidP="00C87AF0">
            <w:pPr>
              <w:widowControl w:val="0"/>
              <w:jc w:val="center"/>
              <w:cnfStyle w:val="000000100000"/>
              <w:rPr>
                <w:rFonts w:cs="Arial"/>
                <w:color w:val="auto"/>
                <w:sz w:val="20"/>
                <w:szCs w:val="20"/>
              </w:rPr>
            </w:pPr>
            <w:r w:rsidRPr="00F30237">
              <w:rPr>
                <w:rFonts w:cs="Arial"/>
                <w:color w:val="auto"/>
                <w:sz w:val="20"/>
                <w:szCs w:val="20"/>
              </w:rPr>
              <w:t>12</w:t>
            </w:r>
          </w:p>
        </w:tc>
        <w:tc>
          <w:tcPr>
            <w:cnfStyle w:val="000010000000"/>
            <w:tcW w:w="1843" w:type="dxa"/>
            <w:shd w:val="clear" w:color="auto" w:fill="auto"/>
            <w:noWrap/>
          </w:tcPr>
          <w:p w:rsidR="006B666B" w:rsidRPr="00711E5C" w:rsidRDefault="002E5BEF" w:rsidP="001D622D">
            <w:pPr>
              <w:widowControl w:val="0"/>
              <w:jc w:val="center"/>
              <w:rPr>
                <w:rFonts w:cs="Arial"/>
                <w:b/>
                <w:color w:val="auto"/>
                <w:sz w:val="20"/>
                <w:szCs w:val="20"/>
              </w:rPr>
            </w:pPr>
            <w:r w:rsidRPr="00711E5C">
              <w:rPr>
                <w:rFonts w:cs="Arial"/>
                <w:b/>
                <w:color w:val="auto"/>
                <w:sz w:val="20"/>
                <w:szCs w:val="20"/>
              </w:rPr>
              <w:t>28.4</w:t>
            </w:r>
          </w:p>
        </w:tc>
      </w:tr>
      <w:tr w:rsidR="006B666B" w:rsidRPr="00F30237" w:rsidTr="006B666B">
        <w:trPr>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4.1</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Investment Property</w:t>
            </w:r>
          </w:p>
        </w:tc>
        <w:tc>
          <w:tcPr>
            <w:tcW w:w="992" w:type="dxa"/>
            <w:shd w:val="clear" w:color="auto" w:fill="auto"/>
            <w:noWrap/>
          </w:tcPr>
          <w:p w:rsidR="006B666B" w:rsidRPr="00F30237" w:rsidRDefault="006B666B" w:rsidP="00B44021">
            <w:pPr>
              <w:widowControl w:val="0"/>
              <w:cnfStyle w:val="000000000000"/>
              <w:rPr>
                <w:rFonts w:cs="Arial"/>
                <w:color w:val="auto"/>
                <w:sz w:val="20"/>
                <w:szCs w:val="20"/>
              </w:rPr>
            </w:pPr>
          </w:p>
        </w:tc>
        <w:tc>
          <w:tcPr>
            <w:cnfStyle w:val="000010000000"/>
            <w:tcW w:w="1843" w:type="dxa"/>
            <w:shd w:val="clear" w:color="auto" w:fill="auto"/>
            <w:noWrap/>
          </w:tcPr>
          <w:p w:rsidR="006B666B" w:rsidRPr="00711E5C" w:rsidRDefault="002E5BEF" w:rsidP="001D622D">
            <w:pPr>
              <w:widowControl w:val="0"/>
              <w:jc w:val="center"/>
              <w:rPr>
                <w:rFonts w:cs="Arial"/>
                <w:b/>
                <w:color w:val="auto"/>
                <w:sz w:val="20"/>
                <w:szCs w:val="20"/>
              </w:rPr>
            </w:pPr>
            <w:r w:rsidRPr="00711E5C">
              <w:rPr>
                <w:rFonts w:cs="Arial"/>
                <w:b/>
                <w:color w:val="auto"/>
                <w:sz w:val="20"/>
                <w:szCs w:val="20"/>
              </w:rPr>
              <w:t>4.4</w:t>
            </w:r>
          </w:p>
        </w:tc>
      </w:tr>
      <w:tr w:rsidR="006B666B" w:rsidRPr="00F30237" w:rsidTr="006B666B">
        <w:trPr>
          <w:cnfStyle w:val="000000100000"/>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0.4</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Intangible Assets</w:t>
            </w:r>
          </w:p>
        </w:tc>
        <w:tc>
          <w:tcPr>
            <w:tcW w:w="992" w:type="dxa"/>
            <w:shd w:val="clear" w:color="auto" w:fill="auto"/>
            <w:noWrap/>
          </w:tcPr>
          <w:p w:rsidR="006B666B" w:rsidRPr="00F30237" w:rsidRDefault="006B666B" w:rsidP="00C87AF0">
            <w:pPr>
              <w:widowControl w:val="0"/>
              <w:jc w:val="center"/>
              <w:cnfStyle w:val="000000100000"/>
              <w:rPr>
                <w:rFonts w:cs="Arial"/>
                <w:color w:val="auto"/>
                <w:sz w:val="20"/>
                <w:szCs w:val="20"/>
              </w:rPr>
            </w:pPr>
          </w:p>
        </w:tc>
        <w:tc>
          <w:tcPr>
            <w:cnfStyle w:val="000010000000"/>
            <w:tcW w:w="1843" w:type="dxa"/>
            <w:shd w:val="clear" w:color="auto" w:fill="auto"/>
            <w:noWrap/>
          </w:tcPr>
          <w:p w:rsidR="006B666B" w:rsidRPr="00711E5C" w:rsidRDefault="002E5BEF" w:rsidP="00864504">
            <w:pPr>
              <w:widowControl w:val="0"/>
              <w:jc w:val="center"/>
              <w:rPr>
                <w:rFonts w:cs="Arial"/>
                <w:b/>
                <w:color w:val="auto"/>
                <w:sz w:val="20"/>
                <w:szCs w:val="20"/>
              </w:rPr>
            </w:pPr>
            <w:r w:rsidRPr="00711E5C">
              <w:rPr>
                <w:rFonts w:cs="Arial"/>
                <w:b/>
                <w:color w:val="auto"/>
                <w:sz w:val="20"/>
                <w:szCs w:val="20"/>
              </w:rPr>
              <w:t>0.3</w:t>
            </w:r>
          </w:p>
        </w:tc>
      </w:tr>
      <w:tr w:rsidR="006B666B" w:rsidRPr="00F30237" w:rsidTr="00306CF1">
        <w:trPr>
          <w:trHeight w:hRule="exact" w:val="383"/>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16.1</w:t>
            </w:r>
          </w:p>
        </w:tc>
        <w:tc>
          <w:tcPr>
            <w:cnfStyle w:val="000010000000"/>
            <w:tcW w:w="4395" w:type="dxa"/>
            <w:shd w:val="clear" w:color="auto" w:fill="auto"/>
            <w:noWrap/>
          </w:tcPr>
          <w:p w:rsidR="006B666B" w:rsidRDefault="006B666B" w:rsidP="003C5E34">
            <w:pPr>
              <w:widowControl w:val="0"/>
              <w:ind w:left="80"/>
              <w:rPr>
                <w:rFonts w:cs="Arial"/>
                <w:color w:val="auto"/>
                <w:sz w:val="20"/>
                <w:szCs w:val="20"/>
              </w:rPr>
            </w:pPr>
            <w:r w:rsidRPr="00F30237">
              <w:rPr>
                <w:rFonts w:cs="Arial"/>
                <w:color w:val="auto"/>
                <w:sz w:val="20"/>
                <w:szCs w:val="20"/>
              </w:rPr>
              <w:t>Long Term Investments</w:t>
            </w:r>
          </w:p>
          <w:p w:rsidR="00306CF1" w:rsidRPr="00F30237" w:rsidRDefault="00306CF1" w:rsidP="00306CF1">
            <w:pPr>
              <w:widowControl w:val="0"/>
              <w:rPr>
                <w:rFonts w:cs="Arial"/>
                <w:color w:val="auto"/>
                <w:sz w:val="20"/>
                <w:szCs w:val="20"/>
              </w:rPr>
            </w:pPr>
          </w:p>
        </w:tc>
        <w:tc>
          <w:tcPr>
            <w:tcW w:w="992" w:type="dxa"/>
            <w:shd w:val="clear" w:color="auto" w:fill="auto"/>
            <w:noWrap/>
          </w:tcPr>
          <w:p w:rsidR="006B666B" w:rsidRPr="00F30237" w:rsidRDefault="006B666B" w:rsidP="00B44021">
            <w:pPr>
              <w:widowControl w:val="0"/>
              <w:jc w:val="center"/>
              <w:cnfStyle w:val="000000000000"/>
              <w:rPr>
                <w:rFonts w:cs="Arial"/>
                <w:color w:val="auto"/>
                <w:sz w:val="20"/>
                <w:szCs w:val="20"/>
              </w:rPr>
            </w:pPr>
            <w:r w:rsidRPr="00F30237">
              <w:rPr>
                <w:rFonts w:cs="Arial"/>
                <w:color w:val="auto"/>
                <w:sz w:val="20"/>
                <w:szCs w:val="20"/>
              </w:rPr>
              <w:t>15</w:t>
            </w:r>
          </w:p>
        </w:tc>
        <w:tc>
          <w:tcPr>
            <w:cnfStyle w:val="000010000000"/>
            <w:tcW w:w="1843" w:type="dxa"/>
            <w:shd w:val="clear" w:color="auto" w:fill="auto"/>
            <w:noWrap/>
          </w:tcPr>
          <w:p w:rsidR="006B666B" w:rsidRPr="00711E5C" w:rsidRDefault="002E5BEF" w:rsidP="003815BA">
            <w:pPr>
              <w:widowControl w:val="0"/>
              <w:jc w:val="center"/>
              <w:rPr>
                <w:rFonts w:cs="Arial"/>
                <w:b/>
                <w:color w:val="auto"/>
                <w:sz w:val="20"/>
                <w:szCs w:val="20"/>
              </w:rPr>
            </w:pPr>
            <w:r w:rsidRPr="00711E5C">
              <w:rPr>
                <w:rFonts w:cs="Arial"/>
                <w:b/>
                <w:color w:val="auto"/>
                <w:sz w:val="20"/>
                <w:szCs w:val="20"/>
              </w:rPr>
              <w:t>9.4</w:t>
            </w:r>
          </w:p>
        </w:tc>
      </w:tr>
      <w:tr w:rsidR="006B666B" w:rsidRPr="00F30237" w:rsidTr="006B666B">
        <w:trPr>
          <w:cnfStyle w:val="000000100000"/>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3.1</w:t>
            </w:r>
          </w:p>
        </w:tc>
        <w:tc>
          <w:tcPr>
            <w:cnfStyle w:val="000010000000"/>
            <w:tcW w:w="4395" w:type="dxa"/>
            <w:shd w:val="clear" w:color="auto" w:fill="auto"/>
            <w:noWrap/>
          </w:tcPr>
          <w:p w:rsidR="006B666B" w:rsidRPr="00F30237" w:rsidRDefault="00102D86" w:rsidP="00306CF1">
            <w:pPr>
              <w:widowControl w:val="0"/>
              <w:ind w:left="80"/>
              <w:rPr>
                <w:rFonts w:cs="Arial"/>
                <w:color w:val="auto"/>
                <w:sz w:val="20"/>
                <w:szCs w:val="20"/>
              </w:rPr>
            </w:pPr>
            <w:r>
              <w:rPr>
                <w:rFonts w:cs="Arial"/>
                <w:color w:val="auto"/>
                <w:sz w:val="20"/>
                <w:szCs w:val="20"/>
              </w:rPr>
              <w:t>Long Term</w:t>
            </w:r>
            <w:r w:rsidR="00306CF1">
              <w:rPr>
                <w:rFonts w:cs="Arial"/>
                <w:color w:val="auto"/>
                <w:sz w:val="20"/>
                <w:szCs w:val="20"/>
              </w:rPr>
              <w:t xml:space="preserve"> </w:t>
            </w:r>
            <w:r w:rsidR="006B666B" w:rsidRPr="00F30237">
              <w:rPr>
                <w:rFonts w:cs="Arial"/>
                <w:color w:val="auto"/>
                <w:sz w:val="20"/>
                <w:szCs w:val="20"/>
              </w:rPr>
              <w:t>Debtors</w:t>
            </w:r>
            <w:r w:rsidR="00306CF1">
              <w:rPr>
                <w:rFonts w:cs="Arial"/>
                <w:color w:val="auto"/>
                <w:sz w:val="20"/>
                <w:szCs w:val="20"/>
              </w:rPr>
              <w:t xml:space="preserve"> </w:t>
            </w:r>
          </w:p>
        </w:tc>
        <w:tc>
          <w:tcPr>
            <w:tcW w:w="992" w:type="dxa"/>
            <w:shd w:val="clear" w:color="auto" w:fill="auto"/>
            <w:noWrap/>
          </w:tcPr>
          <w:p w:rsidR="006B666B" w:rsidRPr="00F30237" w:rsidRDefault="006B666B" w:rsidP="00B44021">
            <w:pPr>
              <w:widowControl w:val="0"/>
              <w:jc w:val="center"/>
              <w:cnfStyle w:val="000000100000"/>
              <w:rPr>
                <w:rFonts w:cs="Arial"/>
                <w:color w:val="auto"/>
                <w:sz w:val="20"/>
                <w:szCs w:val="20"/>
              </w:rPr>
            </w:pPr>
          </w:p>
        </w:tc>
        <w:tc>
          <w:tcPr>
            <w:cnfStyle w:val="000010000000"/>
            <w:tcW w:w="1843" w:type="dxa"/>
            <w:shd w:val="clear" w:color="auto" w:fill="auto"/>
            <w:noWrap/>
          </w:tcPr>
          <w:p w:rsidR="006B666B" w:rsidRPr="00711E5C" w:rsidRDefault="00286DE2" w:rsidP="00725BF8">
            <w:pPr>
              <w:widowControl w:val="0"/>
              <w:jc w:val="center"/>
              <w:rPr>
                <w:rFonts w:cs="Arial"/>
                <w:b/>
                <w:color w:val="auto"/>
                <w:sz w:val="20"/>
                <w:szCs w:val="20"/>
              </w:rPr>
            </w:pPr>
            <w:r>
              <w:rPr>
                <w:rFonts w:cs="Arial"/>
                <w:b/>
                <w:color w:val="auto"/>
                <w:sz w:val="20"/>
                <w:szCs w:val="20"/>
              </w:rPr>
              <w:t>6.1</w:t>
            </w:r>
          </w:p>
        </w:tc>
      </w:tr>
      <w:tr w:rsidR="006B666B" w:rsidRPr="00F30237" w:rsidTr="006B666B">
        <w:trPr>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bCs w:val="0"/>
                <w:color w:val="auto"/>
                <w:sz w:val="20"/>
                <w:szCs w:val="20"/>
              </w:rPr>
            </w:pPr>
            <w:r w:rsidRPr="006B666B">
              <w:rPr>
                <w:rFonts w:cs="Arial"/>
                <w:b w:val="0"/>
                <w:bCs w:val="0"/>
                <w:color w:val="auto"/>
                <w:sz w:val="20"/>
                <w:szCs w:val="20"/>
              </w:rPr>
              <w:t>326.9</w:t>
            </w:r>
          </w:p>
        </w:tc>
        <w:tc>
          <w:tcPr>
            <w:cnfStyle w:val="000010000000"/>
            <w:tcW w:w="4395" w:type="dxa"/>
            <w:shd w:val="clear" w:color="auto" w:fill="auto"/>
            <w:noWrap/>
          </w:tcPr>
          <w:p w:rsidR="006B666B" w:rsidRPr="00F30237" w:rsidRDefault="00306CF1" w:rsidP="00306CF1">
            <w:pPr>
              <w:widowControl w:val="0"/>
              <w:ind w:left="80"/>
              <w:rPr>
                <w:rFonts w:cs="Arial"/>
                <w:b/>
                <w:bCs/>
                <w:color w:val="auto"/>
                <w:sz w:val="20"/>
                <w:szCs w:val="20"/>
              </w:rPr>
            </w:pPr>
            <w:r>
              <w:rPr>
                <w:rFonts w:cs="Arial"/>
                <w:b/>
                <w:bCs/>
                <w:color w:val="auto"/>
                <w:sz w:val="20"/>
                <w:szCs w:val="20"/>
              </w:rPr>
              <w:t>Long Term</w:t>
            </w:r>
            <w:r w:rsidRPr="00F30237">
              <w:rPr>
                <w:rFonts w:cs="Arial"/>
                <w:b/>
                <w:bCs/>
                <w:color w:val="auto"/>
                <w:sz w:val="20"/>
                <w:szCs w:val="20"/>
              </w:rPr>
              <w:t xml:space="preserve"> </w:t>
            </w:r>
            <w:r>
              <w:rPr>
                <w:rFonts w:cs="Arial"/>
                <w:b/>
                <w:bCs/>
                <w:color w:val="auto"/>
                <w:sz w:val="20"/>
                <w:szCs w:val="20"/>
              </w:rPr>
              <w:t>(</w:t>
            </w:r>
            <w:r w:rsidR="006B666B" w:rsidRPr="00F30237">
              <w:rPr>
                <w:rFonts w:cs="Arial"/>
                <w:b/>
                <w:bCs/>
                <w:color w:val="auto"/>
                <w:sz w:val="20"/>
                <w:szCs w:val="20"/>
              </w:rPr>
              <w:t>Non Current</w:t>
            </w:r>
            <w:r>
              <w:rPr>
                <w:rFonts w:cs="Arial"/>
                <w:b/>
                <w:bCs/>
                <w:color w:val="auto"/>
                <w:sz w:val="20"/>
                <w:szCs w:val="20"/>
              </w:rPr>
              <w:t>)</w:t>
            </w:r>
            <w:r w:rsidR="006B666B" w:rsidRPr="00F30237">
              <w:rPr>
                <w:rFonts w:cs="Arial"/>
                <w:b/>
                <w:bCs/>
                <w:color w:val="auto"/>
                <w:sz w:val="20"/>
                <w:szCs w:val="20"/>
              </w:rPr>
              <w:t xml:space="preserve"> Assets</w:t>
            </w:r>
          </w:p>
        </w:tc>
        <w:tc>
          <w:tcPr>
            <w:tcW w:w="992" w:type="dxa"/>
            <w:shd w:val="clear" w:color="auto" w:fill="auto"/>
            <w:noWrap/>
          </w:tcPr>
          <w:p w:rsidR="006B666B" w:rsidRPr="00F30237" w:rsidRDefault="006B666B" w:rsidP="00C87AF0">
            <w:pPr>
              <w:widowControl w:val="0"/>
              <w:jc w:val="center"/>
              <w:cnfStyle w:val="000000000000"/>
              <w:rPr>
                <w:rFonts w:cs="Arial"/>
                <w:bCs/>
                <w:color w:val="auto"/>
                <w:sz w:val="20"/>
                <w:szCs w:val="20"/>
              </w:rPr>
            </w:pPr>
          </w:p>
        </w:tc>
        <w:tc>
          <w:tcPr>
            <w:cnfStyle w:val="000010000000"/>
            <w:tcW w:w="1843" w:type="dxa"/>
            <w:shd w:val="clear" w:color="auto" w:fill="auto"/>
            <w:noWrap/>
          </w:tcPr>
          <w:p w:rsidR="006B666B" w:rsidRPr="00711E5C" w:rsidRDefault="002E5BEF" w:rsidP="00286DE2">
            <w:pPr>
              <w:widowControl w:val="0"/>
              <w:jc w:val="center"/>
              <w:rPr>
                <w:rFonts w:cs="Arial"/>
                <w:b/>
                <w:bCs/>
                <w:color w:val="auto"/>
                <w:sz w:val="20"/>
                <w:szCs w:val="20"/>
              </w:rPr>
            </w:pPr>
            <w:r w:rsidRPr="00711E5C">
              <w:rPr>
                <w:rFonts w:cs="Arial"/>
                <w:b/>
                <w:bCs/>
                <w:color w:val="auto"/>
                <w:sz w:val="20"/>
                <w:szCs w:val="20"/>
              </w:rPr>
              <w:t>35</w:t>
            </w:r>
            <w:r w:rsidR="00286DE2">
              <w:rPr>
                <w:rFonts w:cs="Arial"/>
                <w:b/>
                <w:bCs/>
                <w:color w:val="auto"/>
                <w:sz w:val="20"/>
                <w:szCs w:val="20"/>
              </w:rPr>
              <w:t>1.3</w:t>
            </w:r>
          </w:p>
        </w:tc>
      </w:tr>
      <w:tr w:rsidR="006B666B" w:rsidRPr="00F30237" w:rsidTr="006B666B">
        <w:trPr>
          <w:cnfStyle w:val="000000100000"/>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54.3</w:t>
            </w:r>
          </w:p>
        </w:tc>
        <w:tc>
          <w:tcPr>
            <w:cnfStyle w:val="000010000000"/>
            <w:tcW w:w="4395" w:type="dxa"/>
            <w:shd w:val="clear" w:color="auto" w:fill="auto"/>
            <w:noWrap/>
          </w:tcPr>
          <w:p w:rsidR="006B666B" w:rsidRPr="00F30237" w:rsidRDefault="006B666B" w:rsidP="00102D86">
            <w:pPr>
              <w:widowControl w:val="0"/>
              <w:ind w:left="80"/>
              <w:rPr>
                <w:rFonts w:cs="Arial"/>
                <w:color w:val="auto"/>
                <w:sz w:val="20"/>
                <w:szCs w:val="20"/>
              </w:rPr>
            </w:pPr>
            <w:r w:rsidRPr="00F30237">
              <w:rPr>
                <w:rFonts w:cs="Arial"/>
                <w:color w:val="auto"/>
                <w:sz w:val="20"/>
                <w:szCs w:val="20"/>
              </w:rPr>
              <w:t>Short Term Investments</w:t>
            </w:r>
          </w:p>
        </w:tc>
        <w:tc>
          <w:tcPr>
            <w:tcW w:w="992" w:type="dxa"/>
            <w:shd w:val="clear" w:color="auto" w:fill="auto"/>
            <w:noWrap/>
          </w:tcPr>
          <w:p w:rsidR="006B666B" w:rsidRPr="00F30237" w:rsidRDefault="006B666B" w:rsidP="00B44021">
            <w:pPr>
              <w:widowControl w:val="0"/>
              <w:jc w:val="center"/>
              <w:cnfStyle w:val="000000100000"/>
              <w:rPr>
                <w:rFonts w:cs="Arial"/>
                <w:color w:val="auto"/>
                <w:sz w:val="20"/>
                <w:szCs w:val="20"/>
              </w:rPr>
            </w:pPr>
            <w:r w:rsidRPr="00F30237">
              <w:rPr>
                <w:rFonts w:cs="Arial"/>
                <w:color w:val="auto"/>
                <w:sz w:val="20"/>
                <w:szCs w:val="20"/>
              </w:rPr>
              <w:t>15</w:t>
            </w:r>
          </w:p>
        </w:tc>
        <w:tc>
          <w:tcPr>
            <w:cnfStyle w:val="000010000000"/>
            <w:tcW w:w="1843" w:type="dxa"/>
            <w:shd w:val="clear" w:color="auto" w:fill="auto"/>
            <w:noWrap/>
          </w:tcPr>
          <w:p w:rsidR="006B666B" w:rsidRPr="00711E5C" w:rsidRDefault="002E5BEF" w:rsidP="005F3E41">
            <w:pPr>
              <w:widowControl w:val="0"/>
              <w:jc w:val="center"/>
              <w:rPr>
                <w:rFonts w:cs="Arial"/>
                <w:b/>
                <w:color w:val="auto"/>
                <w:sz w:val="20"/>
                <w:szCs w:val="20"/>
              </w:rPr>
            </w:pPr>
            <w:r w:rsidRPr="00711E5C">
              <w:rPr>
                <w:rFonts w:cs="Arial"/>
                <w:b/>
                <w:color w:val="auto"/>
                <w:sz w:val="20"/>
                <w:szCs w:val="20"/>
              </w:rPr>
              <w:t>47.9</w:t>
            </w:r>
          </w:p>
        </w:tc>
      </w:tr>
      <w:tr w:rsidR="006B666B" w:rsidRPr="00F30237" w:rsidTr="006B666B">
        <w:trPr>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1.1</w:t>
            </w:r>
          </w:p>
        </w:tc>
        <w:tc>
          <w:tcPr>
            <w:cnfStyle w:val="000010000000"/>
            <w:tcW w:w="4395" w:type="dxa"/>
            <w:shd w:val="clear" w:color="auto" w:fill="auto"/>
            <w:noWrap/>
          </w:tcPr>
          <w:p w:rsidR="006B666B" w:rsidRPr="00F30237" w:rsidRDefault="006B666B" w:rsidP="0054659B">
            <w:pPr>
              <w:widowControl w:val="0"/>
              <w:ind w:left="80"/>
              <w:rPr>
                <w:rFonts w:cs="Arial"/>
                <w:color w:val="auto"/>
                <w:sz w:val="20"/>
                <w:szCs w:val="20"/>
              </w:rPr>
            </w:pPr>
            <w:r w:rsidRPr="00F30237">
              <w:rPr>
                <w:rFonts w:cs="Arial"/>
                <w:color w:val="auto"/>
                <w:sz w:val="20"/>
                <w:szCs w:val="20"/>
              </w:rPr>
              <w:t>Assets Held for Sale</w:t>
            </w:r>
          </w:p>
        </w:tc>
        <w:tc>
          <w:tcPr>
            <w:tcW w:w="992" w:type="dxa"/>
            <w:shd w:val="clear" w:color="auto" w:fill="auto"/>
            <w:noWrap/>
          </w:tcPr>
          <w:p w:rsidR="006B666B" w:rsidRPr="00F30237" w:rsidRDefault="006B666B" w:rsidP="0054659B">
            <w:pPr>
              <w:widowControl w:val="0"/>
              <w:jc w:val="center"/>
              <w:cnfStyle w:val="000000000000"/>
              <w:rPr>
                <w:rFonts w:cs="Arial"/>
                <w:color w:val="auto"/>
                <w:sz w:val="20"/>
                <w:szCs w:val="20"/>
              </w:rPr>
            </w:pPr>
          </w:p>
        </w:tc>
        <w:tc>
          <w:tcPr>
            <w:cnfStyle w:val="000010000000"/>
            <w:tcW w:w="1843" w:type="dxa"/>
            <w:shd w:val="clear" w:color="auto" w:fill="auto"/>
            <w:noWrap/>
          </w:tcPr>
          <w:p w:rsidR="006B666B" w:rsidRPr="00711E5C" w:rsidRDefault="002E5BEF" w:rsidP="00A51CC7">
            <w:pPr>
              <w:widowControl w:val="0"/>
              <w:jc w:val="center"/>
              <w:rPr>
                <w:rFonts w:cs="Arial"/>
                <w:b/>
                <w:color w:val="auto"/>
                <w:sz w:val="20"/>
                <w:szCs w:val="20"/>
              </w:rPr>
            </w:pPr>
            <w:r w:rsidRPr="00711E5C">
              <w:rPr>
                <w:rFonts w:cs="Arial"/>
                <w:b/>
                <w:color w:val="auto"/>
                <w:sz w:val="20"/>
                <w:szCs w:val="20"/>
              </w:rPr>
              <w:t>1.2</w:t>
            </w:r>
          </w:p>
        </w:tc>
      </w:tr>
      <w:tr w:rsidR="006B666B" w:rsidRPr="00F30237" w:rsidTr="006B666B">
        <w:trPr>
          <w:cnfStyle w:val="000000100000"/>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0.1</w:t>
            </w:r>
          </w:p>
        </w:tc>
        <w:tc>
          <w:tcPr>
            <w:cnfStyle w:val="000010000000"/>
            <w:tcW w:w="4395" w:type="dxa"/>
            <w:shd w:val="clear" w:color="auto" w:fill="auto"/>
            <w:noWrap/>
          </w:tcPr>
          <w:p w:rsidR="006B666B" w:rsidRPr="00F30237" w:rsidRDefault="006B666B" w:rsidP="0054659B">
            <w:pPr>
              <w:widowControl w:val="0"/>
              <w:ind w:left="80"/>
              <w:rPr>
                <w:rFonts w:cs="Arial"/>
                <w:color w:val="auto"/>
                <w:sz w:val="20"/>
                <w:szCs w:val="20"/>
              </w:rPr>
            </w:pPr>
            <w:r w:rsidRPr="00F30237">
              <w:rPr>
                <w:rFonts w:cs="Arial"/>
                <w:color w:val="auto"/>
                <w:sz w:val="20"/>
                <w:szCs w:val="20"/>
              </w:rPr>
              <w:t>Inventories</w:t>
            </w:r>
          </w:p>
        </w:tc>
        <w:tc>
          <w:tcPr>
            <w:tcW w:w="992" w:type="dxa"/>
            <w:shd w:val="clear" w:color="auto" w:fill="auto"/>
            <w:noWrap/>
          </w:tcPr>
          <w:p w:rsidR="006B666B" w:rsidRPr="00F30237" w:rsidRDefault="006B666B" w:rsidP="00C87AF0">
            <w:pPr>
              <w:widowControl w:val="0"/>
              <w:jc w:val="center"/>
              <w:cnfStyle w:val="000000100000"/>
              <w:rPr>
                <w:rFonts w:cs="Arial"/>
                <w:color w:val="auto"/>
                <w:sz w:val="20"/>
                <w:szCs w:val="20"/>
              </w:rPr>
            </w:pPr>
          </w:p>
        </w:tc>
        <w:tc>
          <w:tcPr>
            <w:cnfStyle w:val="000010000000"/>
            <w:tcW w:w="1843" w:type="dxa"/>
            <w:shd w:val="clear" w:color="auto" w:fill="auto"/>
            <w:noWrap/>
          </w:tcPr>
          <w:p w:rsidR="006B666B" w:rsidRPr="00711E5C" w:rsidRDefault="002E5BEF" w:rsidP="00872BB8">
            <w:pPr>
              <w:widowControl w:val="0"/>
              <w:jc w:val="center"/>
              <w:rPr>
                <w:rFonts w:cs="Arial"/>
                <w:b/>
                <w:color w:val="auto"/>
                <w:sz w:val="20"/>
                <w:szCs w:val="20"/>
              </w:rPr>
            </w:pPr>
            <w:r w:rsidRPr="00711E5C">
              <w:rPr>
                <w:rFonts w:cs="Arial"/>
                <w:b/>
                <w:color w:val="auto"/>
                <w:sz w:val="20"/>
                <w:szCs w:val="20"/>
              </w:rPr>
              <w:t>0.1</w:t>
            </w:r>
          </w:p>
        </w:tc>
      </w:tr>
      <w:tr w:rsidR="006B666B" w:rsidRPr="00F30237" w:rsidTr="006B666B">
        <w:trPr>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17.5</w:t>
            </w:r>
          </w:p>
        </w:tc>
        <w:tc>
          <w:tcPr>
            <w:cnfStyle w:val="000010000000"/>
            <w:tcW w:w="4395" w:type="dxa"/>
            <w:shd w:val="clear" w:color="auto" w:fill="auto"/>
            <w:noWrap/>
          </w:tcPr>
          <w:p w:rsidR="006B666B" w:rsidRPr="00F30237" w:rsidRDefault="006B666B" w:rsidP="00102D86">
            <w:pPr>
              <w:widowControl w:val="0"/>
              <w:ind w:left="80"/>
              <w:rPr>
                <w:rFonts w:cs="Arial"/>
                <w:color w:val="auto"/>
                <w:sz w:val="20"/>
                <w:szCs w:val="20"/>
              </w:rPr>
            </w:pPr>
            <w:r w:rsidRPr="00F30237">
              <w:rPr>
                <w:rFonts w:cs="Arial"/>
                <w:color w:val="auto"/>
                <w:sz w:val="20"/>
                <w:szCs w:val="20"/>
              </w:rPr>
              <w:t>Short Term Debtors</w:t>
            </w:r>
          </w:p>
        </w:tc>
        <w:tc>
          <w:tcPr>
            <w:tcW w:w="992" w:type="dxa"/>
            <w:shd w:val="clear" w:color="auto" w:fill="auto"/>
            <w:noWrap/>
          </w:tcPr>
          <w:p w:rsidR="006B666B" w:rsidRPr="00F30237" w:rsidRDefault="006B666B" w:rsidP="00B44021">
            <w:pPr>
              <w:widowControl w:val="0"/>
              <w:jc w:val="center"/>
              <w:cnfStyle w:val="000000000000"/>
              <w:rPr>
                <w:rFonts w:cs="Arial"/>
                <w:color w:val="auto"/>
                <w:sz w:val="20"/>
                <w:szCs w:val="20"/>
              </w:rPr>
            </w:pPr>
            <w:r w:rsidRPr="00F30237">
              <w:rPr>
                <w:rFonts w:cs="Arial"/>
                <w:color w:val="auto"/>
                <w:sz w:val="20"/>
                <w:szCs w:val="20"/>
              </w:rPr>
              <w:t>16</w:t>
            </w:r>
          </w:p>
        </w:tc>
        <w:tc>
          <w:tcPr>
            <w:cnfStyle w:val="000010000000"/>
            <w:tcW w:w="1843" w:type="dxa"/>
            <w:shd w:val="clear" w:color="auto" w:fill="auto"/>
            <w:noWrap/>
          </w:tcPr>
          <w:p w:rsidR="006B666B" w:rsidRPr="00711E5C" w:rsidRDefault="002E5BEF" w:rsidP="00286DE2">
            <w:pPr>
              <w:widowControl w:val="0"/>
              <w:jc w:val="center"/>
              <w:rPr>
                <w:rFonts w:cs="Arial"/>
                <w:b/>
                <w:color w:val="auto"/>
                <w:sz w:val="20"/>
                <w:szCs w:val="20"/>
              </w:rPr>
            </w:pPr>
            <w:r w:rsidRPr="00711E5C">
              <w:rPr>
                <w:rFonts w:cs="Arial"/>
                <w:b/>
                <w:color w:val="auto"/>
                <w:sz w:val="20"/>
                <w:szCs w:val="20"/>
              </w:rPr>
              <w:t>18.</w:t>
            </w:r>
            <w:r w:rsidR="00286DE2">
              <w:rPr>
                <w:rFonts w:cs="Arial"/>
                <w:b/>
                <w:color w:val="auto"/>
                <w:sz w:val="20"/>
                <w:szCs w:val="20"/>
              </w:rPr>
              <w:t>1</w:t>
            </w:r>
          </w:p>
        </w:tc>
      </w:tr>
      <w:tr w:rsidR="006B666B" w:rsidRPr="00F30237" w:rsidTr="006B666B">
        <w:trPr>
          <w:cnfStyle w:val="000000100000"/>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2.5</w:t>
            </w:r>
          </w:p>
        </w:tc>
        <w:tc>
          <w:tcPr>
            <w:cnfStyle w:val="000010000000"/>
            <w:tcW w:w="4395" w:type="dxa"/>
            <w:shd w:val="clear" w:color="auto" w:fill="auto"/>
            <w:noWrap/>
          </w:tcPr>
          <w:p w:rsidR="006B666B" w:rsidRPr="00F30237" w:rsidRDefault="006B666B" w:rsidP="0054659B">
            <w:pPr>
              <w:widowControl w:val="0"/>
              <w:ind w:left="80"/>
              <w:rPr>
                <w:rFonts w:cs="Arial"/>
                <w:color w:val="auto"/>
                <w:sz w:val="20"/>
                <w:szCs w:val="20"/>
              </w:rPr>
            </w:pPr>
            <w:r w:rsidRPr="00F30237">
              <w:rPr>
                <w:rFonts w:cs="Arial"/>
                <w:color w:val="auto"/>
                <w:sz w:val="20"/>
                <w:szCs w:val="20"/>
              </w:rPr>
              <w:t>Cash and Cash Equivalents</w:t>
            </w:r>
          </w:p>
        </w:tc>
        <w:tc>
          <w:tcPr>
            <w:tcW w:w="992" w:type="dxa"/>
            <w:shd w:val="clear" w:color="auto" w:fill="auto"/>
            <w:noWrap/>
          </w:tcPr>
          <w:p w:rsidR="006B666B" w:rsidRPr="00F30237" w:rsidRDefault="006B666B" w:rsidP="00B44021">
            <w:pPr>
              <w:widowControl w:val="0"/>
              <w:jc w:val="center"/>
              <w:cnfStyle w:val="000000100000"/>
              <w:rPr>
                <w:rFonts w:cs="Arial"/>
                <w:color w:val="auto"/>
                <w:sz w:val="20"/>
                <w:szCs w:val="20"/>
              </w:rPr>
            </w:pPr>
            <w:r w:rsidRPr="00F30237">
              <w:rPr>
                <w:rFonts w:cs="Arial"/>
                <w:color w:val="auto"/>
                <w:sz w:val="20"/>
                <w:szCs w:val="20"/>
              </w:rPr>
              <w:t>17</w:t>
            </w:r>
          </w:p>
        </w:tc>
        <w:tc>
          <w:tcPr>
            <w:cnfStyle w:val="000010000000"/>
            <w:tcW w:w="1843" w:type="dxa"/>
            <w:shd w:val="clear" w:color="auto" w:fill="auto"/>
            <w:noWrap/>
          </w:tcPr>
          <w:p w:rsidR="006B666B" w:rsidRPr="00711E5C" w:rsidRDefault="002E5BEF" w:rsidP="00CE75FC">
            <w:pPr>
              <w:widowControl w:val="0"/>
              <w:jc w:val="center"/>
              <w:rPr>
                <w:rFonts w:cs="Arial"/>
                <w:b/>
                <w:color w:val="auto"/>
                <w:sz w:val="20"/>
                <w:szCs w:val="20"/>
              </w:rPr>
            </w:pPr>
            <w:r w:rsidRPr="00711E5C">
              <w:rPr>
                <w:rFonts w:cs="Arial"/>
                <w:b/>
                <w:color w:val="auto"/>
                <w:sz w:val="20"/>
                <w:szCs w:val="20"/>
              </w:rPr>
              <w:t>2.3</w:t>
            </w:r>
          </w:p>
        </w:tc>
      </w:tr>
      <w:tr w:rsidR="006B666B" w:rsidRPr="00F30237" w:rsidTr="006B666B">
        <w:trPr>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bCs w:val="0"/>
                <w:color w:val="auto"/>
                <w:sz w:val="20"/>
                <w:szCs w:val="20"/>
              </w:rPr>
            </w:pPr>
            <w:r w:rsidRPr="006B666B">
              <w:rPr>
                <w:rFonts w:cs="Arial"/>
                <w:b w:val="0"/>
                <w:bCs w:val="0"/>
                <w:color w:val="auto"/>
                <w:sz w:val="20"/>
                <w:szCs w:val="20"/>
              </w:rPr>
              <w:t>75.5</w:t>
            </w:r>
          </w:p>
        </w:tc>
        <w:tc>
          <w:tcPr>
            <w:cnfStyle w:val="000010000000"/>
            <w:tcW w:w="4395" w:type="dxa"/>
            <w:shd w:val="clear" w:color="auto" w:fill="auto"/>
            <w:noWrap/>
          </w:tcPr>
          <w:p w:rsidR="006B666B" w:rsidRPr="00F30237" w:rsidRDefault="00306CF1" w:rsidP="00102D86">
            <w:pPr>
              <w:widowControl w:val="0"/>
              <w:ind w:left="80"/>
              <w:rPr>
                <w:rFonts w:cs="Arial"/>
                <w:b/>
                <w:bCs/>
                <w:color w:val="auto"/>
                <w:sz w:val="20"/>
                <w:szCs w:val="20"/>
              </w:rPr>
            </w:pPr>
            <w:r>
              <w:rPr>
                <w:rFonts w:cs="Arial"/>
                <w:b/>
                <w:bCs/>
                <w:color w:val="auto"/>
                <w:sz w:val="20"/>
                <w:szCs w:val="20"/>
              </w:rPr>
              <w:t>Current</w:t>
            </w:r>
            <w:r w:rsidR="00102D86">
              <w:rPr>
                <w:rFonts w:cs="Arial"/>
                <w:b/>
                <w:bCs/>
                <w:color w:val="auto"/>
                <w:sz w:val="20"/>
                <w:szCs w:val="20"/>
              </w:rPr>
              <w:t xml:space="preserve"> </w:t>
            </w:r>
            <w:r w:rsidR="006B666B" w:rsidRPr="00F30237">
              <w:rPr>
                <w:rFonts w:cs="Arial"/>
                <w:b/>
                <w:bCs/>
                <w:color w:val="auto"/>
                <w:sz w:val="20"/>
                <w:szCs w:val="20"/>
              </w:rPr>
              <w:t>Assets</w:t>
            </w:r>
          </w:p>
        </w:tc>
        <w:tc>
          <w:tcPr>
            <w:tcW w:w="992" w:type="dxa"/>
            <w:shd w:val="clear" w:color="auto" w:fill="auto"/>
            <w:noWrap/>
          </w:tcPr>
          <w:p w:rsidR="006B666B" w:rsidRPr="00F30237" w:rsidRDefault="006B666B" w:rsidP="00C87AF0">
            <w:pPr>
              <w:widowControl w:val="0"/>
              <w:jc w:val="center"/>
              <w:cnfStyle w:val="000000000000"/>
              <w:rPr>
                <w:rFonts w:cs="Arial"/>
                <w:bCs/>
                <w:color w:val="auto"/>
                <w:sz w:val="20"/>
                <w:szCs w:val="20"/>
              </w:rPr>
            </w:pPr>
          </w:p>
        </w:tc>
        <w:tc>
          <w:tcPr>
            <w:cnfStyle w:val="000010000000"/>
            <w:tcW w:w="1843" w:type="dxa"/>
            <w:shd w:val="clear" w:color="auto" w:fill="auto"/>
            <w:noWrap/>
          </w:tcPr>
          <w:p w:rsidR="006B666B" w:rsidRPr="00711E5C" w:rsidRDefault="00286DE2" w:rsidP="00286DE2">
            <w:pPr>
              <w:widowControl w:val="0"/>
              <w:jc w:val="center"/>
              <w:rPr>
                <w:rFonts w:cs="Arial"/>
                <w:b/>
                <w:bCs/>
                <w:color w:val="auto"/>
                <w:sz w:val="20"/>
                <w:szCs w:val="20"/>
              </w:rPr>
            </w:pPr>
            <w:r>
              <w:rPr>
                <w:rFonts w:cs="Arial"/>
                <w:b/>
                <w:bCs/>
                <w:color w:val="auto"/>
                <w:sz w:val="20"/>
                <w:szCs w:val="20"/>
              </w:rPr>
              <w:t>69.6</w:t>
            </w:r>
          </w:p>
        </w:tc>
      </w:tr>
      <w:tr w:rsidR="006B666B" w:rsidRPr="00F30237" w:rsidTr="006B666B">
        <w:trPr>
          <w:cnfStyle w:val="000000100000"/>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(1.3)</w:t>
            </w:r>
          </w:p>
        </w:tc>
        <w:tc>
          <w:tcPr>
            <w:cnfStyle w:val="000010000000"/>
            <w:tcW w:w="4395" w:type="dxa"/>
            <w:shd w:val="clear" w:color="auto" w:fill="auto"/>
            <w:noWrap/>
          </w:tcPr>
          <w:p w:rsidR="006B666B" w:rsidRPr="00F30237" w:rsidRDefault="006B666B" w:rsidP="00102D86">
            <w:pPr>
              <w:widowControl w:val="0"/>
              <w:ind w:left="80"/>
              <w:rPr>
                <w:rFonts w:cs="Arial"/>
                <w:color w:val="auto"/>
                <w:sz w:val="20"/>
                <w:szCs w:val="20"/>
              </w:rPr>
            </w:pPr>
            <w:r w:rsidRPr="00F30237">
              <w:rPr>
                <w:rFonts w:cs="Arial"/>
                <w:color w:val="auto"/>
                <w:sz w:val="20"/>
                <w:szCs w:val="20"/>
              </w:rPr>
              <w:t>Short Term Borrowing</w:t>
            </w:r>
          </w:p>
        </w:tc>
        <w:tc>
          <w:tcPr>
            <w:tcW w:w="992" w:type="dxa"/>
            <w:shd w:val="clear" w:color="auto" w:fill="auto"/>
            <w:noWrap/>
          </w:tcPr>
          <w:p w:rsidR="006B666B" w:rsidRPr="00F30237" w:rsidRDefault="006B666B" w:rsidP="00B44021">
            <w:pPr>
              <w:widowControl w:val="0"/>
              <w:jc w:val="center"/>
              <w:cnfStyle w:val="000000100000"/>
              <w:rPr>
                <w:rFonts w:cs="Arial"/>
                <w:color w:val="auto"/>
                <w:sz w:val="20"/>
                <w:szCs w:val="20"/>
              </w:rPr>
            </w:pPr>
            <w:r w:rsidRPr="00F30237">
              <w:rPr>
                <w:rFonts w:cs="Arial"/>
                <w:color w:val="auto"/>
                <w:sz w:val="20"/>
                <w:szCs w:val="20"/>
              </w:rPr>
              <w:t>20</w:t>
            </w:r>
          </w:p>
        </w:tc>
        <w:tc>
          <w:tcPr>
            <w:cnfStyle w:val="000010000000"/>
            <w:tcW w:w="1843" w:type="dxa"/>
            <w:shd w:val="clear" w:color="auto" w:fill="auto"/>
            <w:noWrap/>
          </w:tcPr>
          <w:p w:rsidR="006B666B" w:rsidRPr="00711E5C" w:rsidRDefault="002E5BEF" w:rsidP="00070FA5">
            <w:pPr>
              <w:widowControl w:val="0"/>
              <w:jc w:val="center"/>
              <w:rPr>
                <w:rFonts w:cs="Arial"/>
                <w:b/>
                <w:color w:val="auto"/>
                <w:sz w:val="20"/>
                <w:szCs w:val="20"/>
              </w:rPr>
            </w:pPr>
            <w:r w:rsidRPr="00711E5C">
              <w:rPr>
                <w:rFonts w:cs="Arial"/>
                <w:b/>
                <w:color w:val="auto"/>
                <w:sz w:val="20"/>
                <w:szCs w:val="20"/>
              </w:rPr>
              <w:t>(1.3)</w:t>
            </w:r>
          </w:p>
        </w:tc>
      </w:tr>
      <w:tr w:rsidR="006B666B" w:rsidRPr="00F30237" w:rsidTr="006B666B">
        <w:trPr>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(1.3)</w:t>
            </w:r>
          </w:p>
        </w:tc>
        <w:tc>
          <w:tcPr>
            <w:cnfStyle w:val="000010000000"/>
            <w:tcW w:w="4395" w:type="dxa"/>
            <w:shd w:val="clear" w:color="auto" w:fill="auto"/>
            <w:noWrap/>
          </w:tcPr>
          <w:p w:rsidR="006B666B" w:rsidRPr="00F30237" w:rsidRDefault="006B666B" w:rsidP="00102D86">
            <w:pPr>
              <w:widowControl w:val="0"/>
              <w:ind w:left="80"/>
              <w:rPr>
                <w:rFonts w:cs="Arial"/>
                <w:color w:val="auto"/>
                <w:sz w:val="20"/>
                <w:szCs w:val="20"/>
              </w:rPr>
            </w:pPr>
            <w:r w:rsidRPr="00F30237">
              <w:rPr>
                <w:rFonts w:cs="Arial"/>
                <w:color w:val="auto"/>
                <w:sz w:val="20"/>
                <w:szCs w:val="20"/>
              </w:rPr>
              <w:t>Other Short Term</w:t>
            </w:r>
            <w:r w:rsidR="00306CF1">
              <w:rPr>
                <w:rFonts w:cs="Arial"/>
                <w:color w:val="auto"/>
                <w:sz w:val="20"/>
                <w:szCs w:val="20"/>
              </w:rPr>
              <w:t xml:space="preserve"> </w:t>
            </w:r>
            <w:r w:rsidRPr="00F30237">
              <w:rPr>
                <w:rFonts w:cs="Arial"/>
                <w:color w:val="auto"/>
                <w:sz w:val="20"/>
                <w:szCs w:val="20"/>
              </w:rPr>
              <w:t>Liabilities</w:t>
            </w:r>
          </w:p>
        </w:tc>
        <w:tc>
          <w:tcPr>
            <w:tcW w:w="992" w:type="dxa"/>
            <w:shd w:val="clear" w:color="auto" w:fill="auto"/>
            <w:noWrap/>
          </w:tcPr>
          <w:p w:rsidR="006B666B" w:rsidRPr="00F30237" w:rsidRDefault="006B666B" w:rsidP="00B44021">
            <w:pPr>
              <w:widowControl w:val="0"/>
              <w:jc w:val="center"/>
              <w:cnfStyle w:val="000000000000"/>
              <w:rPr>
                <w:rFonts w:cs="Arial"/>
                <w:color w:val="auto"/>
                <w:sz w:val="20"/>
                <w:szCs w:val="20"/>
              </w:rPr>
            </w:pPr>
            <w:r w:rsidRPr="00F30237">
              <w:rPr>
                <w:rFonts w:cs="Arial"/>
                <w:color w:val="auto"/>
                <w:sz w:val="20"/>
                <w:szCs w:val="20"/>
              </w:rPr>
              <w:t>21</w:t>
            </w:r>
          </w:p>
        </w:tc>
        <w:tc>
          <w:tcPr>
            <w:cnfStyle w:val="000010000000"/>
            <w:tcW w:w="1843" w:type="dxa"/>
            <w:shd w:val="clear" w:color="auto" w:fill="auto"/>
            <w:noWrap/>
          </w:tcPr>
          <w:p w:rsidR="006B666B" w:rsidRPr="00711E5C" w:rsidRDefault="002E5BEF" w:rsidP="00070FA5">
            <w:pPr>
              <w:widowControl w:val="0"/>
              <w:jc w:val="center"/>
              <w:rPr>
                <w:rFonts w:cs="Arial"/>
                <w:b/>
                <w:color w:val="auto"/>
                <w:sz w:val="20"/>
                <w:szCs w:val="20"/>
              </w:rPr>
            </w:pPr>
            <w:r w:rsidRPr="00711E5C">
              <w:rPr>
                <w:rFonts w:cs="Arial"/>
                <w:b/>
                <w:color w:val="auto"/>
                <w:sz w:val="20"/>
                <w:szCs w:val="20"/>
              </w:rPr>
              <w:t>(2.3)</w:t>
            </w:r>
          </w:p>
        </w:tc>
      </w:tr>
      <w:tr w:rsidR="006B666B" w:rsidRPr="00F30237" w:rsidTr="00306CF1">
        <w:trPr>
          <w:cnfStyle w:val="000000100000"/>
          <w:trHeight w:hRule="exact" w:val="592"/>
        </w:trPr>
        <w:tc>
          <w:tcPr>
            <w:cnfStyle w:val="001000000000"/>
            <w:tcW w:w="1701" w:type="dxa"/>
            <w:shd w:val="clear" w:color="auto" w:fill="auto"/>
          </w:tcPr>
          <w:p w:rsidR="006B666B" w:rsidRPr="006B666B" w:rsidRDefault="006B666B" w:rsidP="00F30237">
            <w:pPr>
              <w:widowControl w:val="0"/>
              <w:jc w:val="center"/>
              <w:rPr>
                <w:rFonts w:cs="Arial"/>
                <w:b w:val="0"/>
                <w:color w:val="auto"/>
                <w:sz w:val="20"/>
                <w:szCs w:val="20"/>
              </w:rPr>
            </w:pPr>
            <w:r w:rsidRPr="006B666B">
              <w:rPr>
                <w:rFonts w:cs="Arial"/>
                <w:b w:val="0"/>
                <w:color w:val="auto"/>
                <w:sz w:val="20"/>
                <w:szCs w:val="20"/>
              </w:rPr>
              <w:t>(25.4)</w:t>
            </w:r>
          </w:p>
        </w:tc>
        <w:tc>
          <w:tcPr>
            <w:cnfStyle w:val="000010000000"/>
            <w:tcW w:w="4395" w:type="dxa"/>
            <w:shd w:val="clear" w:color="auto" w:fill="auto"/>
            <w:noWrap/>
          </w:tcPr>
          <w:p w:rsidR="006B666B" w:rsidRPr="00F30237" w:rsidRDefault="006B666B" w:rsidP="00102D86">
            <w:pPr>
              <w:widowControl w:val="0"/>
              <w:ind w:left="80"/>
              <w:rPr>
                <w:rFonts w:cs="Arial"/>
                <w:color w:val="auto"/>
                <w:sz w:val="20"/>
                <w:szCs w:val="20"/>
              </w:rPr>
            </w:pPr>
            <w:r w:rsidRPr="00F30237">
              <w:rPr>
                <w:rFonts w:cs="Arial"/>
                <w:color w:val="auto"/>
                <w:sz w:val="20"/>
                <w:szCs w:val="20"/>
              </w:rPr>
              <w:t>Short Term Creditors (inc Receipts in Advance)</w:t>
            </w:r>
          </w:p>
        </w:tc>
        <w:tc>
          <w:tcPr>
            <w:tcW w:w="992" w:type="dxa"/>
            <w:shd w:val="clear" w:color="auto" w:fill="auto"/>
            <w:noWrap/>
          </w:tcPr>
          <w:p w:rsidR="006B666B" w:rsidRPr="00F30237" w:rsidRDefault="006B666B" w:rsidP="00B44021">
            <w:pPr>
              <w:widowControl w:val="0"/>
              <w:jc w:val="center"/>
              <w:cnfStyle w:val="000000100000"/>
              <w:rPr>
                <w:rFonts w:cs="Arial"/>
                <w:color w:val="auto"/>
                <w:sz w:val="20"/>
                <w:szCs w:val="20"/>
              </w:rPr>
            </w:pPr>
            <w:r w:rsidRPr="00F30237">
              <w:rPr>
                <w:rFonts w:cs="Arial"/>
                <w:color w:val="auto"/>
                <w:sz w:val="20"/>
                <w:szCs w:val="20"/>
              </w:rPr>
              <w:t>18</w:t>
            </w:r>
          </w:p>
        </w:tc>
        <w:tc>
          <w:tcPr>
            <w:cnfStyle w:val="000010000000"/>
            <w:tcW w:w="1843" w:type="dxa"/>
            <w:shd w:val="clear" w:color="auto" w:fill="auto"/>
            <w:noWrap/>
          </w:tcPr>
          <w:p w:rsidR="006B666B" w:rsidRPr="00711E5C" w:rsidRDefault="002E5BEF" w:rsidP="00A0773C">
            <w:pPr>
              <w:widowControl w:val="0"/>
              <w:jc w:val="center"/>
              <w:rPr>
                <w:rFonts w:cs="Arial"/>
                <w:b/>
                <w:color w:val="auto"/>
                <w:sz w:val="20"/>
                <w:szCs w:val="20"/>
              </w:rPr>
            </w:pPr>
            <w:r w:rsidRPr="00711E5C">
              <w:rPr>
                <w:rFonts w:cs="Arial"/>
                <w:b/>
                <w:color w:val="auto"/>
                <w:sz w:val="20"/>
                <w:szCs w:val="20"/>
              </w:rPr>
              <w:t>(24.</w:t>
            </w:r>
            <w:r w:rsidR="00A0773C">
              <w:rPr>
                <w:rFonts w:cs="Arial"/>
                <w:b/>
                <w:color w:val="auto"/>
                <w:sz w:val="20"/>
                <w:szCs w:val="20"/>
              </w:rPr>
              <w:t>4</w:t>
            </w:r>
            <w:r w:rsidRPr="00711E5C">
              <w:rPr>
                <w:rFonts w:cs="Arial"/>
                <w:b/>
                <w:color w:val="auto"/>
                <w:sz w:val="20"/>
                <w:szCs w:val="20"/>
              </w:rPr>
              <w:t>)</w:t>
            </w:r>
          </w:p>
        </w:tc>
      </w:tr>
      <w:tr w:rsidR="006B666B" w:rsidRPr="00F30237" w:rsidTr="006B666B">
        <w:trPr>
          <w:trHeight w:hRule="exact" w:val="397"/>
        </w:trPr>
        <w:tc>
          <w:tcPr>
            <w:cnfStyle w:val="001000000000"/>
            <w:tcW w:w="1701" w:type="dxa"/>
            <w:shd w:val="clear" w:color="auto" w:fill="auto"/>
          </w:tcPr>
          <w:p w:rsidR="006B666B" w:rsidRPr="006B666B" w:rsidRDefault="006B666B" w:rsidP="00F30237">
            <w:pPr>
              <w:widowControl w:val="0"/>
              <w:jc w:val="center"/>
              <w:rPr>
                <w:rFonts w:cs="Arial"/>
                <w:b w:val="0"/>
                <w:bCs w:val="0"/>
                <w:color w:val="auto"/>
                <w:sz w:val="20"/>
                <w:szCs w:val="20"/>
              </w:rPr>
            </w:pPr>
            <w:r w:rsidRPr="006B666B">
              <w:rPr>
                <w:rFonts w:cs="Arial"/>
                <w:b w:val="0"/>
                <w:bCs w:val="0"/>
                <w:color w:val="auto"/>
                <w:sz w:val="20"/>
                <w:szCs w:val="20"/>
              </w:rPr>
              <w:t>(1.8)</w:t>
            </w:r>
          </w:p>
        </w:tc>
        <w:tc>
          <w:tcPr>
            <w:cnfStyle w:val="000010000000"/>
            <w:tcW w:w="4395" w:type="dxa"/>
            <w:shd w:val="clear" w:color="auto" w:fill="auto"/>
            <w:noWrap/>
          </w:tcPr>
          <w:p w:rsidR="006B666B" w:rsidRPr="00F30237" w:rsidRDefault="006B666B" w:rsidP="00102D86">
            <w:pPr>
              <w:widowControl w:val="0"/>
              <w:ind w:left="80"/>
              <w:rPr>
                <w:rFonts w:cs="Arial"/>
                <w:b/>
                <w:bCs/>
                <w:color w:val="auto"/>
                <w:sz w:val="20"/>
                <w:szCs w:val="20"/>
              </w:rPr>
            </w:pPr>
            <w:r w:rsidRPr="00F30237">
              <w:rPr>
                <w:rFonts w:cs="Arial"/>
                <w:color w:val="auto"/>
                <w:sz w:val="20"/>
                <w:szCs w:val="20"/>
              </w:rPr>
              <w:t>Provisions</w:t>
            </w:r>
            <w:r w:rsidR="00306CF1">
              <w:rPr>
                <w:rFonts w:cs="Arial"/>
                <w:color w:val="auto"/>
                <w:sz w:val="20"/>
                <w:szCs w:val="20"/>
              </w:rPr>
              <w:t xml:space="preserve"> </w:t>
            </w:r>
          </w:p>
        </w:tc>
        <w:tc>
          <w:tcPr>
            <w:tcW w:w="992" w:type="dxa"/>
            <w:shd w:val="clear" w:color="auto" w:fill="auto"/>
            <w:noWrap/>
          </w:tcPr>
          <w:p w:rsidR="006B666B" w:rsidRPr="00F30237" w:rsidRDefault="006B666B" w:rsidP="00B44021">
            <w:pPr>
              <w:widowControl w:val="0"/>
              <w:jc w:val="center"/>
              <w:cnfStyle w:val="000000000000"/>
              <w:rPr>
                <w:rFonts w:cs="Arial"/>
                <w:b/>
                <w:bCs/>
                <w:color w:val="auto"/>
                <w:sz w:val="20"/>
                <w:szCs w:val="20"/>
              </w:rPr>
            </w:pPr>
            <w:r w:rsidRPr="00F30237">
              <w:rPr>
                <w:rFonts w:cs="Arial"/>
                <w:color w:val="auto"/>
                <w:sz w:val="20"/>
                <w:szCs w:val="20"/>
              </w:rPr>
              <w:t>19</w:t>
            </w:r>
          </w:p>
        </w:tc>
        <w:tc>
          <w:tcPr>
            <w:cnfStyle w:val="000010000000"/>
            <w:tcW w:w="1843" w:type="dxa"/>
            <w:shd w:val="clear" w:color="auto" w:fill="auto"/>
            <w:noWrap/>
          </w:tcPr>
          <w:p w:rsidR="006B666B" w:rsidRPr="00711E5C" w:rsidRDefault="002E5BEF" w:rsidP="00593A2D">
            <w:pPr>
              <w:widowControl w:val="0"/>
              <w:jc w:val="center"/>
              <w:rPr>
                <w:rFonts w:cs="Arial"/>
                <w:b/>
                <w:bCs/>
                <w:color w:val="auto"/>
                <w:sz w:val="20"/>
                <w:szCs w:val="20"/>
              </w:rPr>
            </w:pPr>
            <w:r w:rsidRPr="00711E5C">
              <w:rPr>
                <w:rFonts w:cs="Arial"/>
                <w:b/>
                <w:bCs/>
                <w:color w:val="auto"/>
                <w:sz w:val="20"/>
                <w:szCs w:val="20"/>
              </w:rPr>
              <w:t>(2.6)</w:t>
            </w:r>
          </w:p>
        </w:tc>
      </w:tr>
      <w:tr w:rsidR="006B666B" w:rsidRPr="00F30237" w:rsidTr="006B666B">
        <w:trPr>
          <w:cnfStyle w:val="000000100000"/>
          <w:trHeight w:hRule="exact" w:val="570"/>
        </w:trPr>
        <w:tc>
          <w:tcPr>
            <w:cnfStyle w:val="001000000000"/>
            <w:tcW w:w="1701" w:type="dxa"/>
            <w:shd w:val="clear" w:color="auto" w:fill="auto"/>
          </w:tcPr>
          <w:p w:rsidR="006B666B" w:rsidRPr="006B666B" w:rsidRDefault="006B666B" w:rsidP="00F30237">
            <w:pPr>
              <w:widowControl w:val="0"/>
              <w:jc w:val="center"/>
              <w:rPr>
                <w:rFonts w:cs="Arial"/>
                <w:b w:val="0"/>
                <w:bCs w:val="0"/>
                <w:color w:val="auto"/>
                <w:sz w:val="20"/>
                <w:szCs w:val="20"/>
              </w:rPr>
            </w:pPr>
            <w:r w:rsidRPr="006B666B">
              <w:rPr>
                <w:rFonts w:cs="Arial"/>
                <w:b w:val="0"/>
                <w:bCs w:val="0"/>
                <w:color w:val="auto"/>
                <w:sz w:val="20"/>
                <w:szCs w:val="20"/>
              </w:rPr>
              <w:t>(0.1)</w:t>
            </w:r>
          </w:p>
        </w:tc>
        <w:tc>
          <w:tcPr>
            <w:cnfStyle w:val="000010000000"/>
            <w:tcW w:w="4395" w:type="dxa"/>
            <w:shd w:val="clear" w:color="auto" w:fill="auto"/>
            <w:noWrap/>
          </w:tcPr>
          <w:p w:rsidR="006B666B" w:rsidRPr="00F30237" w:rsidRDefault="006B666B" w:rsidP="00481485">
            <w:pPr>
              <w:widowControl w:val="0"/>
              <w:ind w:left="80"/>
              <w:rPr>
                <w:rFonts w:cs="Arial"/>
                <w:bCs/>
                <w:color w:val="auto"/>
                <w:sz w:val="20"/>
                <w:szCs w:val="20"/>
              </w:rPr>
            </w:pPr>
            <w:r w:rsidRPr="00F30237">
              <w:rPr>
                <w:rFonts w:cs="Arial"/>
                <w:bCs/>
                <w:color w:val="auto"/>
                <w:sz w:val="20"/>
                <w:szCs w:val="20"/>
              </w:rPr>
              <w:t>Capital Grants/Contributions: Receipts in Advance</w:t>
            </w:r>
          </w:p>
          <w:p w:rsidR="006B666B" w:rsidRPr="00F30237" w:rsidRDefault="006B666B" w:rsidP="00C93D67">
            <w:pPr>
              <w:widowControl w:val="0"/>
              <w:rPr>
                <w:rFonts w:cs="Arial"/>
                <w:bCs/>
                <w:color w:val="auto"/>
                <w:sz w:val="20"/>
                <w:szCs w:val="20"/>
              </w:rPr>
            </w:pPr>
          </w:p>
        </w:tc>
        <w:tc>
          <w:tcPr>
            <w:tcW w:w="992" w:type="dxa"/>
            <w:shd w:val="clear" w:color="auto" w:fill="auto"/>
            <w:noWrap/>
          </w:tcPr>
          <w:p w:rsidR="006B666B" w:rsidRPr="00F30237" w:rsidRDefault="006B666B" w:rsidP="00593A2D">
            <w:pPr>
              <w:widowControl w:val="0"/>
              <w:jc w:val="center"/>
              <w:cnfStyle w:val="000000100000"/>
              <w:rPr>
                <w:rFonts w:cs="Arial"/>
                <w:bCs/>
                <w:color w:val="auto"/>
                <w:sz w:val="20"/>
                <w:szCs w:val="20"/>
              </w:rPr>
            </w:pPr>
          </w:p>
        </w:tc>
        <w:tc>
          <w:tcPr>
            <w:cnfStyle w:val="000010000000"/>
            <w:tcW w:w="1843" w:type="dxa"/>
            <w:shd w:val="clear" w:color="auto" w:fill="auto"/>
            <w:noWrap/>
          </w:tcPr>
          <w:p w:rsidR="006B666B" w:rsidRPr="00711E5C" w:rsidRDefault="001219FF" w:rsidP="007A6EDE">
            <w:pPr>
              <w:widowControl w:val="0"/>
              <w:jc w:val="center"/>
              <w:rPr>
                <w:rFonts w:cs="Arial"/>
                <w:b/>
                <w:bCs/>
                <w:color w:val="auto"/>
                <w:sz w:val="20"/>
                <w:szCs w:val="20"/>
              </w:rPr>
            </w:pPr>
            <w:r>
              <w:rPr>
                <w:rFonts w:cs="Arial"/>
                <w:b/>
                <w:bCs/>
                <w:color w:val="auto"/>
                <w:sz w:val="20"/>
                <w:szCs w:val="20"/>
              </w:rPr>
              <w:t>0</w:t>
            </w:r>
          </w:p>
        </w:tc>
      </w:tr>
      <w:tr w:rsidR="006B666B" w:rsidRPr="00F30237" w:rsidTr="006B666B">
        <w:trPr>
          <w:trHeight w:hRule="exact" w:val="397"/>
        </w:trPr>
        <w:tc>
          <w:tcPr>
            <w:cnfStyle w:val="001000000000"/>
            <w:tcW w:w="1701" w:type="dxa"/>
            <w:tcBorders>
              <w:bottom w:val="single" w:sz="4" w:space="0" w:color="92CDDC" w:themeColor="accent5" w:themeTint="99"/>
            </w:tcBorders>
            <w:shd w:val="clear" w:color="auto" w:fill="auto"/>
          </w:tcPr>
          <w:p w:rsidR="006B666B" w:rsidRPr="006B666B" w:rsidRDefault="006B666B" w:rsidP="00F30237">
            <w:pPr>
              <w:widowControl w:val="0"/>
              <w:jc w:val="center"/>
              <w:rPr>
                <w:rFonts w:cs="Arial"/>
                <w:b w:val="0"/>
                <w:bCs w:val="0"/>
                <w:color w:val="auto"/>
                <w:sz w:val="20"/>
                <w:szCs w:val="20"/>
              </w:rPr>
            </w:pPr>
            <w:r w:rsidRPr="006B666B">
              <w:rPr>
                <w:rFonts w:cs="Arial"/>
                <w:b w:val="0"/>
                <w:bCs w:val="0"/>
                <w:color w:val="auto"/>
                <w:sz w:val="20"/>
                <w:szCs w:val="20"/>
              </w:rPr>
              <w:t>(1.3)</w:t>
            </w:r>
          </w:p>
        </w:tc>
        <w:tc>
          <w:tcPr>
            <w:cnfStyle w:val="000010000000"/>
            <w:tcW w:w="4395" w:type="dxa"/>
            <w:tcBorders>
              <w:bottom w:val="single" w:sz="4" w:space="0" w:color="92CDDC" w:themeColor="accent5" w:themeTint="99"/>
            </w:tcBorders>
            <w:shd w:val="clear" w:color="auto" w:fill="auto"/>
            <w:noWrap/>
          </w:tcPr>
          <w:p w:rsidR="006B666B" w:rsidRPr="00F30237" w:rsidRDefault="006B666B" w:rsidP="00481485">
            <w:pPr>
              <w:widowControl w:val="0"/>
              <w:ind w:left="80"/>
              <w:rPr>
                <w:rFonts w:cs="Arial"/>
                <w:bCs/>
                <w:color w:val="auto"/>
                <w:sz w:val="20"/>
                <w:szCs w:val="20"/>
              </w:rPr>
            </w:pPr>
            <w:r w:rsidRPr="00F30237">
              <w:rPr>
                <w:rFonts w:cs="Arial"/>
                <w:bCs/>
                <w:color w:val="auto"/>
                <w:sz w:val="20"/>
                <w:szCs w:val="20"/>
              </w:rPr>
              <w:t>Cash and Cash Equivalents</w:t>
            </w:r>
          </w:p>
        </w:tc>
        <w:tc>
          <w:tcPr>
            <w:tcW w:w="992" w:type="dxa"/>
            <w:tcBorders>
              <w:bottom w:val="single" w:sz="4" w:space="0" w:color="92CDDC" w:themeColor="accent5" w:themeTint="99"/>
            </w:tcBorders>
            <w:shd w:val="clear" w:color="auto" w:fill="auto"/>
            <w:noWrap/>
          </w:tcPr>
          <w:p w:rsidR="006B666B" w:rsidRPr="00F30237" w:rsidRDefault="006B666B" w:rsidP="00B44021">
            <w:pPr>
              <w:widowControl w:val="0"/>
              <w:jc w:val="center"/>
              <w:cnfStyle w:val="000000000000"/>
              <w:rPr>
                <w:rFonts w:cs="Arial"/>
                <w:bCs/>
                <w:color w:val="auto"/>
                <w:sz w:val="20"/>
                <w:szCs w:val="20"/>
              </w:rPr>
            </w:pPr>
            <w:r w:rsidRPr="00F30237">
              <w:rPr>
                <w:rFonts w:cs="Arial"/>
                <w:bCs/>
                <w:color w:val="auto"/>
                <w:sz w:val="20"/>
                <w:szCs w:val="20"/>
              </w:rPr>
              <w:t>17</w:t>
            </w:r>
          </w:p>
        </w:tc>
        <w:tc>
          <w:tcPr>
            <w:cnfStyle w:val="000010000000"/>
            <w:tcW w:w="1843" w:type="dxa"/>
            <w:tcBorders>
              <w:bottom w:val="single" w:sz="4" w:space="0" w:color="92CDDC" w:themeColor="accent5" w:themeTint="99"/>
            </w:tcBorders>
            <w:shd w:val="clear" w:color="auto" w:fill="auto"/>
            <w:noWrap/>
          </w:tcPr>
          <w:p w:rsidR="006B666B" w:rsidRPr="00711E5C" w:rsidRDefault="002E5BEF" w:rsidP="007E167C">
            <w:pPr>
              <w:widowControl w:val="0"/>
              <w:jc w:val="center"/>
              <w:rPr>
                <w:rFonts w:cs="Arial"/>
                <w:b/>
                <w:bCs/>
                <w:color w:val="auto"/>
                <w:sz w:val="20"/>
                <w:szCs w:val="20"/>
              </w:rPr>
            </w:pPr>
            <w:r w:rsidRPr="00711E5C">
              <w:rPr>
                <w:rFonts w:cs="Arial"/>
                <w:b/>
                <w:bCs/>
                <w:color w:val="auto"/>
                <w:sz w:val="20"/>
                <w:szCs w:val="20"/>
              </w:rPr>
              <w:t>(1.3)</w:t>
            </w:r>
          </w:p>
        </w:tc>
      </w:tr>
      <w:tr w:rsidR="006B666B" w:rsidRPr="00F30237" w:rsidTr="006B666B">
        <w:trPr>
          <w:cnfStyle w:val="000000100000"/>
          <w:trHeight w:hRule="exact" w:val="466"/>
        </w:trPr>
        <w:tc>
          <w:tcPr>
            <w:cnfStyle w:val="001000000000"/>
            <w:tcW w:w="1701" w:type="dxa"/>
            <w:tcBorders>
              <w:bottom w:val="single" w:sz="4" w:space="0" w:color="92CDDC" w:themeColor="accent5" w:themeTint="99"/>
            </w:tcBorders>
            <w:shd w:val="clear" w:color="auto" w:fill="auto"/>
          </w:tcPr>
          <w:p w:rsidR="006B666B" w:rsidRPr="006B666B" w:rsidRDefault="006B666B" w:rsidP="00F30237">
            <w:pPr>
              <w:widowControl w:val="0"/>
              <w:jc w:val="center"/>
              <w:rPr>
                <w:rFonts w:cs="Arial"/>
                <w:b w:val="0"/>
                <w:bCs w:val="0"/>
                <w:color w:val="auto"/>
                <w:sz w:val="20"/>
                <w:szCs w:val="20"/>
              </w:rPr>
            </w:pPr>
            <w:r w:rsidRPr="006B666B">
              <w:rPr>
                <w:rFonts w:cs="Arial"/>
                <w:b w:val="0"/>
                <w:bCs w:val="0"/>
                <w:color w:val="auto"/>
                <w:sz w:val="20"/>
                <w:szCs w:val="20"/>
              </w:rPr>
              <w:t>(31.2)</w:t>
            </w:r>
          </w:p>
        </w:tc>
        <w:tc>
          <w:tcPr>
            <w:cnfStyle w:val="000010000000"/>
            <w:tcW w:w="4395" w:type="dxa"/>
            <w:tcBorders>
              <w:bottom w:val="single" w:sz="4" w:space="0" w:color="92CDDC" w:themeColor="accent5" w:themeTint="99"/>
            </w:tcBorders>
            <w:shd w:val="clear" w:color="auto" w:fill="auto"/>
            <w:noWrap/>
          </w:tcPr>
          <w:p w:rsidR="006B666B" w:rsidRPr="00F30237" w:rsidRDefault="006B666B" w:rsidP="0008137E">
            <w:pPr>
              <w:widowControl w:val="0"/>
              <w:ind w:left="80"/>
              <w:rPr>
                <w:rFonts w:cs="Arial"/>
                <w:b/>
                <w:bCs/>
                <w:color w:val="auto"/>
                <w:sz w:val="20"/>
                <w:szCs w:val="20"/>
              </w:rPr>
            </w:pPr>
            <w:r w:rsidRPr="00F30237">
              <w:rPr>
                <w:rFonts w:cs="Arial"/>
                <w:b/>
                <w:bCs/>
                <w:color w:val="auto"/>
                <w:sz w:val="20"/>
                <w:szCs w:val="20"/>
              </w:rPr>
              <w:t>Current Liabilities</w:t>
            </w:r>
          </w:p>
          <w:p w:rsidR="006B666B" w:rsidRPr="00F30237" w:rsidRDefault="006B666B" w:rsidP="003C5E34">
            <w:pPr>
              <w:widowControl w:val="0"/>
              <w:ind w:left="80"/>
              <w:rPr>
                <w:rFonts w:cs="Arial"/>
                <w:b/>
                <w:bCs/>
                <w:color w:val="auto"/>
                <w:sz w:val="20"/>
                <w:szCs w:val="20"/>
              </w:rPr>
            </w:pPr>
          </w:p>
        </w:tc>
        <w:tc>
          <w:tcPr>
            <w:tcW w:w="992" w:type="dxa"/>
            <w:tcBorders>
              <w:bottom w:val="single" w:sz="4" w:space="0" w:color="92CDDC" w:themeColor="accent5" w:themeTint="99"/>
            </w:tcBorders>
            <w:shd w:val="clear" w:color="auto" w:fill="auto"/>
            <w:noWrap/>
          </w:tcPr>
          <w:p w:rsidR="006B666B" w:rsidRPr="00F30237" w:rsidRDefault="006B666B" w:rsidP="0008137E">
            <w:pPr>
              <w:widowControl w:val="0"/>
              <w:cnfStyle w:val="000000100000"/>
              <w:rPr>
                <w:rFonts w:cs="Arial"/>
                <w:bCs/>
                <w:color w:val="auto"/>
                <w:sz w:val="20"/>
                <w:szCs w:val="20"/>
              </w:rPr>
            </w:pPr>
          </w:p>
        </w:tc>
        <w:tc>
          <w:tcPr>
            <w:cnfStyle w:val="000010000000"/>
            <w:tcW w:w="1843" w:type="dxa"/>
            <w:tcBorders>
              <w:bottom w:val="single" w:sz="4" w:space="0" w:color="92CDDC" w:themeColor="accent5" w:themeTint="99"/>
            </w:tcBorders>
            <w:shd w:val="clear" w:color="auto" w:fill="auto"/>
            <w:noWrap/>
          </w:tcPr>
          <w:p w:rsidR="006B666B" w:rsidRPr="00711E5C" w:rsidRDefault="002E5BEF" w:rsidP="00A0773C">
            <w:pPr>
              <w:widowControl w:val="0"/>
              <w:jc w:val="center"/>
              <w:rPr>
                <w:rFonts w:cs="Arial"/>
                <w:b/>
                <w:bCs/>
                <w:color w:val="auto"/>
                <w:sz w:val="20"/>
                <w:szCs w:val="20"/>
              </w:rPr>
            </w:pPr>
            <w:r w:rsidRPr="00711E5C">
              <w:rPr>
                <w:rFonts w:cs="Arial"/>
                <w:b/>
                <w:bCs/>
                <w:color w:val="auto"/>
                <w:sz w:val="20"/>
                <w:szCs w:val="20"/>
              </w:rPr>
              <w:t>(3</w:t>
            </w:r>
            <w:r w:rsidR="00A0773C">
              <w:rPr>
                <w:rFonts w:cs="Arial"/>
                <w:b/>
                <w:bCs/>
                <w:color w:val="auto"/>
                <w:sz w:val="20"/>
                <w:szCs w:val="20"/>
              </w:rPr>
              <w:t>1</w:t>
            </w:r>
            <w:r w:rsidR="001219FF">
              <w:rPr>
                <w:rFonts w:cs="Arial"/>
                <w:b/>
                <w:bCs/>
                <w:color w:val="auto"/>
                <w:sz w:val="20"/>
                <w:szCs w:val="20"/>
              </w:rPr>
              <w:t>.</w:t>
            </w:r>
            <w:r w:rsidR="00A0773C">
              <w:rPr>
                <w:rFonts w:cs="Arial"/>
                <w:b/>
                <w:bCs/>
                <w:color w:val="auto"/>
                <w:sz w:val="20"/>
                <w:szCs w:val="20"/>
              </w:rPr>
              <w:t>9</w:t>
            </w:r>
            <w:r w:rsidRPr="00711E5C">
              <w:rPr>
                <w:rFonts w:cs="Arial"/>
                <w:b/>
                <w:bCs/>
                <w:color w:val="auto"/>
                <w:sz w:val="20"/>
                <w:szCs w:val="20"/>
              </w:rPr>
              <w:t>)</w:t>
            </w:r>
          </w:p>
        </w:tc>
      </w:tr>
      <w:tr w:rsidR="0035317D" w:rsidRPr="00F30237" w:rsidTr="0035317D">
        <w:trPr>
          <w:trHeight w:hRule="exact" w:val="466"/>
        </w:trPr>
        <w:tc>
          <w:tcPr>
            <w:cnfStyle w:val="001000000000"/>
            <w:tcW w:w="1701" w:type="dxa"/>
            <w:tcBorders>
              <w:bottom w:val="single" w:sz="4" w:space="0" w:color="92CDDC" w:themeColor="accent5" w:themeTint="99"/>
            </w:tcBorders>
            <w:shd w:val="clear" w:color="auto" w:fill="auto"/>
          </w:tcPr>
          <w:p w:rsidR="0035317D" w:rsidRPr="006B666B" w:rsidRDefault="0035317D" w:rsidP="00F30237">
            <w:pPr>
              <w:widowControl w:val="0"/>
              <w:jc w:val="center"/>
              <w:rPr>
                <w:rFonts w:cs="Arial"/>
                <w:color w:val="auto"/>
                <w:sz w:val="20"/>
                <w:szCs w:val="20"/>
              </w:rPr>
            </w:pPr>
          </w:p>
        </w:tc>
        <w:tc>
          <w:tcPr>
            <w:cnfStyle w:val="000010000000"/>
            <w:tcW w:w="4395" w:type="dxa"/>
            <w:tcBorders>
              <w:bottom w:val="single" w:sz="4" w:space="0" w:color="92CDDC" w:themeColor="accent5" w:themeTint="99"/>
            </w:tcBorders>
            <w:shd w:val="clear" w:color="auto" w:fill="auto"/>
            <w:noWrap/>
          </w:tcPr>
          <w:p w:rsidR="0035317D" w:rsidRPr="00F30237" w:rsidRDefault="0035317D" w:rsidP="0008137E">
            <w:pPr>
              <w:widowControl w:val="0"/>
              <w:ind w:left="80"/>
              <w:rPr>
                <w:rFonts w:cs="Arial"/>
                <w:b/>
                <w:bCs/>
                <w:color w:val="auto"/>
                <w:sz w:val="20"/>
                <w:szCs w:val="20"/>
              </w:rPr>
            </w:pPr>
          </w:p>
        </w:tc>
        <w:tc>
          <w:tcPr>
            <w:tcW w:w="992" w:type="dxa"/>
            <w:tcBorders>
              <w:bottom w:val="single" w:sz="4" w:space="0" w:color="92CDDC" w:themeColor="accent5" w:themeTint="99"/>
            </w:tcBorders>
            <w:shd w:val="clear" w:color="auto" w:fill="auto"/>
            <w:noWrap/>
          </w:tcPr>
          <w:p w:rsidR="0035317D" w:rsidRPr="00F30237" w:rsidRDefault="0035317D" w:rsidP="0008137E">
            <w:pPr>
              <w:widowControl w:val="0"/>
              <w:cnfStyle w:val="000000000000"/>
              <w:rPr>
                <w:rFonts w:cs="Arial"/>
                <w:bCs/>
                <w:color w:val="auto"/>
                <w:sz w:val="20"/>
                <w:szCs w:val="20"/>
              </w:rPr>
            </w:pPr>
          </w:p>
        </w:tc>
        <w:tc>
          <w:tcPr>
            <w:cnfStyle w:val="000010000000"/>
            <w:tcW w:w="1843" w:type="dxa"/>
            <w:tcBorders>
              <w:bottom w:val="single" w:sz="4" w:space="0" w:color="92CDDC" w:themeColor="accent5" w:themeTint="99"/>
            </w:tcBorders>
            <w:shd w:val="clear" w:color="auto" w:fill="auto"/>
            <w:noWrap/>
          </w:tcPr>
          <w:p w:rsidR="0035317D" w:rsidRPr="00711E5C" w:rsidRDefault="0035317D" w:rsidP="001219FF">
            <w:pPr>
              <w:widowControl w:val="0"/>
              <w:jc w:val="center"/>
              <w:rPr>
                <w:rFonts w:cs="Arial"/>
                <w:b/>
                <w:bCs/>
                <w:color w:val="auto"/>
                <w:sz w:val="20"/>
                <w:szCs w:val="20"/>
              </w:rPr>
            </w:pPr>
          </w:p>
        </w:tc>
      </w:tr>
      <w:tr w:rsidR="006B666B" w:rsidRPr="00F30237" w:rsidTr="006B666B">
        <w:trPr>
          <w:cnfStyle w:val="000000100000"/>
          <w:trHeight w:hRule="exact" w:val="851"/>
        </w:trPr>
        <w:tc>
          <w:tcPr>
            <w:cnfStyle w:val="001000000000"/>
            <w:tcW w:w="1701" w:type="dxa"/>
            <w:tcBorders>
              <w:top w:val="single" w:sz="4" w:space="0" w:color="92CDDC" w:themeColor="accent5" w:themeTint="99"/>
            </w:tcBorders>
            <w:shd w:val="clear" w:color="auto" w:fill="auto"/>
          </w:tcPr>
          <w:p w:rsidR="006B666B" w:rsidRPr="0035317D" w:rsidRDefault="006B666B" w:rsidP="0035317D">
            <w:pPr>
              <w:jc w:val="center"/>
              <w:rPr>
                <w:rFonts w:cs="Arial"/>
                <w:b w:val="0"/>
                <w:bCs w:val="0"/>
                <w:color w:val="auto"/>
                <w:sz w:val="20"/>
                <w:szCs w:val="20"/>
              </w:rPr>
            </w:pPr>
            <w:r w:rsidRPr="0035317D">
              <w:rPr>
                <w:rFonts w:cs="Arial"/>
                <w:b w:val="0"/>
                <w:bCs w:val="0"/>
                <w:color w:val="auto"/>
                <w:sz w:val="20"/>
                <w:szCs w:val="20"/>
              </w:rPr>
              <w:lastRenderedPageBreak/>
              <w:t xml:space="preserve"> 31st March 2015</w:t>
            </w:r>
          </w:p>
          <w:p w:rsidR="006B666B" w:rsidRPr="0035317D" w:rsidRDefault="006B666B" w:rsidP="0035317D">
            <w:pPr>
              <w:jc w:val="center"/>
              <w:rPr>
                <w:rFonts w:cs="Arial"/>
                <w:b w:val="0"/>
                <w:bCs w:val="0"/>
                <w:color w:val="auto"/>
                <w:sz w:val="20"/>
                <w:szCs w:val="20"/>
              </w:rPr>
            </w:pPr>
          </w:p>
        </w:tc>
        <w:tc>
          <w:tcPr>
            <w:cnfStyle w:val="000010000000"/>
            <w:tcW w:w="4395" w:type="dxa"/>
            <w:tcBorders>
              <w:top w:val="single" w:sz="4" w:space="0" w:color="92CDDC" w:themeColor="accent5" w:themeTint="99"/>
            </w:tcBorders>
            <w:shd w:val="clear" w:color="auto" w:fill="auto"/>
            <w:noWrap/>
          </w:tcPr>
          <w:p w:rsidR="006B666B" w:rsidRPr="0035317D" w:rsidRDefault="006B666B" w:rsidP="0035317D">
            <w:pPr>
              <w:ind w:left="80"/>
              <w:jc w:val="right"/>
              <w:rPr>
                <w:rFonts w:cs="Arial"/>
                <w:b/>
                <w:bCs/>
                <w:color w:val="auto"/>
                <w:sz w:val="20"/>
                <w:szCs w:val="20"/>
              </w:rPr>
            </w:pPr>
          </w:p>
        </w:tc>
        <w:tc>
          <w:tcPr>
            <w:tcW w:w="992" w:type="dxa"/>
            <w:tcBorders>
              <w:top w:val="single" w:sz="4" w:space="0" w:color="92CDDC" w:themeColor="accent5" w:themeTint="99"/>
            </w:tcBorders>
            <w:shd w:val="clear" w:color="auto" w:fill="auto"/>
            <w:noWrap/>
          </w:tcPr>
          <w:p w:rsidR="006B666B" w:rsidRPr="0035317D" w:rsidRDefault="006B666B" w:rsidP="0035317D">
            <w:pPr>
              <w:jc w:val="center"/>
              <w:cnfStyle w:val="000000100000"/>
              <w:rPr>
                <w:rFonts w:cs="Arial"/>
                <w:b/>
                <w:bCs/>
                <w:color w:val="auto"/>
                <w:sz w:val="20"/>
                <w:szCs w:val="20"/>
              </w:rPr>
            </w:pPr>
            <w:r w:rsidRPr="0035317D">
              <w:rPr>
                <w:rFonts w:cs="Arial"/>
                <w:b/>
                <w:bCs/>
                <w:color w:val="auto"/>
                <w:sz w:val="20"/>
                <w:szCs w:val="20"/>
              </w:rPr>
              <w:t>Notes</w:t>
            </w:r>
          </w:p>
        </w:tc>
        <w:tc>
          <w:tcPr>
            <w:cnfStyle w:val="000010000000"/>
            <w:tcW w:w="1843" w:type="dxa"/>
            <w:tcBorders>
              <w:top w:val="single" w:sz="4" w:space="0" w:color="92CDDC" w:themeColor="accent5" w:themeTint="99"/>
            </w:tcBorders>
            <w:shd w:val="clear" w:color="auto" w:fill="auto"/>
            <w:noWrap/>
          </w:tcPr>
          <w:p w:rsidR="006B666B" w:rsidRPr="0035317D" w:rsidRDefault="006B666B" w:rsidP="0035317D">
            <w:pPr>
              <w:jc w:val="center"/>
              <w:rPr>
                <w:rFonts w:cs="Arial"/>
                <w:b/>
                <w:bCs/>
                <w:color w:val="auto"/>
                <w:sz w:val="20"/>
                <w:szCs w:val="20"/>
              </w:rPr>
            </w:pPr>
            <w:r w:rsidRPr="0035317D">
              <w:rPr>
                <w:rFonts w:cs="Arial"/>
                <w:b/>
                <w:bCs/>
                <w:color w:val="auto"/>
                <w:sz w:val="20"/>
                <w:szCs w:val="20"/>
              </w:rPr>
              <w:t>31st March 2016</w:t>
            </w:r>
          </w:p>
        </w:tc>
      </w:tr>
      <w:tr w:rsidR="006B666B" w:rsidRPr="00F30237" w:rsidTr="006B666B">
        <w:trPr>
          <w:trHeight w:hRule="exact" w:val="397"/>
        </w:trPr>
        <w:tc>
          <w:tcPr>
            <w:cnfStyle w:val="001000000000"/>
            <w:tcW w:w="1701" w:type="dxa"/>
            <w:shd w:val="clear" w:color="auto" w:fill="auto"/>
          </w:tcPr>
          <w:p w:rsidR="006B666B" w:rsidRPr="0035317D" w:rsidRDefault="006B666B" w:rsidP="008078A4">
            <w:pPr>
              <w:widowControl w:val="0"/>
              <w:ind w:right="204"/>
              <w:jc w:val="center"/>
              <w:rPr>
                <w:rFonts w:cs="Arial"/>
                <w:b w:val="0"/>
                <w:bCs w:val="0"/>
                <w:color w:val="auto"/>
                <w:sz w:val="20"/>
                <w:szCs w:val="20"/>
              </w:rPr>
            </w:pPr>
            <w:r w:rsidRPr="0035317D">
              <w:rPr>
                <w:rFonts w:cs="Arial"/>
                <w:b w:val="0"/>
                <w:bCs w:val="0"/>
                <w:color w:val="auto"/>
                <w:sz w:val="20"/>
                <w:szCs w:val="20"/>
              </w:rPr>
              <w:t>£m</w:t>
            </w:r>
          </w:p>
        </w:tc>
        <w:tc>
          <w:tcPr>
            <w:cnfStyle w:val="000010000000"/>
            <w:tcW w:w="4395" w:type="dxa"/>
            <w:shd w:val="clear" w:color="auto" w:fill="auto"/>
            <w:noWrap/>
          </w:tcPr>
          <w:p w:rsidR="006B666B" w:rsidRPr="0035317D" w:rsidRDefault="006B666B" w:rsidP="008078A4">
            <w:pPr>
              <w:widowControl w:val="0"/>
              <w:ind w:left="80"/>
              <w:rPr>
                <w:rFonts w:cs="Arial"/>
                <w:b/>
                <w:bCs/>
                <w:color w:val="auto"/>
                <w:sz w:val="20"/>
                <w:szCs w:val="20"/>
              </w:rPr>
            </w:pPr>
          </w:p>
        </w:tc>
        <w:tc>
          <w:tcPr>
            <w:tcW w:w="992" w:type="dxa"/>
            <w:shd w:val="clear" w:color="auto" w:fill="auto"/>
            <w:noWrap/>
          </w:tcPr>
          <w:p w:rsidR="006B666B" w:rsidRPr="0035317D" w:rsidRDefault="006B666B" w:rsidP="008078A4">
            <w:pPr>
              <w:widowControl w:val="0"/>
              <w:jc w:val="center"/>
              <w:cnfStyle w:val="000000000000"/>
              <w:rPr>
                <w:rFonts w:cs="Arial"/>
                <w:bCs/>
                <w:color w:val="auto"/>
                <w:sz w:val="20"/>
                <w:szCs w:val="20"/>
              </w:rPr>
            </w:pPr>
          </w:p>
        </w:tc>
        <w:tc>
          <w:tcPr>
            <w:cnfStyle w:val="000010000000"/>
            <w:tcW w:w="1843" w:type="dxa"/>
            <w:shd w:val="clear" w:color="auto" w:fill="auto"/>
            <w:noWrap/>
          </w:tcPr>
          <w:p w:rsidR="006B666B" w:rsidRPr="0035317D" w:rsidRDefault="006B666B" w:rsidP="008078A4">
            <w:pPr>
              <w:widowControl w:val="0"/>
              <w:jc w:val="center"/>
              <w:rPr>
                <w:rFonts w:cs="Arial"/>
                <w:b/>
                <w:bCs/>
                <w:color w:val="auto"/>
                <w:sz w:val="20"/>
                <w:szCs w:val="20"/>
              </w:rPr>
            </w:pPr>
            <w:r w:rsidRPr="0035317D">
              <w:rPr>
                <w:rFonts w:cs="Arial"/>
                <w:b/>
                <w:bCs/>
                <w:color w:val="auto"/>
                <w:sz w:val="20"/>
                <w:szCs w:val="20"/>
              </w:rPr>
              <w:t>£m</w:t>
            </w:r>
          </w:p>
        </w:tc>
      </w:tr>
      <w:tr w:rsidR="006B666B" w:rsidRPr="00523E4E" w:rsidTr="006B666B">
        <w:trPr>
          <w:cnfStyle w:val="000000100000"/>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r w:rsidRPr="00F30237">
              <w:rPr>
                <w:rFonts w:cs="Arial"/>
                <w:b w:val="0"/>
                <w:color w:val="auto"/>
                <w:sz w:val="20"/>
                <w:szCs w:val="20"/>
              </w:rPr>
              <w:t>(3.6)</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Long Term Creditors</w:t>
            </w:r>
          </w:p>
        </w:tc>
        <w:tc>
          <w:tcPr>
            <w:tcW w:w="992" w:type="dxa"/>
            <w:shd w:val="clear" w:color="auto" w:fill="auto"/>
            <w:noWrap/>
          </w:tcPr>
          <w:p w:rsidR="006B666B" w:rsidRPr="00F30237" w:rsidRDefault="006B666B" w:rsidP="00C87AF0">
            <w:pPr>
              <w:widowControl w:val="0"/>
              <w:jc w:val="center"/>
              <w:cnfStyle w:val="000000100000"/>
              <w:rPr>
                <w:rFonts w:cs="Arial"/>
                <w:color w:val="auto"/>
                <w:sz w:val="20"/>
                <w:szCs w:val="20"/>
              </w:rPr>
            </w:pPr>
          </w:p>
        </w:tc>
        <w:tc>
          <w:tcPr>
            <w:cnfStyle w:val="000010000000"/>
            <w:tcW w:w="1843" w:type="dxa"/>
            <w:shd w:val="clear" w:color="auto" w:fill="auto"/>
            <w:noWrap/>
          </w:tcPr>
          <w:p w:rsidR="006B666B" w:rsidRPr="008E77E0" w:rsidRDefault="002E5BEF" w:rsidP="00A0773C">
            <w:pPr>
              <w:widowControl w:val="0"/>
              <w:jc w:val="center"/>
              <w:rPr>
                <w:rFonts w:cs="Arial"/>
                <w:b/>
                <w:color w:val="auto"/>
                <w:sz w:val="20"/>
                <w:szCs w:val="20"/>
              </w:rPr>
            </w:pPr>
            <w:r w:rsidRPr="008E77E0">
              <w:rPr>
                <w:rFonts w:cs="Arial"/>
                <w:b/>
                <w:color w:val="auto"/>
                <w:sz w:val="20"/>
                <w:szCs w:val="20"/>
              </w:rPr>
              <w:t>(3.</w:t>
            </w:r>
            <w:r w:rsidR="00A0773C">
              <w:rPr>
                <w:rFonts w:cs="Arial"/>
                <w:b/>
                <w:color w:val="auto"/>
                <w:sz w:val="20"/>
                <w:szCs w:val="20"/>
              </w:rPr>
              <w:t>7</w:t>
            </w:r>
            <w:r w:rsidRPr="008E77E0">
              <w:rPr>
                <w:rFonts w:cs="Arial"/>
                <w:b/>
                <w:color w:val="auto"/>
                <w:sz w:val="20"/>
                <w:szCs w:val="20"/>
              </w:rPr>
              <w:t>)</w:t>
            </w:r>
          </w:p>
        </w:tc>
      </w:tr>
      <w:tr w:rsidR="006B666B" w:rsidRPr="00523E4E" w:rsidTr="006B666B">
        <w:trPr>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r w:rsidRPr="00F30237">
              <w:rPr>
                <w:rFonts w:cs="Arial"/>
                <w:b w:val="0"/>
                <w:color w:val="auto"/>
                <w:sz w:val="20"/>
                <w:szCs w:val="20"/>
              </w:rPr>
              <w:t>(0.1)</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Provisions</w:t>
            </w:r>
          </w:p>
        </w:tc>
        <w:tc>
          <w:tcPr>
            <w:tcW w:w="992" w:type="dxa"/>
            <w:shd w:val="clear" w:color="auto" w:fill="auto"/>
            <w:noWrap/>
          </w:tcPr>
          <w:p w:rsidR="006B666B" w:rsidRPr="00F30237" w:rsidRDefault="006B666B" w:rsidP="00B44021">
            <w:pPr>
              <w:widowControl w:val="0"/>
              <w:jc w:val="center"/>
              <w:cnfStyle w:val="000000000000"/>
              <w:rPr>
                <w:rFonts w:cs="Arial"/>
                <w:color w:val="auto"/>
                <w:sz w:val="20"/>
                <w:szCs w:val="20"/>
              </w:rPr>
            </w:pPr>
            <w:r w:rsidRPr="00F30237">
              <w:rPr>
                <w:rFonts w:cs="Arial"/>
                <w:color w:val="auto"/>
                <w:sz w:val="20"/>
                <w:szCs w:val="20"/>
              </w:rPr>
              <w:t>19</w:t>
            </w:r>
          </w:p>
        </w:tc>
        <w:tc>
          <w:tcPr>
            <w:cnfStyle w:val="000010000000"/>
            <w:tcW w:w="1843" w:type="dxa"/>
            <w:shd w:val="clear" w:color="auto" w:fill="auto"/>
            <w:noWrap/>
          </w:tcPr>
          <w:p w:rsidR="006B666B" w:rsidRPr="008E77E0" w:rsidRDefault="002E5BEF" w:rsidP="00070FA5">
            <w:pPr>
              <w:widowControl w:val="0"/>
              <w:jc w:val="center"/>
              <w:rPr>
                <w:rFonts w:cs="Arial"/>
                <w:b/>
                <w:color w:val="auto"/>
                <w:sz w:val="20"/>
                <w:szCs w:val="20"/>
              </w:rPr>
            </w:pPr>
            <w:r w:rsidRPr="008E77E0">
              <w:rPr>
                <w:rFonts w:cs="Arial"/>
                <w:b/>
                <w:color w:val="auto"/>
                <w:sz w:val="20"/>
                <w:szCs w:val="20"/>
              </w:rPr>
              <w:t>(0.1)</w:t>
            </w:r>
          </w:p>
        </w:tc>
      </w:tr>
      <w:tr w:rsidR="006B666B" w:rsidRPr="00523E4E" w:rsidTr="006B666B">
        <w:trPr>
          <w:cnfStyle w:val="000000100000"/>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r w:rsidRPr="00F30237">
              <w:rPr>
                <w:rFonts w:cs="Arial"/>
                <w:b w:val="0"/>
                <w:color w:val="auto"/>
                <w:sz w:val="20"/>
                <w:szCs w:val="20"/>
              </w:rPr>
              <w:t>(138.3)</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Long Term Borrowing</w:t>
            </w:r>
          </w:p>
        </w:tc>
        <w:tc>
          <w:tcPr>
            <w:tcW w:w="992" w:type="dxa"/>
            <w:shd w:val="clear" w:color="auto" w:fill="auto"/>
            <w:noWrap/>
          </w:tcPr>
          <w:p w:rsidR="006B666B" w:rsidRPr="00F30237" w:rsidRDefault="006B666B" w:rsidP="00B44021">
            <w:pPr>
              <w:widowControl w:val="0"/>
              <w:jc w:val="center"/>
              <w:cnfStyle w:val="000000100000"/>
              <w:rPr>
                <w:rFonts w:cs="Arial"/>
                <w:color w:val="auto"/>
                <w:sz w:val="20"/>
                <w:szCs w:val="20"/>
              </w:rPr>
            </w:pPr>
            <w:r w:rsidRPr="00F30237">
              <w:rPr>
                <w:rFonts w:cs="Arial"/>
                <w:color w:val="auto"/>
                <w:sz w:val="20"/>
                <w:szCs w:val="20"/>
              </w:rPr>
              <w:t>20</w:t>
            </w:r>
          </w:p>
        </w:tc>
        <w:tc>
          <w:tcPr>
            <w:cnfStyle w:val="000010000000"/>
            <w:tcW w:w="1843" w:type="dxa"/>
            <w:shd w:val="clear" w:color="auto" w:fill="auto"/>
            <w:noWrap/>
          </w:tcPr>
          <w:p w:rsidR="006B666B" w:rsidRPr="008E77E0" w:rsidRDefault="002E5BEF" w:rsidP="00E24A42">
            <w:pPr>
              <w:widowControl w:val="0"/>
              <w:jc w:val="center"/>
              <w:rPr>
                <w:rFonts w:cs="Arial"/>
                <w:b/>
                <w:color w:val="auto"/>
                <w:sz w:val="20"/>
                <w:szCs w:val="20"/>
              </w:rPr>
            </w:pPr>
            <w:r w:rsidRPr="008E77E0">
              <w:rPr>
                <w:rFonts w:cs="Arial"/>
                <w:b/>
                <w:color w:val="auto"/>
                <w:sz w:val="20"/>
                <w:szCs w:val="20"/>
              </w:rPr>
              <w:t>(138.3)</w:t>
            </w:r>
          </w:p>
        </w:tc>
      </w:tr>
      <w:tr w:rsidR="006B666B" w:rsidRPr="00523E4E" w:rsidTr="006B666B">
        <w:trPr>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r w:rsidRPr="00F30237">
              <w:rPr>
                <w:rFonts w:cs="Arial"/>
                <w:b w:val="0"/>
                <w:color w:val="auto"/>
                <w:sz w:val="20"/>
                <w:szCs w:val="20"/>
              </w:rPr>
              <w:t>(18.1)</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Other Long Term Liabilities</w:t>
            </w:r>
          </w:p>
        </w:tc>
        <w:tc>
          <w:tcPr>
            <w:tcW w:w="992" w:type="dxa"/>
            <w:shd w:val="clear" w:color="auto" w:fill="auto"/>
            <w:noWrap/>
          </w:tcPr>
          <w:p w:rsidR="006B666B" w:rsidRPr="00F30237" w:rsidRDefault="006B666B" w:rsidP="00B44021">
            <w:pPr>
              <w:widowControl w:val="0"/>
              <w:jc w:val="center"/>
              <w:cnfStyle w:val="000000000000"/>
              <w:rPr>
                <w:rFonts w:cs="Arial"/>
                <w:color w:val="auto"/>
                <w:sz w:val="20"/>
                <w:szCs w:val="20"/>
              </w:rPr>
            </w:pPr>
            <w:r w:rsidRPr="00F30237">
              <w:rPr>
                <w:rFonts w:cs="Arial"/>
                <w:color w:val="auto"/>
                <w:sz w:val="20"/>
                <w:szCs w:val="20"/>
              </w:rPr>
              <w:t>21</w:t>
            </w:r>
          </w:p>
        </w:tc>
        <w:tc>
          <w:tcPr>
            <w:cnfStyle w:val="000010000000"/>
            <w:tcW w:w="1843" w:type="dxa"/>
            <w:shd w:val="clear" w:color="auto" w:fill="auto"/>
            <w:noWrap/>
          </w:tcPr>
          <w:p w:rsidR="006B666B" w:rsidRPr="008E77E0" w:rsidRDefault="002E5BEF" w:rsidP="00070FA5">
            <w:pPr>
              <w:widowControl w:val="0"/>
              <w:jc w:val="center"/>
              <w:rPr>
                <w:rFonts w:cs="Arial"/>
                <w:b/>
                <w:color w:val="auto"/>
                <w:sz w:val="20"/>
                <w:szCs w:val="20"/>
              </w:rPr>
            </w:pPr>
            <w:r w:rsidRPr="008E77E0">
              <w:rPr>
                <w:rFonts w:cs="Arial"/>
                <w:b/>
                <w:color w:val="auto"/>
                <w:sz w:val="20"/>
                <w:szCs w:val="20"/>
              </w:rPr>
              <w:t>(47.1)</w:t>
            </w:r>
          </w:p>
        </w:tc>
      </w:tr>
      <w:tr w:rsidR="006B666B" w:rsidRPr="00523E4E" w:rsidTr="006B666B">
        <w:trPr>
          <w:cnfStyle w:val="000000100000"/>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r w:rsidRPr="00F30237">
              <w:rPr>
                <w:rFonts w:cs="Arial"/>
                <w:b w:val="0"/>
                <w:color w:val="auto"/>
                <w:sz w:val="20"/>
                <w:szCs w:val="20"/>
              </w:rPr>
              <w:t>(167.8)</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Pension Liability</w:t>
            </w:r>
          </w:p>
        </w:tc>
        <w:tc>
          <w:tcPr>
            <w:tcW w:w="992" w:type="dxa"/>
            <w:shd w:val="clear" w:color="auto" w:fill="auto"/>
            <w:noWrap/>
          </w:tcPr>
          <w:p w:rsidR="006B666B" w:rsidRPr="00F30237" w:rsidRDefault="006B666B" w:rsidP="00B44021">
            <w:pPr>
              <w:widowControl w:val="0"/>
              <w:jc w:val="center"/>
              <w:cnfStyle w:val="000000100000"/>
              <w:rPr>
                <w:rFonts w:cs="Arial"/>
                <w:color w:val="auto"/>
                <w:sz w:val="20"/>
                <w:szCs w:val="20"/>
              </w:rPr>
            </w:pPr>
            <w:r w:rsidRPr="00F30237">
              <w:rPr>
                <w:rFonts w:cs="Arial"/>
                <w:color w:val="auto"/>
                <w:sz w:val="20"/>
                <w:szCs w:val="20"/>
              </w:rPr>
              <w:t>38</w:t>
            </w:r>
          </w:p>
        </w:tc>
        <w:tc>
          <w:tcPr>
            <w:cnfStyle w:val="000010000000"/>
            <w:tcW w:w="1843" w:type="dxa"/>
            <w:shd w:val="clear" w:color="auto" w:fill="auto"/>
            <w:noWrap/>
          </w:tcPr>
          <w:p w:rsidR="006B666B" w:rsidRPr="008E77E0" w:rsidRDefault="002E5BEF" w:rsidP="00070FA5">
            <w:pPr>
              <w:widowControl w:val="0"/>
              <w:jc w:val="center"/>
              <w:rPr>
                <w:rFonts w:cs="Arial"/>
                <w:b/>
                <w:color w:val="auto"/>
                <w:sz w:val="20"/>
                <w:szCs w:val="20"/>
              </w:rPr>
            </w:pPr>
            <w:r w:rsidRPr="008E77E0">
              <w:rPr>
                <w:rFonts w:cs="Arial"/>
                <w:b/>
                <w:color w:val="auto"/>
                <w:sz w:val="20"/>
                <w:szCs w:val="20"/>
              </w:rPr>
              <w:t>(151.0)</w:t>
            </w:r>
          </w:p>
        </w:tc>
      </w:tr>
      <w:tr w:rsidR="006B666B" w:rsidRPr="00523E4E" w:rsidTr="006B666B">
        <w:trPr>
          <w:trHeight w:hRule="exact" w:val="619"/>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r w:rsidRPr="00F30237">
              <w:rPr>
                <w:rFonts w:cs="Arial"/>
                <w:b w:val="0"/>
                <w:color w:val="auto"/>
                <w:sz w:val="20"/>
                <w:szCs w:val="20"/>
              </w:rPr>
              <w:t>(0.7)</w:t>
            </w:r>
          </w:p>
        </w:tc>
        <w:tc>
          <w:tcPr>
            <w:cnfStyle w:val="000010000000"/>
            <w:tcW w:w="4395" w:type="dxa"/>
            <w:shd w:val="clear" w:color="auto" w:fill="auto"/>
            <w:noWrap/>
          </w:tcPr>
          <w:p w:rsidR="006B666B" w:rsidRPr="00F30237" w:rsidRDefault="006B666B" w:rsidP="00CE75FC">
            <w:pPr>
              <w:widowControl w:val="0"/>
              <w:ind w:left="80"/>
              <w:rPr>
                <w:rFonts w:cs="Arial"/>
                <w:color w:val="auto"/>
                <w:sz w:val="20"/>
                <w:szCs w:val="20"/>
              </w:rPr>
            </w:pPr>
            <w:r w:rsidRPr="00F30237">
              <w:rPr>
                <w:rFonts w:cs="Arial"/>
                <w:color w:val="auto"/>
                <w:sz w:val="20"/>
                <w:szCs w:val="20"/>
              </w:rPr>
              <w:t>Capital Grants/Contributions: Receipts in Advance</w:t>
            </w:r>
          </w:p>
        </w:tc>
        <w:tc>
          <w:tcPr>
            <w:tcW w:w="992" w:type="dxa"/>
            <w:shd w:val="clear" w:color="auto" w:fill="auto"/>
            <w:noWrap/>
          </w:tcPr>
          <w:p w:rsidR="006B666B" w:rsidRPr="00F30237" w:rsidRDefault="006B666B" w:rsidP="00CE75FC">
            <w:pPr>
              <w:widowControl w:val="0"/>
              <w:jc w:val="center"/>
              <w:cnfStyle w:val="000000000000"/>
              <w:rPr>
                <w:rFonts w:cs="Arial"/>
                <w:color w:val="auto"/>
                <w:sz w:val="20"/>
                <w:szCs w:val="20"/>
              </w:rPr>
            </w:pPr>
          </w:p>
        </w:tc>
        <w:tc>
          <w:tcPr>
            <w:cnfStyle w:val="000010000000"/>
            <w:tcW w:w="1843" w:type="dxa"/>
            <w:shd w:val="clear" w:color="auto" w:fill="auto"/>
            <w:noWrap/>
          </w:tcPr>
          <w:p w:rsidR="006B666B" w:rsidRPr="008E77E0" w:rsidRDefault="001219FF" w:rsidP="00CE75FC">
            <w:pPr>
              <w:widowControl w:val="0"/>
              <w:jc w:val="center"/>
              <w:rPr>
                <w:rFonts w:cs="Arial"/>
                <w:b/>
                <w:color w:val="auto"/>
                <w:sz w:val="20"/>
                <w:szCs w:val="20"/>
              </w:rPr>
            </w:pPr>
            <w:r>
              <w:rPr>
                <w:rFonts w:cs="Arial"/>
                <w:b/>
                <w:color w:val="auto"/>
                <w:sz w:val="20"/>
                <w:szCs w:val="20"/>
              </w:rPr>
              <w:t>(1.5)</w:t>
            </w:r>
          </w:p>
        </w:tc>
      </w:tr>
      <w:tr w:rsidR="006B666B" w:rsidRPr="00523E4E" w:rsidTr="006B666B">
        <w:trPr>
          <w:cnfStyle w:val="000000100000"/>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bCs w:val="0"/>
                <w:color w:val="auto"/>
                <w:sz w:val="20"/>
                <w:szCs w:val="20"/>
              </w:rPr>
            </w:pPr>
            <w:r w:rsidRPr="00F30237">
              <w:rPr>
                <w:rFonts w:cs="Arial"/>
                <w:b w:val="0"/>
                <w:bCs w:val="0"/>
                <w:color w:val="auto"/>
                <w:sz w:val="20"/>
                <w:szCs w:val="20"/>
              </w:rPr>
              <w:t>(328.6)</w:t>
            </w:r>
          </w:p>
        </w:tc>
        <w:tc>
          <w:tcPr>
            <w:cnfStyle w:val="000010000000"/>
            <w:tcW w:w="4395" w:type="dxa"/>
            <w:shd w:val="clear" w:color="auto" w:fill="auto"/>
            <w:noWrap/>
          </w:tcPr>
          <w:p w:rsidR="006B666B" w:rsidRPr="00F30237" w:rsidRDefault="006B666B" w:rsidP="003C5E34">
            <w:pPr>
              <w:widowControl w:val="0"/>
              <w:ind w:left="80"/>
              <w:rPr>
                <w:rFonts w:cs="Arial"/>
                <w:b/>
                <w:bCs/>
                <w:color w:val="auto"/>
                <w:sz w:val="20"/>
                <w:szCs w:val="20"/>
              </w:rPr>
            </w:pPr>
            <w:r w:rsidRPr="00F30237">
              <w:rPr>
                <w:rFonts w:cs="Arial"/>
                <w:b/>
                <w:bCs/>
                <w:color w:val="auto"/>
                <w:sz w:val="20"/>
                <w:szCs w:val="20"/>
              </w:rPr>
              <w:t>Long Term Liabilities</w:t>
            </w:r>
          </w:p>
        </w:tc>
        <w:tc>
          <w:tcPr>
            <w:tcW w:w="992" w:type="dxa"/>
            <w:shd w:val="clear" w:color="auto" w:fill="auto"/>
            <w:noWrap/>
          </w:tcPr>
          <w:p w:rsidR="006B666B" w:rsidRPr="00F30237" w:rsidRDefault="006B666B" w:rsidP="00C87AF0">
            <w:pPr>
              <w:widowControl w:val="0"/>
              <w:jc w:val="center"/>
              <w:cnfStyle w:val="000000100000"/>
              <w:rPr>
                <w:rFonts w:cs="Arial"/>
                <w:bCs/>
                <w:color w:val="auto"/>
                <w:sz w:val="20"/>
                <w:szCs w:val="20"/>
              </w:rPr>
            </w:pPr>
          </w:p>
        </w:tc>
        <w:tc>
          <w:tcPr>
            <w:cnfStyle w:val="000010000000"/>
            <w:tcW w:w="1843" w:type="dxa"/>
            <w:shd w:val="clear" w:color="auto" w:fill="auto"/>
            <w:noWrap/>
          </w:tcPr>
          <w:p w:rsidR="006B666B" w:rsidRPr="008E77E0" w:rsidRDefault="002E5BEF" w:rsidP="00A0773C">
            <w:pPr>
              <w:widowControl w:val="0"/>
              <w:jc w:val="center"/>
              <w:rPr>
                <w:rFonts w:cs="Arial"/>
                <w:b/>
                <w:bCs/>
                <w:color w:val="auto"/>
                <w:sz w:val="20"/>
                <w:szCs w:val="20"/>
              </w:rPr>
            </w:pPr>
            <w:r w:rsidRPr="008E77E0">
              <w:rPr>
                <w:rFonts w:cs="Arial"/>
                <w:b/>
                <w:bCs/>
                <w:color w:val="auto"/>
                <w:sz w:val="20"/>
                <w:szCs w:val="20"/>
              </w:rPr>
              <w:t>(34</w:t>
            </w:r>
            <w:r w:rsidR="001219FF">
              <w:rPr>
                <w:rFonts w:cs="Arial"/>
                <w:b/>
                <w:bCs/>
                <w:color w:val="auto"/>
                <w:sz w:val="20"/>
                <w:szCs w:val="20"/>
              </w:rPr>
              <w:t>1.</w:t>
            </w:r>
            <w:r w:rsidR="00A0773C">
              <w:rPr>
                <w:rFonts w:cs="Arial"/>
                <w:b/>
                <w:bCs/>
                <w:color w:val="auto"/>
                <w:sz w:val="20"/>
                <w:szCs w:val="20"/>
              </w:rPr>
              <w:t>7</w:t>
            </w:r>
            <w:r w:rsidRPr="008E77E0">
              <w:rPr>
                <w:rFonts w:cs="Arial"/>
                <w:b/>
                <w:bCs/>
                <w:color w:val="auto"/>
                <w:sz w:val="20"/>
                <w:szCs w:val="20"/>
              </w:rPr>
              <w:t>)</w:t>
            </w:r>
          </w:p>
        </w:tc>
      </w:tr>
      <w:tr w:rsidR="006B666B" w:rsidRPr="00523E4E" w:rsidTr="006B666B">
        <w:trPr>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bCs w:val="0"/>
                <w:color w:val="auto"/>
                <w:sz w:val="20"/>
                <w:szCs w:val="20"/>
              </w:rPr>
            </w:pPr>
          </w:p>
        </w:tc>
        <w:tc>
          <w:tcPr>
            <w:cnfStyle w:val="000010000000"/>
            <w:tcW w:w="4395" w:type="dxa"/>
            <w:shd w:val="clear" w:color="auto" w:fill="auto"/>
            <w:noWrap/>
          </w:tcPr>
          <w:p w:rsidR="006B666B" w:rsidRPr="00F30237" w:rsidRDefault="006B666B" w:rsidP="003C5E34">
            <w:pPr>
              <w:widowControl w:val="0"/>
              <w:ind w:left="80"/>
              <w:rPr>
                <w:rFonts w:cs="Arial"/>
                <w:b/>
                <w:bCs/>
                <w:color w:val="auto"/>
                <w:sz w:val="20"/>
                <w:szCs w:val="20"/>
              </w:rPr>
            </w:pPr>
          </w:p>
        </w:tc>
        <w:tc>
          <w:tcPr>
            <w:tcW w:w="992" w:type="dxa"/>
            <w:shd w:val="clear" w:color="auto" w:fill="auto"/>
            <w:noWrap/>
          </w:tcPr>
          <w:p w:rsidR="006B666B" w:rsidRPr="00F30237" w:rsidRDefault="006B666B" w:rsidP="00C87AF0">
            <w:pPr>
              <w:widowControl w:val="0"/>
              <w:jc w:val="center"/>
              <w:cnfStyle w:val="000000000000"/>
              <w:rPr>
                <w:rFonts w:cs="Arial"/>
                <w:bCs/>
                <w:color w:val="auto"/>
                <w:sz w:val="20"/>
                <w:szCs w:val="20"/>
              </w:rPr>
            </w:pPr>
          </w:p>
        </w:tc>
        <w:tc>
          <w:tcPr>
            <w:cnfStyle w:val="000010000000"/>
            <w:tcW w:w="1843" w:type="dxa"/>
            <w:shd w:val="clear" w:color="auto" w:fill="auto"/>
            <w:noWrap/>
          </w:tcPr>
          <w:p w:rsidR="006B666B" w:rsidRPr="008E77E0" w:rsidRDefault="006B666B" w:rsidP="00070FA5">
            <w:pPr>
              <w:widowControl w:val="0"/>
              <w:jc w:val="center"/>
              <w:rPr>
                <w:rFonts w:cs="Arial"/>
                <w:b/>
                <w:bCs/>
                <w:color w:val="auto"/>
                <w:sz w:val="20"/>
                <w:szCs w:val="20"/>
              </w:rPr>
            </w:pPr>
          </w:p>
        </w:tc>
      </w:tr>
      <w:tr w:rsidR="006B666B" w:rsidRPr="00523E4E" w:rsidTr="006B666B">
        <w:trPr>
          <w:cnfStyle w:val="000000100000"/>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bCs w:val="0"/>
                <w:color w:val="auto"/>
                <w:sz w:val="20"/>
                <w:szCs w:val="20"/>
              </w:rPr>
            </w:pPr>
            <w:r w:rsidRPr="00F30237">
              <w:rPr>
                <w:rFonts w:cs="Arial"/>
                <w:b w:val="0"/>
                <w:bCs w:val="0"/>
                <w:color w:val="auto"/>
                <w:sz w:val="20"/>
                <w:szCs w:val="20"/>
              </w:rPr>
              <w:t>42.6</w:t>
            </w:r>
          </w:p>
        </w:tc>
        <w:tc>
          <w:tcPr>
            <w:cnfStyle w:val="000010000000"/>
            <w:tcW w:w="4395" w:type="dxa"/>
            <w:shd w:val="clear" w:color="auto" w:fill="auto"/>
            <w:noWrap/>
          </w:tcPr>
          <w:p w:rsidR="006B666B" w:rsidRPr="00F30237" w:rsidRDefault="006B666B" w:rsidP="003C5E34">
            <w:pPr>
              <w:widowControl w:val="0"/>
              <w:ind w:left="80"/>
              <w:rPr>
                <w:rFonts w:cs="Arial"/>
                <w:b/>
                <w:bCs/>
                <w:color w:val="auto"/>
                <w:sz w:val="20"/>
                <w:szCs w:val="20"/>
              </w:rPr>
            </w:pPr>
            <w:r w:rsidRPr="00F30237">
              <w:rPr>
                <w:rFonts w:cs="Arial"/>
                <w:b/>
                <w:bCs/>
                <w:color w:val="auto"/>
                <w:sz w:val="20"/>
                <w:szCs w:val="20"/>
              </w:rPr>
              <w:t>Net Assets</w:t>
            </w:r>
          </w:p>
        </w:tc>
        <w:tc>
          <w:tcPr>
            <w:tcW w:w="992" w:type="dxa"/>
            <w:shd w:val="clear" w:color="auto" w:fill="auto"/>
            <w:noWrap/>
          </w:tcPr>
          <w:p w:rsidR="006B666B" w:rsidRPr="00F30237" w:rsidRDefault="006B666B" w:rsidP="00C87AF0">
            <w:pPr>
              <w:widowControl w:val="0"/>
              <w:jc w:val="center"/>
              <w:cnfStyle w:val="000000100000"/>
              <w:rPr>
                <w:rFonts w:cs="Arial"/>
                <w:bCs/>
                <w:color w:val="auto"/>
                <w:sz w:val="20"/>
                <w:szCs w:val="20"/>
              </w:rPr>
            </w:pPr>
          </w:p>
        </w:tc>
        <w:tc>
          <w:tcPr>
            <w:cnfStyle w:val="000010000000"/>
            <w:tcW w:w="1843" w:type="dxa"/>
            <w:shd w:val="clear" w:color="auto" w:fill="auto"/>
            <w:noWrap/>
          </w:tcPr>
          <w:p w:rsidR="006B666B" w:rsidRPr="008E77E0" w:rsidRDefault="002E5BEF" w:rsidP="003815BA">
            <w:pPr>
              <w:widowControl w:val="0"/>
              <w:jc w:val="center"/>
              <w:rPr>
                <w:rFonts w:cs="Arial"/>
                <w:b/>
                <w:bCs/>
                <w:color w:val="auto"/>
                <w:sz w:val="20"/>
                <w:szCs w:val="20"/>
              </w:rPr>
            </w:pPr>
            <w:r w:rsidRPr="008E77E0">
              <w:rPr>
                <w:rFonts w:cs="Arial"/>
                <w:b/>
                <w:bCs/>
                <w:color w:val="auto"/>
                <w:sz w:val="20"/>
                <w:szCs w:val="20"/>
              </w:rPr>
              <w:t>47.</w:t>
            </w:r>
            <w:r w:rsidR="008E77E0" w:rsidRPr="008E77E0">
              <w:rPr>
                <w:rFonts w:cs="Arial"/>
                <w:b/>
                <w:bCs/>
                <w:color w:val="auto"/>
                <w:sz w:val="20"/>
                <w:szCs w:val="20"/>
              </w:rPr>
              <w:t>3</w:t>
            </w:r>
          </w:p>
        </w:tc>
      </w:tr>
      <w:tr w:rsidR="006B666B" w:rsidRPr="00523E4E" w:rsidTr="006B666B">
        <w:trPr>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p>
        </w:tc>
        <w:tc>
          <w:tcPr>
            <w:tcW w:w="992" w:type="dxa"/>
            <w:shd w:val="clear" w:color="auto" w:fill="auto"/>
            <w:noWrap/>
          </w:tcPr>
          <w:p w:rsidR="006B666B" w:rsidRPr="00F30237" w:rsidRDefault="006B666B" w:rsidP="00C87AF0">
            <w:pPr>
              <w:widowControl w:val="0"/>
              <w:jc w:val="center"/>
              <w:cnfStyle w:val="000000000000"/>
              <w:rPr>
                <w:rFonts w:cs="Arial"/>
                <w:color w:val="auto"/>
                <w:sz w:val="20"/>
                <w:szCs w:val="20"/>
              </w:rPr>
            </w:pPr>
          </w:p>
        </w:tc>
        <w:tc>
          <w:tcPr>
            <w:cnfStyle w:val="000010000000"/>
            <w:tcW w:w="1843" w:type="dxa"/>
            <w:shd w:val="clear" w:color="auto" w:fill="auto"/>
            <w:noWrap/>
          </w:tcPr>
          <w:p w:rsidR="006B666B" w:rsidRPr="008E77E0" w:rsidRDefault="006B666B" w:rsidP="00070FA5">
            <w:pPr>
              <w:widowControl w:val="0"/>
              <w:jc w:val="center"/>
              <w:rPr>
                <w:rFonts w:cs="Arial"/>
                <w:b/>
                <w:color w:val="auto"/>
                <w:sz w:val="20"/>
                <w:szCs w:val="20"/>
              </w:rPr>
            </w:pPr>
          </w:p>
        </w:tc>
      </w:tr>
      <w:tr w:rsidR="006B666B" w:rsidRPr="00523E4E" w:rsidTr="006B666B">
        <w:trPr>
          <w:cnfStyle w:val="000000100000"/>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r w:rsidRPr="00F30237">
              <w:rPr>
                <w:rFonts w:cs="Arial"/>
                <w:b w:val="0"/>
                <w:color w:val="auto"/>
                <w:sz w:val="20"/>
                <w:szCs w:val="20"/>
              </w:rPr>
              <w:t>43.9</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Usable reserves</w:t>
            </w:r>
          </w:p>
        </w:tc>
        <w:tc>
          <w:tcPr>
            <w:tcW w:w="992" w:type="dxa"/>
            <w:shd w:val="clear" w:color="auto" w:fill="auto"/>
            <w:noWrap/>
          </w:tcPr>
          <w:p w:rsidR="006B666B" w:rsidRPr="00F30237" w:rsidRDefault="006B666B" w:rsidP="00B44021">
            <w:pPr>
              <w:widowControl w:val="0"/>
              <w:jc w:val="center"/>
              <w:cnfStyle w:val="000000100000"/>
              <w:rPr>
                <w:rFonts w:cs="Arial"/>
                <w:bCs/>
                <w:color w:val="auto"/>
                <w:sz w:val="20"/>
                <w:szCs w:val="20"/>
              </w:rPr>
            </w:pPr>
            <w:r w:rsidRPr="00F30237">
              <w:rPr>
                <w:rFonts w:cs="Arial"/>
                <w:bCs/>
                <w:color w:val="auto"/>
                <w:sz w:val="20"/>
                <w:szCs w:val="20"/>
              </w:rPr>
              <w:t>22</w:t>
            </w:r>
          </w:p>
        </w:tc>
        <w:tc>
          <w:tcPr>
            <w:cnfStyle w:val="000010000000"/>
            <w:tcW w:w="1843" w:type="dxa"/>
            <w:shd w:val="clear" w:color="auto" w:fill="auto"/>
            <w:noWrap/>
          </w:tcPr>
          <w:p w:rsidR="006B666B" w:rsidRPr="008E77E0" w:rsidRDefault="002E5BEF" w:rsidP="002E5BEF">
            <w:pPr>
              <w:widowControl w:val="0"/>
              <w:jc w:val="center"/>
              <w:rPr>
                <w:rFonts w:cs="Arial"/>
                <w:b/>
                <w:color w:val="auto"/>
                <w:sz w:val="20"/>
                <w:szCs w:val="20"/>
              </w:rPr>
            </w:pPr>
            <w:r w:rsidRPr="008E77E0">
              <w:rPr>
                <w:rFonts w:cs="Arial"/>
                <w:b/>
                <w:color w:val="auto"/>
                <w:sz w:val="20"/>
                <w:szCs w:val="20"/>
              </w:rPr>
              <w:t>35.3</w:t>
            </w:r>
          </w:p>
        </w:tc>
      </w:tr>
      <w:tr w:rsidR="006B666B" w:rsidRPr="00523E4E" w:rsidTr="006B666B">
        <w:trPr>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r w:rsidRPr="00F30237">
              <w:rPr>
                <w:rFonts w:cs="Arial"/>
                <w:b w:val="0"/>
                <w:color w:val="auto"/>
                <w:sz w:val="20"/>
                <w:szCs w:val="20"/>
              </w:rPr>
              <w:t>(1.3)</w:t>
            </w: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r w:rsidRPr="00F30237">
              <w:rPr>
                <w:rFonts w:cs="Arial"/>
                <w:color w:val="auto"/>
                <w:sz w:val="20"/>
                <w:szCs w:val="20"/>
              </w:rPr>
              <w:t>Unusable Reserves</w:t>
            </w:r>
          </w:p>
        </w:tc>
        <w:tc>
          <w:tcPr>
            <w:tcW w:w="992" w:type="dxa"/>
            <w:shd w:val="clear" w:color="auto" w:fill="auto"/>
            <w:noWrap/>
          </w:tcPr>
          <w:p w:rsidR="006B666B" w:rsidRPr="00F30237" w:rsidRDefault="006B666B" w:rsidP="00B44021">
            <w:pPr>
              <w:widowControl w:val="0"/>
              <w:jc w:val="center"/>
              <w:cnfStyle w:val="000000000000"/>
              <w:rPr>
                <w:rFonts w:cs="Arial"/>
                <w:bCs/>
                <w:color w:val="auto"/>
                <w:sz w:val="20"/>
                <w:szCs w:val="20"/>
              </w:rPr>
            </w:pPr>
            <w:r w:rsidRPr="00F30237">
              <w:rPr>
                <w:rFonts w:cs="Arial"/>
                <w:bCs/>
                <w:color w:val="auto"/>
                <w:sz w:val="20"/>
                <w:szCs w:val="20"/>
              </w:rPr>
              <w:t>23</w:t>
            </w:r>
          </w:p>
        </w:tc>
        <w:tc>
          <w:tcPr>
            <w:cnfStyle w:val="000010000000"/>
            <w:tcW w:w="1843" w:type="dxa"/>
            <w:shd w:val="clear" w:color="auto" w:fill="auto"/>
            <w:noWrap/>
          </w:tcPr>
          <w:p w:rsidR="006B666B" w:rsidRPr="008E77E0" w:rsidRDefault="002E5BEF" w:rsidP="008E77E0">
            <w:pPr>
              <w:widowControl w:val="0"/>
              <w:jc w:val="center"/>
              <w:rPr>
                <w:rFonts w:cs="Arial"/>
                <w:b/>
                <w:color w:val="auto"/>
                <w:sz w:val="20"/>
                <w:szCs w:val="20"/>
              </w:rPr>
            </w:pPr>
            <w:r w:rsidRPr="008E77E0">
              <w:rPr>
                <w:rFonts w:cs="Arial"/>
                <w:b/>
                <w:color w:val="auto"/>
                <w:sz w:val="20"/>
                <w:szCs w:val="20"/>
              </w:rPr>
              <w:t>12.</w:t>
            </w:r>
            <w:r w:rsidR="008E77E0" w:rsidRPr="008E77E0">
              <w:rPr>
                <w:rFonts w:cs="Arial"/>
                <w:b/>
                <w:color w:val="auto"/>
                <w:sz w:val="20"/>
                <w:szCs w:val="20"/>
              </w:rPr>
              <w:t>0</w:t>
            </w:r>
          </w:p>
        </w:tc>
      </w:tr>
      <w:tr w:rsidR="006B666B" w:rsidRPr="00523E4E" w:rsidTr="006B666B">
        <w:trPr>
          <w:cnfStyle w:val="000000100000"/>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color w:val="auto"/>
                <w:sz w:val="20"/>
                <w:szCs w:val="20"/>
              </w:rPr>
            </w:pPr>
          </w:p>
        </w:tc>
        <w:tc>
          <w:tcPr>
            <w:cnfStyle w:val="000010000000"/>
            <w:tcW w:w="4395" w:type="dxa"/>
            <w:shd w:val="clear" w:color="auto" w:fill="auto"/>
            <w:noWrap/>
          </w:tcPr>
          <w:p w:rsidR="006B666B" w:rsidRPr="00F30237" w:rsidRDefault="006B666B" w:rsidP="003C5E34">
            <w:pPr>
              <w:widowControl w:val="0"/>
              <w:ind w:left="80"/>
              <w:rPr>
                <w:rFonts w:cs="Arial"/>
                <w:color w:val="auto"/>
                <w:sz w:val="20"/>
                <w:szCs w:val="20"/>
              </w:rPr>
            </w:pPr>
          </w:p>
        </w:tc>
        <w:tc>
          <w:tcPr>
            <w:tcW w:w="992" w:type="dxa"/>
            <w:shd w:val="clear" w:color="auto" w:fill="auto"/>
            <w:noWrap/>
          </w:tcPr>
          <w:p w:rsidR="006B666B" w:rsidRPr="00F30237" w:rsidRDefault="006B666B" w:rsidP="003C5E34">
            <w:pPr>
              <w:widowControl w:val="0"/>
              <w:cnfStyle w:val="000000100000"/>
              <w:rPr>
                <w:rFonts w:cs="Arial"/>
                <w:color w:val="auto"/>
                <w:sz w:val="20"/>
                <w:szCs w:val="20"/>
              </w:rPr>
            </w:pPr>
          </w:p>
        </w:tc>
        <w:tc>
          <w:tcPr>
            <w:cnfStyle w:val="000010000000"/>
            <w:tcW w:w="1843" w:type="dxa"/>
            <w:shd w:val="clear" w:color="auto" w:fill="auto"/>
            <w:noWrap/>
          </w:tcPr>
          <w:p w:rsidR="006B666B" w:rsidRPr="008E77E0" w:rsidRDefault="006B666B" w:rsidP="00070FA5">
            <w:pPr>
              <w:widowControl w:val="0"/>
              <w:jc w:val="center"/>
              <w:rPr>
                <w:rFonts w:cs="Arial"/>
                <w:b/>
                <w:color w:val="auto"/>
                <w:sz w:val="20"/>
                <w:szCs w:val="20"/>
              </w:rPr>
            </w:pPr>
          </w:p>
        </w:tc>
      </w:tr>
      <w:tr w:rsidR="006B666B" w:rsidRPr="00523E4E" w:rsidTr="006B666B">
        <w:trPr>
          <w:trHeight w:hRule="exact" w:val="397"/>
        </w:trPr>
        <w:tc>
          <w:tcPr>
            <w:cnfStyle w:val="001000000000"/>
            <w:tcW w:w="1701" w:type="dxa"/>
            <w:shd w:val="clear" w:color="auto" w:fill="auto"/>
          </w:tcPr>
          <w:p w:rsidR="006B666B" w:rsidRPr="00F30237" w:rsidRDefault="006B666B" w:rsidP="00F30237">
            <w:pPr>
              <w:widowControl w:val="0"/>
              <w:jc w:val="center"/>
              <w:rPr>
                <w:rFonts w:cs="Arial"/>
                <w:b w:val="0"/>
                <w:bCs w:val="0"/>
                <w:color w:val="auto"/>
                <w:sz w:val="20"/>
                <w:szCs w:val="20"/>
              </w:rPr>
            </w:pPr>
            <w:r w:rsidRPr="00F30237">
              <w:rPr>
                <w:rFonts w:cs="Arial"/>
                <w:b w:val="0"/>
                <w:bCs w:val="0"/>
                <w:color w:val="auto"/>
                <w:sz w:val="20"/>
                <w:szCs w:val="20"/>
              </w:rPr>
              <w:t>42.6</w:t>
            </w:r>
          </w:p>
        </w:tc>
        <w:tc>
          <w:tcPr>
            <w:cnfStyle w:val="000010000000"/>
            <w:tcW w:w="4395" w:type="dxa"/>
            <w:shd w:val="clear" w:color="auto" w:fill="auto"/>
            <w:noWrap/>
          </w:tcPr>
          <w:p w:rsidR="006B666B" w:rsidRPr="00F30237" w:rsidRDefault="006B666B" w:rsidP="003C5E34">
            <w:pPr>
              <w:widowControl w:val="0"/>
              <w:ind w:left="80"/>
              <w:rPr>
                <w:rFonts w:cs="Arial"/>
                <w:b/>
                <w:bCs/>
                <w:color w:val="auto"/>
                <w:sz w:val="20"/>
                <w:szCs w:val="20"/>
              </w:rPr>
            </w:pPr>
            <w:r w:rsidRPr="00F30237">
              <w:rPr>
                <w:rFonts w:cs="Arial"/>
                <w:b/>
                <w:bCs/>
                <w:color w:val="auto"/>
                <w:sz w:val="20"/>
                <w:szCs w:val="20"/>
              </w:rPr>
              <w:t>Total Reserves</w:t>
            </w:r>
          </w:p>
        </w:tc>
        <w:tc>
          <w:tcPr>
            <w:tcW w:w="992" w:type="dxa"/>
            <w:shd w:val="clear" w:color="auto" w:fill="auto"/>
            <w:noWrap/>
          </w:tcPr>
          <w:p w:rsidR="006B666B" w:rsidRPr="00F30237" w:rsidRDefault="006B666B" w:rsidP="003C5E34">
            <w:pPr>
              <w:widowControl w:val="0"/>
              <w:cnfStyle w:val="000000000000"/>
              <w:rPr>
                <w:rFonts w:cs="Arial"/>
                <w:bCs/>
                <w:color w:val="auto"/>
                <w:sz w:val="20"/>
                <w:szCs w:val="20"/>
              </w:rPr>
            </w:pPr>
          </w:p>
        </w:tc>
        <w:tc>
          <w:tcPr>
            <w:cnfStyle w:val="000010000000"/>
            <w:tcW w:w="1843" w:type="dxa"/>
            <w:shd w:val="clear" w:color="auto" w:fill="auto"/>
            <w:noWrap/>
          </w:tcPr>
          <w:p w:rsidR="006B666B" w:rsidRPr="008E77E0" w:rsidRDefault="002E5BEF" w:rsidP="008E77E0">
            <w:pPr>
              <w:widowControl w:val="0"/>
              <w:jc w:val="center"/>
              <w:rPr>
                <w:rFonts w:cs="Arial"/>
                <w:b/>
                <w:bCs/>
                <w:color w:val="auto"/>
                <w:sz w:val="20"/>
                <w:szCs w:val="20"/>
              </w:rPr>
            </w:pPr>
            <w:r w:rsidRPr="008E77E0">
              <w:rPr>
                <w:rFonts w:cs="Arial"/>
                <w:b/>
                <w:bCs/>
                <w:color w:val="auto"/>
                <w:sz w:val="20"/>
                <w:szCs w:val="20"/>
              </w:rPr>
              <w:t>47.</w:t>
            </w:r>
            <w:r w:rsidR="008E77E0" w:rsidRPr="008E77E0">
              <w:rPr>
                <w:rFonts w:cs="Arial"/>
                <w:b/>
                <w:bCs/>
                <w:color w:val="auto"/>
                <w:sz w:val="20"/>
                <w:szCs w:val="20"/>
              </w:rPr>
              <w:t>3</w:t>
            </w:r>
          </w:p>
        </w:tc>
      </w:tr>
      <w:tr w:rsidR="006B666B" w:rsidRPr="00F30237" w:rsidTr="006B666B">
        <w:trPr>
          <w:cnfStyle w:val="000000100000"/>
          <w:trHeight w:val="567"/>
        </w:trPr>
        <w:tc>
          <w:tcPr>
            <w:cnfStyle w:val="001000000000"/>
            <w:tcW w:w="7088" w:type="dxa"/>
            <w:gridSpan w:val="3"/>
            <w:shd w:val="clear" w:color="auto" w:fill="auto"/>
          </w:tcPr>
          <w:p w:rsidR="006B666B" w:rsidRPr="00F30237" w:rsidRDefault="006B666B" w:rsidP="000B5B9A">
            <w:pPr>
              <w:pStyle w:val="Footer"/>
              <w:rPr>
                <w:color w:val="auto"/>
                <w:sz w:val="20"/>
                <w:szCs w:val="20"/>
              </w:rPr>
            </w:pPr>
          </w:p>
          <w:p w:rsidR="006B666B" w:rsidRPr="00F30237" w:rsidRDefault="006B666B" w:rsidP="000B5B9A">
            <w:pPr>
              <w:pStyle w:val="Footer"/>
              <w:rPr>
                <w:color w:val="auto"/>
                <w:sz w:val="20"/>
                <w:szCs w:val="20"/>
              </w:rPr>
            </w:pPr>
          </w:p>
          <w:p w:rsidR="006B666B" w:rsidRPr="00F30237" w:rsidRDefault="006B666B" w:rsidP="000B5B9A">
            <w:pPr>
              <w:pStyle w:val="Footer"/>
              <w:rPr>
                <w:color w:val="auto"/>
                <w:sz w:val="20"/>
                <w:szCs w:val="20"/>
              </w:rPr>
            </w:pPr>
          </w:p>
          <w:p w:rsidR="006B666B" w:rsidRPr="00F30237" w:rsidRDefault="006B666B" w:rsidP="000B5B9A">
            <w:pPr>
              <w:pStyle w:val="Footer"/>
              <w:rPr>
                <w:color w:val="auto"/>
                <w:sz w:val="20"/>
                <w:szCs w:val="20"/>
              </w:rPr>
            </w:pPr>
          </w:p>
          <w:p w:rsidR="006B666B" w:rsidRPr="00F30237" w:rsidRDefault="006B666B" w:rsidP="000B5B9A">
            <w:pPr>
              <w:pStyle w:val="Footer"/>
              <w:rPr>
                <w:color w:val="auto"/>
                <w:sz w:val="20"/>
                <w:szCs w:val="20"/>
              </w:rPr>
            </w:pPr>
          </w:p>
          <w:p w:rsidR="006B666B" w:rsidRPr="00F30237" w:rsidRDefault="006B666B" w:rsidP="000B5B9A">
            <w:pPr>
              <w:pStyle w:val="Footer"/>
              <w:rPr>
                <w:color w:val="auto"/>
                <w:sz w:val="20"/>
                <w:szCs w:val="20"/>
              </w:rPr>
            </w:pPr>
          </w:p>
          <w:p w:rsidR="00051AAE" w:rsidRPr="0035317D" w:rsidRDefault="006B666B" w:rsidP="000B5B9A">
            <w:pPr>
              <w:pStyle w:val="Footer"/>
              <w:rPr>
                <w:b w:val="0"/>
                <w:color w:val="auto"/>
                <w:sz w:val="20"/>
                <w:szCs w:val="20"/>
              </w:rPr>
            </w:pPr>
            <w:r w:rsidRPr="0035317D">
              <w:rPr>
                <w:b w:val="0"/>
                <w:color w:val="auto"/>
                <w:sz w:val="20"/>
                <w:szCs w:val="20"/>
              </w:rPr>
              <w:t xml:space="preserve">M Phillips  </w:t>
            </w:r>
          </w:p>
          <w:p w:rsidR="006B666B" w:rsidRPr="0035317D" w:rsidRDefault="006B666B" w:rsidP="000B5B9A">
            <w:pPr>
              <w:pStyle w:val="Footer"/>
              <w:rPr>
                <w:b w:val="0"/>
                <w:color w:val="auto"/>
                <w:sz w:val="20"/>
                <w:szCs w:val="20"/>
              </w:rPr>
            </w:pPr>
            <w:r w:rsidRPr="0035317D">
              <w:rPr>
                <w:b w:val="0"/>
                <w:color w:val="auto"/>
                <w:sz w:val="20"/>
                <w:szCs w:val="20"/>
              </w:rPr>
              <w:t>Chief Finance Officer</w:t>
            </w:r>
          </w:p>
          <w:p w:rsidR="006B666B" w:rsidRPr="0035317D" w:rsidRDefault="009600DD" w:rsidP="00AF4A76">
            <w:pPr>
              <w:pStyle w:val="Footer"/>
              <w:rPr>
                <w:rFonts w:cs="Arial"/>
                <w:b w:val="0"/>
                <w:color w:val="auto"/>
                <w:sz w:val="20"/>
                <w:szCs w:val="20"/>
              </w:rPr>
            </w:pPr>
            <w:r w:rsidRPr="0035317D">
              <w:rPr>
                <w:rFonts w:cs="Arial"/>
                <w:b w:val="0"/>
                <w:color w:val="auto"/>
                <w:sz w:val="20"/>
                <w:szCs w:val="20"/>
              </w:rPr>
              <w:t>3rd</w:t>
            </w:r>
            <w:r w:rsidR="006B666B" w:rsidRPr="0035317D">
              <w:rPr>
                <w:rFonts w:cs="Arial"/>
                <w:b w:val="0"/>
                <w:color w:val="auto"/>
                <w:sz w:val="20"/>
                <w:szCs w:val="20"/>
              </w:rPr>
              <w:t xml:space="preserve"> June 201</w:t>
            </w:r>
            <w:r w:rsidRPr="0035317D">
              <w:rPr>
                <w:rFonts w:cs="Arial"/>
                <w:b w:val="0"/>
                <w:color w:val="auto"/>
                <w:sz w:val="20"/>
                <w:szCs w:val="20"/>
              </w:rPr>
              <w:t>6</w:t>
            </w:r>
          </w:p>
          <w:p w:rsidR="006B666B" w:rsidRPr="006B666B" w:rsidRDefault="006B666B" w:rsidP="00AF4A76">
            <w:pPr>
              <w:pStyle w:val="Footer"/>
              <w:rPr>
                <w:rFonts w:cs="Arial"/>
                <w:b w:val="0"/>
                <w:color w:val="548DD4" w:themeColor="text2" w:themeTint="99"/>
                <w:sz w:val="20"/>
                <w:szCs w:val="20"/>
              </w:rPr>
            </w:pPr>
          </w:p>
          <w:p w:rsidR="006B666B" w:rsidRPr="006B666B" w:rsidRDefault="006B666B" w:rsidP="00AF4A76">
            <w:pPr>
              <w:pStyle w:val="Footer"/>
              <w:rPr>
                <w:rFonts w:cs="Arial"/>
                <w:b w:val="0"/>
                <w:color w:val="548DD4" w:themeColor="text2" w:themeTint="99"/>
                <w:sz w:val="20"/>
                <w:szCs w:val="20"/>
              </w:rPr>
            </w:pPr>
          </w:p>
          <w:p w:rsidR="006B666B" w:rsidRPr="006B666B" w:rsidRDefault="006B666B" w:rsidP="00AF4A76">
            <w:pPr>
              <w:pStyle w:val="Footer"/>
              <w:rPr>
                <w:rFonts w:cs="Arial"/>
                <w:b w:val="0"/>
                <w:color w:val="548DD4" w:themeColor="text2" w:themeTint="99"/>
                <w:sz w:val="20"/>
                <w:szCs w:val="20"/>
              </w:rPr>
            </w:pPr>
          </w:p>
          <w:p w:rsidR="006B666B" w:rsidRPr="006B666B" w:rsidRDefault="006B666B" w:rsidP="00AF4A76">
            <w:pPr>
              <w:pStyle w:val="Footer"/>
              <w:rPr>
                <w:rFonts w:cs="Arial"/>
                <w:b w:val="0"/>
                <w:color w:val="548DD4" w:themeColor="text2" w:themeTint="99"/>
                <w:sz w:val="20"/>
                <w:szCs w:val="20"/>
              </w:rPr>
            </w:pPr>
          </w:p>
          <w:p w:rsidR="006B666B" w:rsidRPr="006B666B" w:rsidRDefault="006B666B" w:rsidP="00AF4A76">
            <w:pPr>
              <w:pStyle w:val="Footer"/>
              <w:rPr>
                <w:rFonts w:cs="Arial"/>
                <w:b w:val="0"/>
                <w:color w:val="548DD4" w:themeColor="text2" w:themeTint="99"/>
                <w:sz w:val="20"/>
                <w:szCs w:val="20"/>
              </w:rPr>
            </w:pPr>
          </w:p>
          <w:p w:rsidR="006B666B" w:rsidRPr="006B666B" w:rsidRDefault="006B666B" w:rsidP="00AF4A76">
            <w:pPr>
              <w:pStyle w:val="Footer"/>
              <w:rPr>
                <w:rFonts w:cs="Arial"/>
                <w:b w:val="0"/>
                <w:color w:val="548DD4" w:themeColor="text2" w:themeTint="99"/>
                <w:sz w:val="20"/>
                <w:szCs w:val="20"/>
              </w:rPr>
            </w:pPr>
          </w:p>
          <w:p w:rsidR="006B666B" w:rsidRPr="00D71527" w:rsidRDefault="006B666B" w:rsidP="007220C0">
            <w:pPr>
              <w:pStyle w:val="Footer"/>
              <w:rPr>
                <w:b w:val="0"/>
                <w:color w:val="auto"/>
                <w:sz w:val="20"/>
                <w:szCs w:val="20"/>
              </w:rPr>
            </w:pPr>
            <w:r w:rsidRPr="00D71527">
              <w:rPr>
                <w:b w:val="0"/>
                <w:color w:val="auto"/>
                <w:sz w:val="20"/>
                <w:szCs w:val="20"/>
              </w:rPr>
              <w:t xml:space="preserve">M Phillips  </w:t>
            </w:r>
          </w:p>
          <w:p w:rsidR="006B666B" w:rsidRPr="00D71527" w:rsidRDefault="006B666B" w:rsidP="007220C0">
            <w:pPr>
              <w:pStyle w:val="Footer"/>
              <w:rPr>
                <w:b w:val="0"/>
                <w:color w:val="auto"/>
                <w:sz w:val="20"/>
                <w:szCs w:val="20"/>
              </w:rPr>
            </w:pPr>
            <w:r w:rsidRPr="00D71527">
              <w:rPr>
                <w:b w:val="0"/>
                <w:color w:val="auto"/>
                <w:sz w:val="20"/>
                <w:szCs w:val="20"/>
              </w:rPr>
              <w:t>Chief Finance Officer</w:t>
            </w:r>
          </w:p>
          <w:p w:rsidR="006B666B" w:rsidRPr="00D71527" w:rsidRDefault="006B666B" w:rsidP="007220C0">
            <w:pPr>
              <w:pStyle w:val="Footer"/>
              <w:rPr>
                <w:b w:val="0"/>
                <w:color w:val="auto"/>
                <w:sz w:val="20"/>
                <w:szCs w:val="20"/>
              </w:rPr>
            </w:pPr>
            <w:r w:rsidRPr="00D71527">
              <w:rPr>
                <w:b w:val="0"/>
                <w:color w:val="auto"/>
                <w:sz w:val="20"/>
                <w:szCs w:val="20"/>
              </w:rPr>
              <w:t>2</w:t>
            </w:r>
            <w:r w:rsidR="008C1F51" w:rsidRPr="00D71527">
              <w:rPr>
                <w:b w:val="0"/>
                <w:color w:val="auto"/>
                <w:sz w:val="20"/>
                <w:szCs w:val="20"/>
              </w:rPr>
              <w:t>7</w:t>
            </w:r>
            <w:r w:rsidRPr="00D71527">
              <w:rPr>
                <w:b w:val="0"/>
                <w:color w:val="auto"/>
                <w:sz w:val="20"/>
                <w:szCs w:val="20"/>
              </w:rPr>
              <w:t>th July 201</w:t>
            </w:r>
            <w:r w:rsidR="008C1F51" w:rsidRPr="00D71527">
              <w:rPr>
                <w:b w:val="0"/>
                <w:color w:val="auto"/>
                <w:sz w:val="20"/>
                <w:szCs w:val="20"/>
              </w:rPr>
              <w:t>6</w:t>
            </w:r>
          </w:p>
          <w:p w:rsidR="006B666B" w:rsidRPr="00F30237" w:rsidRDefault="006B666B" w:rsidP="00AF4A76">
            <w:pPr>
              <w:pStyle w:val="Footer"/>
              <w:rPr>
                <w:rFonts w:cs="Arial"/>
                <w:color w:val="auto"/>
                <w:sz w:val="20"/>
                <w:szCs w:val="20"/>
              </w:rPr>
            </w:pPr>
          </w:p>
          <w:p w:rsidR="006B666B" w:rsidRPr="00F30237" w:rsidRDefault="006B666B" w:rsidP="00AF4A76">
            <w:pPr>
              <w:pStyle w:val="Footer"/>
              <w:rPr>
                <w:rFonts w:cs="Arial"/>
                <w:bCs w:val="0"/>
                <w:color w:val="auto"/>
                <w:sz w:val="20"/>
                <w:szCs w:val="20"/>
              </w:rPr>
            </w:pPr>
          </w:p>
        </w:tc>
        <w:tc>
          <w:tcPr>
            <w:cnfStyle w:val="000010000000"/>
            <w:tcW w:w="1843" w:type="dxa"/>
            <w:shd w:val="clear" w:color="auto" w:fill="auto"/>
            <w:noWrap/>
          </w:tcPr>
          <w:p w:rsidR="006B666B" w:rsidRPr="00F30237" w:rsidRDefault="006B666B" w:rsidP="000B5B9A">
            <w:pPr>
              <w:widowControl w:val="0"/>
              <w:rPr>
                <w:rFonts w:cs="Arial"/>
                <w:b/>
                <w:bCs/>
                <w:color w:val="auto"/>
                <w:sz w:val="20"/>
                <w:szCs w:val="20"/>
              </w:rPr>
            </w:pPr>
          </w:p>
        </w:tc>
      </w:tr>
    </w:tbl>
    <w:p w:rsidR="00A03B34" w:rsidRPr="00D42E0B" w:rsidRDefault="00E51139" w:rsidP="00AA2CB9">
      <w:pPr>
        <w:widowControl w:val="0"/>
        <w:rPr>
          <w:color w:val="548DD4" w:themeColor="text2" w:themeTint="99"/>
          <w:sz w:val="20"/>
          <w:szCs w:val="20"/>
        </w:rPr>
      </w:pPr>
      <w:r w:rsidRPr="00D42E0B">
        <w:rPr>
          <w:color w:val="548DD4" w:themeColor="text2" w:themeTint="99"/>
          <w:sz w:val="20"/>
          <w:szCs w:val="20"/>
        </w:rPr>
        <w:t xml:space="preserve"> </w:t>
      </w:r>
    </w:p>
    <w:p w:rsidR="00521EB9" w:rsidRPr="00D42E0B" w:rsidRDefault="00521EB9" w:rsidP="00AA2CB9">
      <w:pPr>
        <w:widowControl w:val="0"/>
        <w:rPr>
          <w:color w:val="548DD4" w:themeColor="text2" w:themeTint="99"/>
          <w:sz w:val="20"/>
          <w:szCs w:val="20"/>
        </w:rPr>
      </w:pPr>
    </w:p>
    <w:p w:rsidR="00280C08" w:rsidRDefault="00280C08" w:rsidP="00AA2CB9">
      <w:pPr>
        <w:widowControl w:val="0"/>
        <w:rPr>
          <w:b/>
          <w:color w:val="548DD4" w:themeColor="text2" w:themeTint="99"/>
        </w:rPr>
      </w:pPr>
    </w:p>
    <w:p w:rsidR="001C6F84" w:rsidRPr="00D42E0B" w:rsidRDefault="001C6F84" w:rsidP="00AA2CB9">
      <w:pPr>
        <w:widowControl w:val="0"/>
        <w:rPr>
          <w:b/>
          <w:color w:val="548DD4" w:themeColor="text2" w:themeTint="99"/>
        </w:rPr>
      </w:pPr>
    </w:p>
    <w:p w:rsidR="00013A21" w:rsidRDefault="00013A21" w:rsidP="00AA2CB9">
      <w:pPr>
        <w:widowControl w:val="0"/>
        <w:rPr>
          <w:b/>
          <w:color w:val="548DD4" w:themeColor="text2" w:themeTint="99"/>
        </w:rPr>
      </w:pPr>
    </w:p>
    <w:p w:rsidR="00E51139" w:rsidRPr="00F30237" w:rsidRDefault="00E51139" w:rsidP="00AA2CB9">
      <w:pPr>
        <w:widowControl w:val="0"/>
        <w:rPr>
          <w:b/>
          <w:color w:val="auto"/>
        </w:rPr>
      </w:pPr>
      <w:r w:rsidRPr="00F30237">
        <w:rPr>
          <w:b/>
          <w:color w:val="auto"/>
        </w:rPr>
        <w:lastRenderedPageBreak/>
        <w:t>Cash Flow Statement</w:t>
      </w:r>
    </w:p>
    <w:p w:rsidR="00280C08" w:rsidRPr="00F30237" w:rsidRDefault="00E51139" w:rsidP="003C5E34">
      <w:pPr>
        <w:pStyle w:val="BodyText"/>
        <w:widowControl w:val="0"/>
        <w:rPr>
          <w:rFonts w:cs="Arial"/>
          <w:color w:val="auto"/>
          <w:sz w:val="20"/>
          <w:szCs w:val="20"/>
        </w:rPr>
      </w:pPr>
      <w:r w:rsidRPr="00F30237">
        <w:rPr>
          <w:rFonts w:cs="Arial"/>
          <w:color w:val="auto"/>
          <w:sz w:val="20"/>
          <w:szCs w:val="20"/>
        </w:rPr>
        <w:t>The Cash Flow Statement shows the changes in cash and cash equivalents of the Council during the reporting period. The statement shows how the Council generates and uses cash and cash equivalents by classifying cash flows as operating, investing and financing activities. The amount of net cash flows arising from operating activities is a key indicator of the extent to which the operations of the Council are funded by way of taxation and grant income or from the recipients of services provided by the Council. Investing activities represent the extent to which cash outflows have been made for resources which are intended to contribute to the Council’s future service delivery. Cash flows arising from financing activities are useful in predicting claims on future cash flows by providers of capital (i.e. borrowing) to the Council.</w:t>
      </w:r>
    </w:p>
    <w:tbl>
      <w:tblPr>
        <w:tblStyle w:val="ListTable3-Accent51"/>
        <w:tblW w:w="9606" w:type="dxa"/>
        <w:tblLayout w:type="fixed"/>
        <w:tblLook w:val="04A0"/>
      </w:tblPr>
      <w:tblGrid>
        <w:gridCol w:w="850"/>
        <w:gridCol w:w="948"/>
        <w:gridCol w:w="5114"/>
        <w:gridCol w:w="851"/>
        <w:gridCol w:w="850"/>
        <w:gridCol w:w="993"/>
      </w:tblGrid>
      <w:tr w:rsidR="004C5582" w:rsidRPr="00845088" w:rsidTr="00103EEF">
        <w:trPr>
          <w:cnfStyle w:val="100000000000"/>
          <w:trHeight w:val="503"/>
        </w:trPr>
        <w:tc>
          <w:tcPr>
            <w:cnfStyle w:val="001000000100"/>
            <w:tcW w:w="1798" w:type="dxa"/>
            <w:gridSpan w:val="2"/>
            <w:tcBorders>
              <w:right w:val="single" w:sz="4" w:space="0" w:color="4BACC6"/>
            </w:tcBorders>
          </w:tcPr>
          <w:p w:rsidR="004C5582" w:rsidRPr="00845088" w:rsidRDefault="004C5582" w:rsidP="009D115C">
            <w:pPr>
              <w:widowControl w:val="0"/>
              <w:ind w:left="331"/>
              <w:jc w:val="center"/>
              <w:rPr>
                <w:rFonts w:cs="Arial"/>
                <w:b w:val="0"/>
                <w:bCs w:val="0"/>
                <w:color w:val="auto"/>
                <w:sz w:val="20"/>
                <w:szCs w:val="20"/>
              </w:rPr>
            </w:pPr>
            <w:r w:rsidRPr="00845088">
              <w:rPr>
                <w:rFonts w:cs="Arial"/>
                <w:b w:val="0"/>
                <w:bCs w:val="0"/>
                <w:color w:val="auto"/>
                <w:sz w:val="20"/>
                <w:szCs w:val="20"/>
              </w:rPr>
              <w:t>201</w:t>
            </w:r>
            <w:r w:rsidR="009D115C">
              <w:rPr>
                <w:rFonts w:cs="Arial"/>
                <w:b w:val="0"/>
                <w:bCs w:val="0"/>
                <w:color w:val="auto"/>
                <w:sz w:val="20"/>
                <w:szCs w:val="20"/>
              </w:rPr>
              <w:t>4</w:t>
            </w:r>
            <w:r w:rsidRPr="00845088">
              <w:rPr>
                <w:rFonts w:cs="Arial"/>
                <w:b w:val="0"/>
                <w:bCs w:val="0"/>
                <w:color w:val="auto"/>
                <w:sz w:val="20"/>
                <w:szCs w:val="20"/>
              </w:rPr>
              <w:t>/1</w:t>
            </w:r>
            <w:r w:rsidR="009D115C">
              <w:rPr>
                <w:rFonts w:cs="Arial"/>
                <w:b w:val="0"/>
                <w:bCs w:val="0"/>
                <w:color w:val="auto"/>
                <w:sz w:val="20"/>
                <w:szCs w:val="20"/>
              </w:rPr>
              <w:t>5</w:t>
            </w:r>
            <w:r w:rsidRPr="00845088">
              <w:rPr>
                <w:rFonts w:cs="Arial"/>
                <w:b w:val="0"/>
                <w:bCs w:val="0"/>
                <w:color w:val="auto"/>
                <w:sz w:val="20"/>
                <w:szCs w:val="20"/>
              </w:rPr>
              <w:t xml:space="preserve">   </w:t>
            </w:r>
          </w:p>
        </w:tc>
        <w:tc>
          <w:tcPr>
            <w:tcW w:w="5114" w:type="dxa"/>
            <w:tcBorders>
              <w:left w:val="single" w:sz="4" w:space="0" w:color="4BACC6"/>
              <w:right w:val="single" w:sz="4" w:space="0" w:color="4BACC6"/>
            </w:tcBorders>
          </w:tcPr>
          <w:p w:rsidR="004C5582" w:rsidRPr="00845088" w:rsidRDefault="004C5582" w:rsidP="006E667C">
            <w:pPr>
              <w:widowControl w:val="0"/>
              <w:ind w:left="331"/>
              <w:cnfStyle w:val="100000000000"/>
              <w:rPr>
                <w:rFonts w:cs="Arial"/>
                <w:color w:val="auto"/>
                <w:sz w:val="20"/>
                <w:szCs w:val="20"/>
              </w:rPr>
            </w:pPr>
          </w:p>
        </w:tc>
        <w:tc>
          <w:tcPr>
            <w:tcW w:w="851" w:type="dxa"/>
            <w:tcBorders>
              <w:left w:val="single" w:sz="4" w:space="0" w:color="4BACC6"/>
              <w:right w:val="single" w:sz="4" w:space="0" w:color="4BACC6"/>
            </w:tcBorders>
          </w:tcPr>
          <w:p w:rsidR="004C5582" w:rsidRPr="00845088" w:rsidRDefault="004C5582" w:rsidP="004C5582">
            <w:pPr>
              <w:widowControl w:val="0"/>
              <w:jc w:val="center"/>
              <w:cnfStyle w:val="100000000000"/>
              <w:rPr>
                <w:rFonts w:cs="Arial"/>
                <w:bCs w:val="0"/>
                <w:color w:val="auto"/>
                <w:sz w:val="20"/>
                <w:szCs w:val="20"/>
              </w:rPr>
            </w:pPr>
          </w:p>
        </w:tc>
        <w:tc>
          <w:tcPr>
            <w:tcW w:w="1843" w:type="dxa"/>
            <w:gridSpan w:val="2"/>
            <w:tcBorders>
              <w:left w:val="single" w:sz="4" w:space="0" w:color="4BACC6"/>
            </w:tcBorders>
          </w:tcPr>
          <w:p w:rsidR="004C5582" w:rsidRPr="00845088" w:rsidRDefault="004C5582" w:rsidP="00845088">
            <w:pPr>
              <w:widowControl w:val="0"/>
              <w:jc w:val="center"/>
              <w:cnfStyle w:val="100000000000"/>
              <w:rPr>
                <w:rFonts w:cs="Arial"/>
                <w:bCs w:val="0"/>
                <w:color w:val="auto"/>
                <w:sz w:val="20"/>
                <w:szCs w:val="20"/>
              </w:rPr>
            </w:pPr>
            <w:r w:rsidRPr="00845088">
              <w:rPr>
                <w:rFonts w:cs="Arial"/>
                <w:bCs w:val="0"/>
                <w:color w:val="auto"/>
                <w:sz w:val="20"/>
                <w:szCs w:val="20"/>
              </w:rPr>
              <w:t>201</w:t>
            </w:r>
            <w:r w:rsidR="00845088" w:rsidRPr="00845088">
              <w:rPr>
                <w:rFonts w:cs="Arial"/>
                <w:bCs w:val="0"/>
                <w:color w:val="auto"/>
                <w:sz w:val="20"/>
                <w:szCs w:val="20"/>
              </w:rPr>
              <w:t>5</w:t>
            </w:r>
            <w:r w:rsidRPr="00845088">
              <w:rPr>
                <w:rFonts w:cs="Arial"/>
                <w:bCs w:val="0"/>
                <w:color w:val="auto"/>
                <w:sz w:val="20"/>
                <w:szCs w:val="20"/>
              </w:rPr>
              <w:t>/1</w:t>
            </w:r>
            <w:r w:rsidR="00845088" w:rsidRPr="00845088">
              <w:rPr>
                <w:rFonts w:cs="Arial"/>
                <w:bCs w:val="0"/>
                <w:color w:val="auto"/>
                <w:sz w:val="20"/>
                <w:szCs w:val="20"/>
              </w:rPr>
              <w:t>6</w:t>
            </w:r>
            <w:r w:rsidRPr="00845088">
              <w:rPr>
                <w:rFonts w:cs="Arial"/>
                <w:bCs w:val="0"/>
                <w:color w:val="auto"/>
                <w:sz w:val="20"/>
                <w:szCs w:val="20"/>
              </w:rPr>
              <w:t xml:space="preserve">   </w:t>
            </w:r>
          </w:p>
        </w:tc>
      </w:tr>
      <w:tr w:rsidR="004C5582" w:rsidRPr="00845088" w:rsidTr="00676EBB">
        <w:trPr>
          <w:cnfStyle w:val="000000100000"/>
        </w:trPr>
        <w:tc>
          <w:tcPr>
            <w:cnfStyle w:val="001000000000"/>
            <w:tcW w:w="850" w:type="dxa"/>
            <w:tcBorders>
              <w:right w:val="single" w:sz="4" w:space="0" w:color="4BACC6"/>
            </w:tcBorders>
            <w:shd w:val="clear" w:color="auto" w:fill="4BACC6" w:themeFill="accent5"/>
          </w:tcPr>
          <w:p w:rsidR="004C5582" w:rsidRPr="00845088" w:rsidRDefault="004C5582" w:rsidP="006E667C">
            <w:pPr>
              <w:widowControl w:val="0"/>
              <w:jc w:val="center"/>
              <w:rPr>
                <w:rFonts w:cs="Arial"/>
                <w:b w:val="0"/>
                <w:color w:val="auto"/>
                <w:sz w:val="20"/>
                <w:szCs w:val="20"/>
              </w:rPr>
            </w:pPr>
            <w:r w:rsidRPr="00845088">
              <w:rPr>
                <w:rFonts w:cs="Arial"/>
                <w:b w:val="0"/>
                <w:color w:val="auto"/>
                <w:sz w:val="20"/>
                <w:szCs w:val="20"/>
              </w:rPr>
              <w:t>£m</w:t>
            </w:r>
          </w:p>
        </w:tc>
        <w:tc>
          <w:tcPr>
            <w:tcW w:w="948" w:type="dxa"/>
            <w:tcBorders>
              <w:left w:val="single" w:sz="4" w:space="0" w:color="4BACC6"/>
              <w:right w:val="single" w:sz="4" w:space="0" w:color="4BACC6"/>
            </w:tcBorders>
            <w:shd w:val="clear" w:color="auto" w:fill="4BACC6" w:themeFill="accent5"/>
          </w:tcPr>
          <w:p w:rsidR="004C5582" w:rsidRPr="00845088" w:rsidRDefault="004C5582" w:rsidP="006E667C">
            <w:pPr>
              <w:widowControl w:val="0"/>
              <w:jc w:val="center"/>
              <w:cnfStyle w:val="000000100000"/>
              <w:rPr>
                <w:rFonts w:cs="Arial"/>
                <w:color w:val="auto"/>
                <w:sz w:val="20"/>
                <w:szCs w:val="20"/>
              </w:rPr>
            </w:pPr>
            <w:r w:rsidRPr="00845088">
              <w:rPr>
                <w:rFonts w:cs="Arial"/>
                <w:color w:val="auto"/>
                <w:sz w:val="20"/>
                <w:szCs w:val="20"/>
              </w:rPr>
              <w:t>£m</w:t>
            </w:r>
          </w:p>
        </w:tc>
        <w:tc>
          <w:tcPr>
            <w:tcW w:w="5114" w:type="dxa"/>
            <w:tcBorders>
              <w:left w:val="single" w:sz="4" w:space="0" w:color="4BACC6"/>
              <w:right w:val="single" w:sz="4" w:space="0" w:color="4BACC6"/>
            </w:tcBorders>
            <w:shd w:val="clear" w:color="auto" w:fill="4BACC6" w:themeFill="accent5"/>
          </w:tcPr>
          <w:p w:rsidR="004C5582" w:rsidRPr="00845088" w:rsidRDefault="004C5582" w:rsidP="006E667C">
            <w:pPr>
              <w:widowControl w:val="0"/>
              <w:ind w:left="331"/>
              <w:cnfStyle w:val="000000100000"/>
              <w:rPr>
                <w:rFonts w:cs="Arial"/>
                <w:color w:val="auto"/>
                <w:sz w:val="20"/>
                <w:szCs w:val="20"/>
              </w:rPr>
            </w:pPr>
          </w:p>
        </w:tc>
        <w:tc>
          <w:tcPr>
            <w:tcW w:w="851" w:type="dxa"/>
            <w:tcBorders>
              <w:left w:val="single" w:sz="4" w:space="0" w:color="4BACC6"/>
              <w:right w:val="single" w:sz="4" w:space="0" w:color="4BACC6"/>
            </w:tcBorders>
            <w:shd w:val="clear" w:color="auto" w:fill="4BACC6" w:themeFill="accent5"/>
          </w:tcPr>
          <w:p w:rsidR="004C5582" w:rsidRPr="00845088" w:rsidRDefault="004C5582" w:rsidP="004C5582">
            <w:pPr>
              <w:jc w:val="center"/>
              <w:cnfStyle w:val="000000100000"/>
              <w:rPr>
                <w:color w:val="auto"/>
                <w:sz w:val="20"/>
                <w:szCs w:val="20"/>
              </w:rPr>
            </w:pPr>
            <w:r w:rsidRPr="00845088">
              <w:rPr>
                <w:color w:val="auto"/>
                <w:sz w:val="20"/>
                <w:szCs w:val="20"/>
              </w:rPr>
              <w:t>note</w:t>
            </w:r>
          </w:p>
        </w:tc>
        <w:tc>
          <w:tcPr>
            <w:tcW w:w="850" w:type="dxa"/>
            <w:tcBorders>
              <w:left w:val="single" w:sz="4" w:space="0" w:color="4BACC6"/>
              <w:right w:val="single" w:sz="4" w:space="0" w:color="4BACC6"/>
            </w:tcBorders>
            <w:shd w:val="clear" w:color="auto" w:fill="4BACC6" w:themeFill="accent5"/>
          </w:tcPr>
          <w:p w:rsidR="004C5582" w:rsidRPr="00845088" w:rsidRDefault="004C5582" w:rsidP="004C5582">
            <w:pPr>
              <w:jc w:val="center"/>
              <w:cnfStyle w:val="000000100000"/>
              <w:rPr>
                <w:color w:val="auto"/>
                <w:sz w:val="20"/>
                <w:szCs w:val="20"/>
              </w:rPr>
            </w:pPr>
            <w:r w:rsidRPr="00845088">
              <w:rPr>
                <w:color w:val="auto"/>
                <w:sz w:val="20"/>
                <w:szCs w:val="20"/>
              </w:rPr>
              <w:t>£m</w:t>
            </w:r>
          </w:p>
        </w:tc>
        <w:tc>
          <w:tcPr>
            <w:tcW w:w="993" w:type="dxa"/>
            <w:tcBorders>
              <w:left w:val="single" w:sz="4" w:space="0" w:color="4BACC6"/>
            </w:tcBorders>
            <w:shd w:val="clear" w:color="auto" w:fill="4BACC6" w:themeFill="accent5"/>
          </w:tcPr>
          <w:p w:rsidR="004C5582" w:rsidRPr="00845088" w:rsidRDefault="004C5582" w:rsidP="004C5582">
            <w:pPr>
              <w:jc w:val="center"/>
              <w:cnfStyle w:val="000000100000"/>
              <w:rPr>
                <w:color w:val="auto"/>
                <w:sz w:val="20"/>
                <w:szCs w:val="20"/>
              </w:rPr>
            </w:pPr>
            <w:r w:rsidRPr="00845088">
              <w:rPr>
                <w:color w:val="auto"/>
                <w:sz w:val="20"/>
                <w:szCs w:val="20"/>
              </w:rPr>
              <w:t>£m</w:t>
            </w:r>
          </w:p>
        </w:tc>
      </w:tr>
      <w:tr w:rsidR="004B741E" w:rsidRPr="00845088" w:rsidTr="00676EBB">
        <w:tc>
          <w:tcPr>
            <w:cnfStyle w:val="001000000000"/>
            <w:tcW w:w="850" w:type="dxa"/>
            <w:tcBorders>
              <w:right w:val="single" w:sz="4" w:space="0" w:color="4BACC6"/>
            </w:tcBorders>
          </w:tcPr>
          <w:p w:rsidR="004B741E" w:rsidRPr="009D115C" w:rsidRDefault="004B741E" w:rsidP="00103EEF">
            <w:pPr>
              <w:widowControl w:val="0"/>
              <w:jc w:val="center"/>
              <w:rPr>
                <w:rFonts w:cs="Arial"/>
                <w:b w:val="0"/>
                <w:color w:val="auto"/>
                <w:sz w:val="20"/>
                <w:szCs w:val="20"/>
              </w:rPr>
            </w:pPr>
          </w:p>
        </w:tc>
        <w:tc>
          <w:tcPr>
            <w:tcW w:w="948" w:type="dxa"/>
            <w:tcBorders>
              <w:left w:val="single" w:sz="4" w:space="0" w:color="4BACC6"/>
              <w:right w:val="single" w:sz="4" w:space="0" w:color="4BACC6"/>
            </w:tcBorders>
          </w:tcPr>
          <w:p w:rsidR="004B741E" w:rsidRPr="009D115C" w:rsidRDefault="004B741E" w:rsidP="004B741E">
            <w:pPr>
              <w:jc w:val="center"/>
              <w:cnfStyle w:val="000000000000"/>
              <w:rPr>
                <w:color w:val="auto"/>
              </w:rPr>
            </w:pPr>
            <w:r w:rsidRPr="009D115C">
              <w:rPr>
                <w:color w:val="auto"/>
              </w:rPr>
              <w:t>(17.1)</w:t>
            </w:r>
          </w:p>
        </w:tc>
        <w:tc>
          <w:tcPr>
            <w:tcW w:w="5114" w:type="dxa"/>
            <w:tcBorders>
              <w:left w:val="single" w:sz="4" w:space="0" w:color="4BACC6"/>
              <w:right w:val="single" w:sz="4" w:space="0" w:color="4BACC6"/>
            </w:tcBorders>
          </w:tcPr>
          <w:p w:rsidR="004B741E" w:rsidRPr="00845088" w:rsidRDefault="004B741E" w:rsidP="004F70AB">
            <w:pPr>
              <w:widowControl w:val="0"/>
              <w:ind w:left="331"/>
              <w:cnfStyle w:val="000000000000"/>
              <w:rPr>
                <w:rFonts w:cs="Arial"/>
                <w:color w:val="auto"/>
                <w:sz w:val="20"/>
                <w:szCs w:val="20"/>
              </w:rPr>
            </w:pPr>
            <w:r w:rsidRPr="00845088">
              <w:rPr>
                <w:rFonts w:cs="Arial"/>
                <w:color w:val="auto"/>
                <w:sz w:val="20"/>
                <w:szCs w:val="20"/>
              </w:rPr>
              <w:t xml:space="preserve">Net surplus or (deficit) on the provision of services, </w:t>
            </w:r>
            <w:r w:rsidRPr="004F70AB">
              <w:rPr>
                <w:rFonts w:cs="Arial"/>
                <w:color w:val="auto"/>
                <w:sz w:val="20"/>
                <w:szCs w:val="20"/>
              </w:rPr>
              <w:t>including £6.1m interest paid and (£0.</w:t>
            </w:r>
            <w:r w:rsidR="004F70AB" w:rsidRPr="004F70AB">
              <w:rPr>
                <w:rFonts w:cs="Arial"/>
                <w:color w:val="auto"/>
                <w:sz w:val="20"/>
                <w:szCs w:val="20"/>
              </w:rPr>
              <w:t>7</w:t>
            </w:r>
            <w:r w:rsidRPr="004F70AB">
              <w:rPr>
                <w:rFonts w:cs="Arial"/>
                <w:color w:val="auto"/>
                <w:sz w:val="20"/>
                <w:szCs w:val="20"/>
              </w:rPr>
              <w:t>m) interest received.</w:t>
            </w:r>
          </w:p>
        </w:tc>
        <w:tc>
          <w:tcPr>
            <w:tcW w:w="851"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850" w:type="dxa"/>
            <w:tcBorders>
              <w:left w:val="single" w:sz="4" w:space="0" w:color="4BACC6"/>
              <w:right w:val="single" w:sz="4" w:space="0" w:color="4BACC6"/>
            </w:tcBorders>
          </w:tcPr>
          <w:p w:rsidR="004B741E" w:rsidRPr="00845088" w:rsidRDefault="004B741E" w:rsidP="00E6759C">
            <w:pPr>
              <w:jc w:val="center"/>
              <w:cnfStyle w:val="000000000000"/>
              <w:rPr>
                <w:color w:val="auto"/>
              </w:rPr>
            </w:pPr>
          </w:p>
        </w:tc>
        <w:tc>
          <w:tcPr>
            <w:tcW w:w="993" w:type="dxa"/>
            <w:tcBorders>
              <w:left w:val="single" w:sz="4" w:space="0" w:color="4BACC6"/>
            </w:tcBorders>
          </w:tcPr>
          <w:p w:rsidR="004B741E" w:rsidRPr="00845088" w:rsidRDefault="00EC34B2" w:rsidP="00E6759C">
            <w:pPr>
              <w:jc w:val="center"/>
              <w:cnfStyle w:val="000000000000"/>
              <w:rPr>
                <w:color w:val="auto"/>
              </w:rPr>
            </w:pPr>
            <w:r>
              <w:rPr>
                <w:color w:val="auto"/>
              </w:rPr>
              <w:t>(26.4)</w:t>
            </w:r>
          </w:p>
        </w:tc>
      </w:tr>
      <w:tr w:rsidR="004B741E" w:rsidRPr="00845088" w:rsidTr="00676EBB">
        <w:trPr>
          <w:cnfStyle w:val="000000100000"/>
          <w:trHeight w:val="808"/>
        </w:trPr>
        <w:tc>
          <w:tcPr>
            <w:cnfStyle w:val="001000000000"/>
            <w:tcW w:w="850" w:type="dxa"/>
            <w:tcBorders>
              <w:right w:val="single" w:sz="4" w:space="0" w:color="4BACC6"/>
            </w:tcBorders>
          </w:tcPr>
          <w:p w:rsidR="004B741E" w:rsidRPr="009D115C" w:rsidRDefault="004B741E" w:rsidP="00103EEF">
            <w:pPr>
              <w:widowControl w:val="0"/>
              <w:jc w:val="center"/>
              <w:rPr>
                <w:rFonts w:cs="Arial"/>
                <w:b w:val="0"/>
                <w:color w:val="auto"/>
                <w:sz w:val="20"/>
                <w:szCs w:val="20"/>
              </w:rPr>
            </w:pPr>
          </w:p>
        </w:tc>
        <w:tc>
          <w:tcPr>
            <w:tcW w:w="948" w:type="dxa"/>
            <w:tcBorders>
              <w:left w:val="single" w:sz="4" w:space="0" w:color="4BACC6"/>
              <w:right w:val="single" w:sz="4" w:space="0" w:color="4BACC6"/>
            </w:tcBorders>
          </w:tcPr>
          <w:p w:rsidR="004B741E" w:rsidRPr="009D115C" w:rsidRDefault="004B741E" w:rsidP="004B741E">
            <w:pPr>
              <w:jc w:val="center"/>
              <w:cnfStyle w:val="000000100000"/>
              <w:rPr>
                <w:color w:val="auto"/>
              </w:rPr>
            </w:pPr>
            <w:r w:rsidRPr="009D115C">
              <w:rPr>
                <w:color w:val="auto"/>
              </w:rPr>
              <w:t>24.0</w:t>
            </w:r>
          </w:p>
        </w:tc>
        <w:tc>
          <w:tcPr>
            <w:tcW w:w="5114" w:type="dxa"/>
            <w:tcBorders>
              <w:left w:val="single" w:sz="4" w:space="0" w:color="4BACC6"/>
              <w:right w:val="single" w:sz="4" w:space="0" w:color="4BACC6"/>
            </w:tcBorders>
          </w:tcPr>
          <w:p w:rsidR="004B741E" w:rsidRPr="00845088" w:rsidRDefault="004B741E" w:rsidP="00671BED">
            <w:pPr>
              <w:widowControl w:val="0"/>
              <w:ind w:left="331"/>
              <w:cnfStyle w:val="000000100000"/>
              <w:rPr>
                <w:rFonts w:cs="Arial"/>
                <w:color w:val="auto"/>
                <w:sz w:val="20"/>
                <w:szCs w:val="20"/>
              </w:rPr>
            </w:pPr>
            <w:r w:rsidRPr="00845088">
              <w:rPr>
                <w:rFonts w:cs="Arial"/>
                <w:color w:val="auto"/>
                <w:sz w:val="20"/>
                <w:szCs w:val="20"/>
              </w:rPr>
              <w:t xml:space="preserve">Adjustments to  net surplus or deficit on the provision of services for non cash movements </w:t>
            </w:r>
          </w:p>
        </w:tc>
        <w:tc>
          <w:tcPr>
            <w:tcW w:w="851" w:type="dxa"/>
            <w:tcBorders>
              <w:left w:val="single" w:sz="4" w:space="0" w:color="4BACC6"/>
              <w:right w:val="single" w:sz="4" w:space="0" w:color="4BACC6"/>
            </w:tcBorders>
          </w:tcPr>
          <w:p w:rsidR="004B741E" w:rsidRPr="00845088" w:rsidRDefault="004B741E" w:rsidP="006E667C">
            <w:pPr>
              <w:cnfStyle w:val="000000100000"/>
              <w:rPr>
                <w:color w:val="auto"/>
                <w:sz w:val="20"/>
                <w:szCs w:val="20"/>
              </w:rPr>
            </w:pPr>
            <w:r w:rsidRPr="00845088">
              <w:rPr>
                <w:color w:val="auto"/>
                <w:sz w:val="20"/>
                <w:szCs w:val="20"/>
              </w:rPr>
              <w:t>See note below</w:t>
            </w:r>
          </w:p>
        </w:tc>
        <w:tc>
          <w:tcPr>
            <w:tcW w:w="850" w:type="dxa"/>
            <w:tcBorders>
              <w:left w:val="single" w:sz="4" w:space="0" w:color="4BACC6"/>
              <w:right w:val="single" w:sz="4" w:space="0" w:color="4BACC6"/>
            </w:tcBorders>
          </w:tcPr>
          <w:p w:rsidR="004B741E" w:rsidRPr="00845088" w:rsidRDefault="004B741E" w:rsidP="00E6759C">
            <w:pPr>
              <w:jc w:val="center"/>
              <w:cnfStyle w:val="000000100000"/>
              <w:rPr>
                <w:color w:val="auto"/>
              </w:rPr>
            </w:pPr>
          </w:p>
        </w:tc>
        <w:tc>
          <w:tcPr>
            <w:tcW w:w="993" w:type="dxa"/>
            <w:tcBorders>
              <w:left w:val="single" w:sz="4" w:space="0" w:color="4BACC6"/>
            </w:tcBorders>
          </w:tcPr>
          <w:p w:rsidR="004B741E" w:rsidRPr="00845088" w:rsidRDefault="00893E44" w:rsidP="00893E44">
            <w:pPr>
              <w:jc w:val="center"/>
              <w:cnfStyle w:val="000000100000"/>
              <w:rPr>
                <w:color w:val="auto"/>
              </w:rPr>
            </w:pPr>
            <w:r>
              <w:rPr>
                <w:color w:val="auto"/>
              </w:rPr>
              <w:t>33.3</w:t>
            </w:r>
          </w:p>
        </w:tc>
      </w:tr>
      <w:tr w:rsidR="004B741E" w:rsidRPr="00845088" w:rsidTr="00676EBB">
        <w:tc>
          <w:tcPr>
            <w:cnfStyle w:val="001000000000"/>
            <w:tcW w:w="850" w:type="dxa"/>
            <w:tcBorders>
              <w:right w:val="single" w:sz="4" w:space="0" w:color="4BACC6"/>
            </w:tcBorders>
          </w:tcPr>
          <w:p w:rsidR="004B741E" w:rsidRPr="009D115C" w:rsidRDefault="004B741E" w:rsidP="00103EEF">
            <w:pPr>
              <w:widowControl w:val="0"/>
              <w:jc w:val="center"/>
              <w:rPr>
                <w:rFonts w:cs="Arial"/>
                <w:b w:val="0"/>
                <w:color w:val="auto"/>
                <w:sz w:val="20"/>
                <w:szCs w:val="20"/>
              </w:rPr>
            </w:pPr>
          </w:p>
        </w:tc>
        <w:tc>
          <w:tcPr>
            <w:tcW w:w="948" w:type="dxa"/>
            <w:tcBorders>
              <w:left w:val="single" w:sz="4" w:space="0" w:color="4BACC6"/>
              <w:right w:val="single" w:sz="4" w:space="0" w:color="4BACC6"/>
            </w:tcBorders>
          </w:tcPr>
          <w:p w:rsidR="004B741E" w:rsidRPr="009D115C" w:rsidRDefault="004B741E" w:rsidP="004B741E">
            <w:pPr>
              <w:jc w:val="center"/>
              <w:cnfStyle w:val="000000000000"/>
              <w:rPr>
                <w:color w:val="auto"/>
              </w:rPr>
            </w:pPr>
            <w:r w:rsidRPr="009D115C">
              <w:rPr>
                <w:color w:val="auto"/>
              </w:rPr>
              <w:t>(2.2)</w:t>
            </w:r>
          </w:p>
        </w:tc>
        <w:tc>
          <w:tcPr>
            <w:tcW w:w="5114" w:type="dxa"/>
            <w:tcBorders>
              <w:left w:val="single" w:sz="4" w:space="0" w:color="4BACC6"/>
              <w:right w:val="single" w:sz="4" w:space="0" w:color="4BACC6"/>
            </w:tcBorders>
          </w:tcPr>
          <w:p w:rsidR="004B741E" w:rsidRPr="00845088" w:rsidRDefault="004B741E" w:rsidP="006E667C">
            <w:pPr>
              <w:widowControl w:val="0"/>
              <w:ind w:left="331"/>
              <w:cnfStyle w:val="000000000000"/>
              <w:rPr>
                <w:rFonts w:cs="Arial"/>
                <w:color w:val="auto"/>
                <w:sz w:val="20"/>
                <w:szCs w:val="20"/>
              </w:rPr>
            </w:pPr>
            <w:r w:rsidRPr="00845088">
              <w:rPr>
                <w:rFonts w:cs="Arial"/>
                <w:color w:val="auto"/>
                <w:sz w:val="20"/>
                <w:szCs w:val="20"/>
              </w:rPr>
              <w:t>Adjustments for items included in the net surplus or deficit on the provision of services that are investing and financing activities including proceeds of investments and disposal of assets</w:t>
            </w:r>
          </w:p>
        </w:tc>
        <w:tc>
          <w:tcPr>
            <w:tcW w:w="851"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850" w:type="dxa"/>
            <w:tcBorders>
              <w:left w:val="single" w:sz="4" w:space="0" w:color="4BACC6"/>
              <w:right w:val="single" w:sz="4" w:space="0" w:color="4BACC6"/>
            </w:tcBorders>
          </w:tcPr>
          <w:p w:rsidR="004B741E" w:rsidRPr="00845088" w:rsidRDefault="004B741E" w:rsidP="00E6759C">
            <w:pPr>
              <w:jc w:val="center"/>
              <w:cnfStyle w:val="000000000000"/>
              <w:rPr>
                <w:color w:val="auto"/>
              </w:rPr>
            </w:pPr>
          </w:p>
        </w:tc>
        <w:tc>
          <w:tcPr>
            <w:tcW w:w="993" w:type="dxa"/>
            <w:tcBorders>
              <w:left w:val="single" w:sz="4" w:space="0" w:color="4BACC6"/>
            </w:tcBorders>
          </w:tcPr>
          <w:p w:rsidR="004B741E" w:rsidRPr="00845088" w:rsidRDefault="00893E44" w:rsidP="00E6759C">
            <w:pPr>
              <w:jc w:val="center"/>
              <w:cnfStyle w:val="000000000000"/>
              <w:rPr>
                <w:color w:val="auto"/>
              </w:rPr>
            </w:pPr>
            <w:r>
              <w:rPr>
                <w:color w:val="auto"/>
              </w:rPr>
              <w:t>(0.8)</w:t>
            </w:r>
          </w:p>
        </w:tc>
      </w:tr>
      <w:tr w:rsidR="004B741E" w:rsidRPr="00845088" w:rsidTr="00676EBB">
        <w:trPr>
          <w:cnfStyle w:val="000000100000"/>
          <w:trHeight w:val="502"/>
        </w:trPr>
        <w:tc>
          <w:tcPr>
            <w:cnfStyle w:val="001000000000"/>
            <w:tcW w:w="850" w:type="dxa"/>
            <w:tcBorders>
              <w:right w:val="single" w:sz="4" w:space="0" w:color="4BACC6"/>
            </w:tcBorders>
          </w:tcPr>
          <w:p w:rsidR="004B741E" w:rsidRPr="009D115C" w:rsidRDefault="004B741E" w:rsidP="00103EEF">
            <w:pPr>
              <w:widowControl w:val="0"/>
              <w:jc w:val="center"/>
              <w:rPr>
                <w:rFonts w:cs="Arial"/>
                <w:b w:val="0"/>
                <w:color w:val="auto"/>
                <w:sz w:val="20"/>
                <w:szCs w:val="20"/>
              </w:rPr>
            </w:pPr>
          </w:p>
        </w:tc>
        <w:tc>
          <w:tcPr>
            <w:tcW w:w="948" w:type="dxa"/>
            <w:tcBorders>
              <w:left w:val="single" w:sz="4" w:space="0" w:color="4BACC6"/>
              <w:right w:val="single" w:sz="4" w:space="0" w:color="4BACC6"/>
            </w:tcBorders>
          </w:tcPr>
          <w:p w:rsidR="004B741E" w:rsidRPr="009D115C" w:rsidRDefault="004B741E" w:rsidP="004B741E">
            <w:pPr>
              <w:jc w:val="center"/>
              <w:cnfStyle w:val="000000100000"/>
              <w:rPr>
                <w:color w:val="auto"/>
              </w:rPr>
            </w:pPr>
            <w:r w:rsidRPr="009D115C">
              <w:rPr>
                <w:color w:val="auto"/>
              </w:rPr>
              <w:t>4.7</w:t>
            </w:r>
          </w:p>
        </w:tc>
        <w:tc>
          <w:tcPr>
            <w:tcW w:w="5114" w:type="dxa"/>
            <w:tcBorders>
              <w:left w:val="single" w:sz="4" w:space="0" w:color="4BACC6"/>
              <w:right w:val="single" w:sz="4" w:space="0" w:color="4BACC6"/>
            </w:tcBorders>
          </w:tcPr>
          <w:p w:rsidR="004B741E" w:rsidRPr="00845088" w:rsidRDefault="004B741E" w:rsidP="006E667C">
            <w:pPr>
              <w:widowControl w:val="0"/>
              <w:ind w:left="331"/>
              <w:cnfStyle w:val="000000100000"/>
              <w:rPr>
                <w:rFonts w:cs="Arial"/>
                <w:b/>
                <w:color w:val="auto"/>
                <w:sz w:val="20"/>
                <w:szCs w:val="20"/>
              </w:rPr>
            </w:pPr>
            <w:r w:rsidRPr="00845088">
              <w:rPr>
                <w:rFonts w:cs="Arial"/>
                <w:b/>
                <w:color w:val="auto"/>
                <w:sz w:val="20"/>
                <w:szCs w:val="20"/>
              </w:rPr>
              <w:t xml:space="preserve">Net cash </w:t>
            </w:r>
            <w:r w:rsidR="001B4B49">
              <w:rPr>
                <w:rFonts w:cs="Arial"/>
                <w:b/>
                <w:color w:val="auto"/>
                <w:sz w:val="20"/>
                <w:szCs w:val="20"/>
              </w:rPr>
              <w:t>in</w:t>
            </w:r>
            <w:r w:rsidRPr="00845088">
              <w:rPr>
                <w:rFonts w:cs="Arial"/>
                <w:b/>
                <w:color w:val="auto"/>
                <w:sz w:val="20"/>
                <w:szCs w:val="20"/>
              </w:rPr>
              <w:t>flows</w:t>
            </w:r>
            <w:r w:rsidR="001B4B49">
              <w:rPr>
                <w:rFonts w:cs="Arial"/>
                <w:b/>
                <w:color w:val="auto"/>
                <w:sz w:val="20"/>
                <w:szCs w:val="20"/>
              </w:rPr>
              <w:t xml:space="preserve">/(Outflow) </w:t>
            </w:r>
            <w:r w:rsidRPr="00845088">
              <w:rPr>
                <w:rFonts w:cs="Arial"/>
                <w:b/>
                <w:color w:val="auto"/>
                <w:sz w:val="20"/>
                <w:szCs w:val="20"/>
              </w:rPr>
              <w:t xml:space="preserve"> from Operating Activities </w:t>
            </w:r>
          </w:p>
        </w:tc>
        <w:tc>
          <w:tcPr>
            <w:tcW w:w="851" w:type="dxa"/>
            <w:tcBorders>
              <w:left w:val="single" w:sz="4" w:space="0" w:color="4BACC6"/>
              <w:right w:val="single" w:sz="4" w:space="0" w:color="4BACC6"/>
            </w:tcBorders>
          </w:tcPr>
          <w:p w:rsidR="004B741E" w:rsidRPr="00845088" w:rsidRDefault="004B741E" w:rsidP="006E667C">
            <w:pPr>
              <w:cnfStyle w:val="000000100000"/>
              <w:rPr>
                <w:color w:val="auto"/>
              </w:rPr>
            </w:pPr>
          </w:p>
        </w:tc>
        <w:tc>
          <w:tcPr>
            <w:tcW w:w="850" w:type="dxa"/>
            <w:tcBorders>
              <w:left w:val="single" w:sz="4" w:space="0" w:color="4BACC6"/>
              <w:right w:val="single" w:sz="4" w:space="0" w:color="4BACC6"/>
            </w:tcBorders>
          </w:tcPr>
          <w:p w:rsidR="004B741E" w:rsidRPr="00845088" w:rsidRDefault="004B741E" w:rsidP="00E6759C">
            <w:pPr>
              <w:jc w:val="center"/>
              <w:cnfStyle w:val="000000100000"/>
              <w:rPr>
                <w:color w:val="auto"/>
              </w:rPr>
            </w:pPr>
          </w:p>
        </w:tc>
        <w:tc>
          <w:tcPr>
            <w:tcW w:w="993" w:type="dxa"/>
            <w:tcBorders>
              <w:left w:val="single" w:sz="4" w:space="0" w:color="4BACC6"/>
            </w:tcBorders>
          </w:tcPr>
          <w:p w:rsidR="004B741E" w:rsidRPr="00845088" w:rsidRDefault="004F70AB" w:rsidP="00E6759C">
            <w:pPr>
              <w:jc w:val="center"/>
              <w:cnfStyle w:val="000000100000"/>
              <w:rPr>
                <w:color w:val="auto"/>
              </w:rPr>
            </w:pPr>
            <w:r>
              <w:rPr>
                <w:color w:val="auto"/>
              </w:rPr>
              <w:t>6.1</w:t>
            </w:r>
          </w:p>
        </w:tc>
      </w:tr>
      <w:tr w:rsidR="004B741E" w:rsidRPr="00845088" w:rsidTr="00676EBB">
        <w:tc>
          <w:tcPr>
            <w:cnfStyle w:val="001000000000"/>
            <w:tcW w:w="850" w:type="dxa"/>
            <w:tcBorders>
              <w:right w:val="single" w:sz="4" w:space="0" w:color="4BACC6"/>
            </w:tcBorders>
          </w:tcPr>
          <w:p w:rsidR="004B741E" w:rsidRPr="009D115C" w:rsidRDefault="004B741E" w:rsidP="00103EEF">
            <w:pPr>
              <w:widowControl w:val="0"/>
              <w:jc w:val="center"/>
              <w:rPr>
                <w:rFonts w:cs="Arial"/>
                <w:b w:val="0"/>
                <w:color w:val="auto"/>
                <w:sz w:val="20"/>
                <w:szCs w:val="20"/>
              </w:rPr>
            </w:pPr>
          </w:p>
        </w:tc>
        <w:tc>
          <w:tcPr>
            <w:tcW w:w="948" w:type="dxa"/>
            <w:tcBorders>
              <w:left w:val="single" w:sz="4" w:space="0" w:color="4BACC6"/>
              <w:right w:val="single" w:sz="4" w:space="0" w:color="4BACC6"/>
            </w:tcBorders>
          </w:tcPr>
          <w:p w:rsidR="004B741E" w:rsidRPr="009D115C" w:rsidRDefault="004B741E" w:rsidP="00103EEF">
            <w:pPr>
              <w:widowControl w:val="0"/>
              <w:jc w:val="center"/>
              <w:cnfStyle w:val="000000000000"/>
              <w:rPr>
                <w:rFonts w:cs="Arial"/>
                <w:color w:val="auto"/>
                <w:sz w:val="20"/>
                <w:szCs w:val="20"/>
              </w:rPr>
            </w:pPr>
          </w:p>
        </w:tc>
        <w:tc>
          <w:tcPr>
            <w:tcW w:w="5114" w:type="dxa"/>
            <w:tcBorders>
              <w:left w:val="single" w:sz="4" w:space="0" w:color="4BACC6"/>
              <w:right w:val="single" w:sz="4" w:space="0" w:color="4BACC6"/>
            </w:tcBorders>
          </w:tcPr>
          <w:p w:rsidR="004B741E" w:rsidRPr="00845088" w:rsidRDefault="004B741E" w:rsidP="00CB0083">
            <w:pPr>
              <w:widowControl w:val="0"/>
              <w:ind w:left="331"/>
              <w:cnfStyle w:val="000000000000"/>
              <w:rPr>
                <w:rFonts w:cs="Arial"/>
                <w:b/>
                <w:color w:val="auto"/>
                <w:sz w:val="20"/>
                <w:szCs w:val="20"/>
              </w:rPr>
            </w:pPr>
            <w:r w:rsidRPr="00845088">
              <w:rPr>
                <w:rFonts w:cs="Arial"/>
                <w:b/>
                <w:color w:val="auto"/>
                <w:sz w:val="20"/>
                <w:szCs w:val="20"/>
              </w:rPr>
              <w:t>Investing Activities:</w:t>
            </w:r>
          </w:p>
        </w:tc>
        <w:tc>
          <w:tcPr>
            <w:tcW w:w="851"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850" w:type="dxa"/>
            <w:tcBorders>
              <w:left w:val="single" w:sz="4" w:space="0" w:color="4BACC6"/>
              <w:right w:val="single" w:sz="4" w:space="0" w:color="4BACC6"/>
            </w:tcBorders>
          </w:tcPr>
          <w:p w:rsidR="004B741E" w:rsidRPr="00845088" w:rsidRDefault="004B741E" w:rsidP="00E6759C">
            <w:pPr>
              <w:jc w:val="center"/>
              <w:cnfStyle w:val="000000000000"/>
              <w:rPr>
                <w:color w:val="auto"/>
              </w:rPr>
            </w:pPr>
          </w:p>
        </w:tc>
        <w:tc>
          <w:tcPr>
            <w:tcW w:w="993" w:type="dxa"/>
            <w:tcBorders>
              <w:left w:val="single" w:sz="4" w:space="0" w:color="4BACC6"/>
            </w:tcBorders>
          </w:tcPr>
          <w:p w:rsidR="004B741E" w:rsidRPr="00845088" w:rsidRDefault="004B741E" w:rsidP="00E6759C">
            <w:pPr>
              <w:jc w:val="center"/>
              <w:cnfStyle w:val="000000000000"/>
              <w:rPr>
                <w:color w:val="auto"/>
              </w:rPr>
            </w:pPr>
          </w:p>
        </w:tc>
      </w:tr>
      <w:tr w:rsidR="004B741E" w:rsidRPr="00845088" w:rsidTr="00676EBB">
        <w:trPr>
          <w:cnfStyle w:val="000000100000"/>
          <w:trHeight w:val="644"/>
        </w:trPr>
        <w:tc>
          <w:tcPr>
            <w:cnfStyle w:val="001000000000"/>
            <w:tcW w:w="850" w:type="dxa"/>
            <w:tcBorders>
              <w:right w:val="single" w:sz="4" w:space="0" w:color="4BACC6"/>
            </w:tcBorders>
          </w:tcPr>
          <w:p w:rsidR="004B741E" w:rsidRPr="009D115C" w:rsidRDefault="004B741E" w:rsidP="004B741E">
            <w:pPr>
              <w:jc w:val="center"/>
              <w:rPr>
                <w:b w:val="0"/>
                <w:color w:val="auto"/>
              </w:rPr>
            </w:pPr>
            <w:r w:rsidRPr="009D115C">
              <w:rPr>
                <w:b w:val="0"/>
                <w:color w:val="auto"/>
              </w:rPr>
              <w:t>(12.2)</w:t>
            </w:r>
          </w:p>
        </w:tc>
        <w:tc>
          <w:tcPr>
            <w:tcW w:w="948" w:type="dxa"/>
            <w:tcBorders>
              <w:left w:val="single" w:sz="4" w:space="0" w:color="4BACC6"/>
              <w:right w:val="single" w:sz="4" w:space="0" w:color="4BACC6"/>
            </w:tcBorders>
          </w:tcPr>
          <w:p w:rsidR="004B741E" w:rsidRPr="009D115C" w:rsidRDefault="004B741E" w:rsidP="004B741E">
            <w:pPr>
              <w:jc w:val="center"/>
              <w:cnfStyle w:val="000000100000"/>
              <w:rPr>
                <w:color w:val="auto"/>
              </w:rPr>
            </w:pPr>
          </w:p>
        </w:tc>
        <w:tc>
          <w:tcPr>
            <w:tcW w:w="5114" w:type="dxa"/>
            <w:tcBorders>
              <w:left w:val="single" w:sz="4" w:space="0" w:color="4BACC6"/>
              <w:right w:val="single" w:sz="4" w:space="0" w:color="4BACC6"/>
            </w:tcBorders>
          </w:tcPr>
          <w:p w:rsidR="004B741E" w:rsidRPr="00845088" w:rsidRDefault="004B741E" w:rsidP="00CB0083">
            <w:pPr>
              <w:widowControl w:val="0"/>
              <w:ind w:left="331"/>
              <w:cnfStyle w:val="000000100000"/>
              <w:rPr>
                <w:rFonts w:cs="Arial"/>
                <w:color w:val="auto"/>
                <w:sz w:val="20"/>
                <w:szCs w:val="20"/>
              </w:rPr>
            </w:pPr>
            <w:r w:rsidRPr="00845088">
              <w:rPr>
                <w:rFonts w:cs="Arial"/>
                <w:color w:val="auto"/>
                <w:sz w:val="20"/>
                <w:szCs w:val="20"/>
                <w:lang w:eastAsia="en-GB"/>
              </w:rPr>
              <w:t>Purchase of property, plant and equipment, investment property, heritage and intangible assets</w:t>
            </w:r>
          </w:p>
        </w:tc>
        <w:tc>
          <w:tcPr>
            <w:tcW w:w="851" w:type="dxa"/>
            <w:tcBorders>
              <w:left w:val="single" w:sz="4" w:space="0" w:color="4BACC6"/>
              <w:right w:val="single" w:sz="4" w:space="0" w:color="4BACC6"/>
            </w:tcBorders>
          </w:tcPr>
          <w:p w:rsidR="004B741E" w:rsidRPr="00845088" w:rsidRDefault="004F075A" w:rsidP="004F075A">
            <w:pPr>
              <w:jc w:val="center"/>
              <w:cnfStyle w:val="000000100000"/>
              <w:rPr>
                <w:color w:val="auto"/>
              </w:rPr>
            </w:pPr>
            <w:r>
              <w:rPr>
                <w:color w:val="auto"/>
              </w:rPr>
              <w:t>35</w:t>
            </w:r>
          </w:p>
        </w:tc>
        <w:tc>
          <w:tcPr>
            <w:tcW w:w="850" w:type="dxa"/>
            <w:tcBorders>
              <w:left w:val="single" w:sz="4" w:space="0" w:color="4BACC6"/>
              <w:right w:val="single" w:sz="4" w:space="0" w:color="4BACC6"/>
            </w:tcBorders>
          </w:tcPr>
          <w:p w:rsidR="004B741E" w:rsidRPr="00845088" w:rsidRDefault="00893E44" w:rsidP="00893E44">
            <w:pPr>
              <w:jc w:val="center"/>
              <w:cnfStyle w:val="000000100000"/>
              <w:rPr>
                <w:color w:val="auto"/>
              </w:rPr>
            </w:pPr>
            <w:r>
              <w:rPr>
                <w:color w:val="auto"/>
              </w:rPr>
              <w:t>(21.0)</w:t>
            </w:r>
          </w:p>
        </w:tc>
        <w:tc>
          <w:tcPr>
            <w:tcW w:w="993" w:type="dxa"/>
            <w:tcBorders>
              <w:left w:val="single" w:sz="4" w:space="0" w:color="4BACC6"/>
            </w:tcBorders>
          </w:tcPr>
          <w:p w:rsidR="004B741E" w:rsidRPr="00845088" w:rsidRDefault="004B741E" w:rsidP="00E6759C">
            <w:pPr>
              <w:jc w:val="center"/>
              <w:cnfStyle w:val="000000100000"/>
              <w:rPr>
                <w:color w:val="auto"/>
              </w:rPr>
            </w:pPr>
          </w:p>
        </w:tc>
      </w:tr>
      <w:tr w:rsidR="004B741E" w:rsidRPr="00845088" w:rsidTr="00676EBB">
        <w:trPr>
          <w:trHeight w:val="686"/>
        </w:trPr>
        <w:tc>
          <w:tcPr>
            <w:cnfStyle w:val="001000000000"/>
            <w:tcW w:w="850" w:type="dxa"/>
            <w:tcBorders>
              <w:right w:val="single" w:sz="4" w:space="0" w:color="4BACC6"/>
            </w:tcBorders>
          </w:tcPr>
          <w:p w:rsidR="004B741E" w:rsidRPr="009D115C" w:rsidRDefault="004B741E" w:rsidP="004B741E">
            <w:pPr>
              <w:jc w:val="center"/>
              <w:rPr>
                <w:b w:val="0"/>
                <w:color w:val="auto"/>
              </w:rPr>
            </w:pPr>
            <w:r w:rsidRPr="009D115C">
              <w:rPr>
                <w:b w:val="0"/>
                <w:color w:val="auto"/>
              </w:rPr>
              <w:t>1.8</w:t>
            </w:r>
          </w:p>
        </w:tc>
        <w:tc>
          <w:tcPr>
            <w:tcW w:w="948" w:type="dxa"/>
            <w:tcBorders>
              <w:left w:val="single" w:sz="4" w:space="0" w:color="4BACC6"/>
              <w:right w:val="single" w:sz="4" w:space="0" w:color="4BACC6"/>
            </w:tcBorders>
          </w:tcPr>
          <w:p w:rsidR="004B741E" w:rsidRPr="009D115C" w:rsidRDefault="004B741E" w:rsidP="004B741E">
            <w:pPr>
              <w:jc w:val="center"/>
              <w:cnfStyle w:val="000000000000"/>
              <w:rPr>
                <w:color w:val="auto"/>
              </w:rPr>
            </w:pPr>
          </w:p>
        </w:tc>
        <w:tc>
          <w:tcPr>
            <w:tcW w:w="5114" w:type="dxa"/>
            <w:tcBorders>
              <w:left w:val="single" w:sz="4" w:space="0" w:color="4BACC6"/>
              <w:right w:val="single" w:sz="4" w:space="0" w:color="4BACC6"/>
            </w:tcBorders>
          </w:tcPr>
          <w:p w:rsidR="004B741E" w:rsidRPr="00845088" w:rsidRDefault="004B741E" w:rsidP="00CB0083">
            <w:pPr>
              <w:widowControl w:val="0"/>
              <w:ind w:left="331"/>
              <w:cnfStyle w:val="000000000000"/>
              <w:rPr>
                <w:rFonts w:cs="Arial"/>
                <w:color w:val="auto"/>
                <w:sz w:val="20"/>
                <w:szCs w:val="20"/>
              </w:rPr>
            </w:pPr>
            <w:r w:rsidRPr="00845088">
              <w:rPr>
                <w:rFonts w:cs="Arial"/>
                <w:color w:val="auto"/>
                <w:sz w:val="20"/>
                <w:szCs w:val="20"/>
                <w:lang w:eastAsia="en-GB"/>
              </w:rPr>
              <w:t>Proceeds from the sale of property, plant and equipment, investment property and intangible assets</w:t>
            </w:r>
          </w:p>
        </w:tc>
        <w:tc>
          <w:tcPr>
            <w:tcW w:w="851"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850" w:type="dxa"/>
            <w:tcBorders>
              <w:left w:val="single" w:sz="4" w:space="0" w:color="4BACC6"/>
              <w:right w:val="single" w:sz="4" w:space="0" w:color="4BACC6"/>
            </w:tcBorders>
          </w:tcPr>
          <w:p w:rsidR="004B741E" w:rsidRPr="00845088" w:rsidRDefault="00893E44" w:rsidP="00E6759C">
            <w:pPr>
              <w:jc w:val="center"/>
              <w:cnfStyle w:val="000000000000"/>
              <w:rPr>
                <w:color w:val="auto"/>
              </w:rPr>
            </w:pPr>
            <w:r>
              <w:rPr>
                <w:color w:val="auto"/>
              </w:rPr>
              <w:t>0.4</w:t>
            </w:r>
          </w:p>
        </w:tc>
        <w:tc>
          <w:tcPr>
            <w:tcW w:w="993" w:type="dxa"/>
            <w:tcBorders>
              <w:left w:val="single" w:sz="4" w:space="0" w:color="4BACC6"/>
            </w:tcBorders>
          </w:tcPr>
          <w:p w:rsidR="004B741E" w:rsidRPr="00845088" w:rsidRDefault="004B741E" w:rsidP="00E6759C">
            <w:pPr>
              <w:jc w:val="center"/>
              <w:cnfStyle w:val="000000000000"/>
              <w:rPr>
                <w:color w:val="auto"/>
              </w:rPr>
            </w:pPr>
          </w:p>
        </w:tc>
      </w:tr>
      <w:tr w:rsidR="004B741E" w:rsidRPr="00845088" w:rsidTr="00676EBB">
        <w:trPr>
          <w:cnfStyle w:val="000000100000"/>
        </w:trPr>
        <w:tc>
          <w:tcPr>
            <w:cnfStyle w:val="001000000000"/>
            <w:tcW w:w="850" w:type="dxa"/>
            <w:tcBorders>
              <w:right w:val="single" w:sz="4" w:space="0" w:color="4BACC6"/>
            </w:tcBorders>
          </w:tcPr>
          <w:p w:rsidR="004B741E" w:rsidRPr="009D115C" w:rsidRDefault="004B741E" w:rsidP="004B741E">
            <w:pPr>
              <w:jc w:val="center"/>
              <w:rPr>
                <w:b w:val="0"/>
                <w:color w:val="auto"/>
              </w:rPr>
            </w:pPr>
            <w:r w:rsidRPr="009D115C">
              <w:rPr>
                <w:b w:val="0"/>
                <w:color w:val="auto"/>
              </w:rPr>
              <w:t>(1.4)</w:t>
            </w:r>
          </w:p>
        </w:tc>
        <w:tc>
          <w:tcPr>
            <w:tcW w:w="948" w:type="dxa"/>
            <w:tcBorders>
              <w:left w:val="single" w:sz="4" w:space="0" w:color="4BACC6"/>
              <w:right w:val="single" w:sz="4" w:space="0" w:color="4BACC6"/>
            </w:tcBorders>
          </w:tcPr>
          <w:p w:rsidR="004B741E" w:rsidRPr="009D115C" w:rsidRDefault="004B741E" w:rsidP="004B741E">
            <w:pPr>
              <w:jc w:val="center"/>
              <w:cnfStyle w:val="000000100000"/>
              <w:rPr>
                <w:color w:val="auto"/>
              </w:rPr>
            </w:pPr>
            <w:r w:rsidRPr="009D115C">
              <w:rPr>
                <w:color w:val="auto"/>
              </w:rPr>
              <w:t>(11.8)</w:t>
            </w:r>
          </w:p>
        </w:tc>
        <w:tc>
          <w:tcPr>
            <w:tcW w:w="5114" w:type="dxa"/>
            <w:tcBorders>
              <w:left w:val="single" w:sz="4" w:space="0" w:color="4BACC6"/>
              <w:right w:val="single" w:sz="4" w:space="0" w:color="4BACC6"/>
            </w:tcBorders>
          </w:tcPr>
          <w:p w:rsidR="004B741E" w:rsidRPr="00845088" w:rsidRDefault="004B741E" w:rsidP="006E667C">
            <w:pPr>
              <w:widowControl w:val="0"/>
              <w:ind w:left="331"/>
              <w:cnfStyle w:val="000000100000"/>
              <w:rPr>
                <w:rFonts w:cs="Arial"/>
                <w:color w:val="auto"/>
                <w:sz w:val="20"/>
                <w:szCs w:val="20"/>
                <w:lang w:eastAsia="en-GB"/>
              </w:rPr>
            </w:pPr>
            <w:r w:rsidRPr="00845088">
              <w:rPr>
                <w:rFonts w:cs="Arial"/>
                <w:color w:val="auto"/>
                <w:sz w:val="20"/>
                <w:szCs w:val="20"/>
                <w:lang w:eastAsia="en-GB"/>
              </w:rPr>
              <w:t xml:space="preserve">Proceeds from short-term and long-term investments  </w:t>
            </w:r>
          </w:p>
        </w:tc>
        <w:tc>
          <w:tcPr>
            <w:tcW w:w="851" w:type="dxa"/>
            <w:tcBorders>
              <w:left w:val="single" w:sz="4" w:space="0" w:color="4BACC6"/>
              <w:right w:val="single" w:sz="4" w:space="0" w:color="4BACC6"/>
            </w:tcBorders>
          </w:tcPr>
          <w:p w:rsidR="004B741E" w:rsidRPr="00845088" w:rsidRDefault="004F075A" w:rsidP="004F075A">
            <w:pPr>
              <w:jc w:val="center"/>
              <w:cnfStyle w:val="000000100000"/>
              <w:rPr>
                <w:color w:val="auto"/>
              </w:rPr>
            </w:pPr>
            <w:r>
              <w:rPr>
                <w:color w:val="auto"/>
              </w:rPr>
              <w:t>15</w:t>
            </w:r>
          </w:p>
        </w:tc>
        <w:tc>
          <w:tcPr>
            <w:tcW w:w="850" w:type="dxa"/>
            <w:tcBorders>
              <w:left w:val="single" w:sz="4" w:space="0" w:color="4BACC6"/>
              <w:right w:val="single" w:sz="4" w:space="0" w:color="4BACC6"/>
            </w:tcBorders>
          </w:tcPr>
          <w:p w:rsidR="004B741E" w:rsidRPr="00845088" w:rsidRDefault="00893E44" w:rsidP="00893E44">
            <w:pPr>
              <w:jc w:val="center"/>
              <w:cnfStyle w:val="000000100000"/>
              <w:rPr>
                <w:color w:val="auto"/>
              </w:rPr>
            </w:pPr>
            <w:r>
              <w:rPr>
                <w:color w:val="auto"/>
              </w:rPr>
              <w:t>14.8</w:t>
            </w:r>
          </w:p>
        </w:tc>
        <w:tc>
          <w:tcPr>
            <w:tcW w:w="993" w:type="dxa"/>
            <w:tcBorders>
              <w:left w:val="single" w:sz="4" w:space="0" w:color="4BACC6"/>
            </w:tcBorders>
          </w:tcPr>
          <w:p w:rsidR="004B741E" w:rsidRPr="00845088" w:rsidRDefault="00893E44" w:rsidP="00893E44">
            <w:pPr>
              <w:jc w:val="center"/>
              <w:cnfStyle w:val="000000100000"/>
              <w:rPr>
                <w:color w:val="auto"/>
              </w:rPr>
            </w:pPr>
            <w:r>
              <w:rPr>
                <w:color w:val="auto"/>
              </w:rPr>
              <w:t>(5.8)</w:t>
            </w:r>
          </w:p>
        </w:tc>
      </w:tr>
      <w:tr w:rsidR="004B741E" w:rsidRPr="00845088" w:rsidTr="00676EBB">
        <w:trPr>
          <w:trHeight w:val="385"/>
        </w:trPr>
        <w:tc>
          <w:tcPr>
            <w:cnfStyle w:val="001000000000"/>
            <w:tcW w:w="850" w:type="dxa"/>
            <w:tcBorders>
              <w:right w:val="single" w:sz="4" w:space="0" w:color="4BACC6"/>
            </w:tcBorders>
          </w:tcPr>
          <w:p w:rsidR="004B741E" w:rsidRPr="009D115C" w:rsidRDefault="004B741E" w:rsidP="004B741E">
            <w:pPr>
              <w:rPr>
                <w:b w:val="0"/>
                <w:color w:val="auto"/>
              </w:rPr>
            </w:pPr>
          </w:p>
        </w:tc>
        <w:tc>
          <w:tcPr>
            <w:tcW w:w="948" w:type="dxa"/>
            <w:tcBorders>
              <w:left w:val="single" w:sz="4" w:space="0" w:color="4BACC6"/>
              <w:right w:val="single" w:sz="4" w:space="0" w:color="4BACC6"/>
            </w:tcBorders>
          </w:tcPr>
          <w:p w:rsidR="004B741E" w:rsidRPr="009D115C" w:rsidRDefault="004B741E" w:rsidP="004B741E">
            <w:pPr>
              <w:cnfStyle w:val="000000000000"/>
              <w:rPr>
                <w:color w:val="auto"/>
              </w:rPr>
            </w:pPr>
          </w:p>
        </w:tc>
        <w:tc>
          <w:tcPr>
            <w:tcW w:w="5114" w:type="dxa"/>
            <w:tcBorders>
              <w:left w:val="single" w:sz="4" w:space="0" w:color="4BACC6"/>
              <w:right w:val="single" w:sz="4" w:space="0" w:color="4BACC6"/>
            </w:tcBorders>
          </w:tcPr>
          <w:p w:rsidR="004B741E" w:rsidRPr="00845088" w:rsidRDefault="004B741E" w:rsidP="00CB0083">
            <w:pPr>
              <w:widowControl w:val="0"/>
              <w:ind w:left="331"/>
              <w:cnfStyle w:val="000000000000"/>
              <w:rPr>
                <w:rFonts w:cs="Arial"/>
                <w:color w:val="auto"/>
                <w:sz w:val="20"/>
                <w:szCs w:val="20"/>
              </w:rPr>
            </w:pPr>
            <w:r w:rsidRPr="00845088">
              <w:rPr>
                <w:rFonts w:cs="Arial"/>
                <w:b/>
                <w:color w:val="auto"/>
                <w:sz w:val="20"/>
                <w:szCs w:val="20"/>
              </w:rPr>
              <w:t>Financing Activities</w:t>
            </w:r>
            <w:r w:rsidRPr="00845088">
              <w:rPr>
                <w:rFonts w:cs="Arial"/>
                <w:color w:val="auto"/>
                <w:sz w:val="20"/>
                <w:szCs w:val="20"/>
              </w:rPr>
              <w:t xml:space="preserve"> </w:t>
            </w:r>
          </w:p>
        </w:tc>
        <w:tc>
          <w:tcPr>
            <w:tcW w:w="851"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850"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993" w:type="dxa"/>
            <w:tcBorders>
              <w:left w:val="single" w:sz="4" w:space="0" w:color="4BACC6"/>
            </w:tcBorders>
          </w:tcPr>
          <w:p w:rsidR="004B741E" w:rsidRPr="00845088" w:rsidRDefault="004B741E" w:rsidP="006E667C">
            <w:pPr>
              <w:cnfStyle w:val="000000000000"/>
              <w:rPr>
                <w:color w:val="auto"/>
              </w:rPr>
            </w:pPr>
          </w:p>
        </w:tc>
      </w:tr>
      <w:tr w:rsidR="004B741E" w:rsidRPr="00845088" w:rsidTr="00676EBB">
        <w:trPr>
          <w:cnfStyle w:val="000000100000"/>
          <w:trHeight w:val="385"/>
        </w:trPr>
        <w:tc>
          <w:tcPr>
            <w:cnfStyle w:val="001000000000"/>
            <w:tcW w:w="850" w:type="dxa"/>
            <w:tcBorders>
              <w:right w:val="single" w:sz="4" w:space="0" w:color="4BACC6"/>
            </w:tcBorders>
          </w:tcPr>
          <w:p w:rsidR="004B741E" w:rsidRPr="009D115C" w:rsidRDefault="004B741E" w:rsidP="004B741E">
            <w:pPr>
              <w:jc w:val="center"/>
              <w:rPr>
                <w:b w:val="0"/>
                <w:color w:val="auto"/>
              </w:rPr>
            </w:pPr>
            <w:r w:rsidRPr="009D115C">
              <w:rPr>
                <w:b w:val="0"/>
                <w:color w:val="auto"/>
              </w:rPr>
              <w:t>(0.4)</w:t>
            </w:r>
          </w:p>
        </w:tc>
        <w:tc>
          <w:tcPr>
            <w:tcW w:w="948" w:type="dxa"/>
            <w:tcBorders>
              <w:left w:val="single" w:sz="4" w:space="0" w:color="4BACC6"/>
              <w:right w:val="single" w:sz="4" w:space="0" w:color="4BACC6"/>
            </w:tcBorders>
          </w:tcPr>
          <w:p w:rsidR="004B741E" w:rsidRPr="009D115C" w:rsidRDefault="004B741E" w:rsidP="004B741E">
            <w:pPr>
              <w:jc w:val="center"/>
              <w:cnfStyle w:val="000000100000"/>
              <w:rPr>
                <w:color w:val="auto"/>
              </w:rPr>
            </w:pPr>
          </w:p>
        </w:tc>
        <w:tc>
          <w:tcPr>
            <w:tcW w:w="5114" w:type="dxa"/>
            <w:tcBorders>
              <w:left w:val="single" w:sz="4" w:space="0" w:color="4BACC6"/>
              <w:right w:val="single" w:sz="4" w:space="0" w:color="4BACC6"/>
            </w:tcBorders>
          </w:tcPr>
          <w:p w:rsidR="004B741E" w:rsidRPr="00845088" w:rsidRDefault="004B741E" w:rsidP="00CB0083">
            <w:pPr>
              <w:widowControl w:val="0"/>
              <w:ind w:left="331"/>
              <w:cnfStyle w:val="000000100000"/>
              <w:rPr>
                <w:rFonts w:cs="Arial"/>
                <w:color w:val="auto"/>
                <w:sz w:val="20"/>
                <w:szCs w:val="20"/>
              </w:rPr>
            </w:pPr>
            <w:r w:rsidRPr="00845088">
              <w:rPr>
                <w:rFonts w:cs="Arial"/>
                <w:color w:val="auto"/>
                <w:sz w:val="20"/>
                <w:szCs w:val="20"/>
              </w:rPr>
              <w:t>Cash payments for the reduction of the outstanding liabilities relating to transferred debt and on-balance sheet PFI contracts</w:t>
            </w:r>
          </w:p>
        </w:tc>
        <w:tc>
          <w:tcPr>
            <w:tcW w:w="851" w:type="dxa"/>
            <w:tcBorders>
              <w:left w:val="single" w:sz="4" w:space="0" w:color="4BACC6"/>
              <w:right w:val="single" w:sz="4" w:space="0" w:color="4BACC6"/>
            </w:tcBorders>
          </w:tcPr>
          <w:p w:rsidR="004B741E" w:rsidRPr="00845088" w:rsidRDefault="004F075A" w:rsidP="004F075A">
            <w:pPr>
              <w:jc w:val="center"/>
              <w:cnfStyle w:val="000000100000"/>
              <w:rPr>
                <w:color w:val="auto"/>
              </w:rPr>
            </w:pPr>
            <w:r>
              <w:rPr>
                <w:color w:val="auto"/>
              </w:rPr>
              <w:t>21</w:t>
            </w:r>
          </w:p>
        </w:tc>
        <w:tc>
          <w:tcPr>
            <w:tcW w:w="850" w:type="dxa"/>
            <w:tcBorders>
              <w:left w:val="single" w:sz="4" w:space="0" w:color="4BACC6"/>
              <w:right w:val="single" w:sz="4" w:space="0" w:color="4BACC6"/>
            </w:tcBorders>
          </w:tcPr>
          <w:p w:rsidR="004B741E" w:rsidRPr="00845088" w:rsidRDefault="00893E44" w:rsidP="00E6759C">
            <w:pPr>
              <w:jc w:val="center"/>
              <w:cnfStyle w:val="000000100000"/>
              <w:rPr>
                <w:color w:val="auto"/>
              </w:rPr>
            </w:pPr>
            <w:r>
              <w:rPr>
                <w:color w:val="auto"/>
              </w:rPr>
              <w:t>(0.7)</w:t>
            </w:r>
          </w:p>
        </w:tc>
        <w:tc>
          <w:tcPr>
            <w:tcW w:w="993" w:type="dxa"/>
            <w:tcBorders>
              <w:left w:val="single" w:sz="4" w:space="0" w:color="4BACC6"/>
            </w:tcBorders>
          </w:tcPr>
          <w:p w:rsidR="004B741E" w:rsidRPr="00845088" w:rsidRDefault="004B741E" w:rsidP="00E6759C">
            <w:pPr>
              <w:jc w:val="center"/>
              <w:cnfStyle w:val="000000100000"/>
              <w:rPr>
                <w:color w:val="auto"/>
              </w:rPr>
            </w:pPr>
          </w:p>
        </w:tc>
      </w:tr>
      <w:tr w:rsidR="004B741E" w:rsidRPr="00845088" w:rsidTr="00676EBB">
        <w:trPr>
          <w:trHeight w:val="385"/>
        </w:trPr>
        <w:tc>
          <w:tcPr>
            <w:cnfStyle w:val="001000000000"/>
            <w:tcW w:w="850" w:type="dxa"/>
            <w:tcBorders>
              <w:right w:val="single" w:sz="4" w:space="0" w:color="4BACC6"/>
            </w:tcBorders>
          </w:tcPr>
          <w:p w:rsidR="004B741E" w:rsidRPr="009D115C" w:rsidRDefault="004B741E" w:rsidP="004B741E">
            <w:pPr>
              <w:jc w:val="center"/>
              <w:rPr>
                <w:b w:val="0"/>
                <w:color w:val="auto"/>
              </w:rPr>
            </w:pPr>
            <w:r w:rsidRPr="009D115C">
              <w:rPr>
                <w:b w:val="0"/>
                <w:color w:val="auto"/>
              </w:rPr>
              <w:t>2.3</w:t>
            </w:r>
          </w:p>
        </w:tc>
        <w:tc>
          <w:tcPr>
            <w:tcW w:w="948" w:type="dxa"/>
            <w:tcBorders>
              <w:left w:val="single" w:sz="4" w:space="0" w:color="4BACC6"/>
              <w:right w:val="single" w:sz="4" w:space="0" w:color="4BACC6"/>
            </w:tcBorders>
          </w:tcPr>
          <w:p w:rsidR="004B741E" w:rsidRPr="009D115C" w:rsidRDefault="004B741E" w:rsidP="004B741E">
            <w:pPr>
              <w:jc w:val="center"/>
              <w:cnfStyle w:val="000000000000"/>
              <w:rPr>
                <w:color w:val="auto"/>
              </w:rPr>
            </w:pPr>
          </w:p>
        </w:tc>
        <w:tc>
          <w:tcPr>
            <w:tcW w:w="5114" w:type="dxa"/>
            <w:tcBorders>
              <w:left w:val="single" w:sz="4" w:space="0" w:color="4BACC6"/>
              <w:right w:val="single" w:sz="4" w:space="0" w:color="4BACC6"/>
            </w:tcBorders>
          </w:tcPr>
          <w:p w:rsidR="004B741E" w:rsidRPr="00845088" w:rsidRDefault="004B741E" w:rsidP="00103EEF">
            <w:pPr>
              <w:widowControl w:val="0"/>
              <w:ind w:left="331"/>
              <w:cnfStyle w:val="000000000000"/>
              <w:rPr>
                <w:rFonts w:cs="Arial"/>
                <w:color w:val="auto"/>
                <w:sz w:val="20"/>
                <w:szCs w:val="20"/>
              </w:rPr>
            </w:pPr>
            <w:r w:rsidRPr="00845088">
              <w:rPr>
                <w:rFonts w:cs="Arial"/>
                <w:color w:val="auto"/>
                <w:sz w:val="20"/>
                <w:szCs w:val="20"/>
              </w:rPr>
              <w:t>Council Tax and NNDR adjustments</w:t>
            </w:r>
          </w:p>
        </w:tc>
        <w:tc>
          <w:tcPr>
            <w:tcW w:w="851"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850" w:type="dxa"/>
            <w:tcBorders>
              <w:left w:val="single" w:sz="4" w:space="0" w:color="4BACC6"/>
              <w:right w:val="single" w:sz="4" w:space="0" w:color="4BACC6"/>
            </w:tcBorders>
          </w:tcPr>
          <w:p w:rsidR="004B741E" w:rsidRPr="00845088" w:rsidRDefault="00893E44" w:rsidP="00893E44">
            <w:pPr>
              <w:jc w:val="center"/>
              <w:cnfStyle w:val="000000000000"/>
              <w:rPr>
                <w:color w:val="auto"/>
              </w:rPr>
            </w:pPr>
            <w:r>
              <w:rPr>
                <w:color w:val="auto"/>
              </w:rPr>
              <w:t>0.2</w:t>
            </w:r>
          </w:p>
        </w:tc>
        <w:tc>
          <w:tcPr>
            <w:tcW w:w="993" w:type="dxa"/>
            <w:tcBorders>
              <w:left w:val="single" w:sz="4" w:space="0" w:color="4BACC6"/>
            </w:tcBorders>
          </w:tcPr>
          <w:p w:rsidR="004B741E" w:rsidRPr="00845088" w:rsidRDefault="004B741E" w:rsidP="00E6759C">
            <w:pPr>
              <w:jc w:val="center"/>
              <w:cnfStyle w:val="000000000000"/>
              <w:rPr>
                <w:color w:val="auto"/>
              </w:rPr>
            </w:pPr>
          </w:p>
        </w:tc>
      </w:tr>
      <w:tr w:rsidR="004B741E" w:rsidRPr="00845088" w:rsidTr="00BE7C82">
        <w:trPr>
          <w:cnfStyle w:val="000000100000"/>
          <w:trHeight w:val="385"/>
        </w:trPr>
        <w:tc>
          <w:tcPr>
            <w:cnfStyle w:val="001000000000"/>
            <w:tcW w:w="850" w:type="dxa"/>
            <w:tcBorders>
              <w:bottom w:val="single" w:sz="4" w:space="0" w:color="4BACC6"/>
              <w:right w:val="single" w:sz="4" w:space="0" w:color="4BACC6"/>
            </w:tcBorders>
          </w:tcPr>
          <w:p w:rsidR="004B741E" w:rsidRPr="009D115C" w:rsidRDefault="004B741E" w:rsidP="004B741E">
            <w:pPr>
              <w:jc w:val="center"/>
              <w:rPr>
                <w:b w:val="0"/>
                <w:color w:val="auto"/>
              </w:rPr>
            </w:pPr>
            <w:r w:rsidRPr="009D115C">
              <w:rPr>
                <w:b w:val="0"/>
                <w:color w:val="auto"/>
              </w:rPr>
              <w:t>0</w:t>
            </w:r>
          </w:p>
        </w:tc>
        <w:tc>
          <w:tcPr>
            <w:tcW w:w="948" w:type="dxa"/>
            <w:tcBorders>
              <w:left w:val="single" w:sz="4" w:space="0" w:color="4BACC6"/>
              <w:bottom w:val="single" w:sz="4" w:space="0" w:color="4BACC6"/>
              <w:right w:val="single" w:sz="4" w:space="0" w:color="4BACC6"/>
            </w:tcBorders>
          </w:tcPr>
          <w:p w:rsidR="004B741E" w:rsidRPr="009D115C" w:rsidRDefault="004B741E" w:rsidP="004B741E">
            <w:pPr>
              <w:jc w:val="center"/>
              <w:cnfStyle w:val="000000100000"/>
              <w:rPr>
                <w:color w:val="auto"/>
              </w:rPr>
            </w:pPr>
            <w:r w:rsidRPr="009D115C">
              <w:rPr>
                <w:color w:val="auto"/>
              </w:rPr>
              <w:t>1.9</w:t>
            </w:r>
          </w:p>
        </w:tc>
        <w:tc>
          <w:tcPr>
            <w:tcW w:w="5114" w:type="dxa"/>
            <w:tcBorders>
              <w:left w:val="single" w:sz="4" w:space="0" w:color="4BACC6"/>
              <w:bottom w:val="single" w:sz="4" w:space="0" w:color="4BACC6"/>
              <w:right w:val="single" w:sz="4" w:space="0" w:color="4BACC6"/>
            </w:tcBorders>
          </w:tcPr>
          <w:p w:rsidR="004B741E" w:rsidRPr="00845088" w:rsidRDefault="004B741E" w:rsidP="00103EEF">
            <w:pPr>
              <w:widowControl w:val="0"/>
              <w:ind w:left="331"/>
              <w:cnfStyle w:val="000000100000"/>
              <w:rPr>
                <w:rFonts w:cs="Arial"/>
                <w:color w:val="auto"/>
                <w:sz w:val="20"/>
                <w:szCs w:val="20"/>
              </w:rPr>
            </w:pPr>
            <w:r w:rsidRPr="00845088">
              <w:rPr>
                <w:rFonts w:cs="Arial"/>
                <w:color w:val="auto"/>
                <w:sz w:val="20"/>
                <w:szCs w:val="20"/>
              </w:rPr>
              <w:t>Repayments of short- and long-term borrowing</w:t>
            </w:r>
          </w:p>
        </w:tc>
        <w:tc>
          <w:tcPr>
            <w:tcW w:w="851" w:type="dxa"/>
            <w:tcBorders>
              <w:left w:val="single" w:sz="4" w:space="0" w:color="4BACC6"/>
              <w:bottom w:val="single" w:sz="4" w:space="0" w:color="4BACC6"/>
              <w:right w:val="single" w:sz="4" w:space="0" w:color="4BACC6"/>
            </w:tcBorders>
          </w:tcPr>
          <w:p w:rsidR="004B741E" w:rsidRPr="00845088" w:rsidRDefault="004B741E" w:rsidP="006E667C">
            <w:pPr>
              <w:cnfStyle w:val="000000100000"/>
              <w:rPr>
                <w:color w:val="auto"/>
              </w:rPr>
            </w:pPr>
          </w:p>
        </w:tc>
        <w:tc>
          <w:tcPr>
            <w:tcW w:w="850" w:type="dxa"/>
            <w:tcBorders>
              <w:left w:val="single" w:sz="4" w:space="0" w:color="4BACC6"/>
              <w:bottom w:val="single" w:sz="4" w:space="0" w:color="4BACC6"/>
              <w:right w:val="single" w:sz="4" w:space="0" w:color="4BACC6"/>
            </w:tcBorders>
          </w:tcPr>
          <w:p w:rsidR="004B741E" w:rsidRPr="00845088" w:rsidRDefault="00893E44" w:rsidP="00E6759C">
            <w:pPr>
              <w:jc w:val="center"/>
              <w:cnfStyle w:val="000000100000"/>
              <w:rPr>
                <w:color w:val="auto"/>
              </w:rPr>
            </w:pPr>
            <w:r>
              <w:rPr>
                <w:color w:val="auto"/>
              </w:rPr>
              <w:t>0</w:t>
            </w:r>
          </w:p>
        </w:tc>
        <w:tc>
          <w:tcPr>
            <w:tcW w:w="993" w:type="dxa"/>
            <w:tcBorders>
              <w:left w:val="single" w:sz="4" w:space="0" w:color="4BACC6"/>
              <w:bottom w:val="single" w:sz="4" w:space="0" w:color="4BACC6"/>
            </w:tcBorders>
          </w:tcPr>
          <w:p w:rsidR="004B741E" w:rsidRPr="00845088" w:rsidRDefault="00893E44" w:rsidP="00E6759C">
            <w:pPr>
              <w:jc w:val="center"/>
              <w:cnfStyle w:val="000000100000"/>
              <w:rPr>
                <w:color w:val="auto"/>
              </w:rPr>
            </w:pPr>
            <w:r>
              <w:rPr>
                <w:color w:val="auto"/>
              </w:rPr>
              <w:t>(0.5)</w:t>
            </w:r>
          </w:p>
        </w:tc>
      </w:tr>
      <w:tr w:rsidR="004B741E" w:rsidRPr="00845088" w:rsidTr="00BE7C82">
        <w:trPr>
          <w:trHeight w:val="558"/>
        </w:trPr>
        <w:tc>
          <w:tcPr>
            <w:cnfStyle w:val="001000000000"/>
            <w:tcW w:w="850" w:type="dxa"/>
            <w:tcBorders>
              <w:top w:val="single" w:sz="4" w:space="0" w:color="4BACC6"/>
              <w:left w:val="single" w:sz="4" w:space="0" w:color="4BACC6"/>
              <w:bottom w:val="single" w:sz="4" w:space="0" w:color="4BACC6"/>
              <w:right w:val="single" w:sz="4" w:space="0" w:color="4BACC6"/>
            </w:tcBorders>
          </w:tcPr>
          <w:p w:rsidR="004B741E" w:rsidRPr="009D115C" w:rsidRDefault="004B741E" w:rsidP="004B741E">
            <w:pPr>
              <w:jc w:val="center"/>
              <w:rPr>
                <w:b w:val="0"/>
                <w:color w:val="auto"/>
              </w:rPr>
            </w:pPr>
          </w:p>
        </w:tc>
        <w:tc>
          <w:tcPr>
            <w:tcW w:w="948" w:type="dxa"/>
            <w:tcBorders>
              <w:top w:val="single" w:sz="4" w:space="0" w:color="4BACC6"/>
              <w:left w:val="single" w:sz="4" w:space="0" w:color="4BACC6"/>
              <w:bottom w:val="single" w:sz="4" w:space="0" w:color="4BACC6"/>
              <w:right w:val="single" w:sz="4" w:space="0" w:color="4BACC6"/>
            </w:tcBorders>
          </w:tcPr>
          <w:p w:rsidR="004B741E" w:rsidRPr="009D115C" w:rsidRDefault="004B741E" w:rsidP="004B741E">
            <w:pPr>
              <w:jc w:val="center"/>
              <w:cnfStyle w:val="000000000000"/>
              <w:rPr>
                <w:color w:val="auto"/>
              </w:rPr>
            </w:pPr>
            <w:r w:rsidRPr="009D115C">
              <w:rPr>
                <w:color w:val="auto"/>
              </w:rPr>
              <w:t>(5.2)</w:t>
            </w:r>
          </w:p>
        </w:tc>
        <w:tc>
          <w:tcPr>
            <w:tcW w:w="5114" w:type="dxa"/>
            <w:tcBorders>
              <w:top w:val="single" w:sz="4" w:space="0" w:color="4BACC6"/>
              <w:left w:val="single" w:sz="4" w:space="0" w:color="4BACC6"/>
              <w:bottom w:val="single" w:sz="4" w:space="0" w:color="4BACC6"/>
              <w:right w:val="single" w:sz="4" w:space="0" w:color="4BACC6"/>
            </w:tcBorders>
          </w:tcPr>
          <w:p w:rsidR="004B741E" w:rsidRPr="00845088" w:rsidRDefault="004B741E" w:rsidP="00103EEF">
            <w:pPr>
              <w:widowControl w:val="0"/>
              <w:cnfStyle w:val="000000000000"/>
              <w:rPr>
                <w:rFonts w:cs="Arial"/>
                <w:color w:val="auto"/>
                <w:sz w:val="20"/>
                <w:szCs w:val="20"/>
              </w:rPr>
            </w:pPr>
            <w:r w:rsidRPr="00845088">
              <w:rPr>
                <w:rFonts w:cs="Arial"/>
                <w:b/>
                <w:color w:val="auto"/>
                <w:sz w:val="20"/>
                <w:szCs w:val="20"/>
              </w:rPr>
              <w:t>Net increase or (decrease) in cash and cash equivalents</w:t>
            </w:r>
          </w:p>
        </w:tc>
        <w:tc>
          <w:tcPr>
            <w:tcW w:w="851" w:type="dxa"/>
            <w:tcBorders>
              <w:top w:val="single" w:sz="4" w:space="0" w:color="4BACC6"/>
              <w:left w:val="single" w:sz="4" w:space="0" w:color="4BACC6"/>
              <w:bottom w:val="single" w:sz="4" w:space="0" w:color="4BACC6"/>
              <w:right w:val="single" w:sz="4" w:space="0" w:color="4BACC6"/>
            </w:tcBorders>
          </w:tcPr>
          <w:p w:rsidR="004B741E" w:rsidRPr="00845088" w:rsidRDefault="004B741E" w:rsidP="006E667C">
            <w:pPr>
              <w:cnfStyle w:val="000000000000"/>
              <w:rPr>
                <w:color w:val="auto"/>
              </w:rPr>
            </w:pPr>
          </w:p>
        </w:tc>
        <w:tc>
          <w:tcPr>
            <w:tcW w:w="850" w:type="dxa"/>
            <w:tcBorders>
              <w:top w:val="single" w:sz="4" w:space="0" w:color="4BACC6"/>
              <w:left w:val="single" w:sz="4" w:space="0" w:color="4BACC6"/>
              <w:bottom w:val="single" w:sz="4" w:space="0" w:color="4BACC6"/>
              <w:right w:val="single" w:sz="4" w:space="0" w:color="4BACC6"/>
            </w:tcBorders>
          </w:tcPr>
          <w:p w:rsidR="004B741E" w:rsidRPr="00845088" w:rsidRDefault="004B741E" w:rsidP="00E6759C">
            <w:pPr>
              <w:jc w:val="center"/>
              <w:cnfStyle w:val="000000000000"/>
              <w:rPr>
                <w:color w:val="auto"/>
              </w:rPr>
            </w:pPr>
          </w:p>
        </w:tc>
        <w:tc>
          <w:tcPr>
            <w:tcW w:w="993" w:type="dxa"/>
            <w:tcBorders>
              <w:top w:val="single" w:sz="4" w:space="0" w:color="4BACC6"/>
              <w:left w:val="single" w:sz="4" w:space="0" w:color="4BACC6"/>
              <w:bottom w:val="single" w:sz="4" w:space="0" w:color="4BACC6"/>
              <w:right w:val="single" w:sz="4" w:space="0" w:color="4BACC6"/>
            </w:tcBorders>
          </w:tcPr>
          <w:p w:rsidR="004B741E" w:rsidRPr="004F70AB" w:rsidRDefault="00EC34B2" w:rsidP="00E6759C">
            <w:pPr>
              <w:jc w:val="center"/>
              <w:cnfStyle w:val="000000000000"/>
              <w:rPr>
                <w:b/>
                <w:color w:val="auto"/>
              </w:rPr>
            </w:pPr>
            <w:r w:rsidRPr="004F70AB">
              <w:rPr>
                <w:b/>
                <w:color w:val="auto"/>
              </w:rPr>
              <w:t>(0.2)</w:t>
            </w:r>
          </w:p>
        </w:tc>
      </w:tr>
      <w:tr w:rsidR="004B741E" w:rsidRPr="00845088" w:rsidTr="00BE7C82">
        <w:trPr>
          <w:cnfStyle w:val="000000100000"/>
        </w:trPr>
        <w:tc>
          <w:tcPr>
            <w:cnfStyle w:val="001000000000"/>
            <w:tcW w:w="1798" w:type="dxa"/>
            <w:gridSpan w:val="2"/>
            <w:tcBorders>
              <w:top w:val="single" w:sz="4" w:space="0" w:color="4BACC6"/>
              <w:left w:val="nil"/>
              <w:bottom w:val="nil"/>
            </w:tcBorders>
            <w:shd w:val="clear" w:color="auto" w:fill="4BACC6" w:themeFill="accent5"/>
          </w:tcPr>
          <w:p w:rsidR="004B741E" w:rsidRPr="00845088" w:rsidRDefault="004B741E" w:rsidP="004B741E">
            <w:pPr>
              <w:jc w:val="center"/>
              <w:rPr>
                <w:color w:val="auto"/>
              </w:rPr>
            </w:pPr>
            <w:r w:rsidRPr="00845088">
              <w:rPr>
                <w:rFonts w:cs="Arial"/>
                <w:b w:val="0"/>
                <w:bCs w:val="0"/>
                <w:color w:val="auto"/>
                <w:sz w:val="20"/>
                <w:szCs w:val="20"/>
              </w:rPr>
              <w:lastRenderedPageBreak/>
              <w:t>2014/15</w:t>
            </w:r>
          </w:p>
        </w:tc>
        <w:tc>
          <w:tcPr>
            <w:tcW w:w="5114" w:type="dxa"/>
            <w:tcBorders>
              <w:top w:val="single" w:sz="4" w:space="0" w:color="4BACC6"/>
              <w:left w:val="nil"/>
              <w:bottom w:val="nil"/>
              <w:right w:val="nil"/>
            </w:tcBorders>
            <w:shd w:val="clear" w:color="auto" w:fill="4BACC6" w:themeFill="accent5"/>
          </w:tcPr>
          <w:p w:rsidR="004B741E" w:rsidRPr="00845088" w:rsidRDefault="004B741E" w:rsidP="006E667C">
            <w:pPr>
              <w:widowControl w:val="0"/>
              <w:cnfStyle w:val="000000100000"/>
              <w:rPr>
                <w:rFonts w:cs="Arial"/>
                <w:color w:val="auto"/>
                <w:sz w:val="20"/>
                <w:szCs w:val="20"/>
              </w:rPr>
            </w:pPr>
          </w:p>
        </w:tc>
        <w:tc>
          <w:tcPr>
            <w:tcW w:w="851" w:type="dxa"/>
            <w:tcBorders>
              <w:top w:val="single" w:sz="4" w:space="0" w:color="4BACC6"/>
              <w:left w:val="nil"/>
              <w:bottom w:val="nil"/>
              <w:right w:val="nil"/>
            </w:tcBorders>
            <w:shd w:val="clear" w:color="auto" w:fill="4BACC6" w:themeFill="accent5"/>
          </w:tcPr>
          <w:p w:rsidR="004B741E" w:rsidRPr="00845088" w:rsidRDefault="004B741E" w:rsidP="006E667C">
            <w:pPr>
              <w:cnfStyle w:val="000000100000"/>
              <w:rPr>
                <w:color w:val="auto"/>
              </w:rPr>
            </w:pPr>
          </w:p>
        </w:tc>
        <w:tc>
          <w:tcPr>
            <w:tcW w:w="1843" w:type="dxa"/>
            <w:gridSpan w:val="2"/>
            <w:tcBorders>
              <w:top w:val="single" w:sz="4" w:space="0" w:color="4BACC6"/>
              <w:left w:val="nil"/>
              <w:bottom w:val="nil"/>
              <w:right w:val="nil"/>
            </w:tcBorders>
            <w:shd w:val="clear" w:color="auto" w:fill="4BACC6" w:themeFill="accent5"/>
          </w:tcPr>
          <w:p w:rsidR="004B741E" w:rsidRPr="00845088" w:rsidRDefault="004B741E" w:rsidP="004B741E">
            <w:pPr>
              <w:jc w:val="center"/>
              <w:cnfStyle w:val="000000100000"/>
              <w:rPr>
                <w:b/>
                <w:color w:val="auto"/>
              </w:rPr>
            </w:pPr>
            <w:r w:rsidRPr="00845088">
              <w:rPr>
                <w:b/>
                <w:color w:val="auto"/>
              </w:rPr>
              <w:t>2015/16</w:t>
            </w:r>
          </w:p>
        </w:tc>
      </w:tr>
      <w:tr w:rsidR="004B741E" w:rsidRPr="00845088" w:rsidTr="00560B3F">
        <w:tc>
          <w:tcPr>
            <w:cnfStyle w:val="001000000000"/>
            <w:tcW w:w="1798" w:type="dxa"/>
            <w:gridSpan w:val="2"/>
            <w:tcBorders>
              <w:top w:val="nil"/>
              <w:left w:val="nil"/>
              <w:bottom w:val="nil"/>
            </w:tcBorders>
            <w:shd w:val="clear" w:color="auto" w:fill="4BACC6" w:themeFill="accent5"/>
          </w:tcPr>
          <w:p w:rsidR="004B741E" w:rsidRPr="00845088" w:rsidRDefault="004B741E" w:rsidP="006E667C">
            <w:pPr>
              <w:widowControl w:val="0"/>
              <w:ind w:left="331"/>
              <w:jc w:val="center"/>
              <w:rPr>
                <w:rFonts w:cs="Arial"/>
                <w:b w:val="0"/>
                <w:color w:val="auto"/>
                <w:sz w:val="20"/>
                <w:szCs w:val="20"/>
              </w:rPr>
            </w:pPr>
            <w:r w:rsidRPr="00845088">
              <w:rPr>
                <w:rFonts w:cs="Arial"/>
                <w:b w:val="0"/>
                <w:bCs w:val="0"/>
                <w:color w:val="auto"/>
                <w:sz w:val="20"/>
                <w:szCs w:val="20"/>
              </w:rPr>
              <w:t>£m</w:t>
            </w:r>
          </w:p>
        </w:tc>
        <w:tc>
          <w:tcPr>
            <w:tcW w:w="5114" w:type="dxa"/>
            <w:tcBorders>
              <w:top w:val="nil"/>
              <w:left w:val="nil"/>
              <w:bottom w:val="nil"/>
              <w:right w:val="nil"/>
            </w:tcBorders>
            <w:shd w:val="clear" w:color="auto" w:fill="4BACC6" w:themeFill="accent5"/>
          </w:tcPr>
          <w:p w:rsidR="004B741E" w:rsidRPr="00845088" w:rsidRDefault="004B741E" w:rsidP="006E667C">
            <w:pPr>
              <w:widowControl w:val="0"/>
              <w:ind w:left="331"/>
              <w:cnfStyle w:val="000000000000"/>
              <w:rPr>
                <w:rFonts w:cs="Arial"/>
                <w:color w:val="auto"/>
                <w:sz w:val="20"/>
                <w:szCs w:val="20"/>
              </w:rPr>
            </w:pPr>
          </w:p>
        </w:tc>
        <w:tc>
          <w:tcPr>
            <w:tcW w:w="851" w:type="dxa"/>
            <w:tcBorders>
              <w:top w:val="nil"/>
              <w:left w:val="nil"/>
              <w:bottom w:val="nil"/>
              <w:right w:val="nil"/>
            </w:tcBorders>
            <w:shd w:val="clear" w:color="auto" w:fill="4BACC6" w:themeFill="accent5"/>
          </w:tcPr>
          <w:p w:rsidR="004B741E" w:rsidRPr="00845088" w:rsidRDefault="004B741E" w:rsidP="006E667C">
            <w:pPr>
              <w:cnfStyle w:val="000000000000"/>
              <w:rPr>
                <w:color w:val="auto"/>
                <w:sz w:val="18"/>
                <w:szCs w:val="18"/>
              </w:rPr>
            </w:pPr>
            <w:r w:rsidRPr="00845088">
              <w:rPr>
                <w:color w:val="auto"/>
                <w:sz w:val="18"/>
                <w:szCs w:val="18"/>
              </w:rPr>
              <w:t>Notes</w:t>
            </w:r>
          </w:p>
        </w:tc>
        <w:tc>
          <w:tcPr>
            <w:tcW w:w="1843" w:type="dxa"/>
            <w:gridSpan w:val="2"/>
            <w:tcBorders>
              <w:top w:val="nil"/>
              <w:left w:val="nil"/>
              <w:bottom w:val="nil"/>
              <w:right w:val="nil"/>
            </w:tcBorders>
            <w:shd w:val="clear" w:color="auto" w:fill="4BACC6" w:themeFill="accent5"/>
          </w:tcPr>
          <w:p w:rsidR="004B741E" w:rsidRPr="00845088" w:rsidRDefault="004B741E" w:rsidP="00103EEF">
            <w:pPr>
              <w:jc w:val="center"/>
              <w:cnfStyle w:val="000000000000"/>
              <w:rPr>
                <w:b/>
                <w:color w:val="auto"/>
              </w:rPr>
            </w:pPr>
            <w:r w:rsidRPr="00845088">
              <w:rPr>
                <w:b/>
                <w:color w:val="auto"/>
              </w:rPr>
              <w:t>£m</w:t>
            </w:r>
          </w:p>
        </w:tc>
      </w:tr>
      <w:tr w:rsidR="004B741E" w:rsidRPr="00845088" w:rsidTr="00560B3F">
        <w:trPr>
          <w:cnfStyle w:val="000000100000"/>
        </w:trPr>
        <w:tc>
          <w:tcPr>
            <w:cnfStyle w:val="001000000000"/>
            <w:tcW w:w="1798" w:type="dxa"/>
            <w:gridSpan w:val="2"/>
            <w:tcBorders>
              <w:top w:val="nil"/>
              <w:right w:val="single" w:sz="4" w:space="0" w:color="4BACC6"/>
            </w:tcBorders>
          </w:tcPr>
          <w:p w:rsidR="004B741E" w:rsidRPr="009D115C" w:rsidRDefault="004B741E" w:rsidP="004B741E">
            <w:pPr>
              <w:jc w:val="center"/>
              <w:rPr>
                <w:b w:val="0"/>
                <w:color w:val="auto"/>
              </w:rPr>
            </w:pPr>
            <w:r w:rsidRPr="009D115C">
              <w:rPr>
                <w:b w:val="0"/>
                <w:color w:val="auto"/>
              </w:rPr>
              <w:t>6.4</w:t>
            </w:r>
          </w:p>
        </w:tc>
        <w:tc>
          <w:tcPr>
            <w:tcW w:w="5114" w:type="dxa"/>
            <w:tcBorders>
              <w:top w:val="nil"/>
              <w:left w:val="single" w:sz="4" w:space="0" w:color="4BACC6"/>
              <w:right w:val="single" w:sz="4" w:space="0" w:color="4BACC6"/>
            </w:tcBorders>
          </w:tcPr>
          <w:p w:rsidR="004B741E" w:rsidRPr="00845088" w:rsidRDefault="004B741E" w:rsidP="006E667C">
            <w:pPr>
              <w:widowControl w:val="0"/>
              <w:ind w:left="331"/>
              <w:cnfStyle w:val="000000100000"/>
              <w:rPr>
                <w:rFonts w:cs="Arial"/>
                <w:color w:val="auto"/>
                <w:sz w:val="20"/>
                <w:szCs w:val="20"/>
              </w:rPr>
            </w:pPr>
            <w:r w:rsidRPr="00845088">
              <w:rPr>
                <w:rFonts w:cs="Arial"/>
                <w:color w:val="auto"/>
                <w:sz w:val="20"/>
                <w:szCs w:val="20"/>
              </w:rPr>
              <w:t>Cash and cash equivalents * at the beginning of the reporting period</w:t>
            </w:r>
          </w:p>
        </w:tc>
        <w:tc>
          <w:tcPr>
            <w:tcW w:w="851" w:type="dxa"/>
            <w:tcBorders>
              <w:top w:val="nil"/>
              <w:left w:val="single" w:sz="4" w:space="0" w:color="4BACC6"/>
              <w:right w:val="single" w:sz="4" w:space="0" w:color="4BACC6"/>
            </w:tcBorders>
          </w:tcPr>
          <w:p w:rsidR="004B741E" w:rsidRPr="00845088" w:rsidRDefault="004B741E" w:rsidP="00676EBB">
            <w:pPr>
              <w:jc w:val="center"/>
              <w:cnfStyle w:val="000000100000"/>
              <w:rPr>
                <w:color w:val="auto"/>
                <w:sz w:val="18"/>
                <w:szCs w:val="18"/>
              </w:rPr>
            </w:pPr>
            <w:r w:rsidRPr="00845088">
              <w:rPr>
                <w:color w:val="auto"/>
                <w:sz w:val="18"/>
                <w:szCs w:val="18"/>
              </w:rPr>
              <w:t>17</w:t>
            </w:r>
          </w:p>
        </w:tc>
        <w:tc>
          <w:tcPr>
            <w:tcW w:w="1843" w:type="dxa"/>
            <w:gridSpan w:val="2"/>
            <w:tcBorders>
              <w:top w:val="nil"/>
              <w:left w:val="single" w:sz="4" w:space="0" w:color="4BACC6"/>
            </w:tcBorders>
          </w:tcPr>
          <w:p w:rsidR="004B741E" w:rsidRPr="00845088" w:rsidRDefault="005801B8" w:rsidP="001D3AC2">
            <w:pPr>
              <w:jc w:val="center"/>
              <w:cnfStyle w:val="000000100000"/>
              <w:rPr>
                <w:color w:val="auto"/>
              </w:rPr>
            </w:pPr>
            <w:r>
              <w:rPr>
                <w:color w:val="auto"/>
              </w:rPr>
              <w:t>1.2</w:t>
            </w:r>
          </w:p>
        </w:tc>
      </w:tr>
      <w:tr w:rsidR="004B741E" w:rsidRPr="00845088" w:rsidTr="00560B3F">
        <w:tc>
          <w:tcPr>
            <w:cnfStyle w:val="001000000000"/>
            <w:tcW w:w="1798" w:type="dxa"/>
            <w:gridSpan w:val="2"/>
            <w:tcBorders>
              <w:right w:val="single" w:sz="4" w:space="0" w:color="4BACC6"/>
            </w:tcBorders>
          </w:tcPr>
          <w:p w:rsidR="004B741E" w:rsidRPr="009D115C" w:rsidRDefault="004B741E" w:rsidP="004B741E">
            <w:pPr>
              <w:jc w:val="center"/>
              <w:rPr>
                <w:b w:val="0"/>
                <w:color w:val="auto"/>
              </w:rPr>
            </w:pPr>
            <w:r w:rsidRPr="009D115C">
              <w:rPr>
                <w:b w:val="0"/>
                <w:color w:val="auto"/>
              </w:rPr>
              <w:t>1.2</w:t>
            </w:r>
          </w:p>
        </w:tc>
        <w:tc>
          <w:tcPr>
            <w:tcW w:w="5114" w:type="dxa"/>
            <w:tcBorders>
              <w:left w:val="single" w:sz="4" w:space="0" w:color="4BACC6"/>
              <w:right w:val="single" w:sz="4" w:space="0" w:color="4BACC6"/>
            </w:tcBorders>
          </w:tcPr>
          <w:p w:rsidR="004B741E" w:rsidRPr="00C1433E" w:rsidRDefault="004B741E" w:rsidP="006E667C">
            <w:pPr>
              <w:widowControl w:val="0"/>
              <w:ind w:left="331"/>
              <w:cnfStyle w:val="000000000000"/>
              <w:rPr>
                <w:rFonts w:cs="Arial"/>
                <w:bCs/>
                <w:color w:val="auto"/>
                <w:sz w:val="20"/>
                <w:szCs w:val="20"/>
              </w:rPr>
            </w:pPr>
            <w:r w:rsidRPr="00C1433E">
              <w:rPr>
                <w:rFonts w:cs="Arial"/>
                <w:bCs/>
                <w:color w:val="auto"/>
                <w:sz w:val="20"/>
                <w:szCs w:val="20"/>
              </w:rPr>
              <w:t>Cash and cash equivalents at the end of the reporting period</w:t>
            </w:r>
          </w:p>
        </w:tc>
        <w:tc>
          <w:tcPr>
            <w:tcW w:w="851" w:type="dxa"/>
            <w:tcBorders>
              <w:left w:val="single" w:sz="4" w:space="0" w:color="4BACC6"/>
              <w:right w:val="single" w:sz="4" w:space="0" w:color="4BACC6"/>
            </w:tcBorders>
          </w:tcPr>
          <w:p w:rsidR="004B741E" w:rsidRPr="00845088" w:rsidRDefault="004B741E" w:rsidP="00676EBB">
            <w:pPr>
              <w:jc w:val="center"/>
              <w:cnfStyle w:val="000000000000"/>
              <w:rPr>
                <w:color w:val="auto"/>
                <w:sz w:val="18"/>
                <w:szCs w:val="18"/>
              </w:rPr>
            </w:pPr>
            <w:r w:rsidRPr="00845088">
              <w:rPr>
                <w:color w:val="auto"/>
                <w:sz w:val="18"/>
                <w:szCs w:val="18"/>
              </w:rPr>
              <w:t>17</w:t>
            </w:r>
          </w:p>
        </w:tc>
        <w:tc>
          <w:tcPr>
            <w:tcW w:w="1843" w:type="dxa"/>
            <w:gridSpan w:val="2"/>
            <w:tcBorders>
              <w:left w:val="single" w:sz="4" w:space="0" w:color="4BACC6"/>
            </w:tcBorders>
          </w:tcPr>
          <w:p w:rsidR="004B741E" w:rsidRPr="00845088" w:rsidRDefault="005801B8" w:rsidP="001D3AC2">
            <w:pPr>
              <w:jc w:val="center"/>
              <w:cnfStyle w:val="000000000000"/>
              <w:rPr>
                <w:color w:val="auto"/>
              </w:rPr>
            </w:pPr>
            <w:r>
              <w:rPr>
                <w:color w:val="auto"/>
              </w:rPr>
              <w:t>1.0</w:t>
            </w:r>
          </w:p>
        </w:tc>
      </w:tr>
      <w:tr w:rsidR="004B741E" w:rsidRPr="00845088" w:rsidTr="00EC20D0">
        <w:trPr>
          <w:cnfStyle w:val="000000100000"/>
        </w:trPr>
        <w:tc>
          <w:tcPr>
            <w:cnfStyle w:val="001000000000"/>
            <w:tcW w:w="1798" w:type="dxa"/>
            <w:gridSpan w:val="2"/>
            <w:tcBorders>
              <w:bottom w:val="single" w:sz="4" w:space="0" w:color="4BACC6"/>
              <w:right w:val="single" w:sz="4" w:space="0" w:color="4BACC6"/>
            </w:tcBorders>
          </w:tcPr>
          <w:p w:rsidR="004B741E" w:rsidRPr="009D115C" w:rsidRDefault="004B741E" w:rsidP="004B741E">
            <w:pPr>
              <w:jc w:val="center"/>
              <w:rPr>
                <w:b w:val="0"/>
                <w:color w:val="auto"/>
              </w:rPr>
            </w:pPr>
            <w:r w:rsidRPr="009D115C">
              <w:rPr>
                <w:b w:val="0"/>
                <w:color w:val="auto"/>
              </w:rPr>
              <w:t>(5.2)</w:t>
            </w:r>
          </w:p>
        </w:tc>
        <w:tc>
          <w:tcPr>
            <w:tcW w:w="5114" w:type="dxa"/>
            <w:tcBorders>
              <w:left w:val="single" w:sz="4" w:space="0" w:color="4BACC6"/>
              <w:bottom w:val="single" w:sz="4" w:space="0" w:color="4BACC6"/>
              <w:right w:val="single" w:sz="4" w:space="0" w:color="4BACC6"/>
            </w:tcBorders>
          </w:tcPr>
          <w:p w:rsidR="004B741E" w:rsidRPr="00845088" w:rsidRDefault="004B741E" w:rsidP="006E667C">
            <w:pPr>
              <w:widowControl w:val="0"/>
              <w:ind w:left="331"/>
              <w:cnfStyle w:val="000000100000"/>
              <w:rPr>
                <w:rFonts w:cs="Arial"/>
                <w:b/>
                <w:bCs/>
                <w:color w:val="auto"/>
                <w:sz w:val="20"/>
                <w:szCs w:val="20"/>
              </w:rPr>
            </w:pPr>
            <w:r w:rsidRPr="00845088">
              <w:rPr>
                <w:rFonts w:cs="Arial"/>
                <w:b/>
                <w:color w:val="auto"/>
                <w:sz w:val="20"/>
                <w:szCs w:val="20"/>
              </w:rPr>
              <w:t>Net increase or (decrease) in cash and cash equivalents</w:t>
            </w:r>
          </w:p>
        </w:tc>
        <w:tc>
          <w:tcPr>
            <w:tcW w:w="851" w:type="dxa"/>
            <w:tcBorders>
              <w:left w:val="single" w:sz="4" w:space="0" w:color="4BACC6"/>
              <w:bottom w:val="single" w:sz="4" w:space="0" w:color="4BACC6"/>
              <w:right w:val="single" w:sz="4" w:space="0" w:color="4BACC6"/>
            </w:tcBorders>
          </w:tcPr>
          <w:p w:rsidR="004B741E" w:rsidRPr="00845088" w:rsidRDefault="004B741E" w:rsidP="006E667C">
            <w:pPr>
              <w:cnfStyle w:val="000000100000"/>
              <w:rPr>
                <w:color w:val="auto"/>
              </w:rPr>
            </w:pPr>
          </w:p>
        </w:tc>
        <w:tc>
          <w:tcPr>
            <w:tcW w:w="1843" w:type="dxa"/>
            <w:gridSpan w:val="2"/>
            <w:tcBorders>
              <w:left w:val="single" w:sz="4" w:space="0" w:color="4BACC6"/>
              <w:bottom w:val="single" w:sz="4" w:space="0" w:color="4BACC6"/>
            </w:tcBorders>
          </w:tcPr>
          <w:p w:rsidR="004B741E" w:rsidRPr="00845088" w:rsidRDefault="005801B8" w:rsidP="001D3AC2">
            <w:pPr>
              <w:jc w:val="center"/>
              <w:cnfStyle w:val="000000100000"/>
              <w:rPr>
                <w:color w:val="auto"/>
              </w:rPr>
            </w:pPr>
            <w:r>
              <w:rPr>
                <w:color w:val="auto"/>
              </w:rPr>
              <w:t>(0.2)</w:t>
            </w:r>
          </w:p>
        </w:tc>
      </w:tr>
      <w:tr w:rsidR="004B741E" w:rsidRPr="00845088" w:rsidTr="00EC20D0">
        <w:tc>
          <w:tcPr>
            <w:cnfStyle w:val="001000000000"/>
            <w:tcW w:w="9606" w:type="dxa"/>
            <w:gridSpan w:val="6"/>
            <w:tcBorders>
              <w:top w:val="single" w:sz="4" w:space="0" w:color="4BACC6"/>
              <w:bottom w:val="single" w:sz="4" w:space="0" w:color="4BACC6"/>
              <w:right w:val="single" w:sz="4" w:space="0" w:color="4BACC6"/>
            </w:tcBorders>
          </w:tcPr>
          <w:p w:rsidR="004B741E" w:rsidRPr="00845088" w:rsidRDefault="004B741E" w:rsidP="003E10DE">
            <w:pPr>
              <w:pStyle w:val="ListParagraph"/>
              <w:numPr>
                <w:ilvl w:val="0"/>
                <w:numId w:val="27"/>
              </w:numPr>
              <w:rPr>
                <w:rFonts w:cs="Arial"/>
                <w:color w:val="auto"/>
                <w:sz w:val="20"/>
                <w:szCs w:val="20"/>
              </w:rPr>
            </w:pPr>
            <w:r w:rsidRPr="00845088">
              <w:rPr>
                <w:rFonts w:cs="Arial"/>
                <w:b w:val="0"/>
                <w:bCs w:val="0"/>
                <w:color w:val="auto"/>
                <w:sz w:val="20"/>
                <w:szCs w:val="20"/>
              </w:rPr>
              <w:t>Cash equivalents are short term cash investments that are held for the purpose of meeting short term cash commitments rather than for investment purposes.</w:t>
            </w:r>
          </w:p>
        </w:tc>
      </w:tr>
      <w:tr w:rsidR="004B741E" w:rsidRPr="00845088" w:rsidTr="00BE7C82">
        <w:trPr>
          <w:cnfStyle w:val="000000100000"/>
          <w:trHeight w:val="324"/>
        </w:trPr>
        <w:tc>
          <w:tcPr>
            <w:cnfStyle w:val="001000000000"/>
            <w:tcW w:w="9606" w:type="dxa"/>
            <w:gridSpan w:val="6"/>
            <w:tcBorders>
              <w:top w:val="single" w:sz="4" w:space="0" w:color="4BACC6"/>
              <w:left w:val="single" w:sz="4" w:space="0" w:color="4BACC6"/>
              <w:bottom w:val="single" w:sz="4" w:space="0" w:color="4BACC6"/>
              <w:right w:val="single" w:sz="4" w:space="0" w:color="4BACC6"/>
            </w:tcBorders>
          </w:tcPr>
          <w:p w:rsidR="004B741E" w:rsidRPr="00845088" w:rsidRDefault="004B741E" w:rsidP="00BE7C82">
            <w:pPr>
              <w:widowControl w:val="0"/>
              <w:ind w:left="331"/>
              <w:rPr>
                <w:rFonts w:cs="Arial"/>
                <w:bCs w:val="0"/>
                <w:color w:val="auto"/>
                <w:sz w:val="20"/>
                <w:szCs w:val="20"/>
                <w:lang w:eastAsia="en-GB"/>
              </w:rPr>
            </w:pPr>
            <w:r w:rsidRPr="00845088">
              <w:rPr>
                <w:rFonts w:cs="Arial"/>
                <w:bCs w:val="0"/>
                <w:color w:val="auto"/>
                <w:sz w:val="20"/>
                <w:szCs w:val="20"/>
              </w:rPr>
              <w:t>Note:  Adjustments to  net surplus or deficit on the provision of services for non cash movements</w:t>
            </w:r>
            <w:r w:rsidRPr="00845088">
              <w:rPr>
                <w:rFonts w:cs="Arial"/>
                <w:bCs w:val="0"/>
                <w:color w:val="auto"/>
                <w:sz w:val="20"/>
                <w:szCs w:val="20"/>
                <w:lang w:eastAsia="en-GB"/>
              </w:rPr>
              <w:t xml:space="preserve"> </w:t>
            </w:r>
          </w:p>
          <w:p w:rsidR="004B741E" w:rsidRPr="00845088" w:rsidRDefault="004B741E" w:rsidP="00BE7C82">
            <w:pPr>
              <w:widowControl w:val="0"/>
              <w:ind w:left="331"/>
              <w:rPr>
                <w:rFonts w:cs="Arial"/>
                <w:b w:val="0"/>
                <w:bCs w:val="0"/>
                <w:color w:val="auto"/>
                <w:sz w:val="20"/>
                <w:szCs w:val="20"/>
              </w:rPr>
            </w:pPr>
            <w:r w:rsidRPr="00845088">
              <w:rPr>
                <w:rFonts w:cs="Arial"/>
                <w:b w:val="0"/>
                <w:bCs w:val="0"/>
                <w:color w:val="auto"/>
                <w:sz w:val="20"/>
                <w:szCs w:val="20"/>
                <w:lang w:eastAsia="en-GB"/>
              </w:rPr>
              <w:t>The table below lists the adjustments required in the cash flow statement to reverse non cash items accounted for in the Provision of Services in the Comprehensive Income and Expenditure Account</w:t>
            </w:r>
          </w:p>
        </w:tc>
      </w:tr>
      <w:tr w:rsidR="004B741E" w:rsidRPr="00845088" w:rsidTr="00560B3F">
        <w:tc>
          <w:tcPr>
            <w:cnfStyle w:val="001000000000"/>
            <w:tcW w:w="1798" w:type="dxa"/>
            <w:gridSpan w:val="2"/>
            <w:tcBorders>
              <w:top w:val="single" w:sz="4" w:space="0" w:color="4BACC6"/>
              <w:right w:val="single" w:sz="4" w:space="0" w:color="4BACC6"/>
            </w:tcBorders>
          </w:tcPr>
          <w:p w:rsidR="004B741E" w:rsidRPr="009D115C" w:rsidRDefault="004B741E" w:rsidP="004B741E">
            <w:pPr>
              <w:jc w:val="center"/>
              <w:rPr>
                <w:b w:val="0"/>
                <w:color w:val="auto"/>
              </w:rPr>
            </w:pPr>
            <w:r w:rsidRPr="009D115C">
              <w:rPr>
                <w:b w:val="0"/>
                <w:color w:val="auto"/>
              </w:rPr>
              <w:t>11.6</w:t>
            </w:r>
          </w:p>
        </w:tc>
        <w:tc>
          <w:tcPr>
            <w:tcW w:w="5114" w:type="dxa"/>
            <w:tcBorders>
              <w:top w:val="single" w:sz="4" w:space="0" w:color="4BACC6"/>
              <w:left w:val="single" w:sz="4" w:space="0" w:color="4BACC6"/>
              <w:right w:val="single" w:sz="4" w:space="0" w:color="4BACC6"/>
            </w:tcBorders>
          </w:tcPr>
          <w:p w:rsidR="004B741E" w:rsidRPr="00845088" w:rsidRDefault="004B741E" w:rsidP="006E667C">
            <w:pPr>
              <w:widowControl w:val="0"/>
              <w:ind w:left="331"/>
              <w:cnfStyle w:val="000000000000"/>
              <w:rPr>
                <w:rFonts w:cs="Arial"/>
                <w:b/>
                <w:color w:val="auto"/>
                <w:sz w:val="20"/>
                <w:szCs w:val="20"/>
              </w:rPr>
            </w:pPr>
            <w:r w:rsidRPr="00845088">
              <w:rPr>
                <w:rFonts w:cs="Arial"/>
                <w:color w:val="auto"/>
                <w:sz w:val="20"/>
                <w:szCs w:val="20"/>
                <w:lang w:eastAsia="en-GB"/>
              </w:rPr>
              <w:t>Depreciation, Impairment &amp; downward valuations</w:t>
            </w:r>
          </w:p>
        </w:tc>
        <w:tc>
          <w:tcPr>
            <w:tcW w:w="851" w:type="dxa"/>
            <w:tcBorders>
              <w:top w:val="single" w:sz="4" w:space="0" w:color="4BACC6"/>
              <w:left w:val="single" w:sz="4" w:space="0" w:color="4BACC6"/>
              <w:right w:val="single" w:sz="4" w:space="0" w:color="4BACC6"/>
            </w:tcBorders>
          </w:tcPr>
          <w:p w:rsidR="004B741E" w:rsidRPr="00845088" w:rsidRDefault="004B741E" w:rsidP="006E667C">
            <w:pPr>
              <w:cnfStyle w:val="000000000000"/>
              <w:rPr>
                <w:color w:val="auto"/>
              </w:rPr>
            </w:pPr>
          </w:p>
        </w:tc>
        <w:tc>
          <w:tcPr>
            <w:tcW w:w="1843" w:type="dxa"/>
            <w:gridSpan w:val="2"/>
            <w:tcBorders>
              <w:top w:val="single" w:sz="4" w:space="0" w:color="4BACC6"/>
              <w:left w:val="single" w:sz="4" w:space="0" w:color="4BACC6"/>
            </w:tcBorders>
          </w:tcPr>
          <w:p w:rsidR="004B741E" w:rsidRPr="00AB1BD2" w:rsidRDefault="00A476E7" w:rsidP="00A476E7">
            <w:pPr>
              <w:jc w:val="center"/>
              <w:cnfStyle w:val="000000000000"/>
              <w:rPr>
                <w:b/>
                <w:color w:val="auto"/>
              </w:rPr>
            </w:pPr>
            <w:r w:rsidRPr="00AB1BD2">
              <w:rPr>
                <w:b/>
                <w:color w:val="auto"/>
              </w:rPr>
              <w:t>16.5</w:t>
            </w:r>
          </w:p>
        </w:tc>
      </w:tr>
      <w:tr w:rsidR="004B741E" w:rsidRPr="00845088" w:rsidTr="00560B3F">
        <w:trPr>
          <w:cnfStyle w:val="000000100000"/>
        </w:trPr>
        <w:tc>
          <w:tcPr>
            <w:cnfStyle w:val="001000000000"/>
            <w:tcW w:w="1798" w:type="dxa"/>
            <w:gridSpan w:val="2"/>
            <w:tcBorders>
              <w:right w:val="single" w:sz="4" w:space="0" w:color="4BACC6"/>
            </w:tcBorders>
          </w:tcPr>
          <w:p w:rsidR="004B741E" w:rsidRPr="009D115C" w:rsidRDefault="004B741E" w:rsidP="004B741E">
            <w:pPr>
              <w:jc w:val="center"/>
              <w:rPr>
                <w:b w:val="0"/>
                <w:color w:val="auto"/>
              </w:rPr>
            </w:pPr>
            <w:r w:rsidRPr="009D115C">
              <w:rPr>
                <w:b w:val="0"/>
                <w:color w:val="auto"/>
              </w:rPr>
              <w:t>0.2</w:t>
            </w:r>
          </w:p>
        </w:tc>
        <w:tc>
          <w:tcPr>
            <w:tcW w:w="5114" w:type="dxa"/>
            <w:tcBorders>
              <w:left w:val="single" w:sz="4" w:space="0" w:color="4BACC6"/>
              <w:right w:val="single" w:sz="4" w:space="0" w:color="4BACC6"/>
            </w:tcBorders>
          </w:tcPr>
          <w:p w:rsidR="004B741E" w:rsidRPr="00845088" w:rsidRDefault="004B741E" w:rsidP="00507A6D">
            <w:pPr>
              <w:widowControl w:val="0"/>
              <w:ind w:left="331"/>
              <w:cnfStyle w:val="000000100000"/>
              <w:rPr>
                <w:rFonts w:cs="Arial"/>
                <w:b/>
                <w:color w:val="auto"/>
                <w:sz w:val="20"/>
                <w:szCs w:val="20"/>
              </w:rPr>
            </w:pPr>
            <w:r w:rsidRPr="00845088">
              <w:rPr>
                <w:rFonts w:cs="Arial"/>
                <w:color w:val="auto"/>
                <w:sz w:val="20"/>
                <w:szCs w:val="20"/>
                <w:lang w:eastAsia="en-GB"/>
              </w:rPr>
              <w:t>Amortisation</w:t>
            </w:r>
            <w:r w:rsidR="00507A6D">
              <w:rPr>
                <w:rFonts w:cs="Arial"/>
                <w:color w:val="auto"/>
                <w:sz w:val="20"/>
                <w:szCs w:val="20"/>
                <w:lang w:eastAsia="en-GB"/>
              </w:rPr>
              <w:t xml:space="preserve"> of Intangible Assets</w:t>
            </w:r>
          </w:p>
        </w:tc>
        <w:tc>
          <w:tcPr>
            <w:tcW w:w="851" w:type="dxa"/>
            <w:tcBorders>
              <w:left w:val="single" w:sz="4" w:space="0" w:color="4BACC6"/>
              <w:right w:val="single" w:sz="4" w:space="0" w:color="4BACC6"/>
            </w:tcBorders>
          </w:tcPr>
          <w:p w:rsidR="004B741E" w:rsidRPr="00845088" w:rsidRDefault="004B741E" w:rsidP="006E667C">
            <w:pPr>
              <w:cnfStyle w:val="000000100000"/>
              <w:rPr>
                <w:color w:val="auto"/>
              </w:rPr>
            </w:pPr>
          </w:p>
        </w:tc>
        <w:tc>
          <w:tcPr>
            <w:tcW w:w="1843" w:type="dxa"/>
            <w:gridSpan w:val="2"/>
            <w:tcBorders>
              <w:left w:val="single" w:sz="4" w:space="0" w:color="4BACC6"/>
            </w:tcBorders>
          </w:tcPr>
          <w:p w:rsidR="004B741E" w:rsidRPr="00AB1BD2" w:rsidRDefault="00A476E7" w:rsidP="00286923">
            <w:pPr>
              <w:jc w:val="center"/>
              <w:cnfStyle w:val="000000100000"/>
              <w:rPr>
                <w:b/>
                <w:color w:val="auto"/>
              </w:rPr>
            </w:pPr>
            <w:r w:rsidRPr="00AB1BD2">
              <w:rPr>
                <w:b/>
                <w:color w:val="auto"/>
              </w:rPr>
              <w:t>0.1</w:t>
            </w:r>
          </w:p>
        </w:tc>
      </w:tr>
      <w:tr w:rsidR="004B741E" w:rsidRPr="00845088" w:rsidTr="00560B3F">
        <w:tc>
          <w:tcPr>
            <w:cnfStyle w:val="001000000000"/>
            <w:tcW w:w="1798" w:type="dxa"/>
            <w:gridSpan w:val="2"/>
            <w:tcBorders>
              <w:right w:val="single" w:sz="4" w:space="0" w:color="4BACC6"/>
            </w:tcBorders>
          </w:tcPr>
          <w:p w:rsidR="004B741E" w:rsidRPr="009D115C" w:rsidRDefault="004B741E" w:rsidP="004B741E">
            <w:pPr>
              <w:jc w:val="center"/>
              <w:rPr>
                <w:b w:val="0"/>
                <w:color w:val="auto"/>
              </w:rPr>
            </w:pPr>
            <w:r w:rsidRPr="009D115C">
              <w:rPr>
                <w:b w:val="0"/>
                <w:color w:val="auto"/>
              </w:rPr>
              <w:t>1.0</w:t>
            </w:r>
          </w:p>
        </w:tc>
        <w:tc>
          <w:tcPr>
            <w:tcW w:w="5114" w:type="dxa"/>
            <w:tcBorders>
              <w:left w:val="single" w:sz="4" w:space="0" w:color="4BACC6"/>
              <w:right w:val="single" w:sz="4" w:space="0" w:color="4BACC6"/>
            </w:tcBorders>
          </w:tcPr>
          <w:p w:rsidR="004B741E" w:rsidRPr="00845088" w:rsidRDefault="004B741E" w:rsidP="006E667C">
            <w:pPr>
              <w:widowControl w:val="0"/>
              <w:ind w:left="331"/>
              <w:cnfStyle w:val="000000000000"/>
              <w:rPr>
                <w:rFonts w:cs="Arial"/>
                <w:b/>
                <w:color w:val="auto"/>
                <w:sz w:val="20"/>
                <w:szCs w:val="20"/>
              </w:rPr>
            </w:pPr>
            <w:r w:rsidRPr="00845088">
              <w:rPr>
                <w:rFonts w:cs="Arial"/>
                <w:color w:val="auto"/>
                <w:sz w:val="20"/>
                <w:szCs w:val="20"/>
                <w:lang w:eastAsia="en-GB"/>
              </w:rPr>
              <w:t>Increase/(Decrease) in Creditors</w:t>
            </w:r>
          </w:p>
        </w:tc>
        <w:tc>
          <w:tcPr>
            <w:tcW w:w="851"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1843" w:type="dxa"/>
            <w:gridSpan w:val="2"/>
            <w:tcBorders>
              <w:left w:val="single" w:sz="4" w:space="0" w:color="4BACC6"/>
            </w:tcBorders>
          </w:tcPr>
          <w:p w:rsidR="004B741E" w:rsidRPr="00AB1BD2" w:rsidRDefault="001B4B49" w:rsidP="00B330E6">
            <w:pPr>
              <w:jc w:val="center"/>
              <w:cnfStyle w:val="000000000000"/>
              <w:rPr>
                <w:b/>
                <w:color w:val="auto"/>
              </w:rPr>
            </w:pPr>
            <w:r>
              <w:rPr>
                <w:b/>
                <w:color w:val="auto"/>
              </w:rPr>
              <w:t>(</w:t>
            </w:r>
            <w:r w:rsidR="00A476E7" w:rsidRPr="00AB1BD2">
              <w:rPr>
                <w:b/>
                <w:color w:val="auto"/>
              </w:rPr>
              <w:t>0.</w:t>
            </w:r>
            <w:r w:rsidR="00B330E6">
              <w:rPr>
                <w:b/>
                <w:color w:val="auto"/>
              </w:rPr>
              <w:t>2</w:t>
            </w:r>
            <w:r>
              <w:rPr>
                <w:b/>
                <w:color w:val="auto"/>
              </w:rPr>
              <w:t>)</w:t>
            </w:r>
          </w:p>
        </w:tc>
      </w:tr>
      <w:tr w:rsidR="004B741E" w:rsidRPr="00845088" w:rsidTr="00560B3F">
        <w:trPr>
          <w:cnfStyle w:val="000000100000"/>
        </w:trPr>
        <w:tc>
          <w:tcPr>
            <w:cnfStyle w:val="001000000000"/>
            <w:tcW w:w="1798" w:type="dxa"/>
            <w:gridSpan w:val="2"/>
            <w:tcBorders>
              <w:right w:val="single" w:sz="4" w:space="0" w:color="4BACC6"/>
            </w:tcBorders>
          </w:tcPr>
          <w:p w:rsidR="004B741E" w:rsidRPr="009D115C" w:rsidRDefault="004B741E" w:rsidP="004B741E">
            <w:pPr>
              <w:jc w:val="center"/>
              <w:rPr>
                <w:b w:val="0"/>
                <w:color w:val="auto"/>
              </w:rPr>
            </w:pPr>
            <w:r w:rsidRPr="009D115C">
              <w:rPr>
                <w:b w:val="0"/>
                <w:color w:val="auto"/>
              </w:rPr>
              <w:t>(2.2)</w:t>
            </w:r>
          </w:p>
        </w:tc>
        <w:tc>
          <w:tcPr>
            <w:tcW w:w="5114" w:type="dxa"/>
            <w:tcBorders>
              <w:left w:val="single" w:sz="4" w:space="0" w:color="4BACC6"/>
              <w:right w:val="single" w:sz="4" w:space="0" w:color="4BACC6"/>
            </w:tcBorders>
          </w:tcPr>
          <w:p w:rsidR="004B741E" w:rsidRPr="00845088" w:rsidRDefault="004B741E" w:rsidP="006E667C">
            <w:pPr>
              <w:widowControl w:val="0"/>
              <w:ind w:left="331"/>
              <w:cnfStyle w:val="000000100000"/>
              <w:rPr>
                <w:rFonts w:cs="Arial"/>
                <w:b/>
                <w:color w:val="auto"/>
                <w:sz w:val="20"/>
                <w:szCs w:val="20"/>
              </w:rPr>
            </w:pPr>
            <w:r w:rsidRPr="00845088">
              <w:rPr>
                <w:rFonts w:cs="Arial"/>
                <w:color w:val="auto"/>
                <w:sz w:val="20"/>
                <w:szCs w:val="20"/>
                <w:lang w:eastAsia="en-GB"/>
              </w:rPr>
              <w:t>(Increase)/Decrease in Debtors including impairment for bad debts</w:t>
            </w:r>
          </w:p>
        </w:tc>
        <w:tc>
          <w:tcPr>
            <w:tcW w:w="851" w:type="dxa"/>
            <w:tcBorders>
              <w:left w:val="single" w:sz="4" w:space="0" w:color="4BACC6"/>
              <w:right w:val="single" w:sz="4" w:space="0" w:color="4BACC6"/>
            </w:tcBorders>
          </w:tcPr>
          <w:p w:rsidR="004B741E" w:rsidRPr="00845088" w:rsidRDefault="004B741E" w:rsidP="006E667C">
            <w:pPr>
              <w:cnfStyle w:val="000000100000"/>
              <w:rPr>
                <w:color w:val="auto"/>
              </w:rPr>
            </w:pPr>
          </w:p>
        </w:tc>
        <w:tc>
          <w:tcPr>
            <w:tcW w:w="1843" w:type="dxa"/>
            <w:gridSpan w:val="2"/>
            <w:tcBorders>
              <w:left w:val="single" w:sz="4" w:space="0" w:color="4BACC6"/>
            </w:tcBorders>
          </w:tcPr>
          <w:p w:rsidR="004B741E" w:rsidRPr="00AB1BD2" w:rsidRDefault="001B4B49" w:rsidP="00B330E6">
            <w:pPr>
              <w:jc w:val="center"/>
              <w:cnfStyle w:val="000000100000"/>
              <w:rPr>
                <w:b/>
                <w:color w:val="auto"/>
              </w:rPr>
            </w:pPr>
            <w:r>
              <w:rPr>
                <w:b/>
                <w:color w:val="auto"/>
              </w:rPr>
              <w:t>(</w:t>
            </w:r>
            <w:r w:rsidR="00B330E6">
              <w:rPr>
                <w:b/>
                <w:color w:val="auto"/>
              </w:rPr>
              <w:t>5.1</w:t>
            </w:r>
            <w:r>
              <w:rPr>
                <w:b/>
                <w:color w:val="auto"/>
              </w:rPr>
              <w:t>)</w:t>
            </w:r>
          </w:p>
        </w:tc>
      </w:tr>
      <w:tr w:rsidR="004B741E" w:rsidRPr="00845088" w:rsidTr="00560B3F">
        <w:tc>
          <w:tcPr>
            <w:cnfStyle w:val="001000000000"/>
            <w:tcW w:w="1798" w:type="dxa"/>
            <w:gridSpan w:val="2"/>
            <w:tcBorders>
              <w:right w:val="single" w:sz="4" w:space="0" w:color="4BACC6"/>
            </w:tcBorders>
          </w:tcPr>
          <w:p w:rsidR="004B741E" w:rsidRPr="009D115C" w:rsidRDefault="004B741E" w:rsidP="004B741E">
            <w:pPr>
              <w:jc w:val="center"/>
              <w:rPr>
                <w:b w:val="0"/>
                <w:color w:val="auto"/>
              </w:rPr>
            </w:pPr>
            <w:r w:rsidRPr="009D115C">
              <w:rPr>
                <w:b w:val="0"/>
                <w:color w:val="auto"/>
              </w:rPr>
              <w:t>3.9</w:t>
            </w:r>
          </w:p>
        </w:tc>
        <w:tc>
          <w:tcPr>
            <w:tcW w:w="5114" w:type="dxa"/>
            <w:tcBorders>
              <w:left w:val="single" w:sz="4" w:space="0" w:color="4BACC6"/>
              <w:right w:val="single" w:sz="4" w:space="0" w:color="4BACC6"/>
            </w:tcBorders>
          </w:tcPr>
          <w:p w:rsidR="004B741E" w:rsidRPr="00845088" w:rsidRDefault="004B741E" w:rsidP="006E667C">
            <w:pPr>
              <w:widowControl w:val="0"/>
              <w:ind w:left="331"/>
              <w:cnfStyle w:val="000000000000"/>
              <w:rPr>
                <w:rFonts w:cs="Arial"/>
                <w:b/>
                <w:color w:val="auto"/>
                <w:sz w:val="20"/>
                <w:szCs w:val="20"/>
              </w:rPr>
            </w:pPr>
            <w:r w:rsidRPr="00845088">
              <w:rPr>
                <w:rFonts w:cs="Arial"/>
                <w:color w:val="auto"/>
                <w:sz w:val="20"/>
                <w:szCs w:val="20"/>
                <w:lang w:eastAsia="en-GB"/>
              </w:rPr>
              <w:t>Movement in pension liability</w:t>
            </w:r>
          </w:p>
        </w:tc>
        <w:tc>
          <w:tcPr>
            <w:tcW w:w="851"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1843" w:type="dxa"/>
            <w:gridSpan w:val="2"/>
            <w:tcBorders>
              <w:left w:val="single" w:sz="4" w:space="0" w:color="4BACC6"/>
            </w:tcBorders>
          </w:tcPr>
          <w:p w:rsidR="004B741E" w:rsidRPr="00AB1BD2" w:rsidRDefault="00A476E7" w:rsidP="001B4B49">
            <w:pPr>
              <w:jc w:val="center"/>
              <w:cnfStyle w:val="000000000000"/>
              <w:rPr>
                <w:b/>
                <w:color w:val="auto"/>
              </w:rPr>
            </w:pPr>
            <w:r w:rsidRPr="00AB1BD2">
              <w:rPr>
                <w:b/>
                <w:color w:val="auto"/>
              </w:rPr>
              <w:t>5.2</w:t>
            </w:r>
          </w:p>
        </w:tc>
      </w:tr>
      <w:tr w:rsidR="004B741E" w:rsidRPr="00845088" w:rsidTr="00560B3F">
        <w:trPr>
          <w:cnfStyle w:val="000000100000"/>
        </w:trPr>
        <w:tc>
          <w:tcPr>
            <w:cnfStyle w:val="001000000000"/>
            <w:tcW w:w="1798" w:type="dxa"/>
            <w:gridSpan w:val="2"/>
            <w:tcBorders>
              <w:right w:val="single" w:sz="4" w:space="0" w:color="4BACC6"/>
            </w:tcBorders>
          </w:tcPr>
          <w:p w:rsidR="004B741E" w:rsidRPr="009D115C" w:rsidRDefault="004B741E" w:rsidP="004B741E">
            <w:pPr>
              <w:jc w:val="center"/>
              <w:rPr>
                <w:b w:val="0"/>
                <w:color w:val="auto"/>
              </w:rPr>
            </w:pPr>
            <w:r w:rsidRPr="009D115C">
              <w:rPr>
                <w:b w:val="0"/>
                <w:color w:val="auto"/>
              </w:rPr>
              <w:t>11.4</w:t>
            </w:r>
          </w:p>
        </w:tc>
        <w:tc>
          <w:tcPr>
            <w:tcW w:w="5114" w:type="dxa"/>
            <w:tcBorders>
              <w:left w:val="single" w:sz="4" w:space="0" w:color="4BACC6"/>
              <w:right w:val="single" w:sz="4" w:space="0" w:color="4BACC6"/>
            </w:tcBorders>
          </w:tcPr>
          <w:p w:rsidR="004B741E" w:rsidRPr="00845088" w:rsidRDefault="004B741E" w:rsidP="00506AF9">
            <w:pPr>
              <w:widowControl w:val="0"/>
              <w:ind w:left="331"/>
              <w:cnfStyle w:val="000000100000"/>
              <w:rPr>
                <w:rFonts w:cs="Arial"/>
                <w:color w:val="auto"/>
                <w:sz w:val="20"/>
                <w:szCs w:val="20"/>
                <w:lang w:eastAsia="en-GB"/>
              </w:rPr>
            </w:pPr>
            <w:r w:rsidRPr="00845088">
              <w:rPr>
                <w:rFonts w:cs="Arial"/>
                <w:color w:val="auto"/>
                <w:sz w:val="20"/>
                <w:szCs w:val="20"/>
                <w:lang w:eastAsia="en-GB"/>
              </w:rPr>
              <w:t>Carrying amount of non-current assets and non-current assets held for sale, sold or derecognised</w:t>
            </w:r>
          </w:p>
        </w:tc>
        <w:tc>
          <w:tcPr>
            <w:tcW w:w="851" w:type="dxa"/>
            <w:tcBorders>
              <w:left w:val="single" w:sz="4" w:space="0" w:color="4BACC6"/>
              <w:right w:val="single" w:sz="4" w:space="0" w:color="4BACC6"/>
            </w:tcBorders>
          </w:tcPr>
          <w:p w:rsidR="004B741E" w:rsidRPr="00845088" w:rsidRDefault="004B741E" w:rsidP="006E667C">
            <w:pPr>
              <w:cnfStyle w:val="000000100000"/>
              <w:rPr>
                <w:color w:val="auto"/>
              </w:rPr>
            </w:pPr>
          </w:p>
        </w:tc>
        <w:tc>
          <w:tcPr>
            <w:tcW w:w="1843" w:type="dxa"/>
            <w:gridSpan w:val="2"/>
            <w:tcBorders>
              <w:left w:val="single" w:sz="4" w:space="0" w:color="4BACC6"/>
            </w:tcBorders>
          </w:tcPr>
          <w:p w:rsidR="004B741E" w:rsidRPr="00AB1BD2" w:rsidRDefault="00A476E7" w:rsidP="00286923">
            <w:pPr>
              <w:jc w:val="center"/>
              <w:cnfStyle w:val="000000100000"/>
              <w:rPr>
                <w:b/>
                <w:color w:val="auto"/>
              </w:rPr>
            </w:pPr>
            <w:r w:rsidRPr="00AB1BD2">
              <w:rPr>
                <w:b/>
                <w:color w:val="auto"/>
              </w:rPr>
              <w:t>14.8</w:t>
            </w:r>
          </w:p>
        </w:tc>
      </w:tr>
      <w:tr w:rsidR="004B741E" w:rsidRPr="00845088" w:rsidTr="00560B3F">
        <w:tc>
          <w:tcPr>
            <w:cnfStyle w:val="001000000000"/>
            <w:tcW w:w="1798" w:type="dxa"/>
            <w:gridSpan w:val="2"/>
            <w:tcBorders>
              <w:right w:val="single" w:sz="4" w:space="0" w:color="4BACC6"/>
            </w:tcBorders>
          </w:tcPr>
          <w:p w:rsidR="004B741E" w:rsidRPr="009D115C" w:rsidRDefault="004B741E" w:rsidP="004B741E">
            <w:pPr>
              <w:jc w:val="center"/>
              <w:rPr>
                <w:b w:val="0"/>
                <w:color w:val="auto"/>
              </w:rPr>
            </w:pPr>
            <w:r w:rsidRPr="009D115C">
              <w:rPr>
                <w:b w:val="0"/>
                <w:color w:val="auto"/>
              </w:rPr>
              <w:t>(1.9)</w:t>
            </w:r>
          </w:p>
        </w:tc>
        <w:tc>
          <w:tcPr>
            <w:tcW w:w="5114" w:type="dxa"/>
            <w:tcBorders>
              <w:left w:val="single" w:sz="4" w:space="0" w:color="4BACC6"/>
              <w:right w:val="single" w:sz="4" w:space="0" w:color="4BACC6"/>
            </w:tcBorders>
          </w:tcPr>
          <w:p w:rsidR="004B741E" w:rsidRPr="00845088" w:rsidRDefault="004B741E" w:rsidP="006E667C">
            <w:pPr>
              <w:widowControl w:val="0"/>
              <w:ind w:left="331"/>
              <w:cnfStyle w:val="000000000000"/>
              <w:rPr>
                <w:rFonts w:cs="Arial"/>
                <w:color w:val="auto"/>
                <w:sz w:val="20"/>
                <w:szCs w:val="20"/>
                <w:lang w:eastAsia="en-GB"/>
              </w:rPr>
            </w:pPr>
            <w:r w:rsidRPr="00845088">
              <w:rPr>
                <w:rFonts w:cs="Arial"/>
                <w:color w:val="auto"/>
                <w:sz w:val="20"/>
                <w:szCs w:val="20"/>
                <w:lang w:eastAsia="en-GB"/>
              </w:rPr>
              <w:t>Other non-cash items charged to the net surplus or deficit on the provision of services</w:t>
            </w:r>
          </w:p>
        </w:tc>
        <w:tc>
          <w:tcPr>
            <w:tcW w:w="851" w:type="dxa"/>
            <w:tcBorders>
              <w:left w:val="single" w:sz="4" w:space="0" w:color="4BACC6"/>
              <w:right w:val="single" w:sz="4" w:space="0" w:color="4BACC6"/>
            </w:tcBorders>
          </w:tcPr>
          <w:p w:rsidR="004B741E" w:rsidRPr="00845088" w:rsidRDefault="004B741E" w:rsidP="006E667C">
            <w:pPr>
              <w:cnfStyle w:val="000000000000"/>
              <w:rPr>
                <w:color w:val="auto"/>
              </w:rPr>
            </w:pPr>
          </w:p>
        </w:tc>
        <w:tc>
          <w:tcPr>
            <w:tcW w:w="1843" w:type="dxa"/>
            <w:gridSpan w:val="2"/>
            <w:tcBorders>
              <w:left w:val="single" w:sz="4" w:space="0" w:color="4BACC6"/>
            </w:tcBorders>
          </w:tcPr>
          <w:p w:rsidR="004B741E" w:rsidRPr="00AB1BD2" w:rsidRDefault="001B4B49" w:rsidP="001B4B49">
            <w:pPr>
              <w:jc w:val="center"/>
              <w:cnfStyle w:val="000000000000"/>
              <w:rPr>
                <w:b/>
                <w:color w:val="auto"/>
              </w:rPr>
            </w:pPr>
            <w:r>
              <w:rPr>
                <w:b/>
                <w:color w:val="auto"/>
              </w:rPr>
              <w:t>2.0</w:t>
            </w:r>
          </w:p>
        </w:tc>
      </w:tr>
      <w:tr w:rsidR="004B741E" w:rsidRPr="00845088" w:rsidTr="00560B3F">
        <w:trPr>
          <w:cnfStyle w:val="000000100000"/>
        </w:trPr>
        <w:tc>
          <w:tcPr>
            <w:cnfStyle w:val="001000000000"/>
            <w:tcW w:w="1798" w:type="dxa"/>
            <w:gridSpan w:val="2"/>
            <w:tcBorders>
              <w:right w:val="single" w:sz="4" w:space="0" w:color="4BACC6"/>
            </w:tcBorders>
          </w:tcPr>
          <w:p w:rsidR="004B741E" w:rsidRPr="009D115C" w:rsidRDefault="004B741E" w:rsidP="004B741E">
            <w:pPr>
              <w:jc w:val="center"/>
              <w:rPr>
                <w:b w:val="0"/>
                <w:color w:val="auto"/>
              </w:rPr>
            </w:pPr>
            <w:r w:rsidRPr="009D115C">
              <w:rPr>
                <w:b w:val="0"/>
                <w:color w:val="auto"/>
              </w:rPr>
              <w:t>24.0</w:t>
            </w:r>
          </w:p>
        </w:tc>
        <w:tc>
          <w:tcPr>
            <w:tcW w:w="5114" w:type="dxa"/>
            <w:tcBorders>
              <w:left w:val="single" w:sz="4" w:space="0" w:color="4BACC6"/>
              <w:right w:val="single" w:sz="4" w:space="0" w:color="4BACC6"/>
            </w:tcBorders>
          </w:tcPr>
          <w:p w:rsidR="004B741E" w:rsidRPr="00845088" w:rsidRDefault="004B741E" w:rsidP="006E667C">
            <w:pPr>
              <w:widowControl w:val="0"/>
              <w:ind w:left="331"/>
              <w:cnfStyle w:val="000000100000"/>
              <w:rPr>
                <w:rFonts w:cs="Arial"/>
                <w:color w:val="auto"/>
                <w:sz w:val="20"/>
                <w:szCs w:val="20"/>
                <w:lang w:eastAsia="en-GB"/>
              </w:rPr>
            </w:pPr>
            <w:r w:rsidRPr="00845088">
              <w:rPr>
                <w:rFonts w:cs="Arial"/>
                <w:b/>
                <w:color w:val="auto"/>
                <w:sz w:val="20"/>
                <w:szCs w:val="20"/>
              </w:rPr>
              <w:t>Total</w:t>
            </w:r>
          </w:p>
        </w:tc>
        <w:tc>
          <w:tcPr>
            <w:tcW w:w="851" w:type="dxa"/>
            <w:tcBorders>
              <w:left w:val="single" w:sz="4" w:space="0" w:color="4BACC6"/>
              <w:right w:val="single" w:sz="4" w:space="0" w:color="4BACC6"/>
            </w:tcBorders>
          </w:tcPr>
          <w:p w:rsidR="004B741E" w:rsidRPr="00845088" w:rsidRDefault="004B741E" w:rsidP="006E667C">
            <w:pPr>
              <w:cnfStyle w:val="000000100000"/>
              <w:rPr>
                <w:color w:val="auto"/>
              </w:rPr>
            </w:pPr>
          </w:p>
        </w:tc>
        <w:tc>
          <w:tcPr>
            <w:tcW w:w="1843" w:type="dxa"/>
            <w:gridSpan w:val="2"/>
            <w:tcBorders>
              <w:left w:val="single" w:sz="4" w:space="0" w:color="4BACC6"/>
            </w:tcBorders>
          </w:tcPr>
          <w:p w:rsidR="004B741E" w:rsidRPr="00AB1BD2" w:rsidRDefault="00012A35" w:rsidP="00286923">
            <w:pPr>
              <w:jc w:val="center"/>
              <w:cnfStyle w:val="000000100000"/>
              <w:rPr>
                <w:b/>
                <w:color w:val="auto"/>
              </w:rPr>
            </w:pPr>
            <w:r w:rsidRPr="00AB1BD2">
              <w:rPr>
                <w:b/>
                <w:color w:val="auto"/>
              </w:rPr>
              <w:t>33.3</w:t>
            </w:r>
          </w:p>
        </w:tc>
      </w:tr>
    </w:tbl>
    <w:p w:rsidR="001B40D8" w:rsidRPr="00D42E0B" w:rsidRDefault="001B40D8" w:rsidP="003C5E34">
      <w:pPr>
        <w:pStyle w:val="BodyText"/>
        <w:widowControl w:val="0"/>
        <w:rPr>
          <w:rFonts w:cs="Arial"/>
          <w:color w:val="548DD4" w:themeColor="text2" w:themeTint="99"/>
          <w:sz w:val="20"/>
          <w:szCs w:val="20"/>
        </w:rPr>
      </w:pPr>
    </w:p>
    <w:p w:rsidR="007220C0" w:rsidRPr="00D42E0B" w:rsidRDefault="007220C0" w:rsidP="003C5E34">
      <w:pPr>
        <w:pStyle w:val="BodyText"/>
        <w:widowControl w:val="0"/>
        <w:rPr>
          <w:rFonts w:cs="Arial"/>
          <w:color w:val="548DD4" w:themeColor="text2" w:themeTint="99"/>
          <w:sz w:val="20"/>
          <w:szCs w:val="20"/>
        </w:rPr>
        <w:sectPr w:rsidR="007220C0" w:rsidRPr="00D42E0B" w:rsidSect="001A3F09">
          <w:pgSz w:w="11906" w:h="16838" w:code="9"/>
          <w:pgMar w:top="1440" w:right="1440" w:bottom="1440" w:left="1440" w:header="544" w:footer="544" w:gutter="0"/>
          <w:cols w:space="708"/>
          <w:titlePg/>
          <w:docGrid w:linePitch="360"/>
        </w:sectPr>
      </w:pPr>
    </w:p>
    <w:p w:rsidR="005B7422" w:rsidRPr="003E75F7" w:rsidRDefault="00E51139" w:rsidP="005B7422">
      <w:pPr>
        <w:pStyle w:val="BodyText"/>
        <w:widowControl w:val="0"/>
        <w:outlineLvl w:val="0"/>
        <w:rPr>
          <w:rFonts w:cs="Arial"/>
          <w:b/>
          <w:color w:val="auto"/>
          <w:sz w:val="24"/>
          <w:szCs w:val="24"/>
        </w:rPr>
      </w:pPr>
      <w:r w:rsidRPr="003E75F7">
        <w:rPr>
          <w:rFonts w:cs="Arial"/>
          <w:b/>
          <w:color w:val="auto"/>
          <w:sz w:val="24"/>
          <w:szCs w:val="24"/>
        </w:rPr>
        <w:lastRenderedPageBreak/>
        <w:t xml:space="preserve">Notes to the </w:t>
      </w:r>
      <w:r w:rsidR="001B40D8" w:rsidRPr="003E75F7">
        <w:rPr>
          <w:rFonts w:cs="Arial"/>
          <w:b/>
          <w:color w:val="auto"/>
          <w:sz w:val="24"/>
          <w:szCs w:val="24"/>
        </w:rPr>
        <w:t xml:space="preserve">Core </w:t>
      </w:r>
      <w:r w:rsidR="00837561" w:rsidRPr="003E75F7">
        <w:rPr>
          <w:rFonts w:cs="Arial"/>
          <w:b/>
          <w:color w:val="auto"/>
          <w:sz w:val="24"/>
          <w:szCs w:val="24"/>
        </w:rPr>
        <w:t xml:space="preserve">Financial </w:t>
      </w:r>
      <w:r w:rsidR="001B40D8" w:rsidRPr="003E75F7">
        <w:rPr>
          <w:rFonts w:cs="Arial"/>
          <w:b/>
          <w:color w:val="auto"/>
          <w:sz w:val="24"/>
          <w:szCs w:val="24"/>
        </w:rPr>
        <w:t>Stateme</w:t>
      </w:r>
      <w:r w:rsidR="001B40D8" w:rsidRPr="003E75F7">
        <w:rPr>
          <w:rStyle w:val="Heading1Char"/>
          <w:color w:val="auto"/>
        </w:rPr>
        <w:t>n</w:t>
      </w:r>
      <w:r w:rsidR="001B40D8" w:rsidRPr="003E75F7">
        <w:rPr>
          <w:rFonts w:cs="Arial"/>
          <w:b/>
          <w:color w:val="auto"/>
          <w:sz w:val="24"/>
          <w:szCs w:val="24"/>
        </w:rPr>
        <w:t>ts</w:t>
      </w:r>
    </w:p>
    <w:p w:rsidR="00E51139" w:rsidRDefault="00E51139" w:rsidP="00815C6B">
      <w:pPr>
        <w:pStyle w:val="Subtitle"/>
        <w:ind w:left="567" w:hanging="567"/>
        <w:rPr>
          <w:b/>
          <w:color w:val="auto"/>
          <w:sz w:val="22"/>
          <w:szCs w:val="22"/>
        </w:rPr>
      </w:pPr>
      <w:r w:rsidRPr="003E75F7">
        <w:rPr>
          <w:b/>
          <w:color w:val="auto"/>
          <w:sz w:val="22"/>
          <w:szCs w:val="22"/>
        </w:rPr>
        <w:t>1.</w:t>
      </w:r>
      <w:r w:rsidRPr="003E75F7">
        <w:rPr>
          <w:b/>
          <w:color w:val="auto"/>
          <w:sz w:val="22"/>
          <w:szCs w:val="22"/>
        </w:rPr>
        <w:tab/>
        <w:t>Changes in Accounting Policy</w:t>
      </w:r>
    </w:p>
    <w:p w:rsidR="00CB7878" w:rsidRDefault="003A5BBE" w:rsidP="00D36C88">
      <w:pPr>
        <w:spacing w:before="60" w:after="60" w:line="240" w:lineRule="auto"/>
        <w:rPr>
          <w:rFonts w:cs="Arial"/>
          <w:color w:val="auto"/>
          <w:sz w:val="20"/>
          <w:szCs w:val="20"/>
        </w:rPr>
      </w:pPr>
      <w:r>
        <w:rPr>
          <w:rFonts w:cs="Arial"/>
          <w:color w:val="auto"/>
          <w:sz w:val="20"/>
          <w:szCs w:val="20"/>
        </w:rPr>
        <w:tab/>
      </w:r>
      <w:r w:rsidR="00CB7878" w:rsidRPr="00CB7878">
        <w:rPr>
          <w:rFonts w:cs="Arial"/>
          <w:color w:val="auto"/>
          <w:sz w:val="20"/>
          <w:szCs w:val="20"/>
        </w:rPr>
        <w:t xml:space="preserve">The </w:t>
      </w:r>
      <w:r w:rsidR="00CB7878">
        <w:rPr>
          <w:rFonts w:cs="Arial"/>
          <w:color w:val="auto"/>
          <w:sz w:val="20"/>
          <w:szCs w:val="20"/>
        </w:rPr>
        <w:t xml:space="preserve">only change in </w:t>
      </w:r>
      <w:r w:rsidR="00BD6055">
        <w:rPr>
          <w:rFonts w:cs="Arial"/>
          <w:color w:val="auto"/>
          <w:sz w:val="20"/>
          <w:szCs w:val="20"/>
        </w:rPr>
        <w:t>accounting</w:t>
      </w:r>
      <w:r w:rsidR="00CB7878">
        <w:rPr>
          <w:rFonts w:cs="Arial"/>
          <w:color w:val="auto"/>
          <w:sz w:val="20"/>
          <w:szCs w:val="20"/>
        </w:rPr>
        <w:t xml:space="preserve"> policy for 2015/16 is the requirement to apply IFRS13 which </w:t>
      </w:r>
      <w:r>
        <w:rPr>
          <w:rFonts w:cs="Arial"/>
          <w:color w:val="auto"/>
          <w:sz w:val="20"/>
          <w:szCs w:val="20"/>
        </w:rPr>
        <w:tab/>
      </w:r>
      <w:r w:rsidR="005A227D">
        <w:rPr>
          <w:rFonts w:cs="Arial"/>
          <w:color w:val="auto"/>
          <w:sz w:val="20"/>
          <w:szCs w:val="20"/>
        </w:rPr>
        <w:t xml:space="preserve">provides </w:t>
      </w:r>
      <w:r w:rsidR="00CB7878">
        <w:rPr>
          <w:rFonts w:cs="Arial"/>
          <w:color w:val="auto"/>
          <w:sz w:val="20"/>
          <w:szCs w:val="20"/>
        </w:rPr>
        <w:t xml:space="preserve">a consistent definition of fair value to be applied whenever any other </w:t>
      </w:r>
      <w:r w:rsidR="005A227D">
        <w:rPr>
          <w:rFonts w:cs="Arial"/>
          <w:color w:val="auto"/>
          <w:sz w:val="20"/>
          <w:szCs w:val="20"/>
        </w:rPr>
        <w:t>(</w:t>
      </w:r>
      <w:r w:rsidR="00BD6055">
        <w:rPr>
          <w:rFonts w:cs="Arial"/>
          <w:color w:val="auto"/>
          <w:sz w:val="20"/>
          <w:szCs w:val="20"/>
        </w:rPr>
        <w:t>accounting</w:t>
      </w:r>
      <w:r w:rsidR="005A227D">
        <w:rPr>
          <w:rFonts w:cs="Arial"/>
          <w:color w:val="auto"/>
          <w:sz w:val="20"/>
          <w:szCs w:val="20"/>
        </w:rPr>
        <w:t xml:space="preserve">) </w:t>
      </w:r>
      <w:r>
        <w:rPr>
          <w:rFonts w:cs="Arial"/>
          <w:color w:val="auto"/>
          <w:sz w:val="20"/>
          <w:szCs w:val="20"/>
        </w:rPr>
        <w:tab/>
      </w:r>
      <w:r w:rsidR="00CB7878">
        <w:rPr>
          <w:rFonts w:cs="Arial"/>
          <w:color w:val="auto"/>
          <w:sz w:val="20"/>
          <w:szCs w:val="20"/>
        </w:rPr>
        <w:t>standard has a requir</w:t>
      </w:r>
      <w:r w:rsidR="00664D7B">
        <w:rPr>
          <w:rFonts w:cs="Arial"/>
          <w:color w:val="auto"/>
          <w:sz w:val="20"/>
          <w:szCs w:val="20"/>
        </w:rPr>
        <w:t>e</w:t>
      </w:r>
      <w:r w:rsidR="00CB7878">
        <w:rPr>
          <w:rFonts w:cs="Arial"/>
          <w:color w:val="auto"/>
          <w:sz w:val="20"/>
          <w:szCs w:val="20"/>
        </w:rPr>
        <w:t>me</w:t>
      </w:r>
      <w:r w:rsidR="00664D7B">
        <w:rPr>
          <w:rFonts w:cs="Arial"/>
          <w:color w:val="auto"/>
          <w:sz w:val="20"/>
          <w:szCs w:val="20"/>
        </w:rPr>
        <w:t>nt</w:t>
      </w:r>
      <w:r w:rsidR="00CB7878">
        <w:rPr>
          <w:rFonts w:cs="Arial"/>
          <w:color w:val="auto"/>
          <w:sz w:val="20"/>
          <w:szCs w:val="20"/>
        </w:rPr>
        <w:t xml:space="preserve"> for measurement or disclosure at f</w:t>
      </w:r>
      <w:r w:rsidR="00664D7B">
        <w:rPr>
          <w:rFonts w:cs="Arial"/>
          <w:color w:val="auto"/>
          <w:sz w:val="20"/>
          <w:szCs w:val="20"/>
        </w:rPr>
        <w:t>air</w:t>
      </w:r>
      <w:r w:rsidR="00CB7878">
        <w:rPr>
          <w:rFonts w:cs="Arial"/>
          <w:color w:val="auto"/>
          <w:sz w:val="20"/>
          <w:szCs w:val="20"/>
        </w:rPr>
        <w:t xml:space="preserve"> value.</w:t>
      </w:r>
      <w:r w:rsidR="008E5CC8">
        <w:rPr>
          <w:rFonts w:cs="Arial"/>
          <w:color w:val="auto"/>
          <w:sz w:val="20"/>
          <w:szCs w:val="20"/>
        </w:rPr>
        <w:t xml:space="preserve"> The definition of </w:t>
      </w:r>
      <w:r w:rsidR="00BD6055">
        <w:rPr>
          <w:rFonts w:cs="Arial"/>
          <w:color w:val="auto"/>
          <w:sz w:val="20"/>
          <w:szCs w:val="20"/>
        </w:rPr>
        <w:t>fair</w:t>
      </w:r>
      <w:r w:rsidR="008E5CC8">
        <w:rPr>
          <w:rFonts w:cs="Arial"/>
          <w:color w:val="auto"/>
          <w:sz w:val="20"/>
          <w:szCs w:val="20"/>
        </w:rPr>
        <w:t xml:space="preserve"> </w:t>
      </w:r>
      <w:r>
        <w:rPr>
          <w:rFonts w:cs="Arial"/>
          <w:color w:val="auto"/>
          <w:sz w:val="20"/>
          <w:szCs w:val="20"/>
        </w:rPr>
        <w:tab/>
      </w:r>
      <w:r w:rsidR="008E5CC8">
        <w:rPr>
          <w:rFonts w:cs="Arial"/>
          <w:color w:val="auto"/>
          <w:sz w:val="20"/>
          <w:szCs w:val="20"/>
        </w:rPr>
        <w:t>value to be applied is “the</w:t>
      </w:r>
      <w:r w:rsidR="000047C0">
        <w:rPr>
          <w:rFonts w:cs="Arial"/>
          <w:color w:val="auto"/>
          <w:sz w:val="20"/>
          <w:szCs w:val="20"/>
        </w:rPr>
        <w:t xml:space="preserve"> </w:t>
      </w:r>
      <w:r w:rsidR="008E5CC8">
        <w:rPr>
          <w:rFonts w:cs="Arial"/>
          <w:color w:val="auto"/>
          <w:sz w:val="20"/>
          <w:szCs w:val="20"/>
        </w:rPr>
        <w:t>pr</w:t>
      </w:r>
      <w:r w:rsidR="000047C0">
        <w:rPr>
          <w:rFonts w:cs="Arial"/>
          <w:color w:val="auto"/>
          <w:sz w:val="20"/>
          <w:szCs w:val="20"/>
        </w:rPr>
        <w:t>i</w:t>
      </w:r>
      <w:r w:rsidR="008E5CC8">
        <w:rPr>
          <w:rFonts w:cs="Arial"/>
          <w:color w:val="auto"/>
          <w:sz w:val="20"/>
          <w:szCs w:val="20"/>
        </w:rPr>
        <w:t xml:space="preserve">ce that would be </w:t>
      </w:r>
      <w:r w:rsidR="00BD6055">
        <w:rPr>
          <w:rFonts w:cs="Arial"/>
          <w:color w:val="auto"/>
          <w:sz w:val="20"/>
          <w:szCs w:val="20"/>
        </w:rPr>
        <w:t>received</w:t>
      </w:r>
      <w:r w:rsidR="008E5CC8">
        <w:rPr>
          <w:rFonts w:cs="Arial"/>
          <w:color w:val="auto"/>
          <w:sz w:val="20"/>
          <w:szCs w:val="20"/>
        </w:rPr>
        <w:t xml:space="preserve"> to sell an asset or paid to transfer a </w:t>
      </w:r>
      <w:r>
        <w:rPr>
          <w:rFonts w:cs="Arial"/>
          <w:color w:val="auto"/>
          <w:sz w:val="20"/>
          <w:szCs w:val="20"/>
        </w:rPr>
        <w:tab/>
      </w:r>
      <w:r w:rsidR="008E5CC8">
        <w:rPr>
          <w:rFonts w:cs="Arial"/>
          <w:color w:val="auto"/>
          <w:sz w:val="20"/>
          <w:szCs w:val="20"/>
        </w:rPr>
        <w:t xml:space="preserve">liability in an orderly </w:t>
      </w:r>
      <w:r w:rsidR="00BD6055">
        <w:rPr>
          <w:rFonts w:cs="Arial"/>
          <w:color w:val="auto"/>
          <w:sz w:val="20"/>
          <w:szCs w:val="20"/>
        </w:rPr>
        <w:t>transaction</w:t>
      </w:r>
      <w:r w:rsidR="008E5CC8">
        <w:rPr>
          <w:rFonts w:cs="Arial"/>
          <w:color w:val="auto"/>
          <w:sz w:val="20"/>
          <w:szCs w:val="20"/>
        </w:rPr>
        <w:t xml:space="preserve"> between market participants at the measurement date</w:t>
      </w:r>
      <w:r w:rsidR="000047C0">
        <w:rPr>
          <w:rFonts w:cs="Arial"/>
          <w:color w:val="auto"/>
          <w:sz w:val="20"/>
          <w:szCs w:val="20"/>
        </w:rPr>
        <w:t>”</w:t>
      </w:r>
      <w:r w:rsidR="008E5CC8">
        <w:rPr>
          <w:rFonts w:cs="Arial"/>
          <w:color w:val="auto"/>
          <w:sz w:val="20"/>
          <w:szCs w:val="20"/>
        </w:rPr>
        <w:t>.</w:t>
      </w:r>
    </w:p>
    <w:p w:rsidR="001218FF" w:rsidRDefault="001218FF" w:rsidP="00D36C88">
      <w:pPr>
        <w:spacing w:before="60" w:after="60" w:line="240" w:lineRule="auto"/>
        <w:rPr>
          <w:rFonts w:cs="Arial"/>
          <w:color w:val="auto"/>
          <w:sz w:val="20"/>
          <w:szCs w:val="20"/>
        </w:rPr>
      </w:pPr>
    </w:p>
    <w:p w:rsidR="000047C0" w:rsidRDefault="003A5BBE" w:rsidP="00D36C88">
      <w:pPr>
        <w:spacing w:before="60" w:after="60" w:line="240" w:lineRule="auto"/>
        <w:rPr>
          <w:rFonts w:cs="Arial"/>
          <w:color w:val="auto"/>
          <w:sz w:val="20"/>
          <w:szCs w:val="20"/>
        </w:rPr>
      </w:pPr>
      <w:r>
        <w:rPr>
          <w:rFonts w:cs="Arial"/>
          <w:color w:val="auto"/>
          <w:sz w:val="20"/>
          <w:szCs w:val="20"/>
        </w:rPr>
        <w:tab/>
      </w:r>
      <w:r w:rsidR="000047C0">
        <w:rPr>
          <w:rFonts w:cs="Arial"/>
          <w:color w:val="auto"/>
          <w:sz w:val="20"/>
          <w:szCs w:val="20"/>
        </w:rPr>
        <w:t>In terms of the b</w:t>
      </w:r>
      <w:r w:rsidR="00D13A92">
        <w:rPr>
          <w:rFonts w:cs="Arial"/>
          <w:color w:val="auto"/>
          <w:sz w:val="20"/>
          <w:szCs w:val="20"/>
        </w:rPr>
        <w:t>a</w:t>
      </w:r>
      <w:r w:rsidR="000047C0">
        <w:rPr>
          <w:rFonts w:cs="Arial"/>
          <w:color w:val="auto"/>
          <w:sz w:val="20"/>
          <w:szCs w:val="20"/>
        </w:rPr>
        <w:t>lance sheet value</w:t>
      </w:r>
      <w:r w:rsidR="004F2AB9">
        <w:rPr>
          <w:rFonts w:cs="Arial"/>
          <w:color w:val="auto"/>
          <w:sz w:val="20"/>
          <w:szCs w:val="20"/>
        </w:rPr>
        <w:t>s the</w:t>
      </w:r>
      <w:r w:rsidR="000047C0">
        <w:rPr>
          <w:rFonts w:cs="Arial"/>
          <w:color w:val="auto"/>
          <w:sz w:val="20"/>
          <w:szCs w:val="20"/>
        </w:rPr>
        <w:t xml:space="preserve"> only asset</w:t>
      </w:r>
      <w:r w:rsidR="00D13A92">
        <w:rPr>
          <w:rFonts w:cs="Arial"/>
          <w:color w:val="auto"/>
          <w:sz w:val="20"/>
          <w:szCs w:val="20"/>
        </w:rPr>
        <w:t>s a</w:t>
      </w:r>
      <w:r w:rsidR="000047C0">
        <w:rPr>
          <w:rFonts w:cs="Arial"/>
          <w:color w:val="auto"/>
          <w:sz w:val="20"/>
          <w:szCs w:val="20"/>
        </w:rPr>
        <w:t xml:space="preserve">ffected by this change are non </w:t>
      </w:r>
      <w:r>
        <w:rPr>
          <w:rFonts w:cs="Arial"/>
          <w:color w:val="auto"/>
          <w:sz w:val="20"/>
          <w:szCs w:val="20"/>
        </w:rPr>
        <w:tab/>
      </w:r>
      <w:r w:rsidR="000047C0">
        <w:rPr>
          <w:rFonts w:cs="Arial"/>
          <w:color w:val="auto"/>
          <w:sz w:val="20"/>
          <w:szCs w:val="20"/>
        </w:rPr>
        <w:t xml:space="preserve">operational property, </w:t>
      </w:r>
      <w:r w:rsidR="00BD6055">
        <w:rPr>
          <w:rFonts w:cs="Arial"/>
          <w:color w:val="auto"/>
          <w:sz w:val="20"/>
          <w:szCs w:val="20"/>
        </w:rPr>
        <w:t>i.e.</w:t>
      </w:r>
      <w:r w:rsidR="000047C0">
        <w:rPr>
          <w:rFonts w:cs="Arial"/>
          <w:color w:val="auto"/>
          <w:sz w:val="20"/>
          <w:szCs w:val="20"/>
        </w:rPr>
        <w:t xml:space="preserve"> surplus assets. The change in valuation of these assets from a </w:t>
      </w:r>
      <w:r>
        <w:rPr>
          <w:rFonts w:cs="Arial"/>
          <w:color w:val="auto"/>
          <w:sz w:val="20"/>
          <w:szCs w:val="20"/>
        </w:rPr>
        <w:tab/>
      </w:r>
      <w:r w:rsidR="000047C0">
        <w:rPr>
          <w:rFonts w:cs="Arial"/>
          <w:color w:val="auto"/>
          <w:sz w:val="20"/>
          <w:szCs w:val="20"/>
        </w:rPr>
        <w:t>valuation based</w:t>
      </w:r>
      <w:r w:rsidR="00D13A92">
        <w:rPr>
          <w:rFonts w:cs="Arial"/>
          <w:color w:val="auto"/>
          <w:sz w:val="20"/>
          <w:szCs w:val="20"/>
        </w:rPr>
        <w:t xml:space="preserve"> </w:t>
      </w:r>
      <w:r w:rsidR="000047C0">
        <w:rPr>
          <w:rFonts w:cs="Arial"/>
          <w:color w:val="auto"/>
          <w:sz w:val="20"/>
          <w:szCs w:val="20"/>
        </w:rPr>
        <w:t xml:space="preserve">on last </w:t>
      </w:r>
      <w:r w:rsidR="00D13A92">
        <w:rPr>
          <w:rFonts w:cs="Arial"/>
          <w:color w:val="auto"/>
          <w:sz w:val="20"/>
          <w:szCs w:val="20"/>
        </w:rPr>
        <w:t>"</w:t>
      </w:r>
      <w:r w:rsidR="000047C0">
        <w:rPr>
          <w:rFonts w:cs="Arial"/>
          <w:color w:val="auto"/>
          <w:sz w:val="20"/>
          <w:szCs w:val="20"/>
        </w:rPr>
        <w:t>use</w:t>
      </w:r>
      <w:r w:rsidR="00D13A92">
        <w:rPr>
          <w:rFonts w:cs="Arial"/>
          <w:color w:val="auto"/>
          <w:sz w:val="20"/>
          <w:szCs w:val="20"/>
        </w:rPr>
        <w:t>"</w:t>
      </w:r>
      <w:r w:rsidR="000047C0">
        <w:rPr>
          <w:rFonts w:cs="Arial"/>
          <w:color w:val="auto"/>
          <w:sz w:val="20"/>
          <w:szCs w:val="20"/>
        </w:rPr>
        <w:t xml:space="preserve"> to fair value has increased the value of these assets by </w:t>
      </w:r>
      <w:r w:rsidR="00453D27" w:rsidRPr="00210403">
        <w:rPr>
          <w:rFonts w:cs="Arial"/>
          <w:color w:val="auto"/>
          <w:sz w:val="20"/>
          <w:szCs w:val="20"/>
        </w:rPr>
        <w:t>£0.</w:t>
      </w:r>
      <w:r w:rsidR="00210403" w:rsidRPr="00210403">
        <w:rPr>
          <w:rFonts w:cs="Arial"/>
          <w:color w:val="auto"/>
          <w:sz w:val="20"/>
          <w:szCs w:val="20"/>
        </w:rPr>
        <w:t>5</w:t>
      </w:r>
      <w:r w:rsidR="00453D27" w:rsidRPr="00210403">
        <w:rPr>
          <w:rFonts w:cs="Arial"/>
          <w:color w:val="auto"/>
          <w:sz w:val="20"/>
          <w:szCs w:val="20"/>
        </w:rPr>
        <w:t>m</w:t>
      </w:r>
      <w:r w:rsidR="00453D27">
        <w:rPr>
          <w:rFonts w:cs="Arial"/>
          <w:color w:val="auto"/>
          <w:sz w:val="20"/>
          <w:szCs w:val="20"/>
        </w:rPr>
        <w:t xml:space="preserve"> </w:t>
      </w:r>
      <w:r>
        <w:rPr>
          <w:rFonts w:cs="Arial"/>
          <w:color w:val="auto"/>
          <w:sz w:val="20"/>
          <w:szCs w:val="20"/>
        </w:rPr>
        <w:tab/>
      </w:r>
      <w:r w:rsidR="00453D27">
        <w:rPr>
          <w:rFonts w:cs="Arial"/>
          <w:color w:val="auto"/>
          <w:sz w:val="20"/>
          <w:szCs w:val="20"/>
        </w:rPr>
        <w:t xml:space="preserve">with a corresponding increase in the </w:t>
      </w:r>
      <w:r w:rsidR="00BD6055">
        <w:rPr>
          <w:rFonts w:cs="Arial"/>
          <w:color w:val="auto"/>
          <w:sz w:val="20"/>
          <w:szCs w:val="20"/>
        </w:rPr>
        <w:t>revaluation</w:t>
      </w:r>
      <w:r w:rsidR="00453D27">
        <w:rPr>
          <w:rFonts w:cs="Arial"/>
          <w:color w:val="auto"/>
          <w:sz w:val="20"/>
          <w:szCs w:val="20"/>
        </w:rPr>
        <w:t xml:space="preserve"> reserve.</w:t>
      </w:r>
    </w:p>
    <w:p w:rsidR="000047C0" w:rsidRDefault="000047C0" w:rsidP="00D36C88">
      <w:pPr>
        <w:spacing w:before="60" w:after="60" w:line="240" w:lineRule="auto"/>
        <w:rPr>
          <w:rFonts w:cs="Arial"/>
          <w:color w:val="auto"/>
          <w:sz w:val="20"/>
          <w:szCs w:val="20"/>
        </w:rPr>
      </w:pPr>
    </w:p>
    <w:p w:rsidR="00CB7878" w:rsidRPr="00CB7878" w:rsidRDefault="003A5BBE" w:rsidP="00D36C88">
      <w:pPr>
        <w:spacing w:before="60" w:after="60" w:line="240" w:lineRule="auto"/>
        <w:rPr>
          <w:rFonts w:cs="Arial"/>
          <w:color w:val="auto"/>
          <w:sz w:val="20"/>
          <w:szCs w:val="20"/>
        </w:rPr>
      </w:pPr>
      <w:r>
        <w:rPr>
          <w:rFonts w:cs="Arial"/>
          <w:color w:val="auto"/>
          <w:sz w:val="20"/>
          <w:szCs w:val="20"/>
        </w:rPr>
        <w:tab/>
      </w:r>
      <w:r w:rsidR="00CB7878">
        <w:rPr>
          <w:rFonts w:cs="Arial"/>
          <w:color w:val="auto"/>
          <w:sz w:val="20"/>
          <w:szCs w:val="20"/>
        </w:rPr>
        <w:t xml:space="preserve">As change has been applied prospectively from 2015/16 there was no restatement of prior </w:t>
      </w:r>
      <w:r>
        <w:rPr>
          <w:rFonts w:cs="Arial"/>
          <w:color w:val="auto"/>
          <w:sz w:val="20"/>
          <w:szCs w:val="20"/>
        </w:rPr>
        <w:tab/>
      </w:r>
      <w:r w:rsidR="00CB7878">
        <w:rPr>
          <w:rFonts w:cs="Arial"/>
          <w:color w:val="auto"/>
          <w:sz w:val="20"/>
          <w:szCs w:val="20"/>
        </w:rPr>
        <w:t>years required.</w:t>
      </w:r>
    </w:p>
    <w:p w:rsidR="00CB7878" w:rsidRDefault="00CB7878" w:rsidP="00D36C88">
      <w:pPr>
        <w:spacing w:before="60" w:after="60" w:line="240" w:lineRule="auto"/>
        <w:rPr>
          <w:rFonts w:cs="Arial"/>
          <w:color w:val="auto"/>
          <w:sz w:val="20"/>
          <w:szCs w:val="20"/>
        </w:rPr>
      </w:pPr>
    </w:p>
    <w:p w:rsidR="00D13A92" w:rsidRPr="008E5CC8" w:rsidRDefault="003A5BBE" w:rsidP="00D36C88">
      <w:pPr>
        <w:spacing w:before="60" w:after="60" w:line="240" w:lineRule="auto"/>
        <w:rPr>
          <w:rFonts w:cs="Arial"/>
          <w:color w:val="auto"/>
          <w:sz w:val="20"/>
          <w:szCs w:val="20"/>
        </w:rPr>
      </w:pPr>
      <w:r>
        <w:rPr>
          <w:rFonts w:cs="Arial"/>
          <w:color w:val="auto"/>
          <w:sz w:val="20"/>
          <w:szCs w:val="20"/>
        </w:rPr>
        <w:tab/>
      </w:r>
      <w:r w:rsidR="00D13A92">
        <w:rPr>
          <w:rFonts w:cs="Arial"/>
          <w:color w:val="auto"/>
          <w:sz w:val="20"/>
          <w:szCs w:val="20"/>
        </w:rPr>
        <w:t xml:space="preserve">The </w:t>
      </w:r>
      <w:r w:rsidR="00BD6055">
        <w:rPr>
          <w:rFonts w:cs="Arial"/>
          <w:color w:val="auto"/>
          <w:sz w:val="20"/>
          <w:szCs w:val="20"/>
        </w:rPr>
        <w:t>accounts</w:t>
      </w:r>
      <w:r w:rsidR="00D13A92">
        <w:rPr>
          <w:rFonts w:cs="Arial"/>
          <w:color w:val="auto"/>
          <w:sz w:val="20"/>
          <w:szCs w:val="20"/>
        </w:rPr>
        <w:t xml:space="preserve"> include a </w:t>
      </w:r>
      <w:r w:rsidR="00BD6055">
        <w:rPr>
          <w:rFonts w:cs="Arial"/>
          <w:color w:val="auto"/>
          <w:sz w:val="20"/>
          <w:szCs w:val="20"/>
        </w:rPr>
        <w:t>number</w:t>
      </w:r>
      <w:r w:rsidR="00D13A92">
        <w:rPr>
          <w:rFonts w:cs="Arial"/>
          <w:color w:val="auto"/>
          <w:sz w:val="20"/>
          <w:szCs w:val="20"/>
        </w:rPr>
        <w:t xml:space="preserve"> </w:t>
      </w:r>
      <w:r w:rsidR="00BD6055">
        <w:rPr>
          <w:rFonts w:cs="Arial"/>
          <w:color w:val="auto"/>
          <w:sz w:val="20"/>
          <w:szCs w:val="20"/>
        </w:rPr>
        <w:t>of</w:t>
      </w:r>
      <w:r w:rsidR="00D13A92">
        <w:rPr>
          <w:rFonts w:cs="Arial"/>
          <w:color w:val="auto"/>
          <w:sz w:val="20"/>
          <w:szCs w:val="20"/>
        </w:rPr>
        <w:t xml:space="preserve"> disclosure notes for </w:t>
      </w:r>
      <w:r w:rsidR="00BD6055">
        <w:rPr>
          <w:rFonts w:cs="Arial"/>
          <w:color w:val="auto"/>
          <w:sz w:val="20"/>
          <w:szCs w:val="20"/>
        </w:rPr>
        <w:t>the</w:t>
      </w:r>
      <w:r w:rsidR="00D13A92">
        <w:rPr>
          <w:rFonts w:cs="Arial"/>
          <w:color w:val="auto"/>
          <w:sz w:val="20"/>
          <w:szCs w:val="20"/>
        </w:rPr>
        <w:t xml:space="preserve"> </w:t>
      </w:r>
      <w:r w:rsidR="00BD6055">
        <w:rPr>
          <w:rFonts w:cs="Arial"/>
          <w:color w:val="auto"/>
          <w:sz w:val="20"/>
          <w:szCs w:val="20"/>
        </w:rPr>
        <w:t>fair</w:t>
      </w:r>
      <w:r w:rsidR="00D13A92">
        <w:rPr>
          <w:rFonts w:cs="Arial"/>
          <w:color w:val="auto"/>
          <w:sz w:val="20"/>
          <w:szCs w:val="20"/>
        </w:rPr>
        <w:t xml:space="preserve"> </w:t>
      </w:r>
      <w:r w:rsidR="00BD6055">
        <w:rPr>
          <w:rFonts w:cs="Arial"/>
          <w:color w:val="auto"/>
          <w:sz w:val="20"/>
          <w:szCs w:val="20"/>
        </w:rPr>
        <w:t>value</w:t>
      </w:r>
      <w:r w:rsidR="00D13A92">
        <w:rPr>
          <w:rFonts w:cs="Arial"/>
          <w:color w:val="auto"/>
          <w:sz w:val="20"/>
          <w:szCs w:val="20"/>
        </w:rPr>
        <w:t xml:space="preserve"> of </w:t>
      </w:r>
      <w:r w:rsidR="00BD6055">
        <w:rPr>
          <w:rFonts w:cs="Arial"/>
          <w:color w:val="auto"/>
          <w:sz w:val="20"/>
          <w:szCs w:val="20"/>
        </w:rPr>
        <w:t>some</w:t>
      </w:r>
      <w:r w:rsidR="00D13A92">
        <w:rPr>
          <w:rFonts w:cs="Arial"/>
          <w:color w:val="auto"/>
          <w:sz w:val="20"/>
          <w:szCs w:val="20"/>
        </w:rPr>
        <w:t xml:space="preserve"> assets and </w:t>
      </w:r>
      <w:r>
        <w:rPr>
          <w:rFonts w:cs="Arial"/>
          <w:color w:val="auto"/>
          <w:sz w:val="20"/>
          <w:szCs w:val="20"/>
        </w:rPr>
        <w:tab/>
      </w:r>
      <w:r w:rsidR="00BD6055">
        <w:rPr>
          <w:rFonts w:cs="Arial"/>
          <w:color w:val="auto"/>
          <w:sz w:val="20"/>
          <w:szCs w:val="20"/>
        </w:rPr>
        <w:t>liabilities</w:t>
      </w:r>
      <w:r w:rsidR="00D13A92">
        <w:rPr>
          <w:rFonts w:cs="Arial"/>
          <w:color w:val="auto"/>
          <w:sz w:val="20"/>
          <w:szCs w:val="20"/>
        </w:rPr>
        <w:t>. For 2015/16 these have been assessed in line with IFRS13 but the impact</w:t>
      </w:r>
      <w:r w:rsidR="00643477">
        <w:rPr>
          <w:rFonts w:cs="Arial"/>
          <w:color w:val="auto"/>
          <w:sz w:val="20"/>
          <w:szCs w:val="20"/>
        </w:rPr>
        <w:t xml:space="preserve"> </w:t>
      </w:r>
      <w:r w:rsidR="00D13A92">
        <w:rPr>
          <w:rFonts w:cs="Arial"/>
          <w:color w:val="auto"/>
          <w:sz w:val="20"/>
          <w:szCs w:val="20"/>
        </w:rPr>
        <w:t xml:space="preserve">on the </w:t>
      </w:r>
      <w:r>
        <w:rPr>
          <w:rFonts w:cs="Arial"/>
          <w:color w:val="auto"/>
          <w:sz w:val="20"/>
          <w:szCs w:val="20"/>
        </w:rPr>
        <w:tab/>
      </w:r>
      <w:r w:rsidR="00DD640C">
        <w:rPr>
          <w:rFonts w:cs="Arial"/>
          <w:color w:val="auto"/>
          <w:sz w:val="20"/>
          <w:szCs w:val="20"/>
        </w:rPr>
        <w:t xml:space="preserve">fair </w:t>
      </w:r>
      <w:r w:rsidR="00643477">
        <w:rPr>
          <w:rFonts w:cs="Arial"/>
          <w:color w:val="auto"/>
          <w:sz w:val="20"/>
          <w:szCs w:val="20"/>
        </w:rPr>
        <w:t xml:space="preserve">values reported in the </w:t>
      </w:r>
      <w:r w:rsidR="00D13A92">
        <w:rPr>
          <w:rFonts w:cs="Arial"/>
          <w:color w:val="auto"/>
          <w:sz w:val="20"/>
          <w:szCs w:val="20"/>
        </w:rPr>
        <w:t>discl</w:t>
      </w:r>
      <w:r w:rsidR="00643477">
        <w:rPr>
          <w:rFonts w:cs="Arial"/>
          <w:color w:val="auto"/>
          <w:sz w:val="20"/>
          <w:szCs w:val="20"/>
        </w:rPr>
        <w:t>osure</w:t>
      </w:r>
      <w:r w:rsidR="00D13A92">
        <w:rPr>
          <w:rFonts w:cs="Arial"/>
          <w:color w:val="auto"/>
          <w:sz w:val="20"/>
          <w:szCs w:val="20"/>
        </w:rPr>
        <w:t xml:space="preserve"> notes is negligible.</w:t>
      </w:r>
    </w:p>
    <w:p w:rsidR="00D70576" w:rsidRDefault="00D70576" w:rsidP="001465EA">
      <w:pPr>
        <w:spacing w:before="60" w:after="60" w:line="240" w:lineRule="auto"/>
        <w:ind w:left="567"/>
        <w:rPr>
          <w:rFonts w:cs="Arial"/>
          <w:color w:val="548DD4" w:themeColor="text2" w:themeTint="99"/>
          <w:sz w:val="20"/>
          <w:szCs w:val="20"/>
          <w:lang w:eastAsia="en-GB"/>
        </w:rPr>
      </w:pPr>
    </w:p>
    <w:p w:rsidR="00E24410" w:rsidRPr="00D36C88" w:rsidRDefault="00E51139" w:rsidP="00815C6B">
      <w:pPr>
        <w:pStyle w:val="Subtitle"/>
        <w:ind w:left="567" w:hanging="567"/>
        <w:rPr>
          <w:b/>
          <w:color w:val="auto"/>
          <w:sz w:val="22"/>
          <w:szCs w:val="22"/>
        </w:rPr>
      </w:pPr>
      <w:r w:rsidRPr="00D36C88">
        <w:rPr>
          <w:b/>
          <w:color w:val="auto"/>
          <w:sz w:val="22"/>
          <w:szCs w:val="22"/>
        </w:rPr>
        <w:t>2.</w:t>
      </w:r>
      <w:r w:rsidRPr="00D36C88">
        <w:rPr>
          <w:b/>
          <w:color w:val="auto"/>
          <w:sz w:val="22"/>
          <w:szCs w:val="22"/>
        </w:rPr>
        <w:tab/>
        <w:t>Accounting Standards That Have Been Issued but Have Not Yet Been Adopted</w:t>
      </w:r>
    </w:p>
    <w:p w:rsidR="00D36C88" w:rsidRPr="00D36C88" w:rsidRDefault="00D36C88" w:rsidP="00E24410">
      <w:pPr>
        <w:spacing w:before="60" w:after="60" w:line="240" w:lineRule="auto"/>
        <w:ind w:left="567"/>
        <w:rPr>
          <w:rFonts w:cs="Arial"/>
          <w:bCs/>
          <w:color w:val="auto"/>
          <w:sz w:val="20"/>
          <w:szCs w:val="20"/>
          <w:lang w:eastAsia="en-GB"/>
        </w:rPr>
      </w:pPr>
      <w:r>
        <w:rPr>
          <w:rFonts w:cs="Arial"/>
          <w:bCs/>
          <w:color w:val="auto"/>
          <w:sz w:val="20"/>
          <w:szCs w:val="20"/>
          <w:lang w:eastAsia="en-GB"/>
        </w:rPr>
        <w:t xml:space="preserve">The standards introduced in the 2016/17 </w:t>
      </w:r>
      <w:r w:rsidR="0069259C">
        <w:rPr>
          <w:rFonts w:cs="Arial"/>
          <w:bCs/>
          <w:color w:val="auto"/>
          <w:sz w:val="20"/>
          <w:szCs w:val="20"/>
          <w:lang w:eastAsia="en-GB"/>
        </w:rPr>
        <w:t>CIPFA ‘</w:t>
      </w:r>
      <w:r>
        <w:rPr>
          <w:rFonts w:cs="Arial"/>
          <w:bCs/>
          <w:color w:val="auto"/>
          <w:sz w:val="20"/>
          <w:szCs w:val="20"/>
          <w:lang w:eastAsia="en-GB"/>
        </w:rPr>
        <w:t>Co</w:t>
      </w:r>
      <w:r w:rsidR="0069259C">
        <w:rPr>
          <w:rFonts w:cs="Arial"/>
          <w:bCs/>
          <w:color w:val="auto"/>
          <w:sz w:val="20"/>
          <w:szCs w:val="20"/>
          <w:lang w:eastAsia="en-GB"/>
        </w:rPr>
        <w:t>de’ are:-</w:t>
      </w:r>
    </w:p>
    <w:p w:rsidR="009702F0" w:rsidRPr="00845088" w:rsidRDefault="009702F0" w:rsidP="00E24410">
      <w:pPr>
        <w:spacing w:before="60" w:after="60" w:line="240" w:lineRule="auto"/>
        <w:ind w:left="567"/>
        <w:rPr>
          <w:rFonts w:cs="Arial"/>
          <w:bCs/>
          <w:color w:val="548DD4" w:themeColor="text2" w:themeTint="99"/>
          <w:sz w:val="20"/>
          <w:szCs w:val="20"/>
          <w:lang w:eastAsia="en-GB"/>
        </w:rPr>
      </w:pPr>
    </w:p>
    <w:p w:rsidR="0069259C" w:rsidRPr="004C29A9" w:rsidRDefault="0069259C" w:rsidP="003E10DE">
      <w:pPr>
        <w:pStyle w:val="ListParagraph"/>
        <w:numPr>
          <w:ilvl w:val="0"/>
          <w:numId w:val="32"/>
        </w:numPr>
        <w:autoSpaceDE w:val="0"/>
        <w:autoSpaceDN w:val="0"/>
        <w:adjustRightInd w:val="0"/>
        <w:spacing w:after="0" w:line="240" w:lineRule="auto"/>
        <w:rPr>
          <w:rFonts w:cs="Arial"/>
          <w:bCs/>
          <w:color w:val="auto"/>
          <w:sz w:val="20"/>
          <w:szCs w:val="20"/>
          <w:lang w:eastAsia="en-GB"/>
        </w:rPr>
      </w:pPr>
      <w:r w:rsidRPr="004C29A9">
        <w:rPr>
          <w:rFonts w:cs="Arial"/>
          <w:bCs/>
          <w:color w:val="auto"/>
          <w:sz w:val="20"/>
          <w:szCs w:val="20"/>
          <w:lang w:eastAsia="en-GB"/>
        </w:rPr>
        <w:t>Amendments to IAS 19 Employee Benefits (Defined Benefit Plans: Employee</w:t>
      </w:r>
    </w:p>
    <w:p w:rsidR="004C29A9" w:rsidRPr="004C29A9" w:rsidRDefault="0069259C" w:rsidP="004C29A9">
      <w:pPr>
        <w:autoSpaceDE w:val="0"/>
        <w:autoSpaceDN w:val="0"/>
        <w:adjustRightInd w:val="0"/>
        <w:spacing w:after="0" w:line="240" w:lineRule="auto"/>
        <w:ind w:left="207" w:firstLine="720"/>
        <w:rPr>
          <w:rFonts w:cs="Arial"/>
          <w:bCs/>
          <w:color w:val="auto"/>
          <w:sz w:val="20"/>
          <w:szCs w:val="20"/>
          <w:lang w:eastAsia="en-GB"/>
        </w:rPr>
      </w:pPr>
      <w:r w:rsidRPr="004C29A9">
        <w:rPr>
          <w:rFonts w:cs="Arial"/>
          <w:bCs/>
          <w:color w:val="auto"/>
          <w:sz w:val="20"/>
          <w:szCs w:val="20"/>
          <w:lang w:eastAsia="en-GB"/>
        </w:rPr>
        <w:t>Contributions)</w:t>
      </w:r>
    </w:p>
    <w:p w:rsidR="0069259C" w:rsidRPr="00C840DB" w:rsidRDefault="0069259C" w:rsidP="003E10DE">
      <w:pPr>
        <w:pStyle w:val="ListParagraph"/>
        <w:numPr>
          <w:ilvl w:val="0"/>
          <w:numId w:val="32"/>
        </w:numPr>
        <w:autoSpaceDE w:val="0"/>
        <w:autoSpaceDN w:val="0"/>
        <w:adjustRightInd w:val="0"/>
        <w:spacing w:after="0" w:line="240" w:lineRule="auto"/>
        <w:rPr>
          <w:rFonts w:cs="Arial"/>
          <w:bCs/>
          <w:color w:val="auto"/>
          <w:sz w:val="20"/>
          <w:szCs w:val="20"/>
          <w:lang w:eastAsia="en-GB"/>
        </w:rPr>
      </w:pPr>
      <w:r w:rsidRPr="00C840DB">
        <w:rPr>
          <w:rFonts w:cs="Arial"/>
          <w:bCs/>
          <w:color w:val="auto"/>
          <w:sz w:val="20"/>
          <w:szCs w:val="20"/>
          <w:lang w:eastAsia="en-GB"/>
        </w:rPr>
        <w:t>Amendment to IFRS 11 Joint Arrangements (Accounting for Acquisitions of</w:t>
      </w:r>
    </w:p>
    <w:p w:rsidR="00C840DB" w:rsidRPr="00C840DB" w:rsidRDefault="0069259C" w:rsidP="004C29A9">
      <w:pPr>
        <w:autoSpaceDE w:val="0"/>
        <w:autoSpaceDN w:val="0"/>
        <w:adjustRightInd w:val="0"/>
        <w:spacing w:after="0" w:line="240" w:lineRule="auto"/>
        <w:ind w:left="207" w:firstLine="720"/>
        <w:rPr>
          <w:rFonts w:cs="Arial"/>
          <w:bCs/>
          <w:color w:val="auto"/>
          <w:sz w:val="20"/>
          <w:szCs w:val="20"/>
          <w:lang w:eastAsia="en-GB"/>
        </w:rPr>
      </w:pPr>
      <w:r w:rsidRPr="00C840DB">
        <w:rPr>
          <w:rFonts w:cs="Arial"/>
          <w:bCs/>
          <w:color w:val="auto"/>
          <w:sz w:val="20"/>
          <w:szCs w:val="20"/>
          <w:lang w:eastAsia="en-GB"/>
        </w:rPr>
        <w:t>Interests in Joint Operations)</w:t>
      </w:r>
    </w:p>
    <w:p w:rsidR="0069259C" w:rsidRPr="004C29A9" w:rsidRDefault="0069259C" w:rsidP="003E10DE">
      <w:pPr>
        <w:pStyle w:val="ListParagraph"/>
        <w:numPr>
          <w:ilvl w:val="0"/>
          <w:numId w:val="32"/>
        </w:numPr>
        <w:autoSpaceDE w:val="0"/>
        <w:autoSpaceDN w:val="0"/>
        <w:adjustRightInd w:val="0"/>
        <w:spacing w:after="0" w:line="240" w:lineRule="auto"/>
        <w:rPr>
          <w:rFonts w:cs="Arial"/>
          <w:bCs/>
          <w:color w:val="auto"/>
          <w:sz w:val="20"/>
          <w:szCs w:val="20"/>
          <w:lang w:eastAsia="en-GB"/>
        </w:rPr>
      </w:pPr>
      <w:r w:rsidRPr="004C29A9">
        <w:rPr>
          <w:rFonts w:cs="Arial"/>
          <w:bCs/>
          <w:color w:val="auto"/>
          <w:sz w:val="20"/>
          <w:szCs w:val="20"/>
          <w:lang w:eastAsia="en-GB"/>
        </w:rPr>
        <w:t>Amendment to IAS 16 Property, Plant and Equipment and IAS 38 Intangible</w:t>
      </w:r>
    </w:p>
    <w:p w:rsidR="0069259C" w:rsidRPr="004C29A9" w:rsidRDefault="0069259C" w:rsidP="004C29A9">
      <w:pPr>
        <w:autoSpaceDE w:val="0"/>
        <w:autoSpaceDN w:val="0"/>
        <w:adjustRightInd w:val="0"/>
        <w:spacing w:after="0" w:line="240" w:lineRule="auto"/>
        <w:ind w:left="207" w:firstLine="720"/>
        <w:rPr>
          <w:rFonts w:cs="Arial"/>
          <w:bCs/>
          <w:color w:val="auto"/>
          <w:sz w:val="20"/>
          <w:szCs w:val="20"/>
          <w:lang w:eastAsia="en-GB"/>
        </w:rPr>
      </w:pPr>
      <w:r w:rsidRPr="004C29A9">
        <w:rPr>
          <w:rFonts w:cs="Arial"/>
          <w:bCs/>
          <w:color w:val="auto"/>
          <w:sz w:val="20"/>
          <w:szCs w:val="20"/>
          <w:lang w:eastAsia="en-GB"/>
        </w:rPr>
        <w:t>Assets (Clarification of Acceptable Methods of Depreciation and Amortisation)</w:t>
      </w:r>
    </w:p>
    <w:p w:rsidR="00C840DB" w:rsidRPr="004C29A9" w:rsidRDefault="004C29A9" w:rsidP="003E10DE">
      <w:pPr>
        <w:pStyle w:val="ListParagraph"/>
        <w:numPr>
          <w:ilvl w:val="0"/>
          <w:numId w:val="32"/>
        </w:numPr>
        <w:autoSpaceDE w:val="0"/>
        <w:autoSpaceDN w:val="0"/>
        <w:adjustRightInd w:val="0"/>
        <w:spacing w:after="0" w:line="240" w:lineRule="auto"/>
        <w:rPr>
          <w:rFonts w:cs="Arial"/>
          <w:bCs/>
          <w:color w:val="auto"/>
          <w:sz w:val="20"/>
          <w:szCs w:val="20"/>
          <w:lang w:eastAsia="en-GB"/>
        </w:rPr>
      </w:pPr>
      <w:r w:rsidRPr="00C840DB">
        <w:rPr>
          <w:rFonts w:cs="Arial"/>
          <w:bCs/>
          <w:color w:val="auto"/>
          <w:sz w:val="20"/>
          <w:szCs w:val="20"/>
          <w:lang w:eastAsia="en-GB"/>
        </w:rPr>
        <w:t xml:space="preserve">Annual Improvements to IFRSs 2010 – 2012 Cycle </w:t>
      </w:r>
      <w:r w:rsidRPr="004C29A9">
        <w:rPr>
          <w:rFonts w:cs="Arial"/>
          <w:bCs/>
          <w:color w:val="auto"/>
          <w:sz w:val="20"/>
          <w:szCs w:val="20"/>
          <w:lang w:eastAsia="en-GB"/>
        </w:rPr>
        <w:t xml:space="preserve"> </w:t>
      </w:r>
    </w:p>
    <w:p w:rsidR="00C840DB" w:rsidRPr="004C29A9" w:rsidRDefault="0069259C" w:rsidP="003E10DE">
      <w:pPr>
        <w:pStyle w:val="ListParagraph"/>
        <w:numPr>
          <w:ilvl w:val="0"/>
          <w:numId w:val="32"/>
        </w:numPr>
        <w:autoSpaceDE w:val="0"/>
        <w:autoSpaceDN w:val="0"/>
        <w:adjustRightInd w:val="0"/>
        <w:spacing w:after="0" w:line="240" w:lineRule="auto"/>
        <w:rPr>
          <w:rFonts w:cs="Arial"/>
          <w:bCs/>
          <w:color w:val="auto"/>
          <w:sz w:val="20"/>
          <w:szCs w:val="20"/>
          <w:lang w:eastAsia="en-GB"/>
        </w:rPr>
      </w:pPr>
      <w:r w:rsidRPr="004C29A9">
        <w:rPr>
          <w:rFonts w:cs="Arial"/>
          <w:bCs/>
          <w:color w:val="auto"/>
          <w:sz w:val="20"/>
          <w:szCs w:val="20"/>
          <w:lang w:eastAsia="en-GB"/>
        </w:rPr>
        <w:t>Annual Improvements to IFRSs 2012 – 2014 Cycle</w:t>
      </w:r>
      <w:r w:rsidR="004C29A9" w:rsidRPr="004C29A9">
        <w:rPr>
          <w:rFonts w:cs="Arial"/>
          <w:bCs/>
          <w:color w:val="auto"/>
          <w:sz w:val="20"/>
          <w:szCs w:val="20"/>
          <w:lang w:eastAsia="en-GB"/>
        </w:rPr>
        <w:t xml:space="preserve"> </w:t>
      </w:r>
    </w:p>
    <w:p w:rsidR="00C840DB" w:rsidRPr="004C29A9" w:rsidRDefault="0069259C" w:rsidP="003E10DE">
      <w:pPr>
        <w:pStyle w:val="ListParagraph"/>
        <w:numPr>
          <w:ilvl w:val="0"/>
          <w:numId w:val="32"/>
        </w:numPr>
        <w:autoSpaceDE w:val="0"/>
        <w:autoSpaceDN w:val="0"/>
        <w:adjustRightInd w:val="0"/>
        <w:spacing w:after="0" w:line="240" w:lineRule="auto"/>
        <w:rPr>
          <w:rFonts w:cs="Arial"/>
          <w:bCs/>
          <w:color w:val="auto"/>
          <w:sz w:val="20"/>
          <w:szCs w:val="20"/>
          <w:lang w:eastAsia="en-GB"/>
        </w:rPr>
      </w:pPr>
      <w:r w:rsidRPr="00C840DB">
        <w:rPr>
          <w:rFonts w:cs="Arial"/>
          <w:bCs/>
          <w:color w:val="auto"/>
          <w:sz w:val="20"/>
          <w:szCs w:val="20"/>
          <w:lang w:eastAsia="en-GB"/>
        </w:rPr>
        <w:t>Amendment to IAS 1 Presentation of Financial Statements (Disclosure Initiative)</w:t>
      </w:r>
    </w:p>
    <w:p w:rsidR="0069259C" w:rsidRPr="004C29A9" w:rsidRDefault="0069259C" w:rsidP="003E10DE">
      <w:pPr>
        <w:pStyle w:val="ListParagraph"/>
        <w:numPr>
          <w:ilvl w:val="0"/>
          <w:numId w:val="32"/>
        </w:numPr>
        <w:autoSpaceDE w:val="0"/>
        <w:autoSpaceDN w:val="0"/>
        <w:adjustRightInd w:val="0"/>
        <w:spacing w:after="0" w:line="240" w:lineRule="auto"/>
        <w:rPr>
          <w:rFonts w:cs="Arial"/>
          <w:bCs/>
          <w:color w:val="auto"/>
          <w:sz w:val="20"/>
          <w:szCs w:val="20"/>
          <w:lang w:eastAsia="en-GB"/>
        </w:rPr>
      </w:pPr>
      <w:r w:rsidRPr="004C29A9">
        <w:rPr>
          <w:rFonts w:cs="Arial"/>
          <w:bCs/>
          <w:color w:val="auto"/>
          <w:sz w:val="20"/>
          <w:szCs w:val="20"/>
          <w:lang w:eastAsia="en-GB"/>
        </w:rPr>
        <w:t>The changes to the format of the Comprehensive Income and Expenditure</w:t>
      </w:r>
    </w:p>
    <w:p w:rsidR="0069259C" w:rsidRPr="004C29A9" w:rsidRDefault="0069259C" w:rsidP="00226942">
      <w:pPr>
        <w:autoSpaceDE w:val="0"/>
        <w:autoSpaceDN w:val="0"/>
        <w:adjustRightInd w:val="0"/>
        <w:spacing w:after="0" w:line="240" w:lineRule="auto"/>
        <w:ind w:left="207" w:firstLine="720"/>
        <w:rPr>
          <w:rFonts w:cs="Arial"/>
          <w:bCs/>
          <w:color w:val="auto"/>
          <w:sz w:val="20"/>
          <w:szCs w:val="20"/>
          <w:lang w:eastAsia="en-GB"/>
        </w:rPr>
      </w:pPr>
      <w:r w:rsidRPr="004C29A9">
        <w:rPr>
          <w:rFonts w:cs="Arial"/>
          <w:bCs/>
          <w:color w:val="auto"/>
          <w:sz w:val="20"/>
          <w:szCs w:val="20"/>
          <w:lang w:eastAsia="en-GB"/>
        </w:rPr>
        <w:t>Statement, the Movement in Reserves Statement and the introduction of the</w:t>
      </w:r>
    </w:p>
    <w:p w:rsidR="00C840DB" w:rsidRPr="004C29A9" w:rsidRDefault="0069259C" w:rsidP="00226942">
      <w:pPr>
        <w:pStyle w:val="ListParagraph"/>
        <w:autoSpaceDE w:val="0"/>
        <w:autoSpaceDN w:val="0"/>
        <w:adjustRightInd w:val="0"/>
        <w:spacing w:after="0" w:line="240" w:lineRule="auto"/>
        <w:ind w:left="927"/>
        <w:rPr>
          <w:rFonts w:cs="Arial"/>
          <w:bCs/>
          <w:color w:val="auto"/>
          <w:sz w:val="20"/>
          <w:szCs w:val="20"/>
          <w:lang w:eastAsia="en-GB"/>
        </w:rPr>
      </w:pPr>
      <w:r w:rsidRPr="004C29A9">
        <w:rPr>
          <w:rFonts w:cs="Arial"/>
          <w:bCs/>
          <w:color w:val="auto"/>
          <w:sz w:val="20"/>
          <w:szCs w:val="20"/>
          <w:lang w:eastAsia="en-GB"/>
        </w:rPr>
        <w:t>new Expenditure and Funding Analysis</w:t>
      </w:r>
    </w:p>
    <w:p w:rsidR="0069259C" w:rsidRPr="00226942" w:rsidRDefault="0069259C" w:rsidP="00226942">
      <w:pPr>
        <w:autoSpaceDE w:val="0"/>
        <w:autoSpaceDN w:val="0"/>
        <w:adjustRightInd w:val="0"/>
        <w:spacing w:after="0" w:line="240" w:lineRule="auto"/>
        <w:rPr>
          <w:rFonts w:cs="Arial"/>
          <w:bCs/>
          <w:color w:val="548DD4" w:themeColor="text2" w:themeTint="99"/>
          <w:sz w:val="20"/>
          <w:szCs w:val="20"/>
          <w:lang w:eastAsia="en-GB"/>
        </w:rPr>
      </w:pPr>
    </w:p>
    <w:p w:rsidR="004C29A9" w:rsidRPr="00226942" w:rsidRDefault="004C29A9" w:rsidP="00226942">
      <w:pPr>
        <w:autoSpaceDE w:val="0"/>
        <w:autoSpaceDN w:val="0"/>
        <w:adjustRightInd w:val="0"/>
        <w:spacing w:after="0" w:line="240" w:lineRule="auto"/>
        <w:ind w:left="567"/>
        <w:rPr>
          <w:rFonts w:cs="Arial"/>
          <w:bCs/>
          <w:color w:val="auto"/>
          <w:sz w:val="20"/>
          <w:szCs w:val="20"/>
          <w:lang w:eastAsia="en-GB"/>
        </w:rPr>
      </w:pPr>
      <w:r w:rsidRPr="00226942">
        <w:rPr>
          <w:rFonts w:cs="Arial"/>
          <w:bCs/>
          <w:color w:val="auto"/>
          <w:sz w:val="20"/>
          <w:szCs w:val="20"/>
          <w:lang w:eastAsia="en-GB"/>
        </w:rPr>
        <w:t>T</w:t>
      </w:r>
      <w:r w:rsidR="00226942" w:rsidRPr="00226942">
        <w:rPr>
          <w:rFonts w:cs="Arial"/>
          <w:bCs/>
          <w:color w:val="auto"/>
          <w:sz w:val="20"/>
          <w:szCs w:val="20"/>
          <w:lang w:eastAsia="en-GB"/>
        </w:rPr>
        <w:t xml:space="preserve">hese </w:t>
      </w:r>
      <w:r w:rsidRPr="00226942">
        <w:rPr>
          <w:rFonts w:cs="Arial"/>
          <w:bCs/>
          <w:color w:val="auto"/>
          <w:sz w:val="20"/>
          <w:szCs w:val="20"/>
          <w:lang w:eastAsia="en-GB"/>
        </w:rPr>
        <w:t>changes could apply to the</w:t>
      </w:r>
      <w:r w:rsidR="00226942" w:rsidRPr="00226942">
        <w:rPr>
          <w:rFonts w:cs="Arial"/>
          <w:bCs/>
          <w:color w:val="auto"/>
          <w:sz w:val="20"/>
          <w:szCs w:val="20"/>
          <w:lang w:eastAsia="en-GB"/>
        </w:rPr>
        <w:t xml:space="preserve"> Council’s</w:t>
      </w:r>
      <w:r w:rsidRPr="00226942">
        <w:rPr>
          <w:rFonts w:cs="Arial"/>
          <w:bCs/>
          <w:color w:val="auto"/>
          <w:sz w:val="20"/>
          <w:szCs w:val="20"/>
          <w:lang w:eastAsia="en-GB"/>
        </w:rPr>
        <w:t xml:space="preserve"> 2016/1</w:t>
      </w:r>
      <w:r w:rsidR="00226942" w:rsidRPr="00226942">
        <w:rPr>
          <w:rFonts w:cs="Arial"/>
          <w:bCs/>
          <w:color w:val="auto"/>
          <w:sz w:val="20"/>
          <w:szCs w:val="20"/>
          <w:lang w:eastAsia="en-GB"/>
        </w:rPr>
        <w:t>7 statement of accounts,</w:t>
      </w:r>
      <w:r w:rsidRPr="00226942">
        <w:rPr>
          <w:rFonts w:cs="Arial"/>
          <w:bCs/>
          <w:color w:val="auto"/>
          <w:sz w:val="20"/>
          <w:szCs w:val="20"/>
          <w:lang w:eastAsia="en-GB"/>
        </w:rPr>
        <w:t xml:space="preserve"> however none is likely to have a significant impact on the Council</w:t>
      </w:r>
      <w:r w:rsidR="00226942" w:rsidRPr="00226942">
        <w:rPr>
          <w:rFonts w:cs="Arial"/>
          <w:bCs/>
          <w:color w:val="auto"/>
          <w:sz w:val="20"/>
          <w:szCs w:val="20"/>
          <w:lang w:eastAsia="en-GB"/>
        </w:rPr>
        <w:t>’s reported net cost of services or the surplus or deficit on the provision of services</w:t>
      </w:r>
      <w:r w:rsidRPr="00226942">
        <w:rPr>
          <w:rFonts w:cs="Arial"/>
          <w:bCs/>
          <w:color w:val="auto"/>
          <w:sz w:val="20"/>
          <w:szCs w:val="20"/>
          <w:lang w:eastAsia="en-GB"/>
        </w:rPr>
        <w:t>.</w:t>
      </w:r>
      <w:r w:rsidR="00226942" w:rsidRPr="00226942">
        <w:rPr>
          <w:rFonts w:cs="Arial"/>
          <w:bCs/>
          <w:color w:val="auto"/>
          <w:sz w:val="20"/>
          <w:szCs w:val="20"/>
          <w:lang w:eastAsia="en-GB"/>
        </w:rPr>
        <w:t xml:space="preserve"> However, in the 2016/17 year the comparator 2015/16 Comprehensive Income and Expenditure Statement and the Movement in Reserves Statement must reflect the new formats and reporting requirements.</w:t>
      </w:r>
    </w:p>
    <w:p w:rsidR="009702F0" w:rsidRDefault="009702F0" w:rsidP="009702F0">
      <w:pPr>
        <w:autoSpaceDE w:val="0"/>
        <w:autoSpaceDN w:val="0"/>
        <w:adjustRightInd w:val="0"/>
        <w:spacing w:after="0" w:line="240" w:lineRule="auto"/>
        <w:rPr>
          <w:rFonts w:ascii="Verdana" w:hAnsi="Verdana" w:cs="Verdana"/>
          <w:color w:val="548DD4" w:themeColor="text2" w:themeTint="99"/>
          <w:sz w:val="15"/>
          <w:szCs w:val="15"/>
          <w:lang w:eastAsia="en-GB"/>
        </w:rPr>
      </w:pPr>
    </w:p>
    <w:p w:rsidR="009702F0" w:rsidRPr="00E2794C" w:rsidRDefault="00226942" w:rsidP="009702F0">
      <w:pPr>
        <w:autoSpaceDE w:val="0"/>
        <w:autoSpaceDN w:val="0"/>
        <w:adjustRightInd w:val="0"/>
        <w:spacing w:after="0" w:line="240" w:lineRule="auto"/>
        <w:rPr>
          <w:rFonts w:ascii="Verdana" w:hAnsi="Verdana" w:cs="Verdana"/>
          <w:color w:val="548DD4" w:themeColor="text2" w:themeTint="99"/>
          <w:sz w:val="15"/>
          <w:szCs w:val="15"/>
          <w:lang w:eastAsia="en-GB"/>
        </w:rPr>
      </w:pPr>
      <w:r>
        <w:rPr>
          <w:rFonts w:ascii="Verdana" w:hAnsi="Verdana" w:cs="Verdana"/>
          <w:color w:val="548DD4" w:themeColor="text2" w:themeTint="99"/>
          <w:sz w:val="15"/>
          <w:szCs w:val="15"/>
          <w:lang w:eastAsia="en-GB"/>
        </w:rPr>
        <w:tab/>
      </w:r>
    </w:p>
    <w:p w:rsidR="005B7422" w:rsidRPr="00F43017" w:rsidRDefault="00E51139" w:rsidP="00815C6B">
      <w:pPr>
        <w:pStyle w:val="Subtitle"/>
        <w:ind w:left="567" w:hanging="567"/>
        <w:rPr>
          <w:b/>
          <w:color w:val="auto"/>
          <w:sz w:val="22"/>
          <w:szCs w:val="22"/>
        </w:rPr>
      </w:pPr>
      <w:r w:rsidRPr="00F43017">
        <w:rPr>
          <w:b/>
          <w:color w:val="auto"/>
          <w:sz w:val="22"/>
          <w:szCs w:val="22"/>
        </w:rPr>
        <w:t>3</w:t>
      </w:r>
      <w:r w:rsidR="005B7422" w:rsidRPr="00F43017">
        <w:rPr>
          <w:b/>
          <w:color w:val="auto"/>
          <w:sz w:val="22"/>
          <w:szCs w:val="22"/>
        </w:rPr>
        <w:t>.</w:t>
      </w:r>
      <w:r w:rsidRPr="00F43017">
        <w:rPr>
          <w:b/>
          <w:color w:val="auto"/>
          <w:sz w:val="22"/>
          <w:szCs w:val="22"/>
        </w:rPr>
        <w:t xml:space="preserve">       Critical Judgements in Applying Accounting Policies</w:t>
      </w:r>
    </w:p>
    <w:p w:rsidR="00E51139" w:rsidRPr="00F43017" w:rsidRDefault="00E51139" w:rsidP="005B7422">
      <w:pPr>
        <w:spacing w:before="60" w:after="60" w:line="240" w:lineRule="auto"/>
        <w:ind w:left="567"/>
        <w:rPr>
          <w:rFonts w:cs="Arial"/>
          <w:bCs/>
          <w:color w:val="auto"/>
          <w:sz w:val="20"/>
          <w:szCs w:val="20"/>
          <w:lang w:eastAsia="en-GB"/>
        </w:rPr>
      </w:pPr>
      <w:r w:rsidRPr="00F43017">
        <w:rPr>
          <w:rFonts w:cs="Arial"/>
          <w:bCs/>
          <w:color w:val="auto"/>
          <w:sz w:val="20"/>
          <w:szCs w:val="20"/>
          <w:lang w:eastAsia="en-GB"/>
        </w:rPr>
        <w:t xml:space="preserve">In applying the accounting policies set out in </w:t>
      </w:r>
      <w:r w:rsidRPr="00B36513">
        <w:rPr>
          <w:rFonts w:cs="Arial"/>
          <w:bCs/>
          <w:color w:val="auto"/>
          <w:sz w:val="20"/>
          <w:szCs w:val="20"/>
          <w:lang w:eastAsia="en-GB"/>
        </w:rPr>
        <w:t xml:space="preserve">Note </w:t>
      </w:r>
      <w:r w:rsidR="008A26F7" w:rsidRPr="00B36513">
        <w:rPr>
          <w:rFonts w:cs="Arial"/>
          <w:bCs/>
          <w:color w:val="auto"/>
          <w:sz w:val="20"/>
          <w:szCs w:val="20"/>
          <w:lang w:eastAsia="en-GB"/>
        </w:rPr>
        <w:t>39</w:t>
      </w:r>
      <w:r w:rsidRPr="00B36513">
        <w:rPr>
          <w:rFonts w:cs="Arial"/>
          <w:bCs/>
          <w:color w:val="auto"/>
          <w:sz w:val="20"/>
          <w:szCs w:val="20"/>
          <w:lang w:eastAsia="en-GB"/>
        </w:rPr>
        <w:t>, the</w:t>
      </w:r>
      <w:r w:rsidRPr="00F43017">
        <w:rPr>
          <w:rFonts w:cs="Arial"/>
          <w:bCs/>
          <w:color w:val="auto"/>
          <w:sz w:val="20"/>
          <w:szCs w:val="20"/>
          <w:lang w:eastAsia="en-GB"/>
        </w:rPr>
        <w:t xml:space="preserve"> Council has had to make certain judgements about complex transactions or those involving uncertainty about future events. The critical judgements, where others may have made a different judgement, made in the statement of accounts are:</w:t>
      </w:r>
    </w:p>
    <w:p w:rsidR="00E51139" w:rsidRPr="00F43017" w:rsidRDefault="00E51139" w:rsidP="003E10DE">
      <w:pPr>
        <w:pStyle w:val="ExampleSub"/>
        <w:keepNext w:val="0"/>
        <w:keepLines w:val="0"/>
        <w:numPr>
          <w:ilvl w:val="0"/>
          <w:numId w:val="20"/>
        </w:numPr>
        <w:outlineLvl w:val="0"/>
        <w:rPr>
          <w:rFonts w:ascii="Arial" w:hAnsi="Arial" w:cs="Arial"/>
          <w:b w:val="0"/>
          <w:bCs w:val="0"/>
          <w:color w:val="auto"/>
          <w:sz w:val="20"/>
          <w:szCs w:val="20"/>
        </w:rPr>
      </w:pPr>
      <w:r w:rsidRPr="00F43017">
        <w:rPr>
          <w:rFonts w:ascii="Arial" w:hAnsi="Arial" w:cs="Arial"/>
          <w:b w:val="0"/>
          <w:bCs w:val="0"/>
          <w:color w:val="auto"/>
          <w:sz w:val="20"/>
          <w:szCs w:val="20"/>
        </w:rPr>
        <w:t xml:space="preserve">The assets (vehicle &amp; plant) that are leased to TOR2 as part of the contract have been treated as Council assets, while any assets purchased by TOR2 are not recognised as Council assets as these are not classified as infrastructure </w:t>
      </w:r>
      <w:r w:rsidR="009A1304" w:rsidRPr="00F43017">
        <w:rPr>
          <w:rFonts w:ascii="Arial" w:hAnsi="Arial" w:cs="Arial"/>
          <w:b w:val="0"/>
          <w:bCs w:val="0"/>
          <w:color w:val="auto"/>
          <w:sz w:val="20"/>
          <w:szCs w:val="20"/>
        </w:rPr>
        <w:t>assets</w:t>
      </w:r>
      <w:r w:rsidRPr="00F43017">
        <w:rPr>
          <w:rFonts w:ascii="Arial" w:hAnsi="Arial" w:cs="Arial"/>
          <w:b w:val="0"/>
          <w:bCs w:val="0"/>
          <w:color w:val="auto"/>
          <w:sz w:val="20"/>
          <w:szCs w:val="20"/>
        </w:rPr>
        <w:t xml:space="preserve"> or specified in the </w:t>
      </w:r>
      <w:r w:rsidRPr="00F43017">
        <w:rPr>
          <w:rFonts w:ascii="Arial" w:hAnsi="Arial" w:cs="Arial"/>
          <w:b w:val="0"/>
          <w:bCs w:val="0"/>
          <w:color w:val="auto"/>
          <w:sz w:val="20"/>
          <w:szCs w:val="20"/>
        </w:rPr>
        <w:lastRenderedPageBreak/>
        <w:t>contract and are not for the exclusive use of the Council. The Council has considered that there are not any embedded leases within the contract.</w:t>
      </w:r>
    </w:p>
    <w:p w:rsidR="00E51139" w:rsidRPr="00F43017" w:rsidRDefault="00E51139" w:rsidP="003E10DE">
      <w:pPr>
        <w:pStyle w:val="ExampleSub"/>
        <w:keepNext w:val="0"/>
        <w:keepLines w:val="0"/>
        <w:numPr>
          <w:ilvl w:val="0"/>
          <w:numId w:val="20"/>
        </w:numPr>
        <w:outlineLvl w:val="0"/>
        <w:rPr>
          <w:rFonts w:ascii="Arial" w:hAnsi="Arial" w:cs="Arial"/>
          <w:b w:val="0"/>
          <w:bCs w:val="0"/>
          <w:color w:val="auto"/>
          <w:sz w:val="20"/>
          <w:szCs w:val="20"/>
        </w:rPr>
      </w:pPr>
      <w:r w:rsidRPr="00F43017">
        <w:rPr>
          <w:rFonts w:ascii="Arial" w:hAnsi="Arial" w:cs="Arial"/>
          <w:b w:val="0"/>
          <w:bCs w:val="0"/>
          <w:color w:val="auto"/>
          <w:sz w:val="20"/>
          <w:szCs w:val="20"/>
        </w:rPr>
        <w:t>In assessing its existing leases under IFRS guidance the Council has only considered leases where either the value of rent or the value of the asset was material. In addition a ratio of 75% of lease term to asset life has been used as a guide to recognising leases as finance leases.</w:t>
      </w:r>
    </w:p>
    <w:p w:rsidR="00E51139" w:rsidRPr="00F43017" w:rsidRDefault="00E51139" w:rsidP="003E10DE">
      <w:pPr>
        <w:pStyle w:val="ExampleSub"/>
        <w:keepNext w:val="0"/>
        <w:keepLines w:val="0"/>
        <w:numPr>
          <w:ilvl w:val="0"/>
          <w:numId w:val="20"/>
        </w:numPr>
        <w:outlineLvl w:val="0"/>
        <w:rPr>
          <w:rFonts w:ascii="Arial" w:hAnsi="Arial" w:cs="Arial"/>
          <w:b w:val="0"/>
          <w:bCs w:val="0"/>
          <w:color w:val="auto"/>
          <w:sz w:val="20"/>
          <w:szCs w:val="20"/>
        </w:rPr>
      </w:pPr>
      <w:r w:rsidRPr="00F43017">
        <w:rPr>
          <w:rFonts w:ascii="Arial" w:hAnsi="Arial" w:cs="Arial"/>
          <w:b w:val="0"/>
          <w:bCs w:val="0"/>
          <w:color w:val="auto"/>
          <w:sz w:val="20"/>
          <w:szCs w:val="20"/>
        </w:rPr>
        <w:t>In assessing the recognition of grants the Council has determined that if grant conditions have not been met then the grant is not recognised as income</w:t>
      </w:r>
      <w:r w:rsidR="00BA02F6" w:rsidRPr="00F43017">
        <w:rPr>
          <w:rFonts w:ascii="Arial" w:hAnsi="Arial" w:cs="Arial"/>
          <w:b w:val="0"/>
          <w:bCs w:val="0"/>
          <w:color w:val="auto"/>
          <w:sz w:val="20"/>
          <w:szCs w:val="20"/>
        </w:rPr>
        <w:t>,</w:t>
      </w:r>
      <w:r w:rsidRPr="00F43017">
        <w:rPr>
          <w:rFonts w:ascii="Arial" w:hAnsi="Arial" w:cs="Arial"/>
          <w:b w:val="0"/>
          <w:bCs w:val="0"/>
          <w:color w:val="auto"/>
          <w:sz w:val="20"/>
          <w:szCs w:val="20"/>
        </w:rPr>
        <w:t xml:space="preserve"> but held as a receipt in advance. If a grant could be used to support capital or revenue spend it has been treated as revenue. </w:t>
      </w:r>
    </w:p>
    <w:p w:rsidR="00E51139" w:rsidRPr="00F43017" w:rsidRDefault="00E51139" w:rsidP="003E10DE">
      <w:pPr>
        <w:pStyle w:val="ExampleSub"/>
        <w:keepNext w:val="0"/>
        <w:keepLines w:val="0"/>
        <w:numPr>
          <w:ilvl w:val="0"/>
          <w:numId w:val="20"/>
        </w:numPr>
        <w:outlineLvl w:val="0"/>
        <w:rPr>
          <w:rFonts w:ascii="Arial" w:hAnsi="Arial" w:cs="Arial"/>
          <w:b w:val="0"/>
          <w:bCs w:val="0"/>
          <w:color w:val="auto"/>
          <w:sz w:val="20"/>
          <w:szCs w:val="20"/>
        </w:rPr>
      </w:pPr>
      <w:r w:rsidRPr="00F43017">
        <w:rPr>
          <w:rFonts w:ascii="Arial" w:hAnsi="Arial" w:cs="Arial"/>
          <w:b w:val="0"/>
          <w:bCs w:val="0"/>
          <w:color w:val="auto"/>
          <w:sz w:val="20"/>
          <w:szCs w:val="20"/>
        </w:rPr>
        <w:t xml:space="preserve">The recognition of the Council's investment in its subsidiaries is fair value. In particular the fair value of the Council's investment in the Torbay Economic Development Company </w:t>
      </w:r>
      <w:r w:rsidR="008A3D9C" w:rsidRPr="00F43017">
        <w:rPr>
          <w:rFonts w:ascii="Arial" w:hAnsi="Arial" w:cs="Arial"/>
          <w:b w:val="0"/>
          <w:bCs w:val="0"/>
          <w:color w:val="auto"/>
          <w:sz w:val="20"/>
          <w:szCs w:val="20"/>
        </w:rPr>
        <w:t xml:space="preserve">Limited </w:t>
      </w:r>
      <w:r w:rsidRPr="00F43017">
        <w:rPr>
          <w:rFonts w:ascii="Arial" w:hAnsi="Arial" w:cs="Arial"/>
          <w:b w:val="0"/>
          <w:bCs w:val="0"/>
          <w:color w:val="auto"/>
          <w:sz w:val="20"/>
          <w:szCs w:val="20"/>
        </w:rPr>
        <w:t>was taken to be the net equity of the company. As at 31st March each year the investment value is adjusted to reflect the movement in the net equity of the company as a revaluation gain or loss, unless the loss falls below the nominal value of the shares when impairment will be recognised.</w:t>
      </w:r>
    </w:p>
    <w:p w:rsidR="00E51139" w:rsidRPr="00F43017" w:rsidRDefault="00E51139" w:rsidP="003E10DE">
      <w:pPr>
        <w:pStyle w:val="ExampleSub"/>
        <w:keepNext w:val="0"/>
        <w:keepLines w:val="0"/>
        <w:numPr>
          <w:ilvl w:val="0"/>
          <w:numId w:val="20"/>
        </w:numPr>
        <w:outlineLvl w:val="0"/>
        <w:rPr>
          <w:rFonts w:ascii="Arial" w:hAnsi="Arial" w:cs="Arial"/>
          <w:b w:val="0"/>
          <w:bCs w:val="0"/>
          <w:color w:val="auto"/>
          <w:sz w:val="20"/>
          <w:szCs w:val="20"/>
        </w:rPr>
      </w:pPr>
      <w:r w:rsidRPr="00F43017">
        <w:rPr>
          <w:rFonts w:ascii="Arial" w:hAnsi="Arial" w:cs="Arial"/>
          <w:b w:val="0"/>
          <w:bCs w:val="0"/>
          <w:color w:val="auto"/>
          <w:sz w:val="20"/>
          <w:szCs w:val="20"/>
        </w:rPr>
        <w:t xml:space="preserve">In assessing the fair value of its Heritage Assets the Council has used insurance valuations where available or historic cost. The asset lives of heritage assets, by their nature, have been deemed to be infinite.  </w:t>
      </w:r>
    </w:p>
    <w:p w:rsidR="00E51139" w:rsidRPr="00D70576" w:rsidRDefault="00E51139" w:rsidP="003E10DE">
      <w:pPr>
        <w:pStyle w:val="ExampleSub"/>
        <w:keepNext w:val="0"/>
        <w:keepLines w:val="0"/>
        <w:numPr>
          <w:ilvl w:val="0"/>
          <w:numId w:val="20"/>
        </w:numPr>
        <w:outlineLvl w:val="0"/>
        <w:rPr>
          <w:rFonts w:ascii="Arial" w:hAnsi="Arial" w:cs="Arial"/>
          <w:b w:val="0"/>
          <w:bCs w:val="0"/>
          <w:color w:val="auto"/>
          <w:sz w:val="20"/>
          <w:szCs w:val="20"/>
        </w:rPr>
      </w:pPr>
      <w:r w:rsidRPr="00D70576">
        <w:rPr>
          <w:rFonts w:ascii="Arial" w:hAnsi="Arial" w:cs="Arial"/>
          <w:b w:val="0"/>
          <w:bCs w:val="0"/>
          <w:color w:val="auto"/>
          <w:sz w:val="20"/>
          <w:szCs w:val="20"/>
        </w:rPr>
        <w:t>The accounting for the recognition of school assets based on the Council’s assessment of its control including its residual interest in asset and its control over school admissions and staff employment over these assets is as follows:</w:t>
      </w:r>
    </w:p>
    <w:p w:rsidR="00E51139" w:rsidRPr="00D70576" w:rsidRDefault="00E51139" w:rsidP="003E10DE">
      <w:pPr>
        <w:pStyle w:val="ExampleSub"/>
        <w:keepNext w:val="0"/>
        <w:keepLines w:val="0"/>
        <w:numPr>
          <w:ilvl w:val="0"/>
          <w:numId w:val="21"/>
        </w:numPr>
        <w:outlineLvl w:val="0"/>
        <w:rPr>
          <w:rFonts w:ascii="Arial" w:hAnsi="Arial" w:cs="Arial"/>
          <w:b w:val="0"/>
          <w:bCs w:val="0"/>
          <w:color w:val="auto"/>
          <w:sz w:val="20"/>
          <w:szCs w:val="20"/>
        </w:rPr>
      </w:pPr>
      <w:r w:rsidRPr="00D70576">
        <w:rPr>
          <w:rFonts w:ascii="Arial" w:hAnsi="Arial" w:cs="Arial"/>
          <w:b w:val="0"/>
          <w:bCs w:val="0"/>
          <w:color w:val="auto"/>
          <w:sz w:val="20"/>
          <w:szCs w:val="20"/>
        </w:rPr>
        <w:t xml:space="preserve">Community Schools </w:t>
      </w:r>
      <w:r w:rsidR="004A55A0" w:rsidRPr="00D70576">
        <w:rPr>
          <w:rFonts w:ascii="Arial" w:hAnsi="Arial" w:cs="Arial"/>
          <w:b w:val="0"/>
          <w:bCs w:val="0"/>
          <w:color w:val="auto"/>
          <w:sz w:val="20"/>
          <w:szCs w:val="20"/>
        </w:rPr>
        <w:t>(</w:t>
      </w:r>
      <w:r w:rsidR="00D70576" w:rsidRPr="00D70576">
        <w:rPr>
          <w:rFonts w:ascii="Arial" w:hAnsi="Arial" w:cs="Arial"/>
          <w:b w:val="0"/>
          <w:bCs w:val="0"/>
          <w:color w:val="auto"/>
          <w:sz w:val="20"/>
          <w:szCs w:val="20"/>
        </w:rPr>
        <w:t>6</w:t>
      </w:r>
      <w:r w:rsidR="009402B6" w:rsidRPr="00D70576">
        <w:rPr>
          <w:rFonts w:ascii="Arial" w:hAnsi="Arial" w:cs="Arial"/>
          <w:b w:val="0"/>
          <w:bCs w:val="0"/>
          <w:color w:val="auto"/>
          <w:sz w:val="20"/>
          <w:szCs w:val="20"/>
        </w:rPr>
        <w:t xml:space="preserve"> schools</w:t>
      </w:r>
      <w:r w:rsidR="004A55A0" w:rsidRPr="00D70576">
        <w:rPr>
          <w:rFonts w:ascii="Arial" w:hAnsi="Arial" w:cs="Arial"/>
          <w:b w:val="0"/>
          <w:bCs w:val="0"/>
          <w:color w:val="auto"/>
          <w:sz w:val="20"/>
          <w:szCs w:val="20"/>
        </w:rPr>
        <w:t xml:space="preserve">) </w:t>
      </w:r>
      <w:r w:rsidRPr="00D70576">
        <w:rPr>
          <w:rFonts w:ascii="Arial" w:hAnsi="Arial" w:cs="Arial"/>
          <w:b w:val="0"/>
          <w:bCs w:val="0"/>
          <w:color w:val="auto"/>
          <w:sz w:val="20"/>
          <w:szCs w:val="20"/>
        </w:rPr>
        <w:t>– assets recognised on balance sheet</w:t>
      </w:r>
    </w:p>
    <w:p w:rsidR="00E51139" w:rsidRPr="00D70576" w:rsidRDefault="00E51139" w:rsidP="003E10DE">
      <w:pPr>
        <w:pStyle w:val="ExampleSub"/>
        <w:keepNext w:val="0"/>
        <w:keepLines w:val="0"/>
        <w:numPr>
          <w:ilvl w:val="0"/>
          <w:numId w:val="21"/>
        </w:numPr>
        <w:outlineLvl w:val="0"/>
        <w:rPr>
          <w:rFonts w:ascii="Arial" w:hAnsi="Arial" w:cs="Arial"/>
          <w:b w:val="0"/>
          <w:bCs w:val="0"/>
          <w:color w:val="auto"/>
          <w:sz w:val="20"/>
          <w:szCs w:val="20"/>
        </w:rPr>
      </w:pPr>
      <w:r w:rsidRPr="00D70576">
        <w:rPr>
          <w:rFonts w:ascii="Arial" w:hAnsi="Arial" w:cs="Arial"/>
          <w:b w:val="0"/>
          <w:bCs w:val="0"/>
          <w:color w:val="auto"/>
          <w:sz w:val="20"/>
          <w:szCs w:val="20"/>
        </w:rPr>
        <w:t xml:space="preserve">Voluntary Controlled schools </w:t>
      </w:r>
      <w:r w:rsidR="004A55A0" w:rsidRPr="00D70576">
        <w:rPr>
          <w:rFonts w:ascii="Arial" w:hAnsi="Arial" w:cs="Arial"/>
          <w:b w:val="0"/>
          <w:bCs w:val="0"/>
          <w:color w:val="auto"/>
          <w:sz w:val="20"/>
          <w:szCs w:val="20"/>
        </w:rPr>
        <w:t>(</w:t>
      </w:r>
      <w:r w:rsidR="00D70576" w:rsidRPr="00D70576">
        <w:rPr>
          <w:rFonts w:ascii="Arial" w:hAnsi="Arial" w:cs="Arial"/>
          <w:b w:val="0"/>
          <w:bCs w:val="0"/>
          <w:color w:val="auto"/>
          <w:sz w:val="20"/>
          <w:szCs w:val="20"/>
        </w:rPr>
        <w:t>2</w:t>
      </w:r>
      <w:r w:rsidR="009402B6" w:rsidRPr="00D70576">
        <w:rPr>
          <w:rFonts w:ascii="Arial" w:hAnsi="Arial" w:cs="Arial"/>
          <w:b w:val="0"/>
          <w:bCs w:val="0"/>
          <w:color w:val="auto"/>
          <w:sz w:val="20"/>
          <w:szCs w:val="20"/>
        </w:rPr>
        <w:t xml:space="preserve"> schools</w:t>
      </w:r>
      <w:r w:rsidR="004A55A0" w:rsidRPr="00D70576">
        <w:rPr>
          <w:rFonts w:ascii="Arial" w:hAnsi="Arial" w:cs="Arial"/>
          <w:b w:val="0"/>
          <w:bCs w:val="0"/>
          <w:color w:val="auto"/>
          <w:sz w:val="20"/>
          <w:szCs w:val="20"/>
        </w:rPr>
        <w:t xml:space="preserve">) </w:t>
      </w:r>
      <w:r w:rsidRPr="00D70576">
        <w:rPr>
          <w:rFonts w:ascii="Arial" w:hAnsi="Arial" w:cs="Arial"/>
          <w:b w:val="0"/>
          <w:bCs w:val="0"/>
          <w:color w:val="auto"/>
          <w:sz w:val="20"/>
          <w:szCs w:val="20"/>
        </w:rPr>
        <w:t xml:space="preserve">– </w:t>
      </w:r>
      <w:r w:rsidR="00AD4907" w:rsidRPr="00D70576">
        <w:rPr>
          <w:rFonts w:ascii="Arial" w:hAnsi="Arial" w:cs="Arial"/>
          <w:b w:val="0"/>
          <w:bCs w:val="0"/>
          <w:color w:val="auto"/>
          <w:sz w:val="20"/>
          <w:szCs w:val="20"/>
        </w:rPr>
        <w:t xml:space="preserve">building, but not land, </w:t>
      </w:r>
      <w:r w:rsidRPr="00D70576">
        <w:rPr>
          <w:rFonts w:ascii="Arial" w:hAnsi="Arial" w:cs="Arial"/>
          <w:b w:val="0"/>
          <w:bCs w:val="0"/>
          <w:color w:val="auto"/>
          <w:sz w:val="20"/>
          <w:szCs w:val="20"/>
        </w:rPr>
        <w:t>recognised on balance sheet</w:t>
      </w:r>
    </w:p>
    <w:p w:rsidR="00E51139" w:rsidRPr="00D70576" w:rsidRDefault="00E51139" w:rsidP="003E10DE">
      <w:pPr>
        <w:pStyle w:val="ExampleSub"/>
        <w:keepNext w:val="0"/>
        <w:keepLines w:val="0"/>
        <w:numPr>
          <w:ilvl w:val="0"/>
          <w:numId w:val="21"/>
        </w:numPr>
        <w:outlineLvl w:val="0"/>
        <w:rPr>
          <w:rFonts w:ascii="Arial" w:hAnsi="Arial" w:cs="Arial"/>
          <w:b w:val="0"/>
          <w:bCs w:val="0"/>
          <w:color w:val="auto"/>
          <w:sz w:val="20"/>
          <w:szCs w:val="20"/>
        </w:rPr>
      </w:pPr>
      <w:r w:rsidRPr="00D70576">
        <w:rPr>
          <w:rFonts w:ascii="Arial" w:hAnsi="Arial" w:cs="Arial"/>
          <w:b w:val="0"/>
          <w:bCs w:val="0"/>
          <w:color w:val="auto"/>
          <w:sz w:val="20"/>
          <w:szCs w:val="20"/>
        </w:rPr>
        <w:t xml:space="preserve">Voluntary Aided Schools </w:t>
      </w:r>
      <w:r w:rsidR="004A55A0" w:rsidRPr="00D70576">
        <w:rPr>
          <w:rFonts w:ascii="Arial" w:hAnsi="Arial" w:cs="Arial"/>
          <w:b w:val="0"/>
          <w:bCs w:val="0"/>
          <w:color w:val="auto"/>
          <w:sz w:val="20"/>
          <w:szCs w:val="20"/>
        </w:rPr>
        <w:t>(</w:t>
      </w:r>
      <w:r w:rsidR="00D70576" w:rsidRPr="00D70576">
        <w:rPr>
          <w:rFonts w:ascii="Arial" w:hAnsi="Arial" w:cs="Arial"/>
          <w:b w:val="0"/>
          <w:bCs w:val="0"/>
          <w:color w:val="auto"/>
          <w:sz w:val="20"/>
          <w:szCs w:val="20"/>
        </w:rPr>
        <w:t>3</w:t>
      </w:r>
      <w:r w:rsidR="009402B6" w:rsidRPr="00D70576">
        <w:rPr>
          <w:rFonts w:ascii="Arial" w:hAnsi="Arial" w:cs="Arial"/>
          <w:b w:val="0"/>
          <w:bCs w:val="0"/>
          <w:color w:val="auto"/>
          <w:sz w:val="20"/>
          <w:szCs w:val="20"/>
        </w:rPr>
        <w:t xml:space="preserve"> schools)</w:t>
      </w:r>
      <w:r w:rsidR="004A55A0" w:rsidRPr="00D70576">
        <w:rPr>
          <w:rFonts w:ascii="Arial" w:hAnsi="Arial" w:cs="Arial"/>
          <w:b w:val="0"/>
          <w:bCs w:val="0"/>
          <w:color w:val="auto"/>
          <w:sz w:val="20"/>
          <w:szCs w:val="20"/>
        </w:rPr>
        <w:t xml:space="preserve"> </w:t>
      </w:r>
      <w:r w:rsidRPr="00D70576">
        <w:rPr>
          <w:rFonts w:ascii="Arial" w:hAnsi="Arial" w:cs="Arial"/>
          <w:b w:val="0"/>
          <w:bCs w:val="0"/>
          <w:color w:val="auto"/>
          <w:sz w:val="20"/>
          <w:szCs w:val="20"/>
        </w:rPr>
        <w:t xml:space="preserve">– </w:t>
      </w:r>
      <w:r w:rsidR="00AD4907" w:rsidRPr="00D70576">
        <w:rPr>
          <w:rFonts w:ascii="Arial" w:hAnsi="Arial" w:cs="Arial"/>
          <w:b w:val="0"/>
          <w:bCs w:val="0"/>
          <w:color w:val="auto"/>
          <w:sz w:val="20"/>
          <w:szCs w:val="20"/>
        </w:rPr>
        <w:t>building, but not land,</w:t>
      </w:r>
      <w:r w:rsidRPr="00D70576">
        <w:rPr>
          <w:rFonts w:ascii="Arial" w:hAnsi="Arial" w:cs="Arial"/>
          <w:b w:val="0"/>
          <w:bCs w:val="0"/>
          <w:color w:val="auto"/>
          <w:sz w:val="20"/>
          <w:szCs w:val="20"/>
        </w:rPr>
        <w:t xml:space="preserve"> recognised on balance sheet</w:t>
      </w:r>
    </w:p>
    <w:p w:rsidR="00104633" w:rsidRPr="00D70576" w:rsidRDefault="00E51139" w:rsidP="003E10DE">
      <w:pPr>
        <w:pStyle w:val="ExampleSub"/>
        <w:keepNext w:val="0"/>
        <w:keepLines w:val="0"/>
        <w:numPr>
          <w:ilvl w:val="0"/>
          <w:numId w:val="21"/>
        </w:numPr>
        <w:outlineLvl w:val="0"/>
        <w:rPr>
          <w:rFonts w:ascii="Arial" w:hAnsi="Arial" w:cs="Arial"/>
          <w:b w:val="0"/>
          <w:bCs w:val="0"/>
          <w:color w:val="auto"/>
          <w:sz w:val="20"/>
          <w:szCs w:val="20"/>
        </w:rPr>
      </w:pPr>
      <w:r w:rsidRPr="00D70576">
        <w:rPr>
          <w:rFonts w:ascii="Arial" w:hAnsi="Arial" w:cs="Arial"/>
          <w:b w:val="0"/>
          <w:bCs w:val="0"/>
          <w:color w:val="auto"/>
          <w:sz w:val="20"/>
          <w:szCs w:val="20"/>
        </w:rPr>
        <w:t xml:space="preserve">Foundation Schools </w:t>
      </w:r>
      <w:r w:rsidR="004A55A0" w:rsidRPr="00D70576">
        <w:rPr>
          <w:rFonts w:ascii="Arial" w:hAnsi="Arial" w:cs="Arial"/>
          <w:b w:val="0"/>
          <w:bCs w:val="0"/>
          <w:color w:val="auto"/>
          <w:sz w:val="20"/>
          <w:szCs w:val="20"/>
        </w:rPr>
        <w:t>(2</w:t>
      </w:r>
      <w:r w:rsidR="009402B6" w:rsidRPr="00D70576">
        <w:rPr>
          <w:rFonts w:ascii="Arial" w:hAnsi="Arial" w:cs="Arial"/>
          <w:b w:val="0"/>
          <w:bCs w:val="0"/>
          <w:color w:val="auto"/>
          <w:sz w:val="20"/>
          <w:szCs w:val="20"/>
        </w:rPr>
        <w:t xml:space="preserve"> schools</w:t>
      </w:r>
      <w:r w:rsidR="004A55A0" w:rsidRPr="00D70576">
        <w:rPr>
          <w:rFonts w:ascii="Arial" w:hAnsi="Arial" w:cs="Arial"/>
          <w:b w:val="0"/>
          <w:bCs w:val="0"/>
          <w:color w:val="auto"/>
          <w:sz w:val="20"/>
          <w:szCs w:val="20"/>
        </w:rPr>
        <w:t xml:space="preserve">) </w:t>
      </w:r>
      <w:r w:rsidRPr="00D70576">
        <w:rPr>
          <w:rFonts w:ascii="Arial" w:hAnsi="Arial" w:cs="Arial"/>
          <w:b w:val="0"/>
          <w:bCs w:val="0"/>
          <w:color w:val="auto"/>
          <w:sz w:val="20"/>
          <w:szCs w:val="20"/>
        </w:rPr>
        <w:t>- assets recognised on balance sheet</w:t>
      </w:r>
    </w:p>
    <w:p w:rsidR="00E51139" w:rsidRPr="00D70576" w:rsidRDefault="00E51139" w:rsidP="003E10DE">
      <w:pPr>
        <w:pStyle w:val="ExampleSub"/>
        <w:keepNext w:val="0"/>
        <w:keepLines w:val="0"/>
        <w:numPr>
          <w:ilvl w:val="0"/>
          <w:numId w:val="21"/>
        </w:numPr>
        <w:outlineLvl w:val="0"/>
        <w:rPr>
          <w:rFonts w:ascii="Arial" w:hAnsi="Arial" w:cs="Arial"/>
          <w:b w:val="0"/>
          <w:bCs w:val="0"/>
          <w:color w:val="auto"/>
          <w:sz w:val="20"/>
          <w:szCs w:val="20"/>
        </w:rPr>
      </w:pPr>
      <w:r w:rsidRPr="00D70576">
        <w:rPr>
          <w:rFonts w:ascii="Arial" w:hAnsi="Arial" w:cs="Arial"/>
          <w:b w:val="0"/>
          <w:bCs w:val="0"/>
          <w:color w:val="auto"/>
          <w:sz w:val="20"/>
          <w:szCs w:val="20"/>
        </w:rPr>
        <w:t xml:space="preserve">Academy Schools - assets </w:t>
      </w:r>
      <w:r w:rsidRPr="00D70576">
        <w:rPr>
          <w:rFonts w:ascii="Arial" w:hAnsi="Arial" w:cs="Arial"/>
          <w:b w:val="0"/>
          <w:bCs w:val="0"/>
          <w:color w:val="auto"/>
          <w:sz w:val="20"/>
          <w:szCs w:val="20"/>
          <w:u w:val="single"/>
        </w:rPr>
        <w:t>not</w:t>
      </w:r>
      <w:r w:rsidRPr="00D70576">
        <w:rPr>
          <w:rFonts w:ascii="Arial" w:hAnsi="Arial" w:cs="Arial"/>
          <w:b w:val="0"/>
          <w:bCs w:val="0"/>
          <w:color w:val="auto"/>
          <w:sz w:val="20"/>
          <w:szCs w:val="20"/>
        </w:rPr>
        <w:t xml:space="preserve"> recognised on balance sheet</w:t>
      </w:r>
    </w:p>
    <w:p w:rsidR="00E51139" w:rsidRPr="00D70576" w:rsidRDefault="00E51139" w:rsidP="00C94FBC">
      <w:pPr>
        <w:pStyle w:val="ExampleSub"/>
        <w:keepNext w:val="0"/>
        <w:keepLines w:val="0"/>
        <w:ind w:left="1647"/>
        <w:outlineLvl w:val="0"/>
        <w:rPr>
          <w:rFonts w:ascii="Arial" w:hAnsi="Arial" w:cs="Arial"/>
          <w:b w:val="0"/>
          <w:bCs w:val="0"/>
          <w:color w:val="auto"/>
          <w:sz w:val="20"/>
          <w:szCs w:val="20"/>
        </w:rPr>
      </w:pPr>
      <w:r w:rsidRPr="00D70576">
        <w:rPr>
          <w:rFonts w:ascii="Arial" w:hAnsi="Arial" w:cs="Arial"/>
          <w:b w:val="0"/>
          <w:bCs w:val="0"/>
          <w:color w:val="auto"/>
          <w:sz w:val="20"/>
          <w:szCs w:val="20"/>
        </w:rPr>
        <w:t xml:space="preserve">Schools </w:t>
      </w:r>
      <w:r w:rsidR="00EF1215" w:rsidRPr="00D70576">
        <w:rPr>
          <w:rFonts w:ascii="Arial" w:hAnsi="Arial" w:cs="Arial"/>
          <w:b w:val="0"/>
          <w:bCs w:val="0"/>
          <w:color w:val="auto"/>
          <w:sz w:val="20"/>
          <w:szCs w:val="20"/>
        </w:rPr>
        <w:t xml:space="preserve">assets </w:t>
      </w:r>
      <w:r w:rsidRPr="00D70576">
        <w:rPr>
          <w:rFonts w:ascii="Arial" w:hAnsi="Arial" w:cs="Arial"/>
          <w:b w:val="0"/>
          <w:bCs w:val="0"/>
          <w:color w:val="auto"/>
          <w:sz w:val="20"/>
          <w:szCs w:val="20"/>
        </w:rPr>
        <w:t>converting to Academy status are written out from the Council’s balance sheet in year of transfer.</w:t>
      </w:r>
    </w:p>
    <w:p w:rsidR="00E51139" w:rsidRPr="00D70576" w:rsidRDefault="00E51139" w:rsidP="00C94FBC">
      <w:pPr>
        <w:pStyle w:val="ExampleSub"/>
        <w:keepNext w:val="0"/>
        <w:keepLines w:val="0"/>
        <w:ind w:left="1647"/>
        <w:outlineLvl w:val="0"/>
        <w:rPr>
          <w:rFonts w:ascii="Arial" w:hAnsi="Arial" w:cs="Arial"/>
          <w:b w:val="0"/>
          <w:bCs w:val="0"/>
          <w:color w:val="auto"/>
          <w:sz w:val="20"/>
          <w:szCs w:val="20"/>
        </w:rPr>
      </w:pPr>
      <w:r w:rsidRPr="00D70576">
        <w:rPr>
          <w:rFonts w:ascii="Arial" w:hAnsi="Arial" w:cs="Arial"/>
          <w:b w:val="0"/>
          <w:bCs w:val="0"/>
          <w:color w:val="auto"/>
          <w:sz w:val="20"/>
          <w:szCs w:val="20"/>
        </w:rPr>
        <w:t xml:space="preserve">The Comprehensive Income and Expenditure statement does not include any </w:t>
      </w:r>
      <w:r w:rsidR="00AE00F0" w:rsidRPr="00D70576">
        <w:rPr>
          <w:rFonts w:ascii="Arial" w:hAnsi="Arial" w:cs="Arial"/>
          <w:b w:val="0"/>
          <w:bCs w:val="0"/>
          <w:color w:val="auto"/>
          <w:sz w:val="20"/>
          <w:szCs w:val="20"/>
        </w:rPr>
        <w:t xml:space="preserve">income </w:t>
      </w:r>
      <w:r w:rsidRPr="00D70576">
        <w:rPr>
          <w:rFonts w:ascii="Arial" w:hAnsi="Arial" w:cs="Arial"/>
          <w:b w:val="0"/>
          <w:bCs w:val="0"/>
          <w:color w:val="auto"/>
          <w:sz w:val="20"/>
          <w:szCs w:val="20"/>
        </w:rPr>
        <w:t>or expenditure associated with Academy schools</w:t>
      </w:r>
      <w:r w:rsidR="00AE00F0" w:rsidRPr="00D70576">
        <w:rPr>
          <w:rFonts w:ascii="Arial" w:hAnsi="Arial" w:cs="Arial"/>
          <w:b w:val="0"/>
          <w:bCs w:val="0"/>
          <w:color w:val="auto"/>
          <w:sz w:val="20"/>
          <w:szCs w:val="20"/>
        </w:rPr>
        <w:t xml:space="preserve"> after date of transfer</w:t>
      </w:r>
      <w:r w:rsidRPr="00D70576">
        <w:rPr>
          <w:rFonts w:ascii="Arial" w:hAnsi="Arial" w:cs="Arial"/>
          <w:b w:val="0"/>
          <w:bCs w:val="0"/>
          <w:color w:val="auto"/>
          <w:sz w:val="20"/>
          <w:szCs w:val="20"/>
        </w:rPr>
        <w:t>.</w:t>
      </w:r>
    </w:p>
    <w:p w:rsidR="00C11EB1" w:rsidRDefault="00C11EB1" w:rsidP="003E10DE">
      <w:pPr>
        <w:pStyle w:val="ExampleSub"/>
        <w:keepNext w:val="0"/>
        <w:keepLines w:val="0"/>
        <w:numPr>
          <w:ilvl w:val="0"/>
          <w:numId w:val="20"/>
        </w:numPr>
        <w:outlineLvl w:val="0"/>
        <w:rPr>
          <w:rFonts w:ascii="Arial" w:hAnsi="Arial" w:cs="Arial"/>
          <w:b w:val="0"/>
          <w:bCs w:val="0"/>
          <w:color w:val="auto"/>
          <w:sz w:val="20"/>
          <w:szCs w:val="20"/>
        </w:rPr>
      </w:pPr>
      <w:r w:rsidRPr="00F43017">
        <w:rPr>
          <w:rFonts w:ascii="Arial" w:hAnsi="Arial" w:cs="Arial"/>
          <w:b w:val="0"/>
          <w:bCs w:val="0"/>
          <w:color w:val="auto"/>
          <w:sz w:val="20"/>
          <w:szCs w:val="20"/>
        </w:rPr>
        <w:t xml:space="preserve">The </w:t>
      </w:r>
      <w:r w:rsidR="004719A5" w:rsidRPr="00F43017">
        <w:rPr>
          <w:rFonts w:ascii="Arial" w:hAnsi="Arial" w:cs="Arial"/>
          <w:b w:val="0"/>
          <w:bCs w:val="0"/>
          <w:color w:val="auto"/>
          <w:sz w:val="20"/>
          <w:szCs w:val="20"/>
        </w:rPr>
        <w:t xml:space="preserve">Council has </w:t>
      </w:r>
      <w:r w:rsidRPr="00F43017">
        <w:rPr>
          <w:rFonts w:ascii="Arial" w:hAnsi="Arial" w:cs="Arial"/>
          <w:b w:val="0"/>
          <w:bCs w:val="0"/>
          <w:color w:val="auto"/>
          <w:sz w:val="20"/>
          <w:szCs w:val="20"/>
        </w:rPr>
        <w:t>recogni</w:t>
      </w:r>
      <w:r w:rsidR="004719A5" w:rsidRPr="00F43017">
        <w:rPr>
          <w:rFonts w:ascii="Arial" w:hAnsi="Arial" w:cs="Arial"/>
          <w:b w:val="0"/>
          <w:bCs w:val="0"/>
          <w:color w:val="auto"/>
          <w:sz w:val="20"/>
          <w:szCs w:val="20"/>
        </w:rPr>
        <w:t>sed</w:t>
      </w:r>
      <w:r w:rsidRPr="00F43017">
        <w:rPr>
          <w:rFonts w:ascii="Arial" w:hAnsi="Arial" w:cs="Arial"/>
          <w:b w:val="0"/>
          <w:bCs w:val="0"/>
          <w:color w:val="auto"/>
          <w:sz w:val="20"/>
          <w:szCs w:val="20"/>
        </w:rPr>
        <w:t xml:space="preserve"> a </w:t>
      </w:r>
      <w:r w:rsidR="00B86100" w:rsidRPr="00F43017">
        <w:rPr>
          <w:rFonts w:ascii="Arial" w:hAnsi="Arial" w:cs="Arial"/>
          <w:b w:val="0"/>
          <w:bCs w:val="0"/>
          <w:color w:val="auto"/>
          <w:sz w:val="20"/>
          <w:szCs w:val="20"/>
        </w:rPr>
        <w:t xml:space="preserve">long term </w:t>
      </w:r>
      <w:r w:rsidRPr="00F43017">
        <w:rPr>
          <w:rFonts w:ascii="Arial" w:hAnsi="Arial" w:cs="Arial"/>
          <w:b w:val="0"/>
          <w:bCs w:val="0"/>
          <w:color w:val="auto"/>
          <w:sz w:val="20"/>
          <w:szCs w:val="20"/>
        </w:rPr>
        <w:t xml:space="preserve">liability for the </w:t>
      </w:r>
      <w:r w:rsidR="00CB28EB" w:rsidRPr="00F43017">
        <w:rPr>
          <w:rFonts w:ascii="Arial" w:hAnsi="Arial" w:cs="Arial"/>
          <w:b w:val="0"/>
          <w:bCs w:val="0"/>
          <w:color w:val="auto"/>
          <w:sz w:val="20"/>
          <w:szCs w:val="20"/>
        </w:rPr>
        <w:t xml:space="preserve">annual </w:t>
      </w:r>
      <w:r w:rsidRPr="00F43017">
        <w:rPr>
          <w:rFonts w:ascii="Arial" w:hAnsi="Arial" w:cs="Arial"/>
          <w:b w:val="0"/>
          <w:bCs w:val="0"/>
          <w:color w:val="auto"/>
          <w:sz w:val="20"/>
          <w:szCs w:val="20"/>
        </w:rPr>
        <w:t xml:space="preserve">local government reorganisation discretionary pension payment to Devon County </w:t>
      </w:r>
      <w:r w:rsidR="00CB28EB" w:rsidRPr="00F43017">
        <w:rPr>
          <w:rFonts w:ascii="Arial" w:hAnsi="Arial" w:cs="Arial"/>
          <w:b w:val="0"/>
          <w:bCs w:val="0"/>
          <w:color w:val="auto"/>
          <w:sz w:val="20"/>
          <w:szCs w:val="20"/>
        </w:rPr>
        <w:t>Council</w:t>
      </w:r>
      <w:r w:rsidR="007C6793" w:rsidRPr="00F43017">
        <w:rPr>
          <w:rFonts w:ascii="Arial" w:hAnsi="Arial" w:cs="Arial"/>
          <w:b w:val="0"/>
          <w:bCs w:val="0"/>
          <w:color w:val="auto"/>
          <w:sz w:val="20"/>
          <w:szCs w:val="20"/>
        </w:rPr>
        <w:t xml:space="preserve">. This payment </w:t>
      </w:r>
      <w:r w:rsidR="00357950" w:rsidRPr="00F43017">
        <w:rPr>
          <w:rFonts w:ascii="Arial" w:hAnsi="Arial" w:cs="Arial"/>
          <w:b w:val="0"/>
          <w:bCs w:val="0"/>
          <w:color w:val="auto"/>
          <w:sz w:val="20"/>
          <w:szCs w:val="20"/>
        </w:rPr>
        <w:t xml:space="preserve">is invoiced </w:t>
      </w:r>
      <w:r w:rsidR="009D1CC9" w:rsidRPr="00F43017">
        <w:rPr>
          <w:rFonts w:ascii="Arial" w:hAnsi="Arial" w:cs="Arial"/>
          <w:b w:val="0"/>
          <w:bCs w:val="0"/>
          <w:color w:val="auto"/>
          <w:sz w:val="20"/>
          <w:szCs w:val="20"/>
        </w:rPr>
        <w:t>for i</w:t>
      </w:r>
      <w:r w:rsidR="00357950" w:rsidRPr="00F43017">
        <w:rPr>
          <w:rFonts w:ascii="Arial" w:hAnsi="Arial" w:cs="Arial"/>
          <w:b w:val="0"/>
          <w:bCs w:val="0"/>
          <w:color w:val="auto"/>
          <w:sz w:val="20"/>
          <w:szCs w:val="20"/>
        </w:rPr>
        <w:t xml:space="preserve">n the year that the County </w:t>
      </w:r>
      <w:r w:rsidR="006D6747" w:rsidRPr="00F43017">
        <w:rPr>
          <w:rFonts w:ascii="Arial" w:hAnsi="Arial" w:cs="Arial"/>
          <w:b w:val="0"/>
          <w:bCs w:val="0"/>
          <w:color w:val="auto"/>
          <w:sz w:val="20"/>
          <w:szCs w:val="20"/>
        </w:rPr>
        <w:t xml:space="preserve">Council </w:t>
      </w:r>
      <w:r w:rsidR="00357950" w:rsidRPr="00F43017">
        <w:rPr>
          <w:rFonts w:ascii="Arial" w:hAnsi="Arial" w:cs="Arial"/>
          <w:b w:val="0"/>
          <w:bCs w:val="0"/>
          <w:color w:val="auto"/>
          <w:sz w:val="20"/>
          <w:szCs w:val="20"/>
        </w:rPr>
        <w:t>makes payments to its pensioners</w:t>
      </w:r>
      <w:r w:rsidR="00CB28EB" w:rsidRPr="00F43017">
        <w:rPr>
          <w:rFonts w:ascii="Arial" w:hAnsi="Arial" w:cs="Arial"/>
          <w:b w:val="0"/>
          <w:bCs w:val="0"/>
          <w:color w:val="auto"/>
          <w:sz w:val="20"/>
          <w:szCs w:val="20"/>
        </w:rPr>
        <w:t>.</w:t>
      </w:r>
    </w:p>
    <w:p w:rsidR="007114D2" w:rsidRDefault="002478D6" w:rsidP="003E10DE">
      <w:pPr>
        <w:pStyle w:val="ExampleSub"/>
        <w:keepNext w:val="0"/>
        <w:keepLines w:val="0"/>
        <w:numPr>
          <w:ilvl w:val="0"/>
          <w:numId w:val="20"/>
        </w:numPr>
        <w:outlineLvl w:val="0"/>
        <w:rPr>
          <w:rFonts w:ascii="Arial" w:hAnsi="Arial" w:cs="Arial"/>
          <w:b w:val="0"/>
          <w:bCs w:val="0"/>
          <w:color w:val="auto"/>
          <w:sz w:val="20"/>
          <w:szCs w:val="20"/>
        </w:rPr>
      </w:pPr>
      <w:r>
        <w:rPr>
          <w:rFonts w:ascii="Arial" w:hAnsi="Arial" w:cs="Arial"/>
          <w:b w:val="0"/>
          <w:bCs w:val="0"/>
          <w:color w:val="auto"/>
          <w:sz w:val="20"/>
          <w:szCs w:val="20"/>
        </w:rPr>
        <w:t xml:space="preserve">The Council has recognised its </w:t>
      </w:r>
      <w:r w:rsidR="000E1215">
        <w:rPr>
          <w:rFonts w:ascii="Arial" w:hAnsi="Arial" w:cs="Arial"/>
          <w:b w:val="0"/>
          <w:bCs w:val="0"/>
          <w:color w:val="auto"/>
          <w:sz w:val="20"/>
          <w:szCs w:val="20"/>
        </w:rPr>
        <w:t xml:space="preserve">(£33m/17%) </w:t>
      </w:r>
      <w:r>
        <w:rPr>
          <w:rFonts w:ascii="Arial" w:hAnsi="Arial" w:cs="Arial"/>
          <w:b w:val="0"/>
          <w:bCs w:val="0"/>
          <w:color w:val="auto"/>
          <w:sz w:val="20"/>
          <w:szCs w:val="20"/>
        </w:rPr>
        <w:t xml:space="preserve">share of the Energy From Waste facility in </w:t>
      </w:r>
      <w:r>
        <w:rPr>
          <w:rFonts w:ascii="Arial" w:hAnsi="Arial" w:cs="Arial"/>
          <w:b w:val="0"/>
          <w:bCs w:val="0"/>
          <w:color w:val="auto"/>
          <w:sz w:val="20"/>
          <w:szCs w:val="20"/>
        </w:rPr>
        <w:lastRenderedPageBreak/>
        <w:t xml:space="preserve">Plymouth based on estimated tonnages per the </w:t>
      </w:r>
      <w:r w:rsidR="00700E95">
        <w:rPr>
          <w:rFonts w:ascii="Arial" w:hAnsi="Arial" w:cs="Arial"/>
          <w:b w:val="0"/>
          <w:bCs w:val="0"/>
          <w:color w:val="auto"/>
          <w:sz w:val="20"/>
          <w:szCs w:val="20"/>
        </w:rPr>
        <w:t>business</w:t>
      </w:r>
      <w:r>
        <w:rPr>
          <w:rFonts w:ascii="Arial" w:hAnsi="Arial" w:cs="Arial"/>
          <w:b w:val="0"/>
          <w:bCs w:val="0"/>
          <w:color w:val="auto"/>
          <w:sz w:val="20"/>
          <w:szCs w:val="20"/>
        </w:rPr>
        <w:t xml:space="preserve"> case for the facility and the fina</w:t>
      </w:r>
      <w:r w:rsidR="00347B68">
        <w:rPr>
          <w:rFonts w:ascii="Arial" w:hAnsi="Arial" w:cs="Arial"/>
          <w:b w:val="0"/>
          <w:bCs w:val="0"/>
          <w:color w:val="auto"/>
          <w:sz w:val="20"/>
          <w:szCs w:val="20"/>
        </w:rPr>
        <w:t xml:space="preserve">ncial </w:t>
      </w:r>
      <w:r>
        <w:rPr>
          <w:rFonts w:ascii="Arial" w:hAnsi="Arial" w:cs="Arial"/>
          <w:b w:val="0"/>
          <w:bCs w:val="0"/>
          <w:color w:val="auto"/>
          <w:sz w:val="20"/>
          <w:szCs w:val="20"/>
        </w:rPr>
        <w:t xml:space="preserve">allocation model agreed between Torbay, Plymouth and Devon </w:t>
      </w:r>
      <w:r w:rsidR="007C4331">
        <w:rPr>
          <w:rFonts w:ascii="Arial" w:hAnsi="Arial" w:cs="Arial"/>
          <w:b w:val="0"/>
          <w:bCs w:val="0"/>
          <w:color w:val="auto"/>
          <w:sz w:val="20"/>
          <w:szCs w:val="20"/>
        </w:rPr>
        <w:t xml:space="preserve">County </w:t>
      </w:r>
      <w:r>
        <w:rPr>
          <w:rFonts w:ascii="Arial" w:hAnsi="Arial" w:cs="Arial"/>
          <w:b w:val="0"/>
          <w:bCs w:val="0"/>
          <w:color w:val="auto"/>
          <w:sz w:val="20"/>
          <w:szCs w:val="20"/>
        </w:rPr>
        <w:t xml:space="preserve">Councils. </w:t>
      </w:r>
      <w:r w:rsidR="003F644B">
        <w:rPr>
          <w:rFonts w:ascii="Arial" w:hAnsi="Arial" w:cs="Arial"/>
          <w:b w:val="0"/>
          <w:bCs w:val="0"/>
          <w:color w:val="auto"/>
          <w:sz w:val="20"/>
          <w:szCs w:val="20"/>
        </w:rPr>
        <w:t xml:space="preserve">All three </w:t>
      </w:r>
      <w:r w:rsidR="007E33E1">
        <w:rPr>
          <w:rFonts w:ascii="Arial" w:hAnsi="Arial" w:cs="Arial"/>
          <w:b w:val="0"/>
          <w:bCs w:val="0"/>
          <w:color w:val="auto"/>
          <w:sz w:val="20"/>
          <w:szCs w:val="20"/>
        </w:rPr>
        <w:t>Councils</w:t>
      </w:r>
      <w:r w:rsidR="003F644B">
        <w:rPr>
          <w:rFonts w:ascii="Arial" w:hAnsi="Arial" w:cs="Arial"/>
          <w:b w:val="0"/>
          <w:bCs w:val="0"/>
          <w:color w:val="auto"/>
          <w:sz w:val="20"/>
          <w:szCs w:val="20"/>
        </w:rPr>
        <w:t xml:space="preserve"> have asse</w:t>
      </w:r>
      <w:r w:rsidR="00F65AE4">
        <w:rPr>
          <w:rFonts w:ascii="Arial" w:hAnsi="Arial" w:cs="Arial"/>
          <w:b w:val="0"/>
          <w:bCs w:val="0"/>
          <w:color w:val="auto"/>
          <w:sz w:val="20"/>
          <w:szCs w:val="20"/>
        </w:rPr>
        <w:t>ssed the facility to be "on balance</w:t>
      </w:r>
      <w:r w:rsidR="003F644B">
        <w:rPr>
          <w:rFonts w:ascii="Arial" w:hAnsi="Arial" w:cs="Arial"/>
          <w:b w:val="0"/>
          <w:bCs w:val="0"/>
          <w:color w:val="auto"/>
          <w:sz w:val="20"/>
          <w:szCs w:val="20"/>
        </w:rPr>
        <w:t xml:space="preserve"> sheet" under IFRIC12 as a service concession </w:t>
      </w:r>
      <w:r w:rsidR="007E33E1">
        <w:rPr>
          <w:rFonts w:ascii="Arial" w:hAnsi="Arial" w:cs="Arial"/>
          <w:b w:val="0"/>
          <w:bCs w:val="0"/>
          <w:color w:val="auto"/>
          <w:sz w:val="20"/>
          <w:szCs w:val="20"/>
        </w:rPr>
        <w:t>arrangement</w:t>
      </w:r>
      <w:r w:rsidR="003F644B">
        <w:rPr>
          <w:rFonts w:ascii="Arial" w:hAnsi="Arial" w:cs="Arial"/>
          <w:b w:val="0"/>
          <w:bCs w:val="0"/>
          <w:color w:val="auto"/>
          <w:sz w:val="20"/>
          <w:szCs w:val="20"/>
        </w:rPr>
        <w:t xml:space="preserve">. </w:t>
      </w:r>
      <w:r w:rsidR="000E1215">
        <w:rPr>
          <w:rFonts w:ascii="Arial" w:hAnsi="Arial" w:cs="Arial"/>
          <w:b w:val="0"/>
          <w:bCs w:val="0"/>
          <w:color w:val="auto"/>
          <w:sz w:val="20"/>
          <w:szCs w:val="20"/>
        </w:rPr>
        <w:t>The Council has recognised a li</w:t>
      </w:r>
      <w:r w:rsidR="009B3AB7">
        <w:rPr>
          <w:rFonts w:ascii="Arial" w:hAnsi="Arial" w:cs="Arial"/>
          <w:b w:val="0"/>
          <w:bCs w:val="0"/>
          <w:color w:val="auto"/>
          <w:sz w:val="20"/>
          <w:szCs w:val="20"/>
        </w:rPr>
        <w:t>ability</w:t>
      </w:r>
      <w:r w:rsidR="000E1215">
        <w:rPr>
          <w:rFonts w:ascii="Arial" w:hAnsi="Arial" w:cs="Arial"/>
          <w:b w:val="0"/>
          <w:bCs w:val="0"/>
          <w:color w:val="auto"/>
          <w:sz w:val="20"/>
          <w:szCs w:val="20"/>
        </w:rPr>
        <w:t xml:space="preserve"> to the val</w:t>
      </w:r>
      <w:r w:rsidR="003C35D2">
        <w:rPr>
          <w:rFonts w:ascii="Arial" w:hAnsi="Arial" w:cs="Arial"/>
          <w:b w:val="0"/>
          <w:bCs w:val="0"/>
          <w:color w:val="auto"/>
          <w:sz w:val="20"/>
          <w:szCs w:val="20"/>
        </w:rPr>
        <w:t>ue</w:t>
      </w:r>
      <w:r w:rsidR="000E1215">
        <w:rPr>
          <w:rFonts w:ascii="Arial" w:hAnsi="Arial" w:cs="Arial"/>
          <w:b w:val="0"/>
          <w:bCs w:val="0"/>
          <w:color w:val="auto"/>
          <w:sz w:val="20"/>
          <w:szCs w:val="20"/>
        </w:rPr>
        <w:t xml:space="preserve"> of the asset recognised. This </w:t>
      </w:r>
      <w:r w:rsidR="00700E95">
        <w:rPr>
          <w:rFonts w:ascii="Arial" w:hAnsi="Arial" w:cs="Arial"/>
          <w:b w:val="0"/>
          <w:bCs w:val="0"/>
          <w:color w:val="auto"/>
          <w:sz w:val="20"/>
          <w:szCs w:val="20"/>
        </w:rPr>
        <w:t>liability</w:t>
      </w:r>
      <w:r w:rsidR="000E1215">
        <w:rPr>
          <w:rFonts w:ascii="Arial" w:hAnsi="Arial" w:cs="Arial"/>
          <w:b w:val="0"/>
          <w:bCs w:val="0"/>
          <w:color w:val="auto"/>
          <w:sz w:val="20"/>
          <w:szCs w:val="20"/>
        </w:rPr>
        <w:t xml:space="preserve"> is apportioned between the </w:t>
      </w:r>
      <w:r w:rsidR="00700E95">
        <w:rPr>
          <w:rFonts w:ascii="Arial" w:hAnsi="Arial" w:cs="Arial"/>
          <w:b w:val="0"/>
          <w:bCs w:val="0"/>
          <w:color w:val="auto"/>
          <w:sz w:val="20"/>
          <w:szCs w:val="20"/>
        </w:rPr>
        <w:t>Council's</w:t>
      </w:r>
      <w:r w:rsidR="00323F70">
        <w:rPr>
          <w:rFonts w:ascii="Arial" w:hAnsi="Arial" w:cs="Arial"/>
          <w:b w:val="0"/>
          <w:bCs w:val="0"/>
          <w:color w:val="auto"/>
          <w:sz w:val="20"/>
          <w:szCs w:val="20"/>
        </w:rPr>
        <w:t xml:space="preserve"> own</w:t>
      </w:r>
      <w:r w:rsidR="000E1215">
        <w:rPr>
          <w:rFonts w:ascii="Arial" w:hAnsi="Arial" w:cs="Arial"/>
          <w:b w:val="0"/>
          <w:bCs w:val="0"/>
          <w:color w:val="auto"/>
          <w:sz w:val="20"/>
          <w:szCs w:val="20"/>
        </w:rPr>
        <w:t xml:space="preserve"> liability to fund the asset based on forecast unitary payments over the life of the facility </w:t>
      </w:r>
      <w:r w:rsidR="00323F70">
        <w:rPr>
          <w:rFonts w:ascii="Arial" w:hAnsi="Arial" w:cs="Arial"/>
          <w:b w:val="0"/>
          <w:bCs w:val="0"/>
          <w:color w:val="auto"/>
          <w:sz w:val="20"/>
          <w:szCs w:val="20"/>
        </w:rPr>
        <w:t xml:space="preserve">from the three councils </w:t>
      </w:r>
      <w:r w:rsidR="005A70B3">
        <w:rPr>
          <w:rFonts w:ascii="Arial" w:hAnsi="Arial" w:cs="Arial"/>
          <w:b w:val="0"/>
          <w:bCs w:val="0"/>
          <w:color w:val="auto"/>
          <w:sz w:val="20"/>
          <w:szCs w:val="20"/>
        </w:rPr>
        <w:t xml:space="preserve">(£12m/37%) </w:t>
      </w:r>
      <w:r w:rsidR="000E1215">
        <w:rPr>
          <w:rFonts w:ascii="Arial" w:hAnsi="Arial" w:cs="Arial"/>
          <w:b w:val="0"/>
          <w:bCs w:val="0"/>
          <w:color w:val="auto"/>
          <w:sz w:val="20"/>
          <w:szCs w:val="20"/>
        </w:rPr>
        <w:t xml:space="preserve">and the expected third party income (£21m/63%) based on the business case. The third party income </w:t>
      </w:r>
      <w:r w:rsidR="00700E95">
        <w:rPr>
          <w:rFonts w:ascii="Arial" w:hAnsi="Arial" w:cs="Arial"/>
          <w:b w:val="0"/>
          <w:bCs w:val="0"/>
          <w:color w:val="auto"/>
          <w:sz w:val="20"/>
          <w:szCs w:val="20"/>
        </w:rPr>
        <w:t>liability</w:t>
      </w:r>
      <w:r w:rsidR="000E1215">
        <w:rPr>
          <w:rFonts w:ascii="Arial" w:hAnsi="Arial" w:cs="Arial"/>
          <w:b w:val="0"/>
          <w:bCs w:val="0"/>
          <w:color w:val="auto"/>
          <w:sz w:val="20"/>
          <w:szCs w:val="20"/>
        </w:rPr>
        <w:t xml:space="preserve"> has been </w:t>
      </w:r>
      <w:r w:rsidR="00700E95">
        <w:rPr>
          <w:rFonts w:ascii="Arial" w:hAnsi="Arial" w:cs="Arial"/>
          <w:b w:val="0"/>
          <w:bCs w:val="0"/>
          <w:color w:val="auto"/>
          <w:sz w:val="20"/>
          <w:szCs w:val="20"/>
        </w:rPr>
        <w:t>accounted</w:t>
      </w:r>
      <w:r w:rsidR="000E1215">
        <w:rPr>
          <w:rFonts w:ascii="Arial" w:hAnsi="Arial" w:cs="Arial"/>
          <w:b w:val="0"/>
          <w:bCs w:val="0"/>
          <w:color w:val="auto"/>
          <w:sz w:val="20"/>
          <w:szCs w:val="20"/>
        </w:rPr>
        <w:t xml:space="preserve"> for as deferred income with the balance allocated to the </w:t>
      </w:r>
      <w:r w:rsidR="00700E95">
        <w:rPr>
          <w:rFonts w:ascii="Arial" w:hAnsi="Arial" w:cs="Arial"/>
          <w:b w:val="0"/>
          <w:bCs w:val="0"/>
          <w:color w:val="auto"/>
          <w:sz w:val="20"/>
          <w:szCs w:val="20"/>
        </w:rPr>
        <w:t>Council's</w:t>
      </w:r>
      <w:r w:rsidR="000E1215">
        <w:rPr>
          <w:rFonts w:ascii="Arial" w:hAnsi="Arial" w:cs="Arial"/>
          <w:b w:val="0"/>
          <w:bCs w:val="0"/>
          <w:color w:val="auto"/>
          <w:sz w:val="20"/>
          <w:szCs w:val="20"/>
        </w:rPr>
        <w:t xml:space="preserve"> CI&amp;E statement over the life of the 25 year contract.  </w:t>
      </w:r>
      <w:r w:rsidR="00323F70">
        <w:rPr>
          <w:rFonts w:ascii="Arial" w:hAnsi="Arial" w:cs="Arial"/>
          <w:b w:val="0"/>
          <w:bCs w:val="0"/>
          <w:color w:val="auto"/>
          <w:sz w:val="20"/>
          <w:szCs w:val="20"/>
        </w:rPr>
        <w:t xml:space="preserve">As a </w:t>
      </w:r>
      <w:r w:rsidR="00267B4B">
        <w:rPr>
          <w:rFonts w:ascii="Arial" w:hAnsi="Arial" w:cs="Arial"/>
          <w:b w:val="0"/>
          <w:bCs w:val="0"/>
          <w:color w:val="auto"/>
          <w:sz w:val="20"/>
          <w:szCs w:val="20"/>
        </w:rPr>
        <w:t>"</w:t>
      </w:r>
      <w:r w:rsidR="00323F70">
        <w:rPr>
          <w:rFonts w:ascii="Arial" w:hAnsi="Arial" w:cs="Arial"/>
          <w:b w:val="0"/>
          <w:bCs w:val="0"/>
          <w:color w:val="auto"/>
          <w:sz w:val="20"/>
          <w:szCs w:val="20"/>
        </w:rPr>
        <w:t>non cash</w:t>
      </w:r>
      <w:r w:rsidR="00267B4B">
        <w:rPr>
          <w:rFonts w:ascii="Arial" w:hAnsi="Arial" w:cs="Arial"/>
          <w:b w:val="0"/>
          <w:bCs w:val="0"/>
          <w:color w:val="auto"/>
          <w:sz w:val="20"/>
          <w:szCs w:val="20"/>
        </w:rPr>
        <w:t>"</w:t>
      </w:r>
      <w:r w:rsidR="00323F70">
        <w:rPr>
          <w:rFonts w:ascii="Arial" w:hAnsi="Arial" w:cs="Arial"/>
          <w:b w:val="0"/>
          <w:bCs w:val="0"/>
          <w:color w:val="auto"/>
          <w:sz w:val="20"/>
          <w:szCs w:val="20"/>
        </w:rPr>
        <w:t xml:space="preserve"> transaction this credit will be </w:t>
      </w:r>
      <w:r w:rsidR="00700E95">
        <w:rPr>
          <w:rFonts w:ascii="Arial" w:hAnsi="Arial" w:cs="Arial"/>
          <w:b w:val="0"/>
          <w:bCs w:val="0"/>
          <w:color w:val="auto"/>
          <w:sz w:val="20"/>
          <w:szCs w:val="20"/>
        </w:rPr>
        <w:t>reversed</w:t>
      </w:r>
      <w:r w:rsidR="00323F70">
        <w:rPr>
          <w:rFonts w:ascii="Arial" w:hAnsi="Arial" w:cs="Arial"/>
          <w:b w:val="0"/>
          <w:bCs w:val="0"/>
          <w:color w:val="auto"/>
          <w:sz w:val="20"/>
          <w:szCs w:val="20"/>
        </w:rPr>
        <w:t xml:space="preserve"> in the MIRS</w:t>
      </w:r>
      <w:r w:rsidR="00521A49">
        <w:rPr>
          <w:rFonts w:ascii="Arial" w:hAnsi="Arial" w:cs="Arial"/>
          <w:b w:val="0"/>
          <w:bCs w:val="0"/>
          <w:color w:val="auto"/>
          <w:sz w:val="20"/>
          <w:szCs w:val="20"/>
        </w:rPr>
        <w:t xml:space="preserve"> to </w:t>
      </w:r>
      <w:r w:rsidR="00700E95">
        <w:rPr>
          <w:rFonts w:ascii="Arial" w:hAnsi="Arial" w:cs="Arial"/>
          <w:b w:val="0"/>
          <w:bCs w:val="0"/>
          <w:color w:val="auto"/>
          <w:sz w:val="20"/>
          <w:szCs w:val="20"/>
        </w:rPr>
        <w:t>the</w:t>
      </w:r>
      <w:r w:rsidR="00521A49">
        <w:rPr>
          <w:rFonts w:ascii="Arial" w:hAnsi="Arial" w:cs="Arial"/>
          <w:b w:val="0"/>
          <w:bCs w:val="0"/>
          <w:color w:val="auto"/>
          <w:sz w:val="20"/>
          <w:szCs w:val="20"/>
        </w:rPr>
        <w:t xml:space="preserve"> Capital Adjustment Account</w:t>
      </w:r>
      <w:r w:rsidR="00323F70">
        <w:rPr>
          <w:rFonts w:ascii="Arial" w:hAnsi="Arial" w:cs="Arial"/>
          <w:b w:val="0"/>
          <w:bCs w:val="0"/>
          <w:color w:val="auto"/>
          <w:sz w:val="20"/>
          <w:szCs w:val="20"/>
        </w:rPr>
        <w:t xml:space="preserve">. </w:t>
      </w:r>
      <w:r w:rsidR="007E33E1">
        <w:rPr>
          <w:rFonts w:ascii="Arial" w:hAnsi="Arial" w:cs="Arial"/>
          <w:b w:val="0"/>
          <w:bCs w:val="0"/>
          <w:color w:val="auto"/>
          <w:sz w:val="20"/>
          <w:szCs w:val="20"/>
        </w:rPr>
        <w:t xml:space="preserve">In 2015/16 The Council has chosen to make an exception to its depreciation policy and charged a year's depreciation in the year of acquisition. </w:t>
      </w:r>
      <w:r w:rsidR="0080360B">
        <w:rPr>
          <w:rFonts w:ascii="Arial" w:hAnsi="Arial" w:cs="Arial"/>
          <w:b w:val="0"/>
          <w:bCs w:val="0"/>
          <w:color w:val="auto"/>
          <w:sz w:val="20"/>
          <w:szCs w:val="20"/>
        </w:rPr>
        <w:t>The a</w:t>
      </w:r>
      <w:r w:rsidR="0032122E">
        <w:rPr>
          <w:rFonts w:ascii="Arial" w:hAnsi="Arial" w:cs="Arial"/>
          <w:b w:val="0"/>
          <w:bCs w:val="0"/>
          <w:color w:val="auto"/>
          <w:sz w:val="20"/>
          <w:szCs w:val="20"/>
        </w:rPr>
        <w:t xml:space="preserve">sset </w:t>
      </w:r>
      <w:r w:rsidR="00700E95">
        <w:rPr>
          <w:rFonts w:ascii="Arial" w:hAnsi="Arial" w:cs="Arial"/>
          <w:b w:val="0"/>
          <w:bCs w:val="0"/>
          <w:color w:val="auto"/>
          <w:sz w:val="20"/>
          <w:szCs w:val="20"/>
        </w:rPr>
        <w:t>life of</w:t>
      </w:r>
      <w:r w:rsidR="00C34CC1">
        <w:rPr>
          <w:rFonts w:ascii="Arial" w:hAnsi="Arial" w:cs="Arial"/>
          <w:b w:val="0"/>
          <w:bCs w:val="0"/>
          <w:color w:val="auto"/>
          <w:sz w:val="20"/>
          <w:szCs w:val="20"/>
        </w:rPr>
        <w:t xml:space="preserve"> the facility</w:t>
      </w:r>
      <w:r w:rsidR="0032122E">
        <w:rPr>
          <w:rFonts w:ascii="Arial" w:hAnsi="Arial" w:cs="Arial"/>
          <w:b w:val="0"/>
          <w:bCs w:val="0"/>
          <w:color w:val="auto"/>
          <w:sz w:val="20"/>
          <w:szCs w:val="20"/>
        </w:rPr>
        <w:t xml:space="preserve"> has been </w:t>
      </w:r>
      <w:r w:rsidR="00700E95">
        <w:rPr>
          <w:rFonts w:ascii="Arial" w:hAnsi="Arial" w:cs="Arial"/>
          <w:b w:val="0"/>
          <w:bCs w:val="0"/>
          <w:color w:val="auto"/>
          <w:sz w:val="20"/>
          <w:szCs w:val="20"/>
        </w:rPr>
        <w:t>assessed</w:t>
      </w:r>
      <w:r w:rsidR="0032122E">
        <w:rPr>
          <w:rFonts w:ascii="Arial" w:hAnsi="Arial" w:cs="Arial"/>
          <w:b w:val="0"/>
          <w:bCs w:val="0"/>
          <w:color w:val="auto"/>
          <w:sz w:val="20"/>
          <w:szCs w:val="20"/>
        </w:rPr>
        <w:t xml:space="preserve"> at 30 years based on the contract life and the optional 5 year </w:t>
      </w:r>
      <w:r w:rsidR="00700E95">
        <w:rPr>
          <w:rFonts w:ascii="Arial" w:hAnsi="Arial" w:cs="Arial"/>
          <w:b w:val="0"/>
          <w:bCs w:val="0"/>
          <w:color w:val="auto"/>
          <w:sz w:val="20"/>
          <w:szCs w:val="20"/>
        </w:rPr>
        <w:t>extension</w:t>
      </w:r>
      <w:r w:rsidR="0032122E">
        <w:rPr>
          <w:rFonts w:ascii="Arial" w:hAnsi="Arial" w:cs="Arial"/>
          <w:b w:val="0"/>
          <w:bCs w:val="0"/>
          <w:color w:val="auto"/>
          <w:sz w:val="20"/>
          <w:szCs w:val="20"/>
        </w:rPr>
        <w:t xml:space="preserve"> period.</w:t>
      </w:r>
      <w:r w:rsidR="00344AD8">
        <w:rPr>
          <w:rFonts w:ascii="Arial" w:hAnsi="Arial" w:cs="Arial"/>
          <w:b w:val="0"/>
          <w:bCs w:val="0"/>
          <w:color w:val="auto"/>
          <w:sz w:val="20"/>
          <w:szCs w:val="20"/>
        </w:rPr>
        <w:t xml:space="preserve"> The Cou</w:t>
      </w:r>
      <w:r w:rsidR="00CB2D3F">
        <w:rPr>
          <w:rFonts w:ascii="Arial" w:hAnsi="Arial" w:cs="Arial"/>
          <w:b w:val="0"/>
          <w:bCs w:val="0"/>
          <w:color w:val="auto"/>
          <w:sz w:val="20"/>
          <w:szCs w:val="20"/>
        </w:rPr>
        <w:t>ncil</w:t>
      </w:r>
      <w:r w:rsidR="00344AD8">
        <w:rPr>
          <w:rFonts w:ascii="Arial" w:hAnsi="Arial" w:cs="Arial"/>
          <w:b w:val="0"/>
          <w:bCs w:val="0"/>
          <w:color w:val="auto"/>
          <w:sz w:val="20"/>
          <w:szCs w:val="20"/>
        </w:rPr>
        <w:t xml:space="preserve"> has assumed all lifecycle costs to be revenue unless evidence t</w:t>
      </w:r>
      <w:r w:rsidR="00326CEA">
        <w:rPr>
          <w:rFonts w:ascii="Arial" w:hAnsi="Arial" w:cs="Arial"/>
          <w:b w:val="0"/>
          <w:bCs w:val="0"/>
          <w:color w:val="auto"/>
          <w:sz w:val="20"/>
          <w:szCs w:val="20"/>
        </w:rPr>
        <w:t xml:space="preserve">hat they are </w:t>
      </w:r>
      <w:r w:rsidR="00344AD8">
        <w:rPr>
          <w:rFonts w:ascii="Arial" w:hAnsi="Arial" w:cs="Arial"/>
          <w:b w:val="0"/>
          <w:bCs w:val="0"/>
          <w:color w:val="auto"/>
          <w:sz w:val="20"/>
          <w:szCs w:val="20"/>
        </w:rPr>
        <w:t>capital.</w:t>
      </w:r>
    </w:p>
    <w:p w:rsidR="0031163C" w:rsidRDefault="0031163C" w:rsidP="003E10DE">
      <w:pPr>
        <w:pStyle w:val="ExampleSub"/>
        <w:keepNext w:val="0"/>
        <w:keepLines w:val="0"/>
        <w:numPr>
          <w:ilvl w:val="0"/>
          <w:numId w:val="20"/>
        </w:numPr>
        <w:outlineLvl w:val="0"/>
        <w:rPr>
          <w:rFonts w:ascii="Arial" w:hAnsi="Arial" w:cs="Arial"/>
          <w:b w:val="0"/>
          <w:bCs w:val="0"/>
          <w:color w:val="auto"/>
          <w:sz w:val="20"/>
          <w:szCs w:val="20"/>
        </w:rPr>
      </w:pPr>
      <w:r>
        <w:rPr>
          <w:rFonts w:ascii="Arial" w:hAnsi="Arial" w:cs="Arial"/>
          <w:b w:val="0"/>
          <w:bCs w:val="0"/>
          <w:color w:val="auto"/>
          <w:sz w:val="20"/>
          <w:szCs w:val="20"/>
        </w:rPr>
        <w:t>There is a high degree of uncertainty about future levels of funding for local government. However the Council has determined that this uncertainty is not yet sufficient to provide an indication that the assets of the Council might be impaired as a result of a need to close facilities and reduce levels of service provision.</w:t>
      </w:r>
    </w:p>
    <w:p w:rsidR="00677CA1" w:rsidRPr="00845088" w:rsidRDefault="00677CA1" w:rsidP="003C5E34">
      <w:pPr>
        <w:pStyle w:val="ExampleSub"/>
        <w:keepNext w:val="0"/>
        <w:keepLines w:val="0"/>
        <w:ind w:hanging="567"/>
        <w:outlineLvl w:val="0"/>
        <w:rPr>
          <w:rFonts w:ascii="Arial" w:hAnsi="Arial" w:cs="Times New Roman"/>
          <w:bCs w:val="0"/>
          <w:color w:val="548DD4" w:themeColor="text2" w:themeTint="99"/>
          <w:sz w:val="21"/>
          <w:szCs w:val="21"/>
          <w:lang w:eastAsia="en-US"/>
        </w:rPr>
      </w:pPr>
    </w:p>
    <w:p w:rsidR="005B7422" w:rsidRPr="009C6A08" w:rsidRDefault="00E51139" w:rsidP="00F154E5">
      <w:pPr>
        <w:pStyle w:val="Subtitle"/>
        <w:ind w:left="567" w:hanging="567"/>
        <w:rPr>
          <w:b/>
          <w:color w:val="auto"/>
          <w:sz w:val="22"/>
          <w:szCs w:val="22"/>
        </w:rPr>
      </w:pPr>
      <w:r w:rsidRPr="009C6A08">
        <w:rPr>
          <w:b/>
          <w:color w:val="auto"/>
          <w:sz w:val="22"/>
          <w:szCs w:val="22"/>
        </w:rPr>
        <w:t>4.</w:t>
      </w:r>
      <w:r w:rsidRPr="009C6A08">
        <w:rPr>
          <w:b/>
          <w:color w:val="auto"/>
          <w:sz w:val="22"/>
          <w:szCs w:val="22"/>
        </w:rPr>
        <w:tab/>
        <w:t>Assumptions Made About the Future and Other Major Sources of Estimation Uncertainty</w:t>
      </w:r>
    </w:p>
    <w:p w:rsidR="00E51139" w:rsidRPr="00C22A38" w:rsidRDefault="00E51139" w:rsidP="006E285D">
      <w:pPr>
        <w:pStyle w:val="ExampleSub"/>
        <w:keepNext w:val="0"/>
        <w:keepLines w:val="0"/>
        <w:outlineLvl w:val="0"/>
        <w:rPr>
          <w:rFonts w:ascii="Arial" w:hAnsi="Arial" w:cs="Arial"/>
          <w:b w:val="0"/>
          <w:bCs w:val="0"/>
          <w:color w:val="auto"/>
          <w:sz w:val="20"/>
          <w:szCs w:val="20"/>
        </w:rPr>
      </w:pPr>
      <w:r w:rsidRPr="00C22A38">
        <w:rPr>
          <w:rFonts w:ascii="Arial" w:hAnsi="Arial" w:cs="Arial"/>
          <w:b w:val="0"/>
          <w:bCs w:val="0"/>
          <w:color w:val="auto"/>
          <w:sz w:val="20"/>
          <w:szCs w:val="20"/>
        </w:rPr>
        <w:t xml:space="preserve">The Statement of Accounts contains estimated figures that are based on assumptions made by the Council about the future or that are otherwise uncertain. Estimates are made taking into account historical experience, current trends and other relevant factors. However, because balances can’t be determined with certainty, actual results could be materially different from the assumptions and estimates. </w:t>
      </w:r>
      <w:r w:rsidR="00C22A38">
        <w:rPr>
          <w:rFonts w:ascii="Arial" w:hAnsi="Arial" w:cs="Arial"/>
          <w:b w:val="0"/>
          <w:bCs w:val="0"/>
          <w:color w:val="auto"/>
          <w:sz w:val="20"/>
          <w:szCs w:val="20"/>
        </w:rPr>
        <w:t>Apart from the (</w:t>
      </w:r>
      <w:r w:rsidR="007E33E1">
        <w:rPr>
          <w:rFonts w:ascii="Arial" w:hAnsi="Arial" w:cs="Arial"/>
          <w:b w:val="0"/>
          <w:bCs w:val="0"/>
          <w:color w:val="auto"/>
          <w:sz w:val="20"/>
          <w:szCs w:val="20"/>
        </w:rPr>
        <w:t>minor</w:t>
      </w:r>
      <w:r w:rsidR="00C22A38">
        <w:rPr>
          <w:rFonts w:ascii="Arial" w:hAnsi="Arial" w:cs="Arial"/>
          <w:b w:val="0"/>
          <w:bCs w:val="0"/>
          <w:color w:val="auto"/>
          <w:sz w:val="20"/>
          <w:szCs w:val="20"/>
        </w:rPr>
        <w:t>) changes in fair value measurement of surplus assets under IFRS13 t</w:t>
      </w:r>
      <w:r w:rsidRPr="00C22A38">
        <w:rPr>
          <w:rFonts w:ascii="Arial" w:hAnsi="Arial" w:cs="Arial"/>
          <w:b w:val="0"/>
          <w:bCs w:val="0"/>
          <w:color w:val="auto"/>
          <w:sz w:val="20"/>
          <w:szCs w:val="20"/>
        </w:rPr>
        <w:t>here were no changes in accounting estimates in 201</w:t>
      </w:r>
      <w:r w:rsidR="00C22A38">
        <w:rPr>
          <w:rFonts w:ascii="Arial" w:hAnsi="Arial" w:cs="Arial"/>
          <w:b w:val="0"/>
          <w:bCs w:val="0"/>
          <w:color w:val="auto"/>
          <w:sz w:val="20"/>
          <w:szCs w:val="20"/>
        </w:rPr>
        <w:t>5</w:t>
      </w:r>
      <w:r w:rsidR="00440F7E" w:rsidRPr="00C22A38">
        <w:rPr>
          <w:rFonts w:ascii="Arial" w:hAnsi="Arial" w:cs="Arial"/>
          <w:b w:val="0"/>
          <w:bCs w:val="0"/>
          <w:color w:val="auto"/>
          <w:sz w:val="20"/>
          <w:szCs w:val="20"/>
        </w:rPr>
        <w:t>/1</w:t>
      </w:r>
      <w:r w:rsidR="00C22A38">
        <w:rPr>
          <w:rFonts w:ascii="Arial" w:hAnsi="Arial" w:cs="Arial"/>
          <w:b w:val="0"/>
          <w:bCs w:val="0"/>
          <w:color w:val="auto"/>
          <w:sz w:val="20"/>
          <w:szCs w:val="20"/>
        </w:rPr>
        <w:t>6</w:t>
      </w:r>
      <w:r w:rsidRPr="00C22A38">
        <w:rPr>
          <w:rFonts w:ascii="Arial" w:hAnsi="Arial" w:cs="Arial"/>
          <w:b w:val="0"/>
          <w:bCs w:val="0"/>
          <w:color w:val="auto"/>
          <w:sz w:val="20"/>
          <w:szCs w:val="20"/>
        </w:rPr>
        <w:t xml:space="preserve"> or expected in future years. </w:t>
      </w:r>
    </w:p>
    <w:p w:rsidR="006E285D" w:rsidRPr="000663A2" w:rsidRDefault="006E285D" w:rsidP="005947C1">
      <w:pPr>
        <w:pStyle w:val="ExampleSub"/>
        <w:keepNext w:val="0"/>
        <w:keepLines w:val="0"/>
        <w:outlineLvl w:val="0"/>
        <w:rPr>
          <w:rFonts w:ascii="Arial" w:hAnsi="Arial" w:cs="Arial"/>
          <w:b w:val="0"/>
          <w:bCs w:val="0"/>
          <w:color w:val="auto"/>
          <w:sz w:val="20"/>
          <w:szCs w:val="20"/>
        </w:rPr>
      </w:pPr>
      <w:r w:rsidRPr="000663A2">
        <w:rPr>
          <w:rFonts w:ascii="Arial" w:hAnsi="Arial" w:cs="Arial"/>
          <w:b w:val="0"/>
          <w:bCs w:val="0"/>
          <w:color w:val="auto"/>
          <w:sz w:val="20"/>
          <w:szCs w:val="20"/>
        </w:rPr>
        <w:t>The</w:t>
      </w:r>
      <w:r w:rsidR="000663A2">
        <w:rPr>
          <w:rFonts w:ascii="Arial" w:hAnsi="Arial" w:cs="Arial"/>
          <w:b w:val="0"/>
          <w:bCs w:val="0"/>
          <w:color w:val="auto"/>
          <w:sz w:val="20"/>
          <w:szCs w:val="20"/>
        </w:rPr>
        <w:t xml:space="preserve"> only</w:t>
      </w:r>
      <w:r w:rsidRPr="000663A2">
        <w:rPr>
          <w:rFonts w:ascii="Arial" w:hAnsi="Arial" w:cs="Arial"/>
          <w:b w:val="0"/>
          <w:bCs w:val="0"/>
          <w:color w:val="auto"/>
          <w:sz w:val="20"/>
          <w:szCs w:val="20"/>
        </w:rPr>
        <w:t xml:space="preserve"> item in the Council’s balance sheet at 31st March 201</w:t>
      </w:r>
      <w:r w:rsidR="00717C54" w:rsidRPr="000663A2">
        <w:rPr>
          <w:rFonts w:ascii="Arial" w:hAnsi="Arial" w:cs="Arial"/>
          <w:b w:val="0"/>
          <w:bCs w:val="0"/>
          <w:color w:val="auto"/>
          <w:sz w:val="20"/>
          <w:szCs w:val="20"/>
        </w:rPr>
        <w:t>6</w:t>
      </w:r>
      <w:r w:rsidRPr="000663A2">
        <w:rPr>
          <w:rFonts w:ascii="Arial" w:hAnsi="Arial" w:cs="Arial"/>
          <w:b w:val="0"/>
          <w:bCs w:val="0"/>
          <w:color w:val="auto"/>
          <w:sz w:val="20"/>
          <w:szCs w:val="20"/>
        </w:rPr>
        <w:t xml:space="preserve"> for which there is a significant risk of material adjustment in the forthcoming financial year is as follows:</w:t>
      </w:r>
    </w:p>
    <w:p w:rsidR="005947C1" w:rsidRPr="00845088" w:rsidRDefault="005947C1" w:rsidP="005947C1">
      <w:pPr>
        <w:pStyle w:val="ExampleSub"/>
        <w:keepNext w:val="0"/>
        <w:keepLines w:val="0"/>
        <w:outlineLvl w:val="0"/>
        <w:rPr>
          <w:rFonts w:ascii="Arial" w:hAnsi="Arial" w:cs="Arial"/>
          <w:b w:val="0"/>
          <w:bCs w:val="0"/>
          <w:color w:val="548DD4" w:themeColor="text2" w:themeTint="99"/>
          <w:sz w:val="20"/>
          <w:szCs w:val="20"/>
        </w:rPr>
      </w:pPr>
    </w:p>
    <w:p w:rsidR="00EC20D0" w:rsidRPr="00845088" w:rsidRDefault="00EC20D0" w:rsidP="005947C1">
      <w:pPr>
        <w:pStyle w:val="ExampleSub"/>
        <w:keepNext w:val="0"/>
        <w:keepLines w:val="0"/>
        <w:outlineLvl w:val="0"/>
        <w:rPr>
          <w:rFonts w:ascii="Arial" w:hAnsi="Arial" w:cs="Arial"/>
          <w:b w:val="0"/>
          <w:bCs w:val="0"/>
          <w:color w:val="548DD4" w:themeColor="text2" w:themeTint="99"/>
          <w:sz w:val="20"/>
          <w:szCs w:val="20"/>
        </w:rPr>
      </w:pPr>
    </w:p>
    <w:p w:rsidR="00EC20D0" w:rsidRPr="00845088" w:rsidRDefault="00EC20D0" w:rsidP="005947C1">
      <w:pPr>
        <w:pStyle w:val="ExampleSub"/>
        <w:keepNext w:val="0"/>
        <w:keepLines w:val="0"/>
        <w:outlineLvl w:val="0"/>
        <w:rPr>
          <w:rFonts w:ascii="Arial" w:hAnsi="Arial" w:cs="Arial"/>
          <w:b w:val="0"/>
          <w:bCs w:val="0"/>
          <w:color w:val="548DD4" w:themeColor="text2" w:themeTint="99"/>
          <w:sz w:val="20"/>
          <w:szCs w:val="20"/>
        </w:rPr>
      </w:pPr>
    </w:p>
    <w:p w:rsidR="00EC20D0" w:rsidRPr="00845088" w:rsidRDefault="00EC20D0" w:rsidP="005947C1">
      <w:pPr>
        <w:pStyle w:val="ExampleSub"/>
        <w:keepNext w:val="0"/>
        <w:keepLines w:val="0"/>
        <w:outlineLvl w:val="0"/>
        <w:rPr>
          <w:rFonts w:ascii="Arial" w:hAnsi="Arial" w:cs="Arial"/>
          <w:b w:val="0"/>
          <w:bCs w:val="0"/>
          <w:color w:val="548DD4" w:themeColor="text2" w:themeTint="99"/>
          <w:sz w:val="20"/>
          <w:szCs w:val="20"/>
        </w:rPr>
      </w:pPr>
    </w:p>
    <w:p w:rsidR="00EC20D0" w:rsidRPr="00845088" w:rsidRDefault="00EC20D0" w:rsidP="005947C1">
      <w:pPr>
        <w:pStyle w:val="ExampleSub"/>
        <w:keepNext w:val="0"/>
        <w:keepLines w:val="0"/>
        <w:outlineLvl w:val="0"/>
        <w:rPr>
          <w:rFonts w:ascii="Arial" w:hAnsi="Arial" w:cs="Arial"/>
          <w:b w:val="0"/>
          <w:bCs w:val="0"/>
          <w:color w:val="548DD4" w:themeColor="text2" w:themeTint="99"/>
          <w:sz w:val="20"/>
          <w:szCs w:val="20"/>
        </w:rPr>
      </w:pPr>
    </w:p>
    <w:p w:rsidR="00EC20D0" w:rsidRPr="00845088" w:rsidRDefault="00EC20D0" w:rsidP="005947C1">
      <w:pPr>
        <w:pStyle w:val="ExampleSub"/>
        <w:keepNext w:val="0"/>
        <w:keepLines w:val="0"/>
        <w:outlineLvl w:val="0"/>
        <w:rPr>
          <w:rFonts w:ascii="Arial" w:hAnsi="Arial" w:cs="Arial"/>
          <w:b w:val="0"/>
          <w:bCs w:val="0"/>
          <w:color w:val="548DD4" w:themeColor="text2" w:themeTint="99"/>
          <w:sz w:val="20"/>
          <w:szCs w:val="20"/>
        </w:rPr>
      </w:pPr>
    </w:p>
    <w:tbl>
      <w:tblPr>
        <w:tblStyle w:val="ListTable3-Accent51"/>
        <w:tblpPr w:leftFromText="180" w:rightFromText="180" w:vertAnchor="text" w:horzAnchor="margin" w:tblpXSpec="right" w:tblpY="32"/>
        <w:tblW w:w="9634" w:type="dxa"/>
        <w:tblLook w:val="00A0"/>
      </w:tblPr>
      <w:tblGrid>
        <w:gridCol w:w="5474"/>
        <w:gridCol w:w="4160"/>
      </w:tblGrid>
      <w:tr w:rsidR="006E285D" w:rsidRPr="00845088" w:rsidTr="008471CB">
        <w:trPr>
          <w:cnfStyle w:val="100000000000"/>
          <w:trHeight w:val="652"/>
        </w:trPr>
        <w:tc>
          <w:tcPr>
            <w:cnfStyle w:val="001000000100"/>
            <w:tcW w:w="5474" w:type="dxa"/>
            <w:tcBorders>
              <w:bottom w:val="single" w:sz="4" w:space="0" w:color="4BACC6" w:themeColor="accent5"/>
            </w:tcBorders>
          </w:tcPr>
          <w:p w:rsidR="006E285D" w:rsidRPr="00AC6DA0" w:rsidRDefault="006E285D" w:rsidP="006E285D">
            <w:pPr>
              <w:pStyle w:val="ExampleText"/>
              <w:ind w:left="0"/>
              <w:jc w:val="center"/>
              <w:rPr>
                <w:rFonts w:ascii="Arial" w:hAnsi="Arial" w:cs="Arial"/>
                <w:color w:val="auto"/>
              </w:rPr>
            </w:pPr>
            <w:r w:rsidRPr="00AC6DA0">
              <w:rPr>
                <w:rFonts w:ascii="Arial" w:hAnsi="Arial" w:cs="Arial"/>
                <w:color w:val="auto"/>
              </w:rPr>
              <w:lastRenderedPageBreak/>
              <w:t>Uncertainties</w:t>
            </w:r>
          </w:p>
        </w:tc>
        <w:tc>
          <w:tcPr>
            <w:cnfStyle w:val="000010000000"/>
            <w:tcW w:w="4160" w:type="dxa"/>
            <w:tcBorders>
              <w:bottom w:val="single" w:sz="4" w:space="0" w:color="4BACC6" w:themeColor="accent5"/>
            </w:tcBorders>
          </w:tcPr>
          <w:p w:rsidR="006E285D" w:rsidRPr="008471CB" w:rsidRDefault="006E285D" w:rsidP="006E285D">
            <w:pPr>
              <w:pStyle w:val="ExampleText"/>
              <w:ind w:left="0"/>
              <w:jc w:val="center"/>
              <w:rPr>
                <w:rFonts w:ascii="Arial" w:hAnsi="Arial" w:cs="Arial"/>
                <w:color w:val="auto"/>
              </w:rPr>
            </w:pPr>
            <w:r w:rsidRPr="008471CB">
              <w:rPr>
                <w:rFonts w:ascii="Arial" w:hAnsi="Arial" w:cs="Arial"/>
                <w:color w:val="auto"/>
              </w:rPr>
              <w:t>Effect if Actual Results Differ from Assumptions</w:t>
            </w:r>
          </w:p>
        </w:tc>
      </w:tr>
      <w:tr w:rsidR="005947C1" w:rsidRPr="00845088" w:rsidTr="008471CB">
        <w:trPr>
          <w:cnfStyle w:val="000000100000"/>
          <w:trHeight w:val="541"/>
        </w:trPr>
        <w:tc>
          <w:tcPr>
            <w:cnfStyle w:val="001000000000"/>
            <w:tcW w:w="9634" w:type="dxa"/>
            <w:gridSpan w:val="2"/>
            <w:tcBorders>
              <w:right w:val="single" w:sz="4" w:space="0" w:color="4BACC6" w:themeColor="accent5"/>
            </w:tcBorders>
          </w:tcPr>
          <w:p w:rsidR="005947C1" w:rsidRPr="00AC6DA0" w:rsidRDefault="005947C1" w:rsidP="00AC6DA0">
            <w:pPr>
              <w:pStyle w:val="ExampleText"/>
              <w:ind w:left="0"/>
              <w:rPr>
                <w:rFonts w:ascii="Arial" w:hAnsi="Arial" w:cs="Arial"/>
                <w:color w:val="auto"/>
              </w:rPr>
            </w:pPr>
            <w:r w:rsidRPr="00AC6DA0">
              <w:rPr>
                <w:rFonts w:ascii="Arial" w:hAnsi="Arial" w:cs="Arial"/>
                <w:color w:val="auto"/>
              </w:rPr>
              <w:t>Pension Liability  Value 31/3/1</w:t>
            </w:r>
            <w:r w:rsidR="00AC6DA0" w:rsidRPr="00AC6DA0">
              <w:rPr>
                <w:rFonts w:ascii="Arial" w:hAnsi="Arial" w:cs="Arial"/>
                <w:color w:val="auto"/>
              </w:rPr>
              <w:t>6 £151m (</w:t>
            </w:r>
            <w:r w:rsidRPr="00AC6DA0">
              <w:rPr>
                <w:rFonts w:ascii="Arial" w:hAnsi="Arial" w:cs="Arial"/>
                <w:color w:val="auto"/>
              </w:rPr>
              <w:t>£1</w:t>
            </w:r>
            <w:r w:rsidR="00D4789C" w:rsidRPr="00AC6DA0">
              <w:rPr>
                <w:rFonts w:ascii="Arial" w:hAnsi="Arial" w:cs="Arial"/>
                <w:color w:val="auto"/>
              </w:rPr>
              <w:t>68</w:t>
            </w:r>
            <w:r w:rsidRPr="00AC6DA0">
              <w:rPr>
                <w:rFonts w:ascii="Arial" w:hAnsi="Arial" w:cs="Arial"/>
                <w:color w:val="auto"/>
              </w:rPr>
              <w:t>m</w:t>
            </w:r>
            <w:r w:rsidR="00AC6DA0" w:rsidRPr="00AC6DA0">
              <w:rPr>
                <w:rFonts w:ascii="Arial" w:hAnsi="Arial" w:cs="Arial"/>
                <w:color w:val="auto"/>
              </w:rPr>
              <w:t xml:space="preserve"> 14/15)</w:t>
            </w:r>
          </w:p>
        </w:tc>
      </w:tr>
      <w:tr w:rsidR="006E285D" w:rsidRPr="00845088" w:rsidTr="008471CB">
        <w:trPr>
          <w:trHeight w:val="5393"/>
        </w:trPr>
        <w:tc>
          <w:tcPr>
            <w:cnfStyle w:val="001000000000"/>
            <w:tcW w:w="5474" w:type="dxa"/>
          </w:tcPr>
          <w:p w:rsidR="006E285D" w:rsidRPr="006A2DC1" w:rsidRDefault="006E285D" w:rsidP="006E285D">
            <w:pPr>
              <w:pStyle w:val="ExampleText"/>
              <w:ind w:left="0"/>
              <w:rPr>
                <w:rFonts w:ascii="Arial" w:hAnsi="Arial" w:cs="Arial"/>
                <w:b w:val="0"/>
                <w:color w:val="auto"/>
              </w:rPr>
            </w:pPr>
            <w:r w:rsidRPr="006A2DC1">
              <w:rPr>
                <w:rFonts w:ascii="Arial" w:hAnsi="Arial" w:cs="Arial"/>
                <w:b w:val="0"/>
                <w:color w:val="auto"/>
              </w:rPr>
              <w:t>The Council’s liability as at 31</w:t>
            </w:r>
            <w:r w:rsidRPr="006A2DC1">
              <w:rPr>
                <w:rFonts w:ascii="Arial" w:hAnsi="Arial" w:cs="Arial"/>
                <w:b w:val="0"/>
                <w:color w:val="auto"/>
                <w:vertAlign w:val="superscript"/>
              </w:rPr>
              <w:t>st</w:t>
            </w:r>
            <w:r w:rsidRPr="006A2DC1">
              <w:rPr>
                <w:rFonts w:ascii="Arial" w:hAnsi="Arial" w:cs="Arial"/>
                <w:b w:val="0"/>
                <w:color w:val="auto"/>
              </w:rPr>
              <w:t xml:space="preserve"> March is based on a number of complex judgements relating to the discount rate used, the rate at which salaries may change, changes in retirement dates, mortality rates and expected return on pension fund assets</w:t>
            </w:r>
          </w:p>
          <w:p w:rsidR="006E285D" w:rsidRPr="006A2DC1" w:rsidRDefault="006E285D" w:rsidP="006E285D">
            <w:pPr>
              <w:pStyle w:val="ExampleText"/>
              <w:ind w:left="0"/>
              <w:rPr>
                <w:rFonts w:ascii="Arial" w:hAnsi="Arial" w:cs="Arial"/>
                <w:b w:val="0"/>
                <w:color w:val="auto"/>
              </w:rPr>
            </w:pPr>
            <w:r w:rsidRPr="006A2DC1">
              <w:rPr>
                <w:rFonts w:ascii="Arial" w:hAnsi="Arial" w:cs="Arial"/>
                <w:b w:val="0"/>
                <w:color w:val="auto"/>
              </w:rPr>
              <w:t>A firm of pension actuaries are used to provide this information and every three years there is a detailed actuarial review of the fund.</w:t>
            </w:r>
          </w:p>
          <w:p w:rsidR="006E285D" w:rsidRPr="00845088" w:rsidRDefault="006E285D" w:rsidP="006E285D">
            <w:pPr>
              <w:pStyle w:val="ExampleText"/>
              <w:ind w:left="0"/>
              <w:rPr>
                <w:rFonts w:ascii="Arial" w:hAnsi="Arial" w:cs="Arial"/>
                <w:b w:val="0"/>
                <w:color w:val="548DD4" w:themeColor="text2" w:themeTint="99"/>
              </w:rPr>
            </w:pPr>
            <w:r w:rsidRPr="006A2DC1">
              <w:rPr>
                <w:rFonts w:ascii="Arial" w:hAnsi="Arial" w:cs="Arial"/>
                <w:b w:val="0"/>
                <w:color w:val="auto"/>
              </w:rPr>
              <w:t xml:space="preserve">The value of pension assets is estimated (by the actuary) based upon information available at the Balance Sheet date, but these valuations may be earlier than the Balance Sheet date.  The actual valuations at the Balance Sheet date, which may not be available until </w:t>
            </w:r>
            <w:r w:rsidR="00C61B7F" w:rsidRPr="006A2DC1">
              <w:rPr>
                <w:rFonts w:ascii="Arial" w:hAnsi="Arial" w:cs="Arial"/>
                <w:b w:val="0"/>
                <w:color w:val="auto"/>
              </w:rPr>
              <w:t>sometime</w:t>
            </w:r>
            <w:r w:rsidRPr="006A2DC1">
              <w:rPr>
                <w:rFonts w:ascii="Arial" w:hAnsi="Arial" w:cs="Arial"/>
                <w:b w:val="0"/>
                <w:color w:val="auto"/>
              </w:rPr>
              <w:t xml:space="preserve"> later, may give a different value of pension assets, but this difference is not considered to be material.</w:t>
            </w:r>
          </w:p>
        </w:tc>
        <w:tc>
          <w:tcPr>
            <w:cnfStyle w:val="000010000000"/>
            <w:tcW w:w="4160" w:type="dxa"/>
          </w:tcPr>
          <w:p w:rsidR="006E285D" w:rsidRPr="008A25D1" w:rsidRDefault="006E285D" w:rsidP="008471CB">
            <w:pPr>
              <w:pStyle w:val="ExampleText"/>
              <w:ind w:left="0"/>
              <w:rPr>
                <w:rFonts w:ascii="Arial" w:hAnsi="Arial" w:cs="Arial"/>
                <w:color w:val="548DD4" w:themeColor="text2" w:themeTint="99"/>
              </w:rPr>
            </w:pPr>
            <w:r w:rsidRPr="008A25D1">
              <w:rPr>
                <w:rFonts w:ascii="Arial" w:hAnsi="Arial" w:cs="Arial"/>
                <w:bCs/>
                <w:color w:val="auto"/>
              </w:rPr>
              <w:t xml:space="preserve">The effects on the net pension liability of changes in individual assumptions can be measured.  For instance, a </w:t>
            </w:r>
            <w:r w:rsidR="00ED1469" w:rsidRPr="008A25D1">
              <w:rPr>
                <w:rFonts w:ascii="Arial" w:hAnsi="Arial" w:cs="Arial"/>
                <w:bCs/>
                <w:color w:val="auto"/>
              </w:rPr>
              <w:t xml:space="preserve">future </w:t>
            </w:r>
            <w:r w:rsidRPr="008A25D1">
              <w:rPr>
                <w:rFonts w:ascii="Arial" w:hAnsi="Arial" w:cs="Arial"/>
                <w:bCs/>
                <w:color w:val="auto"/>
              </w:rPr>
              <w:t>0.1% increase in the discount rate assumption would result in a change in the (gross) pension liability of £</w:t>
            </w:r>
            <w:r w:rsidR="006A2DC1" w:rsidRPr="008A25D1">
              <w:rPr>
                <w:rFonts w:ascii="Arial" w:hAnsi="Arial" w:cs="Arial"/>
                <w:bCs/>
                <w:color w:val="auto"/>
              </w:rPr>
              <w:t>7</w:t>
            </w:r>
            <w:r w:rsidRPr="008A25D1">
              <w:rPr>
                <w:rFonts w:ascii="Arial" w:hAnsi="Arial" w:cs="Arial"/>
                <w:bCs/>
                <w:color w:val="auto"/>
              </w:rPr>
              <w:t>m. Similarly a change in the mortality assumption of 1 year would result in a change of £1</w:t>
            </w:r>
            <w:r w:rsidR="006A2DC1" w:rsidRPr="008A25D1">
              <w:rPr>
                <w:rFonts w:ascii="Arial" w:hAnsi="Arial" w:cs="Arial"/>
                <w:bCs/>
                <w:color w:val="auto"/>
              </w:rPr>
              <w:t>2</w:t>
            </w:r>
            <w:r w:rsidRPr="008A25D1">
              <w:rPr>
                <w:rFonts w:ascii="Arial" w:hAnsi="Arial" w:cs="Arial"/>
                <w:bCs/>
                <w:color w:val="auto"/>
              </w:rPr>
              <w:t xml:space="preserve">m. However, the assumptions interact in complex ways.  </w:t>
            </w:r>
            <w:r w:rsidR="00822861" w:rsidRPr="008A25D1">
              <w:rPr>
                <w:rFonts w:ascii="Arial" w:hAnsi="Arial" w:cs="Arial"/>
                <w:bCs/>
                <w:color w:val="auto"/>
              </w:rPr>
              <w:t>T</w:t>
            </w:r>
            <w:r w:rsidRPr="008A25D1">
              <w:rPr>
                <w:rFonts w:ascii="Arial" w:hAnsi="Arial" w:cs="Arial"/>
                <w:bCs/>
                <w:color w:val="auto"/>
              </w:rPr>
              <w:t>he actuar</w:t>
            </w:r>
            <w:r w:rsidR="00822861" w:rsidRPr="008A25D1">
              <w:rPr>
                <w:rFonts w:ascii="Arial" w:hAnsi="Arial" w:cs="Arial"/>
                <w:bCs/>
                <w:color w:val="auto"/>
              </w:rPr>
              <w:t>y</w:t>
            </w:r>
            <w:r w:rsidRPr="008A25D1">
              <w:rPr>
                <w:rFonts w:ascii="Arial" w:hAnsi="Arial" w:cs="Arial"/>
                <w:bCs/>
                <w:color w:val="auto"/>
              </w:rPr>
              <w:t xml:space="preserve"> advised that</w:t>
            </w:r>
            <w:r w:rsidR="00822861" w:rsidRPr="008A25D1">
              <w:rPr>
                <w:rFonts w:ascii="Arial" w:hAnsi="Arial" w:cs="Arial"/>
                <w:bCs/>
                <w:color w:val="auto"/>
              </w:rPr>
              <w:t>,</w:t>
            </w:r>
            <w:r w:rsidRPr="008A25D1">
              <w:rPr>
                <w:rFonts w:ascii="Arial" w:hAnsi="Arial" w:cs="Arial"/>
                <w:bCs/>
                <w:color w:val="auto"/>
              </w:rPr>
              <w:t xml:space="preserve"> </w:t>
            </w:r>
            <w:r w:rsidR="00822861" w:rsidRPr="008A25D1">
              <w:rPr>
                <w:rFonts w:ascii="Arial" w:hAnsi="Arial" w:cs="Arial"/>
                <w:bCs/>
                <w:color w:val="auto"/>
              </w:rPr>
              <w:t>during 201</w:t>
            </w:r>
            <w:r w:rsidR="006A2DC1" w:rsidRPr="008A25D1">
              <w:rPr>
                <w:rFonts w:ascii="Arial" w:hAnsi="Arial" w:cs="Arial"/>
                <w:bCs/>
                <w:color w:val="auto"/>
              </w:rPr>
              <w:t>5</w:t>
            </w:r>
            <w:r w:rsidR="00822861" w:rsidRPr="008A25D1">
              <w:rPr>
                <w:rFonts w:ascii="Arial" w:hAnsi="Arial" w:cs="Arial"/>
                <w:bCs/>
                <w:color w:val="auto"/>
              </w:rPr>
              <w:t>/1</w:t>
            </w:r>
            <w:r w:rsidR="006A2DC1" w:rsidRPr="008A25D1">
              <w:rPr>
                <w:rFonts w:ascii="Arial" w:hAnsi="Arial" w:cs="Arial"/>
                <w:bCs/>
                <w:color w:val="auto"/>
              </w:rPr>
              <w:t>6</w:t>
            </w:r>
            <w:r w:rsidR="00822861" w:rsidRPr="008A25D1">
              <w:rPr>
                <w:rFonts w:ascii="Arial" w:hAnsi="Arial" w:cs="Arial"/>
                <w:bCs/>
                <w:color w:val="auto"/>
              </w:rPr>
              <w:t xml:space="preserve">, </w:t>
            </w:r>
            <w:r w:rsidRPr="008A25D1">
              <w:rPr>
                <w:rFonts w:ascii="Arial" w:hAnsi="Arial" w:cs="Arial"/>
                <w:bCs/>
                <w:color w:val="auto"/>
              </w:rPr>
              <w:t>the net pensions</w:t>
            </w:r>
            <w:r w:rsidR="007A55C3" w:rsidRPr="008A25D1">
              <w:rPr>
                <w:rFonts w:ascii="Arial" w:hAnsi="Arial" w:cs="Arial"/>
                <w:bCs/>
                <w:color w:val="auto"/>
              </w:rPr>
              <w:t>’</w:t>
            </w:r>
            <w:r w:rsidRPr="008A25D1">
              <w:rPr>
                <w:rFonts w:ascii="Arial" w:hAnsi="Arial" w:cs="Arial"/>
                <w:bCs/>
                <w:color w:val="auto"/>
              </w:rPr>
              <w:t xml:space="preserve"> liability had </w:t>
            </w:r>
            <w:r w:rsidR="006A2DC1" w:rsidRPr="008A25D1">
              <w:rPr>
                <w:rFonts w:ascii="Arial" w:hAnsi="Arial" w:cs="Arial"/>
                <w:bCs/>
                <w:color w:val="auto"/>
              </w:rPr>
              <w:t>de</w:t>
            </w:r>
            <w:r w:rsidRPr="008A25D1">
              <w:rPr>
                <w:rFonts w:ascii="Arial" w:hAnsi="Arial" w:cs="Arial"/>
                <w:bCs/>
                <w:color w:val="auto"/>
              </w:rPr>
              <w:t>creased by £</w:t>
            </w:r>
            <w:r w:rsidR="006A2DC1" w:rsidRPr="008A25D1">
              <w:rPr>
                <w:rFonts w:ascii="Arial" w:hAnsi="Arial" w:cs="Arial"/>
                <w:bCs/>
                <w:color w:val="auto"/>
              </w:rPr>
              <w:t>17</w:t>
            </w:r>
            <w:r w:rsidRPr="008A25D1">
              <w:rPr>
                <w:rFonts w:ascii="Arial" w:hAnsi="Arial" w:cs="Arial"/>
                <w:bCs/>
                <w:color w:val="auto"/>
              </w:rPr>
              <w:t>m</w:t>
            </w:r>
            <w:r w:rsidR="00822861" w:rsidRPr="008A25D1">
              <w:rPr>
                <w:rFonts w:ascii="Arial" w:hAnsi="Arial" w:cs="Arial"/>
                <w:bCs/>
                <w:color w:val="auto"/>
              </w:rPr>
              <w:t>. In part this was</w:t>
            </w:r>
            <w:r w:rsidRPr="008A25D1">
              <w:rPr>
                <w:rFonts w:ascii="Arial" w:hAnsi="Arial" w:cs="Arial"/>
                <w:bCs/>
                <w:color w:val="auto"/>
              </w:rPr>
              <w:t xml:space="preserve"> a result of estimates being corrected as a result of </w:t>
            </w:r>
            <w:r w:rsidR="00822861" w:rsidRPr="008A25D1">
              <w:rPr>
                <w:rFonts w:ascii="Arial" w:hAnsi="Arial" w:cs="Arial"/>
                <w:bCs/>
                <w:color w:val="auto"/>
              </w:rPr>
              <w:t>“</w:t>
            </w:r>
            <w:r w:rsidRPr="008A25D1">
              <w:rPr>
                <w:rFonts w:ascii="Arial" w:hAnsi="Arial" w:cs="Arial"/>
                <w:bCs/>
                <w:color w:val="auto"/>
              </w:rPr>
              <w:t>experience</w:t>
            </w:r>
            <w:r w:rsidR="00822861" w:rsidRPr="008A25D1">
              <w:rPr>
                <w:rFonts w:ascii="Arial" w:hAnsi="Arial" w:cs="Arial"/>
                <w:bCs/>
                <w:color w:val="auto"/>
              </w:rPr>
              <w:t>”</w:t>
            </w:r>
            <w:r w:rsidRPr="008A25D1">
              <w:rPr>
                <w:rFonts w:ascii="Arial" w:hAnsi="Arial" w:cs="Arial"/>
                <w:bCs/>
                <w:color w:val="auto"/>
              </w:rPr>
              <w:t xml:space="preserve"> updating of actuarial assumptions.</w:t>
            </w:r>
            <w:r w:rsidR="00AD1B47" w:rsidRPr="008A25D1">
              <w:rPr>
                <w:rFonts w:ascii="Arial" w:hAnsi="Arial" w:cs="Arial"/>
                <w:bCs/>
                <w:color w:val="auto"/>
              </w:rPr>
              <w:t xml:space="preserve"> In particular</w:t>
            </w:r>
            <w:r w:rsidR="00951E24" w:rsidRPr="008A25D1">
              <w:rPr>
                <w:rFonts w:ascii="Arial" w:hAnsi="Arial" w:cs="Arial"/>
                <w:bCs/>
                <w:color w:val="auto"/>
              </w:rPr>
              <w:t xml:space="preserve"> in 201</w:t>
            </w:r>
            <w:r w:rsidR="006A2DC1" w:rsidRPr="008A25D1">
              <w:rPr>
                <w:rFonts w:ascii="Arial" w:hAnsi="Arial" w:cs="Arial"/>
                <w:bCs/>
                <w:color w:val="auto"/>
              </w:rPr>
              <w:t>5</w:t>
            </w:r>
            <w:r w:rsidR="00951E24" w:rsidRPr="008A25D1">
              <w:rPr>
                <w:rFonts w:ascii="Arial" w:hAnsi="Arial" w:cs="Arial"/>
                <w:bCs/>
                <w:color w:val="auto"/>
              </w:rPr>
              <w:t>/1</w:t>
            </w:r>
            <w:r w:rsidR="006A2DC1" w:rsidRPr="008A25D1">
              <w:rPr>
                <w:rFonts w:ascii="Arial" w:hAnsi="Arial" w:cs="Arial"/>
                <w:bCs/>
                <w:color w:val="auto"/>
              </w:rPr>
              <w:t>6</w:t>
            </w:r>
            <w:r w:rsidR="00951E24" w:rsidRPr="008A25D1">
              <w:rPr>
                <w:rFonts w:ascii="Arial" w:hAnsi="Arial" w:cs="Arial"/>
                <w:bCs/>
                <w:color w:val="auto"/>
              </w:rPr>
              <w:t xml:space="preserve"> </w:t>
            </w:r>
            <w:r w:rsidR="00AD1B47" w:rsidRPr="008A25D1">
              <w:rPr>
                <w:rFonts w:ascii="Arial" w:hAnsi="Arial" w:cs="Arial"/>
                <w:bCs/>
                <w:color w:val="auto"/>
              </w:rPr>
              <w:t xml:space="preserve">there was </w:t>
            </w:r>
            <w:r w:rsidR="007E33E1" w:rsidRPr="008A25D1">
              <w:rPr>
                <w:rFonts w:ascii="Arial" w:hAnsi="Arial" w:cs="Arial"/>
                <w:bCs/>
                <w:color w:val="auto"/>
              </w:rPr>
              <w:t>an</w:t>
            </w:r>
            <w:r w:rsidR="00AD1B47" w:rsidRPr="008A25D1">
              <w:rPr>
                <w:rFonts w:ascii="Arial" w:hAnsi="Arial" w:cs="Arial"/>
                <w:bCs/>
                <w:color w:val="auto"/>
              </w:rPr>
              <w:t xml:space="preserve"> </w:t>
            </w:r>
            <w:r w:rsidR="006A2DC1" w:rsidRPr="008A25D1">
              <w:rPr>
                <w:rFonts w:ascii="Arial" w:hAnsi="Arial" w:cs="Arial"/>
                <w:bCs/>
                <w:color w:val="auto"/>
              </w:rPr>
              <w:t>increase</w:t>
            </w:r>
            <w:r w:rsidR="00AD1B47" w:rsidRPr="008A25D1">
              <w:rPr>
                <w:rFonts w:ascii="Arial" w:hAnsi="Arial" w:cs="Arial"/>
                <w:bCs/>
                <w:color w:val="auto"/>
              </w:rPr>
              <w:t xml:space="preserve"> in the discount rate</w:t>
            </w:r>
            <w:r w:rsidR="00951E24" w:rsidRPr="008A25D1">
              <w:rPr>
                <w:rFonts w:ascii="Arial" w:hAnsi="Arial" w:cs="Arial"/>
                <w:bCs/>
                <w:color w:val="auto"/>
              </w:rPr>
              <w:t xml:space="preserve"> from </w:t>
            </w:r>
            <w:r w:rsidR="006A2DC1" w:rsidRPr="008A25D1">
              <w:rPr>
                <w:rFonts w:ascii="Arial" w:hAnsi="Arial" w:cs="Arial"/>
                <w:bCs/>
                <w:color w:val="auto"/>
              </w:rPr>
              <w:t>3.3</w:t>
            </w:r>
            <w:r w:rsidR="00951E24" w:rsidRPr="008A25D1">
              <w:rPr>
                <w:rFonts w:ascii="Arial" w:hAnsi="Arial" w:cs="Arial"/>
                <w:bCs/>
                <w:color w:val="auto"/>
              </w:rPr>
              <w:t>% to 3.</w:t>
            </w:r>
            <w:r w:rsidR="006A2DC1" w:rsidRPr="008A25D1">
              <w:rPr>
                <w:rFonts w:ascii="Arial" w:hAnsi="Arial" w:cs="Arial"/>
                <w:bCs/>
                <w:color w:val="auto"/>
              </w:rPr>
              <w:t>7</w:t>
            </w:r>
            <w:r w:rsidR="00951E24" w:rsidRPr="008A25D1">
              <w:rPr>
                <w:rFonts w:ascii="Arial" w:hAnsi="Arial" w:cs="Arial"/>
                <w:bCs/>
                <w:color w:val="auto"/>
              </w:rPr>
              <w:t>%</w:t>
            </w:r>
            <w:r w:rsidR="00AD1B47" w:rsidRPr="008A25D1">
              <w:rPr>
                <w:rFonts w:ascii="Arial" w:hAnsi="Arial" w:cs="Arial"/>
                <w:bCs/>
                <w:color w:val="auto"/>
              </w:rPr>
              <w:t>.</w:t>
            </w:r>
            <w:r w:rsidR="008471CB" w:rsidRPr="008A25D1">
              <w:rPr>
                <w:rFonts w:ascii="Arial" w:hAnsi="Arial" w:cs="Arial"/>
                <w:bCs/>
                <w:color w:val="auto"/>
              </w:rPr>
              <w:t xml:space="preserve"> </w:t>
            </w:r>
            <w:r w:rsidRPr="008A25D1">
              <w:rPr>
                <w:rFonts w:ascii="Arial" w:hAnsi="Arial" w:cs="Arial"/>
                <w:bCs/>
                <w:color w:val="auto"/>
              </w:rPr>
              <w:t>A table on sensitivity of assumptions is included in the Pensions Note 3</w:t>
            </w:r>
            <w:r w:rsidR="008A26F7" w:rsidRPr="008A25D1">
              <w:rPr>
                <w:rFonts w:ascii="Arial" w:hAnsi="Arial" w:cs="Arial"/>
                <w:bCs/>
                <w:color w:val="auto"/>
              </w:rPr>
              <w:t>8</w:t>
            </w:r>
            <w:r w:rsidRPr="008A25D1">
              <w:rPr>
                <w:rFonts w:ascii="Arial" w:hAnsi="Arial" w:cs="Arial"/>
                <w:bCs/>
                <w:color w:val="auto"/>
              </w:rPr>
              <w:t>.</w:t>
            </w:r>
          </w:p>
        </w:tc>
      </w:tr>
    </w:tbl>
    <w:p w:rsidR="00E51139" w:rsidRPr="00845088" w:rsidRDefault="006E285D" w:rsidP="006E285D">
      <w:pPr>
        <w:pStyle w:val="ExampleText"/>
        <w:rPr>
          <w:rFonts w:ascii="Arial" w:hAnsi="Arial" w:cs="Arial"/>
          <w:color w:val="548DD4" w:themeColor="text2" w:themeTint="99"/>
        </w:rPr>
      </w:pPr>
      <w:r w:rsidRPr="00845088">
        <w:rPr>
          <w:rFonts w:ascii="Arial" w:hAnsi="Arial" w:cs="Arial"/>
          <w:color w:val="548DD4" w:themeColor="text2" w:themeTint="99"/>
        </w:rPr>
        <w:t xml:space="preserve"> </w:t>
      </w:r>
    </w:p>
    <w:p w:rsidR="001A101A" w:rsidRPr="004F47F5" w:rsidRDefault="00E96DAB" w:rsidP="00A2294B">
      <w:pPr>
        <w:pStyle w:val="BodyText"/>
        <w:widowControl w:val="0"/>
        <w:rPr>
          <w:rFonts w:eastAsia="Times New Roman"/>
          <w:b/>
          <w:color w:val="auto"/>
        </w:rPr>
      </w:pPr>
      <w:r w:rsidRPr="00D35D3A">
        <w:rPr>
          <w:rFonts w:eastAsia="Times New Roman"/>
          <w:b/>
          <w:color w:val="auto"/>
        </w:rPr>
        <w:t>5</w:t>
      </w:r>
      <w:r w:rsidR="00A2294B" w:rsidRPr="00D35D3A">
        <w:rPr>
          <w:rFonts w:eastAsia="Times New Roman"/>
          <w:b/>
          <w:color w:val="auto"/>
        </w:rPr>
        <w:t>.</w:t>
      </w:r>
      <w:r w:rsidR="00C60C08" w:rsidRPr="00845088">
        <w:rPr>
          <w:rFonts w:eastAsia="Times New Roman"/>
          <w:b/>
          <w:color w:val="548DD4" w:themeColor="text2" w:themeTint="99"/>
        </w:rPr>
        <w:t xml:space="preserve">       </w:t>
      </w:r>
      <w:r w:rsidR="00560B3F" w:rsidRPr="004F47F5">
        <w:rPr>
          <w:rFonts w:eastAsia="Times New Roman"/>
          <w:b/>
          <w:color w:val="auto"/>
        </w:rPr>
        <w:t>Material Items of Income And Expense</w:t>
      </w:r>
    </w:p>
    <w:p w:rsidR="002140BA" w:rsidRDefault="008030E2" w:rsidP="00D54A28">
      <w:pPr>
        <w:pStyle w:val="BodyText"/>
        <w:widowControl w:val="0"/>
        <w:ind w:left="567" w:firstLine="9"/>
        <w:rPr>
          <w:rFonts w:cs="Arial"/>
          <w:color w:val="auto"/>
          <w:sz w:val="20"/>
          <w:szCs w:val="20"/>
        </w:rPr>
      </w:pPr>
      <w:r w:rsidRPr="004F47F5">
        <w:rPr>
          <w:rFonts w:cs="Arial"/>
          <w:color w:val="auto"/>
          <w:sz w:val="20"/>
          <w:szCs w:val="20"/>
        </w:rPr>
        <w:t xml:space="preserve">The Council’s </w:t>
      </w:r>
      <w:r w:rsidR="00416865" w:rsidRPr="004F47F5">
        <w:rPr>
          <w:rFonts w:cs="Arial"/>
          <w:color w:val="auto"/>
          <w:sz w:val="20"/>
          <w:szCs w:val="20"/>
        </w:rPr>
        <w:t xml:space="preserve">pension </w:t>
      </w:r>
      <w:r w:rsidRPr="004F47F5">
        <w:rPr>
          <w:rFonts w:cs="Arial"/>
          <w:color w:val="auto"/>
          <w:sz w:val="20"/>
          <w:szCs w:val="20"/>
        </w:rPr>
        <w:t>liability as at 31</w:t>
      </w:r>
      <w:r w:rsidRPr="004F47F5">
        <w:rPr>
          <w:rFonts w:cs="Arial"/>
          <w:color w:val="auto"/>
          <w:sz w:val="20"/>
          <w:szCs w:val="20"/>
          <w:vertAlign w:val="superscript"/>
        </w:rPr>
        <w:t>st</w:t>
      </w:r>
      <w:r w:rsidRPr="004F47F5">
        <w:rPr>
          <w:rFonts w:cs="Arial"/>
          <w:color w:val="auto"/>
          <w:sz w:val="20"/>
          <w:szCs w:val="20"/>
        </w:rPr>
        <w:t xml:space="preserve"> March 201</w:t>
      </w:r>
      <w:r w:rsidR="004F47F5" w:rsidRPr="004F47F5">
        <w:rPr>
          <w:rFonts w:cs="Arial"/>
          <w:color w:val="auto"/>
          <w:sz w:val="20"/>
          <w:szCs w:val="20"/>
        </w:rPr>
        <w:t>6</w:t>
      </w:r>
      <w:r w:rsidRPr="004F47F5">
        <w:rPr>
          <w:rFonts w:cs="Arial"/>
          <w:color w:val="auto"/>
          <w:sz w:val="20"/>
          <w:szCs w:val="20"/>
        </w:rPr>
        <w:t xml:space="preserve"> is assessed at £1</w:t>
      </w:r>
      <w:r w:rsidR="004F47F5" w:rsidRPr="004F47F5">
        <w:rPr>
          <w:rFonts w:cs="Arial"/>
          <w:color w:val="auto"/>
          <w:sz w:val="20"/>
          <w:szCs w:val="20"/>
        </w:rPr>
        <w:t>51</w:t>
      </w:r>
      <w:r w:rsidRPr="004F47F5">
        <w:rPr>
          <w:rFonts w:cs="Arial"/>
          <w:color w:val="auto"/>
          <w:sz w:val="20"/>
          <w:szCs w:val="20"/>
        </w:rPr>
        <w:t>m, a £</w:t>
      </w:r>
      <w:r w:rsidR="004F47F5" w:rsidRPr="004F47F5">
        <w:rPr>
          <w:rFonts w:cs="Arial"/>
          <w:color w:val="auto"/>
          <w:sz w:val="20"/>
          <w:szCs w:val="20"/>
        </w:rPr>
        <w:t>17</w:t>
      </w:r>
      <w:r w:rsidRPr="004F47F5">
        <w:rPr>
          <w:rFonts w:cs="Arial"/>
          <w:color w:val="auto"/>
          <w:sz w:val="20"/>
          <w:szCs w:val="20"/>
        </w:rPr>
        <w:t xml:space="preserve">m </w:t>
      </w:r>
      <w:r w:rsidR="004F47F5" w:rsidRPr="004F47F5">
        <w:rPr>
          <w:rFonts w:cs="Arial"/>
          <w:color w:val="auto"/>
          <w:sz w:val="20"/>
          <w:szCs w:val="20"/>
        </w:rPr>
        <w:t>de</w:t>
      </w:r>
      <w:r w:rsidRPr="004F47F5">
        <w:rPr>
          <w:rFonts w:cs="Arial"/>
          <w:color w:val="auto"/>
          <w:sz w:val="20"/>
          <w:szCs w:val="20"/>
        </w:rPr>
        <w:t>crease, primarily due to actuarial “remeasurements” of the pension scheme liabilities and assets. In particular the actuary changed the discount rate (linked to corporate bond rates such as Merrill Lynch AA rated corporate bond) in the liability calculation to 3.</w:t>
      </w:r>
      <w:r w:rsidR="004F47F5" w:rsidRPr="004F47F5">
        <w:rPr>
          <w:rFonts w:cs="Arial"/>
          <w:color w:val="auto"/>
          <w:sz w:val="20"/>
          <w:szCs w:val="20"/>
        </w:rPr>
        <w:t>7</w:t>
      </w:r>
      <w:r w:rsidRPr="004F47F5">
        <w:rPr>
          <w:rFonts w:cs="Arial"/>
          <w:color w:val="auto"/>
          <w:sz w:val="20"/>
          <w:szCs w:val="20"/>
        </w:rPr>
        <w:t xml:space="preserve">% from </w:t>
      </w:r>
      <w:r w:rsidR="004F47F5" w:rsidRPr="004F47F5">
        <w:rPr>
          <w:rFonts w:cs="Arial"/>
          <w:color w:val="auto"/>
          <w:sz w:val="20"/>
          <w:szCs w:val="20"/>
        </w:rPr>
        <w:t>3.3</w:t>
      </w:r>
      <w:r w:rsidRPr="004F47F5">
        <w:rPr>
          <w:rFonts w:cs="Arial"/>
          <w:color w:val="auto"/>
          <w:sz w:val="20"/>
          <w:szCs w:val="20"/>
        </w:rPr>
        <w:t xml:space="preserve">% which caused the significant change in liability. </w:t>
      </w:r>
    </w:p>
    <w:p w:rsidR="00E51139" w:rsidRPr="0002714B" w:rsidRDefault="00E51139" w:rsidP="00815C6B">
      <w:pPr>
        <w:pStyle w:val="Subtitle"/>
        <w:ind w:left="567" w:hanging="567"/>
        <w:rPr>
          <w:b/>
          <w:color w:val="auto"/>
          <w:sz w:val="22"/>
          <w:szCs w:val="22"/>
        </w:rPr>
      </w:pPr>
      <w:r w:rsidRPr="0002714B">
        <w:rPr>
          <w:b/>
          <w:color w:val="auto"/>
          <w:sz w:val="22"/>
          <w:szCs w:val="22"/>
        </w:rPr>
        <w:t>6.</w:t>
      </w:r>
      <w:r w:rsidRPr="0002714B">
        <w:rPr>
          <w:b/>
          <w:color w:val="auto"/>
          <w:sz w:val="22"/>
          <w:szCs w:val="22"/>
        </w:rPr>
        <w:tab/>
        <w:t xml:space="preserve">Events after the </w:t>
      </w:r>
      <w:r w:rsidR="00775966" w:rsidRPr="0002714B">
        <w:rPr>
          <w:b/>
          <w:color w:val="auto"/>
          <w:sz w:val="22"/>
          <w:szCs w:val="22"/>
        </w:rPr>
        <w:t>Reporting Period</w:t>
      </w:r>
    </w:p>
    <w:p w:rsidR="00AA6915" w:rsidRDefault="004640C1" w:rsidP="004640C1">
      <w:pPr>
        <w:pStyle w:val="BodyText"/>
        <w:widowControl w:val="0"/>
        <w:ind w:left="567"/>
        <w:rPr>
          <w:rFonts w:cs="Arial"/>
          <w:color w:val="auto"/>
          <w:sz w:val="20"/>
          <w:szCs w:val="20"/>
        </w:rPr>
      </w:pPr>
      <w:r w:rsidRPr="0002714B">
        <w:rPr>
          <w:rFonts w:cs="Arial"/>
          <w:color w:val="auto"/>
          <w:sz w:val="20"/>
          <w:szCs w:val="20"/>
        </w:rPr>
        <w:t>Since 31</w:t>
      </w:r>
      <w:r w:rsidRPr="0002714B">
        <w:rPr>
          <w:rFonts w:cs="Arial"/>
          <w:color w:val="auto"/>
          <w:sz w:val="20"/>
          <w:szCs w:val="20"/>
          <w:vertAlign w:val="superscript"/>
        </w:rPr>
        <w:t>st</w:t>
      </w:r>
      <w:r w:rsidRPr="0002714B">
        <w:rPr>
          <w:rFonts w:cs="Arial"/>
          <w:color w:val="auto"/>
          <w:sz w:val="20"/>
          <w:szCs w:val="20"/>
        </w:rPr>
        <w:t xml:space="preserve"> March 201</w:t>
      </w:r>
      <w:r w:rsidR="0002714B" w:rsidRPr="0002714B">
        <w:rPr>
          <w:rFonts w:cs="Arial"/>
          <w:color w:val="auto"/>
          <w:sz w:val="20"/>
          <w:szCs w:val="20"/>
        </w:rPr>
        <w:t>6</w:t>
      </w:r>
      <w:r w:rsidRPr="0002714B">
        <w:rPr>
          <w:rFonts w:cs="Arial"/>
          <w:color w:val="auto"/>
          <w:sz w:val="20"/>
          <w:szCs w:val="20"/>
        </w:rPr>
        <w:t xml:space="preserve"> to the date the Chief Financ</w:t>
      </w:r>
      <w:r w:rsidR="00864C34" w:rsidRPr="0002714B">
        <w:rPr>
          <w:rFonts w:cs="Arial"/>
          <w:color w:val="auto"/>
          <w:sz w:val="20"/>
          <w:szCs w:val="20"/>
        </w:rPr>
        <w:t>ial</w:t>
      </w:r>
      <w:r w:rsidRPr="0002714B">
        <w:rPr>
          <w:rFonts w:cs="Arial"/>
          <w:color w:val="auto"/>
          <w:sz w:val="20"/>
          <w:szCs w:val="20"/>
        </w:rPr>
        <w:t xml:space="preserve"> officer authorised the accounts for issue (</w:t>
      </w:r>
      <w:r w:rsidR="0002714B" w:rsidRPr="0002714B">
        <w:rPr>
          <w:rFonts w:cs="Arial"/>
          <w:color w:val="auto"/>
          <w:sz w:val="20"/>
          <w:szCs w:val="20"/>
        </w:rPr>
        <w:t>3rd</w:t>
      </w:r>
      <w:r w:rsidRPr="0002714B">
        <w:rPr>
          <w:rFonts w:cs="Arial"/>
          <w:color w:val="auto"/>
          <w:sz w:val="20"/>
          <w:szCs w:val="20"/>
        </w:rPr>
        <w:t xml:space="preserve"> June 201</w:t>
      </w:r>
      <w:r w:rsidR="0002714B" w:rsidRPr="0002714B">
        <w:rPr>
          <w:rFonts w:cs="Arial"/>
          <w:color w:val="auto"/>
          <w:sz w:val="20"/>
          <w:szCs w:val="20"/>
        </w:rPr>
        <w:t>6</w:t>
      </w:r>
      <w:r w:rsidRPr="0002714B">
        <w:rPr>
          <w:rFonts w:cs="Arial"/>
          <w:color w:val="auto"/>
          <w:sz w:val="20"/>
          <w:szCs w:val="20"/>
        </w:rPr>
        <w:t xml:space="preserve">) there </w:t>
      </w:r>
      <w:r w:rsidR="0002714B" w:rsidRPr="0002714B">
        <w:rPr>
          <w:rFonts w:cs="Arial"/>
          <w:color w:val="auto"/>
          <w:sz w:val="20"/>
          <w:szCs w:val="20"/>
        </w:rPr>
        <w:t>is only one event to note</w:t>
      </w:r>
      <w:r w:rsidRPr="00845088">
        <w:rPr>
          <w:rFonts w:cs="Arial"/>
          <w:color w:val="548DD4" w:themeColor="text2" w:themeTint="99"/>
          <w:sz w:val="20"/>
          <w:szCs w:val="20"/>
        </w:rPr>
        <w:t xml:space="preserve">. </w:t>
      </w:r>
      <w:r w:rsidR="00AA6915" w:rsidRPr="00281E63">
        <w:rPr>
          <w:rFonts w:cs="Arial"/>
          <w:color w:val="auto"/>
          <w:sz w:val="20"/>
          <w:szCs w:val="20"/>
        </w:rPr>
        <w:t>In April 2016 the Cou</w:t>
      </w:r>
      <w:r w:rsidR="00AA6915">
        <w:rPr>
          <w:rFonts w:cs="Arial"/>
          <w:color w:val="auto"/>
          <w:sz w:val="20"/>
          <w:szCs w:val="20"/>
        </w:rPr>
        <w:t>ncil</w:t>
      </w:r>
      <w:r w:rsidR="00AA6915" w:rsidRPr="00281E63">
        <w:rPr>
          <w:rFonts w:cs="Arial"/>
          <w:color w:val="auto"/>
          <w:sz w:val="20"/>
          <w:szCs w:val="20"/>
        </w:rPr>
        <w:t xml:space="preserve"> was notified by a group of </w:t>
      </w:r>
      <w:r w:rsidR="00AA6915">
        <w:rPr>
          <w:rFonts w:cs="Arial"/>
          <w:color w:val="auto"/>
          <w:sz w:val="20"/>
          <w:szCs w:val="20"/>
        </w:rPr>
        <w:t>care</w:t>
      </w:r>
      <w:r w:rsidR="00AA6915" w:rsidRPr="00281E63">
        <w:rPr>
          <w:rFonts w:cs="Arial"/>
          <w:color w:val="auto"/>
          <w:sz w:val="20"/>
          <w:szCs w:val="20"/>
        </w:rPr>
        <w:t xml:space="preserve"> </w:t>
      </w:r>
      <w:r w:rsidR="00AA6915">
        <w:rPr>
          <w:rFonts w:cs="Arial"/>
          <w:color w:val="auto"/>
          <w:sz w:val="20"/>
          <w:szCs w:val="20"/>
        </w:rPr>
        <w:t>h</w:t>
      </w:r>
      <w:r w:rsidR="00AA6915" w:rsidRPr="00281E63">
        <w:rPr>
          <w:rFonts w:cs="Arial"/>
          <w:color w:val="auto"/>
          <w:sz w:val="20"/>
          <w:szCs w:val="20"/>
        </w:rPr>
        <w:t>o</w:t>
      </w:r>
      <w:r w:rsidR="00AA6915">
        <w:rPr>
          <w:rFonts w:cs="Arial"/>
          <w:color w:val="auto"/>
          <w:sz w:val="20"/>
          <w:szCs w:val="20"/>
        </w:rPr>
        <w:t>me</w:t>
      </w:r>
      <w:r w:rsidR="00AA6915" w:rsidRPr="00281E63">
        <w:rPr>
          <w:rFonts w:cs="Arial"/>
          <w:color w:val="auto"/>
          <w:sz w:val="20"/>
          <w:szCs w:val="20"/>
        </w:rPr>
        <w:t xml:space="preserve"> owners that </w:t>
      </w:r>
      <w:r w:rsidR="00AA6915">
        <w:rPr>
          <w:rFonts w:cs="Arial"/>
          <w:color w:val="auto"/>
          <w:sz w:val="20"/>
          <w:szCs w:val="20"/>
        </w:rPr>
        <w:t xml:space="preserve">gave a “pre-proceedings” letter relating to the Council’s calculation of its care home fees which could lead to a </w:t>
      </w:r>
      <w:r w:rsidR="00AA6915" w:rsidRPr="00281E63">
        <w:rPr>
          <w:rFonts w:cs="Arial"/>
          <w:color w:val="auto"/>
          <w:sz w:val="20"/>
          <w:szCs w:val="20"/>
        </w:rPr>
        <w:t>judi</w:t>
      </w:r>
      <w:r w:rsidR="00AA6915">
        <w:rPr>
          <w:rFonts w:cs="Arial"/>
          <w:color w:val="auto"/>
          <w:sz w:val="20"/>
          <w:szCs w:val="20"/>
        </w:rPr>
        <w:t>cial</w:t>
      </w:r>
      <w:r w:rsidR="00AA6915" w:rsidRPr="00281E63">
        <w:rPr>
          <w:rFonts w:cs="Arial"/>
          <w:color w:val="auto"/>
          <w:sz w:val="20"/>
          <w:szCs w:val="20"/>
        </w:rPr>
        <w:t xml:space="preserve"> review</w:t>
      </w:r>
      <w:r w:rsidR="00AA6915">
        <w:rPr>
          <w:rFonts w:cs="Arial"/>
          <w:color w:val="auto"/>
          <w:sz w:val="20"/>
          <w:szCs w:val="20"/>
        </w:rPr>
        <w:t xml:space="preserve"> again relating </w:t>
      </w:r>
      <w:r w:rsidR="00AA6915" w:rsidRPr="00281E63">
        <w:rPr>
          <w:rFonts w:cs="Arial"/>
          <w:color w:val="auto"/>
          <w:sz w:val="20"/>
          <w:szCs w:val="20"/>
        </w:rPr>
        <w:t>for 2014/15 and 2015/16 in re</w:t>
      </w:r>
      <w:r w:rsidR="00AA6915">
        <w:rPr>
          <w:rFonts w:cs="Arial"/>
          <w:color w:val="auto"/>
          <w:sz w:val="20"/>
          <w:szCs w:val="20"/>
        </w:rPr>
        <w:t>lation</w:t>
      </w:r>
      <w:r w:rsidR="00AA6915" w:rsidRPr="00281E63">
        <w:rPr>
          <w:rFonts w:cs="Arial"/>
          <w:color w:val="auto"/>
          <w:sz w:val="20"/>
          <w:szCs w:val="20"/>
        </w:rPr>
        <w:t xml:space="preserve"> to another aspect of the fee </w:t>
      </w:r>
      <w:r w:rsidR="00AA6915">
        <w:rPr>
          <w:rFonts w:cs="Arial"/>
          <w:color w:val="auto"/>
          <w:sz w:val="20"/>
          <w:szCs w:val="20"/>
        </w:rPr>
        <w:t>c</w:t>
      </w:r>
      <w:r w:rsidR="00AA6915" w:rsidRPr="00281E63">
        <w:rPr>
          <w:rFonts w:cs="Arial"/>
          <w:color w:val="auto"/>
          <w:sz w:val="20"/>
          <w:szCs w:val="20"/>
        </w:rPr>
        <w:t>alculation</w:t>
      </w:r>
      <w:r w:rsidR="00AA6915">
        <w:rPr>
          <w:rFonts w:cs="Arial"/>
          <w:color w:val="548DD4" w:themeColor="text2" w:themeTint="99"/>
          <w:sz w:val="20"/>
          <w:szCs w:val="20"/>
        </w:rPr>
        <w:t xml:space="preserve">. </w:t>
      </w:r>
      <w:r w:rsidR="0002714B" w:rsidRPr="00772155">
        <w:rPr>
          <w:rFonts w:cs="Arial"/>
          <w:color w:val="auto"/>
          <w:sz w:val="20"/>
          <w:szCs w:val="20"/>
        </w:rPr>
        <w:t xml:space="preserve">Any financial impact of the revised </w:t>
      </w:r>
      <w:r w:rsidR="007E33E1" w:rsidRPr="00772155">
        <w:rPr>
          <w:rFonts w:cs="Arial"/>
          <w:color w:val="auto"/>
          <w:sz w:val="20"/>
          <w:szCs w:val="20"/>
        </w:rPr>
        <w:t>judicial</w:t>
      </w:r>
      <w:r w:rsidR="0002714B" w:rsidRPr="00772155">
        <w:rPr>
          <w:rFonts w:cs="Arial"/>
          <w:color w:val="auto"/>
          <w:sz w:val="20"/>
          <w:szCs w:val="20"/>
        </w:rPr>
        <w:t xml:space="preserve"> review for 2014/15 </w:t>
      </w:r>
      <w:r w:rsidR="007E33E1" w:rsidRPr="00772155">
        <w:rPr>
          <w:rFonts w:cs="Arial"/>
          <w:color w:val="auto"/>
          <w:sz w:val="20"/>
          <w:szCs w:val="20"/>
        </w:rPr>
        <w:t>and 2015</w:t>
      </w:r>
      <w:r w:rsidR="0002714B" w:rsidRPr="00772155">
        <w:rPr>
          <w:rFonts w:cs="Arial"/>
          <w:color w:val="auto"/>
          <w:sz w:val="20"/>
          <w:szCs w:val="20"/>
        </w:rPr>
        <w:t>/16</w:t>
      </w:r>
      <w:r w:rsidR="001A6EA9">
        <w:rPr>
          <w:rFonts w:cs="Arial"/>
          <w:color w:val="auto"/>
          <w:sz w:val="20"/>
          <w:szCs w:val="20"/>
        </w:rPr>
        <w:t>, if successful,</w:t>
      </w:r>
      <w:r w:rsidR="0002714B" w:rsidRPr="00772155">
        <w:rPr>
          <w:rFonts w:cs="Arial"/>
          <w:color w:val="auto"/>
          <w:sz w:val="20"/>
          <w:szCs w:val="20"/>
        </w:rPr>
        <w:t xml:space="preserve"> </w:t>
      </w:r>
      <w:r w:rsidR="007E33E1" w:rsidRPr="00772155">
        <w:rPr>
          <w:rFonts w:cs="Arial"/>
          <w:color w:val="auto"/>
          <w:sz w:val="20"/>
          <w:szCs w:val="20"/>
        </w:rPr>
        <w:t>would be</w:t>
      </w:r>
      <w:r w:rsidR="0002714B" w:rsidRPr="00772155">
        <w:rPr>
          <w:rFonts w:cs="Arial"/>
          <w:color w:val="auto"/>
          <w:sz w:val="20"/>
          <w:szCs w:val="20"/>
        </w:rPr>
        <w:t xml:space="preserve"> a Council liability. </w:t>
      </w:r>
    </w:p>
    <w:p w:rsidR="00E51139" w:rsidRPr="0002714B" w:rsidRDefault="00E51139" w:rsidP="004640C1">
      <w:pPr>
        <w:pStyle w:val="BodyText"/>
        <w:widowControl w:val="0"/>
        <w:ind w:left="567"/>
        <w:rPr>
          <w:color w:val="auto"/>
          <w:sz w:val="20"/>
          <w:szCs w:val="20"/>
        </w:rPr>
      </w:pPr>
      <w:r w:rsidRPr="0002714B">
        <w:rPr>
          <w:color w:val="auto"/>
          <w:sz w:val="20"/>
          <w:szCs w:val="20"/>
        </w:rPr>
        <w:t>Events taking place after th</w:t>
      </w:r>
      <w:r w:rsidR="00AA6915">
        <w:rPr>
          <w:color w:val="auto"/>
          <w:sz w:val="20"/>
          <w:szCs w:val="20"/>
        </w:rPr>
        <w:t>e 3</w:t>
      </w:r>
      <w:r w:rsidR="00AA6915" w:rsidRPr="00AA6915">
        <w:rPr>
          <w:color w:val="auto"/>
          <w:sz w:val="20"/>
          <w:szCs w:val="20"/>
          <w:vertAlign w:val="superscript"/>
        </w:rPr>
        <w:t>rd</w:t>
      </w:r>
      <w:r w:rsidR="00AA6915">
        <w:rPr>
          <w:color w:val="auto"/>
          <w:sz w:val="20"/>
          <w:szCs w:val="20"/>
        </w:rPr>
        <w:t xml:space="preserve"> June 2016 </w:t>
      </w:r>
      <w:r w:rsidRPr="0002714B">
        <w:rPr>
          <w:color w:val="auto"/>
          <w:sz w:val="20"/>
          <w:szCs w:val="20"/>
        </w:rPr>
        <w:t>are not reflected in the financial statements</w:t>
      </w:r>
      <w:r w:rsidR="008471CB">
        <w:rPr>
          <w:color w:val="auto"/>
          <w:sz w:val="20"/>
          <w:szCs w:val="20"/>
        </w:rPr>
        <w:t>.</w:t>
      </w:r>
      <w:r w:rsidRPr="0002714B">
        <w:rPr>
          <w:color w:val="auto"/>
          <w:sz w:val="20"/>
          <w:szCs w:val="20"/>
        </w:rPr>
        <w:t xml:space="preserve">  </w:t>
      </w:r>
    </w:p>
    <w:p w:rsidR="00E2794C" w:rsidRPr="00AC7EED" w:rsidRDefault="00E51139" w:rsidP="00E2794C">
      <w:pPr>
        <w:pStyle w:val="Subtitle"/>
        <w:ind w:left="567" w:hanging="567"/>
        <w:rPr>
          <w:b/>
          <w:color w:val="auto"/>
          <w:sz w:val="22"/>
          <w:szCs w:val="22"/>
        </w:rPr>
      </w:pPr>
      <w:r w:rsidRPr="00AC7EED">
        <w:rPr>
          <w:b/>
          <w:color w:val="auto"/>
          <w:sz w:val="22"/>
          <w:szCs w:val="22"/>
        </w:rPr>
        <w:t>7.</w:t>
      </w:r>
      <w:r w:rsidR="00A24D5D" w:rsidRPr="00AC7EED">
        <w:rPr>
          <w:b/>
          <w:color w:val="auto"/>
          <w:sz w:val="22"/>
          <w:szCs w:val="22"/>
        </w:rPr>
        <w:t xml:space="preserve">       </w:t>
      </w:r>
      <w:r w:rsidRPr="00AC7EED">
        <w:rPr>
          <w:b/>
          <w:color w:val="auto"/>
          <w:sz w:val="22"/>
          <w:szCs w:val="22"/>
        </w:rPr>
        <w:t>Adjustments between Accounting Basis and Funding Basis under Regulations</w:t>
      </w:r>
    </w:p>
    <w:p w:rsidR="008471CB" w:rsidRPr="00AC7EED" w:rsidRDefault="009E1013" w:rsidP="008471CB">
      <w:pPr>
        <w:pStyle w:val="BodyText"/>
        <w:widowControl w:val="0"/>
        <w:ind w:left="567"/>
        <w:rPr>
          <w:rFonts w:cs="Arial"/>
          <w:color w:val="auto"/>
          <w:sz w:val="20"/>
          <w:szCs w:val="20"/>
        </w:rPr>
        <w:sectPr w:rsidR="008471CB" w:rsidRPr="00AC7EED" w:rsidSect="001A3F09">
          <w:headerReference w:type="default" r:id="rId37"/>
          <w:headerReference w:type="first" r:id="rId38"/>
          <w:pgSz w:w="11906" w:h="16838" w:code="9"/>
          <w:pgMar w:top="1440" w:right="1440" w:bottom="1440" w:left="1440" w:header="544" w:footer="544" w:gutter="0"/>
          <w:cols w:space="708"/>
          <w:titlePg/>
          <w:docGrid w:linePitch="360"/>
        </w:sectPr>
      </w:pPr>
      <w:r w:rsidRPr="00AC7EED">
        <w:rPr>
          <w:rFonts w:cs="Arial"/>
          <w:color w:val="auto"/>
          <w:sz w:val="20"/>
          <w:szCs w:val="20"/>
        </w:rPr>
        <w:t xml:space="preserve">This note details the adjustments that are made to the total comprehensive income and expenditure recognised by the Council in the year in accordance with proper accounting practice to the resources that are specified by statutory provisions as being available to the Council to meet future </w:t>
      </w:r>
      <w:r w:rsidR="00815C6B" w:rsidRPr="00AC7EED">
        <w:rPr>
          <w:rFonts w:cs="Arial"/>
          <w:color w:val="auto"/>
          <w:sz w:val="20"/>
          <w:szCs w:val="20"/>
        </w:rPr>
        <w:t>capital and revenue expenditure.</w:t>
      </w:r>
      <w:r w:rsidR="006B4DCE" w:rsidRPr="00AC7EED">
        <w:rPr>
          <w:rFonts w:cs="Arial"/>
          <w:color w:val="auto"/>
          <w:sz w:val="20"/>
          <w:szCs w:val="20"/>
        </w:rPr>
        <w:t xml:space="preserve">  </w:t>
      </w:r>
      <w:r w:rsidR="008471CB" w:rsidRPr="00AC7EED">
        <w:rPr>
          <w:rFonts w:cs="Arial"/>
          <w:color w:val="auto"/>
          <w:sz w:val="18"/>
          <w:szCs w:val="18"/>
        </w:rPr>
        <w:t>Other includes: Accumulated Absences Adjustment Account</w:t>
      </w:r>
      <w:r w:rsidR="00754183">
        <w:rPr>
          <w:rFonts w:cs="Arial"/>
          <w:color w:val="auto"/>
          <w:sz w:val="18"/>
          <w:szCs w:val="18"/>
        </w:rPr>
        <w:t>,</w:t>
      </w:r>
      <w:r w:rsidR="008471CB" w:rsidRPr="00AC7EED">
        <w:rPr>
          <w:rFonts w:cs="Arial"/>
          <w:color w:val="auto"/>
          <w:sz w:val="18"/>
          <w:szCs w:val="18"/>
        </w:rPr>
        <w:t xml:space="preserve"> </w:t>
      </w:r>
      <w:r w:rsidR="00754183">
        <w:rPr>
          <w:rFonts w:cs="Arial"/>
          <w:color w:val="auto"/>
          <w:sz w:val="18"/>
          <w:szCs w:val="18"/>
        </w:rPr>
        <w:t xml:space="preserve"> </w:t>
      </w:r>
      <w:r w:rsidR="008471CB" w:rsidRPr="00AC7EED">
        <w:rPr>
          <w:rFonts w:cs="Arial"/>
          <w:color w:val="auto"/>
          <w:sz w:val="18"/>
          <w:szCs w:val="18"/>
        </w:rPr>
        <w:t>Collection Fund Adjustment Account</w:t>
      </w:r>
      <w:r w:rsidR="00754183">
        <w:rPr>
          <w:rFonts w:cs="Arial"/>
          <w:color w:val="auto"/>
          <w:sz w:val="18"/>
          <w:szCs w:val="18"/>
        </w:rPr>
        <w:t xml:space="preserve"> and Financial Instruments Adjustment Account.</w:t>
      </w:r>
    </w:p>
    <w:tbl>
      <w:tblPr>
        <w:tblStyle w:val="ListTable3-Accent51"/>
        <w:tblW w:w="14961" w:type="dxa"/>
        <w:tblInd w:w="-536" w:type="dxa"/>
        <w:tblBorders>
          <w:top w:val="single" w:sz="4" w:space="0" w:color="4BACC6"/>
          <w:left w:val="single" w:sz="4" w:space="0" w:color="4BACC6"/>
          <w:bottom w:val="single" w:sz="4" w:space="0" w:color="4BACC6"/>
          <w:right w:val="single" w:sz="4" w:space="0" w:color="4BACC6"/>
        </w:tblBorders>
        <w:tblLayout w:type="fixed"/>
        <w:tblLook w:val="04A0"/>
      </w:tblPr>
      <w:tblGrid>
        <w:gridCol w:w="911"/>
        <w:gridCol w:w="700"/>
        <w:gridCol w:w="872"/>
        <w:gridCol w:w="686"/>
        <w:gridCol w:w="853"/>
        <w:gridCol w:w="218"/>
        <w:gridCol w:w="491"/>
        <w:gridCol w:w="5227"/>
        <w:gridCol w:w="154"/>
        <w:gridCol w:w="30"/>
        <w:gridCol w:w="111"/>
        <w:gridCol w:w="30"/>
        <w:gridCol w:w="106"/>
        <w:gridCol w:w="133"/>
        <w:gridCol w:w="440"/>
        <w:gridCol w:w="30"/>
        <w:gridCol w:w="121"/>
        <w:gridCol w:w="145"/>
        <w:gridCol w:w="422"/>
        <w:gridCol w:w="21"/>
        <w:gridCol w:w="136"/>
        <w:gridCol w:w="144"/>
        <w:gridCol w:w="712"/>
        <w:gridCol w:w="709"/>
        <w:gridCol w:w="142"/>
        <w:gridCol w:w="567"/>
        <w:gridCol w:w="141"/>
        <w:gridCol w:w="709"/>
      </w:tblGrid>
      <w:tr w:rsidR="002137DD" w:rsidRPr="005D7390" w:rsidTr="008A25D1">
        <w:trPr>
          <w:cnfStyle w:val="100000000000"/>
          <w:trHeight w:hRule="exact" w:val="284"/>
        </w:trPr>
        <w:tc>
          <w:tcPr>
            <w:cnfStyle w:val="001000000100"/>
            <w:tcW w:w="4240" w:type="dxa"/>
            <w:gridSpan w:val="6"/>
            <w:tcBorders>
              <w:bottom w:val="none" w:sz="0" w:space="0" w:color="auto"/>
              <w:right w:val="none" w:sz="0" w:space="0" w:color="auto"/>
            </w:tcBorders>
          </w:tcPr>
          <w:p w:rsidR="002137DD" w:rsidRPr="005D7390" w:rsidRDefault="002137DD" w:rsidP="003E75F7">
            <w:pPr>
              <w:pStyle w:val="BodyText"/>
              <w:widowControl w:val="0"/>
              <w:ind w:left="-1276" w:firstLine="1843"/>
              <w:jc w:val="center"/>
              <w:rPr>
                <w:rFonts w:cs="Arial"/>
                <w:b w:val="0"/>
                <w:bCs w:val="0"/>
                <w:color w:val="auto"/>
                <w:sz w:val="20"/>
                <w:szCs w:val="20"/>
              </w:rPr>
            </w:pPr>
            <w:r w:rsidRPr="005D7390">
              <w:rPr>
                <w:rFonts w:cs="Arial"/>
                <w:b w:val="0"/>
                <w:bCs w:val="0"/>
                <w:color w:val="auto"/>
                <w:sz w:val="20"/>
                <w:szCs w:val="20"/>
              </w:rPr>
              <w:lastRenderedPageBreak/>
              <w:t>201</w:t>
            </w:r>
            <w:r w:rsidR="003E75F7" w:rsidRPr="005D7390">
              <w:rPr>
                <w:rFonts w:cs="Arial"/>
                <w:b w:val="0"/>
                <w:bCs w:val="0"/>
                <w:color w:val="auto"/>
                <w:sz w:val="20"/>
                <w:szCs w:val="20"/>
              </w:rPr>
              <w:t>4</w:t>
            </w:r>
            <w:r w:rsidRPr="005D7390">
              <w:rPr>
                <w:rFonts w:cs="Arial"/>
                <w:b w:val="0"/>
                <w:bCs w:val="0"/>
                <w:color w:val="auto"/>
                <w:sz w:val="20"/>
                <w:szCs w:val="20"/>
              </w:rPr>
              <w:t>/1</w:t>
            </w:r>
            <w:r w:rsidR="003E75F7" w:rsidRPr="005D7390">
              <w:rPr>
                <w:rFonts w:cs="Arial"/>
                <w:b w:val="0"/>
                <w:bCs w:val="0"/>
                <w:color w:val="auto"/>
                <w:sz w:val="20"/>
                <w:szCs w:val="20"/>
              </w:rPr>
              <w:t>5</w:t>
            </w:r>
            <w:r w:rsidR="00033E41" w:rsidRPr="005D7390">
              <w:rPr>
                <w:rFonts w:cs="Arial"/>
                <w:b w:val="0"/>
                <w:bCs w:val="0"/>
                <w:color w:val="auto"/>
                <w:sz w:val="20"/>
                <w:szCs w:val="20"/>
              </w:rPr>
              <w:t xml:space="preserve"> restated</w:t>
            </w:r>
          </w:p>
        </w:tc>
        <w:tc>
          <w:tcPr>
            <w:tcW w:w="491" w:type="dxa"/>
          </w:tcPr>
          <w:p w:rsidR="002137DD" w:rsidRPr="005D7390" w:rsidRDefault="002137DD" w:rsidP="005B7422">
            <w:pPr>
              <w:pStyle w:val="BodyText"/>
              <w:widowControl w:val="0"/>
              <w:ind w:left="-1276" w:firstLine="1843"/>
              <w:cnfStyle w:val="100000000000"/>
              <w:rPr>
                <w:rFonts w:cs="Arial"/>
                <w:b w:val="0"/>
                <w:bCs w:val="0"/>
                <w:color w:val="auto"/>
                <w:sz w:val="20"/>
                <w:szCs w:val="20"/>
              </w:rPr>
            </w:pPr>
          </w:p>
        </w:tc>
        <w:tc>
          <w:tcPr>
            <w:tcW w:w="5227" w:type="dxa"/>
          </w:tcPr>
          <w:p w:rsidR="002137DD" w:rsidRPr="005D7390" w:rsidRDefault="002137DD" w:rsidP="005B7422">
            <w:pPr>
              <w:pStyle w:val="BodyText"/>
              <w:widowControl w:val="0"/>
              <w:ind w:left="-1276" w:firstLine="1843"/>
              <w:cnfStyle w:val="100000000000"/>
              <w:rPr>
                <w:rFonts w:cs="Arial"/>
                <w:b w:val="0"/>
                <w:bCs w:val="0"/>
                <w:color w:val="auto"/>
                <w:sz w:val="20"/>
                <w:szCs w:val="20"/>
              </w:rPr>
            </w:pPr>
          </w:p>
        </w:tc>
        <w:tc>
          <w:tcPr>
            <w:tcW w:w="5003" w:type="dxa"/>
            <w:gridSpan w:val="20"/>
          </w:tcPr>
          <w:p w:rsidR="002137DD" w:rsidRPr="005D7390" w:rsidRDefault="002137DD" w:rsidP="003E75F7">
            <w:pPr>
              <w:pStyle w:val="BodyText"/>
              <w:widowControl w:val="0"/>
              <w:ind w:left="-1276" w:firstLine="1843"/>
              <w:jc w:val="center"/>
              <w:cnfStyle w:val="100000000000"/>
              <w:rPr>
                <w:rFonts w:cs="Arial"/>
                <w:bCs w:val="0"/>
                <w:color w:val="auto"/>
                <w:sz w:val="20"/>
                <w:szCs w:val="20"/>
              </w:rPr>
            </w:pPr>
            <w:r w:rsidRPr="005D7390">
              <w:rPr>
                <w:rFonts w:cs="Arial"/>
                <w:bCs w:val="0"/>
                <w:color w:val="auto"/>
                <w:sz w:val="20"/>
                <w:szCs w:val="20"/>
              </w:rPr>
              <w:t>201</w:t>
            </w:r>
            <w:r w:rsidR="003E75F7" w:rsidRPr="005D7390">
              <w:rPr>
                <w:rFonts w:cs="Arial"/>
                <w:bCs w:val="0"/>
                <w:color w:val="auto"/>
                <w:sz w:val="20"/>
                <w:szCs w:val="20"/>
              </w:rPr>
              <w:t>5</w:t>
            </w:r>
            <w:r w:rsidRPr="005D7390">
              <w:rPr>
                <w:rFonts w:cs="Arial"/>
                <w:bCs w:val="0"/>
                <w:color w:val="auto"/>
                <w:sz w:val="20"/>
                <w:szCs w:val="20"/>
              </w:rPr>
              <w:t>/1</w:t>
            </w:r>
            <w:r w:rsidR="003E75F7" w:rsidRPr="005D7390">
              <w:rPr>
                <w:rFonts w:cs="Arial"/>
                <w:bCs w:val="0"/>
                <w:color w:val="auto"/>
                <w:sz w:val="20"/>
                <w:szCs w:val="20"/>
              </w:rPr>
              <w:t>6</w:t>
            </w:r>
          </w:p>
        </w:tc>
      </w:tr>
      <w:tr w:rsidR="00E1210A" w:rsidRPr="005D7390" w:rsidTr="008A25D1">
        <w:trPr>
          <w:cnfStyle w:val="000000100000"/>
          <w:trHeight w:val="355"/>
        </w:trPr>
        <w:tc>
          <w:tcPr>
            <w:cnfStyle w:val="001000000000"/>
            <w:tcW w:w="2483" w:type="dxa"/>
            <w:gridSpan w:val="3"/>
            <w:tcBorders>
              <w:top w:val="none" w:sz="0" w:space="0" w:color="auto"/>
              <w:bottom w:val="none" w:sz="0" w:space="0" w:color="auto"/>
              <w:right w:val="none" w:sz="0" w:space="0" w:color="auto"/>
            </w:tcBorders>
            <w:shd w:val="clear" w:color="auto" w:fill="4BACC6" w:themeFill="accent5"/>
          </w:tcPr>
          <w:p w:rsidR="00E1210A" w:rsidRPr="005D7390" w:rsidRDefault="00E1210A" w:rsidP="006055F2">
            <w:pPr>
              <w:pStyle w:val="ExampleSub"/>
              <w:keepNext w:val="0"/>
              <w:keepLines w:val="0"/>
              <w:ind w:left="0"/>
              <w:jc w:val="center"/>
              <w:rPr>
                <w:rFonts w:ascii="Arial" w:hAnsi="Arial" w:cs="Arial"/>
                <w:color w:val="auto"/>
                <w:sz w:val="20"/>
                <w:szCs w:val="20"/>
              </w:rPr>
            </w:pPr>
            <w:r w:rsidRPr="005D7390">
              <w:rPr>
                <w:rFonts w:ascii="Arial" w:hAnsi="Arial" w:cs="Arial"/>
                <w:color w:val="auto"/>
                <w:sz w:val="18"/>
                <w:szCs w:val="18"/>
              </w:rPr>
              <w:t>Useable Reserves</w:t>
            </w:r>
          </w:p>
        </w:tc>
        <w:tc>
          <w:tcPr>
            <w:tcW w:w="2248" w:type="dxa"/>
            <w:gridSpan w:val="4"/>
            <w:tcBorders>
              <w:top w:val="none" w:sz="0" w:space="0" w:color="auto"/>
              <w:bottom w:val="none" w:sz="0" w:space="0" w:color="auto"/>
            </w:tcBorders>
            <w:shd w:val="clear" w:color="auto" w:fill="4BACC6" w:themeFill="accent5"/>
          </w:tcPr>
          <w:p w:rsidR="00E1210A" w:rsidRPr="005D7390" w:rsidRDefault="00E1210A" w:rsidP="00AF7FAC">
            <w:pPr>
              <w:pStyle w:val="ExampleSub"/>
              <w:keepNext w:val="0"/>
              <w:keepLines w:val="0"/>
              <w:ind w:left="0"/>
              <w:jc w:val="center"/>
              <w:cnfStyle w:val="000000100000"/>
              <w:rPr>
                <w:rFonts w:ascii="Arial" w:hAnsi="Arial" w:cs="Arial"/>
                <w:color w:val="auto"/>
                <w:sz w:val="24"/>
                <w:szCs w:val="24"/>
              </w:rPr>
            </w:pPr>
            <w:r w:rsidRPr="005D7390">
              <w:rPr>
                <w:rFonts w:ascii="Arial" w:hAnsi="Arial" w:cs="Arial"/>
                <w:bCs w:val="0"/>
                <w:color w:val="auto"/>
                <w:sz w:val="18"/>
                <w:szCs w:val="18"/>
              </w:rPr>
              <w:t>Unusable Reserves</w:t>
            </w:r>
          </w:p>
        </w:tc>
        <w:tc>
          <w:tcPr>
            <w:tcW w:w="5791" w:type="dxa"/>
            <w:gridSpan w:val="7"/>
            <w:tcBorders>
              <w:top w:val="none" w:sz="0" w:space="0" w:color="auto"/>
              <w:bottom w:val="none" w:sz="0" w:space="0" w:color="auto"/>
            </w:tcBorders>
            <w:shd w:val="clear" w:color="auto" w:fill="4BACC6" w:themeFill="accent5"/>
          </w:tcPr>
          <w:p w:rsidR="00E1210A" w:rsidRPr="005D7390" w:rsidRDefault="00E1210A" w:rsidP="006055F2">
            <w:pPr>
              <w:pStyle w:val="ExampleSub"/>
              <w:keepNext w:val="0"/>
              <w:keepLines w:val="0"/>
              <w:ind w:left="0"/>
              <w:cnfStyle w:val="000000100000"/>
              <w:rPr>
                <w:rFonts w:ascii="Arial" w:hAnsi="Arial" w:cs="Arial"/>
                <w:color w:val="auto"/>
                <w:sz w:val="24"/>
                <w:szCs w:val="24"/>
              </w:rPr>
            </w:pPr>
          </w:p>
        </w:tc>
        <w:tc>
          <w:tcPr>
            <w:tcW w:w="2171" w:type="dxa"/>
            <w:gridSpan w:val="9"/>
            <w:tcBorders>
              <w:top w:val="none" w:sz="0" w:space="0" w:color="auto"/>
              <w:bottom w:val="none" w:sz="0" w:space="0" w:color="auto"/>
            </w:tcBorders>
            <w:shd w:val="clear" w:color="auto" w:fill="4BACC6" w:themeFill="accent5"/>
          </w:tcPr>
          <w:p w:rsidR="00E1210A" w:rsidRPr="005D7390" w:rsidRDefault="00E1210A" w:rsidP="006055F2">
            <w:pPr>
              <w:pStyle w:val="ExampleSub"/>
              <w:keepNext w:val="0"/>
              <w:keepLines w:val="0"/>
              <w:ind w:left="0"/>
              <w:jc w:val="center"/>
              <w:cnfStyle w:val="000000100000"/>
              <w:rPr>
                <w:rFonts w:ascii="Arial" w:hAnsi="Arial" w:cs="Arial"/>
                <w:bCs w:val="0"/>
                <w:color w:val="auto"/>
                <w:sz w:val="20"/>
                <w:szCs w:val="20"/>
              </w:rPr>
            </w:pPr>
            <w:r w:rsidRPr="005D7390">
              <w:rPr>
                <w:rFonts w:ascii="Arial" w:hAnsi="Arial" w:cs="Arial"/>
                <w:bCs w:val="0"/>
                <w:color w:val="auto"/>
                <w:sz w:val="20"/>
                <w:szCs w:val="20"/>
              </w:rPr>
              <w:t>Useable Reserves</w:t>
            </w:r>
          </w:p>
        </w:tc>
        <w:tc>
          <w:tcPr>
            <w:tcW w:w="2268" w:type="dxa"/>
            <w:gridSpan w:val="5"/>
            <w:tcBorders>
              <w:top w:val="none" w:sz="0" w:space="0" w:color="auto"/>
              <w:bottom w:val="none" w:sz="0" w:space="0" w:color="auto"/>
            </w:tcBorders>
            <w:shd w:val="clear" w:color="auto" w:fill="4BACC6" w:themeFill="accent5"/>
          </w:tcPr>
          <w:p w:rsidR="00E1210A" w:rsidRPr="005D7390" w:rsidRDefault="00E1210A" w:rsidP="00924FCE">
            <w:pPr>
              <w:pStyle w:val="ExampleSub"/>
              <w:ind w:left="0"/>
              <w:cnfStyle w:val="000000100000"/>
              <w:rPr>
                <w:rFonts w:ascii="Arial" w:hAnsi="Arial" w:cs="Arial"/>
                <w:bCs w:val="0"/>
                <w:color w:val="auto"/>
                <w:sz w:val="20"/>
                <w:szCs w:val="20"/>
              </w:rPr>
            </w:pPr>
            <w:r w:rsidRPr="005D7390">
              <w:rPr>
                <w:rFonts w:ascii="Arial" w:hAnsi="Arial" w:cs="Arial"/>
                <w:bCs w:val="0"/>
                <w:color w:val="auto"/>
                <w:sz w:val="20"/>
                <w:szCs w:val="20"/>
              </w:rPr>
              <w:t>Unuseable Reserve</w:t>
            </w:r>
            <w:r w:rsidR="00924FCE" w:rsidRPr="005D7390">
              <w:rPr>
                <w:rFonts w:ascii="Arial" w:hAnsi="Arial" w:cs="Arial"/>
                <w:bCs w:val="0"/>
                <w:color w:val="auto"/>
                <w:sz w:val="20"/>
                <w:szCs w:val="20"/>
              </w:rPr>
              <w:t>s</w:t>
            </w:r>
          </w:p>
        </w:tc>
      </w:tr>
      <w:tr w:rsidR="00DA4D87" w:rsidRPr="005D7390" w:rsidTr="008A25D1">
        <w:trPr>
          <w:trHeight w:val="1701"/>
        </w:trPr>
        <w:tc>
          <w:tcPr>
            <w:cnfStyle w:val="001000000000"/>
            <w:tcW w:w="911" w:type="dxa"/>
            <w:tcBorders>
              <w:right w:val="none" w:sz="0" w:space="0" w:color="auto"/>
            </w:tcBorders>
            <w:shd w:val="clear" w:color="auto" w:fill="4BACC6" w:themeFill="accent5"/>
            <w:textDirection w:val="btLr"/>
          </w:tcPr>
          <w:p w:rsidR="00D25A5A" w:rsidRPr="005D7390" w:rsidRDefault="00D25A5A" w:rsidP="00C959F0">
            <w:pPr>
              <w:pStyle w:val="ExampleSub"/>
              <w:keepNext w:val="0"/>
              <w:keepLines w:val="0"/>
              <w:ind w:left="113" w:right="113"/>
              <w:rPr>
                <w:rFonts w:ascii="Arial" w:hAnsi="Arial" w:cs="Arial"/>
                <w:color w:val="auto"/>
                <w:sz w:val="20"/>
                <w:szCs w:val="20"/>
              </w:rPr>
            </w:pPr>
            <w:r w:rsidRPr="005D7390">
              <w:rPr>
                <w:rFonts w:ascii="Arial" w:hAnsi="Arial" w:cs="Arial"/>
                <w:color w:val="auto"/>
                <w:sz w:val="20"/>
                <w:szCs w:val="20"/>
              </w:rPr>
              <w:t>General Fund</w:t>
            </w:r>
          </w:p>
        </w:tc>
        <w:tc>
          <w:tcPr>
            <w:tcW w:w="700" w:type="dxa"/>
            <w:shd w:val="clear" w:color="auto" w:fill="4BACC6" w:themeFill="accent5"/>
            <w:textDirection w:val="btLr"/>
          </w:tcPr>
          <w:p w:rsidR="00D25A5A" w:rsidRPr="005D7390" w:rsidRDefault="00D25A5A" w:rsidP="00C959F0">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872" w:type="dxa"/>
            <w:shd w:val="clear" w:color="auto" w:fill="4BACC6" w:themeFill="accent5"/>
            <w:textDirection w:val="btLr"/>
          </w:tcPr>
          <w:p w:rsidR="00D25A5A" w:rsidRPr="005D7390" w:rsidRDefault="00D25A5A" w:rsidP="00E1210A">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Capital Grants Unappl’d</w:t>
            </w:r>
          </w:p>
        </w:tc>
        <w:tc>
          <w:tcPr>
            <w:tcW w:w="686" w:type="dxa"/>
            <w:shd w:val="clear" w:color="auto" w:fill="4BACC6" w:themeFill="accent5"/>
            <w:textDirection w:val="btLr"/>
          </w:tcPr>
          <w:p w:rsidR="00D25A5A" w:rsidRPr="005D7390" w:rsidRDefault="00D25A5A" w:rsidP="00C959F0">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853" w:type="dxa"/>
            <w:shd w:val="clear" w:color="auto" w:fill="4BACC6" w:themeFill="accent5"/>
            <w:textDirection w:val="btLr"/>
          </w:tcPr>
          <w:p w:rsidR="00D25A5A" w:rsidRPr="005D7390" w:rsidRDefault="00D25A5A" w:rsidP="00C959F0">
            <w:pPr>
              <w:pStyle w:val="ExampleSub"/>
              <w:keepNext w:val="0"/>
              <w:keepLines w:val="0"/>
              <w:ind w:left="113" w:right="113"/>
              <w:cnfStyle w:val="000000000000"/>
              <w:rPr>
                <w:rFonts w:ascii="Arial" w:hAnsi="Arial" w:cs="Arial"/>
                <w:bCs w:val="0"/>
                <w:color w:val="auto"/>
                <w:sz w:val="22"/>
                <w:szCs w:val="22"/>
              </w:rPr>
            </w:pPr>
            <w:r w:rsidRPr="005D7390">
              <w:rPr>
                <w:rFonts w:ascii="Arial" w:hAnsi="Arial" w:cs="Arial"/>
                <w:b w:val="0"/>
                <w:bCs w:val="0"/>
                <w:color w:val="auto"/>
                <w:sz w:val="20"/>
                <w:szCs w:val="20"/>
              </w:rPr>
              <w:t xml:space="preserve">Pension </w:t>
            </w:r>
          </w:p>
        </w:tc>
        <w:tc>
          <w:tcPr>
            <w:tcW w:w="709" w:type="dxa"/>
            <w:gridSpan w:val="2"/>
            <w:shd w:val="clear" w:color="auto" w:fill="4BACC6" w:themeFill="accent5"/>
            <w:textDirection w:val="btLr"/>
          </w:tcPr>
          <w:p w:rsidR="00D25A5A" w:rsidRPr="005D7390" w:rsidRDefault="00D25A5A" w:rsidP="00C959F0">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Other</w:t>
            </w:r>
          </w:p>
        </w:tc>
        <w:tc>
          <w:tcPr>
            <w:tcW w:w="5381" w:type="dxa"/>
            <w:gridSpan w:val="2"/>
            <w:shd w:val="clear" w:color="auto" w:fill="4BACC6" w:themeFill="accent5"/>
            <w:textDirection w:val="btLr"/>
          </w:tcPr>
          <w:p w:rsidR="00D25A5A" w:rsidRPr="005D7390" w:rsidRDefault="00D25A5A" w:rsidP="00C959F0">
            <w:pPr>
              <w:pStyle w:val="ExampleSub"/>
              <w:keepNext w:val="0"/>
              <w:keepLines w:val="0"/>
              <w:ind w:left="113" w:right="113"/>
              <w:cnfStyle w:val="000000000000"/>
              <w:rPr>
                <w:rFonts w:ascii="Arial" w:hAnsi="Arial" w:cs="Arial"/>
                <w:bCs w:val="0"/>
                <w:color w:val="auto"/>
                <w:sz w:val="22"/>
                <w:szCs w:val="22"/>
              </w:rPr>
            </w:pPr>
          </w:p>
        </w:tc>
        <w:tc>
          <w:tcPr>
            <w:tcW w:w="850" w:type="dxa"/>
            <w:gridSpan w:val="6"/>
            <w:shd w:val="clear" w:color="auto" w:fill="4BACC6" w:themeFill="accent5"/>
            <w:textDirection w:val="btLr"/>
          </w:tcPr>
          <w:p w:rsidR="00D25A5A" w:rsidRPr="005D7390" w:rsidRDefault="00D25A5A" w:rsidP="00C959F0">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General Fund</w:t>
            </w:r>
          </w:p>
        </w:tc>
        <w:tc>
          <w:tcPr>
            <w:tcW w:w="718" w:type="dxa"/>
            <w:gridSpan w:val="4"/>
            <w:shd w:val="clear" w:color="auto" w:fill="4BACC6" w:themeFill="accent5"/>
            <w:textDirection w:val="btLr"/>
          </w:tcPr>
          <w:p w:rsidR="00D25A5A" w:rsidRPr="005D7390" w:rsidRDefault="00D25A5A" w:rsidP="00AF7FAC">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1013" w:type="dxa"/>
            <w:gridSpan w:val="4"/>
            <w:shd w:val="clear" w:color="auto" w:fill="4BACC6" w:themeFill="accent5"/>
            <w:textDirection w:val="btLr"/>
          </w:tcPr>
          <w:p w:rsidR="00D25A5A" w:rsidRPr="005D7390" w:rsidRDefault="00D25A5A" w:rsidP="00E53028">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 xml:space="preserve">Capital </w:t>
            </w:r>
            <w:r w:rsidR="00E53028" w:rsidRPr="005D7390">
              <w:rPr>
                <w:rFonts w:ascii="Arial" w:hAnsi="Arial" w:cs="Arial"/>
                <w:b w:val="0"/>
                <w:bCs w:val="0"/>
                <w:color w:val="auto"/>
                <w:sz w:val="20"/>
                <w:szCs w:val="20"/>
              </w:rPr>
              <w:t>Grants</w:t>
            </w:r>
            <w:r w:rsidRPr="005D7390">
              <w:rPr>
                <w:rFonts w:ascii="Arial" w:hAnsi="Arial" w:cs="Arial"/>
                <w:b w:val="0"/>
                <w:bCs w:val="0"/>
                <w:color w:val="auto"/>
                <w:sz w:val="20"/>
                <w:szCs w:val="20"/>
              </w:rPr>
              <w:t xml:space="preserve"> Unappl’d</w:t>
            </w:r>
          </w:p>
        </w:tc>
        <w:tc>
          <w:tcPr>
            <w:tcW w:w="709" w:type="dxa"/>
            <w:shd w:val="clear" w:color="auto" w:fill="4BACC6" w:themeFill="accent5"/>
            <w:textDirection w:val="btLr"/>
          </w:tcPr>
          <w:p w:rsidR="00D25A5A" w:rsidRPr="005D7390" w:rsidRDefault="00D25A5A" w:rsidP="00C959F0">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709" w:type="dxa"/>
            <w:gridSpan w:val="2"/>
            <w:shd w:val="clear" w:color="auto" w:fill="4BACC6" w:themeFill="accent5"/>
            <w:textDirection w:val="btLr"/>
          </w:tcPr>
          <w:p w:rsidR="00D25A5A" w:rsidRPr="005D7390" w:rsidRDefault="00D25A5A" w:rsidP="00C959F0">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Pension</w:t>
            </w:r>
          </w:p>
        </w:tc>
        <w:tc>
          <w:tcPr>
            <w:tcW w:w="850" w:type="dxa"/>
            <w:gridSpan w:val="2"/>
            <w:shd w:val="clear" w:color="auto" w:fill="4BACC6" w:themeFill="accent5"/>
            <w:textDirection w:val="btLr"/>
          </w:tcPr>
          <w:p w:rsidR="00D25A5A" w:rsidRPr="005D7390" w:rsidRDefault="00D25A5A" w:rsidP="00C959F0">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Other</w:t>
            </w:r>
          </w:p>
        </w:tc>
      </w:tr>
      <w:tr w:rsidR="00DA4D87" w:rsidRPr="005D7390" w:rsidTr="008A25D1">
        <w:trPr>
          <w:cnfStyle w:val="000000100000"/>
          <w:trHeight w:hRule="exact" w:val="454"/>
        </w:trPr>
        <w:tc>
          <w:tcPr>
            <w:cnfStyle w:val="001000000000"/>
            <w:tcW w:w="911" w:type="dxa"/>
            <w:tcBorders>
              <w:top w:val="none" w:sz="0" w:space="0" w:color="auto"/>
              <w:bottom w:val="none" w:sz="0" w:space="0" w:color="auto"/>
              <w:right w:val="none" w:sz="0" w:space="0" w:color="auto"/>
            </w:tcBorders>
            <w:shd w:val="clear" w:color="auto" w:fill="4BACC6" w:themeFill="accent5"/>
          </w:tcPr>
          <w:p w:rsidR="00D25A5A" w:rsidRPr="005D7390" w:rsidRDefault="00D25A5A" w:rsidP="009E1013">
            <w:pPr>
              <w:pStyle w:val="ExampleSub"/>
              <w:keepNext w:val="0"/>
              <w:keepLines w:val="0"/>
              <w:ind w:left="0"/>
              <w:jc w:val="center"/>
              <w:rPr>
                <w:rFonts w:ascii="Arial" w:hAnsi="Arial" w:cs="Arial"/>
                <w:color w:val="auto"/>
                <w:sz w:val="18"/>
                <w:szCs w:val="18"/>
              </w:rPr>
            </w:pPr>
            <w:r w:rsidRPr="005D7390">
              <w:rPr>
                <w:rFonts w:ascii="Arial" w:hAnsi="Arial" w:cs="Arial"/>
                <w:color w:val="auto"/>
                <w:sz w:val="18"/>
                <w:szCs w:val="18"/>
              </w:rPr>
              <w:t>£m</w:t>
            </w:r>
          </w:p>
        </w:tc>
        <w:tc>
          <w:tcPr>
            <w:tcW w:w="700" w:type="dxa"/>
            <w:tcBorders>
              <w:top w:val="none" w:sz="0" w:space="0" w:color="auto"/>
              <w:bottom w:val="none" w:sz="0" w:space="0" w:color="auto"/>
            </w:tcBorders>
            <w:shd w:val="clear" w:color="auto" w:fill="4BACC6" w:themeFill="accent5"/>
          </w:tcPr>
          <w:p w:rsidR="00D25A5A" w:rsidRPr="005D7390" w:rsidRDefault="00D25A5A" w:rsidP="009E1013">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72" w:type="dxa"/>
            <w:tcBorders>
              <w:top w:val="none" w:sz="0" w:space="0" w:color="auto"/>
              <w:bottom w:val="none" w:sz="0" w:space="0" w:color="auto"/>
            </w:tcBorders>
            <w:shd w:val="clear" w:color="auto" w:fill="4BACC6" w:themeFill="accent5"/>
          </w:tcPr>
          <w:p w:rsidR="00D25A5A" w:rsidRPr="005D7390" w:rsidRDefault="00D25A5A" w:rsidP="009E1013">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686" w:type="dxa"/>
            <w:tcBorders>
              <w:top w:val="none" w:sz="0" w:space="0" w:color="auto"/>
              <w:bottom w:val="none" w:sz="0" w:space="0" w:color="auto"/>
            </w:tcBorders>
            <w:shd w:val="clear" w:color="auto" w:fill="4BACC6" w:themeFill="accent5"/>
          </w:tcPr>
          <w:p w:rsidR="00D25A5A" w:rsidRPr="005D7390" w:rsidRDefault="00D25A5A" w:rsidP="009E1013">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3" w:type="dxa"/>
            <w:tcBorders>
              <w:top w:val="none" w:sz="0" w:space="0" w:color="auto"/>
              <w:bottom w:val="none" w:sz="0" w:space="0" w:color="auto"/>
            </w:tcBorders>
            <w:shd w:val="clear" w:color="auto" w:fill="4BACC6" w:themeFill="accent5"/>
          </w:tcPr>
          <w:p w:rsidR="00D25A5A" w:rsidRPr="005D7390" w:rsidRDefault="00D25A5A" w:rsidP="00E029AB">
            <w:pPr>
              <w:pStyle w:val="ExampleSub"/>
              <w:keepNext w:val="0"/>
              <w:keepLines w:val="0"/>
              <w:ind w:left="0"/>
              <w:cnfStyle w:val="000000100000"/>
              <w:rPr>
                <w:rFonts w:ascii="Arial" w:hAnsi="Arial" w:cs="Arial"/>
                <w:b w:val="0"/>
                <w:color w:val="auto"/>
                <w:sz w:val="18"/>
                <w:szCs w:val="18"/>
              </w:rPr>
            </w:pPr>
            <w:r w:rsidRPr="005D7390">
              <w:rPr>
                <w:rFonts w:ascii="Arial" w:hAnsi="Arial" w:cs="Arial"/>
                <w:b w:val="0"/>
                <w:color w:val="auto"/>
                <w:sz w:val="18"/>
                <w:szCs w:val="18"/>
              </w:rPr>
              <w:t>£m</w:t>
            </w:r>
          </w:p>
        </w:tc>
        <w:tc>
          <w:tcPr>
            <w:tcW w:w="709" w:type="dxa"/>
            <w:gridSpan w:val="2"/>
            <w:tcBorders>
              <w:top w:val="none" w:sz="0" w:space="0" w:color="auto"/>
              <w:bottom w:val="none" w:sz="0" w:space="0" w:color="auto"/>
            </w:tcBorders>
            <w:shd w:val="clear" w:color="auto" w:fill="4BACC6" w:themeFill="accent5"/>
          </w:tcPr>
          <w:p w:rsidR="00D25A5A" w:rsidRPr="005D7390" w:rsidRDefault="00D25A5A" w:rsidP="00E029AB">
            <w:pPr>
              <w:pStyle w:val="ExampleSub"/>
              <w:keepNext w:val="0"/>
              <w:keepLines w:val="0"/>
              <w:ind w:left="0"/>
              <w:cnfStyle w:val="000000100000"/>
              <w:rPr>
                <w:rFonts w:ascii="Arial" w:hAnsi="Arial" w:cs="Arial"/>
                <w:b w:val="0"/>
                <w:color w:val="auto"/>
                <w:sz w:val="18"/>
                <w:szCs w:val="18"/>
              </w:rPr>
            </w:pPr>
            <w:r w:rsidRPr="005D7390">
              <w:rPr>
                <w:rFonts w:ascii="Arial" w:hAnsi="Arial" w:cs="Arial"/>
                <w:b w:val="0"/>
                <w:color w:val="auto"/>
                <w:sz w:val="18"/>
                <w:szCs w:val="18"/>
              </w:rPr>
              <w:t>£m</w:t>
            </w:r>
          </w:p>
        </w:tc>
        <w:tc>
          <w:tcPr>
            <w:tcW w:w="5381" w:type="dxa"/>
            <w:gridSpan w:val="2"/>
            <w:tcBorders>
              <w:top w:val="none" w:sz="0" w:space="0" w:color="auto"/>
              <w:bottom w:val="none" w:sz="0" w:space="0" w:color="auto"/>
            </w:tcBorders>
            <w:shd w:val="clear" w:color="auto" w:fill="4BACC6" w:themeFill="accent5"/>
          </w:tcPr>
          <w:p w:rsidR="00D25A5A" w:rsidRPr="005D7390" w:rsidRDefault="00D25A5A" w:rsidP="00E029AB">
            <w:pPr>
              <w:pStyle w:val="ExampleSub"/>
              <w:keepNext w:val="0"/>
              <w:keepLines w:val="0"/>
              <w:ind w:left="0"/>
              <w:cnfStyle w:val="000000100000"/>
              <w:rPr>
                <w:rFonts w:ascii="Arial" w:hAnsi="Arial" w:cs="Arial"/>
                <w:b w:val="0"/>
                <w:color w:val="auto"/>
                <w:sz w:val="18"/>
                <w:szCs w:val="18"/>
              </w:rPr>
            </w:pPr>
          </w:p>
        </w:tc>
        <w:tc>
          <w:tcPr>
            <w:tcW w:w="850" w:type="dxa"/>
            <w:gridSpan w:val="6"/>
            <w:tcBorders>
              <w:top w:val="none" w:sz="0" w:space="0" w:color="auto"/>
              <w:bottom w:val="none" w:sz="0" w:space="0" w:color="auto"/>
            </w:tcBorders>
            <w:shd w:val="clear" w:color="auto" w:fill="4BACC6" w:themeFill="accent5"/>
          </w:tcPr>
          <w:p w:rsidR="00D25A5A" w:rsidRPr="005D7390" w:rsidRDefault="00D25A5A" w:rsidP="009E1013">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18" w:type="dxa"/>
            <w:gridSpan w:val="4"/>
            <w:tcBorders>
              <w:top w:val="none" w:sz="0" w:space="0" w:color="auto"/>
              <w:bottom w:val="none" w:sz="0" w:space="0" w:color="auto"/>
            </w:tcBorders>
            <w:shd w:val="clear" w:color="auto" w:fill="4BACC6" w:themeFill="accent5"/>
          </w:tcPr>
          <w:p w:rsidR="00D25A5A" w:rsidRPr="005D7390" w:rsidRDefault="00D25A5A" w:rsidP="00AF7FAC">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1013" w:type="dxa"/>
            <w:gridSpan w:val="4"/>
            <w:tcBorders>
              <w:top w:val="none" w:sz="0" w:space="0" w:color="auto"/>
              <w:bottom w:val="none" w:sz="0" w:space="0" w:color="auto"/>
            </w:tcBorders>
            <w:shd w:val="clear" w:color="auto" w:fill="4BACC6" w:themeFill="accent5"/>
          </w:tcPr>
          <w:p w:rsidR="00D25A5A" w:rsidRPr="005D7390" w:rsidRDefault="00D25A5A" w:rsidP="00AF7FAC">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09" w:type="dxa"/>
            <w:tcBorders>
              <w:top w:val="none" w:sz="0" w:space="0" w:color="auto"/>
              <w:bottom w:val="none" w:sz="0" w:space="0" w:color="auto"/>
            </w:tcBorders>
            <w:shd w:val="clear" w:color="auto" w:fill="4BACC6" w:themeFill="accent5"/>
          </w:tcPr>
          <w:p w:rsidR="00D25A5A" w:rsidRPr="005D7390" w:rsidRDefault="00D25A5A" w:rsidP="009E1013">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09" w:type="dxa"/>
            <w:gridSpan w:val="2"/>
            <w:tcBorders>
              <w:top w:val="none" w:sz="0" w:space="0" w:color="auto"/>
              <w:bottom w:val="none" w:sz="0" w:space="0" w:color="auto"/>
            </w:tcBorders>
            <w:shd w:val="clear" w:color="auto" w:fill="4BACC6" w:themeFill="accent5"/>
          </w:tcPr>
          <w:p w:rsidR="00D25A5A" w:rsidRPr="005D7390" w:rsidRDefault="00D25A5A" w:rsidP="009E1013">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0" w:type="dxa"/>
            <w:gridSpan w:val="2"/>
            <w:tcBorders>
              <w:top w:val="none" w:sz="0" w:space="0" w:color="auto"/>
              <w:bottom w:val="none" w:sz="0" w:space="0" w:color="auto"/>
            </w:tcBorders>
            <w:shd w:val="clear" w:color="auto" w:fill="4BACC6" w:themeFill="accent5"/>
          </w:tcPr>
          <w:p w:rsidR="00D25A5A" w:rsidRPr="005D7390" w:rsidRDefault="00D25A5A" w:rsidP="009E1013">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r>
      <w:tr w:rsidR="00D25A5A" w:rsidRPr="005D7390" w:rsidTr="008A25D1">
        <w:trPr>
          <w:trHeight w:val="601"/>
        </w:trPr>
        <w:tc>
          <w:tcPr>
            <w:cnfStyle w:val="001000000000"/>
            <w:tcW w:w="911" w:type="dxa"/>
            <w:tcBorders>
              <w:right w:val="none" w:sz="0" w:space="0" w:color="auto"/>
            </w:tcBorders>
          </w:tcPr>
          <w:p w:rsidR="00D25A5A" w:rsidRPr="005D7390" w:rsidRDefault="00D25A5A" w:rsidP="00262069">
            <w:pPr>
              <w:pStyle w:val="ExampleSub"/>
              <w:keepNext w:val="0"/>
              <w:keepLines w:val="0"/>
              <w:ind w:left="0"/>
              <w:jc w:val="right"/>
              <w:rPr>
                <w:rFonts w:ascii="Arial" w:hAnsi="Arial" w:cs="Arial"/>
                <w:color w:val="auto"/>
                <w:sz w:val="20"/>
                <w:szCs w:val="20"/>
              </w:rPr>
            </w:pPr>
          </w:p>
        </w:tc>
        <w:tc>
          <w:tcPr>
            <w:tcW w:w="700" w:type="dxa"/>
          </w:tcPr>
          <w:p w:rsidR="00D25A5A" w:rsidRPr="005D7390" w:rsidRDefault="00D25A5A" w:rsidP="00E029AB">
            <w:pPr>
              <w:pStyle w:val="ExampleSub"/>
              <w:keepNext w:val="0"/>
              <w:keepLines w:val="0"/>
              <w:ind w:left="0"/>
              <w:cnfStyle w:val="000000000000"/>
              <w:rPr>
                <w:rFonts w:ascii="Arial" w:hAnsi="Arial" w:cs="Arial"/>
                <w:b w:val="0"/>
                <w:bCs w:val="0"/>
                <w:color w:val="auto"/>
                <w:sz w:val="20"/>
                <w:szCs w:val="20"/>
              </w:rPr>
            </w:pPr>
          </w:p>
        </w:tc>
        <w:tc>
          <w:tcPr>
            <w:tcW w:w="872" w:type="dxa"/>
          </w:tcPr>
          <w:p w:rsidR="00D25A5A" w:rsidRPr="005D7390" w:rsidRDefault="00D25A5A" w:rsidP="00E029AB">
            <w:pPr>
              <w:pStyle w:val="ExampleSub"/>
              <w:keepNext w:val="0"/>
              <w:keepLines w:val="0"/>
              <w:ind w:left="0"/>
              <w:cnfStyle w:val="000000000000"/>
              <w:rPr>
                <w:rFonts w:ascii="Arial" w:hAnsi="Arial" w:cs="Arial"/>
                <w:b w:val="0"/>
                <w:bCs w:val="0"/>
                <w:color w:val="auto"/>
                <w:sz w:val="20"/>
                <w:szCs w:val="20"/>
              </w:rPr>
            </w:pPr>
          </w:p>
        </w:tc>
        <w:tc>
          <w:tcPr>
            <w:tcW w:w="686" w:type="dxa"/>
          </w:tcPr>
          <w:p w:rsidR="00D25A5A" w:rsidRPr="005D7390" w:rsidRDefault="00D25A5A" w:rsidP="00E029AB">
            <w:pPr>
              <w:pStyle w:val="ExampleSub"/>
              <w:keepNext w:val="0"/>
              <w:keepLines w:val="0"/>
              <w:ind w:left="0"/>
              <w:cnfStyle w:val="000000000000"/>
              <w:rPr>
                <w:rFonts w:ascii="Arial" w:hAnsi="Arial" w:cs="Arial"/>
                <w:b w:val="0"/>
                <w:bCs w:val="0"/>
                <w:color w:val="auto"/>
                <w:sz w:val="20"/>
                <w:szCs w:val="20"/>
              </w:rPr>
            </w:pPr>
          </w:p>
        </w:tc>
        <w:tc>
          <w:tcPr>
            <w:tcW w:w="853" w:type="dxa"/>
          </w:tcPr>
          <w:p w:rsidR="00D25A5A" w:rsidRPr="005D7390" w:rsidRDefault="00D25A5A" w:rsidP="00E029AB">
            <w:pPr>
              <w:pStyle w:val="ExampleSub"/>
              <w:keepNext w:val="0"/>
              <w:keepLines w:val="0"/>
              <w:ind w:left="0"/>
              <w:cnfStyle w:val="000000000000"/>
              <w:rPr>
                <w:rFonts w:ascii="Arial" w:hAnsi="Arial" w:cs="Arial"/>
                <w:b w:val="0"/>
                <w:color w:val="auto"/>
                <w:sz w:val="24"/>
                <w:szCs w:val="24"/>
              </w:rPr>
            </w:pPr>
          </w:p>
        </w:tc>
        <w:tc>
          <w:tcPr>
            <w:tcW w:w="709" w:type="dxa"/>
            <w:gridSpan w:val="2"/>
          </w:tcPr>
          <w:p w:rsidR="00D25A5A" w:rsidRPr="005D7390" w:rsidRDefault="00D25A5A" w:rsidP="00E029AB">
            <w:pPr>
              <w:pStyle w:val="ExampleSub"/>
              <w:keepNext w:val="0"/>
              <w:keepLines w:val="0"/>
              <w:ind w:left="0"/>
              <w:cnfStyle w:val="000000000000"/>
              <w:rPr>
                <w:rFonts w:ascii="Arial" w:hAnsi="Arial" w:cs="Arial"/>
                <w:b w:val="0"/>
                <w:color w:val="auto"/>
                <w:sz w:val="24"/>
                <w:szCs w:val="24"/>
              </w:rPr>
            </w:pPr>
          </w:p>
        </w:tc>
        <w:tc>
          <w:tcPr>
            <w:tcW w:w="5381" w:type="dxa"/>
            <w:gridSpan w:val="2"/>
          </w:tcPr>
          <w:p w:rsidR="00D25A5A" w:rsidRPr="005D7390" w:rsidRDefault="00D25A5A" w:rsidP="00E029AB">
            <w:pPr>
              <w:pStyle w:val="ExampleSub"/>
              <w:keepNext w:val="0"/>
              <w:keepLines w:val="0"/>
              <w:ind w:left="0"/>
              <w:cnfStyle w:val="000000000000"/>
              <w:rPr>
                <w:rFonts w:ascii="Arial" w:hAnsi="Arial" w:cs="Arial"/>
                <w:color w:val="auto"/>
                <w:sz w:val="22"/>
                <w:szCs w:val="22"/>
              </w:rPr>
            </w:pPr>
            <w:r w:rsidRPr="005D7390">
              <w:rPr>
                <w:rFonts w:ascii="Arial" w:hAnsi="Arial" w:cs="Arial"/>
                <w:color w:val="auto"/>
                <w:sz w:val="22"/>
                <w:szCs w:val="22"/>
              </w:rPr>
              <w:t>Adjustments involving the Capital Adjustment Account:</w:t>
            </w:r>
          </w:p>
        </w:tc>
        <w:tc>
          <w:tcPr>
            <w:tcW w:w="850" w:type="dxa"/>
            <w:gridSpan w:val="6"/>
          </w:tcPr>
          <w:p w:rsidR="00D25A5A" w:rsidRPr="005D7390" w:rsidRDefault="00D25A5A" w:rsidP="00E029AB">
            <w:pPr>
              <w:pStyle w:val="ExampleSub"/>
              <w:keepNext w:val="0"/>
              <w:keepLines w:val="0"/>
              <w:ind w:left="0"/>
              <w:cnfStyle w:val="000000000000"/>
              <w:rPr>
                <w:rFonts w:ascii="Arial" w:hAnsi="Arial" w:cs="Arial"/>
                <w:b w:val="0"/>
                <w:bCs w:val="0"/>
                <w:color w:val="auto"/>
                <w:sz w:val="20"/>
                <w:szCs w:val="20"/>
              </w:rPr>
            </w:pPr>
          </w:p>
        </w:tc>
        <w:tc>
          <w:tcPr>
            <w:tcW w:w="718" w:type="dxa"/>
            <w:gridSpan w:val="4"/>
          </w:tcPr>
          <w:p w:rsidR="00D25A5A" w:rsidRPr="005D7390" w:rsidRDefault="00D25A5A" w:rsidP="00E029AB">
            <w:pPr>
              <w:pStyle w:val="ExampleSub"/>
              <w:keepNext w:val="0"/>
              <w:keepLines w:val="0"/>
              <w:ind w:left="0"/>
              <w:cnfStyle w:val="000000000000"/>
              <w:rPr>
                <w:rFonts w:ascii="Arial" w:hAnsi="Arial" w:cs="Arial"/>
                <w:b w:val="0"/>
                <w:bCs w:val="0"/>
                <w:color w:val="auto"/>
                <w:sz w:val="20"/>
                <w:szCs w:val="20"/>
              </w:rPr>
            </w:pPr>
          </w:p>
        </w:tc>
        <w:tc>
          <w:tcPr>
            <w:tcW w:w="1013" w:type="dxa"/>
            <w:gridSpan w:val="4"/>
          </w:tcPr>
          <w:p w:rsidR="00D25A5A" w:rsidRPr="005D7390" w:rsidRDefault="00D25A5A" w:rsidP="00E029AB">
            <w:pPr>
              <w:pStyle w:val="ExampleSub"/>
              <w:keepNext w:val="0"/>
              <w:keepLines w:val="0"/>
              <w:ind w:left="0"/>
              <w:cnfStyle w:val="000000000000"/>
              <w:rPr>
                <w:rFonts w:ascii="Arial" w:hAnsi="Arial" w:cs="Arial"/>
                <w:b w:val="0"/>
                <w:bCs w:val="0"/>
                <w:color w:val="auto"/>
                <w:sz w:val="20"/>
                <w:szCs w:val="20"/>
              </w:rPr>
            </w:pPr>
          </w:p>
        </w:tc>
        <w:tc>
          <w:tcPr>
            <w:tcW w:w="709" w:type="dxa"/>
          </w:tcPr>
          <w:p w:rsidR="00D25A5A" w:rsidRPr="005D7390" w:rsidRDefault="00D25A5A" w:rsidP="00E029AB">
            <w:pPr>
              <w:pStyle w:val="ExampleSub"/>
              <w:keepNext w:val="0"/>
              <w:keepLines w:val="0"/>
              <w:ind w:left="0"/>
              <w:cnfStyle w:val="000000000000"/>
              <w:rPr>
                <w:rFonts w:ascii="Arial" w:hAnsi="Arial" w:cs="Arial"/>
                <w:b w:val="0"/>
                <w:bCs w:val="0"/>
                <w:color w:val="auto"/>
                <w:sz w:val="20"/>
                <w:szCs w:val="20"/>
              </w:rPr>
            </w:pPr>
          </w:p>
        </w:tc>
        <w:tc>
          <w:tcPr>
            <w:tcW w:w="709" w:type="dxa"/>
            <w:gridSpan w:val="2"/>
          </w:tcPr>
          <w:p w:rsidR="00D25A5A" w:rsidRPr="005D7390" w:rsidRDefault="00D25A5A" w:rsidP="00E029AB">
            <w:pPr>
              <w:pStyle w:val="ExampleSub"/>
              <w:keepNext w:val="0"/>
              <w:keepLines w:val="0"/>
              <w:ind w:left="0"/>
              <w:cnfStyle w:val="000000000000"/>
              <w:rPr>
                <w:rFonts w:ascii="Arial" w:hAnsi="Arial" w:cs="Arial"/>
                <w:b w:val="0"/>
                <w:bCs w:val="0"/>
                <w:color w:val="auto"/>
                <w:sz w:val="20"/>
                <w:szCs w:val="20"/>
              </w:rPr>
            </w:pPr>
          </w:p>
        </w:tc>
        <w:tc>
          <w:tcPr>
            <w:tcW w:w="850" w:type="dxa"/>
            <w:gridSpan w:val="2"/>
          </w:tcPr>
          <w:p w:rsidR="00D25A5A" w:rsidRPr="005D7390" w:rsidRDefault="00D25A5A" w:rsidP="00E029AB">
            <w:pPr>
              <w:pStyle w:val="ExampleSub"/>
              <w:keepNext w:val="0"/>
              <w:keepLines w:val="0"/>
              <w:ind w:left="0"/>
              <w:cnfStyle w:val="000000000000"/>
              <w:rPr>
                <w:rFonts w:ascii="Arial" w:hAnsi="Arial" w:cs="Arial"/>
                <w:b w:val="0"/>
                <w:bCs w:val="0"/>
                <w:color w:val="auto"/>
                <w:sz w:val="20"/>
                <w:szCs w:val="20"/>
              </w:rPr>
            </w:pPr>
          </w:p>
        </w:tc>
      </w:tr>
      <w:tr w:rsidR="00D25A5A" w:rsidRPr="005D7390" w:rsidTr="008A25D1">
        <w:trPr>
          <w:cnfStyle w:val="000000100000"/>
          <w:trHeight w:val="662"/>
        </w:trPr>
        <w:tc>
          <w:tcPr>
            <w:cnfStyle w:val="001000000000"/>
            <w:tcW w:w="911" w:type="dxa"/>
            <w:tcBorders>
              <w:top w:val="none" w:sz="0" w:space="0" w:color="auto"/>
              <w:bottom w:val="none" w:sz="0" w:space="0" w:color="auto"/>
              <w:right w:val="none" w:sz="0" w:space="0" w:color="auto"/>
            </w:tcBorders>
          </w:tcPr>
          <w:p w:rsidR="00D25A5A" w:rsidRPr="005D7390" w:rsidRDefault="00D25A5A" w:rsidP="000D1F14">
            <w:pPr>
              <w:pStyle w:val="ExampleSub"/>
              <w:keepNext w:val="0"/>
              <w:keepLines w:val="0"/>
              <w:ind w:left="0"/>
              <w:jc w:val="center"/>
              <w:rPr>
                <w:rFonts w:ascii="Arial" w:hAnsi="Arial" w:cs="Arial"/>
                <w:color w:val="auto"/>
                <w:sz w:val="20"/>
                <w:szCs w:val="20"/>
              </w:rPr>
            </w:pPr>
          </w:p>
        </w:tc>
        <w:tc>
          <w:tcPr>
            <w:tcW w:w="700" w:type="dxa"/>
            <w:tcBorders>
              <w:top w:val="none" w:sz="0" w:space="0" w:color="auto"/>
              <w:bottom w:val="none" w:sz="0" w:space="0" w:color="auto"/>
            </w:tcBorders>
          </w:tcPr>
          <w:p w:rsidR="00D25A5A" w:rsidRPr="005D7390" w:rsidRDefault="00D25A5A" w:rsidP="000D1F14">
            <w:pPr>
              <w:pStyle w:val="ExampleSub"/>
              <w:keepNext w:val="0"/>
              <w:keepLines w:val="0"/>
              <w:ind w:left="0"/>
              <w:jc w:val="center"/>
              <w:cnfStyle w:val="000000100000"/>
              <w:rPr>
                <w:rFonts w:ascii="Arial" w:hAnsi="Arial" w:cs="Arial"/>
                <w:b w:val="0"/>
                <w:bCs w:val="0"/>
                <w:color w:val="auto"/>
                <w:sz w:val="20"/>
                <w:szCs w:val="20"/>
              </w:rPr>
            </w:pPr>
          </w:p>
        </w:tc>
        <w:tc>
          <w:tcPr>
            <w:tcW w:w="872" w:type="dxa"/>
            <w:tcBorders>
              <w:top w:val="none" w:sz="0" w:space="0" w:color="auto"/>
              <w:bottom w:val="none" w:sz="0" w:space="0" w:color="auto"/>
            </w:tcBorders>
          </w:tcPr>
          <w:p w:rsidR="00D25A5A" w:rsidRPr="005D7390" w:rsidRDefault="00D25A5A" w:rsidP="000D1F14">
            <w:pPr>
              <w:pStyle w:val="ExampleSub"/>
              <w:keepNext w:val="0"/>
              <w:keepLines w:val="0"/>
              <w:ind w:left="0"/>
              <w:jc w:val="center"/>
              <w:cnfStyle w:val="000000100000"/>
              <w:rPr>
                <w:rFonts w:ascii="Arial" w:hAnsi="Arial" w:cs="Arial"/>
                <w:b w:val="0"/>
                <w:bCs w:val="0"/>
                <w:color w:val="auto"/>
                <w:sz w:val="20"/>
                <w:szCs w:val="20"/>
              </w:rPr>
            </w:pPr>
          </w:p>
        </w:tc>
        <w:tc>
          <w:tcPr>
            <w:tcW w:w="686" w:type="dxa"/>
            <w:tcBorders>
              <w:top w:val="none" w:sz="0" w:space="0" w:color="auto"/>
              <w:bottom w:val="none" w:sz="0" w:space="0" w:color="auto"/>
            </w:tcBorders>
          </w:tcPr>
          <w:p w:rsidR="00D25A5A" w:rsidRPr="005D7390" w:rsidRDefault="00D25A5A" w:rsidP="000D1F14">
            <w:pPr>
              <w:pStyle w:val="ExampleSub"/>
              <w:keepNext w:val="0"/>
              <w:keepLines w:val="0"/>
              <w:ind w:left="0"/>
              <w:jc w:val="center"/>
              <w:cnfStyle w:val="000000100000"/>
              <w:rPr>
                <w:rFonts w:ascii="Arial" w:hAnsi="Arial" w:cs="Arial"/>
                <w:b w:val="0"/>
                <w:bCs w:val="0"/>
                <w:color w:val="auto"/>
                <w:sz w:val="20"/>
                <w:szCs w:val="20"/>
              </w:rPr>
            </w:pPr>
          </w:p>
        </w:tc>
        <w:tc>
          <w:tcPr>
            <w:tcW w:w="853" w:type="dxa"/>
            <w:tcBorders>
              <w:top w:val="none" w:sz="0" w:space="0" w:color="auto"/>
              <w:bottom w:val="none" w:sz="0" w:space="0" w:color="auto"/>
            </w:tcBorders>
          </w:tcPr>
          <w:p w:rsidR="00D25A5A" w:rsidRPr="005D7390" w:rsidRDefault="00D25A5A" w:rsidP="009429BA">
            <w:pPr>
              <w:pStyle w:val="ExampleSub"/>
              <w:keepNext w:val="0"/>
              <w:keepLines w:val="0"/>
              <w:ind w:left="0"/>
              <w:cnfStyle w:val="000000100000"/>
              <w:rPr>
                <w:rFonts w:ascii="Arial" w:hAnsi="Arial" w:cs="Arial"/>
                <w:bCs w:val="0"/>
                <w:color w:val="auto"/>
                <w:sz w:val="22"/>
                <w:szCs w:val="22"/>
              </w:rPr>
            </w:pPr>
          </w:p>
        </w:tc>
        <w:tc>
          <w:tcPr>
            <w:tcW w:w="709" w:type="dxa"/>
            <w:gridSpan w:val="2"/>
            <w:tcBorders>
              <w:top w:val="none" w:sz="0" w:space="0" w:color="auto"/>
              <w:bottom w:val="none" w:sz="0" w:space="0" w:color="auto"/>
            </w:tcBorders>
          </w:tcPr>
          <w:p w:rsidR="00D25A5A" w:rsidRPr="005D7390" w:rsidRDefault="00D25A5A" w:rsidP="009429BA">
            <w:pPr>
              <w:pStyle w:val="ExampleSub"/>
              <w:keepNext w:val="0"/>
              <w:keepLines w:val="0"/>
              <w:ind w:left="0"/>
              <w:cnfStyle w:val="000000100000"/>
              <w:rPr>
                <w:rFonts w:ascii="Arial" w:hAnsi="Arial" w:cs="Arial"/>
                <w:bCs w:val="0"/>
                <w:color w:val="auto"/>
                <w:sz w:val="22"/>
                <w:szCs w:val="22"/>
              </w:rPr>
            </w:pPr>
          </w:p>
        </w:tc>
        <w:tc>
          <w:tcPr>
            <w:tcW w:w="5381" w:type="dxa"/>
            <w:gridSpan w:val="2"/>
            <w:tcBorders>
              <w:top w:val="none" w:sz="0" w:space="0" w:color="auto"/>
              <w:bottom w:val="none" w:sz="0" w:space="0" w:color="auto"/>
            </w:tcBorders>
          </w:tcPr>
          <w:p w:rsidR="00D25A5A" w:rsidRPr="005D7390" w:rsidRDefault="00D25A5A" w:rsidP="009429BA">
            <w:pPr>
              <w:pStyle w:val="ExampleSub"/>
              <w:keepNext w:val="0"/>
              <w:keepLines w:val="0"/>
              <w:ind w:left="0"/>
              <w:cnfStyle w:val="000000100000"/>
              <w:rPr>
                <w:rFonts w:ascii="Arial" w:hAnsi="Arial" w:cs="Arial"/>
                <w:b w:val="0"/>
                <w:bCs w:val="0"/>
                <w:color w:val="auto"/>
                <w:sz w:val="20"/>
                <w:szCs w:val="20"/>
              </w:rPr>
            </w:pPr>
            <w:r w:rsidRPr="005D7390">
              <w:rPr>
                <w:rFonts w:ascii="Arial" w:hAnsi="Arial" w:cs="Arial"/>
                <w:bCs w:val="0"/>
                <w:color w:val="auto"/>
                <w:sz w:val="20"/>
                <w:szCs w:val="20"/>
              </w:rPr>
              <w:t>Reversal of items debited or credited to the Comprehensive Income and Expenditure Statement (CI&amp;E):</w:t>
            </w:r>
          </w:p>
        </w:tc>
        <w:tc>
          <w:tcPr>
            <w:tcW w:w="850" w:type="dxa"/>
            <w:gridSpan w:val="6"/>
            <w:tcBorders>
              <w:top w:val="none" w:sz="0" w:space="0" w:color="auto"/>
              <w:bottom w:val="none" w:sz="0" w:space="0" w:color="auto"/>
            </w:tcBorders>
          </w:tcPr>
          <w:p w:rsidR="00D25A5A" w:rsidRPr="005D7390" w:rsidRDefault="00D25A5A" w:rsidP="00E029AB">
            <w:pPr>
              <w:pStyle w:val="ExampleSub"/>
              <w:keepNext w:val="0"/>
              <w:keepLines w:val="0"/>
              <w:ind w:left="0"/>
              <w:cnfStyle w:val="000000100000"/>
              <w:rPr>
                <w:rFonts w:ascii="Arial" w:hAnsi="Arial" w:cs="Arial"/>
                <w:b w:val="0"/>
                <w:bCs w:val="0"/>
                <w:color w:val="auto"/>
                <w:sz w:val="20"/>
                <w:szCs w:val="20"/>
              </w:rPr>
            </w:pPr>
          </w:p>
        </w:tc>
        <w:tc>
          <w:tcPr>
            <w:tcW w:w="718" w:type="dxa"/>
            <w:gridSpan w:val="4"/>
            <w:tcBorders>
              <w:top w:val="none" w:sz="0" w:space="0" w:color="auto"/>
              <w:bottom w:val="none" w:sz="0" w:space="0" w:color="auto"/>
            </w:tcBorders>
          </w:tcPr>
          <w:p w:rsidR="00D25A5A" w:rsidRPr="005D7390" w:rsidRDefault="00D25A5A" w:rsidP="00E029AB">
            <w:pPr>
              <w:pStyle w:val="ExampleSub"/>
              <w:keepNext w:val="0"/>
              <w:keepLines w:val="0"/>
              <w:ind w:left="0"/>
              <w:cnfStyle w:val="000000100000"/>
              <w:rPr>
                <w:rFonts w:ascii="Arial" w:hAnsi="Arial" w:cs="Arial"/>
                <w:b w:val="0"/>
                <w:bCs w:val="0"/>
                <w:color w:val="auto"/>
                <w:sz w:val="20"/>
                <w:szCs w:val="20"/>
              </w:rPr>
            </w:pPr>
          </w:p>
        </w:tc>
        <w:tc>
          <w:tcPr>
            <w:tcW w:w="1013" w:type="dxa"/>
            <w:gridSpan w:val="4"/>
            <w:tcBorders>
              <w:top w:val="none" w:sz="0" w:space="0" w:color="auto"/>
              <w:bottom w:val="none" w:sz="0" w:space="0" w:color="auto"/>
            </w:tcBorders>
          </w:tcPr>
          <w:p w:rsidR="00D25A5A" w:rsidRPr="005D7390" w:rsidRDefault="00D25A5A" w:rsidP="00E029AB">
            <w:pPr>
              <w:pStyle w:val="ExampleSub"/>
              <w:keepNext w:val="0"/>
              <w:keepLines w:val="0"/>
              <w:ind w:left="0"/>
              <w:cnfStyle w:val="000000100000"/>
              <w:rPr>
                <w:rFonts w:ascii="Arial" w:hAnsi="Arial" w:cs="Arial"/>
                <w:b w:val="0"/>
                <w:bCs w:val="0"/>
                <w:color w:val="auto"/>
                <w:sz w:val="20"/>
                <w:szCs w:val="20"/>
              </w:rPr>
            </w:pPr>
          </w:p>
        </w:tc>
        <w:tc>
          <w:tcPr>
            <w:tcW w:w="709" w:type="dxa"/>
            <w:tcBorders>
              <w:top w:val="none" w:sz="0" w:space="0" w:color="auto"/>
              <w:bottom w:val="none" w:sz="0" w:space="0" w:color="auto"/>
            </w:tcBorders>
          </w:tcPr>
          <w:p w:rsidR="00D25A5A" w:rsidRPr="005D7390" w:rsidRDefault="00D25A5A" w:rsidP="00E029AB">
            <w:pPr>
              <w:pStyle w:val="ExampleSub"/>
              <w:keepNext w:val="0"/>
              <w:keepLines w:val="0"/>
              <w:ind w:left="0"/>
              <w:cnfStyle w:val="000000100000"/>
              <w:rPr>
                <w:rFonts w:ascii="Arial" w:hAnsi="Arial" w:cs="Arial"/>
                <w:b w:val="0"/>
                <w:bCs w:val="0"/>
                <w:color w:val="auto"/>
                <w:sz w:val="20"/>
                <w:szCs w:val="20"/>
              </w:rPr>
            </w:pPr>
          </w:p>
        </w:tc>
        <w:tc>
          <w:tcPr>
            <w:tcW w:w="709" w:type="dxa"/>
            <w:gridSpan w:val="2"/>
            <w:tcBorders>
              <w:top w:val="none" w:sz="0" w:space="0" w:color="auto"/>
              <w:bottom w:val="none" w:sz="0" w:space="0" w:color="auto"/>
            </w:tcBorders>
          </w:tcPr>
          <w:p w:rsidR="00D25A5A" w:rsidRPr="005D7390" w:rsidRDefault="00D25A5A" w:rsidP="00E029AB">
            <w:pPr>
              <w:pStyle w:val="ExampleSub"/>
              <w:keepNext w:val="0"/>
              <w:keepLines w:val="0"/>
              <w:ind w:left="0"/>
              <w:cnfStyle w:val="000000100000"/>
              <w:rPr>
                <w:rFonts w:ascii="Arial" w:hAnsi="Arial" w:cs="Arial"/>
                <w:b w:val="0"/>
                <w:bCs w:val="0"/>
                <w:color w:val="auto"/>
                <w:sz w:val="20"/>
                <w:szCs w:val="20"/>
              </w:rPr>
            </w:pPr>
          </w:p>
        </w:tc>
        <w:tc>
          <w:tcPr>
            <w:tcW w:w="850" w:type="dxa"/>
            <w:gridSpan w:val="2"/>
            <w:tcBorders>
              <w:top w:val="none" w:sz="0" w:space="0" w:color="auto"/>
              <w:bottom w:val="none" w:sz="0" w:space="0" w:color="auto"/>
            </w:tcBorders>
          </w:tcPr>
          <w:p w:rsidR="00D25A5A" w:rsidRPr="005D7390" w:rsidRDefault="00D25A5A" w:rsidP="00E029AB">
            <w:pPr>
              <w:pStyle w:val="ExampleSub"/>
              <w:keepNext w:val="0"/>
              <w:keepLines w:val="0"/>
              <w:ind w:left="0"/>
              <w:cnfStyle w:val="000000100000"/>
              <w:rPr>
                <w:rFonts w:ascii="Arial" w:hAnsi="Arial" w:cs="Arial"/>
                <w:b w:val="0"/>
                <w:bCs w:val="0"/>
                <w:color w:val="auto"/>
                <w:sz w:val="20"/>
                <w:szCs w:val="20"/>
              </w:rPr>
            </w:pPr>
          </w:p>
        </w:tc>
      </w:tr>
      <w:tr w:rsidR="00947988" w:rsidRPr="005D7390" w:rsidTr="008A25D1">
        <w:trPr>
          <w:trHeight w:val="397"/>
        </w:trPr>
        <w:tc>
          <w:tcPr>
            <w:cnfStyle w:val="001000000000"/>
            <w:tcW w:w="911" w:type="dxa"/>
            <w:tcBorders>
              <w:right w:val="none" w:sz="0" w:space="0" w:color="auto"/>
            </w:tcBorders>
          </w:tcPr>
          <w:p w:rsidR="00947988" w:rsidRPr="005D7390" w:rsidRDefault="00947988" w:rsidP="000D1F14">
            <w:pPr>
              <w:pStyle w:val="ExampleSub"/>
              <w:keepNext w:val="0"/>
              <w:keepLines w:val="0"/>
              <w:ind w:left="0"/>
              <w:jc w:val="center"/>
              <w:rPr>
                <w:rFonts w:ascii="Arial" w:hAnsi="Arial" w:cs="Arial"/>
                <w:color w:val="auto"/>
                <w:sz w:val="20"/>
                <w:szCs w:val="20"/>
              </w:rPr>
            </w:pPr>
          </w:p>
        </w:tc>
        <w:tc>
          <w:tcPr>
            <w:tcW w:w="700" w:type="dxa"/>
          </w:tcPr>
          <w:p w:rsidR="00947988" w:rsidRPr="005D7390" w:rsidRDefault="00947988" w:rsidP="000D1F14">
            <w:pPr>
              <w:pStyle w:val="ExampleSub"/>
              <w:keepNext w:val="0"/>
              <w:keepLines w:val="0"/>
              <w:ind w:left="0"/>
              <w:jc w:val="center"/>
              <w:cnfStyle w:val="000000000000"/>
              <w:rPr>
                <w:rFonts w:ascii="Arial" w:hAnsi="Arial" w:cs="Arial"/>
                <w:b w:val="0"/>
                <w:bCs w:val="0"/>
                <w:color w:val="auto"/>
                <w:sz w:val="20"/>
                <w:szCs w:val="20"/>
              </w:rPr>
            </w:pPr>
          </w:p>
        </w:tc>
        <w:tc>
          <w:tcPr>
            <w:tcW w:w="872" w:type="dxa"/>
          </w:tcPr>
          <w:p w:rsidR="00947988" w:rsidRPr="005D7390" w:rsidRDefault="00947988" w:rsidP="000D1F14">
            <w:pPr>
              <w:pStyle w:val="ExampleSub"/>
              <w:keepNext w:val="0"/>
              <w:keepLines w:val="0"/>
              <w:ind w:left="0"/>
              <w:jc w:val="center"/>
              <w:cnfStyle w:val="000000000000"/>
              <w:rPr>
                <w:rFonts w:ascii="Arial" w:hAnsi="Arial" w:cs="Arial"/>
                <w:b w:val="0"/>
                <w:bCs w:val="0"/>
                <w:color w:val="auto"/>
                <w:sz w:val="20"/>
                <w:szCs w:val="20"/>
              </w:rPr>
            </w:pPr>
          </w:p>
        </w:tc>
        <w:tc>
          <w:tcPr>
            <w:tcW w:w="686" w:type="dxa"/>
            <w:shd w:val="clear" w:color="auto" w:fill="auto"/>
          </w:tcPr>
          <w:p w:rsidR="00947988" w:rsidRPr="005D7390" w:rsidRDefault="00947988" w:rsidP="000D1F14">
            <w:pPr>
              <w:pStyle w:val="ExampleSub"/>
              <w:keepNext w:val="0"/>
              <w:keepLines w:val="0"/>
              <w:ind w:left="0"/>
              <w:jc w:val="center"/>
              <w:cnfStyle w:val="000000000000"/>
              <w:rPr>
                <w:rFonts w:ascii="Arial" w:hAnsi="Arial" w:cs="Arial"/>
                <w:b w:val="0"/>
                <w:bCs w:val="0"/>
                <w:color w:val="auto"/>
                <w:sz w:val="20"/>
                <w:szCs w:val="20"/>
              </w:rPr>
            </w:pPr>
          </w:p>
        </w:tc>
        <w:tc>
          <w:tcPr>
            <w:tcW w:w="853" w:type="dxa"/>
          </w:tcPr>
          <w:p w:rsidR="00947988" w:rsidRPr="005D7390" w:rsidRDefault="00947988" w:rsidP="00E029AB">
            <w:pPr>
              <w:pStyle w:val="ExampleSub"/>
              <w:keepNext w:val="0"/>
              <w:keepLines w:val="0"/>
              <w:ind w:left="0"/>
              <w:cnfStyle w:val="000000000000"/>
              <w:rPr>
                <w:rFonts w:ascii="Arial" w:hAnsi="Arial" w:cs="Arial"/>
                <w:b w:val="0"/>
                <w:bCs w:val="0"/>
                <w:color w:val="auto"/>
                <w:sz w:val="20"/>
                <w:szCs w:val="20"/>
              </w:rPr>
            </w:pPr>
          </w:p>
        </w:tc>
        <w:tc>
          <w:tcPr>
            <w:tcW w:w="709" w:type="dxa"/>
            <w:gridSpan w:val="2"/>
          </w:tcPr>
          <w:p w:rsidR="00947988" w:rsidRPr="005D7390" w:rsidRDefault="00947988" w:rsidP="00E029AB">
            <w:pPr>
              <w:pStyle w:val="ExampleSub"/>
              <w:keepNext w:val="0"/>
              <w:keepLines w:val="0"/>
              <w:ind w:left="0"/>
              <w:cnfStyle w:val="000000000000"/>
              <w:rPr>
                <w:rFonts w:ascii="Arial" w:hAnsi="Arial" w:cs="Arial"/>
                <w:b w:val="0"/>
                <w:bCs w:val="0"/>
                <w:color w:val="auto"/>
                <w:sz w:val="20"/>
                <w:szCs w:val="20"/>
              </w:rPr>
            </w:pPr>
          </w:p>
        </w:tc>
        <w:tc>
          <w:tcPr>
            <w:tcW w:w="5381" w:type="dxa"/>
            <w:gridSpan w:val="2"/>
          </w:tcPr>
          <w:p w:rsidR="00947988" w:rsidRPr="005D7390" w:rsidRDefault="00947988" w:rsidP="00E029AB">
            <w:pPr>
              <w:pStyle w:val="ExampleSub"/>
              <w:keepNext w:val="0"/>
              <w:keepLines w:val="0"/>
              <w:ind w:left="0"/>
              <w:cnfStyle w:val="000000000000"/>
              <w:rPr>
                <w:rFonts w:ascii="Arial" w:hAnsi="Arial" w:cs="Arial"/>
                <w:b w:val="0"/>
                <w:bCs w:val="0"/>
                <w:color w:val="auto"/>
                <w:sz w:val="20"/>
                <w:szCs w:val="20"/>
                <w:u w:val="single"/>
              </w:rPr>
            </w:pPr>
            <w:r w:rsidRPr="005D7390">
              <w:rPr>
                <w:rFonts w:ascii="Arial" w:hAnsi="Arial" w:cs="Arial"/>
                <w:b w:val="0"/>
                <w:bCs w:val="0"/>
                <w:color w:val="auto"/>
                <w:sz w:val="20"/>
                <w:szCs w:val="20"/>
                <w:u w:val="single"/>
              </w:rPr>
              <w:t>Items relating to capital expenditure</w:t>
            </w:r>
          </w:p>
        </w:tc>
        <w:tc>
          <w:tcPr>
            <w:tcW w:w="850" w:type="dxa"/>
            <w:gridSpan w:val="6"/>
          </w:tcPr>
          <w:p w:rsidR="00947988" w:rsidRPr="005D7390" w:rsidRDefault="00947988" w:rsidP="00E029AB">
            <w:pPr>
              <w:pStyle w:val="ExampleSub"/>
              <w:keepNext w:val="0"/>
              <w:keepLines w:val="0"/>
              <w:ind w:left="0"/>
              <w:cnfStyle w:val="000000000000"/>
              <w:rPr>
                <w:rFonts w:ascii="Arial" w:hAnsi="Arial" w:cs="Arial"/>
                <w:b w:val="0"/>
                <w:bCs w:val="0"/>
                <w:color w:val="auto"/>
                <w:sz w:val="20"/>
                <w:szCs w:val="20"/>
              </w:rPr>
            </w:pPr>
          </w:p>
        </w:tc>
        <w:tc>
          <w:tcPr>
            <w:tcW w:w="718" w:type="dxa"/>
            <w:gridSpan w:val="4"/>
          </w:tcPr>
          <w:p w:rsidR="00947988" w:rsidRPr="005D7390" w:rsidRDefault="00947988" w:rsidP="00E029AB">
            <w:pPr>
              <w:pStyle w:val="ExampleSub"/>
              <w:keepNext w:val="0"/>
              <w:keepLines w:val="0"/>
              <w:ind w:left="0"/>
              <w:cnfStyle w:val="000000000000"/>
              <w:rPr>
                <w:rFonts w:ascii="Arial" w:hAnsi="Arial" w:cs="Arial"/>
                <w:b w:val="0"/>
                <w:bCs w:val="0"/>
                <w:color w:val="auto"/>
                <w:sz w:val="20"/>
                <w:szCs w:val="20"/>
              </w:rPr>
            </w:pPr>
          </w:p>
        </w:tc>
        <w:tc>
          <w:tcPr>
            <w:tcW w:w="1013" w:type="dxa"/>
            <w:gridSpan w:val="4"/>
          </w:tcPr>
          <w:p w:rsidR="00947988" w:rsidRPr="005D7390" w:rsidRDefault="00947988" w:rsidP="00E029AB">
            <w:pPr>
              <w:pStyle w:val="ExampleSub"/>
              <w:keepNext w:val="0"/>
              <w:keepLines w:val="0"/>
              <w:ind w:left="0"/>
              <w:cnfStyle w:val="000000000000"/>
              <w:rPr>
                <w:rFonts w:ascii="Arial" w:hAnsi="Arial" w:cs="Arial"/>
                <w:b w:val="0"/>
                <w:bCs w:val="0"/>
                <w:color w:val="auto"/>
                <w:sz w:val="20"/>
                <w:szCs w:val="20"/>
              </w:rPr>
            </w:pPr>
          </w:p>
        </w:tc>
        <w:tc>
          <w:tcPr>
            <w:tcW w:w="709" w:type="dxa"/>
          </w:tcPr>
          <w:p w:rsidR="00947988" w:rsidRPr="005D7390" w:rsidRDefault="00947988" w:rsidP="00E029AB">
            <w:pPr>
              <w:pStyle w:val="ExampleSub"/>
              <w:keepNext w:val="0"/>
              <w:keepLines w:val="0"/>
              <w:ind w:left="0"/>
              <w:cnfStyle w:val="000000000000"/>
              <w:rPr>
                <w:rFonts w:ascii="Arial" w:hAnsi="Arial" w:cs="Arial"/>
                <w:b w:val="0"/>
                <w:bCs w:val="0"/>
                <w:color w:val="auto"/>
                <w:sz w:val="20"/>
                <w:szCs w:val="20"/>
              </w:rPr>
            </w:pPr>
          </w:p>
        </w:tc>
        <w:tc>
          <w:tcPr>
            <w:tcW w:w="709" w:type="dxa"/>
            <w:gridSpan w:val="2"/>
          </w:tcPr>
          <w:p w:rsidR="00947988" w:rsidRPr="005D7390" w:rsidRDefault="00947988" w:rsidP="00E029AB">
            <w:pPr>
              <w:pStyle w:val="ExampleSub"/>
              <w:keepNext w:val="0"/>
              <w:keepLines w:val="0"/>
              <w:ind w:left="0"/>
              <w:cnfStyle w:val="000000000000"/>
              <w:rPr>
                <w:rFonts w:ascii="Arial" w:hAnsi="Arial" w:cs="Arial"/>
                <w:b w:val="0"/>
                <w:bCs w:val="0"/>
                <w:color w:val="auto"/>
                <w:sz w:val="20"/>
                <w:szCs w:val="20"/>
              </w:rPr>
            </w:pPr>
          </w:p>
        </w:tc>
        <w:tc>
          <w:tcPr>
            <w:tcW w:w="850" w:type="dxa"/>
            <w:gridSpan w:val="2"/>
          </w:tcPr>
          <w:p w:rsidR="00947988" w:rsidRPr="005D7390" w:rsidRDefault="00947988" w:rsidP="00E029AB">
            <w:pPr>
              <w:pStyle w:val="ExampleSub"/>
              <w:keepNext w:val="0"/>
              <w:keepLines w:val="0"/>
              <w:ind w:left="0"/>
              <w:cnfStyle w:val="000000000000"/>
              <w:rPr>
                <w:rFonts w:ascii="Arial" w:hAnsi="Arial" w:cs="Arial"/>
                <w:b w:val="0"/>
                <w:bCs w:val="0"/>
                <w:color w:val="auto"/>
                <w:sz w:val="20"/>
                <w:szCs w:val="20"/>
              </w:rPr>
            </w:pPr>
          </w:p>
        </w:tc>
      </w:tr>
      <w:tr w:rsidR="003E75F7" w:rsidRPr="005D7390" w:rsidTr="008A25D1">
        <w:trPr>
          <w:cnfStyle w:val="000000100000"/>
          <w:trHeight w:val="397"/>
        </w:trPr>
        <w:tc>
          <w:tcPr>
            <w:cnfStyle w:val="001000000000"/>
            <w:tcW w:w="911" w:type="dxa"/>
            <w:tcBorders>
              <w:top w:val="none" w:sz="0" w:space="0" w:color="auto"/>
              <w:bottom w:val="none" w:sz="0" w:space="0" w:color="auto"/>
              <w:right w:val="none" w:sz="0" w:space="0" w:color="auto"/>
            </w:tcBorders>
          </w:tcPr>
          <w:p w:rsidR="003E75F7" w:rsidRPr="004C2F21" w:rsidRDefault="003E75F7" w:rsidP="003E75F7">
            <w:pPr>
              <w:pStyle w:val="ExampleSub"/>
              <w:keepNext w:val="0"/>
              <w:keepLines w:val="0"/>
              <w:ind w:left="0"/>
              <w:jc w:val="center"/>
              <w:rPr>
                <w:rFonts w:ascii="Arial" w:hAnsi="Arial" w:cs="Arial"/>
                <w:b w:val="0"/>
                <w:color w:val="auto"/>
                <w:sz w:val="20"/>
                <w:szCs w:val="20"/>
              </w:rPr>
            </w:pPr>
            <w:r w:rsidRPr="004C2F21">
              <w:rPr>
                <w:rFonts w:ascii="Arial" w:hAnsi="Arial" w:cs="Arial"/>
                <w:b w:val="0"/>
                <w:color w:val="auto"/>
                <w:sz w:val="20"/>
                <w:szCs w:val="20"/>
              </w:rPr>
              <w:t>(11.6)</w:t>
            </w:r>
          </w:p>
        </w:tc>
        <w:tc>
          <w:tcPr>
            <w:tcW w:w="700" w:type="dxa"/>
            <w:tcBorders>
              <w:top w:val="none" w:sz="0" w:space="0" w:color="auto"/>
              <w:bottom w:val="none" w:sz="0" w:space="0" w:color="auto"/>
            </w:tcBorders>
          </w:tcPr>
          <w:p w:rsidR="003E75F7" w:rsidRPr="005D7390" w:rsidRDefault="00845088" w:rsidP="003E75F7">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Borders>
              <w:top w:val="none" w:sz="0" w:space="0" w:color="auto"/>
              <w:bottom w:val="none" w:sz="0" w:space="0" w:color="auto"/>
            </w:tcBorders>
          </w:tcPr>
          <w:p w:rsidR="003E75F7" w:rsidRPr="005D7390" w:rsidRDefault="00845088" w:rsidP="003E75F7">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Borders>
              <w:top w:val="none" w:sz="0" w:space="0" w:color="auto"/>
              <w:bottom w:val="none" w:sz="0" w:space="0" w:color="auto"/>
            </w:tcBorders>
            <w:shd w:val="clear" w:color="auto" w:fill="auto"/>
          </w:tcPr>
          <w:p w:rsidR="003E75F7" w:rsidRPr="005D7390" w:rsidRDefault="003E75F7" w:rsidP="003E75F7">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11.6</w:t>
            </w:r>
          </w:p>
        </w:tc>
        <w:tc>
          <w:tcPr>
            <w:tcW w:w="853" w:type="dxa"/>
            <w:tcBorders>
              <w:top w:val="none" w:sz="0" w:space="0" w:color="auto"/>
              <w:bottom w:val="none" w:sz="0" w:space="0" w:color="auto"/>
            </w:tcBorders>
          </w:tcPr>
          <w:p w:rsidR="003E75F7" w:rsidRPr="005D7390" w:rsidRDefault="00845088" w:rsidP="0094798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3E75F7" w:rsidRPr="005D7390" w:rsidRDefault="00845088" w:rsidP="0094798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5381" w:type="dxa"/>
            <w:gridSpan w:val="2"/>
            <w:tcBorders>
              <w:top w:val="none" w:sz="0" w:space="0" w:color="auto"/>
              <w:bottom w:val="none" w:sz="0" w:space="0" w:color="auto"/>
            </w:tcBorders>
          </w:tcPr>
          <w:p w:rsidR="003E75F7" w:rsidRPr="005D7390" w:rsidRDefault="003E75F7" w:rsidP="00E029AB">
            <w:pPr>
              <w:pStyle w:val="ExampleSub"/>
              <w:keepNext w:val="0"/>
              <w:keepLines w:val="0"/>
              <w:ind w:left="0"/>
              <w:cnfStyle w:val="000000100000"/>
              <w:rPr>
                <w:rFonts w:ascii="Arial" w:hAnsi="Arial" w:cs="Arial"/>
                <w:b w:val="0"/>
                <w:bCs w:val="0"/>
                <w:color w:val="auto"/>
                <w:sz w:val="20"/>
                <w:szCs w:val="20"/>
              </w:rPr>
            </w:pPr>
            <w:r w:rsidRPr="005D7390">
              <w:rPr>
                <w:rFonts w:ascii="Arial" w:hAnsi="Arial" w:cs="Arial"/>
                <w:b w:val="0"/>
                <w:bCs w:val="0"/>
                <w:color w:val="auto"/>
                <w:sz w:val="20"/>
                <w:szCs w:val="20"/>
              </w:rPr>
              <w:t>Charges for depreciation and impairment of non current assets</w:t>
            </w:r>
          </w:p>
        </w:tc>
        <w:tc>
          <w:tcPr>
            <w:tcW w:w="850" w:type="dxa"/>
            <w:gridSpan w:val="6"/>
            <w:tcBorders>
              <w:top w:val="none" w:sz="0" w:space="0" w:color="auto"/>
              <w:bottom w:val="none" w:sz="0" w:space="0" w:color="auto"/>
            </w:tcBorders>
          </w:tcPr>
          <w:p w:rsidR="003E75F7" w:rsidRPr="004C2F21" w:rsidRDefault="002F158A" w:rsidP="006D4D25">
            <w:pPr>
              <w:pStyle w:val="ExampleSub"/>
              <w:keepNext w:val="0"/>
              <w:keepLines w:val="0"/>
              <w:ind w:left="0"/>
              <w:jc w:val="center"/>
              <w:cnfStyle w:val="000000100000"/>
              <w:rPr>
                <w:rFonts w:ascii="Arial" w:hAnsi="Arial" w:cs="Arial"/>
                <w:bCs w:val="0"/>
                <w:color w:val="auto"/>
                <w:sz w:val="20"/>
                <w:szCs w:val="20"/>
              </w:rPr>
            </w:pPr>
            <w:r w:rsidRPr="004C2F21">
              <w:rPr>
                <w:rFonts w:ascii="Arial" w:hAnsi="Arial" w:cs="Arial"/>
                <w:bCs w:val="0"/>
                <w:color w:val="auto"/>
                <w:sz w:val="20"/>
                <w:szCs w:val="20"/>
              </w:rPr>
              <w:t>(16.5)</w:t>
            </w:r>
          </w:p>
        </w:tc>
        <w:tc>
          <w:tcPr>
            <w:tcW w:w="718" w:type="dxa"/>
            <w:gridSpan w:val="4"/>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1013" w:type="dxa"/>
            <w:gridSpan w:val="4"/>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tcBorders>
              <w:top w:val="none" w:sz="0" w:space="0" w:color="auto"/>
              <w:bottom w:val="none" w:sz="0" w:space="0" w:color="auto"/>
            </w:tcBorders>
          </w:tcPr>
          <w:p w:rsidR="003E75F7" w:rsidRPr="004C2F21" w:rsidRDefault="002F158A" w:rsidP="006D4D25">
            <w:pPr>
              <w:pStyle w:val="ExampleSub"/>
              <w:keepNext w:val="0"/>
              <w:keepLines w:val="0"/>
              <w:ind w:left="0"/>
              <w:jc w:val="center"/>
              <w:cnfStyle w:val="000000100000"/>
              <w:rPr>
                <w:rFonts w:ascii="Arial" w:hAnsi="Arial" w:cs="Arial"/>
                <w:bCs w:val="0"/>
                <w:color w:val="auto"/>
                <w:sz w:val="20"/>
                <w:szCs w:val="20"/>
              </w:rPr>
            </w:pPr>
            <w:r w:rsidRPr="004C2F21">
              <w:rPr>
                <w:rFonts w:ascii="Arial" w:hAnsi="Arial" w:cs="Arial"/>
                <w:bCs w:val="0"/>
                <w:color w:val="auto"/>
                <w:sz w:val="20"/>
                <w:szCs w:val="20"/>
              </w:rPr>
              <w:t>16.5</w:t>
            </w:r>
          </w:p>
        </w:tc>
        <w:tc>
          <w:tcPr>
            <w:tcW w:w="709" w:type="dxa"/>
            <w:gridSpan w:val="2"/>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r>
      <w:tr w:rsidR="003E75F7" w:rsidRPr="005D7390" w:rsidTr="008A25D1">
        <w:trPr>
          <w:trHeight w:val="397"/>
        </w:trPr>
        <w:tc>
          <w:tcPr>
            <w:cnfStyle w:val="001000000000"/>
            <w:tcW w:w="911" w:type="dxa"/>
            <w:tcBorders>
              <w:right w:val="none" w:sz="0" w:space="0" w:color="auto"/>
            </w:tcBorders>
          </w:tcPr>
          <w:p w:rsidR="003E75F7" w:rsidRPr="004C2F21" w:rsidRDefault="003E75F7" w:rsidP="003E75F7">
            <w:pPr>
              <w:pStyle w:val="ExampleSub"/>
              <w:keepNext w:val="0"/>
              <w:keepLines w:val="0"/>
              <w:ind w:left="0"/>
              <w:jc w:val="center"/>
              <w:rPr>
                <w:rFonts w:ascii="Arial" w:hAnsi="Arial" w:cs="Arial"/>
                <w:b w:val="0"/>
                <w:color w:val="auto"/>
                <w:sz w:val="20"/>
                <w:szCs w:val="20"/>
              </w:rPr>
            </w:pPr>
            <w:r w:rsidRPr="004C2F21">
              <w:rPr>
                <w:rFonts w:ascii="Arial" w:hAnsi="Arial" w:cs="Arial"/>
                <w:b w:val="0"/>
                <w:color w:val="auto"/>
                <w:sz w:val="20"/>
                <w:szCs w:val="20"/>
              </w:rPr>
              <w:t>(0.2)</w:t>
            </w:r>
          </w:p>
        </w:tc>
        <w:tc>
          <w:tcPr>
            <w:tcW w:w="700" w:type="dxa"/>
          </w:tcPr>
          <w:p w:rsidR="003E75F7" w:rsidRPr="005D7390" w:rsidRDefault="00845088" w:rsidP="003E75F7">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Pr>
          <w:p w:rsidR="003E75F7" w:rsidRPr="005D7390" w:rsidRDefault="00845088" w:rsidP="003E75F7">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shd w:val="clear" w:color="auto" w:fill="auto"/>
          </w:tcPr>
          <w:p w:rsidR="003E75F7" w:rsidRPr="005D7390" w:rsidRDefault="003E75F7" w:rsidP="003E75F7">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0.2</w:t>
            </w:r>
          </w:p>
        </w:tc>
        <w:tc>
          <w:tcPr>
            <w:tcW w:w="853" w:type="dxa"/>
          </w:tcPr>
          <w:p w:rsidR="003E75F7" w:rsidRPr="005D7390" w:rsidRDefault="00845088" w:rsidP="0094798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Pr>
          <w:p w:rsidR="003E75F7" w:rsidRPr="005D7390" w:rsidRDefault="00845088" w:rsidP="0094798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5381" w:type="dxa"/>
            <w:gridSpan w:val="2"/>
          </w:tcPr>
          <w:p w:rsidR="003E75F7" w:rsidRPr="005D7390" w:rsidRDefault="003E75F7" w:rsidP="00947988">
            <w:pPr>
              <w:pStyle w:val="ExampleSub"/>
              <w:keepNext w:val="0"/>
              <w:keepLines w:val="0"/>
              <w:ind w:left="0"/>
              <w:cnfStyle w:val="000000000000"/>
              <w:rPr>
                <w:rFonts w:ascii="Arial" w:hAnsi="Arial" w:cs="Arial"/>
                <w:b w:val="0"/>
                <w:bCs w:val="0"/>
                <w:color w:val="auto"/>
                <w:sz w:val="20"/>
                <w:szCs w:val="20"/>
              </w:rPr>
            </w:pPr>
            <w:r w:rsidRPr="005D7390">
              <w:rPr>
                <w:rFonts w:ascii="Arial" w:hAnsi="Arial" w:cs="Arial"/>
                <w:b w:val="0"/>
                <w:color w:val="auto"/>
                <w:sz w:val="20"/>
                <w:szCs w:val="20"/>
              </w:rPr>
              <w:t>Amortisation of intangible assets</w:t>
            </w:r>
          </w:p>
        </w:tc>
        <w:tc>
          <w:tcPr>
            <w:tcW w:w="850" w:type="dxa"/>
            <w:gridSpan w:val="6"/>
          </w:tcPr>
          <w:p w:rsidR="003E75F7" w:rsidRPr="004C2F21" w:rsidRDefault="002F158A" w:rsidP="00FC7515">
            <w:pPr>
              <w:pStyle w:val="ExampleSub"/>
              <w:keepNext w:val="0"/>
              <w:keepLines w:val="0"/>
              <w:ind w:left="0"/>
              <w:jc w:val="center"/>
              <w:cnfStyle w:val="000000000000"/>
              <w:rPr>
                <w:rFonts w:ascii="Arial" w:hAnsi="Arial" w:cs="Arial"/>
                <w:bCs w:val="0"/>
                <w:color w:val="auto"/>
                <w:sz w:val="20"/>
                <w:szCs w:val="20"/>
              </w:rPr>
            </w:pPr>
            <w:r w:rsidRPr="004C2F21">
              <w:rPr>
                <w:rFonts w:ascii="Arial" w:hAnsi="Arial" w:cs="Arial"/>
                <w:bCs w:val="0"/>
                <w:color w:val="auto"/>
                <w:sz w:val="20"/>
                <w:szCs w:val="20"/>
              </w:rPr>
              <w:t>(0.1)</w:t>
            </w:r>
          </w:p>
        </w:tc>
        <w:tc>
          <w:tcPr>
            <w:tcW w:w="718" w:type="dxa"/>
            <w:gridSpan w:val="4"/>
          </w:tcPr>
          <w:p w:rsidR="003E75F7" w:rsidRPr="005D7390" w:rsidRDefault="002F158A"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1013" w:type="dxa"/>
            <w:gridSpan w:val="4"/>
          </w:tcPr>
          <w:p w:rsidR="003E75F7" w:rsidRPr="005D7390" w:rsidRDefault="002F158A"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tcPr>
          <w:p w:rsidR="003E75F7" w:rsidRPr="004C2F21" w:rsidRDefault="002F158A" w:rsidP="00FC7515">
            <w:pPr>
              <w:pStyle w:val="ExampleSub"/>
              <w:keepNext w:val="0"/>
              <w:keepLines w:val="0"/>
              <w:ind w:left="0"/>
              <w:jc w:val="center"/>
              <w:cnfStyle w:val="000000000000"/>
              <w:rPr>
                <w:rFonts w:ascii="Arial" w:hAnsi="Arial" w:cs="Arial"/>
                <w:bCs w:val="0"/>
                <w:color w:val="auto"/>
                <w:sz w:val="20"/>
                <w:szCs w:val="20"/>
              </w:rPr>
            </w:pPr>
            <w:r w:rsidRPr="004C2F21">
              <w:rPr>
                <w:rFonts w:ascii="Arial" w:hAnsi="Arial" w:cs="Arial"/>
                <w:bCs w:val="0"/>
                <w:color w:val="auto"/>
                <w:sz w:val="20"/>
                <w:szCs w:val="20"/>
              </w:rPr>
              <w:t>0.1</w:t>
            </w:r>
          </w:p>
        </w:tc>
        <w:tc>
          <w:tcPr>
            <w:tcW w:w="709" w:type="dxa"/>
            <w:gridSpan w:val="2"/>
          </w:tcPr>
          <w:p w:rsidR="003E75F7" w:rsidRPr="005D7390" w:rsidRDefault="002F158A"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Pr>
          <w:p w:rsidR="003E75F7" w:rsidRPr="005D7390" w:rsidRDefault="002F158A"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r>
      <w:tr w:rsidR="003E75F7" w:rsidRPr="005D7390" w:rsidTr="008A25D1">
        <w:trPr>
          <w:cnfStyle w:val="000000100000"/>
          <w:trHeight w:val="397"/>
        </w:trPr>
        <w:tc>
          <w:tcPr>
            <w:cnfStyle w:val="001000000000"/>
            <w:tcW w:w="911" w:type="dxa"/>
            <w:tcBorders>
              <w:top w:val="none" w:sz="0" w:space="0" w:color="auto"/>
              <w:bottom w:val="none" w:sz="0" w:space="0" w:color="auto"/>
              <w:right w:val="none" w:sz="0" w:space="0" w:color="auto"/>
            </w:tcBorders>
          </w:tcPr>
          <w:p w:rsidR="003E75F7" w:rsidRPr="004C2F21" w:rsidRDefault="003E75F7" w:rsidP="003E75F7">
            <w:pPr>
              <w:pStyle w:val="ExampleSub"/>
              <w:keepNext w:val="0"/>
              <w:keepLines w:val="0"/>
              <w:ind w:left="0"/>
              <w:jc w:val="center"/>
              <w:rPr>
                <w:rFonts w:ascii="Arial" w:hAnsi="Arial" w:cs="Arial"/>
                <w:b w:val="0"/>
                <w:color w:val="auto"/>
                <w:sz w:val="20"/>
                <w:szCs w:val="20"/>
              </w:rPr>
            </w:pPr>
            <w:r w:rsidRPr="004C2F21">
              <w:rPr>
                <w:rFonts w:ascii="Arial" w:hAnsi="Arial" w:cs="Arial"/>
                <w:b w:val="0"/>
                <w:color w:val="auto"/>
                <w:sz w:val="20"/>
                <w:szCs w:val="20"/>
              </w:rPr>
              <w:t>(6.7)</w:t>
            </w:r>
          </w:p>
        </w:tc>
        <w:tc>
          <w:tcPr>
            <w:tcW w:w="700" w:type="dxa"/>
            <w:tcBorders>
              <w:top w:val="none" w:sz="0" w:space="0" w:color="auto"/>
              <w:bottom w:val="none" w:sz="0" w:space="0" w:color="auto"/>
            </w:tcBorders>
          </w:tcPr>
          <w:p w:rsidR="003E75F7" w:rsidRPr="005D7390" w:rsidRDefault="00845088" w:rsidP="003E75F7">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Borders>
              <w:top w:val="none" w:sz="0" w:space="0" w:color="auto"/>
              <w:bottom w:val="none" w:sz="0" w:space="0" w:color="auto"/>
            </w:tcBorders>
          </w:tcPr>
          <w:p w:rsidR="003E75F7" w:rsidRPr="005D7390" w:rsidRDefault="00845088" w:rsidP="003E75F7">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Borders>
              <w:top w:val="none" w:sz="0" w:space="0" w:color="auto"/>
              <w:bottom w:val="none" w:sz="0" w:space="0" w:color="auto"/>
            </w:tcBorders>
            <w:shd w:val="clear" w:color="auto" w:fill="auto"/>
          </w:tcPr>
          <w:p w:rsidR="003E75F7" w:rsidRPr="005D7390" w:rsidRDefault="003E75F7" w:rsidP="003E75F7">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6.7</w:t>
            </w:r>
          </w:p>
        </w:tc>
        <w:tc>
          <w:tcPr>
            <w:tcW w:w="853" w:type="dxa"/>
            <w:tcBorders>
              <w:top w:val="none" w:sz="0" w:space="0" w:color="auto"/>
              <w:bottom w:val="none" w:sz="0" w:space="0" w:color="auto"/>
            </w:tcBorders>
          </w:tcPr>
          <w:p w:rsidR="003E75F7" w:rsidRPr="005D7390" w:rsidRDefault="00845088" w:rsidP="0094798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3E75F7" w:rsidRPr="005D7390" w:rsidRDefault="00845088" w:rsidP="0094798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5381" w:type="dxa"/>
            <w:gridSpan w:val="2"/>
            <w:tcBorders>
              <w:top w:val="none" w:sz="0" w:space="0" w:color="auto"/>
              <w:bottom w:val="none" w:sz="0" w:space="0" w:color="auto"/>
            </w:tcBorders>
          </w:tcPr>
          <w:p w:rsidR="003E75F7" w:rsidRPr="005D7390" w:rsidRDefault="003E75F7" w:rsidP="00947988">
            <w:pPr>
              <w:pStyle w:val="ExampleSub"/>
              <w:keepNext w:val="0"/>
              <w:keepLines w:val="0"/>
              <w:ind w:left="0"/>
              <w:cnfStyle w:val="000000100000"/>
              <w:rPr>
                <w:rFonts w:ascii="Arial" w:hAnsi="Arial" w:cs="Arial"/>
                <w:b w:val="0"/>
                <w:bCs w:val="0"/>
                <w:color w:val="auto"/>
                <w:sz w:val="18"/>
                <w:szCs w:val="20"/>
              </w:rPr>
            </w:pPr>
            <w:r w:rsidRPr="005D7390">
              <w:rPr>
                <w:rFonts w:ascii="Arial" w:hAnsi="Arial" w:cs="Arial"/>
                <w:b w:val="0"/>
                <w:color w:val="auto"/>
                <w:sz w:val="18"/>
                <w:szCs w:val="20"/>
              </w:rPr>
              <w:t>Revenue expenditure funded from capital under statute</w:t>
            </w:r>
          </w:p>
        </w:tc>
        <w:tc>
          <w:tcPr>
            <w:tcW w:w="850" w:type="dxa"/>
            <w:gridSpan w:val="6"/>
            <w:tcBorders>
              <w:top w:val="none" w:sz="0" w:space="0" w:color="auto"/>
              <w:bottom w:val="none" w:sz="0" w:space="0" w:color="auto"/>
            </w:tcBorders>
          </w:tcPr>
          <w:p w:rsidR="003E75F7" w:rsidRPr="004C2F21" w:rsidRDefault="002F158A" w:rsidP="002F5A13">
            <w:pPr>
              <w:pStyle w:val="ExampleSub"/>
              <w:keepNext w:val="0"/>
              <w:keepLines w:val="0"/>
              <w:ind w:left="0"/>
              <w:jc w:val="center"/>
              <w:cnfStyle w:val="000000100000"/>
              <w:rPr>
                <w:rFonts w:ascii="Arial" w:hAnsi="Arial" w:cs="Arial"/>
                <w:bCs w:val="0"/>
                <w:color w:val="auto"/>
                <w:sz w:val="20"/>
                <w:szCs w:val="20"/>
              </w:rPr>
            </w:pPr>
            <w:r w:rsidRPr="004C2F21">
              <w:rPr>
                <w:rFonts w:ascii="Arial" w:hAnsi="Arial" w:cs="Arial"/>
                <w:bCs w:val="0"/>
                <w:color w:val="auto"/>
                <w:sz w:val="20"/>
                <w:szCs w:val="20"/>
              </w:rPr>
              <w:t>(2.</w:t>
            </w:r>
            <w:r w:rsidR="002F5A13">
              <w:rPr>
                <w:rFonts w:ascii="Arial" w:hAnsi="Arial" w:cs="Arial"/>
                <w:bCs w:val="0"/>
                <w:color w:val="auto"/>
                <w:sz w:val="20"/>
                <w:szCs w:val="20"/>
              </w:rPr>
              <w:t>3</w:t>
            </w:r>
            <w:r w:rsidRPr="004C2F21">
              <w:rPr>
                <w:rFonts w:ascii="Arial" w:hAnsi="Arial" w:cs="Arial"/>
                <w:bCs w:val="0"/>
                <w:color w:val="auto"/>
                <w:sz w:val="20"/>
                <w:szCs w:val="20"/>
              </w:rPr>
              <w:t>)</w:t>
            </w:r>
          </w:p>
        </w:tc>
        <w:tc>
          <w:tcPr>
            <w:tcW w:w="718" w:type="dxa"/>
            <w:gridSpan w:val="4"/>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1013" w:type="dxa"/>
            <w:gridSpan w:val="4"/>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tcBorders>
              <w:top w:val="none" w:sz="0" w:space="0" w:color="auto"/>
              <w:bottom w:val="none" w:sz="0" w:space="0" w:color="auto"/>
            </w:tcBorders>
          </w:tcPr>
          <w:p w:rsidR="003E75F7" w:rsidRPr="004C2F21" w:rsidRDefault="002F158A" w:rsidP="002F5A13">
            <w:pPr>
              <w:pStyle w:val="ExampleSub"/>
              <w:keepNext w:val="0"/>
              <w:keepLines w:val="0"/>
              <w:ind w:left="0"/>
              <w:jc w:val="center"/>
              <w:cnfStyle w:val="000000100000"/>
              <w:rPr>
                <w:rFonts w:ascii="Arial" w:hAnsi="Arial" w:cs="Arial"/>
                <w:bCs w:val="0"/>
                <w:color w:val="auto"/>
                <w:sz w:val="20"/>
                <w:szCs w:val="20"/>
              </w:rPr>
            </w:pPr>
            <w:r w:rsidRPr="004C2F21">
              <w:rPr>
                <w:rFonts w:ascii="Arial" w:hAnsi="Arial" w:cs="Arial"/>
                <w:bCs w:val="0"/>
                <w:color w:val="auto"/>
                <w:sz w:val="20"/>
                <w:szCs w:val="20"/>
              </w:rPr>
              <w:t>2.</w:t>
            </w:r>
            <w:r w:rsidR="002F5A13">
              <w:rPr>
                <w:rFonts w:ascii="Arial" w:hAnsi="Arial" w:cs="Arial"/>
                <w:bCs w:val="0"/>
                <w:color w:val="auto"/>
                <w:sz w:val="20"/>
                <w:szCs w:val="20"/>
              </w:rPr>
              <w:t>3</w:t>
            </w:r>
          </w:p>
        </w:tc>
        <w:tc>
          <w:tcPr>
            <w:tcW w:w="709" w:type="dxa"/>
            <w:gridSpan w:val="2"/>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r>
      <w:tr w:rsidR="003E75F7" w:rsidRPr="005D7390" w:rsidTr="008A25D1">
        <w:trPr>
          <w:trHeight w:val="397"/>
        </w:trPr>
        <w:tc>
          <w:tcPr>
            <w:cnfStyle w:val="001000000000"/>
            <w:tcW w:w="911" w:type="dxa"/>
            <w:tcBorders>
              <w:right w:val="none" w:sz="0" w:space="0" w:color="auto"/>
            </w:tcBorders>
          </w:tcPr>
          <w:p w:rsidR="003E75F7" w:rsidRPr="004C2F21" w:rsidRDefault="003E75F7" w:rsidP="003E75F7">
            <w:pPr>
              <w:pStyle w:val="ExampleSub"/>
              <w:keepNext w:val="0"/>
              <w:keepLines w:val="0"/>
              <w:ind w:left="0"/>
              <w:jc w:val="center"/>
              <w:rPr>
                <w:rFonts w:ascii="Arial" w:hAnsi="Arial" w:cs="Arial"/>
                <w:b w:val="0"/>
                <w:color w:val="auto"/>
                <w:sz w:val="20"/>
                <w:szCs w:val="20"/>
              </w:rPr>
            </w:pPr>
            <w:r w:rsidRPr="004C2F21">
              <w:rPr>
                <w:rFonts w:ascii="Arial" w:hAnsi="Arial" w:cs="Arial"/>
                <w:b w:val="0"/>
                <w:color w:val="auto"/>
                <w:sz w:val="20"/>
                <w:szCs w:val="20"/>
              </w:rPr>
              <w:t>(11.4)</w:t>
            </w:r>
          </w:p>
        </w:tc>
        <w:tc>
          <w:tcPr>
            <w:tcW w:w="700" w:type="dxa"/>
          </w:tcPr>
          <w:p w:rsidR="003E75F7" w:rsidRPr="005D7390" w:rsidRDefault="00845088" w:rsidP="003E75F7">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Pr>
          <w:p w:rsidR="003E75F7" w:rsidRPr="005D7390" w:rsidRDefault="00845088" w:rsidP="003E75F7">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shd w:val="clear" w:color="auto" w:fill="auto"/>
          </w:tcPr>
          <w:p w:rsidR="003E75F7" w:rsidRPr="005D7390" w:rsidRDefault="003E75F7" w:rsidP="003E75F7">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11.4</w:t>
            </w:r>
          </w:p>
        </w:tc>
        <w:tc>
          <w:tcPr>
            <w:tcW w:w="853" w:type="dxa"/>
          </w:tcPr>
          <w:p w:rsidR="003E75F7" w:rsidRPr="005D7390" w:rsidRDefault="00845088" w:rsidP="0094798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Pr>
          <w:p w:rsidR="003E75F7" w:rsidRPr="005D7390" w:rsidRDefault="00845088" w:rsidP="0094798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5381" w:type="dxa"/>
            <w:gridSpan w:val="2"/>
          </w:tcPr>
          <w:p w:rsidR="003E75F7" w:rsidRPr="005D7390" w:rsidRDefault="003E75F7" w:rsidP="00947988">
            <w:pPr>
              <w:pStyle w:val="ExampleSub"/>
              <w:keepNext w:val="0"/>
              <w:keepLines w:val="0"/>
              <w:ind w:left="0"/>
              <w:cnfStyle w:val="000000000000"/>
              <w:rPr>
                <w:rFonts w:ascii="Arial" w:hAnsi="Arial" w:cs="Arial"/>
                <w:b w:val="0"/>
                <w:color w:val="auto"/>
                <w:sz w:val="20"/>
                <w:szCs w:val="20"/>
              </w:rPr>
            </w:pPr>
            <w:r w:rsidRPr="005D7390">
              <w:rPr>
                <w:rFonts w:ascii="Arial" w:hAnsi="Arial" w:cs="Arial"/>
                <w:b w:val="0"/>
                <w:color w:val="auto"/>
                <w:sz w:val="20"/>
                <w:szCs w:val="20"/>
              </w:rPr>
              <w:t>Amounts of non current assets written off on disposal/sale as part of the gain/loss on disposal to the CI&amp;E statement</w:t>
            </w:r>
          </w:p>
        </w:tc>
        <w:tc>
          <w:tcPr>
            <w:tcW w:w="850" w:type="dxa"/>
            <w:gridSpan w:val="6"/>
          </w:tcPr>
          <w:p w:rsidR="003E75F7" w:rsidRPr="004C2F21" w:rsidRDefault="002F158A" w:rsidP="006D4D25">
            <w:pPr>
              <w:pStyle w:val="ExampleSub"/>
              <w:keepNext w:val="0"/>
              <w:keepLines w:val="0"/>
              <w:ind w:left="0"/>
              <w:jc w:val="center"/>
              <w:cnfStyle w:val="000000000000"/>
              <w:rPr>
                <w:rFonts w:ascii="Arial" w:hAnsi="Arial" w:cs="Arial"/>
                <w:bCs w:val="0"/>
                <w:color w:val="auto"/>
                <w:sz w:val="20"/>
                <w:szCs w:val="20"/>
              </w:rPr>
            </w:pPr>
            <w:r w:rsidRPr="004C2F21">
              <w:rPr>
                <w:rFonts w:ascii="Arial" w:hAnsi="Arial" w:cs="Arial"/>
                <w:bCs w:val="0"/>
                <w:color w:val="auto"/>
                <w:sz w:val="20"/>
                <w:szCs w:val="20"/>
              </w:rPr>
              <w:t>(14.8)</w:t>
            </w:r>
          </w:p>
        </w:tc>
        <w:tc>
          <w:tcPr>
            <w:tcW w:w="718" w:type="dxa"/>
            <w:gridSpan w:val="4"/>
          </w:tcPr>
          <w:p w:rsidR="003E75F7" w:rsidRPr="005D7390" w:rsidRDefault="002F158A"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1013" w:type="dxa"/>
            <w:gridSpan w:val="4"/>
          </w:tcPr>
          <w:p w:rsidR="003E75F7" w:rsidRPr="005D7390" w:rsidRDefault="002F158A"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tcPr>
          <w:p w:rsidR="003E75F7" w:rsidRPr="004C2F21" w:rsidRDefault="002F158A" w:rsidP="006D4D25">
            <w:pPr>
              <w:pStyle w:val="ExampleSub"/>
              <w:keepNext w:val="0"/>
              <w:keepLines w:val="0"/>
              <w:ind w:left="0"/>
              <w:jc w:val="center"/>
              <w:cnfStyle w:val="000000000000"/>
              <w:rPr>
                <w:rFonts w:ascii="Arial" w:hAnsi="Arial" w:cs="Arial"/>
                <w:bCs w:val="0"/>
                <w:color w:val="auto"/>
                <w:sz w:val="20"/>
                <w:szCs w:val="20"/>
              </w:rPr>
            </w:pPr>
            <w:r w:rsidRPr="004C2F21">
              <w:rPr>
                <w:rFonts w:ascii="Arial" w:hAnsi="Arial" w:cs="Arial"/>
                <w:bCs w:val="0"/>
                <w:color w:val="auto"/>
                <w:sz w:val="20"/>
                <w:szCs w:val="20"/>
              </w:rPr>
              <w:t>14.8</w:t>
            </w:r>
          </w:p>
        </w:tc>
        <w:tc>
          <w:tcPr>
            <w:tcW w:w="709" w:type="dxa"/>
            <w:gridSpan w:val="2"/>
          </w:tcPr>
          <w:p w:rsidR="003E75F7" w:rsidRPr="005D7390" w:rsidRDefault="002F158A"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Pr>
          <w:p w:rsidR="003E75F7" w:rsidRPr="005D7390" w:rsidRDefault="002F158A"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r>
      <w:tr w:rsidR="003E75F7" w:rsidRPr="005D7390" w:rsidTr="008A25D1">
        <w:trPr>
          <w:cnfStyle w:val="000000100000"/>
          <w:trHeight w:val="397"/>
        </w:trPr>
        <w:tc>
          <w:tcPr>
            <w:cnfStyle w:val="001000000000"/>
            <w:tcW w:w="911" w:type="dxa"/>
            <w:tcBorders>
              <w:top w:val="none" w:sz="0" w:space="0" w:color="auto"/>
              <w:bottom w:val="none" w:sz="0" w:space="0" w:color="auto"/>
              <w:right w:val="none" w:sz="0" w:space="0" w:color="auto"/>
            </w:tcBorders>
          </w:tcPr>
          <w:p w:rsidR="003E75F7" w:rsidRPr="004C2F21" w:rsidRDefault="003E75F7" w:rsidP="003E75F7">
            <w:pPr>
              <w:pStyle w:val="ExampleSub"/>
              <w:keepNext w:val="0"/>
              <w:keepLines w:val="0"/>
              <w:ind w:left="0"/>
              <w:jc w:val="center"/>
              <w:rPr>
                <w:rFonts w:ascii="Arial" w:hAnsi="Arial" w:cs="Arial"/>
                <w:b w:val="0"/>
                <w:color w:val="auto"/>
                <w:sz w:val="20"/>
                <w:szCs w:val="20"/>
              </w:rPr>
            </w:pPr>
            <w:r w:rsidRPr="004C2F21">
              <w:rPr>
                <w:rFonts w:ascii="Arial" w:hAnsi="Arial" w:cs="Arial"/>
                <w:b w:val="0"/>
                <w:color w:val="auto"/>
                <w:sz w:val="20"/>
                <w:szCs w:val="20"/>
              </w:rPr>
              <w:t>0.1</w:t>
            </w:r>
          </w:p>
        </w:tc>
        <w:tc>
          <w:tcPr>
            <w:tcW w:w="700" w:type="dxa"/>
            <w:tcBorders>
              <w:top w:val="none" w:sz="0" w:space="0" w:color="auto"/>
              <w:bottom w:val="none" w:sz="0" w:space="0" w:color="auto"/>
            </w:tcBorders>
          </w:tcPr>
          <w:p w:rsidR="003E75F7" w:rsidRPr="005D7390" w:rsidRDefault="003E75F7" w:rsidP="003E75F7">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872" w:type="dxa"/>
            <w:tcBorders>
              <w:top w:val="none" w:sz="0" w:space="0" w:color="auto"/>
              <w:bottom w:val="none" w:sz="0" w:space="0" w:color="auto"/>
            </w:tcBorders>
          </w:tcPr>
          <w:p w:rsidR="003E75F7" w:rsidRPr="005D7390" w:rsidRDefault="003E75F7" w:rsidP="003E75F7">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686" w:type="dxa"/>
            <w:tcBorders>
              <w:top w:val="none" w:sz="0" w:space="0" w:color="auto"/>
              <w:bottom w:val="none" w:sz="0" w:space="0" w:color="auto"/>
            </w:tcBorders>
            <w:shd w:val="clear" w:color="auto" w:fill="auto"/>
          </w:tcPr>
          <w:p w:rsidR="003E75F7" w:rsidRPr="005D7390" w:rsidRDefault="003E75F7" w:rsidP="003E75F7">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(0.1)</w:t>
            </w:r>
          </w:p>
        </w:tc>
        <w:tc>
          <w:tcPr>
            <w:tcW w:w="853" w:type="dxa"/>
            <w:tcBorders>
              <w:top w:val="none" w:sz="0" w:space="0" w:color="auto"/>
              <w:bottom w:val="none" w:sz="0" w:space="0" w:color="auto"/>
            </w:tcBorders>
          </w:tcPr>
          <w:p w:rsidR="003E75F7" w:rsidRPr="005D7390" w:rsidRDefault="003E75F7" w:rsidP="0094798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3E75F7" w:rsidRPr="005D7390" w:rsidRDefault="003E75F7" w:rsidP="0094798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5381" w:type="dxa"/>
            <w:gridSpan w:val="2"/>
            <w:tcBorders>
              <w:top w:val="none" w:sz="0" w:space="0" w:color="auto"/>
              <w:bottom w:val="none" w:sz="0" w:space="0" w:color="auto"/>
            </w:tcBorders>
          </w:tcPr>
          <w:p w:rsidR="003E75F7" w:rsidRPr="005D7390" w:rsidRDefault="003E75F7" w:rsidP="00947988">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color w:val="auto"/>
                <w:sz w:val="20"/>
                <w:szCs w:val="20"/>
              </w:rPr>
              <w:t>Notional Rent Credit</w:t>
            </w:r>
          </w:p>
        </w:tc>
        <w:tc>
          <w:tcPr>
            <w:tcW w:w="850" w:type="dxa"/>
            <w:gridSpan w:val="6"/>
            <w:tcBorders>
              <w:top w:val="none" w:sz="0" w:space="0" w:color="auto"/>
              <w:bottom w:val="none" w:sz="0" w:space="0" w:color="auto"/>
            </w:tcBorders>
          </w:tcPr>
          <w:p w:rsidR="003E75F7" w:rsidRPr="004C2F21" w:rsidRDefault="002F158A" w:rsidP="004A3D95">
            <w:pPr>
              <w:pStyle w:val="ExampleSub"/>
              <w:keepNext w:val="0"/>
              <w:keepLines w:val="0"/>
              <w:ind w:left="0"/>
              <w:jc w:val="center"/>
              <w:cnfStyle w:val="000000100000"/>
              <w:rPr>
                <w:rFonts w:ascii="Arial" w:hAnsi="Arial" w:cs="Arial"/>
                <w:bCs w:val="0"/>
                <w:color w:val="auto"/>
                <w:sz w:val="20"/>
                <w:szCs w:val="20"/>
              </w:rPr>
            </w:pPr>
            <w:r w:rsidRPr="004C2F21">
              <w:rPr>
                <w:rFonts w:ascii="Arial" w:hAnsi="Arial" w:cs="Arial"/>
                <w:bCs w:val="0"/>
                <w:color w:val="auto"/>
                <w:sz w:val="20"/>
                <w:szCs w:val="20"/>
              </w:rPr>
              <w:t>0.1</w:t>
            </w:r>
          </w:p>
        </w:tc>
        <w:tc>
          <w:tcPr>
            <w:tcW w:w="718" w:type="dxa"/>
            <w:gridSpan w:val="4"/>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1013" w:type="dxa"/>
            <w:gridSpan w:val="4"/>
            <w:tcBorders>
              <w:top w:val="none" w:sz="0" w:space="0" w:color="auto"/>
              <w:bottom w:val="none" w:sz="0" w:space="0" w:color="auto"/>
            </w:tcBorders>
          </w:tcPr>
          <w:p w:rsidR="003E75F7" w:rsidRPr="005D7390" w:rsidRDefault="002F158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tcBorders>
              <w:top w:val="none" w:sz="0" w:space="0" w:color="auto"/>
              <w:bottom w:val="none" w:sz="0" w:space="0" w:color="auto"/>
            </w:tcBorders>
          </w:tcPr>
          <w:p w:rsidR="002F158A" w:rsidRPr="004C2F21" w:rsidRDefault="002F158A" w:rsidP="002F158A">
            <w:pPr>
              <w:pStyle w:val="ExampleSub"/>
              <w:keepNext w:val="0"/>
              <w:keepLines w:val="0"/>
              <w:ind w:left="0"/>
              <w:jc w:val="center"/>
              <w:cnfStyle w:val="000000100000"/>
              <w:rPr>
                <w:rFonts w:ascii="Arial" w:hAnsi="Arial" w:cs="Arial"/>
                <w:bCs w:val="0"/>
                <w:color w:val="auto"/>
                <w:sz w:val="20"/>
                <w:szCs w:val="20"/>
              </w:rPr>
            </w:pPr>
            <w:r w:rsidRPr="004C2F21">
              <w:rPr>
                <w:rFonts w:ascii="Arial" w:hAnsi="Arial" w:cs="Arial"/>
                <w:bCs w:val="0"/>
                <w:color w:val="auto"/>
                <w:sz w:val="20"/>
                <w:szCs w:val="20"/>
              </w:rPr>
              <w:t>(0.1)</w:t>
            </w:r>
          </w:p>
        </w:tc>
        <w:tc>
          <w:tcPr>
            <w:tcW w:w="709" w:type="dxa"/>
            <w:gridSpan w:val="2"/>
            <w:tcBorders>
              <w:top w:val="none" w:sz="0" w:space="0" w:color="auto"/>
              <w:bottom w:val="none" w:sz="0" w:space="0" w:color="auto"/>
            </w:tcBorders>
          </w:tcPr>
          <w:p w:rsidR="003E75F7" w:rsidRPr="005D7390" w:rsidRDefault="003E75F7" w:rsidP="004A3D95">
            <w:pPr>
              <w:pStyle w:val="ExampleSub"/>
              <w:keepNext w:val="0"/>
              <w:keepLines w:val="0"/>
              <w:ind w:left="0"/>
              <w:jc w:val="center"/>
              <w:cnfStyle w:val="000000100000"/>
              <w:rPr>
                <w:rFonts w:ascii="Arial" w:hAnsi="Arial" w:cs="Arial"/>
                <w:b w:val="0"/>
                <w:bCs w:val="0"/>
                <w:color w:val="auto"/>
                <w:sz w:val="20"/>
                <w:szCs w:val="20"/>
              </w:rPr>
            </w:pPr>
          </w:p>
        </w:tc>
        <w:tc>
          <w:tcPr>
            <w:tcW w:w="850" w:type="dxa"/>
            <w:gridSpan w:val="2"/>
            <w:tcBorders>
              <w:top w:val="none" w:sz="0" w:space="0" w:color="auto"/>
              <w:bottom w:val="none" w:sz="0" w:space="0" w:color="auto"/>
            </w:tcBorders>
          </w:tcPr>
          <w:p w:rsidR="003E75F7" w:rsidRPr="005D7390" w:rsidRDefault="003E75F7" w:rsidP="004A3D95">
            <w:pPr>
              <w:pStyle w:val="ExampleSub"/>
              <w:keepNext w:val="0"/>
              <w:keepLines w:val="0"/>
              <w:ind w:left="0"/>
              <w:jc w:val="center"/>
              <w:cnfStyle w:val="000000100000"/>
              <w:rPr>
                <w:rFonts w:ascii="Arial" w:hAnsi="Arial" w:cs="Arial"/>
                <w:b w:val="0"/>
                <w:bCs w:val="0"/>
                <w:color w:val="auto"/>
                <w:sz w:val="20"/>
                <w:szCs w:val="20"/>
              </w:rPr>
            </w:pPr>
          </w:p>
        </w:tc>
      </w:tr>
      <w:tr w:rsidR="002C0D32" w:rsidRPr="005D7390" w:rsidTr="008A25D1">
        <w:trPr>
          <w:trHeight w:val="397"/>
        </w:trPr>
        <w:tc>
          <w:tcPr>
            <w:cnfStyle w:val="001000000000"/>
            <w:tcW w:w="911" w:type="dxa"/>
            <w:tcBorders>
              <w:right w:val="none" w:sz="0" w:space="0" w:color="auto"/>
            </w:tcBorders>
          </w:tcPr>
          <w:p w:rsidR="002C0D32" w:rsidRPr="004C2F21" w:rsidRDefault="002C0D32" w:rsidP="003E75F7">
            <w:pPr>
              <w:pStyle w:val="ExampleSub"/>
              <w:keepNext w:val="0"/>
              <w:keepLines w:val="0"/>
              <w:ind w:left="0"/>
              <w:jc w:val="center"/>
              <w:rPr>
                <w:rFonts w:ascii="Arial" w:hAnsi="Arial" w:cs="Arial"/>
                <w:b w:val="0"/>
                <w:color w:val="auto"/>
                <w:sz w:val="20"/>
                <w:szCs w:val="20"/>
              </w:rPr>
            </w:pPr>
          </w:p>
        </w:tc>
        <w:tc>
          <w:tcPr>
            <w:tcW w:w="700" w:type="dxa"/>
          </w:tcPr>
          <w:p w:rsidR="002C0D32" w:rsidRPr="005D7390" w:rsidRDefault="002C0D32" w:rsidP="003E75F7">
            <w:pPr>
              <w:pStyle w:val="ExampleSub"/>
              <w:keepNext w:val="0"/>
              <w:keepLines w:val="0"/>
              <w:ind w:left="0"/>
              <w:jc w:val="center"/>
              <w:cnfStyle w:val="000000000000"/>
              <w:rPr>
                <w:rFonts w:ascii="Arial" w:hAnsi="Arial" w:cs="Arial"/>
                <w:b w:val="0"/>
                <w:bCs w:val="0"/>
                <w:color w:val="auto"/>
                <w:sz w:val="20"/>
                <w:szCs w:val="20"/>
              </w:rPr>
            </w:pPr>
          </w:p>
        </w:tc>
        <w:tc>
          <w:tcPr>
            <w:tcW w:w="872" w:type="dxa"/>
          </w:tcPr>
          <w:p w:rsidR="002C0D32" w:rsidRPr="005D7390" w:rsidRDefault="002C0D32" w:rsidP="003E75F7">
            <w:pPr>
              <w:pStyle w:val="ExampleSub"/>
              <w:keepNext w:val="0"/>
              <w:keepLines w:val="0"/>
              <w:ind w:left="0"/>
              <w:jc w:val="center"/>
              <w:cnfStyle w:val="000000000000"/>
              <w:rPr>
                <w:rFonts w:ascii="Arial" w:hAnsi="Arial" w:cs="Arial"/>
                <w:b w:val="0"/>
                <w:bCs w:val="0"/>
                <w:color w:val="auto"/>
                <w:sz w:val="20"/>
                <w:szCs w:val="20"/>
              </w:rPr>
            </w:pPr>
          </w:p>
        </w:tc>
        <w:tc>
          <w:tcPr>
            <w:tcW w:w="686" w:type="dxa"/>
            <w:shd w:val="clear" w:color="auto" w:fill="auto"/>
          </w:tcPr>
          <w:p w:rsidR="002C0D32" w:rsidRPr="005D7390" w:rsidRDefault="002C0D32" w:rsidP="003E75F7">
            <w:pPr>
              <w:pStyle w:val="ExampleSub"/>
              <w:keepNext w:val="0"/>
              <w:keepLines w:val="0"/>
              <w:ind w:left="0"/>
              <w:jc w:val="center"/>
              <w:cnfStyle w:val="000000000000"/>
              <w:rPr>
                <w:rFonts w:ascii="Arial" w:hAnsi="Arial" w:cs="Arial"/>
                <w:b w:val="0"/>
                <w:bCs w:val="0"/>
                <w:color w:val="auto"/>
                <w:sz w:val="20"/>
                <w:szCs w:val="20"/>
              </w:rPr>
            </w:pPr>
          </w:p>
        </w:tc>
        <w:tc>
          <w:tcPr>
            <w:tcW w:w="853" w:type="dxa"/>
          </w:tcPr>
          <w:p w:rsidR="002C0D32" w:rsidRPr="005D7390" w:rsidRDefault="002C0D32" w:rsidP="00947988">
            <w:pPr>
              <w:pStyle w:val="ExampleSub"/>
              <w:keepNext w:val="0"/>
              <w:keepLines w:val="0"/>
              <w:ind w:left="0"/>
              <w:jc w:val="center"/>
              <w:cnfStyle w:val="000000000000"/>
              <w:rPr>
                <w:rFonts w:ascii="Arial" w:hAnsi="Arial" w:cs="Arial"/>
                <w:b w:val="0"/>
                <w:bCs w:val="0"/>
                <w:color w:val="auto"/>
                <w:sz w:val="20"/>
                <w:szCs w:val="20"/>
              </w:rPr>
            </w:pPr>
          </w:p>
        </w:tc>
        <w:tc>
          <w:tcPr>
            <w:tcW w:w="709" w:type="dxa"/>
            <w:gridSpan w:val="2"/>
          </w:tcPr>
          <w:p w:rsidR="002C0D32" w:rsidRPr="005D7390" w:rsidRDefault="002C0D32" w:rsidP="00947988">
            <w:pPr>
              <w:pStyle w:val="ExampleSub"/>
              <w:keepNext w:val="0"/>
              <w:keepLines w:val="0"/>
              <w:ind w:left="0"/>
              <w:jc w:val="center"/>
              <w:cnfStyle w:val="000000000000"/>
              <w:rPr>
                <w:rFonts w:ascii="Arial" w:hAnsi="Arial" w:cs="Arial"/>
                <w:b w:val="0"/>
                <w:bCs w:val="0"/>
                <w:color w:val="auto"/>
                <w:sz w:val="20"/>
                <w:szCs w:val="20"/>
              </w:rPr>
            </w:pPr>
          </w:p>
        </w:tc>
        <w:tc>
          <w:tcPr>
            <w:tcW w:w="5381" w:type="dxa"/>
            <w:gridSpan w:val="2"/>
          </w:tcPr>
          <w:p w:rsidR="002C0D32" w:rsidRPr="005D7390" w:rsidRDefault="002C0D32" w:rsidP="00947988">
            <w:pPr>
              <w:pStyle w:val="ExampleSub"/>
              <w:keepNext w:val="0"/>
              <w:keepLines w:val="0"/>
              <w:ind w:left="0"/>
              <w:cnfStyle w:val="000000000000"/>
              <w:rPr>
                <w:rFonts w:ascii="Arial" w:hAnsi="Arial" w:cs="Arial"/>
                <w:b w:val="0"/>
                <w:color w:val="auto"/>
                <w:sz w:val="20"/>
                <w:szCs w:val="20"/>
              </w:rPr>
            </w:pPr>
          </w:p>
        </w:tc>
        <w:tc>
          <w:tcPr>
            <w:tcW w:w="850" w:type="dxa"/>
            <w:gridSpan w:val="6"/>
          </w:tcPr>
          <w:p w:rsidR="002C0D32" w:rsidRPr="004C2F21" w:rsidRDefault="002C0D32" w:rsidP="004A3D95">
            <w:pPr>
              <w:pStyle w:val="ExampleSub"/>
              <w:keepNext w:val="0"/>
              <w:keepLines w:val="0"/>
              <w:ind w:left="0"/>
              <w:jc w:val="center"/>
              <w:cnfStyle w:val="000000000000"/>
              <w:rPr>
                <w:rFonts w:ascii="Arial" w:hAnsi="Arial" w:cs="Arial"/>
                <w:bCs w:val="0"/>
                <w:color w:val="auto"/>
                <w:sz w:val="20"/>
                <w:szCs w:val="20"/>
              </w:rPr>
            </w:pPr>
          </w:p>
        </w:tc>
        <w:tc>
          <w:tcPr>
            <w:tcW w:w="718" w:type="dxa"/>
            <w:gridSpan w:val="4"/>
          </w:tcPr>
          <w:p w:rsidR="002C0D32" w:rsidRDefault="002C0D32" w:rsidP="004A3D95">
            <w:pPr>
              <w:pStyle w:val="ExampleSub"/>
              <w:keepNext w:val="0"/>
              <w:keepLines w:val="0"/>
              <w:ind w:left="0"/>
              <w:jc w:val="center"/>
              <w:cnfStyle w:val="000000000000"/>
              <w:rPr>
                <w:rFonts w:ascii="Arial" w:hAnsi="Arial" w:cs="Arial"/>
                <w:b w:val="0"/>
                <w:bCs w:val="0"/>
                <w:color w:val="auto"/>
                <w:sz w:val="20"/>
                <w:szCs w:val="20"/>
              </w:rPr>
            </w:pPr>
          </w:p>
        </w:tc>
        <w:tc>
          <w:tcPr>
            <w:tcW w:w="1013" w:type="dxa"/>
            <w:gridSpan w:val="4"/>
          </w:tcPr>
          <w:p w:rsidR="002C0D32" w:rsidRDefault="002C0D32" w:rsidP="004A3D95">
            <w:pPr>
              <w:pStyle w:val="ExampleSub"/>
              <w:keepNext w:val="0"/>
              <w:keepLines w:val="0"/>
              <w:ind w:left="0"/>
              <w:jc w:val="center"/>
              <w:cnfStyle w:val="000000000000"/>
              <w:rPr>
                <w:rFonts w:ascii="Arial" w:hAnsi="Arial" w:cs="Arial"/>
                <w:b w:val="0"/>
                <w:bCs w:val="0"/>
                <w:color w:val="auto"/>
                <w:sz w:val="20"/>
                <w:szCs w:val="20"/>
              </w:rPr>
            </w:pPr>
          </w:p>
        </w:tc>
        <w:tc>
          <w:tcPr>
            <w:tcW w:w="709" w:type="dxa"/>
          </w:tcPr>
          <w:p w:rsidR="002C0D32" w:rsidRPr="004C2F21" w:rsidRDefault="002C0D32" w:rsidP="002F158A">
            <w:pPr>
              <w:pStyle w:val="ExampleSub"/>
              <w:keepNext w:val="0"/>
              <w:keepLines w:val="0"/>
              <w:ind w:left="0"/>
              <w:jc w:val="center"/>
              <w:cnfStyle w:val="000000000000"/>
              <w:rPr>
                <w:rFonts w:ascii="Arial" w:hAnsi="Arial" w:cs="Arial"/>
                <w:bCs w:val="0"/>
                <w:color w:val="auto"/>
                <w:sz w:val="20"/>
                <w:szCs w:val="20"/>
              </w:rPr>
            </w:pPr>
          </w:p>
        </w:tc>
        <w:tc>
          <w:tcPr>
            <w:tcW w:w="709" w:type="dxa"/>
            <w:gridSpan w:val="2"/>
          </w:tcPr>
          <w:p w:rsidR="002C0D32" w:rsidRPr="005D7390" w:rsidRDefault="002C0D32" w:rsidP="004A3D95">
            <w:pPr>
              <w:pStyle w:val="ExampleSub"/>
              <w:keepNext w:val="0"/>
              <w:keepLines w:val="0"/>
              <w:ind w:left="0"/>
              <w:jc w:val="center"/>
              <w:cnfStyle w:val="000000000000"/>
              <w:rPr>
                <w:rFonts w:ascii="Arial" w:hAnsi="Arial" w:cs="Arial"/>
                <w:b w:val="0"/>
                <w:bCs w:val="0"/>
                <w:color w:val="auto"/>
                <w:sz w:val="20"/>
                <w:szCs w:val="20"/>
              </w:rPr>
            </w:pPr>
          </w:p>
        </w:tc>
        <w:tc>
          <w:tcPr>
            <w:tcW w:w="850" w:type="dxa"/>
            <w:gridSpan w:val="2"/>
          </w:tcPr>
          <w:p w:rsidR="002C0D32" w:rsidRPr="005D7390" w:rsidRDefault="002C0D32" w:rsidP="004A3D95">
            <w:pPr>
              <w:pStyle w:val="ExampleSub"/>
              <w:keepNext w:val="0"/>
              <w:keepLines w:val="0"/>
              <w:ind w:left="0"/>
              <w:jc w:val="center"/>
              <w:cnfStyle w:val="000000000000"/>
              <w:rPr>
                <w:rFonts w:ascii="Arial" w:hAnsi="Arial" w:cs="Arial"/>
                <w:b w:val="0"/>
                <w:bCs w:val="0"/>
                <w:color w:val="auto"/>
                <w:sz w:val="20"/>
                <w:szCs w:val="20"/>
              </w:rPr>
            </w:pPr>
          </w:p>
        </w:tc>
      </w:tr>
      <w:tr w:rsidR="003E75F7" w:rsidRPr="005D7390" w:rsidTr="008A25D1">
        <w:trPr>
          <w:cnfStyle w:val="000000100000"/>
          <w:trHeight w:val="355"/>
        </w:trPr>
        <w:tc>
          <w:tcPr>
            <w:cnfStyle w:val="001000000000"/>
            <w:tcW w:w="2483" w:type="dxa"/>
            <w:gridSpan w:val="3"/>
            <w:tcBorders>
              <w:top w:val="none" w:sz="0" w:space="0" w:color="auto"/>
              <w:bottom w:val="none" w:sz="0" w:space="0" w:color="auto"/>
              <w:right w:val="none" w:sz="0" w:space="0" w:color="auto"/>
            </w:tcBorders>
            <w:shd w:val="clear" w:color="auto" w:fill="4BACC6" w:themeFill="accent5"/>
          </w:tcPr>
          <w:p w:rsidR="003E75F7" w:rsidRPr="005D7390" w:rsidRDefault="003E75F7" w:rsidP="00AA5926">
            <w:pPr>
              <w:pStyle w:val="ExampleSub"/>
              <w:keepNext w:val="0"/>
              <w:keepLines w:val="0"/>
              <w:ind w:left="0"/>
              <w:jc w:val="center"/>
              <w:rPr>
                <w:rFonts w:ascii="Arial" w:hAnsi="Arial" w:cs="Arial"/>
                <w:color w:val="auto"/>
                <w:sz w:val="20"/>
                <w:szCs w:val="20"/>
              </w:rPr>
            </w:pPr>
            <w:r w:rsidRPr="005D7390">
              <w:rPr>
                <w:rFonts w:ascii="Arial" w:hAnsi="Arial" w:cs="Arial"/>
                <w:color w:val="auto"/>
                <w:sz w:val="18"/>
                <w:szCs w:val="18"/>
              </w:rPr>
              <w:lastRenderedPageBreak/>
              <w:t>Useable Reserves</w:t>
            </w:r>
          </w:p>
        </w:tc>
        <w:tc>
          <w:tcPr>
            <w:tcW w:w="2248" w:type="dxa"/>
            <w:gridSpan w:val="4"/>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color w:val="auto"/>
                <w:sz w:val="24"/>
                <w:szCs w:val="24"/>
              </w:rPr>
            </w:pPr>
            <w:r w:rsidRPr="005D7390">
              <w:rPr>
                <w:rFonts w:ascii="Arial" w:hAnsi="Arial" w:cs="Arial"/>
                <w:bCs w:val="0"/>
                <w:color w:val="auto"/>
                <w:sz w:val="18"/>
                <w:szCs w:val="18"/>
              </w:rPr>
              <w:t>Unusable Reserves</w:t>
            </w:r>
          </w:p>
        </w:tc>
        <w:tc>
          <w:tcPr>
            <w:tcW w:w="5791" w:type="dxa"/>
            <w:gridSpan w:val="7"/>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cnfStyle w:val="000000100000"/>
              <w:rPr>
                <w:rFonts w:ascii="Arial" w:hAnsi="Arial" w:cs="Arial"/>
                <w:color w:val="auto"/>
                <w:sz w:val="24"/>
                <w:szCs w:val="24"/>
              </w:rPr>
            </w:pPr>
          </w:p>
        </w:tc>
        <w:tc>
          <w:tcPr>
            <w:tcW w:w="2171" w:type="dxa"/>
            <w:gridSpan w:val="9"/>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Cs w:val="0"/>
                <w:color w:val="auto"/>
                <w:sz w:val="20"/>
                <w:szCs w:val="20"/>
              </w:rPr>
            </w:pPr>
            <w:r w:rsidRPr="005D7390">
              <w:rPr>
                <w:rFonts w:ascii="Arial" w:hAnsi="Arial" w:cs="Arial"/>
                <w:bCs w:val="0"/>
                <w:color w:val="auto"/>
                <w:sz w:val="20"/>
                <w:szCs w:val="20"/>
              </w:rPr>
              <w:t>Useable Reserves</w:t>
            </w:r>
          </w:p>
        </w:tc>
        <w:tc>
          <w:tcPr>
            <w:tcW w:w="2268" w:type="dxa"/>
            <w:gridSpan w:val="5"/>
            <w:tcBorders>
              <w:top w:val="none" w:sz="0" w:space="0" w:color="auto"/>
              <w:bottom w:val="none" w:sz="0" w:space="0" w:color="auto"/>
            </w:tcBorders>
            <w:shd w:val="clear" w:color="auto" w:fill="4BACC6" w:themeFill="accent5"/>
          </w:tcPr>
          <w:p w:rsidR="003E75F7" w:rsidRPr="005D7390" w:rsidRDefault="003E75F7" w:rsidP="00AA5926">
            <w:pPr>
              <w:pStyle w:val="ExampleSub"/>
              <w:ind w:left="0"/>
              <w:cnfStyle w:val="000000100000"/>
              <w:rPr>
                <w:rFonts w:ascii="Arial" w:hAnsi="Arial" w:cs="Arial"/>
                <w:bCs w:val="0"/>
                <w:color w:val="auto"/>
                <w:sz w:val="20"/>
                <w:szCs w:val="20"/>
              </w:rPr>
            </w:pPr>
            <w:r w:rsidRPr="005D7390">
              <w:rPr>
                <w:rFonts w:ascii="Arial" w:hAnsi="Arial" w:cs="Arial"/>
                <w:bCs w:val="0"/>
                <w:color w:val="auto"/>
                <w:sz w:val="20"/>
                <w:szCs w:val="20"/>
              </w:rPr>
              <w:t>Unuseable Reserves</w:t>
            </w:r>
          </w:p>
        </w:tc>
      </w:tr>
      <w:tr w:rsidR="003E75F7" w:rsidRPr="005D7390" w:rsidTr="008A25D1">
        <w:trPr>
          <w:trHeight w:val="1701"/>
        </w:trPr>
        <w:tc>
          <w:tcPr>
            <w:cnfStyle w:val="001000000000"/>
            <w:tcW w:w="911" w:type="dxa"/>
            <w:tcBorders>
              <w:right w:val="none" w:sz="0" w:space="0" w:color="auto"/>
            </w:tcBorders>
            <w:shd w:val="clear" w:color="auto" w:fill="4BACC6" w:themeFill="accent5"/>
            <w:textDirection w:val="btLr"/>
          </w:tcPr>
          <w:p w:rsidR="003E75F7" w:rsidRPr="005D7390" w:rsidRDefault="003E75F7" w:rsidP="00AA5926">
            <w:pPr>
              <w:pStyle w:val="ExampleSub"/>
              <w:keepNext w:val="0"/>
              <w:keepLines w:val="0"/>
              <w:ind w:left="113" w:right="113"/>
              <w:rPr>
                <w:rFonts w:ascii="Arial" w:hAnsi="Arial" w:cs="Arial"/>
                <w:color w:val="auto"/>
                <w:sz w:val="20"/>
                <w:szCs w:val="20"/>
              </w:rPr>
            </w:pPr>
            <w:r w:rsidRPr="005D7390">
              <w:rPr>
                <w:rFonts w:ascii="Arial" w:hAnsi="Arial" w:cs="Arial"/>
                <w:color w:val="auto"/>
                <w:sz w:val="20"/>
                <w:szCs w:val="20"/>
              </w:rPr>
              <w:t>General Fund</w:t>
            </w:r>
          </w:p>
        </w:tc>
        <w:tc>
          <w:tcPr>
            <w:tcW w:w="700" w:type="dxa"/>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872" w:type="dxa"/>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Capital Grants Unappl’d</w:t>
            </w:r>
          </w:p>
        </w:tc>
        <w:tc>
          <w:tcPr>
            <w:tcW w:w="686" w:type="dxa"/>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853" w:type="dxa"/>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Cs w:val="0"/>
                <w:color w:val="auto"/>
                <w:sz w:val="22"/>
                <w:szCs w:val="22"/>
              </w:rPr>
            </w:pPr>
            <w:r w:rsidRPr="005D7390">
              <w:rPr>
                <w:rFonts w:ascii="Arial" w:hAnsi="Arial" w:cs="Arial"/>
                <w:b w:val="0"/>
                <w:bCs w:val="0"/>
                <w:color w:val="auto"/>
                <w:sz w:val="20"/>
                <w:szCs w:val="20"/>
              </w:rPr>
              <w:t xml:space="preserve">Pension </w:t>
            </w:r>
          </w:p>
        </w:tc>
        <w:tc>
          <w:tcPr>
            <w:tcW w:w="709" w:type="dxa"/>
            <w:gridSpan w:val="2"/>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Other</w:t>
            </w:r>
          </w:p>
        </w:tc>
        <w:tc>
          <w:tcPr>
            <w:tcW w:w="5411" w:type="dxa"/>
            <w:gridSpan w:val="3"/>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Cs w:val="0"/>
                <w:color w:val="auto"/>
                <w:sz w:val="22"/>
                <w:szCs w:val="22"/>
              </w:rPr>
            </w:pPr>
          </w:p>
        </w:tc>
        <w:tc>
          <w:tcPr>
            <w:tcW w:w="850" w:type="dxa"/>
            <w:gridSpan w:val="6"/>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General Fund</w:t>
            </w:r>
          </w:p>
        </w:tc>
        <w:tc>
          <w:tcPr>
            <w:tcW w:w="709" w:type="dxa"/>
            <w:gridSpan w:val="4"/>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992" w:type="dxa"/>
            <w:gridSpan w:val="3"/>
            <w:shd w:val="clear" w:color="auto" w:fill="4BACC6" w:themeFill="accent5"/>
            <w:textDirection w:val="btLr"/>
          </w:tcPr>
          <w:p w:rsidR="003E75F7" w:rsidRPr="005D7390" w:rsidRDefault="003E75F7" w:rsidP="00E53028">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Capital Grants Unappl’d</w:t>
            </w:r>
          </w:p>
        </w:tc>
        <w:tc>
          <w:tcPr>
            <w:tcW w:w="851" w:type="dxa"/>
            <w:gridSpan w:val="2"/>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567" w:type="dxa"/>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Pension</w:t>
            </w:r>
          </w:p>
        </w:tc>
        <w:tc>
          <w:tcPr>
            <w:tcW w:w="850" w:type="dxa"/>
            <w:gridSpan w:val="2"/>
            <w:shd w:val="clear" w:color="auto" w:fill="4BACC6" w:themeFill="accent5"/>
            <w:textDirection w:val="btLr"/>
          </w:tcPr>
          <w:p w:rsidR="003E75F7" w:rsidRPr="005D7390" w:rsidRDefault="003E75F7" w:rsidP="00AA5926">
            <w:pPr>
              <w:pStyle w:val="ExampleSub"/>
              <w:keepNext w:val="0"/>
              <w:keepLines w:val="0"/>
              <w:ind w:left="113" w:right="113"/>
              <w:cnfStyle w:val="000000000000"/>
              <w:rPr>
                <w:rFonts w:ascii="Arial" w:hAnsi="Arial" w:cs="Arial"/>
                <w:b w:val="0"/>
                <w:bCs w:val="0"/>
                <w:color w:val="auto"/>
                <w:sz w:val="20"/>
                <w:szCs w:val="20"/>
              </w:rPr>
            </w:pPr>
            <w:r w:rsidRPr="005D7390">
              <w:rPr>
                <w:rFonts w:ascii="Arial" w:hAnsi="Arial" w:cs="Arial"/>
                <w:b w:val="0"/>
                <w:bCs w:val="0"/>
                <w:color w:val="auto"/>
                <w:sz w:val="20"/>
                <w:szCs w:val="20"/>
              </w:rPr>
              <w:t>Other</w:t>
            </w:r>
          </w:p>
        </w:tc>
      </w:tr>
      <w:tr w:rsidR="003E75F7" w:rsidRPr="005D7390" w:rsidTr="008A25D1">
        <w:trPr>
          <w:cnfStyle w:val="000000100000"/>
          <w:trHeight w:hRule="exact" w:val="454"/>
        </w:trPr>
        <w:tc>
          <w:tcPr>
            <w:cnfStyle w:val="001000000000"/>
            <w:tcW w:w="911" w:type="dxa"/>
            <w:tcBorders>
              <w:top w:val="none" w:sz="0" w:space="0" w:color="auto"/>
              <w:bottom w:val="none" w:sz="0" w:space="0" w:color="auto"/>
              <w:right w:val="none" w:sz="0" w:space="0" w:color="auto"/>
            </w:tcBorders>
            <w:shd w:val="clear" w:color="auto" w:fill="4BACC6" w:themeFill="accent5"/>
          </w:tcPr>
          <w:p w:rsidR="003E75F7" w:rsidRPr="005D7390" w:rsidRDefault="003E75F7" w:rsidP="00AA5926">
            <w:pPr>
              <w:pStyle w:val="ExampleSub"/>
              <w:keepNext w:val="0"/>
              <w:keepLines w:val="0"/>
              <w:ind w:left="0"/>
              <w:jc w:val="center"/>
              <w:rPr>
                <w:rFonts w:ascii="Arial" w:hAnsi="Arial" w:cs="Arial"/>
                <w:color w:val="auto"/>
                <w:sz w:val="18"/>
                <w:szCs w:val="18"/>
              </w:rPr>
            </w:pPr>
            <w:r w:rsidRPr="005D7390">
              <w:rPr>
                <w:rFonts w:ascii="Arial" w:hAnsi="Arial" w:cs="Arial"/>
                <w:color w:val="auto"/>
                <w:sz w:val="18"/>
                <w:szCs w:val="18"/>
              </w:rPr>
              <w:t>£m</w:t>
            </w:r>
          </w:p>
        </w:tc>
        <w:tc>
          <w:tcPr>
            <w:tcW w:w="700" w:type="dxa"/>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72" w:type="dxa"/>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686" w:type="dxa"/>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3" w:type="dxa"/>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cnfStyle w:val="000000100000"/>
              <w:rPr>
                <w:rFonts w:ascii="Arial" w:hAnsi="Arial" w:cs="Arial"/>
                <w:b w:val="0"/>
                <w:color w:val="auto"/>
                <w:sz w:val="18"/>
                <w:szCs w:val="18"/>
              </w:rPr>
            </w:pPr>
            <w:r w:rsidRPr="005D7390">
              <w:rPr>
                <w:rFonts w:ascii="Arial" w:hAnsi="Arial" w:cs="Arial"/>
                <w:b w:val="0"/>
                <w:color w:val="auto"/>
                <w:sz w:val="18"/>
                <w:szCs w:val="18"/>
              </w:rPr>
              <w:t>£m</w:t>
            </w:r>
          </w:p>
        </w:tc>
        <w:tc>
          <w:tcPr>
            <w:tcW w:w="709" w:type="dxa"/>
            <w:gridSpan w:val="2"/>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cnfStyle w:val="000000100000"/>
              <w:rPr>
                <w:rFonts w:ascii="Arial" w:hAnsi="Arial" w:cs="Arial"/>
                <w:b w:val="0"/>
                <w:color w:val="auto"/>
                <w:sz w:val="18"/>
                <w:szCs w:val="18"/>
              </w:rPr>
            </w:pPr>
            <w:r w:rsidRPr="005D7390">
              <w:rPr>
                <w:rFonts w:ascii="Arial" w:hAnsi="Arial" w:cs="Arial"/>
                <w:b w:val="0"/>
                <w:color w:val="auto"/>
                <w:sz w:val="18"/>
                <w:szCs w:val="18"/>
              </w:rPr>
              <w:t>£m</w:t>
            </w:r>
          </w:p>
        </w:tc>
        <w:tc>
          <w:tcPr>
            <w:tcW w:w="5411" w:type="dxa"/>
            <w:gridSpan w:val="3"/>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cnfStyle w:val="000000100000"/>
              <w:rPr>
                <w:rFonts w:ascii="Arial" w:hAnsi="Arial" w:cs="Arial"/>
                <w:b w:val="0"/>
                <w:color w:val="auto"/>
                <w:sz w:val="18"/>
                <w:szCs w:val="18"/>
              </w:rPr>
            </w:pPr>
          </w:p>
        </w:tc>
        <w:tc>
          <w:tcPr>
            <w:tcW w:w="850" w:type="dxa"/>
            <w:gridSpan w:val="6"/>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09" w:type="dxa"/>
            <w:gridSpan w:val="4"/>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992" w:type="dxa"/>
            <w:gridSpan w:val="3"/>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1" w:type="dxa"/>
            <w:gridSpan w:val="2"/>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567" w:type="dxa"/>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0" w:type="dxa"/>
            <w:gridSpan w:val="2"/>
            <w:tcBorders>
              <w:top w:val="none" w:sz="0" w:space="0" w:color="auto"/>
              <w:bottom w:val="none" w:sz="0" w:space="0" w:color="auto"/>
            </w:tcBorders>
            <w:shd w:val="clear" w:color="auto" w:fill="4BACC6" w:themeFill="accent5"/>
          </w:tcPr>
          <w:p w:rsidR="003E75F7" w:rsidRPr="005D7390" w:rsidRDefault="003E75F7" w:rsidP="00AA5926">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£m</w:t>
            </w:r>
          </w:p>
        </w:tc>
      </w:tr>
      <w:tr w:rsidR="005D7390" w:rsidRPr="005D7390" w:rsidTr="008A25D1">
        <w:trPr>
          <w:trHeight w:val="397"/>
        </w:trPr>
        <w:tc>
          <w:tcPr>
            <w:cnfStyle w:val="001000000000"/>
            <w:tcW w:w="911" w:type="dxa"/>
            <w:tcBorders>
              <w:right w:val="none" w:sz="0" w:space="0" w:color="auto"/>
            </w:tcBorders>
          </w:tcPr>
          <w:p w:rsidR="005D7390" w:rsidRPr="00BC0059" w:rsidRDefault="005D7390" w:rsidP="00BC0059">
            <w:pPr>
              <w:pStyle w:val="ExampleSub"/>
              <w:keepNext w:val="0"/>
              <w:keepLines w:val="0"/>
              <w:ind w:left="0"/>
              <w:jc w:val="center"/>
              <w:rPr>
                <w:rFonts w:ascii="Arial" w:hAnsi="Arial" w:cs="Arial"/>
                <w:b w:val="0"/>
                <w:color w:val="auto"/>
                <w:sz w:val="20"/>
                <w:szCs w:val="20"/>
                <w:highlight w:val="yellow"/>
              </w:rPr>
            </w:pPr>
            <w:r w:rsidRPr="00BC0059">
              <w:rPr>
                <w:rFonts w:ascii="Arial" w:hAnsi="Arial" w:cs="Arial"/>
                <w:b w:val="0"/>
                <w:color w:val="auto"/>
                <w:sz w:val="20"/>
                <w:szCs w:val="20"/>
              </w:rPr>
              <w:t>(29.8)</w:t>
            </w:r>
          </w:p>
        </w:tc>
        <w:tc>
          <w:tcPr>
            <w:tcW w:w="700" w:type="dxa"/>
          </w:tcPr>
          <w:p w:rsidR="005D7390" w:rsidRPr="005D7390" w:rsidRDefault="005D7390" w:rsidP="00BC0059">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872" w:type="dxa"/>
          </w:tcPr>
          <w:p w:rsidR="005D7390" w:rsidRPr="005D7390" w:rsidRDefault="005D7390" w:rsidP="00BC0059">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686" w:type="dxa"/>
          </w:tcPr>
          <w:p w:rsidR="005D7390" w:rsidRPr="005D7390" w:rsidRDefault="005D7390" w:rsidP="00BC0059">
            <w:pPr>
              <w:pStyle w:val="ExampleSub"/>
              <w:keepNext w:val="0"/>
              <w:keepLines w:val="0"/>
              <w:ind w:left="0"/>
              <w:jc w:val="center"/>
              <w:cnfStyle w:val="000000000000"/>
              <w:rPr>
                <w:rFonts w:ascii="Arial" w:hAnsi="Arial" w:cs="Arial"/>
                <w:b w:val="0"/>
                <w:bCs w:val="0"/>
                <w:color w:val="auto"/>
                <w:sz w:val="20"/>
                <w:szCs w:val="20"/>
                <w:highlight w:val="yellow"/>
              </w:rPr>
            </w:pPr>
            <w:r w:rsidRPr="005D7390">
              <w:rPr>
                <w:rFonts w:ascii="Arial" w:hAnsi="Arial" w:cs="Arial"/>
                <w:b w:val="0"/>
                <w:bCs w:val="0"/>
                <w:color w:val="auto"/>
                <w:sz w:val="20"/>
                <w:szCs w:val="20"/>
              </w:rPr>
              <w:t>29.8</w:t>
            </w:r>
          </w:p>
        </w:tc>
        <w:tc>
          <w:tcPr>
            <w:tcW w:w="853" w:type="dxa"/>
          </w:tcPr>
          <w:p w:rsidR="005D7390" w:rsidRPr="005D7390" w:rsidRDefault="005D7390" w:rsidP="00BC0059">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709" w:type="dxa"/>
            <w:gridSpan w:val="2"/>
          </w:tcPr>
          <w:p w:rsidR="005D7390" w:rsidRPr="005D7390" w:rsidRDefault="005D7390" w:rsidP="00BC0059">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5411" w:type="dxa"/>
            <w:gridSpan w:val="3"/>
          </w:tcPr>
          <w:p w:rsidR="005D7390" w:rsidRPr="005D7390" w:rsidRDefault="005D7390" w:rsidP="00E029AB">
            <w:pPr>
              <w:pStyle w:val="ExampleSub"/>
              <w:keepNext w:val="0"/>
              <w:keepLines w:val="0"/>
              <w:ind w:left="0"/>
              <w:cnfStyle w:val="000000000000"/>
              <w:rPr>
                <w:rFonts w:ascii="Arial" w:hAnsi="Arial" w:cs="Arial"/>
                <w:b w:val="0"/>
                <w:color w:val="auto"/>
                <w:sz w:val="20"/>
                <w:szCs w:val="20"/>
              </w:rPr>
            </w:pPr>
            <w:r w:rsidRPr="005D7390">
              <w:rPr>
                <w:rFonts w:ascii="Arial" w:hAnsi="Arial" w:cs="Arial"/>
                <w:b w:val="0"/>
                <w:color w:val="auto"/>
                <w:sz w:val="20"/>
                <w:szCs w:val="20"/>
              </w:rPr>
              <w:t>b/f</w:t>
            </w:r>
          </w:p>
        </w:tc>
        <w:tc>
          <w:tcPr>
            <w:tcW w:w="850" w:type="dxa"/>
            <w:gridSpan w:val="6"/>
          </w:tcPr>
          <w:p w:rsidR="005D7390" w:rsidRPr="00F01629" w:rsidRDefault="004C2F21" w:rsidP="002F5A13">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(33.</w:t>
            </w:r>
            <w:r w:rsidR="002F5A13">
              <w:rPr>
                <w:rFonts w:ascii="Arial" w:hAnsi="Arial" w:cs="Arial"/>
                <w:bCs w:val="0"/>
                <w:color w:val="auto"/>
                <w:sz w:val="20"/>
                <w:szCs w:val="20"/>
              </w:rPr>
              <w:t>6</w:t>
            </w:r>
            <w:r w:rsidRPr="00F01629">
              <w:rPr>
                <w:rFonts w:ascii="Arial" w:hAnsi="Arial" w:cs="Arial"/>
                <w:bCs w:val="0"/>
                <w:color w:val="auto"/>
                <w:sz w:val="20"/>
                <w:szCs w:val="20"/>
              </w:rPr>
              <w:t>)</w:t>
            </w:r>
          </w:p>
        </w:tc>
        <w:tc>
          <w:tcPr>
            <w:tcW w:w="709" w:type="dxa"/>
            <w:gridSpan w:val="4"/>
          </w:tcPr>
          <w:p w:rsidR="005D7390" w:rsidRPr="00F01629" w:rsidRDefault="004C2F21"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w:t>
            </w:r>
          </w:p>
        </w:tc>
        <w:tc>
          <w:tcPr>
            <w:tcW w:w="992" w:type="dxa"/>
            <w:gridSpan w:val="3"/>
          </w:tcPr>
          <w:p w:rsidR="005D7390" w:rsidRPr="00F01629" w:rsidRDefault="004C2F21"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w:t>
            </w:r>
          </w:p>
        </w:tc>
        <w:tc>
          <w:tcPr>
            <w:tcW w:w="851" w:type="dxa"/>
            <w:gridSpan w:val="2"/>
          </w:tcPr>
          <w:p w:rsidR="005D7390" w:rsidRPr="00F01629" w:rsidRDefault="004C2F21" w:rsidP="002F5A13">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33.</w:t>
            </w:r>
            <w:r w:rsidR="002F5A13">
              <w:rPr>
                <w:rFonts w:ascii="Arial" w:hAnsi="Arial" w:cs="Arial"/>
                <w:bCs w:val="0"/>
                <w:color w:val="auto"/>
                <w:sz w:val="20"/>
                <w:szCs w:val="20"/>
              </w:rPr>
              <w:t>6</w:t>
            </w:r>
          </w:p>
        </w:tc>
        <w:tc>
          <w:tcPr>
            <w:tcW w:w="567" w:type="dxa"/>
          </w:tcPr>
          <w:p w:rsidR="005D7390" w:rsidRPr="005D7390" w:rsidRDefault="004C2F21" w:rsidP="00E029AB">
            <w:pPr>
              <w:pStyle w:val="ExampleSub"/>
              <w:keepNext w:val="0"/>
              <w:keepLines w:val="0"/>
              <w:ind w:left="0"/>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Pr>
          <w:p w:rsidR="005D7390" w:rsidRPr="005D7390" w:rsidRDefault="004C2F21" w:rsidP="00E029AB">
            <w:pPr>
              <w:pStyle w:val="ExampleSub"/>
              <w:keepNext w:val="0"/>
              <w:keepLines w:val="0"/>
              <w:ind w:left="0"/>
              <w:cnfStyle w:val="000000000000"/>
              <w:rPr>
                <w:rFonts w:ascii="Arial" w:hAnsi="Arial" w:cs="Arial"/>
                <w:b w:val="0"/>
                <w:bCs w:val="0"/>
                <w:color w:val="auto"/>
                <w:sz w:val="20"/>
                <w:szCs w:val="20"/>
              </w:rPr>
            </w:pPr>
            <w:r>
              <w:rPr>
                <w:rFonts w:ascii="Arial" w:hAnsi="Arial" w:cs="Arial"/>
                <w:b w:val="0"/>
                <w:bCs w:val="0"/>
                <w:color w:val="auto"/>
                <w:sz w:val="20"/>
                <w:szCs w:val="20"/>
              </w:rPr>
              <w:t>-</w:t>
            </w:r>
          </w:p>
        </w:tc>
      </w:tr>
      <w:tr w:rsidR="00167D24" w:rsidRPr="005D7390" w:rsidTr="008A25D1">
        <w:trPr>
          <w:cnfStyle w:val="000000100000"/>
          <w:trHeight w:val="397"/>
        </w:trPr>
        <w:tc>
          <w:tcPr>
            <w:cnfStyle w:val="001000000000"/>
            <w:tcW w:w="911" w:type="dxa"/>
            <w:tcBorders>
              <w:top w:val="none" w:sz="0" w:space="0" w:color="auto"/>
              <w:bottom w:val="none" w:sz="0" w:space="0" w:color="auto"/>
              <w:right w:val="none" w:sz="0" w:space="0" w:color="auto"/>
            </w:tcBorders>
          </w:tcPr>
          <w:p w:rsidR="00167D24" w:rsidRPr="00BC0059" w:rsidRDefault="00167D24" w:rsidP="00BC0059">
            <w:pPr>
              <w:pStyle w:val="ExampleSub"/>
              <w:keepNext w:val="0"/>
              <w:keepLines w:val="0"/>
              <w:ind w:left="0"/>
              <w:jc w:val="center"/>
              <w:rPr>
                <w:rFonts w:ascii="Arial" w:hAnsi="Arial" w:cs="Arial"/>
                <w:b w:val="0"/>
                <w:color w:val="auto"/>
                <w:sz w:val="20"/>
                <w:szCs w:val="20"/>
              </w:rPr>
            </w:pPr>
            <w:r w:rsidRPr="00BC0059">
              <w:rPr>
                <w:rFonts w:ascii="Arial" w:hAnsi="Arial" w:cs="Arial"/>
                <w:b w:val="0"/>
                <w:color w:val="auto"/>
                <w:sz w:val="20"/>
                <w:szCs w:val="20"/>
              </w:rPr>
              <w:t>-</w:t>
            </w:r>
          </w:p>
        </w:tc>
        <w:tc>
          <w:tcPr>
            <w:tcW w:w="700" w:type="dxa"/>
            <w:tcBorders>
              <w:top w:val="none" w:sz="0" w:space="0" w:color="auto"/>
              <w:bottom w:val="none" w:sz="0" w:space="0" w:color="auto"/>
            </w:tcBorders>
          </w:tcPr>
          <w:p w:rsidR="00167D24" w:rsidRPr="005D7390" w:rsidRDefault="00167D24" w:rsidP="00BC0059">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Borders>
              <w:top w:val="none" w:sz="0" w:space="0" w:color="auto"/>
              <w:bottom w:val="none" w:sz="0" w:space="0" w:color="auto"/>
            </w:tcBorders>
          </w:tcPr>
          <w:p w:rsidR="00167D24" w:rsidRPr="005D7390" w:rsidRDefault="00167D24" w:rsidP="00BC0059">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Borders>
              <w:top w:val="none" w:sz="0" w:space="0" w:color="auto"/>
              <w:bottom w:val="none" w:sz="0" w:space="0" w:color="auto"/>
            </w:tcBorders>
          </w:tcPr>
          <w:p w:rsidR="00167D24" w:rsidRPr="005D7390" w:rsidRDefault="00167D24" w:rsidP="00BC0059">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3" w:type="dxa"/>
            <w:tcBorders>
              <w:top w:val="none" w:sz="0" w:space="0" w:color="auto"/>
              <w:bottom w:val="none" w:sz="0" w:space="0" w:color="auto"/>
            </w:tcBorders>
          </w:tcPr>
          <w:p w:rsidR="00167D24" w:rsidRPr="005D7390" w:rsidRDefault="00167D24" w:rsidP="00BC0059">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167D24" w:rsidRPr="005D7390" w:rsidRDefault="00167D24" w:rsidP="00BC0059">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5411" w:type="dxa"/>
            <w:gridSpan w:val="3"/>
            <w:tcBorders>
              <w:top w:val="none" w:sz="0" w:space="0" w:color="auto"/>
              <w:bottom w:val="none" w:sz="0" w:space="0" w:color="auto"/>
            </w:tcBorders>
          </w:tcPr>
          <w:p w:rsidR="00167D24" w:rsidRPr="00167D24" w:rsidRDefault="00167D24" w:rsidP="008A25D1">
            <w:pPr>
              <w:pStyle w:val="ExampleSub"/>
              <w:keepNext w:val="0"/>
              <w:keepLines w:val="0"/>
              <w:ind w:left="0"/>
              <w:jc w:val="center"/>
              <w:cnfStyle w:val="000000100000"/>
              <w:rPr>
                <w:rFonts w:ascii="Arial" w:hAnsi="Arial" w:cs="Arial"/>
                <w:b w:val="0"/>
                <w:color w:val="auto"/>
                <w:sz w:val="20"/>
                <w:szCs w:val="20"/>
              </w:rPr>
            </w:pPr>
            <w:r w:rsidRPr="008A25D1">
              <w:rPr>
                <w:rFonts w:ascii="Arial" w:hAnsi="Arial" w:cs="Arial"/>
                <w:bCs w:val="0"/>
                <w:color w:val="auto"/>
                <w:sz w:val="20"/>
                <w:szCs w:val="20"/>
              </w:rPr>
              <w:t>Deferred Credit re Energy From Waste</w:t>
            </w:r>
          </w:p>
        </w:tc>
        <w:tc>
          <w:tcPr>
            <w:tcW w:w="850" w:type="dxa"/>
            <w:gridSpan w:val="6"/>
            <w:tcBorders>
              <w:top w:val="none" w:sz="0" w:space="0" w:color="auto"/>
              <w:bottom w:val="none" w:sz="0" w:space="0" w:color="auto"/>
            </w:tcBorders>
          </w:tcPr>
          <w:p w:rsidR="00167D24" w:rsidRPr="00F01629" w:rsidRDefault="00167D24"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0.8</w:t>
            </w:r>
          </w:p>
        </w:tc>
        <w:tc>
          <w:tcPr>
            <w:tcW w:w="709" w:type="dxa"/>
            <w:gridSpan w:val="4"/>
            <w:tcBorders>
              <w:top w:val="none" w:sz="0" w:space="0" w:color="auto"/>
              <w:bottom w:val="none" w:sz="0" w:space="0" w:color="auto"/>
            </w:tcBorders>
          </w:tcPr>
          <w:p w:rsidR="00167D24" w:rsidRPr="00F01629" w:rsidRDefault="00167D24"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w:t>
            </w:r>
          </w:p>
        </w:tc>
        <w:tc>
          <w:tcPr>
            <w:tcW w:w="992" w:type="dxa"/>
            <w:gridSpan w:val="3"/>
            <w:tcBorders>
              <w:top w:val="none" w:sz="0" w:space="0" w:color="auto"/>
              <w:bottom w:val="none" w:sz="0" w:space="0" w:color="auto"/>
            </w:tcBorders>
          </w:tcPr>
          <w:p w:rsidR="00167D24" w:rsidRPr="00F01629" w:rsidRDefault="00167D24"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w:t>
            </w:r>
          </w:p>
        </w:tc>
        <w:tc>
          <w:tcPr>
            <w:tcW w:w="851" w:type="dxa"/>
            <w:gridSpan w:val="2"/>
            <w:tcBorders>
              <w:top w:val="none" w:sz="0" w:space="0" w:color="auto"/>
              <w:bottom w:val="none" w:sz="0" w:space="0" w:color="auto"/>
            </w:tcBorders>
          </w:tcPr>
          <w:p w:rsidR="00167D24" w:rsidRPr="00F01629" w:rsidRDefault="00167D24"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(0.8)</w:t>
            </w:r>
          </w:p>
        </w:tc>
        <w:tc>
          <w:tcPr>
            <w:tcW w:w="567" w:type="dxa"/>
            <w:tcBorders>
              <w:top w:val="none" w:sz="0" w:space="0" w:color="auto"/>
              <w:bottom w:val="none" w:sz="0" w:space="0" w:color="auto"/>
            </w:tcBorders>
          </w:tcPr>
          <w:p w:rsidR="00167D24" w:rsidRPr="005D7390" w:rsidRDefault="00167D24" w:rsidP="00E029AB">
            <w:pPr>
              <w:pStyle w:val="ExampleSub"/>
              <w:keepNext w:val="0"/>
              <w:keepLines w:val="0"/>
              <w:ind w:left="0"/>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Borders>
              <w:top w:val="none" w:sz="0" w:space="0" w:color="auto"/>
              <w:bottom w:val="none" w:sz="0" w:space="0" w:color="auto"/>
            </w:tcBorders>
          </w:tcPr>
          <w:p w:rsidR="00167D24" w:rsidRPr="005D7390" w:rsidRDefault="00167D24" w:rsidP="00E029AB">
            <w:pPr>
              <w:pStyle w:val="ExampleSub"/>
              <w:keepNext w:val="0"/>
              <w:keepLines w:val="0"/>
              <w:ind w:left="0"/>
              <w:cnfStyle w:val="000000100000"/>
              <w:rPr>
                <w:rFonts w:ascii="Arial" w:hAnsi="Arial" w:cs="Arial"/>
                <w:b w:val="0"/>
                <w:bCs w:val="0"/>
                <w:color w:val="auto"/>
                <w:sz w:val="20"/>
                <w:szCs w:val="20"/>
              </w:rPr>
            </w:pPr>
            <w:r>
              <w:rPr>
                <w:rFonts w:ascii="Arial" w:hAnsi="Arial" w:cs="Arial"/>
                <w:b w:val="0"/>
                <w:bCs w:val="0"/>
                <w:color w:val="auto"/>
                <w:sz w:val="20"/>
                <w:szCs w:val="20"/>
              </w:rPr>
              <w:t>-</w:t>
            </w:r>
          </w:p>
        </w:tc>
      </w:tr>
      <w:tr w:rsidR="005D7390" w:rsidRPr="005D7390" w:rsidTr="008A25D1">
        <w:trPr>
          <w:trHeight w:val="397"/>
        </w:trPr>
        <w:tc>
          <w:tcPr>
            <w:cnfStyle w:val="001000000000"/>
            <w:tcW w:w="911" w:type="dxa"/>
            <w:tcBorders>
              <w:right w:val="none" w:sz="0" w:space="0" w:color="auto"/>
            </w:tcBorders>
          </w:tcPr>
          <w:p w:rsidR="005D7390" w:rsidRPr="00BC0059" w:rsidRDefault="005D7390" w:rsidP="00521368">
            <w:pPr>
              <w:pStyle w:val="ExampleSub"/>
              <w:keepNext w:val="0"/>
              <w:keepLines w:val="0"/>
              <w:ind w:left="0"/>
              <w:rPr>
                <w:rFonts w:ascii="Arial" w:hAnsi="Arial" w:cs="Arial"/>
                <w:b w:val="0"/>
                <w:color w:val="auto"/>
                <w:sz w:val="20"/>
                <w:szCs w:val="20"/>
              </w:rPr>
            </w:pPr>
          </w:p>
        </w:tc>
        <w:tc>
          <w:tcPr>
            <w:tcW w:w="700" w:type="dxa"/>
          </w:tcPr>
          <w:p w:rsidR="005D7390" w:rsidRPr="005D7390" w:rsidRDefault="005D7390" w:rsidP="00521368">
            <w:pPr>
              <w:pStyle w:val="ExampleSub"/>
              <w:keepNext w:val="0"/>
              <w:keepLines w:val="0"/>
              <w:ind w:left="0"/>
              <w:cnfStyle w:val="000000000000"/>
              <w:rPr>
                <w:rFonts w:ascii="Arial" w:hAnsi="Arial" w:cs="Arial"/>
                <w:b w:val="0"/>
                <w:bCs w:val="0"/>
                <w:color w:val="auto"/>
                <w:sz w:val="20"/>
                <w:szCs w:val="20"/>
              </w:rPr>
            </w:pPr>
          </w:p>
        </w:tc>
        <w:tc>
          <w:tcPr>
            <w:tcW w:w="872" w:type="dxa"/>
          </w:tcPr>
          <w:p w:rsidR="005D7390" w:rsidRPr="005D7390" w:rsidRDefault="005D7390" w:rsidP="00521368">
            <w:pPr>
              <w:pStyle w:val="ExampleSub"/>
              <w:keepNext w:val="0"/>
              <w:keepLines w:val="0"/>
              <w:ind w:left="0"/>
              <w:cnfStyle w:val="000000000000"/>
              <w:rPr>
                <w:rFonts w:ascii="Arial" w:hAnsi="Arial" w:cs="Arial"/>
                <w:b w:val="0"/>
                <w:bCs w:val="0"/>
                <w:color w:val="auto"/>
                <w:sz w:val="20"/>
                <w:szCs w:val="20"/>
              </w:rPr>
            </w:pPr>
          </w:p>
        </w:tc>
        <w:tc>
          <w:tcPr>
            <w:tcW w:w="686" w:type="dxa"/>
          </w:tcPr>
          <w:p w:rsidR="005D7390" w:rsidRPr="005D7390" w:rsidRDefault="005D7390" w:rsidP="00521368">
            <w:pPr>
              <w:pStyle w:val="ExampleSub"/>
              <w:keepNext w:val="0"/>
              <w:keepLines w:val="0"/>
              <w:ind w:left="0"/>
              <w:cnfStyle w:val="000000000000"/>
              <w:rPr>
                <w:rFonts w:ascii="Arial" w:hAnsi="Arial" w:cs="Arial"/>
                <w:b w:val="0"/>
                <w:bCs w:val="0"/>
                <w:color w:val="auto"/>
                <w:sz w:val="20"/>
                <w:szCs w:val="20"/>
              </w:rPr>
            </w:pPr>
          </w:p>
        </w:tc>
        <w:tc>
          <w:tcPr>
            <w:tcW w:w="853" w:type="dxa"/>
          </w:tcPr>
          <w:p w:rsidR="005D7390" w:rsidRPr="005D7390" w:rsidRDefault="005D7390" w:rsidP="00521368">
            <w:pPr>
              <w:pStyle w:val="ExampleSub"/>
              <w:keepNext w:val="0"/>
              <w:keepLines w:val="0"/>
              <w:ind w:left="0"/>
              <w:cnfStyle w:val="000000000000"/>
              <w:rPr>
                <w:rFonts w:ascii="Arial" w:hAnsi="Arial" w:cs="Arial"/>
                <w:b w:val="0"/>
                <w:bCs w:val="0"/>
                <w:color w:val="auto"/>
                <w:sz w:val="20"/>
                <w:szCs w:val="20"/>
              </w:rPr>
            </w:pPr>
          </w:p>
        </w:tc>
        <w:tc>
          <w:tcPr>
            <w:tcW w:w="709" w:type="dxa"/>
            <w:gridSpan w:val="2"/>
          </w:tcPr>
          <w:p w:rsidR="005D7390" w:rsidRPr="005D7390" w:rsidRDefault="005D7390" w:rsidP="00521368">
            <w:pPr>
              <w:pStyle w:val="ExampleSub"/>
              <w:keepNext w:val="0"/>
              <w:keepLines w:val="0"/>
              <w:ind w:left="0"/>
              <w:cnfStyle w:val="000000000000"/>
              <w:rPr>
                <w:rFonts w:ascii="Arial" w:hAnsi="Arial" w:cs="Arial"/>
                <w:b w:val="0"/>
                <w:bCs w:val="0"/>
                <w:color w:val="auto"/>
                <w:sz w:val="20"/>
                <w:szCs w:val="20"/>
              </w:rPr>
            </w:pPr>
          </w:p>
        </w:tc>
        <w:tc>
          <w:tcPr>
            <w:tcW w:w="5411" w:type="dxa"/>
            <w:gridSpan w:val="3"/>
          </w:tcPr>
          <w:p w:rsidR="005D7390" w:rsidRPr="005D7390" w:rsidRDefault="005D7390" w:rsidP="00E029AB">
            <w:pPr>
              <w:pStyle w:val="ExampleSub"/>
              <w:keepNext w:val="0"/>
              <w:keepLines w:val="0"/>
              <w:ind w:left="0"/>
              <w:cnfStyle w:val="000000000000"/>
              <w:rPr>
                <w:rFonts w:ascii="Arial" w:hAnsi="Arial" w:cs="Arial"/>
                <w:b w:val="0"/>
                <w:color w:val="auto"/>
                <w:sz w:val="20"/>
                <w:szCs w:val="20"/>
              </w:rPr>
            </w:pPr>
            <w:r w:rsidRPr="005D7390">
              <w:rPr>
                <w:rFonts w:ascii="Arial" w:hAnsi="Arial" w:cs="Arial"/>
                <w:b w:val="0"/>
                <w:color w:val="auto"/>
                <w:sz w:val="20"/>
                <w:szCs w:val="20"/>
                <w:u w:val="single"/>
              </w:rPr>
              <w:t>Other</w:t>
            </w:r>
          </w:p>
        </w:tc>
        <w:tc>
          <w:tcPr>
            <w:tcW w:w="850" w:type="dxa"/>
            <w:gridSpan w:val="6"/>
          </w:tcPr>
          <w:p w:rsidR="005D7390" w:rsidRPr="00F01629" w:rsidRDefault="005D7390" w:rsidP="004C2F21">
            <w:pPr>
              <w:pStyle w:val="ExampleSub"/>
              <w:keepNext w:val="0"/>
              <w:keepLines w:val="0"/>
              <w:ind w:left="0"/>
              <w:jc w:val="center"/>
              <w:cnfStyle w:val="000000000000"/>
              <w:rPr>
                <w:rFonts w:ascii="Arial" w:hAnsi="Arial" w:cs="Arial"/>
                <w:bCs w:val="0"/>
                <w:color w:val="auto"/>
                <w:sz w:val="20"/>
                <w:szCs w:val="20"/>
              </w:rPr>
            </w:pPr>
          </w:p>
        </w:tc>
        <w:tc>
          <w:tcPr>
            <w:tcW w:w="709" w:type="dxa"/>
            <w:gridSpan w:val="4"/>
          </w:tcPr>
          <w:p w:rsidR="005D7390" w:rsidRPr="00F01629" w:rsidRDefault="005D7390" w:rsidP="004C2F21">
            <w:pPr>
              <w:pStyle w:val="ExampleSub"/>
              <w:keepNext w:val="0"/>
              <w:keepLines w:val="0"/>
              <w:ind w:left="0"/>
              <w:jc w:val="center"/>
              <w:cnfStyle w:val="000000000000"/>
              <w:rPr>
                <w:rFonts w:ascii="Arial" w:hAnsi="Arial" w:cs="Arial"/>
                <w:bCs w:val="0"/>
                <w:color w:val="auto"/>
                <w:sz w:val="20"/>
                <w:szCs w:val="20"/>
              </w:rPr>
            </w:pPr>
          </w:p>
        </w:tc>
        <w:tc>
          <w:tcPr>
            <w:tcW w:w="992" w:type="dxa"/>
            <w:gridSpan w:val="3"/>
          </w:tcPr>
          <w:p w:rsidR="005D7390" w:rsidRPr="00F01629" w:rsidRDefault="005D7390" w:rsidP="004C2F21">
            <w:pPr>
              <w:pStyle w:val="ExampleSub"/>
              <w:keepNext w:val="0"/>
              <w:keepLines w:val="0"/>
              <w:ind w:left="0"/>
              <w:jc w:val="center"/>
              <w:cnfStyle w:val="000000000000"/>
              <w:rPr>
                <w:rFonts w:ascii="Arial" w:hAnsi="Arial" w:cs="Arial"/>
                <w:bCs w:val="0"/>
                <w:color w:val="auto"/>
                <w:sz w:val="20"/>
                <w:szCs w:val="20"/>
              </w:rPr>
            </w:pPr>
          </w:p>
        </w:tc>
        <w:tc>
          <w:tcPr>
            <w:tcW w:w="851" w:type="dxa"/>
            <w:gridSpan w:val="2"/>
          </w:tcPr>
          <w:p w:rsidR="005D7390" w:rsidRPr="00F01629" w:rsidRDefault="005D7390" w:rsidP="004C2F21">
            <w:pPr>
              <w:pStyle w:val="ExampleSub"/>
              <w:keepNext w:val="0"/>
              <w:keepLines w:val="0"/>
              <w:ind w:left="0"/>
              <w:jc w:val="center"/>
              <w:cnfStyle w:val="000000000000"/>
              <w:rPr>
                <w:rFonts w:ascii="Arial" w:hAnsi="Arial" w:cs="Arial"/>
                <w:bCs w:val="0"/>
                <w:color w:val="auto"/>
                <w:sz w:val="20"/>
                <w:szCs w:val="20"/>
              </w:rPr>
            </w:pPr>
          </w:p>
        </w:tc>
        <w:tc>
          <w:tcPr>
            <w:tcW w:w="567" w:type="dxa"/>
          </w:tcPr>
          <w:p w:rsidR="005D7390" w:rsidRPr="005D7390" w:rsidRDefault="005D7390" w:rsidP="00E029AB">
            <w:pPr>
              <w:pStyle w:val="ExampleSub"/>
              <w:keepNext w:val="0"/>
              <w:keepLines w:val="0"/>
              <w:ind w:left="0"/>
              <w:cnfStyle w:val="000000000000"/>
              <w:rPr>
                <w:rFonts w:ascii="Arial" w:hAnsi="Arial" w:cs="Arial"/>
                <w:b w:val="0"/>
                <w:bCs w:val="0"/>
                <w:color w:val="auto"/>
                <w:sz w:val="20"/>
                <w:szCs w:val="20"/>
              </w:rPr>
            </w:pPr>
          </w:p>
        </w:tc>
        <w:tc>
          <w:tcPr>
            <w:tcW w:w="850" w:type="dxa"/>
            <w:gridSpan w:val="2"/>
          </w:tcPr>
          <w:p w:rsidR="005D7390" w:rsidRPr="005D7390" w:rsidRDefault="005D7390" w:rsidP="00E029AB">
            <w:pPr>
              <w:pStyle w:val="ExampleSub"/>
              <w:keepNext w:val="0"/>
              <w:keepLines w:val="0"/>
              <w:ind w:left="0"/>
              <w:cnfStyle w:val="000000000000"/>
              <w:rPr>
                <w:rFonts w:ascii="Arial" w:hAnsi="Arial" w:cs="Arial"/>
                <w:b w:val="0"/>
                <w:bCs w:val="0"/>
                <w:color w:val="auto"/>
                <w:sz w:val="20"/>
                <w:szCs w:val="20"/>
              </w:rPr>
            </w:pPr>
          </w:p>
        </w:tc>
      </w:tr>
      <w:tr w:rsidR="005D7390" w:rsidRPr="005D7390" w:rsidTr="008A25D1">
        <w:trPr>
          <w:cnfStyle w:val="000000100000"/>
          <w:trHeight w:val="397"/>
        </w:trPr>
        <w:tc>
          <w:tcPr>
            <w:cnfStyle w:val="001000000000"/>
            <w:tcW w:w="911" w:type="dxa"/>
            <w:tcBorders>
              <w:top w:val="none" w:sz="0" w:space="0" w:color="auto"/>
              <w:bottom w:val="none" w:sz="0" w:space="0" w:color="auto"/>
              <w:right w:val="none" w:sz="0" w:space="0" w:color="auto"/>
            </w:tcBorders>
          </w:tcPr>
          <w:p w:rsidR="005D7390" w:rsidRPr="00BC0059" w:rsidRDefault="005D7390" w:rsidP="00521368">
            <w:pPr>
              <w:pStyle w:val="ExampleSub"/>
              <w:keepNext w:val="0"/>
              <w:keepLines w:val="0"/>
              <w:ind w:left="0"/>
              <w:jc w:val="center"/>
              <w:rPr>
                <w:rFonts w:ascii="Arial" w:hAnsi="Arial" w:cs="Arial"/>
                <w:b w:val="0"/>
                <w:color w:val="auto"/>
                <w:sz w:val="20"/>
                <w:szCs w:val="20"/>
              </w:rPr>
            </w:pPr>
            <w:r w:rsidRPr="00BC0059">
              <w:rPr>
                <w:rFonts w:ascii="Arial" w:hAnsi="Arial" w:cs="Arial"/>
                <w:b w:val="0"/>
                <w:color w:val="auto"/>
                <w:sz w:val="20"/>
                <w:szCs w:val="20"/>
              </w:rPr>
              <w:t>0.1</w:t>
            </w:r>
          </w:p>
        </w:tc>
        <w:tc>
          <w:tcPr>
            <w:tcW w:w="700" w:type="dxa"/>
            <w:tcBorders>
              <w:top w:val="none" w:sz="0" w:space="0" w:color="auto"/>
              <w:bottom w:val="none" w:sz="0" w:space="0" w:color="auto"/>
            </w:tcBorders>
          </w:tcPr>
          <w:p w:rsidR="005D7390" w:rsidRPr="005D7390" w:rsidRDefault="00BC0059"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Borders>
              <w:top w:val="none" w:sz="0" w:space="0" w:color="auto"/>
              <w:bottom w:val="none" w:sz="0" w:space="0" w:color="auto"/>
            </w:tcBorders>
          </w:tcPr>
          <w:p w:rsidR="005D7390" w:rsidRPr="005D7390" w:rsidRDefault="00BC0059"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(0.1)</w:t>
            </w:r>
          </w:p>
        </w:tc>
        <w:tc>
          <w:tcPr>
            <w:tcW w:w="853" w:type="dxa"/>
            <w:tcBorders>
              <w:top w:val="none" w:sz="0" w:space="0" w:color="auto"/>
              <w:bottom w:val="none" w:sz="0" w:space="0" w:color="auto"/>
            </w:tcBorders>
          </w:tcPr>
          <w:p w:rsidR="005D7390" w:rsidRPr="005D7390" w:rsidRDefault="00BC0059"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5D7390" w:rsidRPr="005D7390" w:rsidRDefault="00BC0059"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5411" w:type="dxa"/>
            <w:gridSpan w:val="3"/>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bCs w:val="0"/>
                <w:color w:val="auto"/>
                <w:sz w:val="20"/>
                <w:szCs w:val="20"/>
              </w:rPr>
            </w:pPr>
            <w:r w:rsidRPr="005D7390">
              <w:rPr>
                <w:rFonts w:ascii="Arial" w:hAnsi="Arial" w:cs="Arial"/>
                <w:b w:val="0"/>
                <w:color w:val="auto"/>
                <w:sz w:val="20"/>
                <w:szCs w:val="20"/>
              </w:rPr>
              <w:t>Movement in the fair value of Investment Properties</w:t>
            </w:r>
          </w:p>
        </w:tc>
        <w:tc>
          <w:tcPr>
            <w:tcW w:w="850" w:type="dxa"/>
            <w:gridSpan w:val="6"/>
            <w:tcBorders>
              <w:top w:val="none" w:sz="0" w:space="0" w:color="auto"/>
              <w:bottom w:val="none" w:sz="0" w:space="0" w:color="auto"/>
            </w:tcBorders>
          </w:tcPr>
          <w:p w:rsidR="005D7390" w:rsidRPr="00F01629" w:rsidRDefault="004C2F21"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0.3</w:t>
            </w:r>
          </w:p>
        </w:tc>
        <w:tc>
          <w:tcPr>
            <w:tcW w:w="709" w:type="dxa"/>
            <w:gridSpan w:val="4"/>
            <w:tcBorders>
              <w:top w:val="none" w:sz="0" w:space="0" w:color="auto"/>
              <w:bottom w:val="none" w:sz="0" w:space="0" w:color="auto"/>
            </w:tcBorders>
          </w:tcPr>
          <w:p w:rsidR="005D7390" w:rsidRPr="00F01629" w:rsidRDefault="004C2F21"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w:t>
            </w:r>
          </w:p>
        </w:tc>
        <w:tc>
          <w:tcPr>
            <w:tcW w:w="992" w:type="dxa"/>
            <w:gridSpan w:val="3"/>
            <w:tcBorders>
              <w:top w:val="none" w:sz="0" w:space="0" w:color="auto"/>
              <w:bottom w:val="none" w:sz="0" w:space="0" w:color="auto"/>
            </w:tcBorders>
          </w:tcPr>
          <w:p w:rsidR="005D7390" w:rsidRPr="00F01629" w:rsidRDefault="004C2F21"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w:t>
            </w:r>
          </w:p>
        </w:tc>
        <w:tc>
          <w:tcPr>
            <w:tcW w:w="851" w:type="dxa"/>
            <w:gridSpan w:val="2"/>
            <w:tcBorders>
              <w:top w:val="none" w:sz="0" w:space="0" w:color="auto"/>
              <w:bottom w:val="none" w:sz="0" w:space="0" w:color="auto"/>
            </w:tcBorders>
          </w:tcPr>
          <w:p w:rsidR="005D7390" w:rsidRPr="00F01629" w:rsidRDefault="004C2F21"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(0.3)</w:t>
            </w:r>
          </w:p>
        </w:tc>
        <w:tc>
          <w:tcPr>
            <w:tcW w:w="567" w:type="dxa"/>
            <w:tcBorders>
              <w:top w:val="none" w:sz="0" w:space="0" w:color="auto"/>
              <w:bottom w:val="none" w:sz="0" w:space="0" w:color="auto"/>
            </w:tcBorders>
          </w:tcPr>
          <w:p w:rsidR="005D7390" w:rsidRPr="005D7390" w:rsidRDefault="004C2F21"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Borders>
              <w:top w:val="none" w:sz="0" w:space="0" w:color="auto"/>
              <w:bottom w:val="none" w:sz="0" w:space="0" w:color="auto"/>
            </w:tcBorders>
          </w:tcPr>
          <w:p w:rsidR="005D7390" w:rsidRPr="005D7390" w:rsidRDefault="004C2F21"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r>
      <w:tr w:rsidR="005D7390" w:rsidRPr="005D7390" w:rsidTr="008A25D1">
        <w:trPr>
          <w:trHeight w:val="397"/>
        </w:trPr>
        <w:tc>
          <w:tcPr>
            <w:cnfStyle w:val="001000000000"/>
            <w:tcW w:w="911" w:type="dxa"/>
            <w:tcBorders>
              <w:right w:val="none" w:sz="0" w:space="0" w:color="auto"/>
            </w:tcBorders>
          </w:tcPr>
          <w:p w:rsidR="005D7390" w:rsidRPr="00BC0059" w:rsidRDefault="005D7390" w:rsidP="00521368">
            <w:pPr>
              <w:pStyle w:val="ExampleSub"/>
              <w:keepNext w:val="0"/>
              <w:keepLines w:val="0"/>
              <w:ind w:left="0"/>
              <w:jc w:val="center"/>
              <w:rPr>
                <w:rFonts w:ascii="Arial" w:hAnsi="Arial" w:cs="Arial"/>
                <w:b w:val="0"/>
                <w:color w:val="auto"/>
                <w:sz w:val="20"/>
                <w:szCs w:val="20"/>
              </w:rPr>
            </w:pPr>
            <w:r w:rsidRPr="00BC0059">
              <w:rPr>
                <w:rFonts w:ascii="Arial" w:hAnsi="Arial" w:cs="Arial"/>
                <w:b w:val="0"/>
                <w:color w:val="auto"/>
                <w:sz w:val="20"/>
                <w:szCs w:val="20"/>
              </w:rPr>
              <w:t>0</w:t>
            </w:r>
          </w:p>
        </w:tc>
        <w:tc>
          <w:tcPr>
            <w:tcW w:w="700" w:type="dxa"/>
          </w:tcPr>
          <w:p w:rsidR="005D7390" w:rsidRPr="005D7390" w:rsidRDefault="00BC0059"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Pr>
          <w:p w:rsidR="005D7390" w:rsidRPr="005D7390" w:rsidRDefault="00BC0059"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0</w:t>
            </w:r>
          </w:p>
        </w:tc>
        <w:tc>
          <w:tcPr>
            <w:tcW w:w="853" w:type="dxa"/>
          </w:tcPr>
          <w:p w:rsidR="005D7390" w:rsidRPr="005D7390" w:rsidRDefault="00BC0059"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Pr>
          <w:p w:rsidR="005D7390" w:rsidRPr="005D7390" w:rsidRDefault="00BC0059"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5411" w:type="dxa"/>
            <w:gridSpan w:val="3"/>
          </w:tcPr>
          <w:p w:rsidR="005D7390" w:rsidRPr="005D7390" w:rsidRDefault="005D7390" w:rsidP="00E029AB">
            <w:pPr>
              <w:pStyle w:val="ExampleSub"/>
              <w:keepNext w:val="0"/>
              <w:keepLines w:val="0"/>
              <w:ind w:left="0"/>
              <w:cnfStyle w:val="000000000000"/>
              <w:rPr>
                <w:rFonts w:ascii="Arial" w:hAnsi="Arial" w:cs="Arial"/>
                <w:b w:val="0"/>
                <w:bCs w:val="0"/>
                <w:color w:val="auto"/>
                <w:sz w:val="20"/>
                <w:szCs w:val="20"/>
              </w:rPr>
            </w:pPr>
            <w:r w:rsidRPr="005D7390">
              <w:rPr>
                <w:rFonts w:ascii="Arial" w:hAnsi="Arial" w:cs="Arial"/>
                <w:b w:val="0"/>
                <w:color w:val="auto"/>
                <w:sz w:val="20"/>
                <w:szCs w:val="20"/>
              </w:rPr>
              <w:t>Movement in the market value of Assets Held for Sale</w:t>
            </w:r>
          </w:p>
        </w:tc>
        <w:tc>
          <w:tcPr>
            <w:tcW w:w="850" w:type="dxa"/>
            <w:gridSpan w:val="6"/>
          </w:tcPr>
          <w:p w:rsidR="005D7390" w:rsidRPr="00F01629" w:rsidRDefault="004C2F21"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0</w:t>
            </w:r>
          </w:p>
        </w:tc>
        <w:tc>
          <w:tcPr>
            <w:tcW w:w="709" w:type="dxa"/>
            <w:gridSpan w:val="4"/>
          </w:tcPr>
          <w:p w:rsidR="005D7390" w:rsidRPr="00F01629" w:rsidRDefault="004C2F21"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w:t>
            </w:r>
          </w:p>
        </w:tc>
        <w:tc>
          <w:tcPr>
            <w:tcW w:w="992" w:type="dxa"/>
            <w:gridSpan w:val="3"/>
          </w:tcPr>
          <w:p w:rsidR="005D7390" w:rsidRPr="00F01629" w:rsidRDefault="004C2F21"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w:t>
            </w:r>
          </w:p>
        </w:tc>
        <w:tc>
          <w:tcPr>
            <w:tcW w:w="851" w:type="dxa"/>
            <w:gridSpan w:val="2"/>
          </w:tcPr>
          <w:p w:rsidR="005D7390" w:rsidRPr="00F01629" w:rsidRDefault="004C2F21"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0</w:t>
            </w:r>
          </w:p>
        </w:tc>
        <w:tc>
          <w:tcPr>
            <w:tcW w:w="567" w:type="dxa"/>
          </w:tcPr>
          <w:p w:rsidR="005D7390" w:rsidRPr="005D7390" w:rsidRDefault="004C2F21"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Pr>
          <w:p w:rsidR="005D7390" w:rsidRPr="005D7390" w:rsidRDefault="004C2F21"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r>
      <w:tr w:rsidR="005D7390" w:rsidRPr="005D7390" w:rsidTr="008A25D1">
        <w:trPr>
          <w:cnfStyle w:val="000000100000"/>
          <w:trHeight w:val="397"/>
        </w:trPr>
        <w:tc>
          <w:tcPr>
            <w:cnfStyle w:val="001000000000"/>
            <w:tcW w:w="911" w:type="dxa"/>
            <w:tcBorders>
              <w:top w:val="none" w:sz="0" w:space="0" w:color="auto"/>
              <w:bottom w:val="none" w:sz="0" w:space="0" w:color="auto"/>
              <w:right w:val="none" w:sz="0" w:space="0" w:color="auto"/>
            </w:tcBorders>
          </w:tcPr>
          <w:p w:rsidR="005D7390" w:rsidRPr="00BC0059" w:rsidRDefault="005D7390" w:rsidP="00521368">
            <w:pPr>
              <w:pStyle w:val="ExampleSub"/>
              <w:keepNext w:val="0"/>
              <w:keepLines w:val="0"/>
              <w:ind w:left="0"/>
              <w:jc w:val="center"/>
              <w:rPr>
                <w:rFonts w:ascii="Arial" w:hAnsi="Arial" w:cs="Arial"/>
                <w:b w:val="0"/>
                <w:color w:val="auto"/>
                <w:sz w:val="20"/>
                <w:szCs w:val="20"/>
              </w:rPr>
            </w:pPr>
          </w:p>
        </w:tc>
        <w:tc>
          <w:tcPr>
            <w:tcW w:w="700"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872"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686"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853"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709" w:type="dxa"/>
            <w:gridSpan w:val="2"/>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5411" w:type="dxa"/>
            <w:gridSpan w:val="3"/>
            <w:tcBorders>
              <w:top w:val="none" w:sz="0" w:space="0" w:color="auto"/>
              <w:bottom w:val="none" w:sz="0" w:space="0" w:color="auto"/>
            </w:tcBorders>
          </w:tcPr>
          <w:p w:rsidR="005D7390" w:rsidRPr="005D7390" w:rsidRDefault="005D7390" w:rsidP="00947988">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bCs w:val="0"/>
                <w:color w:val="auto"/>
                <w:sz w:val="20"/>
                <w:szCs w:val="20"/>
                <w:u w:val="single"/>
              </w:rPr>
              <w:t>Items relating to capital financing applied in the year</w:t>
            </w:r>
          </w:p>
        </w:tc>
        <w:tc>
          <w:tcPr>
            <w:tcW w:w="850" w:type="dxa"/>
            <w:gridSpan w:val="6"/>
            <w:tcBorders>
              <w:top w:val="none" w:sz="0" w:space="0" w:color="auto"/>
              <w:bottom w:val="none" w:sz="0" w:space="0" w:color="auto"/>
            </w:tcBorders>
          </w:tcPr>
          <w:p w:rsidR="005D7390" w:rsidRPr="00F01629" w:rsidRDefault="005D7390" w:rsidP="004C2F21">
            <w:pPr>
              <w:pStyle w:val="ExampleSub"/>
              <w:keepNext w:val="0"/>
              <w:keepLines w:val="0"/>
              <w:ind w:left="0"/>
              <w:jc w:val="center"/>
              <w:cnfStyle w:val="000000100000"/>
              <w:rPr>
                <w:rFonts w:ascii="Arial" w:hAnsi="Arial" w:cs="Arial"/>
                <w:bCs w:val="0"/>
                <w:color w:val="auto"/>
                <w:sz w:val="20"/>
                <w:szCs w:val="20"/>
              </w:rPr>
            </w:pPr>
          </w:p>
        </w:tc>
        <w:tc>
          <w:tcPr>
            <w:tcW w:w="709" w:type="dxa"/>
            <w:gridSpan w:val="4"/>
            <w:tcBorders>
              <w:top w:val="none" w:sz="0" w:space="0" w:color="auto"/>
              <w:bottom w:val="none" w:sz="0" w:space="0" w:color="auto"/>
            </w:tcBorders>
          </w:tcPr>
          <w:p w:rsidR="005D7390" w:rsidRPr="00F01629" w:rsidRDefault="005D7390" w:rsidP="004C2F21">
            <w:pPr>
              <w:pStyle w:val="ExampleSub"/>
              <w:keepNext w:val="0"/>
              <w:keepLines w:val="0"/>
              <w:ind w:left="0"/>
              <w:jc w:val="center"/>
              <w:cnfStyle w:val="000000100000"/>
              <w:rPr>
                <w:rFonts w:ascii="Arial" w:hAnsi="Arial" w:cs="Arial"/>
                <w:bCs w:val="0"/>
                <w:color w:val="auto"/>
                <w:sz w:val="20"/>
                <w:szCs w:val="20"/>
              </w:rPr>
            </w:pPr>
          </w:p>
        </w:tc>
        <w:tc>
          <w:tcPr>
            <w:tcW w:w="992" w:type="dxa"/>
            <w:gridSpan w:val="3"/>
            <w:tcBorders>
              <w:top w:val="none" w:sz="0" w:space="0" w:color="auto"/>
              <w:bottom w:val="none" w:sz="0" w:space="0" w:color="auto"/>
            </w:tcBorders>
          </w:tcPr>
          <w:p w:rsidR="005D7390" w:rsidRPr="00F01629" w:rsidRDefault="005D7390" w:rsidP="004C2F21">
            <w:pPr>
              <w:pStyle w:val="ExampleSub"/>
              <w:keepNext w:val="0"/>
              <w:keepLines w:val="0"/>
              <w:ind w:left="0"/>
              <w:jc w:val="center"/>
              <w:cnfStyle w:val="000000100000"/>
              <w:rPr>
                <w:rFonts w:ascii="Arial" w:hAnsi="Arial" w:cs="Arial"/>
                <w:bCs w:val="0"/>
                <w:color w:val="auto"/>
                <w:sz w:val="20"/>
                <w:szCs w:val="20"/>
              </w:rPr>
            </w:pPr>
          </w:p>
        </w:tc>
        <w:tc>
          <w:tcPr>
            <w:tcW w:w="851" w:type="dxa"/>
            <w:gridSpan w:val="2"/>
            <w:tcBorders>
              <w:top w:val="none" w:sz="0" w:space="0" w:color="auto"/>
              <w:bottom w:val="none" w:sz="0" w:space="0" w:color="auto"/>
            </w:tcBorders>
          </w:tcPr>
          <w:p w:rsidR="005D7390" w:rsidRPr="00F01629" w:rsidRDefault="005D7390" w:rsidP="004C2F21">
            <w:pPr>
              <w:pStyle w:val="ExampleSub"/>
              <w:keepNext w:val="0"/>
              <w:keepLines w:val="0"/>
              <w:ind w:left="0"/>
              <w:jc w:val="center"/>
              <w:cnfStyle w:val="000000100000"/>
              <w:rPr>
                <w:rFonts w:ascii="Arial" w:hAnsi="Arial" w:cs="Arial"/>
                <w:bCs w:val="0"/>
                <w:color w:val="auto"/>
                <w:sz w:val="20"/>
                <w:szCs w:val="20"/>
              </w:rPr>
            </w:pPr>
          </w:p>
        </w:tc>
        <w:tc>
          <w:tcPr>
            <w:tcW w:w="567" w:type="dxa"/>
            <w:tcBorders>
              <w:top w:val="none" w:sz="0" w:space="0" w:color="auto"/>
              <w:bottom w:val="none" w:sz="0" w:space="0" w:color="auto"/>
            </w:tcBorders>
          </w:tcPr>
          <w:p w:rsidR="005D7390" w:rsidRPr="005D7390" w:rsidRDefault="005D7390" w:rsidP="004A3D95">
            <w:pPr>
              <w:pStyle w:val="ExampleSub"/>
              <w:keepNext w:val="0"/>
              <w:keepLines w:val="0"/>
              <w:ind w:left="0"/>
              <w:jc w:val="center"/>
              <w:cnfStyle w:val="000000100000"/>
              <w:rPr>
                <w:rFonts w:ascii="Arial" w:hAnsi="Arial" w:cs="Arial"/>
                <w:b w:val="0"/>
                <w:bCs w:val="0"/>
                <w:color w:val="auto"/>
                <w:sz w:val="20"/>
                <w:szCs w:val="20"/>
              </w:rPr>
            </w:pPr>
          </w:p>
        </w:tc>
        <w:tc>
          <w:tcPr>
            <w:tcW w:w="850" w:type="dxa"/>
            <w:gridSpan w:val="2"/>
            <w:tcBorders>
              <w:top w:val="none" w:sz="0" w:space="0" w:color="auto"/>
              <w:bottom w:val="none" w:sz="0" w:space="0" w:color="auto"/>
            </w:tcBorders>
          </w:tcPr>
          <w:p w:rsidR="005D7390" w:rsidRPr="005D7390" w:rsidRDefault="005D7390" w:rsidP="004A3D95">
            <w:pPr>
              <w:pStyle w:val="ExampleSub"/>
              <w:keepNext w:val="0"/>
              <w:keepLines w:val="0"/>
              <w:ind w:left="0"/>
              <w:jc w:val="center"/>
              <w:cnfStyle w:val="000000100000"/>
              <w:rPr>
                <w:rFonts w:ascii="Arial" w:hAnsi="Arial" w:cs="Arial"/>
                <w:b w:val="0"/>
                <w:bCs w:val="0"/>
                <w:color w:val="auto"/>
                <w:sz w:val="20"/>
                <w:szCs w:val="20"/>
              </w:rPr>
            </w:pPr>
          </w:p>
        </w:tc>
      </w:tr>
      <w:tr w:rsidR="005D7390" w:rsidRPr="005D7390" w:rsidTr="008A25D1">
        <w:trPr>
          <w:trHeight w:val="397"/>
        </w:trPr>
        <w:tc>
          <w:tcPr>
            <w:cnfStyle w:val="001000000000"/>
            <w:tcW w:w="911" w:type="dxa"/>
            <w:tcBorders>
              <w:right w:val="none" w:sz="0" w:space="0" w:color="auto"/>
            </w:tcBorders>
          </w:tcPr>
          <w:p w:rsidR="005D7390" w:rsidRPr="00BC0059" w:rsidRDefault="005D7390" w:rsidP="00521368">
            <w:pPr>
              <w:pStyle w:val="ExampleSub"/>
              <w:keepNext w:val="0"/>
              <w:keepLines w:val="0"/>
              <w:ind w:left="0"/>
              <w:jc w:val="center"/>
              <w:rPr>
                <w:rFonts w:ascii="Arial" w:hAnsi="Arial" w:cs="Arial"/>
                <w:b w:val="0"/>
                <w:color w:val="auto"/>
                <w:sz w:val="20"/>
                <w:szCs w:val="20"/>
              </w:rPr>
            </w:pPr>
            <w:r w:rsidRPr="00BC0059">
              <w:rPr>
                <w:rFonts w:ascii="Arial" w:hAnsi="Arial" w:cs="Arial"/>
                <w:b w:val="0"/>
                <w:color w:val="auto"/>
                <w:sz w:val="20"/>
                <w:szCs w:val="20"/>
              </w:rPr>
              <w:t>6.3</w:t>
            </w:r>
          </w:p>
        </w:tc>
        <w:tc>
          <w:tcPr>
            <w:tcW w:w="700" w:type="dxa"/>
          </w:tcPr>
          <w:p w:rsidR="005D7390" w:rsidRPr="005D7390" w:rsidRDefault="00BC0059"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Pr>
          <w:p w:rsidR="005D7390" w:rsidRPr="005D7390" w:rsidRDefault="00BC0059"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(6.3)</w:t>
            </w:r>
          </w:p>
        </w:tc>
        <w:tc>
          <w:tcPr>
            <w:tcW w:w="853" w:type="dxa"/>
          </w:tcPr>
          <w:p w:rsidR="005D7390" w:rsidRPr="005D7390" w:rsidRDefault="00BC0059"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Pr>
          <w:p w:rsidR="005D7390" w:rsidRPr="005D7390" w:rsidRDefault="00BC0059"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5411" w:type="dxa"/>
            <w:gridSpan w:val="3"/>
          </w:tcPr>
          <w:p w:rsidR="005D7390" w:rsidRPr="005D7390" w:rsidRDefault="005D7390" w:rsidP="00947988">
            <w:pPr>
              <w:pStyle w:val="ExampleSub"/>
              <w:keepNext w:val="0"/>
              <w:keepLines w:val="0"/>
              <w:ind w:left="0"/>
              <w:cnfStyle w:val="000000000000"/>
              <w:rPr>
                <w:rFonts w:ascii="Arial" w:hAnsi="Arial" w:cs="Arial"/>
                <w:b w:val="0"/>
                <w:bCs w:val="0"/>
                <w:color w:val="auto"/>
                <w:sz w:val="20"/>
                <w:szCs w:val="20"/>
              </w:rPr>
            </w:pPr>
            <w:r w:rsidRPr="005D7390">
              <w:rPr>
                <w:rFonts w:ascii="Arial" w:hAnsi="Arial" w:cs="Arial"/>
                <w:b w:val="0"/>
                <w:bCs w:val="0"/>
                <w:color w:val="auto"/>
                <w:sz w:val="20"/>
                <w:szCs w:val="20"/>
              </w:rPr>
              <w:t>Capital Grants and Contributions Applied</w:t>
            </w:r>
          </w:p>
        </w:tc>
        <w:tc>
          <w:tcPr>
            <w:tcW w:w="850" w:type="dxa"/>
            <w:gridSpan w:val="6"/>
          </w:tcPr>
          <w:p w:rsidR="005D7390" w:rsidRPr="00F01629" w:rsidRDefault="00260CC6"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6.</w:t>
            </w:r>
            <w:r w:rsidR="00CA7804">
              <w:rPr>
                <w:rFonts w:ascii="Arial" w:hAnsi="Arial" w:cs="Arial"/>
                <w:bCs w:val="0"/>
                <w:color w:val="auto"/>
                <w:sz w:val="20"/>
                <w:szCs w:val="20"/>
              </w:rPr>
              <w:t>1</w:t>
            </w:r>
          </w:p>
        </w:tc>
        <w:tc>
          <w:tcPr>
            <w:tcW w:w="709" w:type="dxa"/>
            <w:gridSpan w:val="4"/>
          </w:tcPr>
          <w:p w:rsidR="005D7390" w:rsidRPr="00F01629" w:rsidRDefault="00260CC6"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w:t>
            </w:r>
          </w:p>
        </w:tc>
        <w:tc>
          <w:tcPr>
            <w:tcW w:w="992" w:type="dxa"/>
            <w:gridSpan w:val="3"/>
          </w:tcPr>
          <w:p w:rsidR="005D7390" w:rsidRPr="00F01629" w:rsidRDefault="00260CC6"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w:t>
            </w:r>
          </w:p>
        </w:tc>
        <w:tc>
          <w:tcPr>
            <w:tcW w:w="851" w:type="dxa"/>
            <w:gridSpan w:val="2"/>
          </w:tcPr>
          <w:p w:rsidR="005D7390" w:rsidRPr="00F01629" w:rsidRDefault="00260CC6" w:rsidP="00CA7804">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(6.</w:t>
            </w:r>
            <w:r w:rsidR="00CA7804">
              <w:rPr>
                <w:rFonts w:ascii="Arial" w:hAnsi="Arial" w:cs="Arial"/>
                <w:bCs w:val="0"/>
                <w:color w:val="auto"/>
                <w:sz w:val="20"/>
                <w:szCs w:val="20"/>
              </w:rPr>
              <w:t>1</w:t>
            </w:r>
            <w:r w:rsidRPr="00F01629">
              <w:rPr>
                <w:rFonts w:ascii="Arial" w:hAnsi="Arial" w:cs="Arial"/>
                <w:bCs w:val="0"/>
                <w:color w:val="auto"/>
                <w:sz w:val="20"/>
                <w:szCs w:val="20"/>
              </w:rPr>
              <w:t>)</w:t>
            </w:r>
          </w:p>
        </w:tc>
        <w:tc>
          <w:tcPr>
            <w:tcW w:w="567" w:type="dxa"/>
          </w:tcPr>
          <w:p w:rsidR="005D7390" w:rsidRPr="005D7390" w:rsidRDefault="009549E8"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Pr>
          <w:p w:rsidR="005D7390" w:rsidRPr="005D7390" w:rsidRDefault="009549E8"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r>
      <w:tr w:rsidR="005D7390" w:rsidRPr="005D7390" w:rsidTr="008A25D1">
        <w:trPr>
          <w:cnfStyle w:val="000000100000"/>
          <w:trHeight w:val="562"/>
        </w:trPr>
        <w:tc>
          <w:tcPr>
            <w:cnfStyle w:val="001000000000"/>
            <w:tcW w:w="911" w:type="dxa"/>
            <w:tcBorders>
              <w:top w:val="none" w:sz="0" w:space="0" w:color="auto"/>
              <w:bottom w:val="none" w:sz="0" w:space="0" w:color="auto"/>
              <w:right w:val="none" w:sz="0" w:space="0" w:color="auto"/>
            </w:tcBorders>
          </w:tcPr>
          <w:p w:rsidR="005D7390" w:rsidRPr="00BC0059" w:rsidRDefault="005D7390" w:rsidP="00521368">
            <w:pPr>
              <w:pStyle w:val="ExampleSub"/>
              <w:keepNext w:val="0"/>
              <w:keepLines w:val="0"/>
              <w:ind w:left="0"/>
              <w:jc w:val="center"/>
              <w:rPr>
                <w:rFonts w:ascii="Arial" w:hAnsi="Arial" w:cs="Arial"/>
                <w:b w:val="0"/>
                <w:color w:val="auto"/>
                <w:sz w:val="20"/>
                <w:szCs w:val="20"/>
              </w:rPr>
            </w:pPr>
          </w:p>
        </w:tc>
        <w:tc>
          <w:tcPr>
            <w:tcW w:w="700"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872"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686"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853"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709" w:type="dxa"/>
            <w:gridSpan w:val="2"/>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p>
        </w:tc>
        <w:tc>
          <w:tcPr>
            <w:tcW w:w="5411" w:type="dxa"/>
            <w:gridSpan w:val="3"/>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bCs w:val="0"/>
                <w:color w:val="auto"/>
                <w:sz w:val="20"/>
                <w:szCs w:val="20"/>
              </w:rPr>
            </w:pPr>
            <w:r w:rsidRPr="005D7390">
              <w:rPr>
                <w:rFonts w:ascii="Arial" w:hAnsi="Arial" w:cs="Arial"/>
                <w:bCs w:val="0"/>
                <w:color w:val="auto"/>
                <w:sz w:val="20"/>
                <w:szCs w:val="20"/>
              </w:rPr>
              <w:t xml:space="preserve">Insertion of items not debited or credited to the Comprehensive Income and Expenditure Statement </w:t>
            </w:r>
          </w:p>
        </w:tc>
        <w:tc>
          <w:tcPr>
            <w:tcW w:w="850" w:type="dxa"/>
            <w:gridSpan w:val="6"/>
            <w:tcBorders>
              <w:top w:val="none" w:sz="0" w:space="0" w:color="auto"/>
              <w:bottom w:val="none" w:sz="0" w:space="0" w:color="auto"/>
            </w:tcBorders>
          </w:tcPr>
          <w:p w:rsidR="005D7390" w:rsidRPr="00F01629" w:rsidRDefault="005D7390" w:rsidP="004C2F21">
            <w:pPr>
              <w:pStyle w:val="ExampleSub"/>
              <w:keepNext w:val="0"/>
              <w:keepLines w:val="0"/>
              <w:ind w:left="0"/>
              <w:jc w:val="center"/>
              <w:cnfStyle w:val="000000100000"/>
              <w:rPr>
                <w:rFonts w:ascii="Arial" w:hAnsi="Arial" w:cs="Arial"/>
                <w:bCs w:val="0"/>
                <w:color w:val="auto"/>
                <w:sz w:val="20"/>
                <w:szCs w:val="20"/>
              </w:rPr>
            </w:pPr>
          </w:p>
        </w:tc>
        <w:tc>
          <w:tcPr>
            <w:tcW w:w="709" w:type="dxa"/>
            <w:gridSpan w:val="4"/>
            <w:tcBorders>
              <w:top w:val="none" w:sz="0" w:space="0" w:color="auto"/>
              <w:bottom w:val="none" w:sz="0" w:space="0" w:color="auto"/>
            </w:tcBorders>
          </w:tcPr>
          <w:p w:rsidR="005D7390" w:rsidRPr="00F01629" w:rsidRDefault="005D7390" w:rsidP="004C2F21">
            <w:pPr>
              <w:pStyle w:val="ExampleSub"/>
              <w:keepNext w:val="0"/>
              <w:keepLines w:val="0"/>
              <w:ind w:left="0"/>
              <w:jc w:val="center"/>
              <w:cnfStyle w:val="000000100000"/>
              <w:rPr>
                <w:rFonts w:ascii="Arial" w:hAnsi="Arial" w:cs="Arial"/>
                <w:bCs w:val="0"/>
                <w:color w:val="auto"/>
                <w:sz w:val="20"/>
                <w:szCs w:val="20"/>
              </w:rPr>
            </w:pPr>
          </w:p>
        </w:tc>
        <w:tc>
          <w:tcPr>
            <w:tcW w:w="992" w:type="dxa"/>
            <w:gridSpan w:val="3"/>
            <w:tcBorders>
              <w:top w:val="none" w:sz="0" w:space="0" w:color="auto"/>
              <w:bottom w:val="none" w:sz="0" w:space="0" w:color="auto"/>
            </w:tcBorders>
          </w:tcPr>
          <w:p w:rsidR="005D7390" w:rsidRPr="00F01629" w:rsidRDefault="005D7390" w:rsidP="004C2F21">
            <w:pPr>
              <w:pStyle w:val="ExampleSub"/>
              <w:keepNext w:val="0"/>
              <w:keepLines w:val="0"/>
              <w:ind w:left="0"/>
              <w:jc w:val="center"/>
              <w:cnfStyle w:val="000000100000"/>
              <w:rPr>
                <w:rFonts w:ascii="Arial" w:hAnsi="Arial" w:cs="Arial"/>
                <w:bCs w:val="0"/>
                <w:color w:val="auto"/>
                <w:sz w:val="20"/>
                <w:szCs w:val="20"/>
              </w:rPr>
            </w:pPr>
          </w:p>
        </w:tc>
        <w:tc>
          <w:tcPr>
            <w:tcW w:w="851" w:type="dxa"/>
            <w:gridSpan w:val="2"/>
            <w:tcBorders>
              <w:top w:val="none" w:sz="0" w:space="0" w:color="auto"/>
              <w:bottom w:val="none" w:sz="0" w:space="0" w:color="auto"/>
            </w:tcBorders>
          </w:tcPr>
          <w:p w:rsidR="005D7390" w:rsidRPr="00F01629" w:rsidRDefault="005D7390" w:rsidP="004C2F21">
            <w:pPr>
              <w:pStyle w:val="ExampleSub"/>
              <w:keepNext w:val="0"/>
              <w:keepLines w:val="0"/>
              <w:ind w:left="0"/>
              <w:jc w:val="center"/>
              <w:cnfStyle w:val="000000100000"/>
              <w:rPr>
                <w:rFonts w:ascii="Arial" w:hAnsi="Arial" w:cs="Arial"/>
                <w:bCs w:val="0"/>
                <w:color w:val="auto"/>
                <w:sz w:val="20"/>
                <w:szCs w:val="20"/>
              </w:rPr>
            </w:pPr>
          </w:p>
        </w:tc>
        <w:tc>
          <w:tcPr>
            <w:tcW w:w="567" w:type="dxa"/>
            <w:tcBorders>
              <w:top w:val="none" w:sz="0" w:space="0" w:color="auto"/>
              <w:bottom w:val="none" w:sz="0" w:space="0" w:color="auto"/>
            </w:tcBorders>
          </w:tcPr>
          <w:p w:rsidR="005D7390" w:rsidRPr="005D7390" w:rsidRDefault="005D7390" w:rsidP="004A3D95">
            <w:pPr>
              <w:pStyle w:val="ExampleSub"/>
              <w:keepNext w:val="0"/>
              <w:keepLines w:val="0"/>
              <w:ind w:left="0"/>
              <w:jc w:val="center"/>
              <w:cnfStyle w:val="000000100000"/>
              <w:rPr>
                <w:rFonts w:ascii="Arial" w:hAnsi="Arial" w:cs="Arial"/>
                <w:b w:val="0"/>
                <w:bCs w:val="0"/>
                <w:color w:val="auto"/>
                <w:sz w:val="20"/>
                <w:szCs w:val="20"/>
              </w:rPr>
            </w:pPr>
          </w:p>
        </w:tc>
        <w:tc>
          <w:tcPr>
            <w:tcW w:w="850" w:type="dxa"/>
            <w:gridSpan w:val="2"/>
            <w:tcBorders>
              <w:top w:val="none" w:sz="0" w:space="0" w:color="auto"/>
              <w:bottom w:val="none" w:sz="0" w:space="0" w:color="auto"/>
            </w:tcBorders>
          </w:tcPr>
          <w:p w:rsidR="005D7390" w:rsidRPr="005D7390" w:rsidRDefault="005D7390" w:rsidP="004A3D95">
            <w:pPr>
              <w:pStyle w:val="ExampleSub"/>
              <w:keepNext w:val="0"/>
              <w:keepLines w:val="0"/>
              <w:ind w:left="0"/>
              <w:jc w:val="center"/>
              <w:cnfStyle w:val="000000100000"/>
              <w:rPr>
                <w:rFonts w:ascii="Arial" w:hAnsi="Arial" w:cs="Arial"/>
                <w:b w:val="0"/>
                <w:bCs w:val="0"/>
                <w:color w:val="auto"/>
                <w:sz w:val="20"/>
                <w:szCs w:val="20"/>
              </w:rPr>
            </w:pPr>
          </w:p>
        </w:tc>
      </w:tr>
      <w:tr w:rsidR="005D7390" w:rsidRPr="005D7390" w:rsidTr="008A25D1">
        <w:trPr>
          <w:trHeight w:val="397"/>
        </w:trPr>
        <w:tc>
          <w:tcPr>
            <w:cnfStyle w:val="001000000000"/>
            <w:tcW w:w="911" w:type="dxa"/>
            <w:tcBorders>
              <w:right w:val="none" w:sz="0" w:space="0" w:color="auto"/>
            </w:tcBorders>
          </w:tcPr>
          <w:p w:rsidR="005D7390" w:rsidRPr="00BC0059" w:rsidRDefault="005D7390" w:rsidP="00521368">
            <w:pPr>
              <w:pStyle w:val="ExampleSub"/>
              <w:keepNext w:val="0"/>
              <w:keepLines w:val="0"/>
              <w:ind w:left="0"/>
              <w:jc w:val="center"/>
              <w:rPr>
                <w:rFonts w:ascii="Arial" w:hAnsi="Arial" w:cs="Arial"/>
                <w:b w:val="0"/>
                <w:color w:val="auto"/>
                <w:sz w:val="20"/>
                <w:szCs w:val="20"/>
              </w:rPr>
            </w:pPr>
          </w:p>
        </w:tc>
        <w:tc>
          <w:tcPr>
            <w:tcW w:w="700"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72"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686"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53"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709" w:type="dxa"/>
            <w:gridSpan w:val="2"/>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5411" w:type="dxa"/>
            <w:gridSpan w:val="3"/>
          </w:tcPr>
          <w:p w:rsidR="005D7390" w:rsidRPr="005D7390" w:rsidRDefault="005D7390" w:rsidP="009E1013">
            <w:pPr>
              <w:pStyle w:val="ExampleSub"/>
              <w:keepNext w:val="0"/>
              <w:keepLines w:val="0"/>
              <w:ind w:left="0"/>
              <w:cnfStyle w:val="000000000000"/>
              <w:rPr>
                <w:rFonts w:ascii="Arial" w:hAnsi="Arial" w:cs="Arial"/>
                <w:b w:val="0"/>
                <w:color w:val="auto"/>
                <w:sz w:val="20"/>
                <w:szCs w:val="20"/>
              </w:rPr>
            </w:pPr>
            <w:r w:rsidRPr="005D7390">
              <w:rPr>
                <w:rFonts w:ascii="Arial" w:hAnsi="Arial" w:cs="Arial"/>
                <w:b w:val="0"/>
                <w:bCs w:val="0"/>
                <w:color w:val="auto"/>
                <w:sz w:val="20"/>
                <w:szCs w:val="20"/>
                <w:u w:val="single"/>
              </w:rPr>
              <w:t>Items relating to capital financing applied in the year</w:t>
            </w:r>
          </w:p>
        </w:tc>
        <w:tc>
          <w:tcPr>
            <w:tcW w:w="850" w:type="dxa"/>
            <w:gridSpan w:val="6"/>
          </w:tcPr>
          <w:p w:rsidR="005D7390" w:rsidRPr="00F01629" w:rsidRDefault="005D7390" w:rsidP="004C2F21">
            <w:pPr>
              <w:pStyle w:val="ExampleSub"/>
              <w:keepNext w:val="0"/>
              <w:keepLines w:val="0"/>
              <w:ind w:left="0"/>
              <w:jc w:val="center"/>
              <w:cnfStyle w:val="000000000000"/>
              <w:rPr>
                <w:rFonts w:ascii="Arial" w:hAnsi="Arial" w:cs="Arial"/>
                <w:bCs w:val="0"/>
                <w:color w:val="auto"/>
                <w:sz w:val="20"/>
                <w:szCs w:val="20"/>
              </w:rPr>
            </w:pPr>
          </w:p>
        </w:tc>
        <w:tc>
          <w:tcPr>
            <w:tcW w:w="709" w:type="dxa"/>
            <w:gridSpan w:val="4"/>
          </w:tcPr>
          <w:p w:rsidR="005D7390" w:rsidRPr="00F01629" w:rsidRDefault="005D7390" w:rsidP="004C2F21">
            <w:pPr>
              <w:pStyle w:val="ExampleSub"/>
              <w:keepNext w:val="0"/>
              <w:keepLines w:val="0"/>
              <w:ind w:left="0"/>
              <w:jc w:val="center"/>
              <w:cnfStyle w:val="000000000000"/>
              <w:rPr>
                <w:rFonts w:ascii="Arial" w:hAnsi="Arial" w:cs="Arial"/>
                <w:bCs w:val="0"/>
                <w:color w:val="auto"/>
                <w:sz w:val="20"/>
                <w:szCs w:val="20"/>
              </w:rPr>
            </w:pPr>
          </w:p>
        </w:tc>
        <w:tc>
          <w:tcPr>
            <w:tcW w:w="992" w:type="dxa"/>
            <w:gridSpan w:val="3"/>
          </w:tcPr>
          <w:p w:rsidR="005D7390" w:rsidRPr="00F01629" w:rsidRDefault="005D7390" w:rsidP="004C2F21">
            <w:pPr>
              <w:pStyle w:val="ExampleSub"/>
              <w:keepNext w:val="0"/>
              <w:keepLines w:val="0"/>
              <w:ind w:left="0"/>
              <w:jc w:val="center"/>
              <w:cnfStyle w:val="000000000000"/>
              <w:rPr>
                <w:rFonts w:ascii="Arial" w:hAnsi="Arial" w:cs="Arial"/>
                <w:bCs w:val="0"/>
                <w:color w:val="auto"/>
                <w:sz w:val="20"/>
                <w:szCs w:val="20"/>
              </w:rPr>
            </w:pPr>
          </w:p>
        </w:tc>
        <w:tc>
          <w:tcPr>
            <w:tcW w:w="851" w:type="dxa"/>
            <w:gridSpan w:val="2"/>
          </w:tcPr>
          <w:p w:rsidR="005D7390" w:rsidRPr="00F01629" w:rsidRDefault="005D7390" w:rsidP="004C2F21">
            <w:pPr>
              <w:pStyle w:val="ExampleSub"/>
              <w:keepNext w:val="0"/>
              <w:keepLines w:val="0"/>
              <w:ind w:left="0"/>
              <w:jc w:val="center"/>
              <w:cnfStyle w:val="000000000000"/>
              <w:rPr>
                <w:rFonts w:ascii="Arial" w:hAnsi="Arial" w:cs="Arial"/>
                <w:bCs w:val="0"/>
                <w:color w:val="auto"/>
                <w:sz w:val="20"/>
                <w:szCs w:val="20"/>
              </w:rPr>
            </w:pPr>
          </w:p>
        </w:tc>
        <w:tc>
          <w:tcPr>
            <w:tcW w:w="567" w:type="dxa"/>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20"/>
                <w:szCs w:val="20"/>
              </w:rPr>
            </w:pPr>
          </w:p>
        </w:tc>
        <w:tc>
          <w:tcPr>
            <w:tcW w:w="850" w:type="dxa"/>
            <w:gridSpan w:val="2"/>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20"/>
                <w:szCs w:val="20"/>
              </w:rPr>
            </w:pPr>
          </w:p>
        </w:tc>
      </w:tr>
      <w:tr w:rsidR="005D7390" w:rsidRPr="005D7390" w:rsidTr="008A25D1">
        <w:trPr>
          <w:cnfStyle w:val="000000100000"/>
          <w:trHeight w:val="397"/>
        </w:trPr>
        <w:tc>
          <w:tcPr>
            <w:cnfStyle w:val="001000000000"/>
            <w:tcW w:w="911" w:type="dxa"/>
            <w:tcBorders>
              <w:top w:val="none" w:sz="0" w:space="0" w:color="auto"/>
              <w:bottom w:val="none" w:sz="0" w:space="0" w:color="auto"/>
              <w:right w:val="none" w:sz="0" w:space="0" w:color="auto"/>
            </w:tcBorders>
          </w:tcPr>
          <w:p w:rsidR="005D7390" w:rsidRPr="00BC0059" w:rsidRDefault="005D7390" w:rsidP="00521368">
            <w:pPr>
              <w:pStyle w:val="ExampleSub"/>
              <w:keepNext w:val="0"/>
              <w:keepLines w:val="0"/>
              <w:ind w:left="0"/>
              <w:jc w:val="center"/>
              <w:rPr>
                <w:rFonts w:ascii="Arial" w:hAnsi="Arial" w:cs="Arial"/>
                <w:b w:val="0"/>
                <w:color w:val="auto"/>
                <w:sz w:val="20"/>
                <w:szCs w:val="20"/>
              </w:rPr>
            </w:pPr>
            <w:r w:rsidRPr="00BC0059">
              <w:rPr>
                <w:rFonts w:ascii="Arial" w:hAnsi="Arial" w:cs="Arial"/>
                <w:b w:val="0"/>
                <w:color w:val="auto"/>
                <w:sz w:val="20"/>
                <w:szCs w:val="20"/>
              </w:rPr>
              <w:t>4.6</w:t>
            </w:r>
          </w:p>
        </w:tc>
        <w:tc>
          <w:tcPr>
            <w:tcW w:w="700" w:type="dxa"/>
            <w:tcBorders>
              <w:top w:val="none" w:sz="0" w:space="0" w:color="auto"/>
              <w:bottom w:val="none" w:sz="0" w:space="0" w:color="auto"/>
            </w:tcBorders>
          </w:tcPr>
          <w:p w:rsidR="005D7390" w:rsidRPr="005D7390" w:rsidRDefault="009549E8"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Borders>
              <w:top w:val="none" w:sz="0" w:space="0" w:color="auto"/>
              <w:bottom w:val="none" w:sz="0" w:space="0" w:color="auto"/>
            </w:tcBorders>
          </w:tcPr>
          <w:p w:rsidR="005D7390" w:rsidRPr="005D7390" w:rsidRDefault="009549E8"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(4.6)</w:t>
            </w:r>
          </w:p>
        </w:tc>
        <w:tc>
          <w:tcPr>
            <w:tcW w:w="853" w:type="dxa"/>
            <w:tcBorders>
              <w:top w:val="none" w:sz="0" w:space="0" w:color="auto"/>
              <w:bottom w:val="none" w:sz="0" w:space="0" w:color="auto"/>
            </w:tcBorders>
          </w:tcPr>
          <w:p w:rsidR="005D7390" w:rsidRPr="005D7390" w:rsidRDefault="009549E8"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5D7390" w:rsidRPr="005D7390" w:rsidRDefault="009549E8"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5411" w:type="dxa"/>
            <w:gridSpan w:val="3"/>
            <w:tcBorders>
              <w:top w:val="none" w:sz="0" w:space="0" w:color="auto"/>
              <w:bottom w:val="none" w:sz="0" w:space="0" w:color="auto"/>
            </w:tcBorders>
          </w:tcPr>
          <w:p w:rsidR="005D7390" w:rsidRPr="005D7390" w:rsidRDefault="005D7390" w:rsidP="009E1013">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color w:val="auto"/>
                <w:sz w:val="20"/>
                <w:szCs w:val="20"/>
              </w:rPr>
              <w:t>Provision for the financing of capital investment</w:t>
            </w:r>
          </w:p>
        </w:tc>
        <w:tc>
          <w:tcPr>
            <w:tcW w:w="850" w:type="dxa"/>
            <w:gridSpan w:val="6"/>
            <w:tcBorders>
              <w:top w:val="none" w:sz="0" w:space="0" w:color="auto"/>
              <w:bottom w:val="none" w:sz="0" w:space="0" w:color="auto"/>
            </w:tcBorders>
          </w:tcPr>
          <w:p w:rsidR="005D7390" w:rsidRPr="00F01629" w:rsidRDefault="00260CC6"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4.3</w:t>
            </w:r>
          </w:p>
        </w:tc>
        <w:tc>
          <w:tcPr>
            <w:tcW w:w="709" w:type="dxa"/>
            <w:gridSpan w:val="4"/>
            <w:tcBorders>
              <w:top w:val="none" w:sz="0" w:space="0" w:color="auto"/>
              <w:bottom w:val="none" w:sz="0" w:space="0" w:color="auto"/>
            </w:tcBorders>
          </w:tcPr>
          <w:p w:rsidR="005D7390" w:rsidRPr="00F01629" w:rsidRDefault="00260CC6"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w:t>
            </w:r>
          </w:p>
        </w:tc>
        <w:tc>
          <w:tcPr>
            <w:tcW w:w="992" w:type="dxa"/>
            <w:gridSpan w:val="3"/>
            <w:tcBorders>
              <w:top w:val="none" w:sz="0" w:space="0" w:color="auto"/>
              <w:bottom w:val="none" w:sz="0" w:space="0" w:color="auto"/>
            </w:tcBorders>
          </w:tcPr>
          <w:p w:rsidR="005D7390" w:rsidRPr="00F01629" w:rsidRDefault="00260CC6"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w:t>
            </w:r>
          </w:p>
        </w:tc>
        <w:tc>
          <w:tcPr>
            <w:tcW w:w="851" w:type="dxa"/>
            <w:gridSpan w:val="2"/>
            <w:tcBorders>
              <w:top w:val="none" w:sz="0" w:space="0" w:color="auto"/>
              <w:bottom w:val="none" w:sz="0" w:space="0" w:color="auto"/>
            </w:tcBorders>
          </w:tcPr>
          <w:p w:rsidR="005D7390" w:rsidRPr="00F01629" w:rsidRDefault="00260CC6" w:rsidP="004C2F21">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(4.3)</w:t>
            </w:r>
          </w:p>
        </w:tc>
        <w:tc>
          <w:tcPr>
            <w:tcW w:w="567" w:type="dxa"/>
            <w:tcBorders>
              <w:top w:val="none" w:sz="0" w:space="0" w:color="auto"/>
              <w:bottom w:val="none" w:sz="0" w:space="0" w:color="auto"/>
            </w:tcBorders>
          </w:tcPr>
          <w:p w:rsidR="005D7390" w:rsidRPr="005D7390" w:rsidRDefault="009549E8"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Borders>
              <w:top w:val="none" w:sz="0" w:space="0" w:color="auto"/>
              <w:bottom w:val="none" w:sz="0" w:space="0" w:color="auto"/>
            </w:tcBorders>
          </w:tcPr>
          <w:p w:rsidR="005D7390" w:rsidRPr="005D7390" w:rsidRDefault="009549E8"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r>
      <w:tr w:rsidR="005D7390" w:rsidRPr="005D7390" w:rsidTr="008A25D1">
        <w:tc>
          <w:tcPr>
            <w:cnfStyle w:val="001000000000"/>
            <w:tcW w:w="911" w:type="dxa"/>
            <w:tcBorders>
              <w:right w:val="none" w:sz="0" w:space="0" w:color="auto"/>
            </w:tcBorders>
          </w:tcPr>
          <w:p w:rsidR="005D7390" w:rsidRPr="00BC0059" w:rsidRDefault="005D7390" w:rsidP="00521368">
            <w:pPr>
              <w:pStyle w:val="ExampleSub"/>
              <w:keepNext w:val="0"/>
              <w:keepLines w:val="0"/>
              <w:ind w:left="0"/>
              <w:jc w:val="center"/>
              <w:rPr>
                <w:rFonts w:ascii="Arial" w:hAnsi="Arial" w:cs="Arial"/>
                <w:b w:val="0"/>
                <w:color w:val="auto"/>
                <w:sz w:val="20"/>
                <w:szCs w:val="20"/>
              </w:rPr>
            </w:pPr>
            <w:r w:rsidRPr="00BC0059">
              <w:rPr>
                <w:rFonts w:ascii="Arial" w:hAnsi="Arial" w:cs="Arial"/>
                <w:b w:val="0"/>
                <w:color w:val="auto"/>
                <w:sz w:val="20"/>
                <w:szCs w:val="20"/>
              </w:rPr>
              <w:t>1.8</w:t>
            </w:r>
          </w:p>
        </w:tc>
        <w:tc>
          <w:tcPr>
            <w:tcW w:w="700" w:type="dxa"/>
          </w:tcPr>
          <w:p w:rsidR="005D7390" w:rsidRPr="005D7390" w:rsidRDefault="009549E8"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Pr>
          <w:p w:rsidR="005D7390" w:rsidRPr="005D7390" w:rsidRDefault="009549E8"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(1.8)</w:t>
            </w:r>
          </w:p>
        </w:tc>
        <w:tc>
          <w:tcPr>
            <w:tcW w:w="853" w:type="dxa"/>
          </w:tcPr>
          <w:p w:rsidR="005D7390" w:rsidRPr="005D7390" w:rsidRDefault="009549E8"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Pr>
          <w:p w:rsidR="005D7390" w:rsidRPr="005D7390" w:rsidRDefault="009549E8"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5411" w:type="dxa"/>
            <w:gridSpan w:val="3"/>
          </w:tcPr>
          <w:p w:rsidR="005D7390" w:rsidRPr="005D7390" w:rsidRDefault="005D7390" w:rsidP="00E029AB">
            <w:pPr>
              <w:pStyle w:val="ExampleSub"/>
              <w:keepNext w:val="0"/>
              <w:keepLines w:val="0"/>
              <w:ind w:left="0"/>
              <w:cnfStyle w:val="000000000000"/>
              <w:rPr>
                <w:rFonts w:ascii="Arial" w:hAnsi="Arial" w:cs="Arial"/>
                <w:b w:val="0"/>
                <w:color w:val="auto"/>
                <w:sz w:val="20"/>
                <w:szCs w:val="20"/>
              </w:rPr>
            </w:pPr>
            <w:r w:rsidRPr="005D7390">
              <w:rPr>
                <w:rFonts w:ascii="Arial" w:hAnsi="Arial" w:cs="Arial"/>
                <w:b w:val="0"/>
                <w:color w:val="auto"/>
                <w:sz w:val="20"/>
                <w:szCs w:val="20"/>
              </w:rPr>
              <w:t>Capital expenditure charged against the General Fund</w:t>
            </w:r>
          </w:p>
        </w:tc>
        <w:tc>
          <w:tcPr>
            <w:tcW w:w="850" w:type="dxa"/>
            <w:gridSpan w:val="6"/>
          </w:tcPr>
          <w:p w:rsidR="005D7390" w:rsidRPr="00F01629" w:rsidRDefault="00260CC6"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1.1</w:t>
            </w:r>
          </w:p>
        </w:tc>
        <w:tc>
          <w:tcPr>
            <w:tcW w:w="709" w:type="dxa"/>
            <w:gridSpan w:val="4"/>
          </w:tcPr>
          <w:p w:rsidR="005D7390" w:rsidRPr="00F01629" w:rsidRDefault="00260CC6"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w:t>
            </w:r>
          </w:p>
        </w:tc>
        <w:tc>
          <w:tcPr>
            <w:tcW w:w="992" w:type="dxa"/>
            <w:gridSpan w:val="3"/>
          </w:tcPr>
          <w:p w:rsidR="005D7390" w:rsidRPr="00F01629" w:rsidRDefault="00260CC6"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w:t>
            </w:r>
          </w:p>
        </w:tc>
        <w:tc>
          <w:tcPr>
            <w:tcW w:w="851" w:type="dxa"/>
            <w:gridSpan w:val="2"/>
          </w:tcPr>
          <w:p w:rsidR="005D7390" w:rsidRPr="00F01629" w:rsidRDefault="00260CC6" w:rsidP="004C2F21">
            <w:pPr>
              <w:pStyle w:val="ExampleSub"/>
              <w:keepNext w:val="0"/>
              <w:keepLines w:val="0"/>
              <w:ind w:left="0"/>
              <w:jc w:val="center"/>
              <w:cnfStyle w:val="000000000000"/>
              <w:rPr>
                <w:rFonts w:ascii="Arial" w:hAnsi="Arial" w:cs="Arial"/>
                <w:bCs w:val="0"/>
                <w:color w:val="auto"/>
                <w:sz w:val="20"/>
                <w:szCs w:val="20"/>
              </w:rPr>
            </w:pPr>
            <w:r w:rsidRPr="00F01629">
              <w:rPr>
                <w:rFonts w:ascii="Arial" w:hAnsi="Arial" w:cs="Arial"/>
                <w:bCs w:val="0"/>
                <w:color w:val="auto"/>
                <w:sz w:val="20"/>
                <w:szCs w:val="20"/>
              </w:rPr>
              <w:t>(1.1)</w:t>
            </w:r>
          </w:p>
        </w:tc>
        <w:tc>
          <w:tcPr>
            <w:tcW w:w="567" w:type="dxa"/>
          </w:tcPr>
          <w:p w:rsidR="005D7390" w:rsidRPr="005D7390" w:rsidRDefault="009549E8"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Pr>
          <w:p w:rsidR="005D7390" w:rsidRPr="005D7390" w:rsidRDefault="009549E8" w:rsidP="004A3D95">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E569E1" w:rsidRDefault="005D7390" w:rsidP="00521368">
            <w:pPr>
              <w:pStyle w:val="ExampleSub"/>
              <w:keepNext w:val="0"/>
              <w:keepLines w:val="0"/>
              <w:ind w:left="0"/>
              <w:jc w:val="center"/>
              <w:rPr>
                <w:rFonts w:ascii="Arial" w:hAnsi="Arial" w:cs="Arial"/>
                <w:b w:val="0"/>
                <w:color w:val="auto"/>
                <w:sz w:val="20"/>
                <w:szCs w:val="20"/>
              </w:rPr>
            </w:pPr>
            <w:r w:rsidRPr="00E569E1">
              <w:rPr>
                <w:rFonts w:ascii="Arial" w:hAnsi="Arial" w:cs="Arial"/>
                <w:b w:val="0"/>
                <w:color w:val="auto"/>
                <w:sz w:val="20"/>
                <w:szCs w:val="20"/>
              </w:rPr>
              <w:t>(17.0)</w:t>
            </w:r>
          </w:p>
        </w:tc>
        <w:tc>
          <w:tcPr>
            <w:tcW w:w="700" w:type="dxa"/>
            <w:tcBorders>
              <w:top w:val="none" w:sz="0" w:space="0" w:color="auto"/>
              <w:bottom w:val="none" w:sz="0" w:space="0" w:color="auto"/>
            </w:tcBorders>
          </w:tcPr>
          <w:p w:rsidR="005D7390" w:rsidRPr="005D7390" w:rsidRDefault="009549E8"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Borders>
              <w:top w:val="none" w:sz="0" w:space="0" w:color="auto"/>
              <w:bottom w:val="none" w:sz="0" w:space="0" w:color="auto"/>
            </w:tcBorders>
          </w:tcPr>
          <w:p w:rsidR="005D7390" w:rsidRPr="005D7390" w:rsidRDefault="009549E8" w:rsidP="00521368">
            <w:pPr>
              <w:pStyle w:val="ExampleSub"/>
              <w:keepNext w:val="0"/>
              <w:keepLines w:val="0"/>
              <w:ind w:left="0"/>
              <w:jc w:val="center"/>
              <w:cnfStyle w:val="000000100000"/>
              <w:rPr>
                <w:rFonts w:ascii="Arial" w:hAnsi="Arial" w:cs="Arial"/>
                <w:b w:val="0"/>
                <w:bCs w:val="0"/>
                <w:color w:val="auto"/>
                <w:sz w:val="20"/>
                <w:szCs w:val="20"/>
                <w:highlight w:val="yellow"/>
              </w:rPr>
            </w:pPr>
            <w:r w:rsidRPr="009549E8">
              <w:rPr>
                <w:rFonts w:ascii="Arial" w:hAnsi="Arial" w:cs="Arial"/>
                <w:b w:val="0"/>
                <w:bCs w:val="0"/>
                <w:color w:val="auto"/>
                <w:sz w:val="20"/>
                <w:szCs w:val="20"/>
              </w:rPr>
              <w:t>-</w:t>
            </w:r>
          </w:p>
        </w:tc>
        <w:tc>
          <w:tcPr>
            <w:tcW w:w="686"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highlight w:val="yellow"/>
              </w:rPr>
            </w:pPr>
            <w:r w:rsidRPr="005D7390">
              <w:rPr>
                <w:rFonts w:ascii="Arial" w:hAnsi="Arial" w:cs="Arial"/>
                <w:b w:val="0"/>
                <w:bCs w:val="0"/>
                <w:color w:val="auto"/>
                <w:sz w:val="20"/>
                <w:szCs w:val="20"/>
              </w:rPr>
              <w:t>17.0</w:t>
            </w:r>
          </w:p>
        </w:tc>
        <w:tc>
          <w:tcPr>
            <w:tcW w:w="853" w:type="dxa"/>
            <w:tcBorders>
              <w:top w:val="none" w:sz="0" w:space="0" w:color="auto"/>
              <w:bottom w:val="none" w:sz="0" w:space="0" w:color="auto"/>
            </w:tcBorders>
          </w:tcPr>
          <w:p w:rsidR="005D7390" w:rsidRPr="005D7390" w:rsidRDefault="009549E8"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5D7390" w:rsidRPr="005D7390" w:rsidRDefault="009549E8"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5411" w:type="dxa"/>
            <w:gridSpan w:val="3"/>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bCs w:val="0"/>
                <w:color w:val="auto"/>
                <w:sz w:val="22"/>
                <w:szCs w:val="22"/>
              </w:rPr>
            </w:pPr>
            <w:r w:rsidRPr="005D7390">
              <w:rPr>
                <w:rFonts w:ascii="Arial" w:hAnsi="Arial" w:cs="Arial"/>
                <w:b w:val="0"/>
                <w:bCs w:val="0"/>
                <w:color w:val="auto"/>
                <w:sz w:val="22"/>
                <w:szCs w:val="22"/>
              </w:rPr>
              <w:t>c/f</w:t>
            </w:r>
          </w:p>
        </w:tc>
        <w:tc>
          <w:tcPr>
            <w:tcW w:w="850" w:type="dxa"/>
            <w:gridSpan w:val="6"/>
            <w:tcBorders>
              <w:top w:val="none" w:sz="0" w:space="0" w:color="auto"/>
              <w:bottom w:val="none" w:sz="0" w:space="0" w:color="auto"/>
            </w:tcBorders>
          </w:tcPr>
          <w:p w:rsidR="005D7390" w:rsidRPr="00F01629" w:rsidRDefault="00E569E1" w:rsidP="00CA7804">
            <w:pPr>
              <w:pStyle w:val="ExampleSub"/>
              <w:keepNext w:val="0"/>
              <w:keepLines w:val="0"/>
              <w:ind w:left="0"/>
              <w:jc w:val="center"/>
              <w:cnfStyle w:val="000000100000"/>
              <w:rPr>
                <w:rFonts w:ascii="Arial" w:hAnsi="Arial" w:cs="Arial"/>
                <w:bCs w:val="0"/>
                <w:color w:val="auto"/>
                <w:sz w:val="20"/>
                <w:szCs w:val="20"/>
              </w:rPr>
            </w:pPr>
            <w:r w:rsidRPr="00F01629">
              <w:rPr>
                <w:rFonts w:ascii="Arial" w:hAnsi="Arial" w:cs="Arial"/>
                <w:bCs w:val="0"/>
                <w:color w:val="auto"/>
                <w:sz w:val="20"/>
                <w:szCs w:val="20"/>
              </w:rPr>
              <w:t>(21.</w:t>
            </w:r>
            <w:r w:rsidR="00CA7804">
              <w:rPr>
                <w:rFonts w:ascii="Arial" w:hAnsi="Arial" w:cs="Arial"/>
                <w:bCs w:val="0"/>
                <w:color w:val="auto"/>
                <w:sz w:val="20"/>
                <w:szCs w:val="20"/>
              </w:rPr>
              <w:t>0</w:t>
            </w:r>
            <w:r w:rsidRPr="00F01629">
              <w:rPr>
                <w:rFonts w:ascii="Arial" w:hAnsi="Arial" w:cs="Arial"/>
                <w:bCs w:val="0"/>
                <w:color w:val="auto"/>
                <w:sz w:val="20"/>
                <w:szCs w:val="20"/>
              </w:rPr>
              <w:t>)</w:t>
            </w:r>
          </w:p>
        </w:tc>
        <w:tc>
          <w:tcPr>
            <w:tcW w:w="709" w:type="dxa"/>
            <w:gridSpan w:val="4"/>
            <w:tcBorders>
              <w:top w:val="none" w:sz="0" w:space="0" w:color="auto"/>
              <w:bottom w:val="none" w:sz="0" w:space="0" w:color="auto"/>
            </w:tcBorders>
          </w:tcPr>
          <w:p w:rsidR="005D7390" w:rsidRPr="00F01629" w:rsidRDefault="009549E8"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c>
          <w:tcPr>
            <w:tcW w:w="992" w:type="dxa"/>
            <w:gridSpan w:val="3"/>
            <w:tcBorders>
              <w:top w:val="none" w:sz="0" w:space="0" w:color="auto"/>
              <w:bottom w:val="none" w:sz="0" w:space="0" w:color="auto"/>
            </w:tcBorders>
          </w:tcPr>
          <w:p w:rsidR="005D7390" w:rsidRPr="00F01629" w:rsidRDefault="009549E8" w:rsidP="004A3D95">
            <w:pPr>
              <w:pStyle w:val="ExampleSub"/>
              <w:keepNext w:val="0"/>
              <w:keepLines w:val="0"/>
              <w:ind w:left="0"/>
              <w:jc w:val="center"/>
              <w:cnfStyle w:val="000000100000"/>
              <w:rPr>
                <w:rFonts w:ascii="Arial" w:hAnsi="Arial" w:cs="Arial"/>
                <w:bCs w:val="0"/>
                <w:color w:val="auto"/>
                <w:sz w:val="20"/>
                <w:szCs w:val="20"/>
                <w:highlight w:val="yellow"/>
              </w:rPr>
            </w:pPr>
            <w:r w:rsidRPr="009549E8">
              <w:rPr>
                <w:rFonts w:ascii="Arial" w:hAnsi="Arial" w:cs="Arial"/>
                <w:bCs w:val="0"/>
                <w:color w:val="auto"/>
                <w:sz w:val="20"/>
                <w:szCs w:val="20"/>
              </w:rPr>
              <w:t>-</w:t>
            </w:r>
          </w:p>
        </w:tc>
        <w:tc>
          <w:tcPr>
            <w:tcW w:w="851" w:type="dxa"/>
            <w:gridSpan w:val="2"/>
            <w:tcBorders>
              <w:top w:val="none" w:sz="0" w:space="0" w:color="auto"/>
              <w:bottom w:val="none" w:sz="0" w:space="0" w:color="auto"/>
            </w:tcBorders>
          </w:tcPr>
          <w:p w:rsidR="005D7390" w:rsidRPr="00F01629" w:rsidRDefault="00E569E1" w:rsidP="00CA7804">
            <w:pPr>
              <w:pStyle w:val="ExampleSub"/>
              <w:keepNext w:val="0"/>
              <w:keepLines w:val="0"/>
              <w:ind w:left="0"/>
              <w:jc w:val="center"/>
              <w:cnfStyle w:val="000000100000"/>
              <w:rPr>
                <w:rFonts w:ascii="Arial" w:hAnsi="Arial" w:cs="Arial"/>
                <w:bCs w:val="0"/>
                <w:color w:val="auto"/>
                <w:sz w:val="20"/>
                <w:szCs w:val="20"/>
                <w:highlight w:val="yellow"/>
              </w:rPr>
            </w:pPr>
            <w:r w:rsidRPr="00F01629">
              <w:rPr>
                <w:rFonts w:ascii="Arial" w:hAnsi="Arial" w:cs="Arial"/>
                <w:bCs w:val="0"/>
                <w:color w:val="auto"/>
                <w:sz w:val="20"/>
                <w:szCs w:val="20"/>
              </w:rPr>
              <w:t>21.</w:t>
            </w:r>
            <w:r w:rsidR="00CA7804">
              <w:rPr>
                <w:rFonts w:ascii="Arial" w:hAnsi="Arial" w:cs="Arial"/>
                <w:bCs w:val="0"/>
                <w:color w:val="auto"/>
                <w:sz w:val="20"/>
                <w:szCs w:val="20"/>
              </w:rPr>
              <w:t>0</w:t>
            </w:r>
          </w:p>
        </w:tc>
        <w:tc>
          <w:tcPr>
            <w:tcW w:w="567" w:type="dxa"/>
            <w:tcBorders>
              <w:top w:val="none" w:sz="0" w:space="0" w:color="auto"/>
              <w:bottom w:val="none" w:sz="0" w:space="0" w:color="auto"/>
            </w:tcBorders>
          </w:tcPr>
          <w:p w:rsidR="005D7390" w:rsidRPr="005D7390" w:rsidRDefault="009549E8"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Borders>
              <w:top w:val="none" w:sz="0" w:space="0" w:color="auto"/>
              <w:bottom w:val="none" w:sz="0" w:space="0" w:color="auto"/>
            </w:tcBorders>
          </w:tcPr>
          <w:p w:rsidR="005D7390" w:rsidRPr="005D7390" w:rsidRDefault="009549E8"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r>
      <w:tr w:rsidR="005D7390" w:rsidRPr="005D7390" w:rsidTr="008A25D1">
        <w:trPr>
          <w:trHeight w:val="355"/>
        </w:trPr>
        <w:tc>
          <w:tcPr>
            <w:cnfStyle w:val="001000000000"/>
            <w:tcW w:w="2483" w:type="dxa"/>
            <w:gridSpan w:val="3"/>
            <w:tcBorders>
              <w:right w:val="none" w:sz="0" w:space="0" w:color="auto"/>
            </w:tcBorders>
            <w:shd w:val="clear" w:color="auto" w:fill="4BACC6" w:themeFill="accent5"/>
          </w:tcPr>
          <w:p w:rsidR="005D7390" w:rsidRPr="005D7390" w:rsidRDefault="005D7390" w:rsidP="009F52C9">
            <w:pPr>
              <w:pStyle w:val="ExampleSub"/>
              <w:keepNext w:val="0"/>
              <w:keepLines w:val="0"/>
              <w:ind w:left="0"/>
              <w:jc w:val="center"/>
              <w:rPr>
                <w:rFonts w:ascii="Arial" w:hAnsi="Arial" w:cs="Arial"/>
                <w:color w:val="auto"/>
                <w:sz w:val="20"/>
                <w:szCs w:val="20"/>
              </w:rPr>
            </w:pPr>
            <w:r w:rsidRPr="005D7390">
              <w:rPr>
                <w:rFonts w:ascii="Arial" w:hAnsi="Arial" w:cs="Arial"/>
                <w:color w:val="auto"/>
                <w:sz w:val="18"/>
                <w:szCs w:val="18"/>
              </w:rPr>
              <w:lastRenderedPageBreak/>
              <w:t>Useable Reserves</w:t>
            </w:r>
          </w:p>
        </w:tc>
        <w:tc>
          <w:tcPr>
            <w:tcW w:w="2248" w:type="dxa"/>
            <w:gridSpan w:val="4"/>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color w:val="auto"/>
                <w:sz w:val="24"/>
                <w:szCs w:val="24"/>
              </w:rPr>
            </w:pPr>
            <w:r w:rsidRPr="005D7390">
              <w:rPr>
                <w:rFonts w:ascii="Arial" w:hAnsi="Arial" w:cs="Arial"/>
                <w:bCs w:val="0"/>
                <w:color w:val="auto"/>
                <w:sz w:val="18"/>
                <w:szCs w:val="18"/>
              </w:rPr>
              <w:t>Unusable Reserves</w:t>
            </w:r>
          </w:p>
        </w:tc>
        <w:tc>
          <w:tcPr>
            <w:tcW w:w="5791" w:type="dxa"/>
            <w:gridSpan w:val="7"/>
            <w:shd w:val="clear" w:color="auto" w:fill="4BACC6" w:themeFill="accent5"/>
          </w:tcPr>
          <w:p w:rsidR="005D7390" w:rsidRPr="005D7390" w:rsidRDefault="005D7390" w:rsidP="009F52C9">
            <w:pPr>
              <w:pStyle w:val="ExampleSub"/>
              <w:keepNext w:val="0"/>
              <w:keepLines w:val="0"/>
              <w:ind w:left="0"/>
              <w:cnfStyle w:val="000000000000"/>
              <w:rPr>
                <w:rFonts w:ascii="Arial" w:hAnsi="Arial" w:cs="Arial"/>
                <w:color w:val="auto"/>
                <w:sz w:val="24"/>
                <w:szCs w:val="24"/>
              </w:rPr>
            </w:pPr>
          </w:p>
        </w:tc>
        <w:tc>
          <w:tcPr>
            <w:tcW w:w="2171" w:type="dxa"/>
            <w:gridSpan w:val="9"/>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Cs w:val="0"/>
                <w:color w:val="auto"/>
                <w:sz w:val="20"/>
                <w:szCs w:val="20"/>
              </w:rPr>
            </w:pPr>
            <w:r w:rsidRPr="005D7390">
              <w:rPr>
                <w:rFonts w:ascii="Arial" w:hAnsi="Arial" w:cs="Arial"/>
                <w:bCs w:val="0"/>
                <w:color w:val="auto"/>
                <w:sz w:val="20"/>
                <w:szCs w:val="20"/>
              </w:rPr>
              <w:t>Useable Reserves</w:t>
            </w:r>
          </w:p>
        </w:tc>
        <w:tc>
          <w:tcPr>
            <w:tcW w:w="2268" w:type="dxa"/>
            <w:gridSpan w:val="5"/>
            <w:shd w:val="clear" w:color="auto" w:fill="4BACC6" w:themeFill="accent5"/>
          </w:tcPr>
          <w:p w:rsidR="005D7390" w:rsidRPr="005D7390" w:rsidRDefault="005D7390" w:rsidP="009F52C9">
            <w:pPr>
              <w:pStyle w:val="ExampleSub"/>
              <w:ind w:left="0"/>
              <w:cnfStyle w:val="000000000000"/>
              <w:rPr>
                <w:rFonts w:ascii="Arial" w:hAnsi="Arial" w:cs="Arial"/>
                <w:bCs w:val="0"/>
                <w:color w:val="auto"/>
                <w:sz w:val="20"/>
                <w:szCs w:val="20"/>
              </w:rPr>
            </w:pPr>
            <w:r w:rsidRPr="005D7390">
              <w:rPr>
                <w:rFonts w:ascii="Arial" w:hAnsi="Arial" w:cs="Arial"/>
                <w:bCs w:val="0"/>
                <w:color w:val="auto"/>
                <w:sz w:val="20"/>
                <w:szCs w:val="20"/>
              </w:rPr>
              <w:t>Unuseable Reserves</w:t>
            </w:r>
          </w:p>
        </w:tc>
      </w:tr>
      <w:tr w:rsidR="005D7390" w:rsidRPr="005D7390" w:rsidTr="008A25D1">
        <w:trPr>
          <w:cnfStyle w:val="000000100000"/>
          <w:trHeight w:val="1701"/>
        </w:trPr>
        <w:tc>
          <w:tcPr>
            <w:cnfStyle w:val="001000000000"/>
            <w:tcW w:w="911" w:type="dxa"/>
            <w:tcBorders>
              <w:top w:val="none" w:sz="0" w:space="0" w:color="auto"/>
              <w:bottom w:val="none" w:sz="0" w:space="0" w:color="auto"/>
              <w:right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rPr>
                <w:rFonts w:ascii="Arial" w:hAnsi="Arial" w:cs="Arial"/>
                <w:color w:val="auto"/>
                <w:sz w:val="20"/>
                <w:szCs w:val="20"/>
              </w:rPr>
            </w:pPr>
            <w:r w:rsidRPr="005D7390">
              <w:rPr>
                <w:rFonts w:ascii="Arial" w:hAnsi="Arial" w:cs="Arial"/>
                <w:color w:val="auto"/>
                <w:sz w:val="20"/>
                <w:szCs w:val="20"/>
              </w:rPr>
              <w:t>General Fund</w:t>
            </w:r>
          </w:p>
        </w:tc>
        <w:tc>
          <w:tcPr>
            <w:tcW w:w="700"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872"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Grants Unappl’d</w:t>
            </w:r>
          </w:p>
        </w:tc>
        <w:tc>
          <w:tcPr>
            <w:tcW w:w="686"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853"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Cs w:val="0"/>
                <w:color w:val="auto"/>
                <w:sz w:val="22"/>
                <w:szCs w:val="22"/>
              </w:rPr>
            </w:pPr>
            <w:r w:rsidRPr="005D7390">
              <w:rPr>
                <w:rFonts w:ascii="Arial" w:hAnsi="Arial" w:cs="Arial"/>
                <w:b w:val="0"/>
                <w:bCs w:val="0"/>
                <w:color w:val="auto"/>
                <w:sz w:val="20"/>
                <w:szCs w:val="20"/>
              </w:rPr>
              <w:t xml:space="preserve">Pension </w:t>
            </w:r>
          </w:p>
        </w:tc>
        <w:tc>
          <w:tcPr>
            <w:tcW w:w="709" w:type="dxa"/>
            <w:gridSpan w:val="2"/>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Other</w:t>
            </w:r>
          </w:p>
        </w:tc>
        <w:tc>
          <w:tcPr>
            <w:tcW w:w="5658" w:type="dxa"/>
            <w:gridSpan w:val="6"/>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Cs w:val="0"/>
                <w:color w:val="auto"/>
                <w:sz w:val="22"/>
                <w:szCs w:val="22"/>
              </w:rPr>
            </w:pPr>
          </w:p>
        </w:tc>
        <w:tc>
          <w:tcPr>
            <w:tcW w:w="869" w:type="dxa"/>
            <w:gridSpan w:val="5"/>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General Fund</w:t>
            </w:r>
          </w:p>
        </w:tc>
        <w:tc>
          <w:tcPr>
            <w:tcW w:w="723" w:type="dxa"/>
            <w:gridSpan w:val="4"/>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712"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Grants Unapplied  GrantdsReceipts Unappl’d</w:t>
            </w:r>
          </w:p>
        </w:tc>
        <w:tc>
          <w:tcPr>
            <w:tcW w:w="851" w:type="dxa"/>
            <w:gridSpan w:val="2"/>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567"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Pension</w:t>
            </w:r>
          </w:p>
        </w:tc>
        <w:tc>
          <w:tcPr>
            <w:tcW w:w="850" w:type="dxa"/>
            <w:gridSpan w:val="2"/>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Other</w:t>
            </w:r>
          </w:p>
        </w:tc>
      </w:tr>
      <w:tr w:rsidR="005D7390" w:rsidRPr="005D7390" w:rsidTr="008A25D1">
        <w:trPr>
          <w:trHeight w:hRule="exact" w:val="454"/>
        </w:trPr>
        <w:tc>
          <w:tcPr>
            <w:cnfStyle w:val="001000000000"/>
            <w:tcW w:w="911" w:type="dxa"/>
            <w:tcBorders>
              <w:right w:val="none" w:sz="0" w:space="0" w:color="auto"/>
            </w:tcBorders>
            <w:shd w:val="clear" w:color="auto" w:fill="4BACC6" w:themeFill="accent5"/>
          </w:tcPr>
          <w:p w:rsidR="005D7390" w:rsidRPr="005D7390" w:rsidRDefault="005D7390" w:rsidP="009F52C9">
            <w:pPr>
              <w:pStyle w:val="ExampleSub"/>
              <w:keepNext w:val="0"/>
              <w:keepLines w:val="0"/>
              <w:ind w:left="0"/>
              <w:jc w:val="center"/>
              <w:rPr>
                <w:rFonts w:ascii="Arial" w:hAnsi="Arial" w:cs="Arial"/>
                <w:color w:val="auto"/>
                <w:sz w:val="18"/>
                <w:szCs w:val="18"/>
              </w:rPr>
            </w:pPr>
            <w:r w:rsidRPr="005D7390">
              <w:rPr>
                <w:rFonts w:ascii="Arial" w:hAnsi="Arial" w:cs="Arial"/>
                <w:color w:val="auto"/>
                <w:sz w:val="18"/>
                <w:szCs w:val="18"/>
              </w:rPr>
              <w:t>£m</w:t>
            </w:r>
          </w:p>
        </w:tc>
        <w:tc>
          <w:tcPr>
            <w:tcW w:w="700" w:type="dxa"/>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72" w:type="dxa"/>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686" w:type="dxa"/>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3" w:type="dxa"/>
            <w:shd w:val="clear" w:color="auto" w:fill="4BACC6" w:themeFill="accent5"/>
          </w:tcPr>
          <w:p w:rsidR="005D7390" w:rsidRPr="005D7390" w:rsidRDefault="005D7390" w:rsidP="009F52C9">
            <w:pPr>
              <w:pStyle w:val="ExampleSub"/>
              <w:keepNext w:val="0"/>
              <w:keepLines w:val="0"/>
              <w:ind w:left="0"/>
              <w:cnfStyle w:val="000000000000"/>
              <w:rPr>
                <w:rFonts w:ascii="Arial" w:hAnsi="Arial" w:cs="Arial"/>
                <w:b w:val="0"/>
                <w:color w:val="auto"/>
                <w:sz w:val="18"/>
                <w:szCs w:val="18"/>
              </w:rPr>
            </w:pPr>
            <w:r w:rsidRPr="005D7390">
              <w:rPr>
                <w:rFonts w:ascii="Arial" w:hAnsi="Arial" w:cs="Arial"/>
                <w:b w:val="0"/>
                <w:color w:val="auto"/>
                <w:sz w:val="18"/>
                <w:szCs w:val="18"/>
              </w:rPr>
              <w:t>£m</w:t>
            </w:r>
          </w:p>
        </w:tc>
        <w:tc>
          <w:tcPr>
            <w:tcW w:w="709" w:type="dxa"/>
            <w:gridSpan w:val="2"/>
            <w:shd w:val="clear" w:color="auto" w:fill="4BACC6" w:themeFill="accent5"/>
          </w:tcPr>
          <w:p w:rsidR="005D7390" w:rsidRPr="005D7390" w:rsidRDefault="005D7390" w:rsidP="009F52C9">
            <w:pPr>
              <w:pStyle w:val="ExampleSub"/>
              <w:keepNext w:val="0"/>
              <w:keepLines w:val="0"/>
              <w:ind w:left="0"/>
              <w:cnfStyle w:val="000000000000"/>
              <w:rPr>
                <w:rFonts w:ascii="Arial" w:hAnsi="Arial" w:cs="Arial"/>
                <w:b w:val="0"/>
                <w:color w:val="auto"/>
                <w:sz w:val="18"/>
                <w:szCs w:val="18"/>
              </w:rPr>
            </w:pPr>
            <w:r w:rsidRPr="005D7390">
              <w:rPr>
                <w:rFonts w:ascii="Arial" w:hAnsi="Arial" w:cs="Arial"/>
                <w:b w:val="0"/>
                <w:color w:val="auto"/>
                <w:sz w:val="18"/>
                <w:szCs w:val="18"/>
              </w:rPr>
              <w:t>£m</w:t>
            </w:r>
          </w:p>
        </w:tc>
        <w:tc>
          <w:tcPr>
            <w:tcW w:w="5658" w:type="dxa"/>
            <w:gridSpan w:val="6"/>
            <w:shd w:val="clear" w:color="auto" w:fill="4BACC6" w:themeFill="accent5"/>
          </w:tcPr>
          <w:p w:rsidR="005D7390" w:rsidRPr="005D7390" w:rsidRDefault="005D7390" w:rsidP="009F52C9">
            <w:pPr>
              <w:pStyle w:val="ExampleSub"/>
              <w:keepNext w:val="0"/>
              <w:keepLines w:val="0"/>
              <w:ind w:left="0"/>
              <w:cnfStyle w:val="000000000000"/>
              <w:rPr>
                <w:rFonts w:ascii="Arial" w:hAnsi="Arial" w:cs="Arial"/>
                <w:b w:val="0"/>
                <w:color w:val="auto"/>
                <w:sz w:val="18"/>
                <w:szCs w:val="18"/>
              </w:rPr>
            </w:pPr>
          </w:p>
        </w:tc>
        <w:tc>
          <w:tcPr>
            <w:tcW w:w="869" w:type="dxa"/>
            <w:gridSpan w:val="5"/>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23" w:type="dxa"/>
            <w:gridSpan w:val="4"/>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12" w:type="dxa"/>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1" w:type="dxa"/>
            <w:gridSpan w:val="2"/>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567" w:type="dxa"/>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0" w:type="dxa"/>
            <w:gridSpan w:val="2"/>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E569E1" w:rsidRDefault="005D7390" w:rsidP="00E569E1">
            <w:pPr>
              <w:pStyle w:val="ExampleSub"/>
              <w:keepNext w:val="0"/>
              <w:keepLines w:val="0"/>
              <w:ind w:left="0"/>
              <w:jc w:val="center"/>
              <w:rPr>
                <w:rFonts w:ascii="Arial" w:hAnsi="Arial" w:cs="Arial"/>
                <w:b w:val="0"/>
                <w:color w:val="auto"/>
                <w:sz w:val="20"/>
                <w:szCs w:val="20"/>
              </w:rPr>
            </w:pPr>
            <w:r w:rsidRPr="00E569E1">
              <w:rPr>
                <w:rFonts w:ascii="Arial" w:hAnsi="Arial" w:cs="Arial"/>
                <w:b w:val="0"/>
                <w:color w:val="auto"/>
                <w:sz w:val="20"/>
                <w:szCs w:val="20"/>
              </w:rPr>
              <w:t>(17.0)</w:t>
            </w:r>
          </w:p>
        </w:tc>
        <w:tc>
          <w:tcPr>
            <w:tcW w:w="700"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872"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686"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17.0</w:t>
            </w:r>
          </w:p>
        </w:tc>
        <w:tc>
          <w:tcPr>
            <w:tcW w:w="853"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color w:val="auto"/>
                <w:sz w:val="24"/>
                <w:szCs w:val="24"/>
              </w:rPr>
            </w:pPr>
            <w:r w:rsidRPr="005D7390">
              <w:rPr>
                <w:rFonts w:ascii="Arial" w:hAnsi="Arial" w:cs="Arial"/>
                <w:b w:val="0"/>
                <w:color w:val="auto"/>
                <w:sz w:val="24"/>
                <w:szCs w:val="24"/>
              </w:rPr>
              <w:t>-</w:t>
            </w:r>
          </w:p>
        </w:tc>
        <w:tc>
          <w:tcPr>
            <w:tcW w:w="709" w:type="dxa"/>
            <w:gridSpan w:val="2"/>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color w:val="auto"/>
                <w:sz w:val="24"/>
                <w:szCs w:val="24"/>
              </w:rPr>
            </w:pPr>
            <w:r w:rsidRPr="005D7390">
              <w:rPr>
                <w:rFonts w:ascii="Arial" w:hAnsi="Arial" w:cs="Arial"/>
                <w:b w:val="0"/>
                <w:color w:val="auto"/>
                <w:sz w:val="24"/>
                <w:szCs w:val="24"/>
              </w:rPr>
              <w:t>-</w:t>
            </w:r>
          </w:p>
        </w:tc>
        <w:tc>
          <w:tcPr>
            <w:tcW w:w="5658" w:type="dxa"/>
            <w:gridSpan w:val="6"/>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color w:val="auto"/>
                <w:sz w:val="22"/>
                <w:szCs w:val="22"/>
              </w:rPr>
            </w:pPr>
            <w:r w:rsidRPr="005D7390">
              <w:rPr>
                <w:rFonts w:ascii="Arial" w:hAnsi="Arial" w:cs="Arial"/>
                <w:b w:val="0"/>
                <w:color w:val="auto"/>
                <w:sz w:val="22"/>
                <w:szCs w:val="22"/>
              </w:rPr>
              <w:t>b/f</w:t>
            </w:r>
          </w:p>
        </w:tc>
        <w:tc>
          <w:tcPr>
            <w:tcW w:w="869" w:type="dxa"/>
            <w:gridSpan w:val="5"/>
            <w:tcBorders>
              <w:top w:val="none" w:sz="0" w:space="0" w:color="auto"/>
              <w:bottom w:val="none" w:sz="0" w:space="0" w:color="auto"/>
            </w:tcBorders>
          </w:tcPr>
          <w:p w:rsidR="005D7390" w:rsidRPr="00E569E1" w:rsidRDefault="00E569E1" w:rsidP="00CA7804">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(21.</w:t>
            </w:r>
            <w:r w:rsidR="00CA7804">
              <w:rPr>
                <w:rFonts w:ascii="Arial" w:hAnsi="Arial" w:cs="Arial"/>
                <w:bCs w:val="0"/>
                <w:color w:val="auto"/>
                <w:sz w:val="20"/>
                <w:szCs w:val="20"/>
              </w:rPr>
              <w:t>0</w:t>
            </w:r>
            <w:r w:rsidRPr="00E569E1">
              <w:rPr>
                <w:rFonts w:ascii="Arial" w:hAnsi="Arial" w:cs="Arial"/>
                <w:bCs w:val="0"/>
                <w:color w:val="auto"/>
                <w:sz w:val="20"/>
                <w:szCs w:val="20"/>
              </w:rPr>
              <w:t>)</w:t>
            </w:r>
          </w:p>
        </w:tc>
        <w:tc>
          <w:tcPr>
            <w:tcW w:w="723" w:type="dxa"/>
            <w:gridSpan w:val="4"/>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w:t>
            </w:r>
          </w:p>
        </w:tc>
        <w:tc>
          <w:tcPr>
            <w:tcW w:w="712" w:type="dxa"/>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w:t>
            </w:r>
          </w:p>
        </w:tc>
        <w:tc>
          <w:tcPr>
            <w:tcW w:w="851" w:type="dxa"/>
            <w:gridSpan w:val="2"/>
            <w:tcBorders>
              <w:top w:val="none" w:sz="0" w:space="0" w:color="auto"/>
              <w:bottom w:val="none" w:sz="0" w:space="0" w:color="auto"/>
            </w:tcBorders>
          </w:tcPr>
          <w:p w:rsidR="005D7390" w:rsidRPr="00E569E1" w:rsidRDefault="00E569E1" w:rsidP="00CA7804">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21.</w:t>
            </w:r>
            <w:r w:rsidR="00CA7804">
              <w:rPr>
                <w:rFonts w:ascii="Arial" w:hAnsi="Arial" w:cs="Arial"/>
                <w:bCs w:val="0"/>
                <w:color w:val="auto"/>
                <w:sz w:val="20"/>
                <w:szCs w:val="20"/>
              </w:rPr>
              <w:t>0</w:t>
            </w:r>
          </w:p>
        </w:tc>
        <w:tc>
          <w:tcPr>
            <w:tcW w:w="567" w:type="dxa"/>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w:t>
            </w:r>
          </w:p>
        </w:tc>
        <w:tc>
          <w:tcPr>
            <w:tcW w:w="850" w:type="dxa"/>
            <w:gridSpan w:val="2"/>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w:t>
            </w:r>
          </w:p>
        </w:tc>
      </w:tr>
      <w:tr w:rsidR="005D7390" w:rsidRPr="005D7390" w:rsidTr="008A25D1">
        <w:tc>
          <w:tcPr>
            <w:cnfStyle w:val="001000000000"/>
            <w:tcW w:w="911" w:type="dxa"/>
            <w:tcBorders>
              <w:right w:val="none" w:sz="0" w:space="0" w:color="auto"/>
            </w:tcBorders>
          </w:tcPr>
          <w:p w:rsidR="005D7390" w:rsidRPr="00E569E1" w:rsidRDefault="005D7390" w:rsidP="00E569E1">
            <w:pPr>
              <w:pStyle w:val="ExampleSub"/>
              <w:keepNext w:val="0"/>
              <w:keepLines w:val="0"/>
              <w:ind w:left="0"/>
              <w:jc w:val="center"/>
              <w:rPr>
                <w:rFonts w:ascii="Arial" w:hAnsi="Arial" w:cs="Arial"/>
                <w:b w:val="0"/>
                <w:color w:val="auto"/>
                <w:sz w:val="20"/>
                <w:szCs w:val="20"/>
              </w:rPr>
            </w:pPr>
          </w:p>
        </w:tc>
        <w:tc>
          <w:tcPr>
            <w:tcW w:w="700" w:type="dxa"/>
          </w:tcPr>
          <w:p w:rsidR="005D7390" w:rsidRPr="005D7390" w:rsidRDefault="005D7390" w:rsidP="00E569E1">
            <w:pPr>
              <w:pStyle w:val="ExampleSub"/>
              <w:keepNext w:val="0"/>
              <w:keepLines w:val="0"/>
              <w:ind w:left="0"/>
              <w:jc w:val="center"/>
              <w:cnfStyle w:val="000000000000"/>
              <w:rPr>
                <w:rFonts w:ascii="Arial" w:hAnsi="Arial" w:cs="Arial"/>
                <w:b w:val="0"/>
                <w:bCs w:val="0"/>
                <w:color w:val="auto"/>
                <w:sz w:val="20"/>
                <w:szCs w:val="20"/>
              </w:rPr>
            </w:pPr>
          </w:p>
        </w:tc>
        <w:tc>
          <w:tcPr>
            <w:tcW w:w="872" w:type="dxa"/>
          </w:tcPr>
          <w:p w:rsidR="005D7390" w:rsidRPr="005D7390" w:rsidRDefault="005D7390" w:rsidP="00E569E1">
            <w:pPr>
              <w:pStyle w:val="ExampleSub"/>
              <w:keepNext w:val="0"/>
              <w:keepLines w:val="0"/>
              <w:ind w:left="0"/>
              <w:jc w:val="center"/>
              <w:cnfStyle w:val="000000000000"/>
              <w:rPr>
                <w:rFonts w:ascii="Arial" w:hAnsi="Arial" w:cs="Arial"/>
                <w:b w:val="0"/>
                <w:bCs w:val="0"/>
                <w:color w:val="auto"/>
                <w:sz w:val="20"/>
                <w:szCs w:val="20"/>
              </w:rPr>
            </w:pPr>
          </w:p>
        </w:tc>
        <w:tc>
          <w:tcPr>
            <w:tcW w:w="686" w:type="dxa"/>
          </w:tcPr>
          <w:p w:rsidR="005D7390" w:rsidRPr="005D7390" w:rsidRDefault="005D7390" w:rsidP="00E569E1">
            <w:pPr>
              <w:pStyle w:val="ExampleSub"/>
              <w:keepNext w:val="0"/>
              <w:keepLines w:val="0"/>
              <w:ind w:left="0"/>
              <w:jc w:val="center"/>
              <w:cnfStyle w:val="000000000000"/>
              <w:rPr>
                <w:rFonts w:ascii="Arial" w:hAnsi="Arial" w:cs="Arial"/>
                <w:b w:val="0"/>
                <w:bCs w:val="0"/>
                <w:color w:val="auto"/>
                <w:sz w:val="20"/>
                <w:szCs w:val="20"/>
              </w:rPr>
            </w:pPr>
          </w:p>
        </w:tc>
        <w:tc>
          <w:tcPr>
            <w:tcW w:w="853" w:type="dxa"/>
          </w:tcPr>
          <w:p w:rsidR="005D7390" w:rsidRPr="005D7390" w:rsidRDefault="005D7390" w:rsidP="00E569E1">
            <w:pPr>
              <w:pStyle w:val="ExampleSub"/>
              <w:keepNext w:val="0"/>
              <w:keepLines w:val="0"/>
              <w:ind w:left="0"/>
              <w:jc w:val="center"/>
              <w:cnfStyle w:val="000000000000"/>
              <w:rPr>
                <w:rFonts w:ascii="Arial" w:hAnsi="Arial" w:cs="Arial"/>
                <w:b w:val="0"/>
                <w:color w:val="auto"/>
                <w:sz w:val="20"/>
                <w:szCs w:val="20"/>
              </w:rPr>
            </w:pPr>
          </w:p>
        </w:tc>
        <w:tc>
          <w:tcPr>
            <w:tcW w:w="709" w:type="dxa"/>
            <w:gridSpan w:val="2"/>
          </w:tcPr>
          <w:p w:rsidR="005D7390" w:rsidRPr="005D7390" w:rsidRDefault="005D7390" w:rsidP="00E569E1">
            <w:pPr>
              <w:pStyle w:val="ExampleSub"/>
              <w:keepNext w:val="0"/>
              <w:keepLines w:val="0"/>
              <w:ind w:left="0"/>
              <w:jc w:val="center"/>
              <w:cnfStyle w:val="000000000000"/>
              <w:rPr>
                <w:rFonts w:ascii="Arial" w:hAnsi="Arial" w:cs="Arial"/>
                <w:b w:val="0"/>
                <w:color w:val="auto"/>
                <w:sz w:val="20"/>
                <w:szCs w:val="20"/>
              </w:rPr>
            </w:pPr>
          </w:p>
        </w:tc>
        <w:tc>
          <w:tcPr>
            <w:tcW w:w="5658" w:type="dxa"/>
            <w:gridSpan w:val="6"/>
          </w:tcPr>
          <w:p w:rsidR="005D7390" w:rsidRPr="005D7390" w:rsidRDefault="005D7390" w:rsidP="009429BA">
            <w:pPr>
              <w:pStyle w:val="ExampleSub"/>
              <w:keepNext w:val="0"/>
              <w:keepLines w:val="0"/>
              <w:ind w:left="0"/>
              <w:cnfStyle w:val="000000000000"/>
              <w:rPr>
                <w:rFonts w:ascii="Arial" w:hAnsi="Arial" w:cs="Arial"/>
                <w:b w:val="0"/>
                <w:color w:val="auto"/>
                <w:sz w:val="20"/>
                <w:szCs w:val="20"/>
              </w:rPr>
            </w:pPr>
            <w:r w:rsidRPr="005D7390">
              <w:rPr>
                <w:rFonts w:ascii="Arial" w:hAnsi="Arial" w:cs="Arial"/>
                <w:color w:val="auto"/>
                <w:sz w:val="22"/>
                <w:szCs w:val="22"/>
              </w:rPr>
              <w:t>Adjustments involving Capital Grant Unapplied Account</w:t>
            </w:r>
          </w:p>
        </w:tc>
        <w:tc>
          <w:tcPr>
            <w:tcW w:w="869" w:type="dxa"/>
            <w:gridSpan w:val="5"/>
          </w:tcPr>
          <w:p w:rsidR="005D7390" w:rsidRPr="00E569E1" w:rsidRDefault="005D7390" w:rsidP="00E569E1">
            <w:pPr>
              <w:pStyle w:val="ExampleSub"/>
              <w:keepNext w:val="0"/>
              <w:keepLines w:val="0"/>
              <w:ind w:left="0"/>
              <w:jc w:val="center"/>
              <w:cnfStyle w:val="000000000000"/>
              <w:rPr>
                <w:rFonts w:ascii="Arial" w:hAnsi="Arial" w:cs="Arial"/>
                <w:bCs w:val="0"/>
                <w:color w:val="auto"/>
                <w:sz w:val="20"/>
                <w:szCs w:val="20"/>
              </w:rPr>
            </w:pPr>
          </w:p>
        </w:tc>
        <w:tc>
          <w:tcPr>
            <w:tcW w:w="723" w:type="dxa"/>
            <w:gridSpan w:val="4"/>
          </w:tcPr>
          <w:p w:rsidR="005D7390" w:rsidRPr="00E569E1" w:rsidRDefault="005D7390" w:rsidP="00E569E1">
            <w:pPr>
              <w:pStyle w:val="ExampleSub"/>
              <w:keepNext w:val="0"/>
              <w:keepLines w:val="0"/>
              <w:ind w:left="0"/>
              <w:jc w:val="center"/>
              <w:cnfStyle w:val="000000000000"/>
              <w:rPr>
                <w:rFonts w:ascii="Arial" w:hAnsi="Arial" w:cs="Arial"/>
                <w:bCs w:val="0"/>
                <w:color w:val="auto"/>
                <w:sz w:val="20"/>
                <w:szCs w:val="20"/>
              </w:rPr>
            </w:pPr>
          </w:p>
        </w:tc>
        <w:tc>
          <w:tcPr>
            <w:tcW w:w="712" w:type="dxa"/>
          </w:tcPr>
          <w:p w:rsidR="005D7390" w:rsidRPr="00E569E1" w:rsidRDefault="005D7390" w:rsidP="00E569E1">
            <w:pPr>
              <w:pStyle w:val="ExampleSub"/>
              <w:keepNext w:val="0"/>
              <w:keepLines w:val="0"/>
              <w:ind w:left="0"/>
              <w:jc w:val="center"/>
              <w:cnfStyle w:val="000000000000"/>
              <w:rPr>
                <w:rFonts w:ascii="Arial" w:hAnsi="Arial" w:cs="Arial"/>
                <w:bCs w:val="0"/>
                <w:color w:val="auto"/>
                <w:sz w:val="20"/>
                <w:szCs w:val="20"/>
              </w:rPr>
            </w:pPr>
          </w:p>
        </w:tc>
        <w:tc>
          <w:tcPr>
            <w:tcW w:w="851" w:type="dxa"/>
            <w:gridSpan w:val="2"/>
          </w:tcPr>
          <w:p w:rsidR="005D7390" w:rsidRPr="00E569E1" w:rsidRDefault="005D7390" w:rsidP="00E569E1">
            <w:pPr>
              <w:pStyle w:val="ExampleSub"/>
              <w:keepNext w:val="0"/>
              <w:keepLines w:val="0"/>
              <w:ind w:left="0"/>
              <w:jc w:val="center"/>
              <w:cnfStyle w:val="000000000000"/>
              <w:rPr>
                <w:rFonts w:ascii="Arial" w:hAnsi="Arial" w:cs="Arial"/>
                <w:bCs w:val="0"/>
                <w:color w:val="auto"/>
                <w:sz w:val="20"/>
                <w:szCs w:val="20"/>
              </w:rPr>
            </w:pPr>
          </w:p>
        </w:tc>
        <w:tc>
          <w:tcPr>
            <w:tcW w:w="567" w:type="dxa"/>
          </w:tcPr>
          <w:p w:rsidR="005D7390" w:rsidRPr="00E569E1" w:rsidRDefault="005D7390" w:rsidP="00E569E1">
            <w:pPr>
              <w:pStyle w:val="ExampleSub"/>
              <w:keepNext w:val="0"/>
              <w:keepLines w:val="0"/>
              <w:ind w:left="0"/>
              <w:jc w:val="center"/>
              <w:cnfStyle w:val="000000000000"/>
              <w:rPr>
                <w:rFonts w:ascii="Arial" w:hAnsi="Arial" w:cs="Arial"/>
                <w:bCs w:val="0"/>
                <w:color w:val="auto"/>
                <w:sz w:val="20"/>
                <w:szCs w:val="20"/>
              </w:rPr>
            </w:pPr>
          </w:p>
        </w:tc>
        <w:tc>
          <w:tcPr>
            <w:tcW w:w="850" w:type="dxa"/>
            <w:gridSpan w:val="2"/>
          </w:tcPr>
          <w:p w:rsidR="005D7390" w:rsidRPr="00E569E1" w:rsidRDefault="005D7390" w:rsidP="00E569E1">
            <w:pPr>
              <w:pStyle w:val="ExampleSub"/>
              <w:keepNext w:val="0"/>
              <w:keepLines w:val="0"/>
              <w:ind w:left="0"/>
              <w:jc w:val="center"/>
              <w:cnfStyle w:val="000000000000"/>
              <w:rPr>
                <w:rFonts w:ascii="Arial" w:hAnsi="Arial" w:cs="Arial"/>
                <w:bCs w:val="0"/>
                <w:color w:val="auto"/>
                <w:sz w:val="20"/>
                <w:szCs w:val="20"/>
              </w:rPr>
            </w:pP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E569E1" w:rsidRDefault="005D7390" w:rsidP="00E569E1">
            <w:pPr>
              <w:pStyle w:val="ExampleSub"/>
              <w:keepNext w:val="0"/>
              <w:keepLines w:val="0"/>
              <w:ind w:left="0"/>
              <w:jc w:val="center"/>
              <w:rPr>
                <w:rFonts w:ascii="Arial" w:hAnsi="Arial" w:cs="Arial"/>
                <w:b w:val="0"/>
                <w:color w:val="auto"/>
                <w:sz w:val="20"/>
                <w:szCs w:val="20"/>
              </w:rPr>
            </w:pPr>
            <w:r w:rsidRPr="00E569E1">
              <w:rPr>
                <w:rFonts w:ascii="Arial" w:hAnsi="Arial" w:cs="Arial"/>
                <w:b w:val="0"/>
                <w:color w:val="auto"/>
                <w:sz w:val="20"/>
                <w:szCs w:val="20"/>
              </w:rPr>
              <w:t>2.3</w:t>
            </w:r>
          </w:p>
        </w:tc>
        <w:tc>
          <w:tcPr>
            <w:tcW w:w="700" w:type="dxa"/>
            <w:tcBorders>
              <w:top w:val="none" w:sz="0" w:space="0" w:color="auto"/>
              <w:bottom w:val="none" w:sz="0" w:space="0" w:color="auto"/>
            </w:tcBorders>
          </w:tcPr>
          <w:p w:rsidR="005D7390" w:rsidRPr="005D7390" w:rsidRDefault="00E569E1" w:rsidP="00E569E1">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(2.3)</w:t>
            </w:r>
          </w:p>
        </w:tc>
        <w:tc>
          <w:tcPr>
            <w:tcW w:w="686" w:type="dxa"/>
            <w:tcBorders>
              <w:top w:val="none" w:sz="0" w:space="0" w:color="auto"/>
              <w:bottom w:val="none" w:sz="0" w:space="0" w:color="auto"/>
            </w:tcBorders>
          </w:tcPr>
          <w:p w:rsidR="005D7390" w:rsidRPr="005D7390" w:rsidRDefault="00E569E1" w:rsidP="00E569E1">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3" w:type="dxa"/>
            <w:tcBorders>
              <w:top w:val="none" w:sz="0" w:space="0" w:color="auto"/>
              <w:bottom w:val="none" w:sz="0" w:space="0" w:color="auto"/>
            </w:tcBorders>
          </w:tcPr>
          <w:p w:rsidR="005D7390" w:rsidRPr="005D7390" w:rsidRDefault="00E569E1" w:rsidP="00E569E1">
            <w:pPr>
              <w:pStyle w:val="ExampleSub"/>
              <w:keepNext w:val="0"/>
              <w:keepLines w:val="0"/>
              <w:ind w:left="0"/>
              <w:jc w:val="center"/>
              <w:cnfStyle w:val="000000100000"/>
              <w:rPr>
                <w:rFonts w:ascii="Arial" w:hAnsi="Arial" w:cs="Arial"/>
                <w:b w:val="0"/>
                <w:color w:val="auto"/>
                <w:sz w:val="20"/>
                <w:szCs w:val="20"/>
              </w:rPr>
            </w:pPr>
            <w:r>
              <w:rPr>
                <w:rFonts w:ascii="Arial" w:hAnsi="Arial" w:cs="Arial"/>
                <w:b w:val="0"/>
                <w:color w:val="auto"/>
                <w:sz w:val="20"/>
                <w:szCs w:val="20"/>
              </w:rPr>
              <w:t>-</w:t>
            </w:r>
          </w:p>
        </w:tc>
        <w:tc>
          <w:tcPr>
            <w:tcW w:w="709" w:type="dxa"/>
            <w:gridSpan w:val="2"/>
            <w:tcBorders>
              <w:top w:val="none" w:sz="0" w:space="0" w:color="auto"/>
              <w:bottom w:val="none" w:sz="0" w:space="0" w:color="auto"/>
            </w:tcBorders>
          </w:tcPr>
          <w:p w:rsidR="005D7390" w:rsidRPr="005D7390" w:rsidRDefault="00E569E1" w:rsidP="00E569E1">
            <w:pPr>
              <w:pStyle w:val="ExampleSub"/>
              <w:keepNext w:val="0"/>
              <w:keepLines w:val="0"/>
              <w:ind w:left="0"/>
              <w:jc w:val="center"/>
              <w:cnfStyle w:val="000000100000"/>
              <w:rPr>
                <w:rFonts w:ascii="Arial" w:hAnsi="Arial" w:cs="Arial"/>
                <w:b w:val="0"/>
                <w:color w:val="auto"/>
                <w:sz w:val="20"/>
                <w:szCs w:val="20"/>
              </w:rPr>
            </w:pPr>
            <w:r>
              <w:rPr>
                <w:rFonts w:ascii="Arial" w:hAnsi="Arial" w:cs="Arial"/>
                <w:b w:val="0"/>
                <w:color w:val="auto"/>
                <w:sz w:val="20"/>
                <w:szCs w:val="20"/>
              </w:rPr>
              <w:t>-</w:t>
            </w:r>
          </w:p>
        </w:tc>
        <w:tc>
          <w:tcPr>
            <w:tcW w:w="5658" w:type="dxa"/>
            <w:gridSpan w:val="6"/>
            <w:tcBorders>
              <w:top w:val="none" w:sz="0" w:space="0" w:color="auto"/>
              <w:bottom w:val="none" w:sz="0" w:space="0" w:color="auto"/>
            </w:tcBorders>
          </w:tcPr>
          <w:p w:rsidR="005D7390" w:rsidRPr="005D7390" w:rsidRDefault="005D7390" w:rsidP="009429BA">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color w:val="auto"/>
                <w:sz w:val="20"/>
                <w:szCs w:val="20"/>
              </w:rPr>
              <w:t>Capital Grants &amp; Contributions unapplied credited to the CI&amp;E Statement</w:t>
            </w:r>
          </w:p>
        </w:tc>
        <w:tc>
          <w:tcPr>
            <w:tcW w:w="869" w:type="dxa"/>
            <w:gridSpan w:val="5"/>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3.7</w:t>
            </w:r>
          </w:p>
        </w:tc>
        <w:tc>
          <w:tcPr>
            <w:tcW w:w="723" w:type="dxa"/>
            <w:gridSpan w:val="4"/>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w:t>
            </w:r>
          </w:p>
        </w:tc>
        <w:tc>
          <w:tcPr>
            <w:tcW w:w="712" w:type="dxa"/>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(3.7)</w:t>
            </w:r>
          </w:p>
        </w:tc>
        <w:tc>
          <w:tcPr>
            <w:tcW w:w="851" w:type="dxa"/>
            <w:gridSpan w:val="2"/>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w:t>
            </w:r>
          </w:p>
        </w:tc>
        <w:tc>
          <w:tcPr>
            <w:tcW w:w="567" w:type="dxa"/>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w:t>
            </w:r>
          </w:p>
        </w:tc>
        <w:tc>
          <w:tcPr>
            <w:tcW w:w="850" w:type="dxa"/>
            <w:gridSpan w:val="2"/>
            <w:tcBorders>
              <w:top w:val="none" w:sz="0" w:space="0" w:color="auto"/>
              <w:bottom w:val="none" w:sz="0" w:space="0" w:color="auto"/>
            </w:tcBorders>
          </w:tcPr>
          <w:p w:rsidR="005D7390" w:rsidRPr="00E569E1" w:rsidRDefault="00E569E1" w:rsidP="00E569E1">
            <w:pPr>
              <w:pStyle w:val="ExampleSub"/>
              <w:keepNext w:val="0"/>
              <w:keepLines w:val="0"/>
              <w:ind w:left="0"/>
              <w:jc w:val="center"/>
              <w:cnfStyle w:val="000000100000"/>
              <w:rPr>
                <w:rFonts w:ascii="Arial" w:hAnsi="Arial" w:cs="Arial"/>
                <w:bCs w:val="0"/>
                <w:color w:val="auto"/>
                <w:sz w:val="20"/>
                <w:szCs w:val="20"/>
              </w:rPr>
            </w:pPr>
            <w:r w:rsidRPr="00E569E1">
              <w:rPr>
                <w:rFonts w:ascii="Arial" w:hAnsi="Arial" w:cs="Arial"/>
                <w:bCs w:val="0"/>
                <w:color w:val="auto"/>
                <w:sz w:val="20"/>
                <w:szCs w:val="20"/>
              </w:rPr>
              <w:t>-</w:t>
            </w:r>
          </w:p>
        </w:tc>
      </w:tr>
      <w:tr w:rsidR="005D7390" w:rsidRPr="005D7390" w:rsidTr="008A25D1">
        <w:tc>
          <w:tcPr>
            <w:cnfStyle w:val="001000000000"/>
            <w:tcW w:w="911" w:type="dxa"/>
            <w:tcBorders>
              <w:right w:val="none" w:sz="0" w:space="0" w:color="auto"/>
            </w:tcBorders>
          </w:tcPr>
          <w:p w:rsidR="005D7390" w:rsidRPr="00E569E1" w:rsidRDefault="00E569E1" w:rsidP="00E569E1">
            <w:pPr>
              <w:pStyle w:val="ExampleSub"/>
              <w:keepNext w:val="0"/>
              <w:keepLines w:val="0"/>
              <w:ind w:left="0"/>
              <w:jc w:val="center"/>
              <w:rPr>
                <w:rFonts w:ascii="Arial" w:hAnsi="Arial" w:cs="Arial"/>
                <w:b w:val="0"/>
                <w:color w:val="auto"/>
                <w:sz w:val="20"/>
                <w:szCs w:val="20"/>
              </w:rPr>
            </w:pPr>
            <w:r w:rsidRPr="00E569E1">
              <w:rPr>
                <w:rFonts w:ascii="Arial" w:hAnsi="Arial" w:cs="Arial"/>
                <w:b w:val="0"/>
                <w:color w:val="auto"/>
                <w:sz w:val="20"/>
                <w:szCs w:val="20"/>
              </w:rPr>
              <w:t>-</w:t>
            </w:r>
          </w:p>
        </w:tc>
        <w:tc>
          <w:tcPr>
            <w:tcW w:w="700" w:type="dxa"/>
          </w:tcPr>
          <w:p w:rsidR="005D7390" w:rsidRPr="005D7390" w:rsidRDefault="00E569E1" w:rsidP="00E569E1">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Pr>
          <w:p w:rsidR="005D7390" w:rsidRPr="005D7390" w:rsidRDefault="005D7390" w:rsidP="00E569E1">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7.5</w:t>
            </w:r>
          </w:p>
        </w:tc>
        <w:tc>
          <w:tcPr>
            <w:tcW w:w="686" w:type="dxa"/>
          </w:tcPr>
          <w:p w:rsidR="005D7390" w:rsidRPr="005D7390" w:rsidRDefault="005D7390" w:rsidP="00E569E1">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(7.5)</w:t>
            </w:r>
          </w:p>
        </w:tc>
        <w:tc>
          <w:tcPr>
            <w:tcW w:w="853" w:type="dxa"/>
          </w:tcPr>
          <w:p w:rsidR="005D7390" w:rsidRPr="005D7390" w:rsidRDefault="00E569E1" w:rsidP="00E569E1">
            <w:pPr>
              <w:pStyle w:val="ExampleSub"/>
              <w:keepNext w:val="0"/>
              <w:keepLines w:val="0"/>
              <w:ind w:left="0"/>
              <w:jc w:val="center"/>
              <w:cnfStyle w:val="000000000000"/>
              <w:rPr>
                <w:rFonts w:ascii="Arial" w:hAnsi="Arial" w:cs="Arial"/>
                <w:b w:val="0"/>
                <w:color w:val="auto"/>
                <w:sz w:val="20"/>
                <w:szCs w:val="20"/>
              </w:rPr>
            </w:pPr>
            <w:r>
              <w:rPr>
                <w:rFonts w:ascii="Arial" w:hAnsi="Arial" w:cs="Arial"/>
                <w:b w:val="0"/>
                <w:color w:val="auto"/>
                <w:sz w:val="20"/>
                <w:szCs w:val="20"/>
              </w:rPr>
              <w:t>-</w:t>
            </w:r>
          </w:p>
        </w:tc>
        <w:tc>
          <w:tcPr>
            <w:tcW w:w="709" w:type="dxa"/>
            <w:gridSpan w:val="2"/>
          </w:tcPr>
          <w:p w:rsidR="005D7390" w:rsidRPr="005D7390" w:rsidRDefault="00E569E1" w:rsidP="00E569E1">
            <w:pPr>
              <w:pStyle w:val="ExampleSub"/>
              <w:keepNext w:val="0"/>
              <w:keepLines w:val="0"/>
              <w:ind w:left="0"/>
              <w:jc w:val="center"/>
              <w:cnfStyle w:val="000000000000"/>
              <w:rPr>
                <w:rFonts w:ascii="Arial" w:hAnsi="Arial" w:cs="Arial"/>
                <w:b w:val="0"/>
                <w:color w:val="auto"/>
                <w:sz w:val="20"/>
                <w:szCs w:val="20"/>
              </w:rPr>
            </w:pPr>
            <w:r>
              <w:rPr>
                <w:rFonts w:ascii="Arial" w:hAnsi="Arial" w:cs="Arial"/>
                <w:b w:val="0"/>
                <w:color w:val="auto"/>
                <w:sz w:val="20"/>
                <w:szCs w:val="20"/>
              </w:rPr>
              <w:t>-</w:t>
            </w:r>
          </w:p>
        </w:tc>
        <w:tc>
          <w:tcPr>
            <w:tcW w:w="5658" w:type="dxa"/>
            <w:gridSpan w:val="6"/>
          </w:tcPr>
          <w:p w:rsidR="005D7390" w:rsidRPr="005D7390" w:rsidRDefault="005D7390" w:rsidP="00E029AB">
            <w:pPr>
              <w:pStyle w:val="ExampleSub"/>
              <w:keepNext w:val="0"/>
              <w:keepLines w:val="0"/>
              <w:ind w:left="0"/>
              <w:cnfStyle w:val="000000000000"/>
              <w:rPr>
                <w:rFonts w:ascii="Arial" w:hAnsi="Arial" w:cs="Arial"/>
                <w:b w:val="0"/>
                <w:color w:val="auto"/>
                <w:sz w:val="20"/>
                <w:szCs w:val="20"/>
              </w:rPr>
            </w:pPr>
            <w:r w:rsidRPr="005D7390">
              <w:rPr>
                <w:rFonts w:ascii="Arial" w:hAnsi="Arial" w:cs="Arial"/>
                <w:b w:val="0"/>
                <w:color w:val="auto"/>
                <w:sz w:val="20"/>
                <w:szCs w:val="20"/>
              </w:rPr>
              <w:t xml:space="preserve">Application of (prior year) Grants to capital financing </w:t>
            </w:r>
            <w:r w:rsidRPr="005D7390">
              <w:rPr>
                <w:rFonts w:ascii="Arial" w:hAnsi="Arial" w:cs="Arial"/>
                <w:b w:val="0"/>
                <w:bCs w:val="0"/>
                <w:color w:val="auto"/>
                <w:sz w:val="20"/>
                <w:szCs w:val="20"/>
              </w:rPr>
              <w:t>applied in the year</w:t>
            </w:r>
            <w:r w:rsidRPr="005D7390">
              <w:rPr>
                <w:rFonts w:ascii="Arial" w:hAnsi="Arial" w:cs="Arial"/>
                <w:b w:val="0"/>
                <w:color w:val="auto"/>
                <w:sz w:val="20"/>
                <w:szCs w:val="20"/>
              </w:rPr>
              <w:t xml:space="preserve"> transferred to the Capital Adjustment Account</w:t>
            </w:r>
          </w:p>
        </w:tc>
        <w:tc>
          <w:tcPr>
            <w:tcW w:w="869" w:type="dxa"/>
            <w:gridSpan w:val="5"/>
          </w:tcPr>
          <w:p w:rsidR="005D7390" w:rsidRPr="00E569E1" w:rsidRDefault="00E569E1" w:rsidP="00E569E1">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w:t>
            </w:r>
          </w:p>
        </w:tc>
        <w:tc>
          <w:tcPr>
            <w:tcW w:w="723" w:type="dxa"/>
            <w:gridSpan w:val="4"/>
          </w:tcPr>
          <w:p w:rsidR="005D7390" w:rsidRPr="00E569E1" w:rsidRDefault="00E569E1" w:rsidP="00E569E1">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w:t>
            </w:r>
          </w:p>
        </w:tc>
        <w:tc>
          <w:tcPr>
            <w:tcW w:w="712" w:type="dxa"/>
          </w:tcPr>
          <w:p w:rsidR="005D7390" w:rsidRPr="00E569E1" w:rsidRDefault="00E569E1" w:rsidP="00E569E1">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4.7</w:t>
            </w:r>
          </w:p>
        </w:tc>
        <w:tc>
          <w:tcPr>
            <w:tcW w:w="851" w:type="dxa"/>
            <w:gridSpan w:val="2"/>
          </w:tcPr>
          <w:p w:rsidR="005D7390" w:rsidRPr="00E569E1" w:rsidRDefault="00E569E1" w:rsidP="00E569E1">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(4.7)</w:t>
            </w:r>
          </w:p>
        </w:tc>
        <w:tc>
          <w:tcPr>
            <w:tcW w:w="567" w:type="dxa"/>
          </w:tcPr>
          <w:p w:rsidR="005D7390" w:rsidRPr="00E569E1" w:rsidRDefault="00E569E1" w:rsidP="00E569E1">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w:t>
            </w:r>
          </w:p>
        </w:tc>
        <w:tc>
          <w:tcPr>
            <w:tcW w:w="850" w:type="dxa"/>
            <w:gridSpan w:val="2"/>
          </w:tcPr>
          <w:p w:rsidR="005D7390" w:rsidRPr="00E569E1" w:rsidRDefault="00E569E1" w:rsidP="00E569E1">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w:t>
            </w: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E569E1" w:rsidRDefault="005D7390" w:rsidP="00E569E1">
            <w:pPr>
              <w:pStyle w:val="ExampleSub"/>
              <w:keepNext w:val="0"/>
              <w:keepLines w:val="0"/>
              <w:ind w:left="0"/>
              <w:jc w:val="center"/>
              <w:rPr>
                <w:rFonts w:ascii="Arial" w:hAnsi="Arial" w:cs="Arial"/>
                <w:b w:val="0"/>
                <w:color w:val="auto"/>
                <w:sz w:val="20"/>
                <w:szCs w:val="20"/>
              </w:rPr>
            </w:pPr>
          </w:p>
        </w:tc>
        <w:tc>
          <w:tcPr>
            <w:tcW w:w="700"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bCs w:val="0"/>
                <w:color w:val="auto"/>
                <w:sz w:val="20"/>
                <w:szCs w:val="20"/>
              </w:rPr>
            </w:pPr>
          </w:p>
        </w:tc>
        <w:tc>
          <w:tcPr>
            <w:tcW w:w="872"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bCs w:val="0"/>
                <w:color w:val="auto"/>
                <w:sz w:val="20"/>
                <w:szCs w:val="20"/>
              </w:rPr>
            </w:pPr>
          </w:p>
        </w:tc>
        <w:tc>
          <w:tcPr>
            <w:tcW w:w="686"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bCs w:val="0"/>
                <w:color w:val="auto"/>
                <w:sz w:val="20"/>
                <w:szCs w:val="20"/>
              </w:rPr>
            </w:pPr>
          </w:p>
        </w:tc>
        <w:tc>
          <w:tcPr>
            <w:tcW w:w="853"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color w:val="auto"/>
                <w:sz w:val="24"/>
                <w:szCs w:val="24"/>
              </w:rPr>
            </w:pPr>
          </w:p>
        </w:tc>
        <w:tc>
          <w:tcPr>
            <w:tcW w:w="709" w:type="dxa"/>
            <w:gridSpan w:val="2"/>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color w:val="auto"/>
                <w:sz w:val="24"/>
                <w:szCs w:val="24"/>
              </w:rPr>
            </w:pPr>
          </w:p>
        </w:tc>
        <w:tc>
          <w:tcPr>
            <w:tcW w:w="5658" w:type="dxa"/>
            <w:gridSpan w:val="6"/>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color w:val="auto"/>
                <w:sz w:val="22"/>
                <w:szCs w:val="22"/>
              </w:rPr>
            </w:pPr>
            <w:r w:rsidRPr="005D7390">
              <w:rPr>
                <w:rFonts w:ascii="Arial" w:hAnsi="Arial" w:cs="Arial"/>
                <w:color w:val="auto"/>
                <w:sz w:val="22"/>
                <w:szCs w:val="22"/>
              </w:rPr>
              <w:t>Adjustments involving the Capital Receipts Reserve:</w:t>
            </w:r>
          </w:p>
        </w:tc>
        <w:tc>
          <w:tcPr>
            <w:tcW w:w="869" w:type="dxa"/>
            <w:gridSpan w:val="5"/>
            <w:tcBorders>
              <w:top w:val="none" w:sz="0" w:space="0" w:color="auto"/>
              <w:bottom w:val="none" w:sz="0" w:space="0" w:color="auto"/>
            </w:tcBorders>
          </w:tcPr>
          <w:p w:rsidR="005D7390" w:rsidRPr="00E569E1" w:rsidRDefault="005D7390" w:rsidP="00E569E1">
            <w:pPr>
              <w:pStyle w:val="ExampleSub"/>
              <w:keepNext w:val="0"/>
              <w:keepLines w:val="0"/>
              <w:ind w:left="0"/>
              <w:jc w:val="center"/>
              <w:cnfStyle w:val="000000100000"/>
              <w:rPr>
                <w:rFonts w:ascii="Arial" w:hAnsi="Arial" w:cs="Arial"/>
                <w:bCs w:val="0"/>
                <w:color w:val="auto"/>
                <w:sz w:val="20"/>
                <w:szCs w:val="20"/>
              </w:rPr>
            </w:pPr>
          </w:p>
        </w:tc>
        <w:tc>
          <w:tcPr>
            <w:tcW w:w="723" w:type="dxa"/>
            <w:gridSpan w:val="4"/>
            <w:tcBorders>
              <w:top w:val="none" w:sz="0" w:space="0" w:color="auto"/>
              <w:bottom w:val="none" w:sz="0" w:space="0" w:color="auto"/>
            </w:tcBorders>
          </w:tcPr>
          <w:p w:rsidR="005D7390" w:rsidRPr="00E569E1" w:rsidRDefault="005D7390" w:rsidP="00E569E1">
            <w:pPr>
              <w:pStyle w:val="ExampleSub"/>
              <w:keepNext w:val="0"/>
              <w:keepLines w:val="0"/>
              <w:ind w:left="0"/>
              <w:jc w:val="center"/>
              <w:cnfStyle w:val="000000100000"/>
              <w:rPr>
                <w:rFonts w:ascii="Arial" w:hAnsi="Arial" w:cs="Arial"/>
                <w:bCs w:val="0"/>
                <w:color w:val="auto"/>
                <w:sz w:val="20"/>
                <w:szCs w:val="20"/>
              </w:rPr>
            </w:pPr>
          </w:p>
        </w:tc>
        <w:tc>
          <w:tcPr>
            <w:tcW w:w="712" w:type="dxa"/>
            <w:tcBorders>
              <w:top w:val="none" w:sz="0" w:space="0" w:color="auto"/>
              <w:bottom w:val="none" w:sz="0" w:space="0" w:color="auto"/>
            </w:tcBorders>
          </w:tcPr>
          <w:p w:rsidR="005D7390" w:rsidRPr="00E569E1" w:rsidRDefault="005D7390" w:rsidP="00E569E1">
            <w:pPr>
              <w:pStyle w:val="ExampleSub"/>
              <w:keepNext w:val="0"/>
              <w:keepLines w:val="0"/>
              <w:ind w:left="0"/>
              <w:jc w:val="center"/>
              <w:cnfStyle w:val="000000100000"/>
              <w:rPr>
                <w:rFonts w:ascii="Arial" w:hAnsi="Arial" w:cs="Arial"/>
                <w:bCs w:val="0"/>
                <w:color w:val="auto"/>
                <w:sz w:val="20"/>
                <w:szCs w:val="20"/>
              </w:rPr>
            </w:pPr>
          </w:p>
        </w:tc>
        <w:tc>
          <w:tcPr>
            <w:tcW w:w="851" w:type="dxa"/>
            <w:gridSpan w:val="2"/>
            <w:tcBorders>
              <w:top w:val="none" w:sz="0" w:space="0" w:color="auto"/>
              <w:bottom w:val="none" w:sz="0" w:space="0" w:color="auto"/>
            </w:tcBorders>
          </w:tcPr>
          <w:p w:rsidR="005D7390" w:rsidRPr="00E569E1" w:rsidRDefault="005D7390" w:rsidP="00E569E1">
            <w:pPr>
              <w:pStyle w:val="ExampleSub"/>
              <w:keepNext w:val="0"/>
              <w:keepLines w:val="0"/>
              <w:ind w:left="0"/>
              <w:jc w:val="center"/>
              <w:cnfStyle w:val="000000100000"/>
              <w:rPr>
                <w:rFonts w:ascii="Arial" w:hAnsi="Arial" w:cs="Arial"/>
                <w:bCs w:val="0"/>
                <w:color w:val="auto"/>
                <w:sz w:val="20"/>
                <w:szCs w:val="20"/>
              </w:rPr>
            </w:pPr>
          </w:p>
        </w:tc>
        <w:tc>
          <w:tcPr>
            <w:tcW w:w="567" w:type="dxa"/>
            <w:tcBorders>
              <w:top w:val="none" w:sz="0" w:space="0" w:color="auto"/>
              <w:bottom w:val="none" w:sz="0" w:space="0" w:color="auto"/>
            </w:tcBorders>
          </w:tcPr>
          <w:p w:rsidR="005D7390" w:rsidRPr="00E569E1" w:rsidRDefault="005D7390" w:rsidP="00E569E1">
            <w:pPr>
              <w:pStyle w:val="ExampleSub"/>
              <w:keepNext w:val="0"/>
              <w:keepLines w:val="0"/>
              <w:ind w:left="0"/>
              <w:jc w:val="center"/>
              <w:cnfStyle w:val="000000100000"/>
              <w:rPr>
                <w:rFonts w:ascii="Arial" w:hAnsi="Arial" w:cs="Arial"/>
                <w:bCs w:val="0"/>
                <w:color w:val="auto"/>
                <w:sz w:val="20"/>
                <w:szCs w:val="20"/>
              </w:rPr>
            </w:pPr>
          </w:p>
        </w:tc>
        <w:tc>
          <w:tcPr>
            <w:tcW w:w="850" w:type="dxa"/>
            <w:gridSpan w:val="2"/>
            <w:tcBorders>
              <w:top w:val="none" w:sz="0" w:space="0" w:color="auto"/>
              <w:bottom w:val="none" w:sz="0" w:space="0" w:color="auto"/>
            </w:tcBorders>
          </w:tcPr>
          <w:p w:rsidR="005D7390" w:rsidRPr="00E569E1" w:rsidRDefault="005D7390" w:rsidP="00E569E1">
            <w:pPr>
              <w:pStyle w:val="ExampleSub"/>
              <w:keepNext w:val="0"/>
              <w:keepLines w:val="0"/>
              <w:ind w:left="0"/>
              <w:jc w:val="center"/>
              <w:cnfStyle w:val="000000100000"/>
              <w:rPr>
                <w:rFonts w:ascii="Arial" w:hAnsi="Arial" w:cs="Arial"/>
                <w:bCs w:val="0"/>
                <w:color w:val="auto"/>
                <w:sz w:val="20"/>
                <w:szCs w:val="20"/>
              </w:rPr>
            </w:pPr>
          </w:p>
        </w:tc>
      </w:tr>
      <w:tr w:rsidR="005D7390" w:rsidRPr="005D7390" w:rsidTr="008A25D1">
        <w:tc>
          <w:tcPr>
            <w:cnfStyle w:val="001000000000"/>
            <w:tcW w:w="911" w:type="dxa"/>
            <w:tcBorders>
              <w:right w:val="none" w:sz="0" w:space="0" w:color="auto"/>
            </w:tcBorders>
          </w:tcPr>
          <w:p w:rsidR="005D7390" w:rsidRPr="00E569E1" w:rsidRDefault="005D7390" w:rsidP="00E569E1">
            <w:pPr>
              <w:pStyle w:val="ExampleSub"/>
              <w:keepNext w:val="0"/>
              <w:keepLines w:val="0"/>
              <w:ind w:left="0"/>
              <w:jc w:val="center"/>
              <w:rPr>
                <w:rFonts w:ascii="Arial" w:hAnsi="Arial" w:cs="Arial"/>
                <w:b w:val="0"/>
                <w:color w:val="auto"/>
                <w:sz w:val="20"/>
                <w:szCs w:val="20"/>
              </w:rPr>
            </w:pPr>
            <w:r w:rsidRPr="00E569E1">
              <w:rPr>
                <w:rFonts w:ascii="Arial" w:hAnsi="Arial" w:cs="Arial"/>
                <w:b w:val="0"/>
                <w:color w:val="auto"/>
                <w:sz w:val="20"/>
                <w:szCs w:val="20"/>
              </w:rPr>
              <w:t>1.7</w:t>
            </w:r>
          </w:p>
        </w:tc>
        <w:tc>
          <w:tcPr>
            <w:tcW w:w="700" w:type="dxa"/>
          </w:tcPr>
          <w:p w:rsidR="005D7390" w:rsidRPr="005D7390" w:rsidRDefault="005D7390" w:rsidP="00E569E1">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(1.7)</w:t>
            </w:r>
          </w:p>
        </w:tc>
        <w:tc>
          <w:tcPr>
            <w:tcW w:w="872" w:type="dxa"/>
          </w:tcPr>
          <w:p w:rsidR="005D7390" w:rsidRPr="005D7390" w:rsidRDefault="00E569E1" w:rsidP="00E569E1">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Pr>
          <w:p w:rsidR="005D7390" w:rsidRPr="005D7390" w:rsidRDefault="00E569E1" w:rsidP="00E569E1">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53" w:type="dxa"/>
          </w:tcPr>
          <w:p w:rsidR="005D7390" w:rsidRPr="005D7390" w:rsidRDefault="00E569E1" w:rsidP="00E569E1">
            <w:pPr>
              <w:pStyle w:val="ExampleSub"/>
              <w:keepNext w:val="0"/>
              <w:keepLines w:val="0"/>
              <w:ind w:left="0"/>
              <w:jc w:val="center"/>
              <w:cnfStyle w:val="000000000000"/>
              <w:rPr>
                <w:rFonts w:ascii="Arial" w:hAnsi="Arial" w:cs="Arial"/>
                <w:b w:val="0"/>
                <w:color w:val="auto"/>
                <w:sz w:val="20"/>
                <w:szCs w:val="20"/>
              </w:rPr>
            </w:pPr>
            <w:r>
              <w:rPr>
                <w:rFonts w:ascii="Arial" w:hAnsi="Arial" w:cs="Arial"/>
                <w:b w:val="0"/>
                <w:color w:val="auto"/>
                <w:sz w:val="20"/>
                <w:szCs w:val="20"/>
              </w:rPr>
              <w:t>-</w:t>
            </w:r>
          </w:p>
        </w:tc>
        <w:tc>
          <w:tcPr>
            <w:tcW w:w="709" w:type="dxa"/>
            <w:gridSpan w:val="2"/>
          </w:tcPr>
          <w:p w:rsidR="005D7390" w:rsidRPr="005D7390" w:rsidRDefault="00E569E1" w:rsidP="00E569E1">
            <w:pPr>
              <w:pStyle w:val="ExampleSub"/>
              <w:keepNext w:val="0"/>
              <w:keepLines w:val="0"/>
              <w:ind w:left="0"/>
              <w:jc w:val="center"/>
              <w:cnfStyle w:val="000000000000"/>
              <w:rPr>
                <w:rFonts w:ascii="Arial" w:hAnsi="Arial" w:cs="Arial"/>
                <w:b w:val="0"/>
                <w:color w:val="auto"/>
                <w:sz w:val="20"/>
                <w:szCs w:val="20"/>
              </w:rPr>
            </w:pPr>
            <w:r>
              <w:rPr>
                <w:rFonts w:ascii="Arial" w:hAnsi="Arial" w:cs="Arial"/>
                <w:b w:val="0"/>
                <w:color w:val="auto"/>
                <w:sz w:val="20"/>
                <w:szCs w:val="20"/>
              </w:rPr>
              <w:t>-</w:t>
            </w:r>
          </w:p>
        </w:tc>
        <w:tc>
          <w:tcPr>
            <w:tcW w:w="5658" w:type="dxa"/>
            <w:gridSpan w:val="6"/>
          </w:tcPr>
          <w:p w:rsidR="005D7390" w:rsidRPr="005D7390" w:rsidRDefault="005D7390" w:rsidP="00E029AB">
            <w:pPr>
              <w:pStyle w:val="ExampleSub"/>
              <w:keepNext w:val="0"/>
              <w:keepLines w:val="0"/>
              <w:ind w:left="0"/>
              <w:cnfStyle w:val="000000000000"/>
              <w:rPr>
                <w:rFonts w:ascii="Arial" w:hAnsi="Arial" w:cs="Arial"/>
                <w:b w:val="0"/>
                <w:color w:val="auto"/>
                <w:sz w:val="20"/>
                <w:szCs w:val="20"/>
              </w:rPr>
            </w:pPr>
            <w:r w:rsidRPr="005D7390">
              <w:rPr>
                <w:rFonts w:ascii="Arial" w:hAnsi="Arial" w:cs="Arial"/>
                <w:b w:val="0"/>
                <w:color w:val="auto"/>
                <w:sz w:val="20"/>
                <w:szCs w:val="20"/>
              </w:rPr>
              <w:t>Transfer of sale proceeds credited as part of the gain/loss on disposal to the CI&amp;E Statement</w:t>
            </w:r>
          </w:p>
        </w:tc>
        <w:tc>
          <w:tcPr>
            <w:tcW w:w="869" w:type="dxa"/>
            <w:gridSpan w:val="5"/>
          </w:tcPr>
          <w:p w:rsidR="005D7390" w:rsidRPr="00E569E1" w:rsidRDefault="00E569E1" w:rsidP="00355DCA">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0.6</w:t>
            </w:r>
          </w:p>
        </w:tc>
        <w:tc>
          <w:tcPr>
            <w:tcW w:w="723" w:type="dxa"/>
            <w:gridSpan w:val="4"/>
          </w:tcPr>
          <w:p w:rsidR="005D7390" w:rsidRPr="00E569E1" w:rsidRDefault="00E569E1" w:rsidP="004A3D95">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(0.6)</w:t>
            </w:r>
          </w:p>
        </w:tc>
        <w:tc>
          <w:tcPr>
            <w:tcW w:w="712" w:type="dxa"/>
          </w:tcPr>
          <w:p w:rsidR="005D7390" w:rsidRPr="00E569E1" w:rsidRDefault="00E569E1" w:rsidP="004A3D95">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w:t>
            </w:r>
          </w:p>
        </w:tc>
        <w:tc>
          <w:tcPr>
            <w:tcW w:w="851" w:type="dxa"/>
            <w:gridSpan w:val="2"/>
          </w:tcPr>
          <w:p w:rsidR="005D7390" w:rsidRPr="00E569E1" w:rsidRDefault="00E569E1" w:rsidP="004A3D95">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w:t>
            </w:r>
          </w:p>
        </w:tc>
        <w:tc>
          <w:tcPr>
            <w:tcW w:w="567" w:type="dxa"/>
          </w:tcPr>
          <w:p w:rsidR="005D7390" w:rsidRPr="00E569E1" w:rsidRDefault="00E569E1" w:rsidP="004A3D95">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w:t>
            </w:r>
          </w:p>
        </w:tc>
        <w:tc>
          <w:tcPr>
            <w:tcW w:w="850" w:type="dxa"/>
            <w:gridSpan w:val="2"/>
          </w:tcPr>
          <w:p w:rsidR="005D7390" w:rsidRPr="00E569E1" w:rsidRDefault="00E569E1" w:rsidP="004A3D95">
            <w:pPr>
              <w:pStyle w:val="ExampleSub"/>
              <w:keepNext w:val="0"/>
              <w:keepLines w:val="0"/>
              <w:ind w:left="0"/>
              <w:jc w:val="center"/>
              <w:cnfStyle w:val="000000000000"/>
              <w:rPr>
                <w:rFonts w:ascii="Arial" w:hAnsi="Arial" w:cs="Arial"/>
                <w:bCs w:val="0"/>
                <w:color w:val="auto"/>
                <w:sz w:val="20"/>
                <w:szCs w:val="20"/>
              </w:rPr>
            </w:pPr>
            <w:r w:rsidRPr="00E569E1">
              <w:rPr>
                <w:rFonts w:ascii="Arial" w:hAnsi="Arial" w:cs="Arial"/>
                <w:bCs w:val="0"/>
                <w:color w:val="auto"/>
                <w:sz w:val="20"/>
                <w:szCs w:val="20"/>
              </w:rPr>
              <w:t>-</w:t>
            </w: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E569E1" w:rsidRDefault="00E569E1" w:rsidP="00E569E1">
            <w:pPr>
              <w:pStyle w:val="ExampleSub"/>
              <w:keepNext w:val="0"/>
              <w:keepLines w:val="0"/>
              <w:ind w:left="0"/>
              <w:jc w:val="center"/>
              <w:rPr>
                <w:rFonts w:ascii="Arial" w:hAnsi="Arial" w:cs="Arial"/>
                <w:b w:val="0"/>
                <w:color w:val="auto"/>
                <w:sz w:val="20"/>
                <w:szCs w:val="20"/>
              </w:rPr>
            </w:pPr>
            <w:r w:rsidRPr="00E569E1">
              <w:rPr>
                <w:rFonts w:ascii="Arial" w:hAnsi="Arial" w:cs="Arial"/>
                <w:b w:val="0"/>
                <w:color w:val="auto"/>
                <w:sz w:val="20"/>
                <w:szCs w:val="20"/>
              </w:rPr>
              <w:t>-</w:t>
            </w:r>
          </w:p>
        </w:tc>
        <w:tc>
          <w:tcPr>
            <w:tcW w:w="700"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0.1</w:t>
            </w:r>
          </w:p>
        </w:tc>
        <w:tc>
          <w:tcPr>
            <w:tcW w:w="872" w:type="dxa"/>
            <w:tcBorders>
              <w:top w:val="none" w:sz="0" w:space="0" w:color="auto"/>
              <w:bottom w:val="none" w:sz="0" w:space="0" w:color="auto"/>
            </w:tcBorders>
          </w:tcPr>
          <w:p w:rsidR="005D7390" w:rsidRPr="005D7390" w:rsidRDefault="00E569E1" w:rsidP="00E569E1">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Borders>
              <w:top w:val="none" w:sz="0" w:space="0" w:color="auto"/>
              <w:bottom w:val="none" w:sz="0" w:space="0" w:color="auto"/>
            </w:tcBorders>
          </w:tcPr>
          <w:p w:rsidR="005D7390" w:rsidRPr="005D7390" w:rsidRDefault="005D7390" w:rsidP="00E569E1">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(0.1)</w:t>
            </w:r>
          </w:p>
        </w:tc>
        <w:tc>
          <w:tcPr>
            <w:tcW w:w="853" w:type="dxa"/>
            <w:tcBorders>
              <w:top w:val="none" w:sz="0" w:space="0" w:color="auto"/>
              <w:bottom w:val="none" w:sz="0" w:space="0" w:color="auto"/>
            </w:tcBorders>
          </w:tcPr>
          <w:p w:rsidR="005D7390" w:rsidRPr="005D7390" w:rsidRDefault="00E569E1" w:rsidP="00E569E1">
            <w:pPr>
              <w:pStyle w:val="ExampleSub"/>
              <w:keepNext w:val="0"/>
              <w:keepLines w:val="0"/>
              <w:ind w:left="0"/>
              <w:jc w:val="center"/>
              <w:cnfStyle w:val="000000100000"/>
              <w:rPr>
                <w:rFonts w:ascii="Arial" w:hAnsi="Arial" w:cs="Arial"/>
                <w:b w:val="0"/>
                <w:color w:val="auto"/>
                <w:sz w:val="20"/>
                <w:szCs w:val="20"/>
              </w:rPr>
            </w:pPr>
            <w:r>
              <w:rPr>
                <w:rFonts w:ascii="Arial" w:hAnsi="Arial" w:cs="Arial"/>
                <w:b w:val="0"/>
                <w:color w:val="auto"/>
                <w:sz w:val="20"/>
                <w:szCs w:val="20"/>
              </w:rPr>
              <w:t>-</w:t>
            </w:r>
          </w:p>
        </w:tc>
        <w:tc>
          <w:tcPr>
            <w:tcW w:w="709" w:type="dxa"/>
            <w:gridSpan w:val="2"/>
            <w:tcBorders>
              <w:top w:val="none" w:sz="0" w:space="0" w:color="auto"/>
              <w:bottom w:val="none" w:sz="0" w:space="0" w:color="auto"/>
            </w:tcBorders>
          </w:tcPr>
          <w:p w:rsidR="005D7390" w:rsidRPr="005D7390" w:rsidRDefault="00E569E1" w:rsidP="00E569E1">
            <w:pPr>
              <w:pStyle w:val="ExampleSub"/>
              <w:keepNext w:val="0"/>
              <w:keepLines w:val="0"/>
              <w:ind w:left="0"/>
              <w:jc w:val="center"/>
              <w:cnfStyle w:val="000000100000"/>
              <w:rPr>
                <w:rFonts w:ascii="Arial" w:hAnsi="Arial" w:cs="Arial"/>
                <w:b w:val="0"/>
                <w:color w:val="auto"/>
                <w:sz w:val="20"/>
                <w:szCs w:val="20"/>
              </w:rPr>
            </w:pPr>
            <w:r>
              <w:rPr>
                <w:rFonts w:ascii="Arial" w:hAnsi="Arial" w:cs="Arial"/>
                <w:b w:val="0"/>
                <w:color w:val="auto"/>
                <w:sz w:val="20"/>
                <w:szCs w:val="20"/>
              </w:rPr>
              <w:t>-</w:t>
            </w:r>
          </w:p>
        </w:tc>
        <w:tc>
          <w:tcPr>
            <w:tcW w:w="5658" w:type="dxa"/>
            <w:gridSpan w:val="6"/>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color w:val="auto"/>
                <w:sz w:val="20"/>
                <w:szCs w:val="20"/>
              </w:rPr>
              <w:t>Use of the Capital Receipts Reserve to finance new capital expenditure</w:t>
            </w:r>
            <w:r w:rsidRPr="005D7390">
              <w:rPr>
                <w:rFonts w:ascii="Arial" w:hAnsi="Arial" w:cs="Arial"/>
                <w:b w:val="0"/>
                <w:bCs w:val="0"/>
                <w:color w:val="auto"/>
                <w:sz w:val="20"/>
                <w:szCs w:val="20"/>
              </w:rPr>
              <w:t xml:space="preserve"> applied in the year</w:t>
            </w:r>
          </w:p>
        </w:tc>
        <w:tc>
          <w:tcPr>
            <w:tcW w:w="869" w:type="dxa"/>
            <w:gridSpan w:val="5"/>
            <w:tcBorders>
              <w:top w:val="none" w:sz="0" w:space="0" w:color="auto"/>
              <w:bottom w:val="none" w:sz="0" w:space="0" w:color="auto"/>
            </w:tcBorders>
          </w:tcPr>
          <w:p w:rsidR="005D7390" w:rsidRPr="00E569E1" w:rsidRDefault="008D755B"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c>
          <w:tcPr>
            <w:tcW w:w="723" w:type="dxa"/>
            <w:gridSpan w:val="4"/>
            <w:tcBorders>
              <w:top w:val="none" w:sz="0" w:space="0" w:color="auto"/>
              <w:bottom w:val="none" w:sz="0" w:space="0" w:color="auto"/>
            </w:tcBorders>
          </w:tcPr>
          <w:p w:rsidR="005D7390" w:rsidRPr="00E569E1" w:rsidRDefault="008D755B" w:rsidP="004471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2.</w:t>
            </w:r>
            <w:r w:rsidR="00447195">
              <w:rPr>
                <w:rFonts w:ascii="Arial" w:hAnsi="Arial" w:cs="Arial"/>
                <w:bCs w:val="0"/>
                <w:color w:val="auto"/>
                <w:sz w:val="20"/>
                <w:szCs w:val="20"/>
              </w:rPr>
              <w:t>6</w:t>
            </w:r>
          </w:p>
        </w:tc>
        <w:tc>
          <w:tcPr>
            <w:tcW w:w="712" w:type="dxa"/>
            <w:tcBorders>
              <w:top w:val="none" w:sz="0" w:space="0" w:color="auto"/>
              <w:bottom w:val="none" w:sz="0" w:space="0" w:color="auto"/>
            </w:tcBorders>
          </w:tcPr>
          <w:p w:rsidR="005D7390" w:rsidRPr="00E569E1" w:rsidRDefault="008D755B"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c>
          <w:tcPr>
            <w:tcW w:w="851" w:type="dxa"/>
            <w:gridSpan w:val="2"/>
            <w:tcBorders>
              <w:top w:val="none" w:sz="0" w:space="0" w:color="auto"/>
              <w:bottom w:val="none" w:sz="0" w:space="0" w:color="auto"/>
            </w:tcBorders>
          </w:tcPr>
          <w:p w:rsidR="005D7390" w:rsidRPr="00E569E1" w:rsidRDefault="008D755B" w:rsidP="004471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(2.</w:t>
            </w:r>
            <w:r w:rsidR="00447195">
              <w:rPr>
                <w:rFonts w:ascii="Arial" w:hAnsi="Arial" w:cs="Arial"/>
                <w:bCs w:val="0"/>
                <w:color w:val="auto"/>
                <w:sz w:val="20"/>
                <w:szCs w:val="20"/>
              </w:rPr>
              <w:t>6)</w:t>
            </w:r>
          </w:p>
        </w:tc>
        <w:tc>
          <w:tcPr>
            <w:tcW w:w="567" w:type="dxa"/>
            <w:tcBorders>
              <w:top w:val="none" w:sz="0" w:space="0" w:color="auto"/>
              <w:bottom w:val="none" w:sz="0" w:space="0" w:color="auto"/>
            </w:tcBorders>
          </w:tcPr>
          <w:p w:rsidR="005D7390" w:rsidRPr="00E569E1" w:rsidRDefault="008D755B"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c>
          <w:tcPr>
            <w:tcW w:w="850" w:type="dxa"/>
            <w:gridSpan w:val="2"/>
            <w:tcBorders>
              <w:top w:val="none" w:sz="0" w:space="0" w:color="auto"/>
              <w:bottom w:val="none" w:sz="0" w:space="0" w:color="auto"/>
            </w:tcBorders>
          </w:tcPr>
          <w:p w:rsidR="005D7390" w:rsidRPr="00E569E1" w:rsidRDefault="008D755B"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r>
      <w:tr w:rsidR="005D7390" w:rsidRPr="005D7390" w:rsidTr="008A25D1">
        <w:tc>
          <w:tcPr>
            <w:cnfStyle w:val="001000000000"/>
            <w:tcW w:w="911" w:type="dxa"/>
            <w:tcBorders>
              <w:right w:val="none" w:sz="0" w:space="0" w:color="auto"/>
            </w:tcBorders>
          </w:tcPr>
          <w:p w:rsidR="005D7390" w:rsidRPr="00E569E1" w:rsidRDefault="005D7390" w:rsidP="00521368">
            <w:pPr>
              <w:pStyle w:val="ExampleSub"/>
              <w:keepNext w:val="0"/>
              <w:keepLines w:val="0"/>
              <w:ind w:left="0"/>
              <w:jc w:val="center"/>
              <w:rPr>
                <w:rFonts w:ascii="Arial" w:hAnsi="Arial" w:cs="Arial"/>
                <w:b w:val="0"/>
                <w:color w:val="auto"/>
                <w:sz w:val="20"/>
                <w:szCs w:val="20"/>
              </w:rPr>
            </w:pPr>
          </w:p>
        </w:tc>
        <w:tc>
          <w:tcPr>
            <w:tcW w:w="700"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72"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686"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53" w:type="dxa"/>
          </w:tcPr>
          <w:p w:rsidR="005D7390" w:rsidRPr="005D7390" w:rsidRDefault="005D7390" w:rsidP="00E029AB">
            <w:pPr>
              <w:pStyle w:val="ExampleSub"/>
              <w:keepNext w:val="0"/>
              <w:keepLines w:val="0"/>
              <w:ind w:left="0"/>
              <w:cnfStyle w:val="000000000000"/>
              <w:rPr>
                <w:rFonts w:ascii="Arial" w:hAnsi="Arial" w:cs="Arial"/>
                <w:color w:val="auto"/>
                <w:sz w:val="24"/>
                <w:szCs w:val="24"/>
              </w:rPr>
            </w:pPr>
          </w:p>
        </w:tc>
        <w:tc>
          <w:tcPr>
            <w:tcW w:w="709" w:type="dxa"/>
            <w:gridSpan w:val="2"/>
          </w:tcPr>
          <w:p w:rsidR="005D7390" w:rsidRPr="005D7390" w:rsidRDefault="005D7390" w:rsidP="00E029AB">
            <w:pPr>
              <w:pStyle w:val="ExampleSub"/>
              <w:keepNext w:val="0"/>
              <w:keepLines w:val="0"/>
              <w:ind w:left="0"/>
              <w:cnfStyle w:val="000000000000"/>
              <w:rPr>
                <w:rFonts w:ascii="Arial" w:hAnsi="Arial" w:cs="Arial"/>
                <w:color w:val="auto"/>
                <w:sz w:val="24"/>
                <w:szCs w:val="24"/>
              </w:rPr>
            </w:pPr>
          </w:p>
        </w:tc>
        <w:tc>
          <w:tcPr>
            <w:tcW w:w="5658" w:type="dxa"/>
            <w:gridSpan w:val="6"/>
          </w:tcPr>
          <w:p w:rsidR="005D7390" w:rsidRPr="005D7390" w:rsidRDefault="005D7390" w:rsidP="00E029AB">
            <w:pPr>
              <w:pStyle w:val="ExampleSub"/>
              <w:keepNext w:val="0"/>
              <w:keepLines w:val="0"/>
              <w:ind w:left="0"/>
              <w:cnfStyle w:val="000000000000"/>
              <w:rPr>
                <w:rFonts w:ascii="Arial" w:hAnsi="Arial" w:cs="Arial"/>
                <w:b w:val="0"/>
                <w:color w:val="auto"/>
                <w:sz w:val="22"/>
                <w:szCs w:val="22"/>
              </w:rPr>
            </w:pPr>
            <w:r w:rsidRPr="005D7390">
              <w:rPr>
                <w:rFonts w:ascii="Arial" w:hAnsi="Arial" w:cs="Arial"/>
                <w:color w:val="auto"/>
                <w:sz w:val="22"/>
                <w:szCs w:val="22"/>
              </w:rPr>
              <w:t>Adjustments involving the Pensions Reserve:</w:t>
            </w:r>
          </w:p>
        </w:tc>
        <w:tc>
          <w:tcPr>
            <w:tcW w:w="869" w:type="dxa"/>
            <w:gridSpan w:val="5"/>
          </w:tcPr>
          <w:p w:rsidR="005D7390" w:rsidRPr="00E569E1"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723" w:type="dxa"/>
            <w:gridSpan w:val="4"/>
          </w:tcPr>
          <w:p w:rsidR="005D7390" w:rsidRPr="00E569E1"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712" w:type="dxa"/>
          </w:tcPr>
          <w:p w:rsidR="005D7390" w:rsidRPr="00E569E1"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851" w:type="dxa"/>
            <w:gridSpan w:val="2"/>
          </w:tcPr>
          <w:p w:rsidR="005D7390" w:rsidRPr="00E569E1"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567" w:type="dxa"/>
          </w:tcPr>
          <w:p w:rsidR="005D7390" w:rsidRPr="00E569E1"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850" w:type="dxa"/>
            <w:gridSpan w:val="2"/>
          </w:tcPr>
          <w:p w:rsidR="005D7390" w:rsidRPr="00E569E1" w:rsidRDefault="005D7390" w:rsidP="004A3D95">
            <w:pPr>
              <w:pStyle w:val="ExampleSub"/>
              <w:keepNext w:val="0"/>
              <w:keepLines w:val="0"/>
              <w:ind w:left="0"/>
              <w:jc w:val="center"/>
              <w:cnfStyle w:val="000000000000"/>
              <w:rPr>
                <w:rFonts w:ascii="Arial" w:hAnsi="Arial" w:cs="Arial"/>
                <w:bCs w:val="0"/>
                <w:color w:val="auto"/>
                <w:sz w:val="20"/>
                <w:szCs w:val="20"/>
              </w:rPr>
            </w:pP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E569E1" w:rsidRDefault="005D7390" w:rsidP="00521368">
            <w:pPr>
              <w:pStyle w:val="ExampleSub"/>
              <w:keepNext w:val="0"/>
              <w:keepLines w:val="0"/>
              <w:ind w:left="0"/>
              <w:jc w:val="center"/>
              <w:rPr>
                <w:rFonts w:ascii="Arial" w:hAnsi="Arial" w:cs="Arial"/>
                <w:b w:val="0"/>
                <w:color w:val="auto"/>
                <w:sz w:val="20"/>
                <w:szCs w:val="20"/>
              </w:rPr>
            </w:pPr>
            <w:r w:rsidRPr="00E569E1">
              <w:rPr>
                <w:rFonts w:ascii="Arial" w:hAnsi="Arial" w:cs="Arial"/>
                <w:b w:val="0"/>
                <w:color w:val="auto"/>
                <w:sz w:val="20"/>
                <w:szCs w:val="20"/>
              </w:rPr>
              <w:t>(13.0)</w:t>
            </w:r>
          </w:p>
        </w:tc>
        <w:tc>
          <w:tcPr>
            <w:tcW w:w="700"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(1.6)</w:t>
            </w:r>
          </w:p>
        </w:tc>
        <w:tc>
          <w:tcPr>
            <w:tcW w:w="872"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5.2</w:t>
            </w:r>
          </w:p>
        </w:tc>
        <w:tc>
          <w:tcPr>
            <w:tcW w:w="686"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9.4</w:t>
            </w:r>
          </w:p>
        </w:tc>
        <w:tc>
          <w:tcPr>
            <w:tcW w:w="853" w:type="dxa"/>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color w:val="auto"/>
                <w:sz w:val="20"/>
                <w:szCs w:val="20"/>
              </w:rPr>
              <w:t>-</w:t>
            </w:r>
          </w:p>
        </w:tc>
        <w:tc>
          <w:tcPr>
            <w:tcW w:w="5658" w:type="dxa"/>
            <w:gridSpan w:val="6"/>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color w:val="auto"/>
                <w:sz w:val="20"/>
                <w:szCs w:val="20"/>
              </w:rPr>
              <w:t>c/f</w:t>
            </w:r>
          </w:p>
        </w:tc>
        <w:tc>
          <w:tcPr>
            <w:tcW w:w="869" w:type="dxa"/>
            <w:gridSpan w:val="5"/>
            <w:tcBorders>
              <w:top w:val="none" w:sz="0" w:space="0" w:color="auto"/>
              <w:bottom w:val="none" w:sz="0" w:space="0" w:color="auto"/>
            </w:tcBorders>
          </w:tcPr>
          <w:p w:rsidR="005D7390" w:rsidRPr="00E569E1" w:rsidRDefault="00361186" w:rsidP="00CA7804">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(16.</w:t>
            </w:r>
            <w:r w:rsidR="00CA7804">
              <w:rPr>
                <w:rFonts w:ascii="Arial" w:hAnsi="Arial" w:cs="Arial"/>
                <w:bCs w:val="0"/>
                <w:color w:val="auto"/>
                <w:sz w:val="20"/>
                <w:szCs w:val="20"/>
              </w:rPr>
              <w:t>7</w:t>
            </w:r>
            <w:r>
              <w:rPr>
                <w:rFonts w:ascii="Arial" w:hAnsi="Arial" w:cs="Arial"/>
                <w:bCs w:val="0"/>
                <w:color w:val="auto"/>
                <w:sz w:val="20"/>
                <w:szCs w:val="20"/>
              </w:rPr>
              <w:t>)</w:t>
            </w:r>
          </w:p>
        </w:tc>
        <w:tc>
          <w:tcPr>
            <w:tcW w:w="723" w:type="dxa"/>
            <w:gridSpan w:val="4"/>
            <w:tcBorders>
              <w:top w:val="none" w:sz="0" w:space="0" w:color="auto"/>
              <w:bottom w:val="none" w:sz="0" w:space="0" w:color="auto"/>
            </w:tcBorders>
          </w:tcPr>
          <w:p w:rsidR="005D7390" w:rsidRPr="00E569E1" w:rsidRDefault="00361186"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2.</w:t>
            </w:r>
            <w:r w:rsidR="00447195">
              <w:rPr>
                <w:rFonts w:ascii="Arial" w:hAnsi="Arial" w:cs="Arial"/>
                <w:bCs w:val="0"/>
                <w:color w:val="auto"/>
                <w:sz w:val="20"/>
                <w:szCs w:val="20"/>
              </w:rPr>
              <w:t>0</w:t>
            </w:r>
          </w:p>
        </w:tc>
        <w:tc>
          <w:tcPr>
            <w:tcW w:w="712" w:type="dxa"/>
            <w:tcBorders>
              <w:top w:val="none" w:sz="0" w:space="0" w:color="auto"/>
              <w:bottom w:val="none" w:sz="0" w:space="0" w:color="auto"/>
            </w:tcBorders>
          </w:tcPr>
          <w:p w:rsidR="005D7390" w:rsidRPr="00E569E1" w:rsidRDefault="00361186"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1.0</w:t>
            </w:r>
          </w:p>
        </w:tc>
        <w:tc>
          <w:tcPr>
            <w:tcW w:w="851" w:type="dxa"/>
            <w:gridSpan w:val="2"/>
            <w:tcBorders>
              <w:top w:val="none" w:sz="0" w:space="0" w:color="auto"/>
              <w:bottom w:val="none" w:sz="0" w:space="0" w:color="auto"/>
            </w:tcBorders>
          </w:tcPr>
          <w:p w:rsidR="005D7390" w:rsidRPr="00E569E1" w:rsidRDefault="00447195" w:rsidP="00CA7804">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13.</w:t>
            </w:r>
            <w:r w:rsidR="00CA7804">
              <w:rPr>
                <w:rFonts w:ascii="Arial" w:hAnsi="Arial" w:cs="Arial"/>
                <w:bCs w:val="0"/>
                <w:color w:val="auto"/>
                <w:sz w:val="20"/>
                <w:szCs w:val="20"/>
              </w:rPr>
              <w:t>7</w:t>
            </w:r>
          </w:p>
        </w:tc>
        <w:tc>
          <w:tcPr>
            <w:tcW w:w="567" w:type="dxa"/>
            <w:tcBorders>
              <w:top w:val="none" w:sz="0" w:space="0" w:color="auto"/>
              <w:bottom w:val="none" w:sz="0" w:space="0" w:color="auto"/>
            </w:tcBorders>
          </w:tcPr>
          <w:p w:rsidR="005D7390" w:rsidRPr="00E569E1" w:rsidRDefault="007D217A"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c>
          <w:tcPr>
            <w:tcW w:w="850" w:type="dxa"/>
            <w:gridSpan w:val="2"/>
            <w:tcBorders>
              <w:top w:val="none" w:sz="0" w:space="0" w:color="auto"/>
              <w:bottom w:val="none" w:sz="0" w:space="0" w:color="auto"/>
            </w:tcBorders>
          </w:tcPr>
          <w:p w:rsidR="005D7390" w:rsidRPr="00E569E1" w:rsidRDefault="007D217A"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r>
      <w:tr w:rsidR="005D7390" w:rsidRPr="005D7390" w:rsidTr="008A25D1">
        <w:trPr>
          <w:trHeight w:val="355"/>
        </w:trPr>
        <w:tc>
          <w:tcPr>
            <w:cnfStyle w:val="001000000000"/>
            <w:tcW w:w="2483" w:type="dxa"/>
            <w:gridSpan w:val="3"/>
            <w:tcBorders>
              <w:right w:val="none" w:sz="0" w:space="0" w:color="auto"/>
            </w:tcBorders>
            <w:shd w:val="clear" w:color="auto" w:fill="4BACC6" w:themeFill="accent5"/>
          </w:tcPr>
          <w:p w:rsidR="005D7390" w:rsidRPr="005D7390" w:rsidRDefault="005D7390" w:rsidP="009F52C9">
            <w:pPr>
              <w:pStyle w:val="ExampleSub"/>
              <w:keepNext w:val="0"/>
              <w:keepLines w:val="0"/>
              <w:ind w:left="0"/>
              <w:jc w:val="center"/>
              <w:rPr>
                <w:rFonts w:ascii="Arial" w:hAnsi="Arial" w:cs="Arial"/>
                <w:color w:val="auto"/>
                <w:sz w:val="20"/>
                <w:szCs w:val="20"/>
              </w:rPr>
            </w:pPr>
            <w:r w:rsidRPr="005D7390">
              <w:rPr>
                <w:rFonts w:ascii="Arial" w:hAnsi="Arial" w:cs="Arial"/>
                <w:color w:val="auto"/>
                <w:sz w:val="18"/>
                <w:szCs w:val="18"/>
              </w:rPr>
              <w:lastRenderedPageBreak/>
              <w:t>Useable Reserves</w:t>
            </w:r>
          </w:p>
        </w:tc>
        <w:tc>
          <w:tcPr>
            <w:tcW w:w="2248" w:type="dxa"/>
            <w:gridSpan w:val="4"/>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color w:val="auto"/>
                <w:sz w:val="24"/>
                <w:szCs w:val="24"/>
              </w:rPr>
            </w:pPr>
            <w:r w:rsidRPr="005D7390">
              <w:rPr>
                <w:rFonts w:ascii="Arial" w:hAnsi="Arial" w:cs="Arial"/>
                <w:bCs w:val="0"/>
                <w:color w:val="auto"/>
                <w:sz w:val="18"/>
                <w:szCs w:val="18"/>
              </w:rPr>
              <w:t>Unusable Reserves</w:t>
            </w:r>
          </w:p>
        </w:tc>
        <w:tc>
          <w:tcPr>
            <w:tcW w:w="5791" w:type="dxa"/>
            <w:gridSpan w:val="7"/>
            <w:shd w:val="clear" w:color="auto" w:fill="4BACC6" w:themeFill="accent5"/>
          </w:tcPr>
          <w:p w:rsidR="005D7390" w:rsidRPr="005D7390" w:rsidRDefault="005D7390" w:rsidP="004A3D95">
            <w:pPr>
              <w:pStyle w:val="ExampleSub"/>
              <w:keepNext w:val="0"/>
              <w:keepLines w:val="0"/>
              <w:ind w:left="0"/>
              <w:jc w:val="center"/>
              <w:cnfStyle w:val="000000000000"/>
              <w:rPr>
                <w:rFonts w:ascii="Arial" w:hAnsi="Arial" w:cs="Arial"/>
                <w:color w:val="auto"/>
                <w:sz w:val="24"/>
                <w:szCs w:val="24"/>
              </w:rPr>
            </w:pPr>
          </w:p>
        </w:tc>
        <w:tc>
          <w:tcPr>
            <w:tcW w:w="2171" w:type="dxa"/>
            <w:gridSpan w:val="9"/>
            <w:shd w:val="clear" w:color="auto" w:fill="4BACC6" w:themeFill="accent5"/>
          </w:tcPr>
          <w:p w:rsidR="005D7390" w:rsidRPr="005D7390" w:rsidRDefault="005D7390" w:rsidP="004A3D95">
            <w:pPr>
              <w:pStyle w:val="ExampleSub"/>
              <w:keepNext w:val="0"/>
              <w:keepLines w:val="0"/>
              <w:ind w:left="0"/>
              <w:jc w:val="center"/>
              <w:cnfStyle w:val="000000000000"/>
              <w:rPr>
                <w:rFonts w:ascii="Arial" w:hAnsi="Arial" w:cs="Arial"/>
                <w:bCs w:val="0"/>
                <w:color w:val="auto"/>
                <w:sz w:val="20"/>
                <w:szCs w:val="20"/>
              </w:rPr>
            </w:pPr>
            <w:r w:rsidRPr="005D7390">
              <w:rPr>
                <w:rFonts w:ascii="Arial" w:hAnsi="Arial" w:cs="Arial"/>
                <w:bCs w:val="0"/>
                <w:color w:val="auto"/>
                <w:sz w:val="20"/>
                <w:szCs w:val="20"/>
              </w:rPr>
              <w:t>Useable Reserves</w:t>
            </w:r>
          </w:p>
        </w:tc>
        <w:tc>
          <w:tcPr>
            <w:tcW w:w="2268" w:type="dxa"/>
            <w:gridSpan w:val="5"/>
            <w:shd w:val="clear" w:color="auto" w:fill="4BACC6" w:themeFill="accent5"/>
          </w:tcPr>
          <w:p w:rsidR="005D7390" w:rsidRPr="005D7390" w:rsidRDefault="005D7390" w:rsidP="004A3D95">
            <w:pPr>
              <w:pStyle w:val="ExampleSub"/>
              <w:ind w:left="0"/>
              <w:jc w:val="center"/>
              <w:cnfStyle w:val="000000000000"/>
              <w:rPr>
                <w:rFonts w:ascii="Arial" w:hAnsi="Arial" w:cs="Arial"/>
                <w:bCs w:val="0"/>
                <w:color w:val="auto"/>
                <w:sz w:val="20"/>
                <w:szCs w:val="20"/>
              </w:rPr>
            </w:pPr>
            <w:r w:rsidRPr="005D7390">
              <w:rPr>
                <w:rFonts w:ascii="Arial" w:hAnsi="Arial" w:cs="Arial"/>
                <w:bCs w:val="0"/>
                <w:color w:val="auto"/>
                <w:sz w:val="20"/>
                <w:szCs w:val="20"/>
              </w:rPr>
              <w:t>Unuseable Reserves</w:t>
            </w:r>
          </w:p>
        </w:tc>
      </w:tr>
      <w:tr w:rsidR="005D7390" w:rsidRPr="005D7390" w:rsidTr="008A25D1">
        <w:trPr>
          <w:cnfStyle w:val="000000100000"/>
          <w:trHeight w:val="1701"/>
        </w:trPr>
        <w:tc>
          <w:tcPr>
            <w:cnfStyle w:val="001000000000"/>
            <w:tcW w:w="911" w:type="dxa"/>
            <w:tcBorders>
              <w:top w:val="none" w:sz="0" w:space="0" w:color="auto"/>
              <w:bottom w:val="none" w:sz="0" w:space="0" w:color="auto"/>
              <w:right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rPr>
                <w:rFonts w:ascii="Arial" w:hAnsi="Arial" w:cs="Arial"/>
                <w:color w:val="auto"/>
                <w:sz w:val="20"/>
                <w:szCs w:val="20"/>
              </w:rPr>
            </w:pPr>
            <w:r w:rsidRPr="005D7390">
              <w:rPr>
                <w:rFonts w:ascii="Arial" w:hAnsi="Arial" w:cs="Arial"/>
                <w:color w:val="auto"/>
                <w:sz w:val="20"/>
                <w:szCs w:val="20"/>
              </w:rPr>
              <w:t>General Fund</w:t>
            </w:r>
          </w:p>
        </w:tc>
        <w:tc>
          <w:tcPr>
            <w:tcW w:w="700"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872"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Grants Unappl’d</w:t>
            </w:r>
          </w:p>
        </w:tc>
        <w:tc>
          <w:tcPr>
            <w:tcW w:w="686"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853" w:type="dxa"/>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Cs w:val="0"/>
                <w:color w:val="auto"/>
                <w:sz w:val="22"/>
                <w:szCs w:val="22"/>
              </w:rPr>
            </w:pPr>
            <w:r w:rsidRPr="005D7390">
              <w:rPr>
                <w:rFonts w:ascii="Arial" w:hAnsi="Arial" w:cs="Arial"/>
                <w:b w:val="0"/>
                <w:bCs w:val="0"/>
                <w:color w:val="auto"/>
                <w:sz w:val="20"/>
                <w:szCs w:val="20"/>
              </w:rPr>
              <w:t xml:space="preserve">Pension </w:t>
            </w:r>
          </w:p>
        </w:tc>
        <w:tc>
          <w:tcPr>
            <w:tcW w:w="709" w:type="dxa"/>
            <w:gridSpan w:val="2"/>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Other</w:t>
            </w:r>
          </w:p>
        </w:tc>
        <w:tc>
          <w:tcPr>
            <w:tcW w:w="5522" w:type="dxa"/>
            <w:gridSpan w:val="4"/>
            <w:tcBorders>
              <w:top w:val="none" w:sz="0" w:space="0" w:color="auto"/>
              <w:bottom w:val="none" w:sz="0" w:space="0" w:color="auto"/>
            </w:tcBorders>
            <w:shd w:val="clear" w:color="auto" w:fill="4BACC6" w:themeFill="accent5"/>
            <w:textDirection w:val="btLr"/>
          </w:tcPr>
          <w:p w:rsidR="005D7390" w:rsidRPr="005D7390" w:rsidRDefault="005D7390" w:rsidP="009F52C9">
            <w:pPr>
              <w:pStyle w:val="ExampleSub"/>
              <w:keepNext w:val="0"/>
              <w:keepLines w:val="0"/>
              <w:ind w:left="113" w:right="113"/>
              <w:cnfStyle w:val="000000100000"/>
              <w:rPr>
                <w:rFonts w:ascii="Arial" w:hAnsi="Arial" w:cs="Arial"/>
                <w:bCs w:val="0"/>
                <w:color w:val="auto"/>
                <w:sz w:val="22"/>
                <w:szCs w:val="22"/>
              </w:rPr>
            </w:pPr>
          </w:p>
        </w:tc>
        <w:tc>
          <w:tcPr>
            <w:tcW w:w="860" w:type="dxa"/>
            <w:gridSpan w:val="6"/>
            <w:tcBorders>
              <w:top w:val="none" w:sz="0" w:space="0" w:color="auto"/>
              <w:bottom w:val="none" w:sz="0" w:space="0" w:color="auto"/>
            </w:tcBorders>
            <w:shd w:val="clear" w:color="auto" w:fill="4BACC6" w:themeFill="accent5"/>
            <w:textDirection w:val="btLr"/>
          </w:tcPr>
          <w:p w:rsidR="005D7390" w:rsidRPr="005D7390" w:rsidRDefault="005D7390" w:rsidP="004A3D95">
            <w:pPr>
              <w:pStyle w:val="ExampleSub"/>
              <w:keepNext w:val="0"/>
              <w:keepLines w:val="0"/>
              <w:ind w:left="113" w:right="113"/>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General Fund</w:t>
            </w:r>
          </w:p>
        </w:tc>
        <w:tc>
          <w:tcPr>
            <w:tcW w:w="724" w:type="dxa"/>
            <w:gridSpan w:val="4"/>
            <w:tcBorders>
              <w:top w:val="none" w:sz="0" w:space="0" w:color="auto"/>
              <w:bottom w:val="none" w:sz="0" w:space="0" w:color="auto"/>
            </w:tcBorders>
            <w:shd w:val="clear" w:color="auto" w:fill="4BACC6" w:themeFill="accent5"/>
            <w:textDirection w:val="btLr"/>
          </w:tcPr>
          <w:p w:rsidR="005D7390" w:rsidRPr="005D7390" w:rsidRDefault="005D7390" w:rsidP="004A3D95">
            <w:pPr>
              <w:pStyle w:val="ExampleSub"/>
              <w:keepNext w:val="0"/>
              <w:keepLines w:val="0"/>
              <w:ind w:left="113" w:right="113"/>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856" w:type="dxa"/>
            <w:gridSpan w:val="2"/>
            <w:tcBorders>
              <w:top w:val="none" w:sz="0" w:space="0" w:color="auto"/>
              <w:bottom w:val="none" w:sz="0" w:space="0" w:color="auto"/>
            </w:tcBorders>
            <w:shd w:val="clear" w:color="auto" w:fill="4BACC6" w:themeFill="accent5"/>
            <w:textDirection w:val="btLr"/>
          </w:tcPr>
          <w:p w:rsidR="005D7390" w:rsidRPr="005D7390" w:rsidRDefault="005D7390" w:rsidP="00E53028">
            <w:pPr>
              <w:pStyle w:val="ExampleSub"/>
              <w:keepNext w:val="0"/>
              <w:keepLines w:val="0"/>
              <w:ind w:left="113" w:right="113"/>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Grants Unappl’d</w:t>
            </w:r>
          </w:p>
        </w:tc>
        <w:tc>
          <w:tcPr>
            <w:tcW w:w="709" w:type="dxa"/>
            <w:tcBorders>
              <w:top w:val="none" w:sz="0" w:space="0" w:color="auto"/>
              <w:bottom w:val="none" w:sz="0" w:space="0" w:color="auto"/>
            </w:tcBorders>
            <w:shd w:val="clear" w:color="auto" w:fill="4BACC6" w:themeFill="accent5"/>
            <w:textDirection w:val="btLr"/>
          </w:tcPr>
          <w:p w:rsidR="005D7390" w:rsidRPr="005D7390" w:rsidRDefault="005D7390" w:rsidP="004A3D95">
            <w:pPr>
              <w:pStyle w:val="ExampleSub"/>
              <w:keepNext w:val="0"/>
              <w:keepLines w:val="0"/>
              <w:ind w:left="113" w:right="113"/>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709" w:type="dxa"/>
            <w:gridSpan w:val="2"/>
            <w:tcBorders>
              <w:top w:val="none" w:sz="0" w:space="0" w:color="auto"/>
              <w:bottom w:val="none" w:sz="0" w:space="0" w:color="auto"/>
            </w:tcBorders>
            <w:shd w:val="clear" w:color="auto" w:fill="4BACC6" w:themeFill="accent5"/>
            <w:textDirection w:val="btLr"/>
          </w:tcPr>
          <w:p w:rsidR="005D7390" w:rsidRPr="005D7390" w:rsidRDefault="005D7390" w:rsidP="004A3D95">
            <w:pPr>
              <w:pStyle w:val="ExampleSub"/>
              <w:keepNext w:val="0"/>
              <w:keepLines w:val="0"/>
              <w:ind w:left="113" w:right="113"/>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Pension</w:t>
            </w:r>
          </w:p>
        </w:tc>
        <w:tc>
          <w:tcPr>
            <w:tcW w:w="850" w:type="dxa"/>
            <w:gridSpan w:val="2"/>
            <w:tcBorders>
              <w:top w:val="none" w:sz="0" w:space="0" w:color="auto"/>
              <w:bottom w:val="none" w:sz="0" w:space="0" w:color="auto"/>
            </w:tcBorders>
            <w:shd w:val="clear" w:color="auto" w:fill="4BACC6" w:themeFill="accent5"/>
            <w:textDirection w:val="btLr"/>
          </w:tcPr>
          <w:p w:rsidR="005D7390" w:rsidRPr="005D7390" w:rsidRDefault="005D7390" w:rsidP="004A3D95">
            <w:pPr>
              <w:pStyle w:val="ExampleSub"/>
              <w:keepNext w:val="0"/>
              <w:keepLines w:val="0"/>
              <w:ind w:left="113" w:right="113"/>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Other</w:t>
            </w:r>
          </w:p>
        </w:tc>
      </w:tr>
      <w:tr w:rsidR="005D7390" w:rsidRPr="005D7390" w:rsidTr="008A25D1">
        <w:trPr>
          <w:trHeight w:hRule="exact" w:val="454"/>
        </w:trPr>
        <w:tc>
          <w:tcPr>
            <w:cnfStyle w:val="001000000000"/>
            <w:tcW w:w="911" w:type="dxa"/>
            <w:tcBorders>
              <w:right w:val="none" w:sz="0" w:space="0" w:color="auto"/>
            </w:tcBorders>
            <w:shd w:val="clear" w:color="auto" w:fill="4BACC6" w:themeFill="accent5"/>
          </w:tcPr>
          <w:p w:rsidR="005D7390" w:rsidRPr="005D7390" w:rsidRDefault="005D7390" w:rsidP="009F52C9">
            <w:pPr>
              <w:pStyle w:val="ExampleSub"/>
              <w:keepNext w:val="0"/>
              <w:keepLines w:val="0"/>
              <w:ind w:left="0"/>
              <w:jc w:val="center"/>
              <w:rPr>
                <w:rFonts w:ascii="Arial" w:hAnsi="Arial" w:cs="Arial"/>
                <w:color w:val="auto"/>
                <w:sz w:val="18"/>
                <w:szCs w:val="18"/>
              </w:rPr>
            </w:pPr>
            <w:r w:rsidRPr="005D7390">
              <w:rPr>
                <w:rFonts w:ascii="Arial" w:hAnsi="Arial" w:cs="Arial"/>
                <w:color w:val="auto"/>
                <w:sz w:val="18"/>
                <w:szCs w:val="18"/>
              </w:rPr>
              <w:t>£m</w:t>
            </w:r>
          </w:p>
        </w:tc>
        <w:tc>
          <w:tcPr>
            <w:tcW w:w="700" w:type="dxa"/>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72" w:type="dxa"/>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686" w:type="dxa"/>
            <w:shd w:val="clear" w:color="auto" w:fill="4BACC6" w:themeFill="accent5"/>
          </w:tcPr>
          <w:p w:rsidR="005D7390" w:rsidRPr="005D7390" w:rsidRDefault="005D7390" w:rsidP="009F52C9">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3" w:type="dxa"/>
            <w:shd w:val="clear" w:color="auto" w:fill="4BACC6" w:themeFill="accent5"/>
          </w:tcPr>
          <w:p w:rsidR="005D7390" w:rsidRPr="005D7390" w:rsidRDefault="005D7390" w:rsidP="009F52C9">
            <w:pPr>
              <w:pStyle w:val="ExampleSub"/>
              <w:keepNext w:val="0"/>
              <w:keepLines w:val="0"/>
              <w:ind w:left="0"/>
              <w:cnfStyle w:val="000000000000"/>
              <w:rPr>
                <w:rFonts w:ascii="Arial" w:hAnsi="Arial" w:cs="Arial"/>
                <w:b w:val="0"/>
                <w:color w:val="auto"/>
                <w:sz w:val="18"/>
                <w:szCs w:val="18"/>
              </w:rPr>
            </w:pPr>
            <w:r w:rsidRPr="005D7390">
              <w:rPr>
                <w:rFonts w:ascii="Arial" w:hAnsi="Arial" w:cs="Arial"/>
                <w:b w:val="0"/>
                <w:color w:val="auto"/>
                <w:sz w:val="18"/>
                <w:szCs w:val="18"/>
              </w:rPr>
              <w:t>£m</w:t>
            </w:r>
          </w:p>
        </w:tc>
        <w:tc>
          <w:tcPr>
            <w:tcW w:w="709" w:type="dxa"/>
            <w:gridSpan w:val="2"/>
            <w:shd w:val="clear" w:color="auto" w:fill="4BACC6" w:themeFill="accent5"/>
          </w:tcPr>
          <w:p w:rsidR="005D7390" w:rsidRPr="005D7390" w:rsidRDefault="005D7390" w:rsidP="009F52C9">
            <w:pPr>
              <w:pStyle w:val="ExampleSub"/>
              <w:keepNext w:val="0"/>
              <w:keepLines w:val="0"/>
              <w:ind w:left="0"/>
              <w:cnfStyle w:val="000000000000"/>
              <w:rPr>
                <w:rFonts w:ascii="Arial" w:hAnsi="Arial" w:cs="Arial"/>
                <w:b w:val="0"/>
                <w:color w:val="auto"/>
                <w:sz w:val="18"/>
                <w:szCs w:val="18"/>
              </w:rPr>
            </w:pPr>
            <w:r w:rsidRPr="005D7390">
              <w:rPr>
                <w:rFonts w:ascii="Arial" w:hAnsi="Arial" w:cs="Arial"/>
                <w:b w:val="0"/>
                <w:color w:val="auto"/>
                <w:sz w:val="18"/>
                <w:szCs w:val="18"/>
              </w:rPr>
              <w:t>£m</w:t>
            </w:r>
          </w:p>
        </w:tc>
        <w:tc>
          <w:tcPr>
            <w:tcW w:w="5522" w:type="dxa"/>
            <w:gridSpan w:val="4"/>
            <w:shd w:val="clear" w:color="auto" w:fill="4BACC6" w:themeFill="accent5"/>
          </w:tcPr>
          <w:p w:rsidR="005D7390" w:rsidRPr="005D7390" w:rsidRDefault="005D7390" w:rsidP="009F52C9">
            <w:pPr>
              <w:pStyle w:val="ExampleSub"/>
              <w:keepNext w:val="0"/>
              <w:keepLines w:val="0"/>
              <w:ind w:left="0"/>
              <w:cnfStyle w:val="000000000000"/>
              <w:rPr>
                <w:rFonts w:ascii="Arial" w:hAnsi="Arial" w:cs="Arial"/>
                <w:b w:val="0"/>
                <w:color w:val="auto"/>
                <w:sz w:val="18"/>
                <w:szCs w:val="18"/>
              </w:rPr>
            </w:pPr>
          </w:p>
        </w:tc>
        <w:tc>
          <w:tcPr>
            <w:tcW w:w="860" w:type="dxa"/>
            <w:gridSpan w:val="6"/>
            <w:shd w:val="clear" w:color="auto" w:fill="4BACC6" w:themeFill="accent5"/>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24" w:type="dxa"/>
            <w:gridSpan w:val="4"/>
            <w:shd w:val="clear" w:color="auto" w:fill="4BACC6" w:themeFill="accent5"/>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6" w:type="dxa"/>
            <w:gridSpan w:val="2"/>
            <w:shd w:val="clear" w:color="auto" w:fill="4BACC6" w:themeFill="accent5"/>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09" w:type="dxa"/>
            <w:shd w:val="clear" w:color="auto" w:fill="4BACC6" w:themeFill="accent5"/>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09" w:type="dxa"/>
            <w:gridSpan w:val="2"/>
            <w:shd w:val="clear" w:color="auto" w:fill="4BACC6" w:themeFill="accent5"/>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0" w:type="dxa"/>
            <w:gridSpan w:val="2"/>
            <w:shd w:val="clear" w:color="auto" w:fill="4BACC6" w:themeFill="accent5"/>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873211" w:rsidRDefault="005D7390" w:rsidP="00521368">
            <w:pPr>
              <w:pStyle w:val="ExampleSub"/>
              <w:keepNext w:val="0"/>
              <w:keepLines w:val="0"/>
              <w:ind w:left="0"/>
              <w:jc w:val="center"/>
              <w:rPr>
                <w:rFonts w:ascii="Arial" w:hAnsi="Arial" w:cs="Arial"/>
                <w:b w:val="0"/>
                <w:color w:val="auto"/>
                <w:sz w:val="20"/>
                <w:szCs w:val="20"/>
              </w:rPr>
            </w:pPr>
            <w:r w:rsidRPr="00873211">
              <w:rPr>
                <w:rFonts w:ascii="Arial" w:hAnsi="Arial" w:cs="Arial"/>
                <w:b w:val="0"/>
                <w:color w:val="auto"/>
                <w:sz w:val="20"/>
                <w:szCs w:val="20"/>
              </w:rPr>
              <w:t>(13.0)</w:t>
            </w:r>
          </w:p>
        </w:tc>
        <w:tc>
          <w:tcPr>
            <w:tcW w:w="700"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(1.6)</w:t>
            </w:r>
          </w:p>
        </w:tc>
        <w:tc>
          <w:tcPr>
            <w:tcW w:w="872"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5.2</w:t>
            </w:r>
          </w:p>
        </w:tc>
        <w:tc>
          <w:tcPr>
            <w:tcW w:w="686"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9.4</w:t>
            </w:r>
          </w:p>
        </w:tc>
        <w:tc>
          <w:tcPr>
            <w:tcW w:w="853"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w:t>
            </w:r>
          </w:p>
        </w:tc>
        <w:tc>
          <w:tcPr>
            <w:tcW w:w="5522" w:type="dxa"/>
            <w:gridSpan w:val="4"/>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color w:val="auto"/>
                <w:sz w:val="20"/>
                <w:szCs w:val="20"/>
              </w:rPr>
              <w:t>b/f</w:t>
            </w:r>
          </w:p>
        </w:tc>
        <w:tc>
          <w:tcPr>
            <w:tcW w:w="860" w:type="dxa"/>
            <w:gridSpan w:val="6"/>
            <w:tcBorders>
              <w:top w:val="none" w:sz="0" w:space="0" w:color="auto"/>
              <w:bottom w:val="none" w:sz="0" w:space="0" w:color="auto"/>
            </w:tcBorders>
          </w:tcPr>
          <w:p w:rsidR="005D7390" w:rsidRPr="007D217A" w:rsidRDefault="007D217A" w:rsidP="00CA7804">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(16.</w:t>
            </w:r>
            <w:r w:rsidR="00CA7804">
              <w:rPr>
                <w:rFonts w:ascii="Arial" w:hAnsi="Arial" w:cs="Arial"/>
                <w:bCs w:val="0"/>
                <w:color w:val="auto"/>
                <w:sz w:val="20"/>
                <w:szCs w:val="20"/>
              </w:rPr>
              <w:t>7</w:t>
            </w:r>
            <w:r w:rsidRPr="007D217A">
              <w:rPr>
                <w:rFonts w:ascii="Arial" w:hAnsi="Arial" w:cs="Arial"/>
                <w:bCs w:val="0"/>
                <w:color w:val="auto"/>
                <w:sz w:val="20"/>
                <w:szCs w:val="20"/>
              </w:rPr>
              <w:t>)</w:t>
            </w:r>
          </w:p>
        </w:tc>
        <w:tc>
          <w:tcPr>
            <w:tcW w:w="724" w:type="dxa"/>
            <w:gridSpan w:val="4"/>
            <w:tcBorders>
              <w:top w:val="none" w:sz="0" w:space="0" w:color="auto"/>
              <w:bottom w:val="none" w:sz="0" w:space="0" w:color="auto"/>
            </w:tcBorders>
          </w:tcPr>
          <w:p w:rsidR="005D7390" w:rsidRPr="007D217A" w:rsidRDefault="007D217A" w:rsidP="004A3D95">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2.0</w:t>
            </w:r>
          </w:p>
        </w:tc>
        <w:tc>
          <w:tcPr>
            <w:tcW w:w="856" w:type="dxa"/>
            <w:gridSpan w:val="2"/>
            <w:tcBorders>
              <w:top w:val="none" w:sz="0" w:space="0" w:color="auto"/>
              <w:bottom w:val="none" w:sz="0" w:space="0" w:color="auto"/>
            </w:tcBorders>
          </w:tcPr>
          <w:p w:rsidR="005D7390" w:rsidRPr="007D217A" w:rsidRDefault="007D217A" w:rsidP="004A3D95">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1.0</w:t>
            </w:r>
          </w:p>
        </w:tc>
        <w:tc>
          <w:tcPr>
            <w:tcW w:w="709" w:type="dxa"/>
            <w:tcBorders>
              <w:top w:val="none" w:sz="0" w:space="0" w:color="auto"/>
              <w:bottom w:val="none" w:sz="0" w:space="0" w:color="auto"/>
            </w:tcBorders>
          </w:tcPr>
          <w:p w:rsidR="005D7390" w:rsidRPr="007D217A" w:rsidRDefault="007D217A" w:rsidP="00CA7804">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13.</w:t>
            </w:r>
            <w:r w:rsidR="00CA7804">
              <w:rPr>
                <w:rFonts w:ascii="Arial" w:hAnsi="Arial" w:cs="Arial"/>
                <w:bCs w:val="0"/>
                <w:color w:val="auto"/>
                <w:sz w:val="20"/>
                <w:szCs w:val="20"/>
              </w:rPr>
              <w:t>7</w:t>
            </w:r>
          </w:p>
        </w:tc>
        <w:tc>
          <w:tcPr>
            <w:tcW w:w="709" w:type="dxa"/>
            <w:gridSpan w:val="2"/>
            <w:tcBorders>
              <w:top w:val="none" w:sz="0" w:space="0" w:color="auto"/>
              <w:bottom w:val="none" w:sz="0" w:space="0" w:color="auto"/>
            </w:tcBorders>
          </w:tcPr>
          <w:p w:rsidR="005D7390" w:rsidRPr="005D7390" w:rsidRDefault="007D217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0" w:type="dxa"/>
            <w:gridSpan w:val="2"/>
            <w:tcBorders>
              <w:top w:val="none" w:sz="0" w:space="0" w:color="auto"/>
              <w:bottom w:val="none" w:sz="0" w:space="0" w:color="auto"/>
            </w:tcBorders>
          </w:tcPr>
          <w:p w:rsidR="005D7390" w:rsidRPr="005D7390" w:rsidRDefault="007D217A" w:rsidP="004A3D95">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r>
      <w:tr w:rsidR="005D7390" w:rsidRPr="005D7390" w:rsidTr="008A25D1">
        <w:trPr>
          <w:trHeight w:val="700"/>
        </w:trPr>
        <w:tc>
          <w:tcPr>
            <w:cnfStyle w:val="001000000000"/>
            <w:tcW w:w="911" w:type="dxa"/>
            <w:tcBorders>
              <w:right w:val="none" w:sz="0" w:space="0" w:color="auto"/>
            </w:tcBorders>
          </w:tcPr>
          <w:p w:rsidR="005D7390" w:rsidRPr="00873211" w:rsidRDefault="005D7390" w:rsidP="00521368">
            <w:pPr>
              <w:pStyle w:val="ExampleSub"/>
              <w:keepNext w:val="0"/>
              <w:keepLines w:val="0"/>
              <w:ind w:left="0"/>
              <w:jc w:val="center"/>
              <w:rPr>
                <w:rFonts w:ascii="Arial" w:hAnsi="Arial" w:cs="Arial"/>
                <w:b w:val="0"/>
                <w:color w:val="auto"/>
                <w:sz w:val="20"/>
                <w:szCs w:val="20"/>
              </w:rPr>
            </w:pPr>
            <w:r w:rsidRPr="00873211">
              <w:rPr>
                <w:rFonts w:ascii="Arial" w:hAnsi="Arial" w:cs="Arial"/>
                <w:b w:val="0"/>
                <w:color w:val="auto"/>
                <w:sz w:val="20"/>
                <w:szCs w:val="20"/>
              </w:rPr>
              <w:t>(10.9)</w:t>
            </w:r>
          </w:p>
        </w:tc>
        <w:tc>
          <w:tcPr>
            <w:tcW w:w="700" w:type="dxa"/>
          </w:tcPr>
          <w:p w:rsidR="005D7390" w:rsidRPr="005D7390" w:rsidRDefault="00873211"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Pr>
          <w:p w:rsidR="005D7390" w:rsidRPr="005D7390" w:rsidRDefault="00873211"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Pr>
          <w:p w:rsidR="005D7390" w:rsidRPr="005D7390" w:rsidRDefault="00873211"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53"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10.9</w:t>
            </w:r>
          </w:p>
        </w:tc>
        <w:tc>
          <w:tcPr>
            <w:tcW w:w="709" w:type="dxa"/>
            <w:gridSpan w:val="2"/>
          </w:tcPr>
          <w:p w:rsidR="005D7390" w:rsidRPr="005D7390" w:rsidRDefault="00873211"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5522" w:type="dxa"/>
            <w:gridSpan w:val="4"/>
          </w:tcPr>
          <w:p w:rsidR="005D7390" w:rsidRPr="005D7390" w:rsidRDefault="005D7390" w:rsidP="0004535C">
            <w:pPr>
              <w:pStyle w:val="ExampleSub"/>
              <w:keepNext w:val="0"/>
              <w:keepLines w:val="0"/>
              <w:ind w:left="0"/>
              <w:cnfStyle w:val="000000000000"/>
              <w:rPr>
                <w:rFonts w:ascii="Arial" w:hAnsi="Arial" w:cs="Arial"/>
                <w:b w:val="0"/>
                <w:color w:val="auto"/>
                <w:sz w:val="20"/>
                <w:szCs w:val="20"/>
              </w:rPr>
            </w:pPr>
            <w:r w:rsidRPr="005D7390">
              <w:rPr>
                <w:rFonts w:ascii="Arial" w:hAnsi="Arial" w:cs="Arial"/>
                <w:b w:val="0"/>
                <w:color w:val="auto"/>
                <w:sz w:val="20"/>
                <w:szCs w:val="20"/>
              </w:rPr>
              <w:t>Reversal of items relating to retirement benefits debited or credited to the CI&amp;E Statement (see Note 38)</w:t>
            </w:r>
          </w:p>
        </w:tc>
        <w:tc>
          <w:tcPr>
            <w:tcW w:w="860" w:type="dxa"/>
            <w:gridSpan w:val="6"/>
          </w:tcPr>
          <w:p w:rsidR="005D7390" w:rsidRPr="007D217A" w:rsidRDefault="007D217A" w:rsidP="00151301">
            <w:pPr>
              <w:pStyle w:val="ExampleSub"/>
              <w:keepNext w:val="0"/>
              <w:keepLines w:val="0"/>
              <w:ind w:left="0"/>
              <w:jc w:val="center"/>
              <w:cnfStyle w:val="000000000000"/>
              <w:rPr>
                <w:rFonts w:ascii="Arial" w:hAnsi="Arial" w:cs="Arial"/>
                <w:bCs w:val="0"/>
                <w:color w:val="auto"/>
                <w:sz w:val="20"/>
                <w:szCs w:val="20"/>
              </w:rPr>
            </w:pPr>
            <w:r w:rsidRPr="007D217A">
              <w:rPr>
                <w:rFonts w:ascii="Arial" w:hAnsi="Arial" w:cs="Arial"/>
                <w:bCs w:val="0"/>
                <w:color w:val="auto"/>
                <w:sz w:val="20"/>
                <w:szCs w:val="20"/>
              </w:rPr>
              <w:t>(12.</w:t>
            </w:r>
            <w:r w:rsidR="00151301">
              <w:rPr>
                <w:rFonts w:ascii="Arial" w:hAnsi="Arial" w:cs="Arial"/>
                <w:bCs w:val="0"/>
                <w:color w:val="auto"/>
                <w:sz w:val="20"/>
                <w:szCs w:val="20"/>
              </w:rPr>
              <w:t>0</w:t>
            </w:r>
            <w:r w:rsidRPr="007D217A">
              <w:rPr>
                <w:rFonts w:ascii="Arial" w:hAnsi="Arial" w:cs="Arial"/>
                <w:bCs w:val="0"/>
                <w:color w:val="auto"/>
                <w:sz w:val="20"/>
                <w:szCs w:val="20"/>
              </w:rPr>
              <w:t>)</w:t>
            </w:r>
          </w:p>
        </w:tc>
        <w:tc>
          <w:tcPr>
            <w:tcW w:w="724" w:type="dxa"/>
            <w:gridSpan w:val="4"/>
          </w:tcPr>
          <w:p w:rsidR="005D7390" w:rsidRPr="007D217A" w:rsidRDefault="007D217A" w:rsidP="004A3D95">
            <w:pPr>
              <w:pStyle w:val="ExampleSub"/>
              <w:keepNext w:val="0"/>
              <w:keepLines w:val="0"/>
              <w:ind w:left="0"/>
              <w:jc w:val="center"/>
              <w:cnfStyle w:val="000000000000"/>
              <w:rPr>
                <w:rFonts w:ascii="Arial" w:hAnsi="Arial" w:cs="Arial"/>
                <w:bCs w:val="0"/>
                <w:color w:val="auto"/>
                <w:sz w:val="20"/>
                <w:szCs w:val="20"/>
              </w:rPr>
            </w:pPr>
            <w:r w:rsidRPr="007D217A">
              <w:rPr>
                <w:rFonts w:ascii="Arial" w:hAnsi="Arial" w:cs="Arial"/>
                <w:bCs w:val="0"/>
                <w:color w:val="auto"/>
                <w:sz w:val="20"/>
                <w:szCs w:val="20"/>
              </w:rPr>
              <w:t>-</w:t>
            </w:r>
          </w:p>
        </w:tc>
        <w:tc>
          <w:tcPr>
            <w:tcW w:w="856" w:type="dxa"/>
            <w:gridSpan w:val="2"/>
          </w:tcPr>
          <w:p w:rsidR="005D7390" w:rsidRPr="007D217A" w:rsidRDefault="007D217A" w:rsidP="004A3D95">
            <w:pPr>
              <w:pStyle w:val="ExampleSub"/>
              <w:keepNext w:val="0"/>
              <w:keepLines w:val="0"/>
              <w:ind w:left="0"/>
              <w:jc w:val="center"/>
              <w:cnfStyle w:val="000000000000"/>
              <w:rPr>
                <w:rFonts w:ascii="Arial" w:hAnsi="Arial" w:cs="Arial"/>
                <w:bCs w:val="0"/>
                <w:color w:val="auto"/>
                <w:sz w:val="20"/>
                <w:szCs w:val="20"/>
              </w:rPr>
            </w:pPr>
            <w:r w:rsidRPr="007D217A">
              <w:rPr>
                <w:rFonts w:ascii="Arial" w:hAnsi="Arial" w:cs="Arial"/>
                <w:bCs w:val="0"/>
                <w:color w:val="auto"/>
                <w:sz w:val="20"/>
                <w:szCs w:val="20"/>
              </w:rPr>
              <w:t>-</w:t>
            </w:r>
          </w:p>
        </w:tc>
        <w:tc>
          <w:tcPr>
            <w:tcW w:w="709" w:type="dxa"/>
          </w:tcPr>
          <w:p w:rsidR="005D7390" w:rsidRPr="007D217A" w:rsidRDefault="007D217A" w:rsidP="004A3D95">
            <w:pPr>
              <w:pStyle w:val="ExampleSub"/>
              <w:keepNext w:val="0"/>
              <w:keepLines w:val="0"/>
              <w:ind w:left="0"/>
              <w:jc w:val="center"/>
              <w:cnfStyle w:val="000000000000"/>
              <w:rPr>
                <w:rFonts w:ascii="Arial" w:hAnsi="Arial" w:cs="Arial"/>
                <w:bCs w:val="0"/>
                <w:color w:val="auto"/>
                <w:sz w:val="20"/>
                <w:szCs w:val="20"/>
              </w:rPr>
            </w:pPr>
            <w:r w:rsidRPr="007D217A">
              <w:rPr>
                <w:rFonts w:ascii="Arial" w:hAnsi="Arial" w:cs="Arial"/>
                <w:bCs w:val="0"/>
                <w:color w:val="auto"/>
                <w:sz w:val="20"/>
                <w:szCs w:val="20"/>
              </w:rPr>
              <w:t>-</w:t>
            </w:r>
          </w:p>
        </w:tc>
        <w:tc>
          <w:tcPr>
            <w:tcW w:w="709" w:type="dxa"/>
            <w:gridSpan w:val="2"/>
          </w:tcPr>
          <w:p w:rsidR="005D7390" w:rsidRPr="007D217A" w:rsidRDefault="007D217A" w:rsidP="00151301">
            <w:pPr>
              <w:pStyle w:val="ExampleSub"/>
              <w:keepNext w:val="0"/>
              <w:keepLines w:val="0"/>
              <w:ind w:left="0"/>
              <w:jc w:val="center"/>
              <w:cnfStyle w:val="000000000000"/>
              <w:rPr>
                <w:rFonts w:ascii="Arial" w:hAnsi="Arial" w:cs="Arial"/>
                <w:bCs w:val="0"/>
                <w:color w:val="auto"/>
                <w:sz w:val="20"/>
                <w:szCs w:val="20"/>
              </w:rPr>
            </w:pPr>
            <w:r w:rsidRPr="007D217A">
              <w:rPr>
                <w:rFonts w:ascii="Arial" w:hAnsi="Arial" w:cs="Arial"/>
                <w:bCs w:val="0"/>
                <w:color w:val="auto"/>
                <w:sz w:val="20"/>
                <w:szCs w:val="20"/>
              </w:rPr>
              <w:t>12.</w:t>
            </w:r>
            <w:r w:rsidR="00151301">
              <w:rPr>
                <w:rFonts w:ascii="Arial" w:hAnsi="Arial" w:cs="Arial"/>
                <w:bCs w:val="0"/>
                <w:color w:val="auto"/>
                <w:sz w:val="20"/>
                <w:szCs w:val="20"/>
              </w:rPr>
              <w:t>0</w:t>
            </w:r>
          </w:p>
        </w:tc>
        <w:tc>
          <w:tcPr>
            <w:tcW w:w="850" w:type="dxa"/>
            <w:gridSpan w:val="2"/>
          </w:tcPr>
          <w:p w:rsidR="005D7390" w:rsidRPr="007D217A" w:rsidRDefault="007D217A" w:rsidP="004A3D95">
            <w:pPr>
              <w:pStyle w:val="ExampleSub"/>
              <w:keepNext w:val="0"/>
              <w:keepLines w:val="0"/>
              <w:ind w:left="0"/>
              <w:jc w:val="center"/>
              <w:cnfStyle w:val="000000000000"/>
              <w:rPr>
                <w:rFonts w:ascii="Arial" w:hAnsi="Arial" w:cs="Arial"/>
                <w:bCs w:val="0"/>
                <w:color w:val="auto"/>
                <w:sz w:val="20"/>
                <w:szCs w:val="20"/>
              </w:rPr>
            </w:pPr>
            <w:r w:rsidRPr="007D217A">
              <w:rPr>
                <w:rFonts w:ascii="Arial" w:hAnsi="Arial" w:cs="Arial"/>
                <w:bCs w:val="0"/>
                <w:color w:val="auto"/>
                <w:sz w:val="20"/>
                <w:szCs w:val="20"/>
              </w:rPr>
              <w:t>-</w:t>
            </w:r>
          </w:p>
        </w:tc>
      </w:tr>
      <w:tr w:rsidR="005D7390" w:rsidRPr="005D7390" w:rsidTr="008A25D1">
        <w:trPr>
          <w:cnfStyle w:val="000000100000"/>
          <w:trHeight w:val="740"/>
        </w:trPr>
        <w:tc>
          <w:tcPr>
            <w:cnfStyle w:val="001000000000"/>
            <w:tcW w:w="911" w:type="dxa"/>
            <w:tcBorders>
              <w:top w:val="none" w:sz="0" w:space="0" w:color="auto"/>
              <w:bottom w:val="none" w:sz="0" w:space="0" w:color="auto"/>
              <w:right w:val="none" w:sz="0" w:space="0" w:color="auto"/>
            </w:tcBorders>
          </w:tcPr>
          <w:p w:rsidR="005D7390" w:rsidRPr="00873211" w:rsidRDefault="005D7390" w:rsidP="00521368">
            <w:pPr>
              <w:pStyle w:val="ExampleSub"/>
              <w:keepNext w:val="0"/>
              <w:keepLines w:val="0"/>
              <w:ind w:left="0"/>
              <w:jc w:val="center"/>
              <w:rPr>
                <w:rFonts w:ascii="Arial" w:hAnsi="Arial" w:cs="Arial"/>
                <w:b w:val="0"/>
                <w:color w:val="auto"/>
                <w:sz w:val="20"/>
                <w:szCs w:val="20"/>
              </w:rPr>
            </w:pPr>
            <w:r w:rsidRPr="00873211">
              <w:rPr>
                <w:rFonts w:ascii="Arial" w:hAnsi="Arial" w:cs="Arial"/>
                <w:b w:val="0"/>
                <w:color w:val="auto"/>
                <w:sz w:val="20"/>
                <w:szCs w:val="20"/>
              </w:rPr>
              <w:t>7.0</w:t>
            </w:r>
          </w:p>
        </w:tc>
        <w:tc>
          <w:tcPr>
            <w:tcW w:w="700" w:type="dxa"/>
            <w:tcBorders>
              <w:top w:val="none" w:sz="0" w:space="0" w:color="auto"/>
              <w:bottom w:val="none" w:sz="0" w:space="0" w:color="auto"/>
            </w:tcBorders>
          </w:tcPr>
          <w:p w:rsidR="005D7390" w:rsidRPr="005D7390" w:rsidRDefault="00873211"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Borders>
              <w:top w:val="none" w:sz="0" w:space="0" w:color="auto"/>
              <w:bottom w:val="none" w:sz="0" w:space="0" w:color="auto"/>
            </w:tcBorders>
          </w:tcPr>
          <w:p w:rsidR="005D7390" w:rsidRPr="005D7390" w:rsidRDefault="00873211"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Borders>
              <w:top w:val="none" w:sz="0" w:space="0" w:color="auto"/>
              <w:bottom w:val="none" w:sz="0" w:space="0" w:color="auto"/>
            </w:tcBorders>
          </w:tcPr>
          <w:p w:rsidR="005D7390" w:rsidRPr="005D7390" w:rsidRDefault="00873211"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3"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(7.0)</w:t>
            </w:r>
          </w:p>
        </w:tc>
        <w:tc>
          <w:tcPr>
            <w:tcW w:w="709" w:type="dxa"/>
            <w:gridSpan w:val="2"/>
            <w:tcBorders>
              <w:top w:val="none" w:sz="0" w:space="0" w:color="auto"/>
              <w:bottom w:val="none" w:sz="0" w:space="0" w:color="auto"/>
            </w:tcBorders>
          </w:tcPr>
          <w:p w:rsidR="005D7390" w:rsidRPr="005D7390" w:rsidRDefault="00873211"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5522" w:type="dxa"/>
            <w:gridSpan w:val="4"/>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color w:val="auto"/>
                <w:sz w:val="20"/>
                <w:szCs w:val="20"/>
              </w:rPr>
              <w:t>Employer’s pensions contributions and direct payments to pensioners payable in the year</w:t>
            </w:r>
          </w:p>
        </w:tc>
        <w:tc>
          <w:tcPr>
            <w:tcW w:w="860" w:type="dxa"/>
            <w:gridSpan w:val="6"/>
            <w:tcBorders>
              <w:top w:val="none" w:sz="0" w:space="0" w:color="auto"/>
              <w:bottom w:val="none" w:sz="0" w:space="0" w:color="auto"/>
            </w:tcBorders>
          </w:tcPr>
          <w:p w:rsidR="005D7390" w:rsidRPr="007D217A" w:rsidRDefault="007D217A" w:rsidP="004A3D95">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6.9</w:t>
            </w:r>
          </w:p>
        </w:tc>
        <w:tc>
          <w:tcPr>
            <w:tcW w:w="724" w:type="dxa"/>
            <w:gridSpan w:val="4"/>
            <w:tcBorders>
              <w:top w:val="none" w:sz="0" w:space="0" w:color="auto"/>
              <w:bottom w:val="none" w:sz="0" w:space="0" w:color="auto"/>
            </w:tcBorders>
          </w:tcPr>
          <w:p w:rsidR="005D7390" w:rsidRPr="007D217A" w:rsidRDefault="007D217A" w:rsidP="004A3D95">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w:t>
            </w:r>
          </w:p>
        </w:tc>
        <w:tc>
          <w:tcPr>
            <w:tcW w:w="856" w:type="dxa"/>
            <w:gridSpan w:val="2"/>
            <w:tcBorders>
              <w:top w:val="none" w:sz="0" w:space="0" w:color="auto"/>
              <w:bottom w:val="none" w:sz="0" w:space="0" w:color="auto"/>
            </w:tcBorders>
          </w:tcPr>
          <w:p w:rsidR="005D7390" w:rsidRPr="007D217A" w:rsidRDefault="007D217A" w:rsidP="004A3D95">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w:t>
            </w:r>
          </w:p>
        </w:tc>
        <w:tc>
          <w:tcPr>
            <w:tcW w:w="709" w:type="dxa"/>
            <w:tcBorders>
              <w:top w:val="none" w:sz="0" w:space="0" w:color="auto"/>
              <w:bottom w:val="none" w:sz="0" w:space="0" w:color="auto"/>
            </w:tcBorders>
          </w:tcPr>
          <w:p w:rsidR="005D7390" w:rsidRPr="007D217A" w:rsidRDefault="007D217A" w:rsidP="004A3D95">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w:t>
            </w:r>
          </w:p>
        </w:tc>
        <w:tc>
          <w:tcPr>
            <w:tcW w:w="709" w:type="dxa"/>
            <w:gridSpan w:val="2"/>
            <w:tcBorders>
              <w:top w:val="none" w:sz="0" w:space="0" w:color="auto"/>
              <w:bottom w:val="none" w:sz="0" w:space="0" w:color="auto"/>
            </w:tcBorders>
          </w:tcPr>
          <w:p w:rsidR="005D7390" w:rsidRPr="007D217A" w:rsidRDefault="007D217A" w:rsidP="004A3D95">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(6.9)</w:t>
            </w:r>
          </w:p>
        </w:tc>
        <w:tc>
          <w:tcPr>
            <w:tcW w:w="850" w:type="dxa"/>
            <w:gridSpan w:val="2"/>
            <w:tcBorders>
              <w:top w:val="none" w:sz="0" w:space="0" w:color="auto"/>
              <w:bottom w:val="none" w:sz="0" w:space="0" w:color="auto"/>
            </w:tcBorders>
          </w:tcPr>
          <w:p w:rsidR="005D7390" w:rsidRPr="007D217A" w:rsidRDefault="007D217A" w:rsidP="004A3D95">
            <w:pPr>
              <w:pStyle w:val="ExampleSub"/>
              <w:keepNext w:val="0"/>
              <w:keepLines w:val="0"/>
              <w:ind w:left="0"/>
              <w:jc w:val="center"/>
              <w:cnfStyle w:val="000000100000"/>
              <w:rPr>
                <w:rFonts w:ascii="Arial" w:hAnsi="Arial" w:cs="Arial"/>
                <w:bCs w:val="0"/>
                <w:color w:val="auto"/>
                <w:sz w:val="20"/>
                <w:szCs w:val="20"/>
              </w:rPr>
            </w:pPr>
            <w:r w:rsidRPr="007D217A">
              <w:rPr>
                <w:rFonts w:ascii="Arial" w:hAnsi="Arial" w:cs="Arial"/>
                <w:bCs w:val="0"/>
                <w:color w:val="auto"/>
                <w:sz w:val="20"/>
                <w:szCs w:val="20"/>
              </w:rPr>
              <w:t>-</w:t>
            </w:r>
          </w:p>
        </w:tc>
      </w:tr>
      <w:tr w:rsidR="005D7390" w:rsidRPr="005D7390" w:rsidTr="008A25D1">
        <w:tc>
          <w:tcPr>
            <w:cnfStyle w:val="001000000000"/>
            <w:tcW w:w="911" w:type="dxa"/>
            <w:tcBorders>
              <w:right w:val="none" w:sz="0" w:space="0" w:color="auto"/>
            </w:tcBorders>
          </w:tcPr>
          <w:p w:rsidR="005D7390" w:rsidRPr="00873211" w:rsidRDefault="005D7390" w:rsidP="00521368">
            <w:pPr>
              <w:pStyle w:val="ExampleSub"/>
              <w:keepNext w:val="0"/>
              <w:keepLines w:val="0"/>
              <w:ind w:left="0"/>
              <w:jc w:val="center"/>
              <w:rPr>
                <w:rFonts w:ascii="Arial" w:hAnsi="Arial" w:cs="Arial"/>
                <w:b w:val="0"/>
                <w:color w:val="auto"/>
                <w:sz w:val="20"/>
                <w:szCs w:val="20"/>
              </w:rPr>
            </w:pPr>
          </w:p>
        </w:tc>
        <w:tc>
          <w:tcPr>
            <w:tcW w:w="700"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72"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686"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53"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709" w:type="dxa"/>
            <w:gridSpan w:val="2"/>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5522" w:type="dxa"/>
            <w:gridSpan w:val="4"/>
          </w:tcPr>
          <w:p w:rsidR="005D7390" w:rsidRPr="005D7390" w:rsidRDefault="005D7390" w:rsidP="00E029AB">
            <w:pPr>
              <w:pStyle w:val="ExampleSub"/>
              <w:keepNext w:val="0"/>
              <w:keepLines w:val="0"/>
              <w:ind w:left="0"/>
              <w:cnfStyle w:val="000000000000"/>
              <w:rPr>
                <w:rFonts w:cs="Arial"/>
                <w:color w:val="auto"/>
                <w:sz w:val="22"/>
                <w:szCs w:val="22"/>
              </w:rPr>
            </w:pPr>
            <w:r w:rsidRPr="005D7390">
              <w:rPr>
                <w:rFonts w:ascii="Arial" w:hAnsi="Arial" w:cs="Arial"/>
                <w:color w:val="auto"/>
                <w:sz w:val="22"/>
                <w:szCs w:val="22"/>
              </w:rPr>
              <w:t>Adjustments involving the Collection Fund Adjustment Account:</w:t>
            </w:r>
          </w:p>
        </w:tc>
        <w:tc>
          <w:tcPr>
            <w:tcW w:w="860" w:type="dxa"/>
            <w:gridSpan w:val="6"/>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20"/>
                <w:szCs w:val="20"/>
              </w:rPr>
            </w:pPr>
          </w:p>
        </w:tc>
        <w:tc>
          <w:tcPr>
            <w:tcW w:w="724" w:type="dxa"/>
            <w:gridSpan w:val="4"/>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20"/>
                <w:szCs w:val="20"/>
              </w:rPr>
            </w:pPr>
          </w:p>
        </w:tc>
        <w:tc>
          <w:tcPr>
            <w:tcW w:w="856" w:type="dxa"/>
            <w:gridSpan w:val="2"/>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20"/>
                <w:szCs w:val="20"/>
              </w:rPr>
            </w:pPr>
          </w:p>
        </w:tc>
        <w:tc>
          <w:tcPr>
            <w:tcW w:w="709" w:type="dxa"/>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20"/>
                <w:szCs w:val="20"/>
              </w:rPr>
            </w:pPr>
          </w:p>
        </w:tc>
        <w:tc>
          <w:tcPr>
            <w:tcW w:w="709" w:type="dxa"/>
            <w:gridSpan w:val="2"/>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20"/>
                <w:szCs w:val="20"/>
              </w:rPr>
            </w:pPr>
          </w:p>
        </w:tc>
        <w:tc>
          <w:tcPr>
            <w:tcW w:w="850" w:type="dxa"/>
            <w:gridSpan w:val="2"/>
          </w:tcPr>
          <w:p w:rsidR="005D7390" w:rsidRPr="005D7390" w:rsidRDefault="005D7390" w:rsidP="004A3D95">
            <w:pPr>
              <w:pStyle w:val="ExampleSub"/>
              <w:keepNext w:val="0"/>
              <w:keepLines w:val="0"/>
              <w:ind w:left="0"/>
              <w:jc w:val="center"/>
              <w:cnfStyle w:val="000000000000"/>
              <w:rPr>
                <w:rFonts w:ascii="Arial" w:hAnsi="Arial" w:cs="Arial"/>
                <w:b w:val="0"/>
                <w:bCs w:val="0"/>
                <w:color w:val="auto"/>
                <w:sz w:val="20"/>
                <w:szCs w:val="20"/>
              </w:rPr>
            </w:pP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873211" w:rsidRDefault="005D7390" w:rsidP="00521368">
            <w:pPr>
              <w:pStyle w:val="ExampleSub"/>
              <w:keepNext w:val="0"/>
              <w:keepLines w:val="0"/>
              <w:ind w:left="0"/>
              <w:jc w:val="center"/>
              <w:rPr>
                <w:rFonts w:ascii="Arial" w:hAnsi="Arial" w:cs="Arial"/>
                <w:b w:val="0"/>
                <w:color w:val="auto"/>
                <w:sz w:val="20"/>
                <w:szCs w:val="20"/>
              </w:rPr>
            </w:pPr>
            <w:r w:rsidRPr="00873211">
              <w:rPr>
                <w:rFonts w:ascii="Arial" w:hAnsi="Arial" w:cs="Arial"/>
                <w:b w:val="0"/>
                <w:color w:val="auto"/>
                <w:sz w:val="20"/>
                <w:szCs w:val="20"/>
              </w:rPr>
              <w:t>2.6</w:t>
            </w:r>
          </w:p>
        </w:tc>
        <w:tc>
          <w:tcPr>
            <w:tcW w:w="700" w:type="dxa"/>
            <w:tcBorders>
              <w:top w:val="none" w:sz="0" w:space="0" w:color="auto"/>
              <w:bottom w:val="none" w:sz="0" w:space="0" w:color="auto"/>
            </w:tcBorders>
          </w:tcPr>
          <w:p w:rsidR="005D7390" w:rsidRPr="005D7390" w:rsidRDefault="00873211"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Borders>
              <w:top w:val="none" w:sz="0" w:space="0" w:color="auto"/>
              <w:bottom w:val="none" w:sz="0" w:space="0" w:color="auto"/>
            </w:tcBorders>
          </w:tcPr>
          <w:p w:rsidR="005D7390" w:rsidRPr="005D7390" w:rsidRDefault="00873211"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Borders>
              <w:top w:val="none" w:sz="0" w:space="0" w:color="auto"/>
              <w:bottom w:val="none" w:sz="0" w:space="0" w:color="auto"/>
            </w:tcBorders>
          </w:tcPr>
          <w:p w:rsidR="005D7390" w:rsidRPr="005D7390" w:rsidRDefault="00873211"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853" w:type="dxa"/>
            <w:tcBorders>
              <w:top w:val="none" w:sz="0" w:space="0" w:color="auto"/>
              <w:bottom w:val="none" w:sz="0" w:space="0" w:color="auto"/>
            </w:tcBorders>
          </w:tcPr>
          <w:p w:rsidR="005D7390" w:rsidRPr="005D7390" w:rsidRDefault="00873211" w:rsidP="00521368">
            <w:pPr>
              <w:pStyle w:val="ExampleSub"/>
              <w:keepNext w:val="0"/>
              <w:keepLines w:val="0"/>
              <w:ind w:left="0"/>
              <w:jc w:val="center"/>
              <w:cnfStyle w:val="0000001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(2.6)</w:t>
            </w:r>
          </w:p>
        </w:tc>
        <w:tc>
          <w:tcPr>
            <w:tcW w:w="5522" w:type="dxa"/>
            <w:gridSpan w:val="4"/>
            <w:tcBorders>
              <w:top w:val="none" w:sz="0" w:space="0" w:color="auto"/>
              <w:bottom w:val="none" w:sz="0" w:space="0" w:color="auto"/>
            </w:tcBorders>
          </w:tcPr>
          <w:p w:rsidR="005D7390" w:rsidRPr="005D7390" w:rsidRDefault="005D7390" w:rsidP="00E029AB">
            <w:pPr>
              <w:pStyle w:val="ExampleSub"/>
              <w:keepNext w:val="0"/>
              <w:keepLines w:val="0"/>
              <w:ind w:left="0"/>
              <w:cnfStyle w:val="000000100000"/>
              <w:rPr>
                <w:rFonts w:cs="Arial"/>
                <w:color w:val="auto"/>
                <w:sz w:val="20"/>
                <w:szCs w:val="20"/>
              </w:rPr>
            </w:pPr>
            <w:r w:rsidRPr="005D7390">
              <w:rPr>
                <w:rFonts w:ascii="Arial" w:hAnsi="Arial" w:cs="Arial"/>
                <w:b w:val="0"/>
                <w:color w:val="auto"/>
                <w:sz w:val="20"/>
                <w:szCs w:val="20"/>
              </w:rPr>
              <w:t>Amount by which council tax income credited to the CI&amp;E Statement is different from council tax income calculated for the year in accordance with statutory requirements</w:t>
            </w:r>
          </w:p>
        </w:tc>
        <w:tc>
          <w:tcPr>
            <w:tcW w:w="860" w:type="dxa"/>
            <w:gridSpan w:val="6"/>
            <w:tcBorders>
              <w:top w:val="none" w:sz="0" w:space="0" w:color="auto"/>
              <w:bottom w:val="none" w:sz="0" w:space="0" w:color="auto"/>
            </w:tcBorders>
          </w:tcPr>
          <w:p w:rsidR="005D7390" w:rsidRPr="005E331A" w:rsidRDefault="005E331A" w:rsidP="00796FF3">
            <w:pPr>
              <w:pStyle w:val="ExampleSub"/>
              <w:keepNext w:val="0"/>
              <w:keepLines w:val="0"/>
              <w:ind w:left="0"/>
              <w:jc w:val="center"/>
              <w:cnfStyle w:val="000000100000"/>
              <w:rPr>
                <w:rFonts w:ascii="Arial" w:hAnsi="Arial" w:cs="Arial"/>
                <w:bCs w:val="0"/>
                <w:color w:val="auto"/>
                <w:sz w:val="20"/>
                <w:szCs w:val="20"/>
              </w:rPr>
            </w:pPr>
            <w:r w:rsidRPr="005E331A">
              <w:rPr>
                <w:rFonts w:ascii="Arial" w:hAnsi="Arial" w:cs="Arial"/>
                <w:bCs w:val="0"/>
                <w:color w:val="auto"/>
                <w:sz w:val="20"/>
                <w:szCs w:val="20"/>
              </w:rPr>
              <w:t>(0.3)</w:t>
            </w:r>
          </w:p>
        </w:tc>
        <w:tc>
          <w:tcPr>
            <w:tcW w:w="724" w:type="dxa"/>
            <w:gridSpan w:val="4"/>
            <w:tcBorders>
              <w:top w:val="none" w:sz="0" w:space="0" w:color="auto"/>
              <w:bottom w:val="none" w:sz="0" w:space="0" w:color="auto"/>
            </w:tcBorders>
          </w:tcPr>
          <w:p w:rsidR="005D7390" w:rsidRPr="005E331A" w:rsidRDefault="005E331A" w:rsidP="004A3D95">
            <w:pPr>
              <w:pStyle w:val="ExampleSub"/>
              <w:keepNext w:val="0"/>
              <w:keepLines w:val="0"/>
              <w:ind w:left="0"/>
              <w:jc w:val="center"/>
              <w:cnfStyle w:val="000000100000"/>
              <w:rPr>
                <w:rFonts w:ascii="Arial" w:hAnsi="Arial" w:cs="Arial"/>
                <w:bCs w:val="0"/>
                <w:color w:val="auto"/>
                <w:sz w:val="20"/>
                <w:szCs w:val="20"/>
              </w:rPr>
            </w:pPr>
            <w:r w:rsidRPr="005E331A">
              <w:rPr>
                <w:rFonts w:ascii="Arial" w:hAnsi="Arial" w:cs="Arial"/>
                <w:bCs w:val="0"/>
                <w:color w:val="auto"/>
                <w:sz w:val="20"/>
                <w:szCs w:val="20"/>
              </w:rPr>
              <w:t>-</w:t>
            </w:r>
          </w:p>
        </w:tc>
        <w:tc>
          <w:tcPr>
            <w:tcW w:w="856" w:type="dxa"/>
            <w:gridSpan w:val="2"/>
            <w:tcBorders>
              <w:top w:val="none" w:sz="0" w:space="0" w:color="auto"/>
              <w:bottom w:val="none" w:sz="0" w:space="0" w:color="auto"/>
            </w:tcBorders>
          </w:tcPr>
          <w:p w:rsidR="005D7390" w:rsidRPr="005E331A" w:rsidRDefault="005E331A" w:rsidP="004A3D95">
            <w:pPr>
              <w:pStyle w:val="ExampleSub"/>
              <w:keepNext w:val="0"/>
              <w:keepLines w:val="0"/>
              <w:ind w:left="0"/>
              <w:jc w:val="center"/>
              <w:cnfStyle w:val="000000100000"/>
              <w:rPr>
                <w:rFonts w:ascii="Arial" w:hAnsi="Arial" w:cs="Arial"/>
                <w:bCs w:val="0"/>
                <w:color w:val="auto"/>
                <w:sz w:val="20"/>
                <w:szCs w:val="20"/>
              </w:rPr>
            </w:pPr>
            <w:r w:rsidRPr="005E331A">
              <w:rPr>
                <w:rFonts w:ascii="Arial" w:hAnsi="Arial" w:cs="Arial"/>
                <w:bCs w:val="0"/>
                <w:color w:val="auto"/>
                <w:sz w:val="20"/>
                <w:szCs w:val="20"/>
              </w:rPr>
              <w:t>-</w:t>
            </w:r>
          </w:p>
        </w:tc>
        <w:tc>
          <w:tcPr>
            <w:tcW w:w="709" w:type="dxa"/>
            <w:tcBorders>
              <w:top w:val="none" w:sz="0" w:space="0" w:color="auto"/>
              <w:bottom w:val="none" w:sz="0" w:space="0" w:color="auto"/>
            </w:tcBorders>
          </w:tcPr>
          <w:p w:rsidR="005D7390" w:rsidRPr="005E331A" w:rsidRDefault="005E331A" w:rsidP="004A3D95">
            <w:pPr>
              <w:pStyle w:val="ExampleSub"/>
              <w:keepNext w:val="0"/>
              <w:keepLines w:val="0"/>
              <w:ind w:left="0"/>
              <w:jc w:val="center"/>
              <w:cnfStyle w:val="000000100000"/>
              <w:rPr>
                <w:rFonts w:ascii="Arial" w:hAnsi="Arial" w:cs="Arial"/>
                <w:bCs w:val="0"/>
                <w:color w:val="auto"/>
                <w:sz w:val="20"/>
                <w:szCs w:val="20"/>
              </w:rPr>
            </w:pPr>
            <w:r w:rsidRPr="005E331A">
              <w:rPr>
                <w:rFonts w:ascii="Arial" w:hAnsi="Arial" w:cs="Arial"/>
                <w:bCs w:val="0"/>
                <w:color w:val="auto"/>
                <w:sz w:val="20"/>
                <w:szCs w:val="20"/>
              </w:rPr>
              <w:t>-</w:t>
            </w:r>
          </w:p>
        </w:tc>
        <w:tc>
          <w:tcPr>
            <w:tcW w:w="709" w:type="dxa"/>
            <w:gridSpan w:val="2"/>
            <w:tcBorders>
              <w:top w:val="none" w:sz="0" w:space="0" w:color="auto"/>
              <w:bottom w:val="none" w:sz="0" w:space="0" w:color="auto"/>
            </w:tcBorders>
          </w:tcPr>
          <w:p w:rsidR="005D7390" w:rsidRPr="005E331A" w:rsidRDefault="005E331A" w:rsidP="004A3D95">
            <w:pPr>
              <w:pStyle w:val="ExampleSub"/>
              <w:keepNext w:val="0"/>
              <w:keepLines w:val="0"/>
              <w:ind w:left="0"/>
              <w:jc w:val="center"/>
              <w:cnfStyle w:val="000000100000"/>
              <w:rPr>
                <w:rFonts w:ascii="Arial" w:hAnsi="Arial" w:cs="Arial"/>
                <w:bCs w:val="0"/>
                <w:color w:val="auto"/>
                <w:sz w:val="20"/>
                <w:szCs w:val="20"/>
              </w:rPr>
            </w:pPr>
            <w:r w:rsidRPr="005E331A">
              <w:rPr>
                <w:rFonts w:ascii="Arial" w:hAnsi="Arial" w:cs="Arial"/>
                <w:bCs w:val="0"/>
                <w:color w:val="auto"/>
                <w:sz w:val="20"/>
                <w:szCs w:val="20"/>
              </w:rPr>
              <w:t>-</w:t>
            </w:r>
          </w:p>
        </w:tc>
        <w:tc>
          <w:tcPr>
            <w:tcW w:w="850" w:type="dxa"/>
            <w:gridSpan w:val="2"/>
            <w:tcBorders>
              <w:top w:val="none" w:sz="0" w:space="0" w:color="auto"/>
              <w:bottom w:val="none" w:sz="0" w:space="0" w:color="auto"/>
            </w:tcBorders>
          </w:tcPr>
          <w:p w:rsidR="005D7390" w:rsidRPr="005E331A" w:rsidRDefault="005E331A" w:rsidP="00796FF3">
            <w:pPr>
              <w:pStyle w:val="ExampleSub"/>
              <w:keepNext w:val="0"/>
              <w:keepLines w:val="0"/>
              <w:ind w:left="0"/>
              <w:jc w:val="center"/>
              <w:cnfStyle w:val="000000100000"/>
              <w:rPr>
                <w:rFonts w:ascii="Arial" w:hAnsi="Arial" w:cs="Arial"/>
                <w:bCs w:val="0"/>
                <w:color w:val="auto"/>
                <w:sz w:val="20"/>
                <w:szCs w:val="20"/>
              </w:rPr>
            </w:pPr>
            <w:r w:rsidRPr="005E331A">
              <w:rPr>
                <w:rFonts w:ascii="Arial" w:hAnsi="Arial" w:cs="Arial"/>
                <w:bCs w:val="0"/>
                <w:color w:val="auto"/>
                <w:sz w:val="20"/>
                <w:szCs w:val="20"/>
              </w:rPr>
              <w:t>0.3</w:t>
            </w:r>
          </w:p>
        </w:tc>
      </w:tr>
      <w:tr w:rsidR="005D7390" w:rsidRPr="005D7390" w:rsidTr="008A25D1">
        <w:tc>
          <w:tcPr>
            <w:cnfStyle w:val="001000000000"/>
            <w:tcW w:w="911" w:type="dxa"/>
            <w:tcBorders>
              <w:right w:val="none" w:sz="0" w:space="0" w:color="auto"/>
            </w:tcBorders>
          </w:tcPr>
          <w:p w:rsidR="005D7390" w:rsidRPr="00873211" w:rsidRDefault="005D7390" w:rsidP="00521368">
            <w:pPr>
              <w:pStyle w:val="ExampleSub"/>
              <w:keepNext w:val="0"/>
              <w:keepLines w:val="0"/>
              <w:ind w:left="0"/>
              <w:jc w:val="center"/>
              <w:rPr>
                <w:rFonts w:ascii="Arial" w:hAnsi="Arial" w:cs="Arial"/>
                <w:b w:val="0"/>
                <w:color w:val="auto"/>
                <w:sz w:val="20"/>
                <w:szCs w:val="20"/>
              </w:rPr>
            </w:pPr>
          </w:p>
        </w:tc>
        <w:tc>
          <w:tcPr>
            <w:tcW w:w="700"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72"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686"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53"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709" w:type="dxa"/>
            <w:gridSpan w:val="2"/>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5522" w:type="dxa"/>
            <w:gridSpan w:val="4"/>
          </w:tcPr>
          <w:p w:rsidR="005D7390" w:rsidRPr="005D7390" w:rsidRDefault="005D7390" w:rsidP="00E029AB">
            <w:pPr>
              <w:pStyle w:val="ExampleSub"/>
              <w:keepNext w:val="0"/>
              <w:keepLines w:val="0"/>
              <w:ind w:left="0"/>
              <w:cnfStyle w:val="000000000000"/>
              <w:rPr>
                <w:rFonts w:ascii="Arial" w:hAnsi="Arial" w:cs="Arial"/>
                <w:color w:val="auto"/>
                <w:sz w:val="22"/>
                <w:szCs w:val="22"/>
              </w:rPr>
            </w:pPr>
            <w:r w:rsidRPr="005D7390">
              <w:rPr>
                <w:rFonts w:ascii="Arial" w:hAnsi="Arial" w:cs="Arial"/>
                <w:color w:val="auto"/>
                <w:sz w:val="22"/>
                <w:szCs w:val="22"/>
              </w:rPr>
              <w:t>Adjustment involving the Accumulated Absences Account</w:t>
            </w:r>
          </w:p>
          <w:p w:rsidR="005D7390" w:rsidRPr="005D7390" w:rsidRDefault="005D7390" w:rsidP="00E029AB">
            <w:pPr>
              <w:pStyle w:val="ExampleSub"/>
              <w:keepNext w:val="0"/>
              <w:keepLines w:val="0"/>
              <w:ind w:left="0"/>
              <w:cnfStyle w:val="000000000000"/>
              <w:rPr>
                <w:rFonts w:ascii="Arial" w:hAnsi="Arial" w:cs="Arial"/>
                <w:b w:val="0"/>
                <w:color w:val="auto"/>
                <w:sz w:val="20"/>
                <w:szCs w:val="20"/>
              </w:rPr>
            </w:pPr>
          </w:p>
        </w:tc>
        <w:tc>
          <w:tcPr>
            <w:tcW w:w="860" w:type="dxa"/>
            <w:gridSpan w:val="6"/>
          </w:tcPr>
          <w:p w:rsidR="005D7390" w:rsidRPr="005E331A"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724" w:type="dxa"/>
            <w:gridSpan w:val="4"/>
          </w:tcPr>
          <w:p w:rsidR="005D7390" w:rsidRPr="005E331A"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856" w:type="dxa"/>
            <w:gridSpan w:val="2"/>
          </w:tcPr>
          <w:p w:rsidR="005D7390" w:rsidRPr="005E331A"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709" w:type="dxa"/>
          </w:tcPr>
          <w:p w:rsidR="005D7390" w:rsidRPr="005E331A"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709" w:type="dxa"/>
            <w:gridSpan w:val="2"/>
          </w:tcPr>
          <w:p w:rsidR="005D7390" w:rsidRPr="005E331A" w:rsidRDefault="005D7390" w:rsidP="004A3D95">
            <w:pPr>
              <w:pStyle w:val="ExampleSub"/>
              <w:keepNext w:val="0"/>
              <w:keepLines w:val="0"/>
              <w:ind w:left="0"/>
              <w:jc w:val="center"/>
              <w:cnfStyle w:val="000000000000"/>
              <w:rPr>
                <w:rFonts w:ascii="Arial" w:hAnsi="Arial" w:cs="Arial"/>
                <w:bCs w:val="0"/>
                <w:color w:val="auto"/>
                <w:sz w:val="20"/>
                <w:szCs w:val="20"/>
              </w:rPr>
            </w:pPr>
          </w:p>
        </w:tc>
        <w:tc>
          <w:tcPr>
            <w:tcW w:w="850" w:type="dxa"/>
            <w:gridSpan w:val="2"/>
          </w:tcPr>
          <w:p w:rsidR="005D7390" w:rsidRPr="005E331A" w:rsidRDefault="005D7390" w:rsidP="004A3D95">
            <w:pPr>
              <w:pStyle w:val="ExampleSub"/>
              <w:keepNext w:val="0"/>
              <w:keepLines w:val="0"/>
              <w:ind w:left="0"/>
              <w:jc w:val="center"/>
              <w:cnfStyle w:val="000000000000"/>
              <w:rPr>
                <w:rFonts w:ascii="Arial" w:hAnsi="Arial" w:cs="Arial"/>
                <w:bCs w:val="0"/>
                <w:color w:val="auto"/>
                <w:sz w:val="20"/>
                <w:szCs w:val="20"/>
              </w:rPr>
            </w:pP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873211" w:rsidRDefault="005D7390" w:rsidP="00521368">
            <w:pPr>
              <w:pStyle w:val="ExampleSub"/>
              <w:keepNext w:val="0"/>
              <w:keepLines w:val="0"/>
              <w:ind w:left="0"/>
              <w:jc w:val="center"/>
              <w:rPr>
                <w:rFonts w:ascii="Arial" w:hAnsi="Arial" w:cs="Arial"/>
                <w:b w:val="0"/>
                <w:color w:val="auto"/>
                <w:sz w:val="20"/>
                <w:szCs w:val="20"/>
              </w:rPr>
            </w:pPr>
            <w:r w:rsidRPr="00873211">
              <w:rPr>
                <w:rFonts w:ascii="Arial" w:hAnsi="Arial" w:cs="Arial"/>
                <w:b w:val="0"/>
                <w:color w:val="auto"/>
                <w:sz w:val="20"/>
                <w:szCs w:val="20"/>
              </w:rPr>
              <w:t>(14.3)</w:t>
            </w:r>
          </w:p>
        </w:tc>
        <w:tc>
          <w:tcPr>
            <w:tcW w:w="700"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(1.6)</w:t>
            </w:r>
          </w:p>
        </w:tc>
        <w:tc>
          <w:tcPr>
            <w:tcW w:w="872"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5.2</w:t>
            </w:r>
          </w:p>
        </w:tc>
        <w:tc>
          <w:tcPr>
            <w:tcW w:w="686"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9.4</w:t>
            </w:r>
          </w:p>
        </w:tc>
        <w:tc>
          <w:tcPr>
            <w:tcW w:w="853"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3.9</w:t>
            </w:r>
          </w:p>
        </w:tc>
        <w:tc>
          <w:tcPr>
            <w:tcW w:w="709" w:type="dxa"/>
            <w:gridSpan w:val="2"/>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(2.6)</w:t>
            </w:r>
          </w:p>
        </w:tc>
        <w:tc>
          <w:tcPr>
            <w:tcW w:w="5522" w:type="dxa"/>
            <w:gridSpan w:val="4"/>
            <w:tcBorders>
              <w:top w:val="none" w:sz="0" w:space="0" w:color="auto"/>
              <w:bottom w:val="none" w:sz="0" w:space="0" w:color="auto"/>
            </w:tcBorders>
          </w:tcPr>
          <w:p w:rsidR="005D7390" w:rsidRPr="005D7390" w:rsidRDefault="005D7390" w:rsidP="0024663A">
            <w:pPr>
              <w:pStyle w:val="ExampleSub"/>
              <w:keepNext w:val="0"/>
              <w:keepLines w:val="0"/>
              <w:ind w:left="0"/>
              <w:cnfStyle w:val="000000100000"/>
              <w:rPr>
                <w:rFonts w:ascii="Arial" w:hAnsi="Arial" w:cs="Arial"/>
                <w:b w:val="0"/>
                <w:color w:val="auto"/>
                <w:sz w:val="20"/>
                <w:szCs w:val="20"/>
              </w:rPr>
            </w:pPr>
            <w:r w:rsidRPr="005D7390">
              <w:rPr>
                <w:rFonts w:ascii="Arial" w:hAnsi="Arial" w:cs="Arial"/>
                <w:b w:val="0"/>
                <w:color w:val="auto"/>
                <w:sz w:val="20"/>
                <w:szCs w:val="20"/>
              </w:rPr>
              <w:t>c/f</w:t>
            </w:r>
          </w:p>
          <w:p w:rsidR="005D7390" w:rsidRPr="005D7390" w:rsidRDefault="005D7390" w:rsidP="0024663A">
            <w:pPr>
              <w:pStyle w:val="ExampleSub"/>
              <w:keepNext w:val="0"/>
              <w:keepLines w:val="0"/>
              <w:ind w:left="0"/>
              <w:cnfStyle w:val="000000100000"/>
              <w:rPr>
                <w:rFonts w:ascii="Arial" w:hAnsi="Arial" w:cs="Arial"/>
                <w:b w:val="0"/>
                <w:color w:val="auto"/>
                <w:sz w:val="20"/>
                <w:szCs w:val="20"/>
              </w:rPr>
            </w:pPr>
          </w:p>
        </w:tc>
        <w:tc>
          <w:tcPr>
            <w:tcW w:w="860" w:type="dxa"/>
            <w:gridSpan w:val="6"/>
            <w:tcBorders>
              <w:top w:val="none" w:sz="0" w:space="0" w:color="auto"/>
              <w:bottom w:val="none" w:sz="0" w:space="0" w:color="auto"/>
            </w:tcBorders>
          </w:tcPr>
          <w:p w:rsidR="005D7390" w:rsidRPr="005E331A" w:rsidRDefault="003C164B" w:rsidP="00CA7804">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(2</w:t>
            </w:r>
            <w:r w:rsidR="00A4798C">
              <w:rPr>
                <w:rFonts w:ascii="Arial" w:hAnsi="Arial" w:cs="Arial"/>
                <w:bCs w:val="0"/>
                <w:color w:val="auto"/>
                <w:sz w:val="20"/>
                <w:szCs w:val="20"/>
              </w:rPr>
              <w:t>2.</w:t>
            </w:r>
            <w:r w:rsidR="00CA7804">
              <w:rPr>
                <w:rFonts w:ascii="Arial" w:hAnsi="Arial" w:cs="Arial"/>
                <w:bCs w:val="0"/>
                <w:color w:val="auto"/>
                <w:sz w:val="20"/>
                <w:szCs w:val="20"/>
              </w:rPr>
              <w:t>1</w:t>
            </w:r>
            <w:r>
              <w:rPr>
                <w:rFonts w:ascii="Arial" w:hAnsi="Arial" w:cs="Arial"/>
                <w:bCs w:val="0"/>
                <w:color w:val="auto"/>
                <w:sz w:val="20"/>
                <w:szCs w:val="20"/>
              </w:rPr>
              <w:t>)</w:t>
            </w:r>
          </w:p>
        </w:tc>
        <w:tc>
          <w:tcPr>
            <w:tcW w:w="724" w:type="dxa"/>
            <w:gridSpan w:val="4"/>
            <w:tcBorders>
              <w:top w:val="none" w:sz="0" w:space="0" w:color="auto"/>
              <w:bottom w:val="none" w:sz="0" w:space="0" w:color="auto"/>
            </w:tcBorders>
          </w:tcPr>
          <w:p w:rsidR="005D7390" w:rsidRPr="005E331A" w:rsidRDefault="003C164B"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2.0</w:t>
            </w:r>
          </w:p>
        </w:tc>
        <w:tc>
          <w:tcPr>
            <w:tcW w:w="856" w:type="dxa"/>
            <w:gridSpan w:val="2"/>
            <w:tcBorders>
              <w:top w:val="none" w:sz="0" w:space="0" w:color="auto"/>
              <w:bottom w:val="none" w:sz="0" w:space="0" w:color="auto"/>
            </w:tcBorders>
          </w:tcPr>
          <w:p w:rsidR="005D7390" w:rsidRPr="005E331A" w:rsidRDefault="003C164B"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1.0</w:t>
            </w:r>
          </w:p>
        </w:tc>
        <w:tc>
          <w:tcPr>
            <w:tcW w:w="709" w:type="dxa"/>
            <w:tcBorders>
              <w:top w:val="none" w:sz="0" w:space="0" w:color="auto"/>
              <w:bottom w:val="none" w:sz="0" w:space="0" w:color="auto"/>
            </w:tcBorders>
          </w:tcPr>
          <w:p w:rsidR="005D7390" w:rsidRPr="005E331A" w:rsidRDefault="003C164B" w:rsidP="00CA7804">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13.</w:t>
            </w:r>
            <w:r w:rsidR="00CA7804">
              <w:rPr>
                <w:rFonts w:ascii="Arial" w:hAnsi="Arial" w:cs="Arial"/>
                <w:bCs w:val="0"/>
                <w:color w:val="auto"/>
                <w:sz w:val="20"/>
                <w:szCs w:val="20"/>
              </w:rPr>
              <w:t>7</w:t>
            </w:r>
          </w:p>
        </w:tc>
        <w:tc>
          <w:tcPr>
            <w:tcW w:w="709" w:type="dxa"/>
            <w:gridSpan w:val="2"/>
            <w:tcBorders>
              <w:top w:val="none" w:sz="0" w:space="0" w:color="auto"/>
              <w:bottom w:val="none" w:sz="0" w:space="0" w:color="auto"/>
            </w:tcBorders>
          </w:tcPr>
          <w:p w:rsidR="005D7390" w:rsidRPr="005E331A" w:rsidRDefault="003C164B" w:rsidP="00151301">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5.</w:t>
            </w:r>
            <w:r w:rsidR="00151301">
              <w:rPr>
                <w:rFonts w:ascii="Arial" w:hAnsi="Arial" w:cs="Arial"/>
                <w:bCs w:val="0"/>
                <w:color w:val="auto"/>
                <w:sz w:val="20"/>
                <w:szCs w:val="20"/>
              </w:rPr>
              <w:t>1</w:t>
            </w:r>
          </w:p>
        </w:tc>
        <w:tc>
          <w:tcPr>
            <w:tcW w:w="850" w:type="dxa"/>
            <w:gridSpan w:val="2"/>
            <w:tcBorders>
              <w:top w:val="none" w:sz="0" w:space="0" w:color="auto"/>
              <w:bottom w:val="none" w:sz="0" w:space="0" w:color="auto"/>
            </w:tcBorders>
          </w:tcPr>
          <w:p w:rsidR="005D7390" w:rsidRPr="005E331A" w:rsidRDefault="003C164B" w:rsidP="004A3D9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0.3</w:t>
            </w:r>
          </w:p>
        </w:tc>
      </w:tr>
      <w:tr w:rsidR="005D7390" w:rsidRPr="005D7390" w:rsidTr="008A25D1">
        <w:trPr>
          <w:trHeight w:val="355"/>
        </w:trPr>
        <w:tc>
          <w:tcPr>
            <w:cnfStyle w:val="001000000000"/>
            <w:tcW w:w="2483" w:type="dxa"/>
            <w:gridSpan w:val="3"/>
            <w:tcBorders>
              <w:right w:val="none" w:sz="0" w:space="0" w:color="auto"/>
            </w:tcBorders>
            <w:shd w:val="clear" w:color="auto" w:fill="4BACC6" w:themeFill="accent5"/>
          </w:tcPr>
          <w:p w:rsidR="005D7390" w:rsidRPr="005D7390" w:rsidRDefault="005D7390" w:rsidP="0024663A">
            <w:pPr>
              <w:pStyle w:val="ExampleSub"/>
              <w:keepNext w:val="0"/>
              <w:keepLines w:val="0"/>
              <w:ind w:left="0"/>
              <w:jc w:val="center"/>
              <w:rPr>
                <w:rFonts w:ascii="Arial" w:hAnsi="Arial" w:cs="Arial"/>
                <w:color w:val="auto"/>
                <w:sz w:val="20"/>
                <w:szCs w:val="20"/>
              </w:rPr>
            </w:pPr>
            <w:r w:rsidRPr="005D7390">
              <w:rPr>
                <w:rFonts w:ascii="Arial" w:hAnsi="Arial" w:cs="Arial"/>
                <w:color w:val="auto"/>
                <w:sz w:val="18"/>
                <w:szCs w:val="18"/>
              </w:rPr>
              <w:lastRenderedPageBreak/>
              <w:t>Useable Reserves</w:t>
            </w:r>
          </w:p>
        </w:tc>
        <w:tc>
          <w:tcPr>
            <w:tcW w:w="2248" w:type="dxa"/>
            <w:gridSpan w:val="4"/>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color w:val="auto"/>
                <w:sz w:val="24"/>
                <w:szCs w:val="24"/>
              </w:rPr>
            </w:pPr>
            <w:r w:rsidRPr="005D7390">
              <w:rPr>
                <w:rFonts w:ascii="Arial" w:hAnsi="Arial" w:cs="Arial"/>
                <w:bCs w:val="0"/>
                <w:color w:val="auto"/>
                <w:sz w:val="18"/>
                <w:szCs w:val="18"/>
              </w:rPr>
              <w:t>Unusable Reserves</w:t>
            </w:r>
          </w:p>
        </w:tc>
        <w:tc>
          <w:tcPr>
            <w:tcW w:w="5791" w:type="dxa"/>
            <w:gridSpan w:val="7"/>
            <w:shd w:val="clear" w:color="auto" w:fill="4BACC6" w:themeFill="accent5"/>
          </w:tcPr>
          <w:p w:rsidR="005D7390" w:rsidRPr="005D7390" w:rsidRDefault="005D7390" w:rsidP="0024663A">
            <w:pPr>
              <w:pStyle w:val="ExampleSub"/>
              <w:keepNext w:val="0"/>
              <w:keepLines w:val="0"/>
              <w:ind w:left="0"/>
              <w:cnfStyle w:val="000000000000"/>
              <w:rPr>
                <w:rFonts w:ascii="Arial" w:hAnsi="Arial" w:cs="Arial"/>
                <w:color w:val="auto"/>
                <w:sz w:val="24"/>
                <w:szCs w:val="24"/>
              </w:rPr>
            </w:pPr>
          </w:p>
        </w:tc>
        <w:tc>
          <w:tcPr>
            <w:tcW w:w="2171" w:type="dxa"/>
            <w:gridSpan w:val="9"/>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Cs w:val="0"/>
                <w:color w:val="auto"/>
                <w:sz w:val="20"/>
                <w:szCs w:val="20"/>
              </w:rPr>
            </w:pPr>
            <w:r w:rsidRPr="005D7390">
              <w:rPr>
                <w:rFonts w:ascii="Arial" w:hAnsi="Arial" w:cs="Arial"/>
                <w:bCs w:val="0"/>
                <w:color w:val="auto"/>
                <w:sz w:val="20"/>
                <w:szCs w:val="20"/>
              </w:rPr>
              <w:t>Useable Reserves</w:t>
            </w:r>
          </w:p>
        </w:tc>
        <w:tc>
          <w:tcPr>
            <w:tcW w:w="2268" w:type="dxa"/>
            <w:gridSpan w:val="5"/>
            <w:shd w:val="clear" w:color="auto" w:fill="4BACC6" w:themeFill="accent5"/>
          </w:tcPr>
          <w:p w:rsidR="005D7390" w:rsidRPr="005D7390" w:rsidRDefault="005D7390" w:rsidP="0024663A">
            <w:pPr>
              <w:pStyle w:val="ExampleSub"/>
              <w:ind w:left="0"/>
              <w:cnfStyle w:val="000000000000"/>
              <w:rPr>
                <w:rFonts w:ascii="Arial" w:hAnsi="Arial" w:cs="Arial"/>
                <w:bCs w:val="0"/>
                <w:color w:val="auto"/>
                <w:sz w:val="20"/>
                <w:szCs w:val="20"/>
              </w:rPr>
            </w:pPr>
            <w:r w:rsidRPr="005D7390">
              <w:rPr>
                <w:rFonts w:ascii="Arial" w:hAnsi="Arial" w:cs="Arial"/>
                <w:bCs w:val="0"/>
                <w:color w:val="auto"/>
                <w:sz w:val="20"/>
                <w:szCs w:val="20"/>
              </w:rPr>
              <w:t>Unuseable Reserves</w:t>
            </w:r>
          </w:p>
        </w:tc>
      </w:tr>
      <w:tr w:rsidR="005D7390" w:rsidRPr="005D7390" w:rsidTr="008A25D1">
        <w:trPr>
          <w:cnfStyle w:val="000000100000"/>
          <w:trHeight w:val="1701"/>
        </w:trPr>
        <w:tc>
          <w:tcPr>
            <w:cnfStyle w:val="001000000000"/>
            <w:tcW w:w="911" w:type="dxa"/>
            <w:tcBorders>
              <w:top w:val="none" w:sz="0" w:space="0" w:color="auto"/>
              <w:bottom w:val="none" w:sz="0" w:space="0" w:color="auto"/>
              <w:right w:val="none" w:sz="0" w:space="0" w:color="auto"/>
            </w:tcBorders>
            <w:shd w:val="clear" w:color="auto" w:fill="4BACC6" w:themeFill="accent5"/>
            <w:textDirection w:val="btLr"/>
          </w:tcPr>
          <w:p w:rsidR="005D7390" w:rsidRPr="00CA749C" w:rsidRDefault="005D7390" w:rsidP="0024663A">
            <w:pPr>
              <w:pStyle w:val="ExampleSub"/>
              <w:keepNext w:val="0"/>
              <w:keepLines w:val="0"/>
              <w:ind w:left="113" w:right="113"/>
              <w:rPr>
                <w:rFonts w:ascii="Arial" w:hAnsi="Arial" w:cs="Arial"/>
                <w:b w:val="0"/>
                <w:color w:val="auto"/>
                <w:sz w:val="20"/>
                <w:szCs w:val="20"/>
              </w:rPr>
            </w:pPr>
            <w:r w:rsidRPr="00CA749C">
              <w:rPr>
                <w:rFonts w:ascii="Arial" w:hAnsi="Arial" w:cs="Arial"/>
                <w:b w:val="0"/>
                <w:color w:val="auto"/>
                <w:sz w:val="20"/>
                <w:szCs w:val="20"/>
              </w:rPr>
              <w:t>General Fund</w:t>
            </w:r>
          </w:p>
        </w:tc>
        <w:tc>
          <w:tcPr>
            <w:tcW w:w="700" w:type="dxa"/>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872" w:type="dxa"/>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Grants Unappl’d</w:t>
            </w:r>
          </w:p>
        </w:tc>
        <w:tc>
          <w:tcPr>
            <w:tcW w:w="686" w:type="dxa"/>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853" w:type="dxa"/>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Cs w:val="0"/>
                <w:color w:val="auto"/>
                <w:sz w:val="22"/>
                <w:szCs w:val="22"/>
              </w:rPr>
            </w:pPr>
            <w:r w:rsidRPr="005D7390">
              <w:rPr>
                <w:rFonts w:ascii="Arial" w:hAnsi="Arial" w:cs="Arial"/>
                <w:b w:val="0"/>
                <w:bCs w:val="0"/>
                <w:color w:val="auto"/>
                <w:sz w:val="20"/>
                <w:szCs w:val="20"/>
              </w:rPr>
              <w:t xml:space="preserve">Pension </w:t>
            </w:r>
          </w:p>
        </w:tc>
        <w:tc>
          <w:tcPr>
            <w:tcW w:w="709" w:type="dxa"/>
            <w:gridSpan w:val="2"/>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Other</w:t>
            </w:r>
          </w:p>
        </w:tc>
        <w:tc>
          <w:tcPr>
            <w:tcW w:w="5552" w:type="dxa"/>
            <w:gridSpan w:val="5"/>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Cs w:val="0"/>
                <w:color w:val="auto"/>
                <w:sz w:val="22"/>
                <w:szCs w:val="22"/>
              </w:rPr>
            </w:pPr>
          </w:p>
        </w:tc>
        <w:tc>
          <w:tcPr>
            <w:tcW w:w="830" w:type="dxa"/>
            <w:gridSpan w:val="5"/>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General Fund</w:t>
            </w:r>
          </w:p>
        </w:tc>
        <w:tc>
          <w:tcPr>
            <w:tcW w:w="724" w:type="dxa"/>
            <w:gridSpan w:val="4"/>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Receipts</w:t>
            </w:r>
          </w:p>
        </w:tc>
        <w:tc>
          <w:tcPr>
            <w:tcW w:w="856" w:type="dxa"/>
            <w:gridSpan w:val="2"/>
            <w:tcBorders>
              <w:top w:val="none" w:sz="0" w:space="0" w:color="auto"/>
              <w:bottom w:val="none" w:sz="0" w:space="0" w:color="auto"/>
            </w:tcBorders>
            <w:shd w:val="clear" w:color="auto" w:fill="4BACC6" w:themeFill="accent5"/>
            <w:textDirection w:val="btLr"/>
          </w:tcPr>
          <w:p w:rsidR="005D7390" w:rsidRPr="005D7390" w:rsidRDefault="005D7390" w:rsidP="00013D69">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Capital Grants Unappl’d</w:t>
            </w:r>
          </w:p>
        </w:tc>
        <w:tc>
          <w:tcPr>
            <w:tcW w:w="709" w:type="dxa"/>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CAA</w:t>
            </w:r>
          </w:p>
        </w:tc>
        <w:tc>
          <w:tcPr>
            <w:tcW w:w="850" w:type="dxa"/>
            <w:gridSpan w:val="3"/>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Pension</w:t>
            </w:r>
          </w:p>
        </w:tc>
        <w:tc>
          <w:tcPr>
            <w:tcW w:w="709" w:type="dxa"/>
            <w:tcBorders>
              <w:top w:val="none" w:sz="0" w:space="0" w:color="auto"/>
              <w:bottom w:val="none" w:sz="0" w:space="0" w:color="auto"/>
            </w:tcBorders>
            <w:shd w:val="clear" w:color="auto" w:fill="4BACC6" w:themeFill="accent5"/>
            <w:textDirection w:val="btLr"/>
          </w:tcPr>
          <w:p w:rsidR="005D7390" w:rsidRPr="005D7390" w:rsidRDefault="005D7390" w:rsidP="0024663A">
            <w:pPr>
              <w:pStyle w:val="ExampleSub"/>
              <w:keepNext w:val="0"/>
              <w:keepLines w:val="0"/>
              <w:ind w:left="113" w:right="113"/>
              <w:cnfStyle w:val="000000100000"/>
              <w:rPr>
                <w:rFonts w:ascii="Arial" w:hAnsi="Arial" w:cs="Arial"/>
                <w:b w:val="0"/>
                <w:bCs w:val="0"/>
                <w:color w:val="auto"/>
                <w:sz w:val="20"/>
                <w:szCs w:val="20"/>
              </w:rPr>
            </w:pPr>
            <w:r w:rsidRPr="005D7390">
              <w:rPr>
                <w:rFonts w:ascii="Arial" w:hAnsi="Arial" w:cs="Arial"/>
                <w:b w:val="0"/>
                <w:bCs w:val="0"/>
                <w:color w:val="auto"/>
                <w:sz w:val="20"/>
                <w:szCs w:val="20"/>
              </w:rPr>
              <w:t>Other</w:t>
            </w:r>
          </w:p>
        </w:tc>
      </w:tr>
      <w:tr w:rsidR="005D7390" w:rsidRPr="005D7390" w:rsidTr="008A25D1">
        <w:trPr>
          <w:trHeight w:hRule="exact" w:val="454"/>
        </w:trPr>
        <w:tc>
          <w:tcPr>
            <w:cnfStyle w:val="001000000000"/>
            <w:tcW w:w="911" w:type="dxa"/>
            <w:tcBorders>
              <w:right w:val="none" w:sz="0" w:space="0" w:color="auto"/>
            </w:tcBorders>
            <w:shd w:val="clear" w:color="auto" w:fill="4BACC6" w:themeFill="accent5"/>
          </w:tcPr>
          <w:p w:rsidR="005D7390" w:rsidRPr="00CA749C" w:rsidRDefault="005D7390" w:rsidP="0024663A">
            <w:pPr>
              <w:pStyle w:val="ExampleSub"/>
              <w:keepNext w:val="0"/>
              <w:keepLines w:val="0"/>
              <w:ind w:left="0"/>
              <w:jc w:val="center"/>
              <w:rPr>
                <w:rFonts w:ascii="Arial" w:hAnsi="Arial" w:cs="Arial"/>
                <w:b w:val="0"/>
                <w:color w:val="auto"/>
                <w:sz w:val="18"/>
                <w:szCs w:val="18"/>
              </w:rPr>
            </w:pPr>
            <w:r w:rsidRPr="00CA749C">
              <w:rPr>
                <w:rFonts w:ascii="Arial" w:hAnsi="Arial" w:cs="Arial"/>
                <w:b w:val="0"/>
                <w:color w:val="auto"/>
                <w:sz w:val="18"/>
                <w:szCs w:val="18"/>
              </w:rPr>
              <w:t>£m</w:t>
            </w:r>
          </w:p>
        </w:tc>
        <w:tc>
          <w:tcPr>
            <w:tcW w:w="700" w:type="dxa"/>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72" w:type="dxa"/>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686" w:type="dxa"/>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3" w:type="dxa"/>
            <w:shd w:val="clear" w:color="auto" w:fill="4BACC6" w:themeFill="accent5"/>
          </w:tcPr>
          <w:p w:rsidR="005D7390" w:rsidRPr="005D7390" w:rsidRDefault="005D7390" w:rsidP="0024663A">
            <w:pPr>
              <w:pStyle w:val="ExampleSub"/>
              <w:keepNext w:val="0"/>
              <w:keepLines w:val="0"/>
              <w:ind w:left="0"/>
              <w:cnfStyle w:val="000000000000"/>
              <w:rPr>
                <w:rFonts w:ascii="Arial" w:hAnsi="Arial" w:cs="Arial"/>
                <w:b w:val="0"/>
                <w:color w:val="auto"/>
                <w:sz w:val="18"/>
                <w:szCs w:val="18"/>
              </w:rPr>
            </w:pPr>
            <w:r w:rsidRPr="005D7390">
              <w:rPr>
                <w:rFonts w:ascii="Arial" w:hAnsi="Arial" w:cs="Arial"/>
                <w:b w:val="0"/>
                <w:color w:val="auto"/>
                <w:sz w:val="18"/>
                <w:szCs w:val="18"/>
              </w:rPr>
              <w:t>£m</w:t>
            </w:r>
          </w:p>
        </w:tc>
        <w:tc>
          <w:tcPr>
            <w:tcW w:w="709" w:type="dxa"/>
            <w:gridSpan w:val="2"/>
            <w:shd w:val="clear" w:color="auto" w:fill="4BACC6" w:themeFill="accent5"/>
          </w:tcPr>
          <w:p w:rsidR="005D7390" w:rsidRPr="005D7390" w:rsidRDefault="005D7390" w:rsidP="0024663A">
            <w:pPr>
              <w:pStyle w:val="ExampleSub"/>
              <w:keepNext w:val="0"/>
              <w:keepLines w:val="0"/>
              <w:ind w:left="0"/>
              <w:cnfStyle w:val="000000000000"/>
              <w:rPr>
                <w:rFonts w:ascii="Arial" w:hAnsi="Arial" w:cs="Arial"/>
                <w:b w:val="0"/>
                <w:color w:val="auto"/>
                <w:sz w:val="18"/>
                <w:szCs w:val="18"/>
              </w:rPr>
            </w:pPr>
            <w:r w:rsidRPr="005D7390">
              <w:rPr>
                <w:rFonts w:ascii="Arial" w:hAnsi="Arial" w:cs="Arial"/>
                <w:b w:val="0"/>
                <w:color w:val="auto"/>
                <w:sz w:val="18"/>
                <w:szCs w:val="18"/>
              </w:rPr>
              <w:t>£m</w:t>
            </w:r>
          </w:p>
        </w:tc>
        <w:tc>
          <w:tcPr>
            <w:tcW w:w="5552" w:type="dxa"/>
            <w:gridSpan w:val="5"/>
            <w:shd w:val="clear" w:color="auto" w:fill="4BACC6" w:themeFill="accent5"/>
          </w:tcPr>
          <w:p w:rsidR="005D7390" w:rsidRPr="005D7390" w:rsidRDefault="005D7390" w:rsidP="0024663A">
            <w:pPr>
              <w:pStyle w:val="ExampleSub"/>
              <w:keepNext w:val="0"/>
              <w:keepLines w:val="0"/>
              <w:ind w:left="0"/>
              <w:cnfStyle w:val="000000000000"/>
              <w:rPr>
                <w:rFonts w:ascii="Arial" w:hAnsi="Arial" w:cs="Arial"/>
                <w:b w:val="0"/>
                <w:color w:val="auto"/>
                <w:sz w:val="18"/>
                <w:szCs w:val="18"/>
              </w:rPr>
            </w:pPr>
          </w:p>
        </w:tc>
        <w:tc>
          <w:tcPr>
            <w:tcW w:w="830" w:type="dxa"/>
            <w:gridSpan w:val="5"/>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24" w:type="dxa"/>
            <w:gridSpan w:val="4"/>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6" w:type="dxa"/>
            <w:gridSpan w:val="2"/>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09" w:type="dxa"/>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850" w:type="dxa"/>
            <w:gridSpan w:val="3"/>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c>
          <w:tcPr>
            <w:tcW w:w="709" w:type="dxa"/>
            <w:shd w:val="clear" w:color="auto" w:fill="4BACC6" w:themeFill="accent5"/>
          </w:tcPr>
          <w:p w:rsidR="005D7390" w:rsidRPr="005D7390" w:rsidRDefault="005D7390" w:rsidP="0024663A">
            <w:pPr>
              <w:pStyle w:val="ExampleSub"/>
              <w:keepNext w:val="0"/>
              <w:keepLines w:val="0"/>
              <w:ind w:left="0"/>
              <w:jc w:val="center"/>
              <w:cnfStyle w:val="000000000000"/>
              <w:rPr>
                <w:rFonts w:ascii="Arial" w:hAnsi="Arial" w:cs="Arial"/>
                <w:b w:val="0"/>
                <w:bCs w:val="0"/>
                <w:color w:val="auto"/>
                <w:sz w:val="18"/>
                <w:szCs w:val="18"/>
              </w:rPr>
            </w:pPr>
            <w:r w:rsidRPr="005D7390">
              <w:rPr>
                <w:rFonts w:ascii="Arial" w:hAnsi="Arial" w:cs="Arial"/>
                <w:b w:val="0"/>
                <w:bCs w:val="0"/>
                <w:color w:val="auto"/>
                <w:sz w:val="18"/>
                <w:szCs w:val="18"/>
              </w:rPr>
              <w:t>£m</w:t>
            </w:r>
          </w:p>
        </w:tc>
      </w:tr>
      <w:tr w:rsidR="005D7390" w:rsidRPr="005D7390" w:rsidTr="008A25D1">
        <w:trPr>
          <w:cnfStyle w:val="000000100000"/>
          <w:trHeight w:hRule="exact" w:val="629"/>
        </w:trPr>
        <w:tc>
          <w:tcPr>
            <w:cnfStyle w:val="001000000000"/>
            <w:tcW w:w="911" w:type="dxa"/>
            <w:tcBorders>
              <w:top w:val="none" w:sz="0" w:space="0" w:color="auto"/>
              <w:bottom w:val="none" w:sz="0" w:space="0" w:color="auto"/>
              <w:right w:val="none" w:sz="0" w:space="0" w:color="auto"/>
            </w:tcBorders>
            <w:vAlign w:val="center"/>
          </w:tcPr>
          <w:p w:rsidR="005D7390" w:rsidRPr="00CA749C" w:rsidRDefault="005D7390" w:rsidP="00A4798C">
            <w:pPr>
              <w:pStyle w:val="ExampleSub"/>
              <w:keepNext w:val="0"/>
              <w:keepLines w:val="0"/>
              <w:ind w:left="0"/>
              <w:jc w:val="center"/>
              <w:rPr>
                <w:rFonts w:ascii="Arial" w:hAnsi="Arial" w:cs="Arial"/>
                <w:b w:val="0"/>
                <w:color w:val="auto"/>
                <w:sz w:val="18"/>
                <w:szCs w:val="18"/>
              </w:rPr>
            </w:pPr>
            <w:r w:rsidRPr="00CA749C">
              <w:rPr>
                <w:rFonts w:ascii="Arial" w:hAnsi="Arial" w:cs="Arial"/>
                <w:b w:val="0"/>
                <w:color w:val="auto"/>
                <w:sz w:val="18"/>
                <w:szCs w:val="18"/>
              </w:rPr>
              <w:t>(14.3)</w:t>
            </w:r>
          </w:p>
        </w:tc>
        <w:tc>
          <w:tcPr>
            <w:tcW w:w="700" w:type="dxa"/>
            <w:tcBorders>
              <w:top w:val="none" w:sz="0" w:space="0" w:color="auto"/>
              <w:bottom w:val="none" w:sz="0" w:space="0" w:color="auto"/>
            </w:tcBorders>
            <w:vAlign w:val="center"/>
          </w:tcPr>
          <w:p w:rsidR="005D7390" w:rsidRPr="005D7390" w:rsidRDefault="005D7390" w:rsidP="00A4798C">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(1.6)</w:t>
            </w:r>
          </w:p>
        </w:tc>
        <w:tc>
          <w:tcPr>
            <w:tcW w:w="872" w:type="dxa"/>
            <w:tcBorders>
              <w:top w:val="none" w:sz="0" w:space="0" w:color="auto"/>
              <w:bottom w:val="none" w:sz="0" w:space="0" w:color="auto"/>
            </w:tcBorders>
            <w:vAlign w:val="center"/>
          </w:tcPr>
          <w:p w:rsidR="005D7390" w:rsidRPr="005D7390" w:rsidRDefault="005D7390" w:rsidP="00A4798C">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5.2</w:t>
            </w:r>
          </w:p>
        </w:tc>
        <w:tc>
          <w:tcPr>
            <w:tcW w:w="686" w:type="dxa"/>
            <w:tcBorders>
              <w:top w:val="none" w:sz="0" w:space="0" w:color="auto"/>
              <w:bottom w:val="none" w:sz="0" w:space="0" w:color="auto"/>
            </w:tcBorders>
            <w:vAlign w:val="center"/>
          </w:tcPr>
          <w:p w:rsidR="005D7390" w:rsidRPr="005D7390" w:rsidRDefault="005D7390" w:rsidP="00A4798C">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9.4</w:t>
            </w:r>
          </w:p>
        </w:tc>
        <w:tc>
          <w:tcPr>
            <w:tcW w:w="853" w:type="dxa"/>
            <w:tcBorders>
              <w:top w:val="none" w:sz="0" w:space="0" w:color="auto"/>
              <w:bottom w:val="none" w:sz="0" w:space="0" w:color="auto"/>
            </w:tcBorders>
            <w:vAlign w:val="center"/>
          </w:tcPr>
          <w:p w:rsidR="005D7390" w:rsidRPr="005D7390" w:rsidRDefault="005D7390" w:rsidP="00A4798C">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3.9</w:t>
            </w:r>
          </w:p>
        </w:tc>
        <w:tc>
          <w:tcPr>
            <w:tcW w:w="709" w:type="dxa"/>
            <w:gridSpan w:val="2"/>
            <w:tcBorders>
              <w:top w:val="none" w:sz="0" w:space="0" w:color="auto"/>
              <w:bottom w:val="none" w:sz="0" w:space="0" w:color="auto"/>
            </w:tcBorders>
            <w:vAlign w:val="center"/>
          </w:tcPr>
          <w:p w:rsidR="005D7390" w:rsidRDefault="005D7390" w:rsidP="00A4798C">
            <w:pPr>
              <w:pStyle w:val="ExampleSub"/>
              <w:keepNext w:val="0"/>
              <w:keepLines w:val="0"/>
              <w:ind w:left="0"/>
              <w:jc w:val="center"/>
              <w:cnfStyle w:val="000000100000"/>
              <w:rPr>
                <w:rFonts w:ascii="Arial" w:hAnsi="Arial" w:cs="Arial"/>
                <w:b w:val="0"/>
                <w:bCs w:val="0"/>
                <w:color w:val="auto"/>
                <w:sz w:val="18"/>
                <w:szCs w:val="18"/>
              </w:rPr>
            </w:pPr>
            <w:r w:rsidRPr="005D7390">
              <w:rPr>
                <w:rFonts w:ascii="Arial" w:hAnsi="Arial" w:cs="Arial"/>
                <w:b w:val="0"/>
                <w:bCs w:val="0"/>
                <w:color w:val="auto"/>
                <w:sz w:val="18"/>
                <w:szCs w:val="18"/>
              </w:rPr>
              <w:t>(2.6)</w:t>
            </w:r>
          </w:p>
          <w:p w:rsidR="00A4798C" w:rsidRPr="005D7390" w:rsidRDefault="00A4798C" w:rsidP="00A4798C">
            <w:pPr>
              <w:pStyle w:val="ExampleSub"/>
              <w:keepNext w:val="0"/>
              <w:keepLines w:val="0"/>
              <w:ind w:left="0"/>
              <w:jc w:val="center"/>
              <w:cnfStyle w:val="000000100000"/>
              <w:rPr>
                <w:rFonts w:ascii="Arial" w:hAnsi="Arial" w:cs="Arial"/>
                <w:b w:val="0"/>
                <w:bCs w:val="0"/>
                <w:color w:val="auto"/>
                <w:sz w:val="18"/>
                <w:szCs w:val="18"/>
              </w:rPr>
            </w:pPr>
          </w:p>
        </w:tc>
        <w:tc>
          <w:tcPr>
            <w:tcW w:w="5552" w:type="dxa"/>
            <w:gridSpan w:val="5"/>
            <w:tcBorders>
              <w:top w:val="none" w:sz="0" w:space="0" w:color="auto"/>
              <w:bottom w:val="none" w:sz="0" w:space="0" w:color="auto"/>
            </w:tcBorders>
            <w:vAlign w:val="center"/>
          </w:tcPr>
          <w:p w:rsidR="005D7390" w:rsidRDefault="005D7390" w:rsidP="00A4798C">
            <w:pPr>
              <w:pStyle w:val="ExampleSub"/>
              <w:keepNext w:val="0"/>
              <w:keepLines w:val="0"/>
              <w:ind w:left="0"/>
              <w:jc w:val="center"/>
              <w:cnfStyle w:val="000000100000"/>
              <w:rPr>
                <w:rFonts w:ascii="Arial" w:hAnsi="Arial" w:cs="Arial"/>
                <w:b w:val="0"/>
                <w:color w:val="auto"/>
                <w:sz w:val="18"/>
                <w:szCs w:val="18"/>
              </w:rPr>
            </w:pPr>
            <w:r w:rsidRPr="005D7390">
              <w:rPr>
                <w:rFonts w:ascii="Arial" w:hAnsi="Arial" w:cs="Arial"/>
                <w:b w:val="0"/>
                <w:color w:val="auto"/>
                <w:sz w:val="18"/>
                <w:szCs w:val="18"/>
              </w:rPr>
              <w:t>b/f</w:t>
            </w:r>
          </w:p>
          <w:p w:rsidR="00A4798C" w:rsidRPr="005D7390" w:rsidRDefault="00A4798C" w:rsidP="00A4798C">
            <w:pPr>
              <w:pStyle w:val="ExampleSub"/>
              <w:keepNext w:val="0"/>
              <w:keepLines w:val="0"/>
              <w:ind w:left="0"/>
              <w:jc w:val="center"/>
              <w:cnfStyle w:val="000000100000"/>
              <w:rPr>
                <w:rFonts w:ascii="Arial" w:hAnsi="Arial" w:cs="Arial"/>
                <w:color w:val="auto"/>
                <w:sz w:val="18"/>
                <w:szCs w:val="18"/>
              </w:rPr>
            </w:pPr>
          </w:p>
        </w:tc>
        <w:tc>
          <w:tcPr>
            <w:tcW w:w="830" w:type="dxa"/>
            <w:gridSpan w:val="5"/>
            <w:tcBorders>
              <w:top w:val="none" w:sz="0" w:space="0" w:color="auto"/>
              <w:bottom w:val="none" w:sz="0" w:space="0" w:color="auto"/>
            </w:tcBorders>
            <w:vAlign w:val="center"/>
          </w:tcPr>
          <w:p w:rsidR="005D7390" w:rsidRPr="00A4798C" w:rsidRDefault="008C3E45" w:rsidP="00CA7804">
            <w:pPr>
              <w:pStyle w:val="ExampleSub"/>
              <w:keepNext w:val="0"/>
              <w:keepLines w:val="0"/>
              <w:ind w:left="0"/>
              <w:jc w:val="center"/>
              <w:cnfStyle w:val="000000100000"/>
              <w:rPr>
                <w:rFonts w:ascii="Arial" w:hAnsi="Arial" w:cs="Arial"/>
                <w:bCs w:val="0"/>
                <w:color w:val="auto"/>
                <w:sz w:val="18"/>
                <w:szCs w:val="18"/>
              </w:rPr>
            </w:pPr>
            <w:r w:rsidRPr="00A4798C">
              <w:rPr>
                <w:rFonts w:ascii="Arial" w:hAnsi="Arial" w:cs="Arial"/>
                <w:bCs w:val="0"/>
                <w:color w:val="auto"/>
                <w:sz w:val="18"/>
                <w:szCs w:val="18"/>
              </w:rPr>
              <w:t>(2</w:t>
            </w:r>
            <w:r w:rsidR="00A4798C" w:rsidRPr="00A4798C">
              <w:rPr>
                <w:rFonts w:ascii="Arial" w:hAnsi="Arial" w:cs="Arial"/>
                <w:bCs w:val="0"/>
                <w:color w:val="auto"/>
                <w:sz w:val="18"/>
                <w:szCs w:val="18"/>
              </w:rPr>
              <w:t>2.</w:t>
            </w:r>
            <w:r w:rsidR="00CA7804">
              <w:rPr>
                <w:rFonts w:ascii="Arial" w:hAnsi="Arial" w:cs="Arial"/>
                <w:bCs w:val="0"/>
                <w:color w:val="auto"/>
                <w:sz w:val="18"/>
                <w:szCs w:val="18"/>
              </w:rPr>
              <w:t>1</w:t>
            </w:r>
            <w:r w:rsidRPr="00A4798C">
              <w:rPr>
                <w:rFonts w:ascii="Arial" w:hAnsi="Arial" w:cs="Arial"/>
                <w:bCs w:val="0"/>
                <w:color w:val="auto"/>
                <w:sz w:val="18"/>
                <w:szCs w:val="18"/>
              </w:rPr>
              <w:t>)</w:t>
            </w:r>
          </w:p>
        </w:tc>
        <w:tc>
          <w:tcPr>
            <w:tcW w:w="724" w:type="dxa"/>
            <w:gridSpan w:val="4"/>
            <w:tcBorders>
              <w:top w:val="none" w:sz="0" w:space="0" w:color="auto"/>
              <w:bottom w:val="none" w:sz="0" w:space="0" w:color="auto"/>
            </w:tcBorders>
            <w:vAlign w:val="center"/>
          </w:tcPr>
          <w:p w:rsidR="005D7390" w:rsidRPr="00A4798C" w:rsidRDefault="008C3E45" w:rsidP="00A4798C">
            <w:pPr>
              <w:pStyle w:val="ExampleSub"/>
              <w:keepNext w:val="0"/>
              <w:keepLines w:val="0"/>
              <w:ind w:left="0"/>
              <w:jc w:val="center"/>
              <w:cnfStyle w:val="000000100000"/>
              <w:rPr>
                <w:rFonts w:ascii="Arial" w:hAnsi="Arial" w:cs="Arial"/>
                <w:bCs w:val="0"/>
                <w:color w:val="auto"/>
                <w:sz w:val="18"/>
                <w:szCs w:val="18"/>
              </w:rPr>
            </w:pPr>
            <w:r w:rsidRPr="00A4798C">
              <w:rPr>
                <w:rFonts w:ascii="Arial" w:hAnsi="Arial" w:cs="Arial"/>
                <w:bCs w:val="0"/>
                <w:color w:val="auto"/>
                <w:sz w:val="18"/>
                <w:szCs w:val="18"/>
              </w:rPr>
              <w:t>2.0</w:t>
            </w:r>
          </w:p>
        </w:tc>
        <w:tc>
          <w:tcPr>
            <w:tcW w:w="856" w:type="dxa"/>
            <w:gridSpan w:val="2"/>
            <w:tcBorders>
              <w:top w:val="none" w:sz="0" w:space="0" w:color="auto"/>
              <w:bottom w:val="none" w:sz="0" w:space="0" w:color="auto"/>
            </w:tcBorders>
            <w:vAlign w:val="center"/>
          </w:tcPr>
          <w:p w:rsidR="005D7390" w:rsidRPr="00A4798C" w:rsidRDefault="008C3E45" w:rsidP="00A4798C">
            <w:pPr>
              <w:pStyle w:val="ExampleSub"/>
              <w:keepNext w:val="0"/>
              <w:keepLines w:val="0"/>
              <w:ind w:left="0"/>
              <w:jc w:val="center"/>
              <w:cnfStyle w:val="000000100000"/>
              <w:rPr>
                <w:rFonts w:ascii="Arial" w:hAnsi="Arial" w:cs="Arial"/>
                <w:bCs w:val="0"/>
                <w:color w:val="auto"/>
                <w:sz w:val="18"/>
                <w:szCs w:val="18"/>
              </w:rPr>
            </w:pPr>
            <w:r w:rsidRPr="00A4798C">
              <w:rPr>
                <w:rFonts w:ascii="Arial" w:hAnsi="Arial" w:cs="Arial"/>
                <w:bCs w:val="0"/>
                <w:color w:val="auto"/>
                <w:sz w:val="18"/>
                <w:szCs w:val="18"/>
              </w:rPr>
              <w:t>1.0</w:t>
            </w:r>
          </w:p>
        </w:tc>
        <w:tc>
          <w:tcPr>
            <w:tcW w:w="709" w:type="dxa"/>
            <w:tcBorders>
              <w:top w:val="none" w:sz="0" w:space="0" w:color="auto"/>
              <w:bottom w:val="none" w:sz="0" w:space="0" w:color="auto"/>
            </w:tcBorders>
            <w:vAlign w:val="center"/>
          </w:tcPr>
          <w:p w:rsidR="005D7390" w:rsidRPr="00A4798C" w:rsidRDefault="008C3E45" w:rsidP="00CA7804">
            <w:pPr>
              <w:pStyle w:val="ExampleSub"/>
              <w:keepNext w:val="0"/>
              <w:keepLines w:val="0"/>
              <w:ind w:left="0"/>
              <w:jc w:val="center"/>
              <w:cnfStyle w:val="000000100000"/>
              <w:rPr>
                <w:rFonts w:ascii="Arial" w:hAnsi="Arial" w:cs="Arial"/>
                <w:bCs w:val="0"/>
                <w:color w:val="auto"/>
                <w:sz w:val="18"/>
                <w:szCs w:val="18"/>
              </w:rPr>
            </w:pPr>
            <w:r w:rsidRPr="00A4798C">
              <w:rPr>
                <w:rFonts w:ascii="Arial" w:hAnsi="Arial" w:cs="Arial"/>
                <w:bCs w:val="0"/>
                <w:color w:val="auto"/>
                <w:sz w:val="18"/>
                <w:szCs w:val="18"/>
              </w:rPr>
              <w:t>13.</w:t>
            </w:r>
            <w:r w:rsidR="00CA7804">
              <w:rPr>
                <w:rFonts w:ascii="Arial" w:hAnsi="Arial" w:cs="Arial"/>
                <w:bCs w:val="0"/>
                <w:color w:val="auto"/>
                <w:sz w:val="18"/>
                <w:szCs w:val="18"/>
              </w:rPr>
              <w:t>7</w:t>
            </w:r>
          </w:p>
        </w:tc>
        <w:tc>
          <w:tcPr>
            <w:tcW w:w="850" w:type="dxa"/>
            <w:gridSpan w:val="3"/>
            <w:tcBorders>
              <w:top w:val="none" w:sz="0" w:space="0" w:color="auto"/>
              <w:bottom w:val="none" w:sz="0" w:space="0" w:color="auto"/>
            </w:tcBorders>
            <w:vAlign w:val="center"/>
          </w:tcPr>
          <w:p w:rsidR="005D7390" w:rsidRPr="00A4798C" w:rsidRDefault="008C3E45" w:rsidP="00151301">
            <w:pPr>
              <w:pStyle w:val="ExampleSub"/>
              <w:keepNext w:val="0"/>
              <w:keepLines w:val="0"/>
              <w:ind w:left="0"/>
              <w:jc w:val="center"/>
              <w:cnfStyle w:val="000000100000"/>
              <w:rPr>
                <w:rFonts w:ascii="Arial" w:hAnsi="Arial" w:cs="Arial"/>
                <w:bCs w:val="0"/>
                <w:color w:val="auto"/>
                <w:sz w:val="18"/>
                <w:szCs w:val="18"/>
              </w:rPr>
            </w:pPr>
            <w:r w:rsidRPr="00A4798C">
              <w:rPr>
                <w:rFonts w:ascii="Arial" w:hAnsi="Arial" w:cs="Arial"/>
                <w:bCs w:val="0"/>
                <w:color w:val="auto"/>
                <w:sz w:val="18"/>
                <w:szCs w:val="18"/>
              </w:rPr>
              <w:t>5.</w:t>
            </w:r>
            <w:r w:rsidR="00151301">
              <w:rPr>
                <w:rFonts w:ascii="Arial" w:hAnsi="Arial" w:cs="Arial"/>
                <w:bCs w:val="0"/>
                <w:color w:val="auto"/>
                <w:sz w:val="18"/>
                <w:szCs w:val="18"/>
              </w:rPr>
              <w:t>1</w:t>
            </w:r>
          </w:p>
        </w:tc>
        <w:tc>
          <w:tcPr>
            <w:tcW w:w="709" w:type="dxa"/>
            <w:tcBorders>
              <w:top w:val="none" w:sz="0" w:space="0" w:color="auto"/>
              <w:bottom w:val="none" w:sz="0" w:space="0" w:color="auto"/>
            </w:tcBorders>
            <w:vAlign w:val="center"/>
          </w:tcPr>
          <w:p w:rsidR="005D7390" w:rsidRPr="00A4798C" w:rsidRDefault="008C3E45" w:rsidP="00A4798C">
            <w:pPr>
              <w:pStyle w:val="ExampleSub"/>
              <w:keepNext w:val="0"/>
              <w:keepLines w:val="0"/>
              <w:ind w:left="0"/>
              <w:jc w:val="center"/>
              <w:cnfStyle w:val="000000100000"/>
              <w:rPr>
                <w:rFonts w:ascii="Arial" w:hAnsi="Arial" w:cs="Arial"/>
                <w:bCs w:val="0"/>
                <w:color w:val="auto"/>
                <w:sz w:val="18"/>
                <w:szCs w:val="18"/>
              </w:rPr>
            </w:pPr>
            <w:r w:rsidRPr="00A4798C">
              <w:rPr>
                <w:rFonts w:ascii="Arial" w:hAnsi="Arial" w:cs="Arial"/>
                <w:bCs w:val="0"/>
                <w:color w:val="auto"/>
                <w:sz w:val="18"/>
                <w:szCs w:val="18"/>
              </w:rPr>
              <w:t>0.3</w:t>
            </w:r>
          </w:p>
        </w:tc>
      </w:tr>
      <w:tr w:rsidR="005D7390" w:rsidRPr="005D7390" w:rsidTr="008A25D1">
        <w:tc>
          <w:tcPr>
            <w:cnfStyle w:val="001000000000"/>
            <w:tcW w:w="911" w:type="dxa"/>
            <w:tcBorders>
              <w:right w:val="none" w:sz="0" w:space="0" w:color="auto"/>
            </w:tcBorders>
          </w:tcPr>
          <w:p w:rsidR="005D7390" w:rsidRPr="00CA749C" w:rsidRDefault="005D7390" w:rsidP="00521368">
            <w:pPr>
              <w:pStyle w:val="ExampleSub"/>
              <w:keepNext w:val="0"/>
              <w:keepLines w:val="0"/>
              <w:ind w:left="0"/>
              <w:jc w:val="center"/>
              <w:rPr>
                <w:rFonts w:ascii="Arial" w:hAnsi="Arial" w:cs="Arial"/>
                <w:b w:val="0"/>
                <w:color w:val="auto"/>
                <w:sz w:val="20"/>
                <w:szCs w:val="20"/>
              </w:rPr>
            </w:pPr>
            <w:r w:rsidRPr="00CA749C">
              <w:rPr>
                <w:rFonts w:ascii="Arial" w:hAnsi="Arial" w:cs="Arial"/>
                <w:b w:val="0"/>
                <w:color w:val="auto"/>
                <w:sz w:val="20"/>
                <w:szCs w:val="20"/>
              </w:rPr>
              <w:t>0.3</w:t>
            </w:r>
          </w:p>
        </w:tc>
        <w:tc>
          <w:tcPr>
            <w:tcW w:w="700"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72"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686"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853" w:type="dxa"/>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p>
        </w:tc>
        <w:tc>
          <w:tcPr>
            <w:tcW w:w="709" w:type="dxa"/>
            <w:gridSpan w:val="2"/>
          </w:tcPr>
          <w:p w:rsidR="005D7390" w:rsidRPr="005D7390" w:rsidRDefault="005D7390" w:rsidP="00521368">
            <w:pPr>
              <w:pStyle w:val="ExampleSub"/>
              <w:keepNext w:val="0"/>
              <w:keepLines w:val="0"/>
              <w:ind w:left="0"/>
              <w:jc w:val="center"/>
              <w:cnfStyle w:val="000000000000"/>
              <w:rPr>
                <w:rFonts w:ascii="Arial" w:hAnsi="Arial" w:cs="Arial"/>
                <w:b w:val="0"/>
                <w:bCs w:val="0"/>
                <w:color w:val="auto"/>
                <w:sz w:val="20"/>
                <w:szCs w:val="20"/>
              </w:rPr>
            </w:pPr>
            <w:r w:rsidRPr="005D7390">
              <w:rPr>
                <w:rFonts w:ascii="Arial" w:hAnsi="Arial" w:cs="Arial"/>
                <w:b w:val="0"/>
                <w:bCs w:val="0"/>
                <w:color w:val="auto"/>
                <w:sz w:val="20"/>
                <w:szCs w:val="20"/>
              </w:rPr>
              <w:t>(0.3)</w:t>
            </w:r>
          </w:p>
        </w:tc>
        <w:tc>
          <w:tcPr>
            <w:tcW w:w="5552" w:type="dxa"/>
            <w:gridSpan w:val="5"/>
          </w:tcPr>
          <w:p w:rsidR="005D7390" w:rsidRPr="005D7390" w:rsidRDefault="005D7390" w:rsidP="0024663A">
            <w:pPr>
              <w:pStyle w:val="ExampleSub"/>
              <w:keepNext w:val="0"/>
              <w:keepLines w:val="0"/>
              <w:ind w:left="0"/>
              <w:cnfStyle w:val="000000000000"/>
              <w:rPr>
                <w:rFonts w:ascii="Arial" w:hAnsi="Arial" w:cs="Arial"/>
                <w:color w:val="auto"/>
                <w:sz w:val="24"/>
                <w:szCs w:val="24"/>
              </w:rPr>
            </w:pPr>
            <w:r w:rsidRPr="005D7390">
              <w:rPr>
                <w:rFonts w:ascii="Arial" w:hAnsi="Arial" w:cs="Arial"/>
                <w:b w:val="0"/>
                <w:color w:val="auto"/>
                <w:sz w:val="20"/>
                <w:szCs w:val="20"/>
              </w:rPr>
              <w:t>Amount by which officer remuneration charged to the CI&amp;E Statement on an accruals basis is different from remuneration chargeable in the year in accordance with statutory requirements</w:t>
            </w:r>
          </w:p>
        </w:tc>
        <w:tc>
          <w:tcPr>
            <w:tcW w:w="830" w:type="dxa"/>
            <w:gridSpan w:val="5"/>
          </w:tcPr>
          <w:p w:rsidR="005D7390" w:rsidRPr="00A4798C" w:rsidRDefault="008C3E45"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0.3</w:t>
            </w:r>
          </w:p>
        </w:tc>
        <w:tc>
          <w:tcPr>
            <w:tcW w:w="724" w:type="dxa"/>
            <w:gridSpan w:val="4"/>
          </w:tcPr>
          <w:p w:rsidR="005D7390" w:rsidRPr="00A4798C" w:rsidRDefault="008C3E45"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w:t>
            </w:r>
          </w:p>
        </w:tc>
        <w:tc>
          <w:tcPr>
            <w:tcW w:w="856" w:type="dxa"/>
            <w:gridSpan w:val="2"/>
          </w:tcPr>
          <w:p w:rsidR="005D7390" w:rsidRPr="00A4798C" w:rsidRDefault="008C3E45"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w:t>
            </w:r>
          </w:p>
        </w:tc>
        <w:tc>
          <w:tcPr>
            <w:tcW w:w="709" w:type="dxa"/>
          </w:tcPr>
          <w:p w:rsidR="005D7390" w:rsidRPr="00A4798C" w:rsidRDefault="008C3E45"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w:t>
            </w:r>
          </w:p>
        </w:tc>
        <w:tc>
          <w:tcPr>
            <w:tcW w:w="850" w:type="dxa"/>
            <w:gridSpan w:val="3"/>
          </w:tcPr>
          <w:p w:rsidR="005D7390" w:rsidRPr="00A4798C" w:rsidRDefault="008C3E45"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w:t>
            </w:r>
          </w:p>
        </w:tc>
        <w:tc>
          <w:tcPr>
            <w:tcW w:w="709" w:type="dxa"/>
          </w:tcPr>
          <w:p w:rsidR="005D7390" w:rsidRPr="00A4798C" w:rsidRDefault="008C3E45"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(0.3)</w:t>
            </w:r>
          </w:p>
        </w:tc>
      </w:tr>
      <w:tr w:rsidR="004343BC"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4343BC" w:rsidRPr="005D7390" w:rsidRDefault="004343BC" w:rsidP="00521368">
            <w:pPr>
              <w:pStyle w:val="ExampleSub"/>
              <w:keepNext w:val="0"/>
              <w:keepLines w:val="0"/>
              <w:ind w:left="0"/>
              <w:jc w:val="center"/>
              <w:rPr>
                <w:rFonts w:ascii="Arial" w:hAnsi="Arial" w:cs="Arial"/>
                <w:color w:val="auto"/>
                <w:sz w:val="20"/>
                <w:szCs w:val="20"/>
              </w:rPr>
            </w:pPr>
          </w:p>
        </w:tc>
        <w:tc>
          <w:tcPr>
            <w:tcW w:w="700" w:type="dxa"/>
            <w:tcBorders>
              <w:top w:val="none" w:sz="0" w:space="0" w:color="auto"/>
              <w:bottom w:val="none" w:sz="0" w:space="0" w:color="auto"/>
            </w:tcBorders>
          </w:tcPr>
          <w:p w:rsidR="004343BC" w:rsidRPr="005D7390" w:rsidRDefault="004343BC" w:rsidP="00521368">
            <w:pPr>
              <w:pStyle w:val="ExampleSub"/>
              <w:keepNext w:val="0"/>
              <w:keepLines w:val="0"/>
              <w:ind w:left="0"/>
              <w:jc w:val="center"/>
              <w:cnfStyle w:val="000000100000"/>
              <w:rPr>
                <w:rFonts w:ascii="Arial" w:hAnsi="Arial" w:cs="Arial"/>
                <w:b w:val="0"/>
                <w:bCs w:val="0"/>
                <w:color w:val="auto"/>
                <w:sz w:val="20"/>
                <w:szCs w:val="20"/>
              </w:rPr>
            </w:pPr>
          </w:p>
        </w:tc>
        <w:tc>
          <w:tcPr>
            <w:tcW w:w="872" w:type="dxa"/>
            <w:tcBorders>
              <w:top w:val="none" w:sz="0" w:space="0" w:color="auto"/>
              <w:bottom w:val="none" w:sz="0" w:space="0" w:color="auto"/>
            </w:tcBorders>
          </w:tcPr>
          <w:p w:rsidR="004343BC" w:rsidRPr="005D7390" w:rsidRDefault="004343BC" w:rsidP="00521368">
            <w:pPr>
              <w:pStyle w:val="ExampleSub"/>
              <w:keepNext w:val="0"/>
              <w:keepLines w:val="0"/>
              <w:ind w:left="0"/>
              <w:jc w:val="center"/>
              <w:cnfStyle w:val="000000100000"/>
              <w:rPr>
                <w:rFonts w:ascii="Arial" w:hAnsi="Arial" w:cs="Arial"/>
                <w:b w:val="0"/>
                <w:bCs w:val="0"/>
                <w:color w:val="auto"/>
                <w:sz w:val="20"/>
                <w:szCs w:val="20"/>
              </w:rPr>
            </w:pPr>
          </w:p>
        </w:tc>
        <w:tc>
          <w:tcPr>
            <w:tcW w:w="686" w:type="dxa"/>
            <w:tcBorders>
              <w:top w:val="none" w:sz="0" w:space="0" w:color="auto"/>
              <w:bottom w:val="none" w:sz="0" w:space="0" w:color="auto"/>
            </w:tcBorders>
          </w:tcPr>
          <w:p w:rsidR="004343BC" w:rsidRPr="005D7390" w:rsidRDefault="004343BC" w:rsidP="00521368">
            <w:pPr>
              <w:pStyle w:val="ExampleSub"/>
              <w:keepNext w:val="0"/>
              <w:keepLines w:val="0"/>
              <w:ind w:left="0"/>
              <w:jc w:val="center"/>
              <w:cnfStyle w:val="000000100000"/>
              <w:rPr>
                <w:rFonts w:ascii="Arial" w:hAnsi="Arial" w:cs="Arial"/>
                <w:b w:val="0"/>
                <w:bCs w:val="0"/>
                <w:color w:val="auto"/>
                <w:sz w:val="20"/>
                <w:szCs w:val="20"/>
              </w:rPr>
            </w:pPr>
          </w:p>
        </w:tc>
        <w:tc>
          <w:tcPr>
            <w:tcW w:w="853" w:type="dxa"/>
            <w:tcBorders>
              <w:top w:val="none" w:sz="0" w:space="0" w:color="auto"/>
              <w:bottom w:val="none" w:sz="0" w:space="0" w:color="auto"/>
            </w:tcBorders>
          </w:tcPr>
          <w:p w:rsidR="004343BC" w:rsidRPr="005D7390" w:rsidRDefault="004343BC" w:rsidP="00521368">
            <w:pPr>
              <w:pStyle w:val="ExampleSub"/>
              <w:keepNext w:val="0"/>
              <w:keepLines w:val="0"/>
              <w:ind w:left="0"/>
              <w:jc w:val="center"/>
              <w:cnfStyle w:val="000000100000"/>
              <w:rPr>
                <w:rFonts w:ascii="Arial" w:hAnsi="Arial" w:cs="Arial"/>
                <w:b w:val="0"/>
                <w:bCs w:val="0"/>
                <w:color w:val="auto"/>
                <w:sz w:val="20"/>
                <w:szCs w:val="20"/>
              </w:rPr>
            </w:pPr>
          </w:p>
        </w:tc>
        <w:tc>
          <w:tcPr>
            <w:tcW w:w="709" w:type="dxa"/>
            <w:gridSpan w:val="2"/>
            <w:tcBorders>
              <w:top w:val="none" w:sz="0" w:space="0" w:color="auto"/>
              <w:bottom w:val="none" w:sz="0" w:space="0" w:color="auto"/>
            </w:tcBorders>
          </w:tcPr>
          <w:p w:rsidR="004343BC" w:rsidRPr="005D7390" w:rsidRDefault="004343BC" w:rsidP="00521368">
            <w:pPr>
              <w:pStyle w:val="ExampleSub"/>
              <w:keepNext w:val="0"/>
              <w:keepLines w:val="0"/>
              <w:ind w:left="0"/>
              <w:jc w:val="center"/>
              <w:cnfStyle w:val="000000100000"/>
              <w:rPr>
                <w:rFonts w:ascii="Arial" w:hAnsi="Arial" w:cs="Arial"/>
                <w:b w:val="0"/>
                <w:bCs w:val="0"/>
                <w:color w:val="auto"/>
                <w:sz w:val="20"/>
                <w:szCs w:val="20"/>
              </w:rPr>
            </w:pPr>
          </w:p>
        </w:tc>
        <w:tc>
          <w:tcPr>
            <w:tcW w:w="5552" w:type="dxa"/>
            <w:gridSpan w:val="5"/>
            <w:tcBorders>
              <w:top w:val="none" w:sz="0" w:space="0" w:color="auto"/>
              <w:bottom w:val="none" w:sz="0" w:space="0" w:color="auto"/>
            </w:tcBorders>
          </w:tcPr>
          <w:p w:rsidR="004343BC" w:rsidRPr="005D7390" w:rsidRDefault="004343BC" w:rsidP="004343BC">
            <w:pPr>
              <w:pStyle w:val="ExampleSub"/>
              <w:keepNext w:val="0"/>
              <w:keepLines w:val="0"/>
              <w:ind w:left="0"/>
              <w:cnfStyle w:val="000000100000"/>
              <w:rPr>
                <w:rFonts w:ascii="Arial" w:hAnsi="Arial" w:cs="Arial"/>
                <w:color w:val="auto"/>
                <w:sz w:val="24"/>
                <w:szCs w:val="24"/>
              </w:rPr>
            </w:pPr>
            <w:r w:rsidRPr="005D7390">
              <w:rPr>
                <w:rFonts w:ascii="Arial" w:hAnsi="Arial" w:cs="Arial"/>
                <w:color w:val="auto"/>
                <w:sz w:val="22"/>
                <w:szCs w:val="22"/>
              </w:rPr>
              <w:t xml:space="preserve">Adjustment involving the </w:t>
            </w:r>
            <w:r>
              <w:rPr>
                <w:rFonts w:ascii="Arial" w:hAnsi="Arial" w:cs="Arial"/>
                <w:color w:val="auto"/>
                <w:sz w:val="22"/>
                <w:szCs w:val="22"/>
              </w:rPr>
              <w:t xml:space="preserve">Financial Instruments </w:t>
            </w:r>
            <w:r w:rsidR="00B24722">
              <w:rPr>
                <w:rFonts w:ascii="Arial" w:hAnsi="Arial" w:cs="Arial"/>
                <w:color w:val="auto"/>
                <w:sz w:val="22"/>
                <w:szCs w:val="22"/>
              </w:rPr>
              <w:t xml:space="preserve">Adjustments </w:t>
            </w:r>
            <w:r>
              <w:rPr>
                <w:rFonts w:ascii="Arial" w:hAnsi="Arial" w:cs="Arial"/>
                <w:color w:val="auto"/>
                <w:sz w:val="22"/>
                <w:szCs w:val="22"/>
              </w:rPr>
              <w:t>Account</w:t>
            </w:r>
          </w:p>
        </w:tc>
        <w:tc>
          <w:tcPr>
            <w:tcW w:w="830" w:type="dxa"/>
            <w:gridSpan w:val="5"/>
            <w:tcBorders>
              <w:top w:val="none" w:sz="0" w:space="0" w:color="auto"/>
              <w:bottom w:val="none" w:sz="0" w:space="0" w:color="auto"/>
            </w:tcBorders>
          </w:tcPr>
          <w:p w:rsidR="004343BC" w:rsidRPr="00A4798C" w:rsidRDefault="004343BC" w:rsidP="003135CE">
            <w:pPr>
              <w:pStyle w:val="ExampleSub"/>
              <w:keepNext w:val="0"/>
              <w:keepLines w:val="0"/>
              <w:ind w:left="0"/>
              <w:jc w:val="center"/>
              <w:cnfStyle w:val="000000100000"/>
              <w:rPr>
                <w:rFonts w:ascii="Arial" w:hAnsi="Arial" w:cs="Arial"/>
                <w:bCs w:val="0"/>
                <w:color w:val="auto"/>
                <w:sz w:val="20"/>
                <w:szCs w:val="20"/>
              </w:rPr>
            </w:pPr>
          </w:p>
        </w:tc>
        <w:tc>
          <w:tcPr>
            <w:tcW w:w="724" w:type="dxa"/>
            <w:gridSpan w:val="4"/>
            <w:tcBorders>
              <w:top w:val="none" w:sz="0" w:space="0" w:color="auto"/>
              <w:bottom w:val="none" w:sz="0" w:space="0" w:color="auto"/>
            </w:tcBorders>
          </w:tcPr>
          <w:p w:rsidR="004343BC" w:rsidRPr="00A4798C" w:rsidRDefault="004343BC" w:rsidP="003135CE">
            <w:pPr>
              <w:pStyle w:val="ExampleSub"/>
              <w:keepNext w:val="0"/>
              <w:keepLines w:val="0"/>
              <w:ind w:left="0"/>
              <w:jc w:val="center"/>
              <w:cnfStyle w:val="000000100000"/>
              <w:rPr>
                <w:rFonts w:ascii="Arial" w:hAnsi="Arial" w:cs="Arial"/>
                <w:bCs w:val="0"/>
                <w:color w:val="auto"/>
                <w:sz w:val="20"/>
                <w:szCs w:val="20"/>
              </w:rPr>
            </w:pPr>
          </w:p>
        </w:tc>
        <w:tc>
          <w:tcPr>
            <w:tcW w:w="856" w:type="dxa"/>
            <w:gridSpan w:val="2"/>
            <w:tcBorders>
              <w:top w:val="none" w:sz="0" w:space="0" w:color="auto"/>
              <w:bottom w:val="none" w:sz="0" w:space="0" w:color="auto"/>
            </w:tcBorders>
          </w:tcPr>
          <w:p w:rsidR="004343BC" w:rsidRPr="00A4798C" w:rsidRDefault="004343BC" w:rsidP="003135CE">
            <w:pPr>
              <w:pStyle w:val="ExampleSub"/>
              <w:keepNext w:val="0"/>
              <w:keepLines w:val="0"/>
              <w:ind w:left="0"/>
              <w:jc w:val="center"/>
              <w:cnfStyle w:val="000000100000"/>
              <w:rPr>
                <w:rFonts w:ascii="Arial" w:hAnsi="Arial" w:cs="Arial"/>
                <w:bCs w:val="0"/>
                <w:color w:val="auto"/>
                <w:sz w:val="20"/>
                <w:szCs w:val="20"/>
              </w:rPr>
            </w:pPr>
          </w:p>
        </w:tc>
        <w:tc>
          <w:tcPr>
            <w:tcW w:w="709" w:type="dxa"/>
            <w:tcBorders>
              <w:top w:val="none" w:sz="0" w:space="0" w:color="auto"/>
              <w:bottom w:val="none" w:sz="0" w:space="0" w:color="auto"/>
            </w:tcBorders>
          </w:tcPr>
          <w:p w:rsidR="004343BC" w:rsidRPr="00A4798C" w:rsidRDefault="004343BC" w:rsidP="003135CE">
            <w:pPr>
              <w:pStyle w:val="ExampleSub"/>
              <w:keepNext w:val="0"/>
              <w:keepLines w:val="0"/>
              <w:ind w:left="0"/>
              <w:jc w:val="center"/>
              <w:cnfStyle w:val="000000100000"/>
              <w:rPr>
                <w:rFonts w:ascii="Arial" w:hAnsi="Arial" w:cs="Arial"/>
                <w:bCs w:val="0"/>
                <w:color w:val="auto"/>
                <w:sz w:val="20"/>
                <w:szCs w:val="20"/>
              </w:rPr>
            </w:pPr>
          </w:p>
        </w:tc>
        <w:tc>
          <w:tcPr>
            <w:tcW w:w="850" w:type="dxa"/>
            <w:gridSpan w:val="3"/>
            <w:tcBorders>
              <w:top w:val="none" w:sz="0" w:space="0" w:color="auto"/>
              <w:bottom w:val="none" w:sz="0" w:space="0" w:color="auto"/>
            </w:tcBorders>
          </w:tcPr>
          <w:p w:rsidR="004343BC" w:rsidRPr="00A4798C" w:rsidRDefault="004343BC" w:rsidP="003135CE">
            <w:pPr>
              <w:pStyle w:val="ExampleSub"/>
              <w:keepNext w:val="0"/>
              <w:keepLines w:val="0"/>
              <w:ind w:left="0"/>
              <w:jc w:val="center"/>
              <w:cnfStyle w:val="000000100000"/>
              <w:rPr>
                <w:rFonts w:ascii="Arial" w:hAnsi="Arial" w:cs="Arial"/>
                <w:bCs w:val="0"/>
                <w:color w:val="auto"/>
                <w:sz w:val="20"/>
                <w:szCs w:val="20"/>
              </w:rPr>
            </w:pPr>
          </w:p>
        </w:tc>
        <w:tc>
          <w:tcPr>
            <w:tcW w:w="709" w:type="dxa"/>
            <w:tcBorders>
              <w:top w:val="none" w:sz="0" w:space="0" w:color="auto"/>
              <w:bottom w:val="none" w:sz="0" w:space="0" w:color="auto"/>
            </w:tcBorders>
          </w:tcPr>
          <w:p w:rsidR="004343BC" w:rsidRPr="00A4798C" w:rsidRDefault="004343BC" w:rsidP="003135CE">
            <w:pPr>
              <w:pStyle w:val="ExampleSub"/>
              <w:keepNext w:val="0"/>
              <w:keepLines w:val="0"/>
              <w:ind w:left="0"/>
              <w:jc w:val="center"/>
              <w:cnfStyle w:val="000000100000"/>
              <w:rPr>
                <w:rFonts w:ascii="Arial" w:hAnsi="Arial" w:cs="Arial"/>
                <w:bCs w:val="0"/>
                <w:color w:val="auto"/>
                <w:sz w:val="20"/>
                <w:szCs w:val="20"/>
              </w:rPr>
            </w:pPr>
          </w:p>
        </w:tc>
      </w:tr>
      <w:tr w:rsidR="004343BC" w:rsidRPr="005D7390" w:rsidTr="008A25D1">
        <w:tc>
          <w:tcPr>
            <w:cnfStyle w:val="001000000000"/>
            <w:tcW w:w="911" w:type="dxa"/>
            <w:tcBorders>
              <w:right w:val="none" w:sz="0" w:space="0" w:color="auto"/>
            </w:tcBorders>
          </w:tcPr>
          <w:p w:rsidR="004343BC" w:rsidRPr="005D7390" w:rsidRDefault="00362AED" w:rsidP="00521368">
            <w:pPr>
              <w:pStyle w:val="ExampleSub"/>
              <w:keepNext w:val="0"/>
              <w:keepLines w:val="0"/>
              <w:ind w:left="0"/>
              <w:jc w:val="center"/>
              <w:rPr>
                <w:rFonts w:ascii="Arial" w:hAnsi="Arial" w:cs="Arial"/>
                <w:color w:val="auto"/>
                <w:sz w:val="20"/>
                <w:szCs w:val="20"/>
              </w:rPr>
            </w:pPr>
            <w:r>
              <w:rPr>
                <w:rFonts w:ascii="Arial" w:hAnsi="Arial" w:cs="Arial"/>
                <w:color w:val="auto"/>
                <w:sz w:val="20"/>
                <w:szCs w:val="20"/>
              </w:rPr>
              <w:t>-</w:t>
            </w:r>
          </w:p>
        </w:tc>
        <w:tc>
          <w:tcPr>
            <w:tcW w:w="700" w:type="dxa"/>
          </w:tcPr>
          <w:p w:rsidR="004343BC" w:rsidRPr="005D7390" w:rsidRDefault="00362AED"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72" w:type="dxa"/>
          </w:tcPr>
          <w:p w:rsidR="004343BC" w:rsidRPr="005D7390" w:rsidRDefault="00362AED"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686" w:type="dxa"/>
          </w:tcPr>
          <w:p w:rsidR="004343BC" w:rsidRPr="005D7390" w:rsidRDefault="00362AED"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853" w:type="dxa"/>
          </w:tcPr>
          <w:p w:rsidR="004343BC" w:rsidRPr="005D7390" w:rsidRDefault="00362AED"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709" w:type="dxa"/>
            <w:gridSpan w:val="2"/>
          </w:tcPr>
          <w:p w:rsidR="004343BC" w:rsidRPr="005D7390" w:rsidRDefault="00362AED" w:rsidP="00521368">
            <w:pPr>
              <w:pStyle w:val="ExampleSub"/>
              <w:keepNext w:val="0"/>
              <w:keepLines w:val="0"/>
              <w:ind w:left="0"/>
              <w:jc w:val="center"/>
              <w:cnfStyle w:val="000000000000"/>
              <w:rPr>
                <w:rFonts w:ascii="Arial" w:hAnsi="Arial" w:cs="Arial"/>
                <w:b w:val="0"/>
                <w:bCs w:val="0"/>
                <w:color w:val="auto"/>
                <w:sz w:val="20"/>
                <w:szCs w:val="20"/>
              </w:rPr>
            </w:pPr>
            <w:r>
              <w:rPr>
                <w:rFonts w:ascii="Arial" w:hAnsi="Arial" w:cs="Arial"/>
                <w:b w:val="0"/>
                <w:bCs w:val="0"/>
                <w:color w:val="auto"/>
                <w:sz w:val="20"/>
                <w:szCs w:val="20"/>
              </w:rPr>
              <w:t>-</w:t>
            </w:r>
          </w:p>
        </w:tc>
        <w:tc>
          <w:tcPr>
            <w:tcW w:w="5552" w:type="dxa"/>
            <w:gridSpan w:val="5"/>
          </w:tcPr>
          <w:p w:rsidR="004343BC" w:rsidRPr="005D7390" w:rsidRDefault="003C5274" w:rsidP="003C5274">
            <w:pPr>
              <w:pStyle w:val="ExampleSub"/>
              <w:keepNext w:val="0"/>
              <w:keepLines w:val="0"/>
              <w:ind w:left="0"/>
              <w:cnfStyle w:val="000000000000"/>
              <w:rPr>
                <w:rFonts w:ascii="Arial" w:hAnsi="Arial" w:cs="Arial"/>
                <w:color w:val="auto"/>
                <w:sz w:val="24"/>
                <w:szCs w:val="24"/>
              </w:rPr>
            </w:pPr>
            <w:r w:rsidRPr="005D7390">
              <w:rPr>
                <w:rFonts w:ascii="Arial" w:hAnsi="Arial" w:cs="Arial"/>
                <w:b w:val="0"/>
                <w:color w:val="auto"/>
                <w:sz w:val="20"/>
                <w:szCs w:val="20"/>
              </w:rPr>
              <w:t xml:space="preserve">Amount by which </w:t>
            </w:r>
            <w:r>
              <w:rPr>
                <w:rFonts w:ascii="Arial" w:hAnsi="Arial" w:cs="Arial"/>
                <w:b w:val="0"/>
                <w:color w:val="auto"/>
                <w:sz w:val="20"/>
                <w:szCs w:val="20"/>
              </w:rPr>
              <w:t xml:space="preserve">financial instruments </w:t>
            </w:r>
            <w:r w:rsidRPr="005D7390">
              <w:rPr>
                <w:rFonts w:ascii="Arial" w:hAnsi="Arial" w:cs="Arial"/>
                <w:b w:val="0"/>
                <w:color w:val="auto"/>
                <w:sz w:val="20"/>
                <w:szCs w:val="20"/>
              </w:rPr>
              <w:t xml:space="preserve">charged to the CI&amp;E Statement </w:t>
            </w:r>
            <w:r>
              <w:rPr>
                <w:rFonts w:ascii="Arial" w:hAnsi="Arial" w:cs="Arial"/>
                <w:b w:val="0"/>
                <w:color w:val="auto"/>
                <w:sz w:val="20"/>
                <w:szCs w:val="20"/>
              </w:rPr>
              <w:t>are</w:t>
            </w:r>
            <w:r w:rsidRPr="005D7390">
              <w:rPr>
                <w:rFonts w:ascii="Arial" w:hAnsi="Arial" w:cs="Arial"/>
                <w:b w:val="0"/>
                <w:color w:val="auto"/>
                <w:sz w:val="20"/>
                <w:szCs w:val="20"/>
              </w:rPr>
              <w:t xml:space="preserve"> different from </w:t>
            </w:r>
            <w:r>
              <w:rPr>
                <w:rFonts w:ascii="Arial" w:hAnsi="Arial" w:cs="Arial"/>
                <w:b w:val="0"/>
                <w:color w:val="auto"/>
                <w:sz w:val="20"/>
                <w:szCs w:val="20"/>
              </w:rPr>
              <w:t xml:space="preserve">amounts </w:t>
            </w:r>
            <w:r w:rsidRPr="005D7390">
              <w:rPr>
                <w:rFonts w:ascii="Arial" w:hAnsi="Arial" w:cs="Arial"/>
                <w:b w:val="0"/>
                <w:color w:val="auto"/>
                <w:sz w:val="20"/>
                <w:szCs w:val="20"/>
              </w:rPr>
              <w:t>chargeable in the year in accordance with statutory requirements</w:t>
            </w:r>
          </w:p>
        </w:tc>
        <w:tc>
          <w:tcPr>
            <w:tcW w:w="830" w:type="dxa"/>
            <w:gridSpan w:val="5"/>
          </w:tcPr>
          <w:p w:rsidR="004343BC" w:rsidRPr="00A4798C" w:rsidRDefault="00362AED"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1.0</w:t>
            </w:r>
          </w:p>
        </w:tc>
        <w:tc>
          <w:tcPr>
            <w:tcW w:w="724" w:type="dxa"/>
            <w:gridSpan w:val="4"/>
          </w:tcPr>
          <w:p w:rsidR="004343BC" w:rsidRPr="00A4798C" w:rsidRDefault="00362AED"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w:t>
            </w:r>
          </w:p>
        </w:tc>
        <w:tc>
          <w:tcPr>
            <w:tcW w:w="856" w:type="dxa"/>
            <w:gridSpan w:val="2"/>
          </w:tcPr>
          <w:p w:rsidR="004343BC" w:rsidRPr="00A4798C" w:rsidRDefault="00362AED"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w:t>
            </w:r>
          </w:p>
        </w:tc>
        <w:tc>
          <w:tcPr>
            <w:tcW w:w="709" w:type="dxa"/>
          </w:tcPr>
          <w:p w:rsidR="004343BC" w:rsidRPr="00A4798C" w:rsidRDefault="00362AED"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w:t>
            </w:r>
          </w:p>
        </w:tc>
        <w:tc>
          <w:tcPr>
            <w:tcW w:w="850" w:type="dxa"/>
            <w:gridSpan w:val="3"/>
          </w:tcPr>
          <w:p w:rsidR="004343BC" w:rsidRPr="00A4798C" w:rsidRDefault="00362AED"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w:t>
            </w:r>
          </w:p>
        </w:tc>
        <w:tc>
          <w:tcPr>
            <w:tcW w:w="709" w:type="dxa"/>
          </w:tcPr>
          <w:p w:rsidR="004343BC" w:rsidRPr="00A4798C" w:rsidRDefault="00362AED" w:rsidP="003135CE">
            <w:pPr>
              <w:pStyle w:val="ExampleSub"/>
              <w:keepNext w:val="0"/>
              <w:keepLines w:val="0"/>
              <w:ind w:left="0"/>
              <w:jc w:val="center"/>
              <w:cnfStyle w:val="000000000000"/>
              <w:rPr>
                <w:rFonts w:ascii="Arial" w:hAnsi="Arial" w:cs="Arial"/>
                <w:bCs w:val="0"/>
                <w:color w:val="auto"/>
                <w:sz w:val="20"/>
                <w:szCs w:val="20"/>
              </w:rPr>
            </w:pPr>
            <w:r w:rsidRPr="00A4798C">
              <w:rPr>
                <w:rFonts w:ascii="Arial" w:hAnsi="Arial" w:cs="Arial"/>
                <w:bCs w:val="0"/>
                <w:color w:val="auto"/>
                <w:sz w:val="20"/>
                <w:szCs w:val="20"/>
              </w:rPr>
              <w:t>(1.0)</w:t>
            </w:r>
          </w:p>
        </w:tc>
      </w:tr>
      <w:tr w:rsidR="005D7390" w:rsidRPr="005D7390" w:rsidTr="008A25D1">
        <w:trPr>
          <w:cnfStyle w:val="000000100000"/>
        </w:trPr>
        <w:tc>
          <w:tcPr>
            <w:cnfStyle w:val="001000000000"/>
            <w:tcW w:w="911" w:type="dxa"/>
            <w:tcBorders>
              <w:top w:val="none" w:sz="0" w:space="0" w:color="auto"/>
              <w:bottom w:val="none" w:sz="0" w:space="0" w:color="auto"/>
              <w:right w:val="none" w:sz="0" w:space="0" w:color="auto"/>
            </w:tcBorders>
          </w:tcPr>
          <w:p w:rsidR="005D7390" w:rsidRPr="00CA749C" w:rsidRDefault="005D7390" w:rsidP="00521368">
            <w:pPr>
              <w:pStyle w:val="ExampleSub"/>
              <w:keepNext w:val="0"/>
              <w:keepLines w:val="0"/>
              <w:ind w:left="0"/>
              <w:jc w:val="center"/>
              <w:rPr>
                <w:rFonts w:ascii="Arial" w:hAnsi="Arial" w:cs="Arial"/>
                <w:b w:val="0"/>
                <w:color w:val="auto"/>
                <w:sz w:val="20"/>
                <w:szCs w:val="20"/>
              </w:rPr>
            </w:pPr>
            <w:r w:rsidRPr="00CA749C">
              <w:rPr>
                <w:rFonts w:ascii="Arial" w:hAnsi="Arial" w:cs="Arial"/>
                <w:b w:val="0"/>
                <w:color w:val="auto"/>
                <w:sz w:val="20"/>
                <w:szCs w:val="20"/>
              </w:rPr>
              <w:t>14.0</w:t>
            </w:r>
          </w:p>
        </w:tc>
        <w:tc>
          <w:tcPr>
            <w:tcW w:w="700"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(1.6)</w:t>
            </w:r>
          </w:p>
        </w:tc>
        <w:tc>
          <w:tcPr>
            <w:tcW w:w="872"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5.2</w:t>
            </w:r>
          </w:p>
        </w:tc>
        <w:tc>
          <w:tcPr>
            <w:tcW w:w="686"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9.4</w:t>
            </w:r>
          </w:p>
        </w:tc>
        <w:tc>
          <w:tcPr>
            <w:tcW w:w="853" w:type="dxa"/>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3.9</w:t>
            </w:r>
          </w:p>
        </w:tc>
        <w:tc>
          <w:tcPr>
            <w:tcW w:w="709" w:type="dxa"/>
            <w:gridSpan w:val="2"/>
            <w:tcBorders>
              <w:top w:val="none" w:sz="0" w:space="0" w:color="auto"/>
              <w:bottom w:val="none" w:sz="0" w:space="0" w:color="auto"/>
            </w:tcBorders>
          </w:tcPr>
          <w:p w:rsidR="005D7390" w:rsidRPr="005D7390" w:rsidRDefault="005D7390" w:rsidP="00521368">
            <w:pPr>
              <w:pStyle w:val="ExampleSub"/>
              <w:keepNext w:val="0"/>
              <w:keepLines w:val="0"/>
              <w:ind w:left="0"/>
              <w:jc w:val="center"/>
              <w:cnfStyle w:val="000000100000"/>
              <w:rPr>
                <w:rFonts w:ascii="Arial" w:hAnsi="Arial" w:cs="Arial"/>
                <w:b w:val="0"/>
                <w:bCs w:val="0"/>
                <w:color w:val="auto"/>
                <w:sz w:val="20"/>
                <w:szCs w:val="20"/>
              </w:rPr>
            </w:pPr>
            <w:r w:rsidRPr="005D7390">
              <w:rPr>
                <w:rFonts w:ascii="Arial" w:hAnsi="Arial" w:cs="Arial"/>
                <w:b w:val="0"/>
                <w:bCs w:val="0"/>
                <w:color w:val="auto"/>
                <w:sz w:val="20"/>
                <w:szCs w:val="20"/>
              </w:rPr>
              <w:t>(2.9)</w:t>
            </w:r>
          </w:p>
        </w:tc>
        <w:tc>
          <w:tcPr>
            <w:tcW w:w="5552" w:type="dxa"/>
            <w:gridSpan w:val="5"/>
            <w:tcBorders>
              <w:top w:val="none" w:sz="0" w:space="0" w:color="auto"/>
              <w:bottom w:val="none" w:sz="0" w:space="0" w:color="auto"/>
            </w:tcBorders>
          </w:tcPr>
          <w:p w:rsidR="005D7390" w:rsidRPr="005D7390" w:rsidRDefault="005D7390" w:rsidP="0024663A">
            <w:pPr>
              <w:pStyle w:val="ExampleSub"/>
              <w:keepNext w:val="0"/>
              <w:keepLines w:val="0"/>
              <w:ind w:left="0"/>
              <w:cnfStyle w:val="000000100000"/>
              <w:rPr>
                <w:rFonts w:cs="Arial"/>
                <w:bCs w:val="0"/>
                <w:color w:val="auto"/>
                <w:sz w:val="20"/>
                <w:szCs w:val="20"/>
              </w:rPr>
            </w:pPr>
            <w:r w:rsidRPr="005D7390">
              <w:rPr>
                <w:rFonts w:ascii="Arial" w:hAnsi="Arial" w:cs="Arial"/>
                <w:color w:val="auto"/>
                <w:sz w:val="24"/>
                <w:szCs w:val="24"/>
              </w:rPr>
              <w:t>Total Adjustments per MIRS</w:t>
            </w:r>
          </w:p>
        </w:tc>
        <w:tc>
          <w:tcPr>
            <w:tcW w:w="830" w:type="dxa"/>
            <w:gridSpan w:val="5"/>
            <w:tcBorders>
              <w:top w:val="none" w:sz="0" w:space="0" w:color="auto"/>
              <w:bottom w:val="none" w:sz="0" w:space="0" w:color="auto"/>
            </w:tcBorders>
          </w:tcPr>
          <w:p w:rsidR="005D7390" w:rsidRPr="00CA7804" w:rsidRDefault="00235139" w:rsidP="00CA7804">
            <w:pPr>
              <w:pStyle w:val="ExampleSub"/>
              <w:keepNext w:val="0"/>
              <w:keepLines w:val="0"/>
              <w:ind w:left="0"/>
              <w:jc w:val="center"/>
              <w:cnfStyle w:val="000000100000"/>
              <w:rPr>
                <w:rFonts w:ascii="Arial" w:hAnsi="Arial" w:cs="Arial"/>
                <w:bCs w:val="0"/>
                <w:color w:val="auto"/>
                <w:sz w:val="20"/>
                <w:szCs w:val="20"/>
              </w:rPr>
            </w:pPr>
            <w:r w:rsidRPr="00CA7804">
              <w:rPr>
                <w:rFonts w:ascii="Arial" w:hAnsi="Arial" w:cs="Arial"/>
                <w:bCs w:val="0"/>
                <w:color w:val="auto"/>
                <w:sz w:val="20"/>
                <w:szCs w:val="20"/>
              </w:rPr>
              <w:t>(2</w:t>
            </w:r>
            <w:r w:rsidR="00CA7804" w:rsidRPr="00CA7804">
              <w:rPr>
                <w:rFonts w:ascii="Arial" w:hAnsi="Arial" w:cs="Arial"/>
                <w:bCs w:val="0"/>
                <w:color w:val="auto"/>
                <w:sz w:val="20"/>
                <w:szCs w:val="20"/>
              </w:rPr>
              <w:t>0.8</w:t>
            </w:r>
            <w:r w:rsidRPr="00CA7804">
              <w:rPr>
                <w:rFonts w:ascii="Arial" w:hAnsi="Arial" w:cs="Arial"/>
                <w:bCs w:val="0"/>
                <w:color w:val="auto"/>
                <w:sz w:val="20"/>
                <w:szCs w:val="20"/>
              </w:rPr>
              <w:t>)</w:t>
            </w:r>
          </w:p>
        </w:tc>
        <w:tc>
          <w:tcPr>
            <w:tcW w:w="724" w:type="dxa"/>
            <w:gridSpan w:val="4"/>
            <w:tcBorders>
              <w:top w:val="none" w:sz="0" w:space="0" w:color="auto"/>
              <w:bottom w:val="none" w:sz="0" w:space="0" w:color="auto"/>
            </w:tcBorders>
          </w:tcPr>
          <w:p w:rsidR="005D7390" w:rsidRPr="00CA7804" w:rsidRDefault="00235139" w:rsidP="003135CE">
            <w:pPr>
              <w:pStyle w:val="ExampleSub"/>
              <w:keepNext w:val="0"/>
              <w:keepLines w:val="0"/>
              <w:ind w:left="0"/>
              <w:jc w:val="center"/>
              <w:cnfStyle w:val="000000100000"/>
              <w:rPr>
                <w:rFonts w:ascii="Arial" w:hAnsi="Arial" w:cs="Arial"/>
                <w:bCs w:val="0"/>
                <w:color w:val="auto"/>
                <w:sz w:val="20"/>
                <w:szCs w:val="20"/>
              </w:rPr>
            </w:pPr>
            <w:r w:rsidRPr="00CA7804">
              <w:rPr>
                <w:rFonts w:ascii="Arial" w:hAnsi="Arial" w:cs="Arial"/>
                <w:bCs w:val="0"/>
                <w:color w:val="auto"/>
                <w:sz w:val="20"/>
                <w:szCs w:val="20"/>
              </w:rPr>
              <w:t>2.0</w:t>
            </w:r>
          </w:p>
        </w:tc>
        <w:tc>
          <w:tcPr>
            <w:tcW w:w="856" w:type="dxa"/>
            <w:gridSpan w:val="2"/>
            <w:tcBorders>
              <w:top w:val="none" w:sz="0" w:space="0" w:color="auto"/>
              <w:bottom w:val="none" w:sz="0" w:space="0" w:color="auto"/>
            </w:tcBorders>
          </w:tcPr>
          <w:p w:rsidR="005D7390" w:rsidRPr="00CA7804" w:rsidRDefault="00235139" w:rsidP="003135CE">
            <w:pPr>
              <w:pStyle w:val="ExampleSub"/>
              <w:keepNext w:val="0"/>
              <w:keepLines w:val="0"/>
              <w:ind w:left="0"/>
              <w:jc w:val="center"/>
              <w:cnfStyle w:val="000000100000"/>
              <w:rPr>
                <w:rFonts w:ascii="Arial" w:hAnsi="Arial" w:cs="Arial"/>
                <w:bCs w:val="0"/>
                <w:color w:val="auto"/>
                <w:sz w:val="20"/>
                <w:szCs w:val="20"/>
              </w:rPr>
            </w:pPr>
            <w:r w:rsidRPr="00CA7804">
              <w:rPr>
                <w:rFonts w:ascii="Arial" w:hAnsi="Arial" w:cs="Arial"/>
                <w:bCs w:val="0"/>
                <w:color w:val="auto"/>
                <w:sz w:val="20"/>
                <w:szCs w:val="20"/>
              </w:rPr>
              <w:t>1.0</w:t>
            </w:r>
          </w:p>
        </w:tc>
        <w:tc>
          <w:tcPr>
            <w:tcW w:w="709" w:type="dxa"/>
            <w:tcBorders>
              <w:top w:val="none" w:sz="0" w:space="0" w:color="auto"/>
              <w:bottom w:val="none" w:sz="0" w:space="0" w:color="auto"/>
            </w:tcBorders>
          </w:tcPr>
          <w:p w:rsidR="005D7390" w:rsidRPr="00CA7804" w:rsidRDefault="00235139" w:rsidP="00CA7804">
            <w:pPr>
              <w:pStyle w:val="ExampleSub"/>
              <w:keepNext w:val="0"/>
              <w:keepLines w:val="0"/>
              <w:ind w:left="0"/>
              <w:jc w:val="center"/>
              <w:cnfStyle w:val="000000100000"/>
              <w:rPr>
                <w:rFonts w:ascii="Arial" w:hAnsi="Arial" w:cs="Arial"/>
                <w:bCs w:val="0"/>
                <w:color w:val="auto"/>
                <w:sz w:val="20"/>
                <w:szCs w:val="20"/>
              </w:rPr>
            </w:pPr>
            <w:r w:rsidRPr="00CA7804">
              <w:rPr>
                <w:rFonts w:ascii="Arial" w:hAnsi="Arial" w:cs="Arial"/>
                <w:bCs w:val="0"/>
                <w:color w:val="auto"/>
                <w:sz w:val="20"/>
                <w:szCs w:val="20"/>
              </w:rPr>
              <w:t>13.</w:t>
            </w:r>
            <w:r w:rsidR="00CA7804" w:rsidRPr="00CA7804">
              <w:rPr>
                <w:rFonts w:ascii="Arial" w:hAnsi="Arial" w:cs="Arial"/>
                <w:bCs w:val="0"/>
                <w:color w:val="auto"/>
                <w:sz w:val="20"/>
                <w:szCs w:val="20"/>
              </w:rPr>
              <w:t>7</w:t>
            </w:r>
          </w:p>
        </w:tc>
        <w:tc>
          <w:tcPr>
            <w:tcW w:w="850" w:type="dxa"/>
            <w:gridSpan w:val="3"/>
            <w:tcBorders>
              <w:top w:val="none" w:sz="0" w:space="0" w:color="auto"/>
              <w:bottom w:val="none" w:sz="0" w:space="0" w:color="auto"/>
            </w:tcBorders>
          </w:tcPr>
          <w:p w:rsidR="005D7390" w:rsidRPr="00235139" w:rsidRDefault="00235139" w:rsidP="00151301">
            <w:pPr>
              <w:pStyle w:val="ExampleSub"/>
              <w:keepNext w:val="0"/>
              <w:keepLines w:val="0"/>
              <w:ind w:left="0"/>
              <w:jc w:val="center"/>
              <w:cnfStyle w:val="000000100000"/>
              <w:rPr>
                <w:rFonts w:ascii="Arial" w:hAnsi="Arial" w:cs="Arial"/>
                <w:bCs w:val="0"/>
                <w:color w:val="auto"/>
                <w:sz w:val="20"/>
                <w:szCs w:val="20"/>
              </w:rPr>
            </w:pPr>
            <w:r w:rsidRPr="00151301">
              <w:rPr>
                <w:rFonts w:ascii="Arial" w:hAnsi="Arial" w:cs="Arial"/>
                <w:bCs w:val="0"/>
                <w:color w:val="auto"/>
                <w:sz w:val="20"/>
                <w:szCs w:val="20"/>
              </w:rPr>
              <w:t>5.</w:t>
            </w:r>
            <w:r w:rsidR="00151301" w:rsidRPr="00151301">
              <w:rPr>
                <w:rFonts w:ascii="Arial" w:hAnsi="Arial" w:cs="Arial"/>
                <w:bCs w:val="0"/>
                <w:color w:val="auto"/>
                <w:sz w:val="20"/>
                <w:szCs w:val="20"/>
              </w:rPr>
              <w:t>1</w:t>
            </w:r>
          </w:p>
        </w:tc>
        <w:tc>
          <w:tcPr>
            <w:tcW w:w="709" w:type="dxa"/>
            <w:tcBorders>
              <w:top w:val="none" w:sz="0" w:space="0" w:color="auto"/>
              <w:bottom w:val="none" w:sz="0" w:space="0" w:color="auto"/>
            </w:tcBorders>
          </w:tcPr>
          <w:p w:rsidR="005D7390" w:rsidRPr="00235139" w:rsidRDefault="00235139" w:rsidP="003135CE">
            <w:pPr>
              <w:pStyle w:val="ExampleSub"/>
              <w:keepNext w:val="0"/>
              <w:keepLines w:val="0"/>
              <w:ind w:left="0"/>
              <w:jc w:val="center"/>
              <w:cnfStyle w:val="000000100000"/>
              <w:rPr>
                <w:rFonts w:ascii="Arial" w:hAnsi="Arial" w:cs="Arial"/>
                <w:bCs w:val="0"/>
                <w:color w:val="auto"/>
                <w:sz w:val="20"/>
                <w:szCs w:val="20"/>
              </w:rPr>
            </w:pPr>
            <w:r w:rsidRPr="00235139">
              <w:rPr>
                <w:rFonts w:ascii="Arial" w:hAnsi="Arial" w:cs="Arial"/>
                <w:bCs w:val="0"/>
                <w:color w:val="auto"/>
                <w:sz w:val="20"/>
                <w:szCs w:val="20"/>
              </w:rPr>
              <w:t>(1.0)</w:t>
            </w:r>
          </w:p>
        </w:tc>
      </w:tr>
      <w:tr w:rsidR="005D7390" w:rsidRPr="005D7390" w:rsidTr="008A25D1">
        <w:trPr>
          <w:trHeight w:val="331"/>
        </w:trPr>
        <w:tc>
          <w:tcPr>
            <w:cnfStyle w:val="001000000000"/>
            <w:tcW w:w="911" w:type="dxa"/>
            <w:tcBorders>
              <w:right w:val="none" w:sz="0" w:space="0" w:color="auto"/>
            </w:tcBorders>
          </w:tcPr>
          <w:p w:rsidR="005D7390" w:rsidRPr="00CA749C" w:rsidRDefault="005D7390" w:rsidP="00521368">
            <w:pPr>
              <w:pStyle w:val="ExampleSub"/>
              <w:keepNext w:val="0"/>
              <w:keepLines w:val="0"/>
              <w:ind w:left="0"/>
              <w:rPr>
                <w:rFonts w:ascii="Arial" w:hAnsi="Arial" w:cs="Arial"/>
                <w:b w:val="0"/>
                <w:i/>
                <w:color w:val="auto"/>
                <w:sz w:val="18"/>
                <w:szCs w:val="18"/>
              </w:rPr>
            </w:pPr>
          </w:p>
        </w:tc>
        <w:tc>
          <w:tcPr>
            <w:tcW w:w="700" w:type="dxa"/>
          </w:tcPr>
          <w:p w:rsidR="005D7390" w:rsidRPr="005D7390" w:rsidRDefault="005D7390" w:rsidP="00521368">
            <w:pPr>
              <w:pStyle w:val="ExampleSub"/>
              <w:keepNext w:val="0"/>
              <w:keepLines w:val="0"/>
              <w:ind w:left="0"/>
              <w:cnfStyle w:val="000000000000"/>
              <w:rPr>
                <w:rFonts w:ascii="Arial" w:hAnsi="Arial" w:cs="Arial"/>
                <w:b w:val="0"/>
                <w:bCs w:val="0"/>
                <w:i/>
                <w:color w:val="auto"/>
                <w:sz w:val="18"/>
                <w:szCs w:val="18"/>
              </w:rPr>
            </w:pPr>
          </w:p>
        </w:tc>
        <w:tc>
          <w:tcPr>
            <w:tcW w:w="872" w:type="dxa"/>
          </w:tcPr>
          <w:p w:rsidR="005D7390" w:rsidRPr="005D7390" w:rsidRDefault="005D7390" w:rsidP="00521368">
            <w:pPr>
              <w:pStyle w:val="ExampleSub"/>
              <w:keepNext w:val="0"/>
              <w:keepLines w:val="0"/>
              <w:ind w:left="0"/>
              <w:cnfStyle w:val="000000000000"/>
              <w:rPr>
                <w:rFonts w:ascii="Arial" w:hAnsi="Arial" w:cs="Arial"/>
                <w:b w:val="0"/>
                <w:bCs w:val="0"/>
                <w:i/>
                <w:color w:val="auto"/>
                <w:sz w:val="18"/>
                <w:szCs w:val="18"/>
              </w:rPr>
            </w:pPr>
          </w:p>
        </w:tc>
        <w:tc>
          <w:tcPr>
            <w:tcW w:w="686" w:type="dxa"/>
          </w:tcPr>
          <w:p w:rsidR="005D7390" w:rsidRPr="005D7390" w:rsidRDefault="005D7390" w:rsidP="00521368">
            <w:pPr>
              <w:pStyle w:val="ExampleSub"/>
              <w:keepNext w:val="0"/>
              <w:keepLines w:val="0"/>
              <w:ind w:left="0"/>
              <w:cnfStyle w:val="000000000000"/>
              <w:rPr>
                <w:rFonts w:ascii="Arial" w:hAnsi="Arial" w:cs="Arial"/>
                <w:b w:val="0"/>
                <w:bCs w:val="0"/>
                <w:i/>
                <w:color w:val="auto"/>
                <w:sz w:val="18"/>
                <w:szCs w:val="18"/>
              </w:rPr>
            </w:pPr>
          </w:p>
        </w:tc>
        <w:tc>
          <w:tcPr>
            <w:tcW w:w="853" w:type="dxa"/>
          </w:tcPr>
          <w:p w:rsidR="005D7390" w:rsidRPr="005D7390" w:rsidRDefault="005D7390" w:rsidP="00521368">
            <w:pPr>
              <w:pStyle w:val="ExampleSub"/>
              <w:keepNext w:val="0"/>
              <w:keepLines w:val="0"/>
              <w:ind w:left="0"/>
              <w:cnfStyle w:val="000000000000"/>
              <w:rPr>
                <w:rFonts w:ascii="Arial" w:hAnsi="Arial" w:cs="Arial"/>
                <w:b w:val="0"/>
                <w:bCs w:val="0"/>
                <w:i/>
                <w:color w:val="auto"/>
                <w:sz w:val="18"/>
                <w:szCs w:val="18"/>
              </w:rPr>
            </w:pPr>
          </w:p>
        </w:tc>
        <w:tc>
          <w:tcPr>
            <w:tcW w:w="709" w:type="dxa"/>
            <w:gridSpan w:val="2"/>
          </w:tcPr>
          <w:p w:rsidR="005D7390" w:rsidRPr="005D7390" w:rsidRDefault="005D7390" w:rsidP="00521368">
            <w:pPr>
              <w:pStyle w:val="ExampleSub"/>
              <w:keepNext w:val="0"/>
              <w:keepLines w:val="0"/>
              <w:ind w:left="0"/>
              <w:cnfStyle w:val="000000000000"/>
              <w:rPr>
                <w:rFonts w:ascii="Arial" w:hAnsi="Arial" w:cs="Arial"/>
                <w:b w:val="0"/>
                <w:bCs w:val="0"/>
                <w:i/>
                <w:color w:val="auto"/>
                <w:sz w:val="18"/>
                <w:szCs w:val="18"/>
              </w:rPr>
            </w:pPr>
          </w:p>
        </w:tc>
        <w:tc>
          <w:tcPr>
            <w:tcW w:w="5552" w:type="dxa"/>
            <w:gridSpan w:val="5"/>
          </w:tcPr>
          <w:p w:rsidR="005D7390" w:rsidRPr="005D7390" w:rsidRDefault="005D7390" w:rsidP="0024663A">
            <w:pPr>
              <w:pStyle w:val="ExampleSub"/>
              <w:keepNext w:val="0"/>
              <w:keepLines w:val="0"/>
              <w:ind w:left="0"/>
              <w:cnfStyle w:val="000000000000"/>
              <w:rPr>
                <w:rFonts w:ascii="Arial" w:hAnsi="Arial" w:cs="Arial"/>
                <w:b w:val="0"/>
                <w:i/>
                <w:color w:val="auto"/>
                <w:sz w:val="18"/>
                <w:szCs w:val="18"/>
              </w:rPr>
            </w:pPr>
            <w:r w:rsidRPr="005D7390">
              <w:rPr>
                <w:rFonts w:ascii="Arial" w:hAnsi="Arial" w:cs="Arial"/>
                <w:b w:val="0"/>
                <w:i/>
                <w:color w:val="auto"/>
                <w:sz w:val="18"/>
                <w:szCs w:val="18"/>
              </w:rPr>
              <w:t>Memo items:-</w:t>
            </w:r>
          </w:p>
        </w:tc>
        <w:tc>
          <w:tcPr>
            <w:tcW w:w="830" w:type="dxa"/>
            <w:gridSpan w:val="5"/>
          </w:tcPr>
          <w:p w:rsidR="005D7390" w:rsidRPr="00497F74" w:rsidRDefault="005D7390" w:rsidP="00497F74">
            <w:pPr>
              <w:pStyle w:val="ExampleSub"/>
              <w:keepNext w:val="0"/>
              <w:keepLines w:val="0"/>
              <w:ind w:left="0"/>
              <w:jc w:val="center"/>
              <w:cnfStyle w:val="000000000000"/>
              <w:rPr>
                <w:rFonts w:ascii="Arial" w:hAnsi="Arial" w:cs="Arial"/>
                <w:bCs w:val="0"/>
                <w:i/>
                <w:color w:val="auto"/>
                <w:sz w:val="18"/>
                <w:szCs w:val="18"/>
              </w:rPr>
            </w:pPr>
          </w:p>
        </w:tc>
        <w:tc>
          <w:tcPr>
            <w:tcW w:w="724" w:type="dxa"/>
            <w:gridSpan w:val="4"/>
          </w:tcPr>
          <w:p w:rsidR="005D7390" w:rsidRPr="00497F74" w:rsidRDefault="005D7390" w:rsidP="00497F74">
            <w:pPr>
              <w:pStyle w:val="ExampleSub"/>
              <w:keepNext w:val="0"/>
              <w:keepLines w:val="0"/>
              <w:ind w:left="0"/>
              <w:jc w:val="center"/>
              <w:cnfStyle w:val="000000000000"/>
              <w:rPr>
                <w:rFonts w:ascii="Arial" w:hAnsi="Arial" w:cs="Arial"/>
                <w:bCs w:val="0"/>
                <w:i/>
                <w:color w:val="auto"/>
                <w:sz w:val="18"/>
                <w:szCs w:val="18"/>
              </w:rPr>
            </w:pPr>
          </w:p>
        </w:tc>
        <w:tc>
          <w:tcPr>
            <w:tcW w:w="856" w:type="dxa"/>
            <w:gridSpan w:val="2"/>
          </w:tcPr>
          <w:p w:rsidR="005D7390" w:rsidRPr="00497F74" w:rsidRDefault="005D7390" w:rsidP="00497F74">
            <w:pPr>
              <w:pStyle w:val="ExampleSub"/>
              <w:keepNext w:val="0"/>
              <w:keepLines w:val="0"/>
              <w:ind w:left="0"/>
              <w:jc w:val="center"/>
              <w:cnfStyle w:val="000000000000"/>
              <w:rPr>
                <w:rFonts w:ascii="Arial" w:hAnsi="Arial" w:cs="Arial"/>
                <w:bCs w:val="0"/>
                <w:i/>
                <w:color w:val="auto"/>
                <w:sz w:val="18"/>
                <w:szCs w:val="18"/>
              </w:rPr>
            </w:pPr>
          </w:p>
        </w:tc>
        <w:tc>
          <w:tcPr>
            <w:tcW w:w="709" w:type="dxa"/>
          </w:tcPr>
          <w:p w:rsidR="005D7390" w:rsidRPr="00497F74" w:rsidRDefault="005D7390" w:rsidP="00497F74">
            <w:pPr>
              <w:pStyle w:val="ExampleSub"/>
              <w:keepNext w:val="0"/>
              <w:keepLines w:val="0"/>
              <w:ind w:left="0"/>
              <w:jc w:val="center"/>
              <w:cnfStyle w:val="000000000000"/>
              <w:rPr>
                <w:rFonts w:ascii="Arial" w:hAnsi="Arial" w:cs="Arial"/>
                <w:bCs w:val="0"/>
                <w:i/>
                <w:color w:val="auto"/>
                <w:sz w:val="18"/>
                <w:szCs w:val="18"/>
              </w:rPr>
            </w:pPr>
          </w:p>
        </w:tc>
        <w:tc>
          <w:tcPr>
            <w:tcW w:w="850" w:type="dxa"/>
            <w:gridSpan w:val="3"/>
          </w:tcPr>
          <w:p w:rsidR="005D7390" w:rsidRPr="00497F74" w:rsidRDefault="005D7390" w:rsidP="00497F74">
            <w:pPr>
              <w:pStyle w:val="ExampleSub"/>
              <w:keepNext w:val="0"/>
              <w:keepLines w:val="0"/>
              <w:ind w:left="0"/>
              <w:jc w:val="center"/>
              <w:cnfStyle w:val="000000000000"/>
              <w:rPr>
                <w:rFonts w:ascii="Arial" w:hAnsi="Arial" w:cs="Arial"/>
                <w:bCs w:val="0"/>
                <w:i/>
                <w:color w:val="auto"/>
                <w:sz w:val="18"/>
                <w:szCs w:val="18"/>
              </w:rPr>
            </w:pPr>
          </w:p>
        </w:tc>
        <w:tc>
          <w:tcPr>
            <w:tcW w:w="709" w:type="dxa"/>
          </w:tcPr>
          <w:p w:rsidR="005D7390" w:rsidRPr="00497F74" w:rsidRDefault="005D7390" w:rsidP="00497F74">
            <w:pPr>
              <w:pStyle w:val="ExampleSub"/>
              <w:keepNext w:val="0"/>
              <w:keepLines w:val="0"/>
              <w:ind w:left="0"/>
              <w:jc w:val="center"/>
              <w:cnfStyle w:val="000000000000"/>
              <w:rPr>
                <w:rFonts w:ascii="Arial" w:hAnsi="Arial" w:cs="Arial"/>
                <w:bCs w:val="0"/>
                <w:i/>
                <w:color w:val="auto"/>
                <w:sz w:val="18"/>
                <w:szCs w:val="18"/>
              </w:rPr>
            </w:pPr>
          </w:p>
        </w:tc>
      </w:tr>
      <w:tr w:rsidR="005D7390" w:rsidRPr="005D7390" w:rsidTr="008A25D1">
        <w:trPr>
          <w:cnfStyle w:val="000000100000"/>
          <w:trHeight w:hRule="exact" w:val="562"/>
        </w:trPr>
        <w:tc>
          <w:tcPr>
            <w:cnfStyle w:val="001000000000"/>
            <w:tcW w:w="911" w:type="dxa"/>
            <w:tcBorders>
              <w:top w:val="none" w:sz="0" w:space="0" w:color="auto"/>
              <w:bottom w:val="none" w:sz="0" w:space="0" w:color="auto"/>
              <w:right w:val="none" w:sz="0" w:space="0" w:color="auto"/>
            </w:tcBorders>
            <w:vAlign w:val="center"/>
          </w:tcPr>
          <w:p w:rsidR="005D7390" w:rsidRPr="00CA749C" w:rsidRDefault="005D7390" w:rsidP="002E4FF0">
            <w:pPr>
              <w:pStyle w:val="ExampleSub"/>
              <w:keepNext w:val="0"/>
              <w:keepLines w:val="0"/>
              <w:ind w:left="0"/>
              <w:jc w:val="center"/>
              <w:rPr>
                <w:rFonts w:ascii="Arial" w:hAnsi="Arial" w:cs="Arial"/>
                <w:b w:val="0"/>
                <w:color w:val="auto"/>
                <w:sz w:val="18"/>
                <w:szCs w:val="18"/>
              </w:rPr>
            </w:pPr>
            <w:r w:rsidRPr="00CA749C">
              <w:rPr>
                <w:rFonts w:ascii="Arial" w:hAnsi="Arial" w:cs="Arial"/>
                <w:b w:val="0"/>
                <w:color w:val="auto"/>
                <w:sz w:val="18"/>
                <w:szCs w:val="18"/>
              </w:rPr>
              <w:t>(17.1)</w:t>
            </w:r>
          </w:p>
        </w:tc>
        <w:tc>
          <w:tcPr>
            <w:tcW w:w="700" w:type="dxa"/>
            <w:tcBorders>
              <w:top w:val="none" w:sz="0" w:space="0" w:color="auto"/>
              <w:bottom w:val="none" w:sz="0" w:space="0" w:color="auto"/>
            </w:tcBorders>
            <w:vAlign w:val="center"/>
          </w:tcPr>
          <w:p w:rsidR="005D7390" w:rsidRPr="005D7390" w:rsidRDefault="00CA749C" w:rsidP="002E4FF0">
            <w:pPr>
              <w:pStyle w:val="ExampleSub"/>
              <w:keepNext w:val="0"/>
              <w:keepLines w:val="0"/>
              <w:ind w:left="0"/>
              <w:jc w:val="center"/>
              <w:cnfStyle w:val="000000100000"/>
              <w:rPr>
                <w:rFonts w:ascii="Arial" w:hAnsi="Arial" w:cs="Arial"/>
                <w:b w:val="0"/>
                <w:bCs w:val="0"/>
                <w:i/>
                <w:color w:val="auto"/>
                <w:sz w:val="18"/>
                <w:szCs w:val="18"/>
              </w:rPr>
            </w:pPr>
            <w:r>
              <w:rPr>
                <w:rFonts w:ascii="Arial" w:hAnsi="Arial" w:cs="Arial"/>
                <w:b w:val="0"/>
                <w:bCs w:val="0"/>
                <w:i/>
                <w:color w:val="auto"/>
                <w:sz w:val="18"/>
                <w:szCs w:val="18"/>
              </w:rPr>
              <w:t>-</w:t>
            </w:r>
          </w:p>
        </w:tc>
        <w:tc>
          <w:tcPr>
            <w:tcW w:w="872" w:type="dxa"/>
            <w:tcBorders>
              <w:top w:val="none" w:sz="0" w:space="0" w:color="auto"/>
              <w:bottom w:val="none" w:sz="0" w:space="0" w:color="auto"/>
            </w:tcBorders>
            <w:vAlign w:val="center"/>
          </w:tcPr>
          <w:p w:rsidR="005D7390" w:rsidRPr="005D7390" w:rsidRDefault="00CA749C" w:rsidP="002E4FF0">
            <w:pPr>
              <w:pStyle w:val="ExampleSub"/>
              <w:keepNext w:val="0"/>
              <w:keepLines w:val="0"/>
              <w:ind w:left="0"/>
              <w:jc w:val="center"/>
              <w:cnfStyle w:val="000000100000"/>
              <w:rPr>
                <w:rFonts w:ascii="Arial" w:hAnsi="Arial" w:cs="Arial"/>
                <w:b w:val="0"/>
                <w:bCs w:val="0"/>
                <w:i/>
                <w:color w:val="auto"/>
                <w:sz w:val="18"/>
                <w:szCs w:val="18"/>
              </w:rPr>
            </w:pPr>
            <w:r>
              <w:rPr>
                <w:rFonts w:ascii="Arial" w:hAnsi="Arial" w:cs="Arial"/>
                <w:b w:val="0"/>
                <w:bCs w:val="0"/>
                <w:i/>
                <w:color w:val="auto"/>
                <w:sz w:val="18"/>
                <w:szCs w:val="18"/>
              </w:rPr>
              <w:t>-</w:t>
            </w:r>
          </w:p>
        </w:tc>
        <w:tc>
          <w:tcPr>
            <w:tcW w:w="686" w:type="dxa"/>
            <w:tcBorders>
              <w:top w:val="none" w:sz="0" w:space="0" w:color="auto"/>
              <w:bottom w:val="none" w:sz="0" w:space="0" w:color="auto"/>
            </w:tcBorders>
            <w:vAlign w:val="center"/>
          </w:tcPr>
          <w:p w:rsidR="005D7390" w:rsidRPr="005D7390" w:rsidRDefault="00CA749C" w:rsidP="002E4FF0">
            <w:pPr>
              <w:pStyle w:val="ExampleSub"/>
              <w:keepNext w:val="0"/>
              <w:keepLines w:val="0"/>
              <w:ind w:left="0"/>
              <w:jc w:val="center"/>
              <w:cnfStyle w:val="000000100000"/>
              <w:rPr>
                <w:rFonts w:ascii="Arial" w:hAnsi="Arial" w:cs="Arial"/>
                <w:b w:val="0"/>
                <w:bCs w:val="0"/>
                <w:i/>
                <w:color w:val="auto"/>
                <w:sz w:val="18"/>
                <w:szCs w:val="18"/>
              </w:rPr>
            </w:pPr>
            <w:r>
              <w:rPr>
                <w:rFonts w:ascii="Arial" w:hAnsi="Arial" w:cs="Arial"/>
                <w:b w:val="0"/>
                <w:bCs w:val="0"/>
                <w:i/>
                <w:color w:val="auto"/>
                <w:sz w:val="18"/>
                <w:szCs w:val="18"/>
              </w:rPr>
              <w:t>-</w:t>
            </w:r>
          </w:p>
        </w:tc>
        <w:tc>
          <w:tcPr>
            <w:tcW w:w="853" w:type="dxa"/>
            <w:tcBorders>
              <w:top w:val="none" w:sz="0" w:space="0" w:color="auto"/>
              <w:bottom w:val="none" w:sz="0" w:space="0" w:color="auto"/>
            </w:tcBorders>
            <w:vAlign w:val="center"/>
          </w:tcPr>
          <w:p w:rsidR="005D7390" w:rsidRPr="005D7390" w:rsidRDefault="00CA749C" w:rsidP="002E4FF0">
            <w:pPr>
              <w:pStyle w:val="ExampleSub"/>
              <w:keepNext w:val="0"/>
              <w:keepLines w:val="0"/>
              <w:ind w:left="0"/>
              <w:jc w:val="center"/>
              <w:cnfStyle w:val="000000100000"/>
              <w:rPr>
                <w:rFonts w:ascii="Arial" w:hAnsi="Arial" w:cs="Arial"/>
                <w:b w:val="0"/>
                <w:bCs w:val="0"/>
                <w:i/>
                <w:color w:val="auto"/>
                <w:sz w:val="18"/>
                <w:szCs w:val="18"/>
              </w:rPr>
            </w:pPr>
            <w:r>
              <w:rPr>
                <w:rFonts w:ascii="Arial" w:hAnsi="Arial" w:cs="Arial"/>
                <w:b w:val="0"/>
                <w:bCs w:val="0"/>
                <w:i/>
                <w:color w:val="auto"/>
                <w:sz w:val="18"/>
                <w:szCs w:val="18"/>
              </w:rPr>
              <w:t>-</w:t>
            </w:r>
          </w:p>
        </w:tc>
        <w:tc>
          <w:tcPr>
            <w:tcW w:w="709" w:type="dxa"/>
            <w:gridSpan w:val="2"/>
            <w:tcBorders>
              <w:top w:val="none" w:sz="0" w:space="0" w:color="auto"/>
              <w:bottom w:val="none" w:sz="0" w:space="0" w:color="auto"/>
            </w:tcBorders>
            <w:vAlign w:val="center"/>
          </w:tcPr>
          <w:p w:rsidR="005D7390" w:rsidRPr="005D7390" w:rsidRDefault="00CA749C" w:rsidP="002E4FF0">
            <w:pPr>
              <w:pStyle w:val="ExampleSub"/>
              <w:keepNext w:val="0"/>
              <w:keepLines w:val="0"/>
              <w:ind w:left="0"/>
              <w:jc w:val="center"/>
              <w:cnfStyle w:val="000000100000"/>
              <w:rPr>
                <w:rFonts w:ascii="Arial" w:hAnsi="Arial" w:cs="Arial"/>
                <w:b w:val="0"/>
                <w:bCs w:val="0"/>
                <w:i/>
                <w:color w:val="auto"/>
                <w:sz w:val="18"/>
                <w:szCs w:val="18"/>
              </w:rPr>
            </w:pPr>
            <w:r>
              <w:rPr>
                <w:rFonts w:ascii="Arial" w:hAnsi="Arial" w:cs="Arial"/>
                <w:b w:val="0"/>
                <w:bCs w:val="0"/>
                <w:i/>
                <w:color w:val="auto"/>
                <w:sz w:val="18"/>
                <w:szCs w:val="18"/>
              </w:rPr>
              <w:t>-</w:t>
            </w:r>
          </w:p>
        </w:tc>
        <w:tc>
          <w:tcPr>
            <w:tcW w:w="5552" w:type="dxa"/>
            <w:gridSpan w:val="5"/>
            <w:tcBorders>
              <w:top w:val="none" w:sz="0" w:space="0" w:color="auto"/>
              <w:bottom w:val="none" w:sz="0" w:space="0" w:color="auto"/>
            </w:tcBorders>
            <w:vAlign w:val="center"/>
          </w:tcPr>
          <w:p w:rsidR="005D7390" w:rsidRPr="005D7390" w:rsidRDefault="005D7390" w:rsidP="00943767">
            <w:pPr>
              <w:pStyle w:val="ExampleSub"/>
              <w:keepNext w:val="0"/>
              <w:keepLines w:val="0"/>
              <w:ind w:left="0"/>
              <w:cnfStyle w:val="000000100000"/>
              <w:rPr>
                <w:rFonts w:ascii="Arial" w:hAnsi="Arial" w:cs="Arial"/>
                <w:b w:val="0"/>
                <w:i/>
                <w:color w:val="auto"/>
                <w:sz w:val="18"/>
                <w:szCs w:val="18"/>
              </w:rPr>
            </w:pPr>
            <w:r w:rsidRPr="005D7390">
              <w:rPr>
                <w:rFonts w:ascii="Arial" w:hAnsi="Arial" w:cs="Arial"/>
                <w:b w:val="0"/>
                <w:i/>
                <w:color w:val="auto"/>
                <w:sz w:val="18"/>
                <w:szCs w:val="18"/>
              </w:rPr>
              <w:t>Surplus/(Deficit) on Provision of Services</w:t>
            </w:r>
          </w:p>
        </w:tc>
        <w:tc>
          <w:tcPr>
            <w:tcW w:w="830" w:type="dxa"/>
            <w:gridSpan w:val="5"/>
            <w:tcBorders>
              <w:top w:val="none" w:sz="0" w:space="0" w:color="auto"/>
              <w:bottom w:val="none" w:sz="0" w:space="0" w:color="auto"/>
            </w:tcBorders>
            <w:vAlign w:val="center"/>
          </w:tcPr>
          <w:p w:rsidR="005D7390" w:rsidRPr="00497F74" w:rsidRDefault="00CA749C" w:rsidP="002E4FF0">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(26.4)</w:t>
            </w:r>
          </w:p>
        </w:tc>
        <w:tc>
          <w:tcPr>
            <w:tcW w:w="724" w:type="dxa"/>
            <w:gridSpan w:val="4"/>
            <w:tcBorders>
              <w:top w:val="none" w:sz="0" w:space="0" w:color="auto"/>
              <w:bottom w:val="none" w:sz="0" w:space="0" w:color="auto"/>
            </w:tcBorders>
            <w:vAlign w:val="center"/>
          </w:tcPr>
          <w:p w:rsidR="005D7390" w:rsidRPr="00497F74" w:rsidRDefault="00A57ACC" w:rsidP="002E4FF0">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w:t>
            </w:r>
          </w:p>
        </w:tc>
        <w:tc>
          <w:tcPr>
            <w:tcW w:w="856" w:type="dxa"/>
            <w:gridSpan w:val="2"/>
            <w:tcBorders>
              <w:top w:val="none" w:sz="0" w:space="0" w:color="auto"/>
              <w:bottom w:val="none" w:sz="0" w:space="0" w:color="auto"/>
            </w:tcBorders>
            <w:vAlign w:val="center"/>
          </w:tcPr>
          <w:p w:rsidR="005D7390" w:rsidRPr="00497F74" w:rsidRDefault="00A57ACC" w:rsidP="002E4FF0">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w:t>
            </w:r>
          </w:p>
        </w:tc>
        <w:tc>
          <w:tcPr>
            <w:tcW w:w="709" w:type="dxa"/>
            <w:tcBorders>
              <w:top w:val="none" w:sz="0" w:space="0" w:color="auto"/>
              <w:bottom w:val="none" w:sz="0" w:space="0" w:color="auto"/>
            </w:tcBorders>
            <w:vAlign w:val="center"/>
          </w:tcPr>
          <w:p w:rsidR="005D7390" w:rsidRPr="00497F74" w:rsidRDefault="00A57ACC" w:rsidP="002E4FF0">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w:t>
            </w:r>
          </w:p>
        </w:tc>
        <w:tc>
          <w:tcPr>
            <w:tcW w:w="850" w:type="dxa"/>
            <w:gridSpan w:val="3"/>
            <w:tcBorders>
              <w:top w:val="none" w:sz="0" w:space="0" w:color="auto"/>
              <w:bottom w:val="none" w:sz="0" w:space="0" w:color="auto"/>
            </w:tcBorders>
            <w:vAlign w:val="center"/>
          </w:tcPr>
          <w:p w:rsidR="005D7390" w:rsidRPr="00497F74" w:rsidRDefault="00A57ACC" w:rsidP="002E4FF0">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w:t>
            </w:r>
          </w:p>
        </w:tc>
        <w:tc>
          <w:tcPr>
            <w:tcW w:w="709" w:type="dxa"/>
            <w:tcBorders>
              <w:top w:val="none" w:sz="0" w:space="0" w:color="auto"/>
              <w:bottom w:val="none" w:sz="0" w:space="0" w:color="auto"/>
            </w:tcBorders>
            <w:vAlign w:val="center"/>
          </w:tcPr>
          <w:p w:rsidR="005D7390" w:rsidRPr="00497F74" w:rsidRDefault="00A57ACC" w:rsidP="002E4FF0">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w:t>
            </w:r>
          </w:p>
        </w:tc>
      </w:tr>
      <w:tr w:rsidR="005D7390" w:rsidRPr="005D7390" w:rsidTr="008A25D1">
        <w:tc>
          <w:tcPr>
            <w:cnfStyle w:val="001000000000"/>
            <w:tcW w:w="911" w:type="dxa"/>
            <w:tcBorders>
              <w:right w:val="none" w:sz="0" w:space="0" w:color="auto"/>
            </w:tcBorders>
          </w:tcPr>
          <w:p w:rsidR="005D7390" w:rsidRPr="00CA749C" w:rsidRDefault="005D7390" w:rsidP="00CA749C">
            <w:pPr>
              <w:pStyle w:val="ExampleSub"/>
              <w:keepNext w:val="0"/>
              <w:keepLines w:val="0"/>
              <w:ind w:left="0"/>
              <w:jc w:val="center"/>
              <w:rPr>
                <w:rFonts w:ascii="Arial" w:hAnsi="Arial" w:cs="Arial"/>
                <w:b w:val="0"/>
                <w:color w:val="auto"/>
                <w:sz w:val="18"/>
                <w:szCs w:val="18"/>
              </w:rPr>
            </w:pPr>
            <w:r w:rsidRPr="00CA749C">
              <w:rPr>
                <w:rFonts w:ascii="Arial" w:hAnsi="Arial" w:cs="Arial"/>
                <w:b w:val="0"/>
                <w:color w:val="auto"/>
                <w:sz w:val="18"/>
                <w:szCs w:val="18"/>
              </w:rPr>
              <w:t>3.1</w:t>
            </w:r>
          </w:p>
        </w:tc>
        <w:tc>
          <w:tcPr>
            <w:tcW w:w="700" w:type="dxa"/>
          </w:tcPr>
          <w:p w:rsidR="005D7390" w:rsidRPr="005D7390" w:rsidRDefault="00CA749C" w:rsidP="00CA749C">
            <w:pPr>
              <w:pStyle w:val="ExampleSub"/>
              <w:keepNext w:val="0"/>
              <w:keepLines w:val="0"/>
              <w:ind w:left="0"/>
              <w:jc w:val="center"/>
              <w:cnfStyle w:val="000000000000"/>
              <w:rPr>
                <w:rFonts w:ascii="Arial" w:hAnsi="Arial" w:cs="Arial"/>
                <w:b w:val="0"/>
                <w:bCs w:val="0"/>
                <w:i/>
                <w:color w:val="auto"/>
                <w:sz w:val="18"/>
                <w:szCs w:val="18"/>
              </w:rPr>
            </w:pPr>
            <w:r>
              <w:rPr>
                <w:rFonts w:ascii="Arial" w:hAnsi="Arial" w:cs="Arial"/>
                <w:b w:val="0"/>
                <w:bCs w:val="0"/>
                <w:i/>
                <w:color w:val="auto"/>
                <w:sz w:val="18"/>
                <w:szCs w:val="18"/>
              </w:rPr>
              <w:t>-</w:t>
            </w:r>
          </w:p>
        </w:tc>
        <w:tc>
          <w:tcPr>
            <w:tcW w:w="872" w:type="dxa"/>
          </w:tcPr>
          <w:p w:rsidR="005D7390" w:rsidRPr="005D7390" w:rsidRDefault="00CA749C" w:rsidP="00CA749C">
            <w:pPr>
              <w:pStyle w:val="ExampleSub"/>
              <w:keepNext w:val="0"/>
              <w:keepLines w:val="0"/>
              <w:ind w:left="0"/>
              <w:jc w:val="center"/>
              <w:cnfStyle w:val="000000000000"/>
              <w:rPr>
                <w:rFonts w:ascii="Arial" w:hAnsi="Arial" w:cs="Arial"/>
                <w:b w:val="0"/>
                <w:bCs w:val="0"/>
                <w:i/>
                <w:color w:val="auto"/>
                <w:sz w:val="18"/>
                <w:szCs w:val="18"/>
              </w:rPr>
            </w:pPr>
            <w:r>
              <w:rPr>
                <w:rFonts w:ascii="Arial" w:hAnsi="Arial" w:cs="Arial"/>
                <w:b w:val="0"/>
                <w:bCs w:val="0"/>
                <w:i/>
                <w:color w:val="auto"/>
                <w:sz w:val="18"/>
                <w:szCs w:val="18"/>
              </w:rPr>
              <w:t>-</w:t>
            </w:r>
          </w:p>
        </w:tc>
        <w:tc>
          <w:tcPr>
            <w:tcW w:w="686" w:type="dxa"/>
          </w:tcPr>
          <w:p w:rsidR="005D7390" w:rsidRPr="005D7390" w:rsidRDefault="00CA749C" w:rsidP="00CA749C">
            <w:pPr>
              <w:pStyle w:val="ExampleSub"/>
              <w:keepNext w:val="0"/>
              <w:keepLines w:val="0"/>
              <w:ind w:left="0"/>
              <w:jc w:val="center"/>
              <w:cnfStyle w:val="000000000000"/>
              <w:rPr>
                <w:rFonts w:ascii="Arial" w:hAnsi="Arial" w:cs="Arial"/>
                <w:b w:val="0"/>
                <w:bCs w:val="0"/>
                <w:i/>
                <w:color w:val="auto"/>
                <w:sz w:val="18"/>
                <w:szCs w:val="18"/>
              </w:rPr>
            </w:pPr>
            <w:r>
              <w:rPr>
                <w:rFonts w:ascii="Arial" w:hAnsi="Arial" w:cs="Arial"/>
                <w:b w:val="0"/>
                <w:bCs w:val="0"/>
                <w:i/>
                <w:color w:val="auto"/>
                <w:sz w:val="18"/>
                <w:szCs w:val="18"/>
              </w:rPr>
              <w:t>-</w:t>
            </w:r>
          </w:p>
        </w:tc>
        <w:tc>
          <w:tcPr>
            <w:tcW w:w="853" w:type="dxa"/>
          </w:tcPr>
          <w:p w:rsidR="005D7390" w:rsidRPr="005D7390" w:rsidRDefault="00CA749C" w:rsidP="00CA749C">
            <w:pPr>
              <w:pStyle w:val="ExampleSub"/>
              <w:keepNext w:val="0"/>
              <w:keepLines w:val="0"/>
              <w:ind w:left="0"/>
              <w:jc w:val="center"/>
              <w:cnfStyle w:val="000000000000"/>
              <w:rPr>
                <w:rFonts w:ascii="Arial" w:hAnsi="Arial" w:cs="Arial"/>
                <w:b w:val="0"/>
                <w:bCs w:val="0"/>
                <w:i/>
                <w:color w:val="auto"/>
                <w:sz w:val="18"/>
                <w:szCs w:val="18"/>
              </w:rPr>
            </w:pPr>
            <w:r>
              <w:rPr>
                <w:rFonts w:ascii="Arial" w:hAnsi="Arial" w:cs="Arial"/>
                <w:b w:val="0"/>
                <w:bCs w:val="0"/>
                <w:i/>
                <w:color w:val="auto"/>
                <w:sz w:val="18"/>
                <w:szCs w:val="18"/>
              </w:rPr>
              <w:t>-</w:t>
            </w:r>
          </w:p>
        </w:tc>
        <w:tc>
          <w:tcPr>
            <w:tcW w:w="709" w:type="dxa"/>
            <w:gridSpan w:val="2"/>
          </w:tcPr>
          <w:p w:rsidR="005D7390" w:rsidRPr="005D7390" w:rsidRDefault="00CA749C" w:rsidP="00CA749C">
            <w:pPr>
              <w:pStyle w:val="ExampleSub"/>
              <w:keepNext w:val="0"/>
              <w:keepLines w:val="0"/>
              <w:ind w:left="0"/>
              <w:jc w:val="center"/>
              <w:cnfStyle w:val="000000000000"/>
              <w:rPr>
                <w:rFonts w:ascii="Arial" w:hAnsi="Arial" w:cs="Arial"/>
                <w:b w:val="0"/>
                <w:bCs w:val="0"/>
                <w:i/>
                <w:color w:val="auto"/>
                <w:sz w:val="18"/>
                <w:szCs w:val="18"/>
              </w:rPr>
            </w:pPr>
            <w:r>
              <w:rPr>
                <w:rFonts w:ascii="Arial" w:hAnsi="Arial" w:cs="Arial"/>
                <w:b w:val="0"/>
                <w:bCs w:val="0"/>
                <w:i/>
                <w:color w:val="auto"/>
                <w:sz w:val="18"/>
                <w:szCs w:val="18"/>
              </w:rPr>
              <w:t>-</w:t>
            </w:r>
          </w:p>
        </w:tc>
        <w:tc>
          <w:tcPr>
            <w:tcW w:w="5552" w:type="dxa"/>
            <w:gridSpan w:val="5"/>
          </w:tcPr>
          <w:p w:rsidR="005D7390" w:rsidRPr="005D7390" w:rsidRDefault="005D7390" w:rsidP="0024663A">
            <w:pPr>
              <w:pStyle w:val="ExampleSub"/>
              <w:keepNext w:val="0"/>
              <w:keepLines w:val="0"/>
              <w:ind w:left="0"/>
              <w:cnfStyle w:val="000000000000"/>
              <w:rPr>
                <w:rFonts w:ascii="Arial" w:hAnsi="Arial" w:cs="Arial"/>
                <w:b w:val="0"/>
                <w:i/>
                <w:color w:val="auto"/>
                <w:sz w:val="18"/>
                <w:szCs w:val="18"/>
              </w:rPr>
            </w:pPr>
            <w:r w:rsidRPr="005D7390">
              <w:rPr>
                <w:rFonts w:ascii="Arial" w:hAnsi="Arial" w:cs="Arial"/>
                <w:b w:val="0"/>
                <w:i/>
                <w:color w:val="auto"/>
                <w:sz w:val="18"/>
                <w:szCs w:val="18"/>
              </w:rPr>
              <w:t>Movement in earmarked reserves</w:t>
            </w:r>
          </w:p>
        </w:tc>
        <w:tc>
          <w:tcPr>
            <w:tcW w:w="830" w:type="dxa"/>
            <w:gridSpan w:val="5"/>
          </w:tcPr>
          <w:p w:rsidR="005D7390" w:rsidRPr="00497F74" w:rsidRDefault="00CA749C" w:rsidP="00497F74">
            <w:pPr>
              <w:pStyle w:val="ExampleSub"/>
              <w:keepNext w:val="0"/>
              <w:keepLines w:val="0"/>
              <w:ind w:left="0"/>
              <w:jc w:val="center"/>
              <w:cnfStyle w:val="000000000000"/>
              <w:rPr>
                <w:rFonts w:ascii="Arial" w:hAnsi="Arial" w:cs="Arial"/>
                <w:bCs w:val="0"/>
                <w:i/>
                <w:color w:val="auto"/>
                <w:sz w:val="18"/>
                <w:szCs w:val="18"/>
              </w:rPr>
            </w:pPr>
            <w:r>
              <w:rPr>
                <w:rFonts w:ascii="Arial" w:hAnsi="Arial" w:cs="Arial"/>
                <w:bCs w:val="0"/>
                <w:i/>
                <w:color w:val="auto"/>
                <w:sz w:val="18"/>
                <w:szCs w:val="18"/>
              </w:rPr>
              <w:t>5.6</w:t>
            </w:r>
          </w:p>
        </w:tc>
        <w:tc>
          <w:tcPr>
            <w:tcW w:w="724" w:type="dxa"/>
            <w:gridSpan w:val="4"/>
          </w:tcPr>
          <w:p w:rsidR="005D7390" w:rsidRPr="00497F74" w:rsidRDefault="00A57ACC" w:rsidP="00497F74">
            <w:pPr>
              <w:pStyle w:val="ExampleSub"/>
              <w:keepNext w:val="0"/>
              <w:keepLines w:val="0"/>
              <w:ind w:left="0"/>
              <w:jc w:val="center"/>
              <w:cnfStyle w:val="000000000000"/>
              <w:rPr>
                <w:rFonts w:ascii="Arial" w:hAnsi="Arial" w:cs="Arial"/>
                <w:bCs w:val="0"/>
                <w:i/>
                <w:color w:val="auto"/>
                <w:sz w:val="18"/>
                <w:szCs w:val="18"/>
              </w:rPr>
            </w:pPr>
            <w:r>
              <w:rPr>
                <w:rFonts w:ascii="Arial" w:hAnsi="Arial" w:cs="Arial"/>
                <w:bCs w:val="0"/>
                <w:i/>
                <w:color w:val="auto"/>
                <w:sz w:val="18"/>
                <w:szCs w:val="18"/>
              </w:rPr>
              <w:t>-</w:t>
            </w:r>
          </w:p>
        </w:tc>
        <w:tc>
          <w:tcPr>
            <w:tcW w:w="856" w:type="dxa"/>
            <w:gridSpan w:val="2"/>
          </w:tcPr>
          <w:p w:rsidR="005D7390" w:rsidRPr="00497F74" w:rsidRDefault="00A57ACC" w:rsidP="00497F74">
            <w:pPr>
              <w:pStyle w:val="ExampleSub"/>
              <w:keepNext w:val="0"/>
              <w:keepLines w:val="0"/>
              <w:ind w:left="0"/>
              <w:jc w:val="center"/>
              <w:cnfStyle w:val="000000000000"/>
              <w:rPr>
                <w:rFonts w:ascii="Arial" w:hAnsi="Arial" w:cs="Arial"/>
                <w:bCs w:val="0"/>
                <w:i/>
                <w:color w:val="auto"/>
                <w:sz w:val="18"/>
                <w:szCs w:val="18"/>
              </w:rPr>
            </w:pPr>
            <w:r>
              <w:rPr>
                <w:rFonts w:ascii="Arial" w:hAnsi="Arial" w:cs="Arial"/>
                <w:bCs w:val="0"/>
                <w:i/>
                <w:color w:val="auto"/>
                <w:sz w:val="18"/>
                <w:szCs w:val="18"/>
              </w:rPr>
              <w:t>-</w:t>
            </w:r>
          </w:p>
        </w:tc>
        <w:tc>
          <w:tcPr>
            <w:tcW w:w="709" w:type="dxa"/>
          </w:tcPr>
          <w:p w:rsidR="005D7390" w:rsidRPr="00497F74" w:rsidRDefault="00A57ACC" w:rsidP="00497F74">
            <w:pPr>
              <w:pStyle w:val="ExampleSub"/>
              <w:keepNext w:val="0"/>
              <w:keepLines w:val="0"/>
              <w:ind w:left="0"/>
              <w:jc w:val="center"/>
              <w:cnfStyle w:val="000000000000"/>
              <w:rPr>
                <w:rFonts w:ascii="Arial" w:hAnsi="Arial" w:cs="Arial"/>
                <w:bCs w:val="0"/>
                <w:i/>
                <w:color w:val="auto"/>
                <w:sz w:val="18"/>
                <w:szCs w:val="18"/>
              </w:rPr>
            </w:pPr>
            <w:r>
              <w:rPr>
                <w:rFonts w:ascii="Arial" w:hAnsi="Arial" w:cs="Arial"/>
                <w:bCs w:val="0"/>
                <w:i/>
                <w:color w:val="auto"/>
                <w:sz w:val="18"/>
                <w:szCs w:val="18"/>
              </w:rPr>
              <w:t>-</w:t>
            </w:r>
          </w:p>
        </w:tc>
        <w:tc>
          <w:tcPr>
            <w:tcW w:w="850" w:type="dxa"/>
            <w:gridSpan w:val="3"/>
          </w:tcPr>
          <w:p w:rsidR="005D7390" w:rsidRPr="00497F74" w:rsidRDefault="00A57ACC" w:rsidP="00497F74">
            <w:pPr>
              <w:pStyle w:val="ExampleSub"/>
              <w:keepNext w:val="0"/>
              <w:keepLines w:val="0"/>
              <w:ind w:left="0"/>
              <w:jc w:val="center"/>
              <w:cnfStyle w:val="000000000000"/>
              <w:rPr>
                <w:rFonts w:ascii="Arial" w:hAnsi="Arial" w:cs="Arial"/>
                <w:bCs w:val="0"/>
                <w:i/>
                <w:color w:val="auto"/>
                <w:sz w:val="18"/>
                <w:szCs w:val="18"/>
              </w:rPr>
            </w:pPr>
            <w:r>
              <w:rPr>
                <w:rFonts w:ascii="Arial" w:hAnsi="Arial" w:cs="Arial"/>
                <w:bCs w:val="0"/>
                <w:i/>
                <w:color w:val="auto"/>
                <w:sz w:val="18"/>
                <w:szCs w:val="18"/>
              </w:rPr>
              <w:t>-</w:t>
            </w:r>
          </w:p>
        </w:tc>
        <w:tc>
          <w:tcPr>
            <w:tcW w:w="709" w:type="dxa"/>
          </w:tcPr>
          <w:p w:rsidR="005D7390" w:rsidRPr="00497F74" w:rsidRDefault="00A57ACC" w:rsidP="00497F74">
            <w:pPr>
              <w:pStyle w:val="ExampleSub"/>
              <w:keepNext w:val="0"/>
              <w:keepLines w:val="0"/>
              <w:ind w:left="0"/>
              <w:jc w:val="center"/>
              <w:cnfStyle w:val="000000000000"/>
              <w:rPr>
                <w:rFonts w:ascii="Arial" w:hAnsi="Arial" w:cs="Arial"/>
                <w:bCs w:val="0"/>
                <w:i/>
                <w:color w:val="auto"/>
                <w:sz w:val="18"/>
                <w:szCs w:val="18"/>
              </w:rPr>
            </w:pPr>
            <w:r>
              <w:rPr>
                <w:rFonts w:ascii="Arial" w:hAnsi="Arial" w:cs="Arial"/>
                <w:bCs w:val="0"/>
                <w:i/>
                <w:color w:val="auto"/>
                <w:sz w:val="18"/>
                <w:szCs w:val="18"/>
              </w:rPr>
              <w:t>-</w:t>
            </w:r>
          </w:p>
        </w:tc>
      </w:tr>
      <w:tr w:rsidR="005D7390" w:rsidRPr="005D7390" w:rsidTr="008A25D1">
        <w:trPr>
          <w:cnfStyle w:val="000000100000"/>
          <w:trHeight w:val="734"/>
        </w:trPr>
        <w:tc>
          <w:tcPr>
            <w:cnfStyle w:val="001000000000"/>
            <w:tcW w:w="911" w:type="dxa"/>
            <w:tcBorders>
              <w:top w:val="none" w:sz="0" w:space="0" w:color="auto"/>
              <w:bottom w:val="none" w:sz="0" w:space="0" w:color="auto"/>
              <w:right w:val="none" w:sz="0" w:space="0" w:color="auto"/>
            </w:tcBorders>
          </w:tcPr>
          <w:p w:rsidR="005D7390" w:rsidRPr="00CA749C" w:rsidRDefault="00CA749C" w:rsidP="00CA749C">
            <w:pPr>
              <w:pStyle w:val="ExampleSub"/>
              <w:keepNext w:val="0"/>
              <w:keepLines w:val="0"/>
              <w:ind w:left="0"/>
              <w:jc w:val="center"/>
              <w:rPr>
                <w:rFonts w:ascii="Arial" w:hAnsi="Arial" w:cs="Arial"/>
                <w:b w:val="0"/>
                <w:color w:val="auto"/>
                <w:sz w:val="18"/>
                <w:szCs w:val="18"/>
              </w:rPr>
            </w:pPr>
            <w:r w:rsidRPr="00CA749C">
              <w:rPr>
                <w:rFonts w:ascii="Arial" w:hAnsi="Arial" w:cs="Arial"/>
                <w:b w:val="0"/>
                <w:color w:val="auto"/>
                <w:sz w:val="18"/>
                <w:szCs w:val="18"/>
              </w:rPr>
              <w:lastRenderedPageBreak/>
              <w:t>-</w:t>
            </w:r>
          </w:p>
        </w:tc>
        <w:tc>
          <w:tcPr>
            <w:tcW w:w="700" w:type="dxa"/>
            <w:tcBorders>
              <w:top w:val="none" w:sz="0" w:space="0" w:color="auto"/>
              <w:bottom w:val="none" w:sz="0" w:space="0" w:color="auto"/>
            </w:tcBorders>
          </w:tcPr>
          <w:p w:rsidR="005D7390" w:rsidRPr="005D7390" w:rsidRDefault="00CA749C" w:rsidP="00CA749C">
            <w:pPr>
              <w:pStyle w:val="ExampleSub"/>
              <w:keepNext w:val="0"/>
              <w:keepLines w:val="0"/>
              <w:ind w:left="0"/>
              <w:jc w:val="center"/>
              <w:cnfStyle w:val="000000100000"/>
              <w:rPr>
                <w:rFonts w:ascii="Arial" w:hAnsi="Arial" w:cs="Arial"/>
                <w:b w:val="0"/>
                <w:bCs w:val="0"/>
                <w:i/>
                <w:color w:val="auto"/>
                <w:sz w:val="18"/>
                <w:szCs w:val="18"/>
              </w:rPr>
            </w:pPr>
            <w:r>
              <w:rPr>
                <w:rFonts w:ascii="Arial" w:hAnsi="Arial" w:cs="Arial"/>
                <w:b w:val="0"/>
                <w:bCs w:val="0"/>
                <w:i/>
                <w:color w:val="auto"/>
                <w:sz w:val="18"/>
                <w:szCs w:val="18"/>
              </w:rPr>
              <w:t>-</w:t>
            </w:r>
          </w:p>
        </w:tc>
        <w:tc>
          <w:tcPr>
            <w:tcW w:w="872" w:type="dxa"/>
            <w:tcBorders>
              <w:top w:val="none" w:sz="0" w:space="0" w:color="auto"/>
              <w:bottom w:val="none" w:sz="0" w:space="0" w:color="auto"/>
            </w:tcBorders>
          </w:tcPr>
          <w:p w:rsidR="005D7390" w:rsidRPr="005D7390" w:rsidRDefault="00CA749C" w:rsidP="00CA749C">
            <w:pPr>
              <w:pStyle w:val="ExampleSub"/>
              <w:keepNext w:val="0"/>
              <w:keepLines w:val="0"/>
              <w:ind w:left="0"/>
              <w:jc w:val="center"/>
              <w:cnfStyle w:val="000000100000"/>
              <w:rPr>
                <w:rFonts w:ascii="Arial" w:hAnsi="Arial" w:cs="Arial"/>
                <w:b w:val="0"/>
                <w:bCs w:val="0"/>
                <w:i/>
                <w:color w:val="auto"/>
                <w:sz w:val="18"/>
                <w:szCs w:val="18"/>
              </w:rPr>
            </w:pPr>
            <w:r>
              <w:rPr>
                <w:rFonts w:ascii="Arial" w:hAnsi="Arial" w:cs="Arial"/>
                <w:b w:val="0"/>
                <w:bCs w:val="0"/>
                <w:i/>
                <w:color w:val="auto"/>
                <w:sz w:val="18"/>
                <w:szCs w:val="18"/>
              </w:rPr>
              <w:t>-</w:t>
            </w:r>
          </w:p>
        </w:tc>
        <w:tc>
          <w:tcPr>
            <w:tcW w:w="686" w:type="dxa"/>
            <w:tcBorders>
              <w:top w:val="none" w:sz="0" w:space="0" w:color="auto"/>
              <w:bottom w:val="none" w:sz="0" w:space="0" w:color="auto"/>
            </w:tcBorders>
          </w:tcPr>
          <w:p w:rsidR="005D7390" w:rsidRPr="005D7390" w:rsidRDefault="00CA749C" w:rsidP="00CA749C">
            <w:pPr>
              <w:pStyle w:val="ExampleSub"/>
              <w:keepNext w:val="0"/>
              <w:keepLines w:val="0"/>
              <w:ind w:left="0"/>
              <w:jc w:val="center"/>
              <w:cnfStyle w:val="000000100000"/>
              <w:rPr>
                <w:rFonts w:ascii="Arial" w:hAnsi="Arial" w:cs="Arial"/>
                <w:b w:val="0"/>
                <w:bCs w:val="0"/>
                <w:i/>
                <w:color w:val="auto"/>
                <w:sz w:val="18"/>
                <w:szCs w:val="18"/>
              </w:rPr>
            </w:pPr>
            <w:r>
              <w:rPr>
                <w:rFonts w:ascii="Arial" w:hAnsi="Arial" w:cs="Arial"/>
                <w:b w:val="0"/>
                <w:bCs w:val="0"/>
                <w:i/>
                <w:color w:val="auto"/>
                <w:sz w:val="18"/>
                <w:szCs w:val="18"/>
              </w:rPr>
              <w:t>-</w:t>
            </w:r>
          </w:p>
        </w:tc>
        <w:tc>
          <w:tcPr>
            <w:tcW w:w="853" w:type="dxa"/>
            <w:tcBorders>
              <w:top w:val="none" w:sz="0" w:space="0" w:color="auto"/>
              <w:bottom w:val="none" w:sz="0" w:space="0" w:color="auto"/>
            </w:tcBorders>
          </w:tcPr>
          <w:p w:rsidR="005D7390" w:rsidRPr="005D7390" w:rsidRDefault="005D7390" w:rsidP="00CA749C">
            <w:pPr>
              <w:pStyle w:val="ExampleSub"/>
              <w:keepNext w:val="0"/>
              <w:keepLines w:val="0"/>
              <w:ind w:left="0"/>
              <w:jc w:val="center"/>
              <w:cnfStyle w:val="000000100000"/>
              <w:rPr>
                <w:rFonts w:ascii="Arial" w:hAnsi="Arial" w:cs="Arial"/>
                <w:b w:val="0"/>
                <w:bCs w:val="0"/>
                <w:i/>
                <w:color w:val="auto"/>
                <w:sz w:val="18"/>
                <w:szCs w:val="18"/>
              </w:rPr>
            </w:pPr>
            <w:r w:rsidRPr="005D7390">
              <w:rPr>
                <w:rFonts w:ascii="Arial" w:hAnsi="Arial" w:cs="Arial"/>
                <w:b w:val="0"/>
                <w:bCs w:val="0"/>
                <w:i/>
                <w:color w:val="auto"/>
                <w:sz w:val="18"/>
                <w:szCs w:val="18"/>
              </w:rPr>
              <w:t>43.9</w:t>
            </w:r>
          </w:p>
        </w:tc>
        <w:tc>
          <w:tcPr>
            <w:tcW w:w="709" w:type="dxa"/>
            <w:gridSpan w:val="2"/>
            <w:tcBorders>
              <w:top w:val="none" w:sz="0" w:space="0" w:color="auto"/>
              <w:bottom w:val="none" w:sz="0" w:space="0" w:color="auto"/>
            </w:tcBorders>
          </w:tcPr>
          <w:p w:rsidR="005D7390" w:rsidRPr="005D7390" w:rsidRDefault="00CA749C" w:rsidP="00CA749C">
            <w:pPr>
              <w:pStyle w:val="ExampleSub"/>
              <w:keepNext w:val="0"/>
              <w:keepLines w:val="0"/>
              <w:ind w:left="0"/>
              <w:jc w:val="center"/>
              <w:cnfStyle w:val="000000100000"/>
              <w:rPr>
                <w:rFonts w:ascii="Arial" w:hAnsi="Arial" w:cs="Arial"/>
                <w:b w:val="0"/>
                <w:bCs w:val="0"/>
                <w:i/>
                <w:color w:val="auto"/>
                <w:sz w:val="18"/>
                <w:szCs w:val="18"/>
              </w:rPr>
            </w:pPr>
            <w:r>
              <w:rPr>
                <w:rFonts w:ascii="Arial" w:hAnsi="Arial" w:cs="Arial"/>
                <w:b w:val="0"/>
                <w:bCs w:val="0"/>
                <w:i/>
                <w:color w:val="auto"/>
                <w:sz w:val="18"/>
                <w:szCs w:val="18"/>
              </w:rPr>
              <w:t>-</w:t>
            </w:r>
          </w:p>
        </w:tc>
        <w:tc>
          <w:tcPr>
            <w:tcW w:w="5552" w:type="dxa"/>
            <w:gridSpan w:val="5"/>
            <w:tcBorders>
              <w:top w:val="none" w:sz="0" w:space="0" w:color="auto"/>
              <w:bottom w:val="none" w:sz="0" w:space="0" w:color="auto"/>
            </w:tcBorders>
          </w:tcPr>
          <w:p w:rsidR="005D7390" w:rsidRPr="005D7390" w:rsidRDefault="005D7390" w:rsidP="0024663A">
            <w:pPr>
              <w:pStyle w:val="ExampleSub"/>
              <w:keepNext w:val="0"/>
              <w:keepLines w:val="0"/>
              <w:ind w:left="0"/>
              <w:cnfStyle w:val="000000100000"/>
              <w:rPr>
                <w:rFonts w:ascii="Arial" w:hAnsi="Arial" w:cs="Arial"/>
                <w:i/>
                <w:color w:val="auto"/>
                <w:sz w:val="18"/>
                <w:szCs w:val="18"/>
              </w:rPr>
            </w:pPr>
            <w:r w:rsidRPr="005D7390">
              <w:rPr>
                <w:rFonts w:ascii="Arial" w:hAnsi="Arial" w:cs="Arial"/>
                <w:b w:val="0"/>
                <w:i/>
                <w:color w:val="auto"/>
                <w:sz w:val="18"/>
                <w:szCs w:val="18"/>
              </w:rPr>
              <w:t xml:space="preserve">Other Comprehensive Income and Expenditure: Remeasurement of net defined pension </w:t>
            </w:r>
            <w:r w:rsidR="007E33E1" w:rsidRPr="005D7390">
              <w:rPr>
                <w:rFonts w:ascii="Arial" w:hAnsi="Arial" w:cs="Arial"/>
                <w:b w:val="0"/>
                <w:i/>
                <w:color w:val="auto"/>
                <w:sz w:val="18"/>
                <w:szCs w:val="18"/>
              </w:rPr>
              <w:t>liability</w:t>
            </w:r>
          </w:p>
        </w:tc>
        <w:tc>
          <w:tcPr>
            <w:tcW w:w="830" w:type="dxa"/>
            <w:gridSpan w:val="5"/>
            <w:tcBorders>
              <w:top w:val="none" w:sz="0" w:space="0" w:color="auto"/>
              <w:bottom w:val="none" w:sz="0" w:space="0" w:color="auto"/>
            </w:tcBorders>
          </w:tcPr>
          <w:p w:rsidR="005D7390" w:rsidRPr="00497F74" w:rsidRDefault="00A57ACC" w:rsidP="00497F74">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w:t>
            </w:r>
          </w:p>
        </w:tc>
        <w:tc>
          <w:tcPr>
            <w:tcW w:w="724" w:type="dxa"/>
            <w:gridSpan w:val="4"/>
            <w:tcBorders>
              <w:top w:val="none" w:sz="0" w:space="0" w:color="auto"/>
              <w:bottom w:val="none" w:sz="0" w:space="0" w:color="auto"/>
            </w:tcBorders>
          </w:tcPr>
          <w:p w:rsidR="005D7390" w:rsidRPr="00497F74" w:rsidRDefault="00A57ACC" w:rsidP="00A57ACC">
            <w:pPr>
              <w:pStyle w:val="ExampleSub"/>
              <w:keepNext w:val="0"/>
              <w:keepLines w:val="0"/>
              <w:ind w:left="0"/>
              <w:cnfStyle w:val="000000100000"/>
              <w:rPr>
                <w:rFonts w:ascii="Arial" w:hAnsi="Arial" w:cs="Arial"/>
                <w:bCs w:val="0"/>
                <w:i/>
                <w:color w:val="auto"/>
                <w:sz w:val="18"/>
                <w:szCs w:val="18"/>
              </w:rPr>
            </w:pPr>
            <w:r>
              <w:rPr>
                <w:rFonts w:ascii="Arial" w:hAnsi="Arial" w:cs="Arial"/>
                <w:bCs w:val="0"/>
                <w:i/>
                <w:color w:val="auto"/>
                <w:sz w:val="18"/>
                <w:szCs w:val="18"/>
              </w:rPr>
              <w:t>-</w:t>
            </w:r>
          </w:p>
        </w:tc>
        <w:tc>
          <w:tcPr>
            <w:tcW w:w="856" w:type="dxa"/>
            <w:gridSpan w:val="2"/>
            <w:tcBorders>
              <w:top w:val="none" w:sz="0" w:space="0" w:color="auto"/>
              <w:bottom w:val="none" w:sz="0" w:space="0" w:color="auto"/>
            </w:tcBorders>
          </w:tcPr>
          <w:p w:rsidR="005D7390" w:rsidRPr="00497F74" w:rsidRDefault="00A57ACC" w:rsidP="00497F74">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w:t>
            </w:r>
          </w:p>
        </w:tc>
        <w:tc>
          <w:tcPr>
            <w:tcW w:w="709" w:type="dxa"/>
            <w:tcBorders>
              <w:top w:val="none" w:sz="0" w:space="0" w:color="auto"/>
              <w:bottom w:val="none" w:sz="0" w:space="0" w:color="auto"/>
            </w:tcBorders>
          </w:tcPr>
          <w:p w:rsidR="005D7390" w:rsidRPr="00497F74" w:rsidRDefault="00A57ACC" w:rsidP="00497F74">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w:t>
            </w:r>
          </w:p>
        </w:tc>
        <w:tc>
          <w:tcPr>
            <w:tcW w:w="850" w:type="dxa"/>
            <w:gridSpan w:val="3"/>
            <w:tcBorders>
              <w:top w:val="none" w:sz="0" w:space="0" w:color="auto"/>
              <w:bottom w:val="none" w:sz="0" w:space="0" w:color="auto"/>
            </w:tcBorders>
          </w:tcPr>
          <w:p w:rsidR="005D7390" w:rsidRPr="00497F74" w:rsidRDefault="00F605AD" w:rsidP="00497F74">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(22.7)</w:t>
            </w:r>
          </w:p>
        </w:tc>
        <w:tc>
          <w:tcPr>
            <w:tcW w:w="709" w:type="dxa"/>
            <w:tcBorders>
              <w:top w:val="none" w:sz="0" w:space="0" w:color="auto"/>
              <w:bottom w:val="none" w:sz="0" w:space="0" w:color="auto"/>
            </w:tcBorders>
          </w:tcPr>
          <w:p w:rsidR="005D7390" w:rsidRPr="00497F74" w:rsidRDefault="00A57ACC" w:rsidP="00497F74">
            <w:pPr>
              <w:pStyle w:val="ExampleSub"/>
              <w:keepNext w:val="0"/>
              <w:keepLines w:val="0"/>
              <w:ind w:left="0"/>
              <w:jc w:val="center"/>
              <w:cnfStyle w:val="000000100000"/>
              <w:rPr>
                <w:rFonts w:ascii="Arial" w:hAnsi="Arial" w:cs="Arial"/>
                <w:bCs w:val="0"/>
                <w:i/>
                <w:color w:val="auto"/>
                <w:sz w:val="18"/>
                <w:szCs w:val="18"/>
              </w:rPr>
            </w:pPr>
            <w:r>
              <w:rPr>
                <w:rFonts w:ascii="Arial" w:hAnsi="Arial" w:cs="Arial"/>
                <w:bCs w:val="0"/>
                <w:i/>
                <w:color w:val="auto"/>
                <w:sz w:val="18"/>
                <w:szCs w:val="18"/>
              </w:rPr>
              <w:t>-</w:t>
            </w:r>
          </w:p>
        </w:tc>
      </w:tr>
      <w:tr w:rsidR="005D7390" w:rsidRPr="005D7390" w:rsidTr="008A25D1">
        <w:trPr>
          <w:trHeight w:hRule="exact" w:val="1134"/>
        </w:trPr>
        <w:tc>
          <w:tcPr>
            <w:cnfStyle w:val="001000000000"/>
            <w:tcW w:w="911" w:type="dxa"/>
            <w:tcBorders>
              <w:right w:val="none" w:sz="0" w:space="0" w:color="auto"/>
            </w:tcBorders>
          </w:tcPr>
          <w:p w:rsidR="005D7390" w:rsidRPr="00CA749C" w:rsidRDefault="00CA749C" w:rsidP="00CA749C">
            <w:pPr>
              <w:pStyle w:val="ExampleSub"/>
              <w:keepNext w:val="0"/>
              <w:keepLines w:val="0"/>
              <w:ind w:left="0"/>
              <w:jc w:val="center"/>
              <w:rPr>
                <w:rFonts w:ascii="Arial" w:hAnsi="Arial" w:cs="Arial"/>
                <w:b w:val="0"/>
                <w:color w:val="auto"/>
                <w:sz w:val="18"/>
                <w:szCs w:val="18"/>
              </w:rPr>
            </w:pPr>
            <w:r w:rsidRPr="00CA749C">
              <w:rPr>
                <w:rFonts w:ascii="Arial" w:hAnsi="Arial" w:cs="Arial"/>
                <w:b w:val="0"/>
                <w:color w:val="auto"/>
                <w:sz w:val="18"/>
                <w:szCs w:val="18"/>
              </w:rPr>
              <w:t>-</w:t>
            </w:r>
          </w:p>
        </w:tc>
        <w:tc>
          <w:tcPr>
            <w:tcW w:w="700" w:type="dxa"/>
          </w:tcPr>
          <w:p w:rsidR="005D7390" w:rsidRPr="005D7390" w:rsidRDefault="00CA749C" w:rsidP="00CA749C">
            <w:pPr>
              <w:pStyle w:val="ExampleSub"/>
              <w:keepNext w:val="0"/>
              <w:keepLines w:val="0"/>
              <w:ind w:left="0"/>
              <w:jc w:val="center"/>
              <w:cnfStyle w:val="000000000000"/>
              <w:rPr>
                <w:rFonts w:ascii="Arial" w:hAnsi="Arial" w:cs="Arial"/>
                <w:b w:val="0"/>
                <w:bCs w:val="0"/>
                <w:i/>
                <w:color w:val="auto"/>
                <w:sz w:val="18"/>
                <w:szCs w:val="18"/>
              </w:rPr>
            </w:pPr>
            <w:r>
              <w:rPr>
                <w:rFonts w:ascii="Arial" w:hAnsi="Arial" w:cs="Arial"/>
                <w:b w:val="0"/>
                <w:bCs w:val="0"/>
                <w:i/>
                <w:color w:val="auto"/>
                <w:sz w:val="18"/>
                <w:szCs w:val="18"/>
              </w:rPr>
              <w:t>-</w:t>
            </w:r>
          </w:p>
        </w:tc>
        <w:tc>
          <w:tcPr>
            <w:tcW w:w="872" w:type="dxa"/>
          </w:tcPr>
          <w:p w:rsidR="005D7390" w:rsidRPr="005D7390" w:rsidRDefault="00CA749C" w:rsidP="00CA749C">
            <w:pPr>
              <w:pStyle w:val="ExampleSub"/>
              <w:keepNext w:val="0"/>
              <w:keepLines w:val="0"/>
              <w:ind w:left="0"/>
              <w:jc w:val="center"/>
              <w:cnfStyle w:val="000000000000"/>
              <w:rPr>
                <w:rFonts w:ascii="Arial" w:hAnsi="Arial" w:cs="Arial"/>
                <w:b w:val="0"/>
                <w:bCs w:val="0"/>
                <w:i/>
                <w:color w:val="auto"/>
                <w:sz w:val="18"/>
                <w:szCs w:val="18"/>
              </w:rPr>
            </w:pPr>
            <w:r>
              <w:rPr>
                <w:rFonts w:ascii="Arial" w:hAnsi="Arial" w:cs="Arial"/>
                <w:b w:val="0"/>
                <w:bCs w:val="0"/>
                <w:i/>
                <w:color w:val="auto"/>
                <w:sz w:val="18"/>
                <w:szCs w:val="18"/>
              </w:rPr>
              <w:t>-</w:t>
            </w:r>
          </w:p>
        </w:tc>
        <w:tc>
          <w:tcPr>
            <w:tcW w:w="686" w:type="dxa"/>
          </w:tcPr>
          <w:p w:rsidR="005D7390" w:rsidRPr="005D7390" w:rsidRDefault="005D7390" w:rsidP="00CA749C">
            <w:pPr>
              <w:pStyle w:val="ExampleSub"/>
              <w:keepNext w:val="0"/>
              <w:keepLines w:val="0"/>
              <w:ind w:left="0"/>
              <w:jc w:val="center"/>
              <w:cnfStyle w:val="000000000000"/>
              <w:rPr>
                <w:rFonts w:ascii="Arial" w:hAnsi="Arial" w:cs="Arial"/>
                <w:b w:val="0"/>
                <w:bCs w:val="0"/>
                <w:i/>
                <w:color w:val="auto"/>
                <w:sz w:val="18"/>
                <w:szCs w:val="18"/>
              </w:rPr>
            </w:pPr>
            <w:r w:rsidRPr="005D7390">
              <w:rPr>
                <w:rFonts w:ascii="Arial" w:hAnsi="Arial" w:cs="Arial"/>
                <w:b w:val="0"/>
                <w:bCs w:val="0"/>
                <w:i/>
                <w:color w:val="auto"/>
                <w:sz w:val="18"/>
                <w:szCs w:val="18"/>
              </w:rPr>
              <w:t>(1.5)</w:t>
            </w:r>
          </w:p>
        </w:tc>
        <w:tc>
          <w:tcPr>
            <w:tcW w:w="853" w:type="dxa"/>
          </w:tcPr>
          <w:p w:rsidR="005D7390" w:rsidRPr="005D7390" w:rsidRDefault="00CA749C" w:rsidP="00CA749C">
            <w:pPr>
              <w:pStyle w:val="ExampleSub"/>
              <w:keepNext w:val="0"/>
              <w:keepLines w:val="0"/>
              <w:ind w:left="0"/>
              <w:jc w:val="center"/>
              <w:cnfStyle w:val="000000000000"/>
              <w:rPr>
                <w:rFonts w:ascii="Arial" w:hAnsi="Arial" w:cs="Arial"/>
                <w:b w:val="0"/>
                <w:bCs w:val="0"/>
                <w:i/>
                <w:color w:val="auto"/>
                <w:sz w:val="18"/>
                <w:szCs w:val="18"/>
              </w:rPr>
            </w:pPr>
            <w:r>
              <w:rPr>
                <w:rFonts w:ascii="Arial" w:hAnsi="Arial" w:cs="Arial"/>
                <w:b w:val="0"/>
                <w:bCs w:val="0"/>
                <w:i/>
                <w:color w:val="auto"/>
                <w:sz w:val="18"/>
                <w:szCs w:val="18"/>
              </w:rPr>
              <w:t>-</w:t>
            </w:r>
          </w:p>
        </w:tc>
        <w:tc>
          <w:tcPr>
            <w:tcW w:w="709" w:type="dxa"/>
            <w:gridSpan w:val="2"/>
          </w:tcPr>
          <w:p w:rsidR="005D7390" w:rsidRPr="005D7390" w:rsidRDefault="00CA749C" w:rsidP="00CA749C">
            <w:pPr>
              <w:pStyle w:val="ExampleSub"/>
              <w:keepNext w:val="0"/>
              <w:keepLines w:val="0"/>
              <w:ind w:left="0"/>
              <w:jc w:val="center"/>
              <w:cnfStyle w:val="000000000000"/>
              <w:rPr>
                <w:rFonts w:ascii="Arial" w:hAnsi="Arial" w:cs="Arial"/>
                <w:b w:val="0"/>
                <w:bCs w:val="0"/>
                <w:i/>
                <w:color w:val="auto"/>
                <w:sz w:val="18"/>
                <w:szCs w:val="18"/>
              </w:rPr>
            </w:pPr>
            <w:r>
              <w:rPr>
                <w:rFonts w:ascii="Arial" w:hAnsi="Arial" w:cs="Arial"/>
                <w:b w:val="0"/>
                <w:bCs w:val="0"/>
                <w:i/>
                <w:color w:val="auto"/>
                <w:sz w:val="18"/>
                <w:szCs w:val="18"/>
              </w:rPr>
              <w:t>-</w:t>
            </w:r>
          </w:p>
        </w:tc>
        <w:tc>
          <w:tcPr>
            <w:tcW w:w="5552" w:type="dxa"/>
            <w:gridSpan w:val="5"/>
          </w:tcPr>
          <w:p w:rsidR="005D7390" w:rsidRPr="005D7390" w:rsidRDefault="005D7390" w:rsidP="0024663A">
            <w:pPr>
              <w:pStyle w:val="ExampleSub"/>
              <w:keepNext w:val="0"/>
              <w:keepLines w:val="0"/>
              <w:ind w:left="0"/>
              <w:cnfStyle w:val="000000000000"/>
              <w:rPr>
                <w:rFonts w:ascii="Arial" w:hAnsi="Arial" w:cs="Arial"/>
                <w:i/>
                <w:color w:val="auto"/>
                <w:sz w:val="18"/>
                <w:szCs w:val="18"/>
              </w:rPr>
            </w:pPr>
            <w:r w:rsidRPr="005D7390">
              <w:rPr>
                <w:rFonts w:ascii="Arial" w:hAnsi="Arial" w:cs="Arial"/>
                <w:b w:val="0"/>
                <w:i/>
                <w:color w:val="auto"/>
                <w:sz w:val="18"/>
                <w:szCs w:val="18"/>
              </w:rPr>
              <w:t>Other movement on the Capital Adjustment Account - Adjusting amounts written out of the revaluation reserve to the Capital Adjustment Account</w:t>
            </w:r>
          </w:p>
        </w:tc>
        <w:tc>
          <w:tcPr>
            <w:tcW w:w="830" w:type="dxa"/>
            <w:gridSpan w:val="5"/>
          </w:tcPr>
          <w:p w:rsidR="005D7390" w:rsidRPr="00CA749C" w:rsidRDefault="00A57ACC" w:rsidP="00497F74">
            <w:pPr>
              <w:pStyle w:val="ExampleSub"/>
              <w:keepNext w:val="0"/>
              <w:keepLines w:val="0"/>
              <w:ind w:left="0"/>
              <w:jc w:val="center"/>
              <w:cnfStyle w:val="000000000000"/>
              <w:rPr>
                <w:rFonts w:ascii="Arial" w:hAnsi="Arial" w:cs="Arial"/>
                <w:bCs w:val="0"/>
                <w:color w:val="auto"/>
                <w:sz w:val="18"/>
                <w:szCs w:val="18"/>
              </w:rPr>
            </w:pPr>
            <w:r>
              <w:rPr>
                <w:rFonts w:ascii="Arial" w:hAnsi="Arial" w:cs="Arial"/>
                <w:bCs w:val="0"/>
                <w:color w:val="auto"/>
                <w:sz w:val="18"/>
                <w:szCs w:val="18"/>
              </w:rPr>
              <w:t>-</w:t>
            </w:r>
          </w:p>
        </w:tc>
        <w:tc>
          <w:tcPr>
            <w:tcW w:w="724" w:type="dxa"/>
            <w:gridSpan w:val="4"/>
          </w:tcPr>
          <w:p w:rsidR="005D7390" w:rsidRPr="00CA749C" w:rsidRDefault="00A57ACC" w:rsidP="00497F74">
            <w:pPr>
              <w:pStyle w:val="ExampleSub"/>
              <w:keepNext w:val="0"/>
              <w:keepLines w:val="0"/>
              <w:ind w:left="0"/>
              <w:jc w:val="center"/>
              <w:cnfStyle w:val="000000000000"/>
              <w:rPr>
                <w:rFonts w:ascii="Arial" w:hAnsi="Arial" w:cs="Arial"/>
                <w:bCs w:val="0"/>
                <w:color w:val="auto"/>
                <w:sz w:val="18"/>
                <w:szCs w:val="18"/>
              </w:rPr>
            </w:pPr>
            <w:r>
              <w:rPr>
                <w:rFonts w:ascii="Arial" w:hAnsi="Arial" w:cs="Arial"/>
                <w:bCs w:val="0"/>
                <w:color w:val="auto"/>
                <w:sz w:val="18"/>
                <w:szCs w:val="18"/>
              </w:rPr>
              <w:t>-</w:t>
            </w:r>
          </w:p>
        </w:tc>
        <w:tc>
          <w:tcPr>
            <w:tcW w:w="856" w:type="dxa"/>
            <w:gridSpan w:val="2"/>
          </w:tcPr>
          <w:p w:rsidR="005D7390" w:rsidRPr="00CA749C" w:rsidRDefault="00A57ACC" w:rsidP="00497F74">
            <w:pPr>
              <w:pStyle w:val="ExampleSub"/>
              <w:keepNext w:val="0"/>
              <w:keepLines w:val="0"/>
              <w:ind w:left="0"/>
              <w:jc w:val="center"/>
              <w:cnfStyle w:val="000000000000"/>
              <w:rPr>
                <w:rFonts w:ascii="Arial" w:hAnsi="Arial" w:cs="Arial"/>
                <w:bCs w:val="0"/>
                <w:color w:val="auto"/>
                <w:sz w:val="18"/>
                <w:szCs w:val="18"/>
              </w:rPr>
            </w:pPr>
            <w:r>
              <w:rPr>
                <w:rFonts w:ascii="Arial" w:hAnsi="Arial" w:cs="Arial"/>
                <w:bCs w:val="0"/>
                <w:color w:val="auto"/>
                <w:sz w:val="18"/>
                <w:szCs w:val="18"/>
              </w:rPr>
              <w:t>-</w:t>
            </w:r>
          </w:p>
        </w:tc>
        <w:tc>
          <w:tcPr>
            <w:tcW w:w="709" w:type="dxa"/>
          </w:tcPr>
          <w:p w:rsidR="005D7390" w:rsidRPr="00CA749C" w:rsidRDefault="00497F74" w:rsidP="00497F74">
            <w:pPr>
              <w:pStyle w:val="ExampleSub"/>
              <w:keepNext w:val="0"/>
              <w:keepLines w:val="0"/>
              <w:ind w:left="0"/>
              <w:jc w:val="center"/>
              <w:cnfStyle w:val="000000000000"/>
              <w:rPr>
                <w:rFonts w:ascii="Arial" w:hAnsi="Arial" w:cs="Arial"/>
                <w:bCs w:val="0"/>
                <w:color w:val="auto"/>
                <w:sz w:val="18"/>
                <w:szCs w:val="18"/>
              </w:rPr>
            </w:pPr>
            <w:r w:rsidRPr="00CA749C">
              <w:rPr>
                <w:rFonts w:ascii="Arial" w:hAnsi="Arial" w:cs="Arial"/>
                <w:bCs w:val="0"/>
                <w:color w:val="auto"/>
                <w:sz w:val="18"/>
                <w:szCs w:val="18"/>
              </w:rPr>
              <w:t>(3.8)</w:t>
            </w:r>
          </w:p>
        </w:tc>
        <w:tc>
          <w:tcPr>
            <w:tcW w:w="850" w:type="dxa"/>
            <w:gridSpan w:val="3"/>
          </w:tcPr>
          <w:p w:rsidR="005D7390" w:rsidRPr="00CA749C" w:rsidRDefault="00A57ACC" w:rsidP="00497F74">
            <w:pPr>
              <w:pStyle w:val="ExampleSub"/>
              <w:keepNext w:val="0"/>
              <w:keepLines w:val="0"/>
              <w:ind w:left="0"/>
              <w:jc w:val="center"/>
              <w:cnfStyle w:val="000000000000"/>
              <w:rPr>
                <w:rFonts w:ascii="Arial" w:hAnsi="Arial" w:cs="Arial"/>
                <w:bCs w:val="0"/>
                <w:color w:val="auto"/>
                <w:sz w:val="18"/>
                <w:szCs w:val="18"/>
              </w:rPr>
            </w:pPr>
            <w:r>
              <w:rPr>
                <w:rFonts w:ascii="Arial" w:hAnsi="Arial" w:cs="Arial"/>
                <w:bCs w:val="0"/>
                <w:color w:val="auto"/>
                <w:sz w:val="18"/>
                <w:szCs w:val="18"/>
              </w:rPr>
              <w:t>-</w:t>
            </w:r>
          </w:p>
        </w:tc>
        <w:tc>
          <w:tcPr>
            <w:tcW w:w="709" w:type="dxa"/>
          </w:tcPr>
          <w:p w:rsidR="005D7390" w:rsidRPr="00CA749C" w:rsidRDefault="00A57ACC" w:rsidP="00497F74">
            <w:pPr>
              <w:pStyle w:val="ExampleSub"/>
              <w:keepNext w:val="0"/>
              <w:keepLines w:val="0"/>
              <w:ind w:left="0"/>
              <w:jc w:val="center"/>
              <w:cnfStyle w:val="000000000000"/>
              <w:rPr>
                <w:rFonts w:ascii="Arial" w:hAnsi="Arial" w:cs="Arial"/>
                <w:bCs w:val="0"/>
                <w:color w:val="auto"/>
                <w:sz w:val="18"/>
                <w:szCs w:val="18"/>
              </w:rPr>
            </w:pPr>
            <w:r>
              <w:rPr>
                <w:rFonts w:ascii="Arial" w:hAnsi="Arial" w:cs="Arial"/>
                <w:bCs w:val="0"/>
                <w:color w:val="auto"/>
                <w:sz w:val="18"/>
                <w:szCs w:val="18"/>
              </w:rPr>
              <w:t>-</w:t>
            </w:r>
          </w:p>
        </w:tc>
      </w:tr>
      <w:tr w:rsidR="005D7390" w:rsidRPr="005D7390" w:rsidTr="008A25D1">
        <w:trPr>
          <w:cnfStyle w:val="000000100000"/>
          <w:trHeight w:val="379"/>
        </w:trPr>
        <w:tc>
          <w:tcPr>
            <w:cnfStyle w:val="001000000000"/>
            <w:tcW w:w="911" w:type="dxa"/>
            <w:tcBorders>
              <w:top w:val="none" w:sz="0" w:space="0" w:color="auto"/>
              <w:bottom w:val="none" w:sz="0" w:space="0" w:color="auto"/>
              <w:right w:val="none" w:sz="0" w:space="0" w:color="auto"/>
            </w:tcBorders>
          </w:tcPr>
          <w:p w:rsidR="005D7390" w:rsidRPr="00CA749C" w:rsidRDefault="005D7390" w:rsidP="00CA749C">
            <w:pPr>
              <w:pStyle w:val="ExampleSub"/>
              <w:keepNext w:val="0"/>
              <w:keepLines w:val="0"/>
              <w:ind w:left="0"/>
              <w:jc w:val="center"/>
              <w:rPr>
                <w:rFonts w:ascii="Arial" w:hAnsi="Arial" w:cs="Arial"/>
                <w:b w:val="0"/>
                <w:color w:val="auto"/>
                <w:sz w:val="20"/>
                <w:szCs w:val="20"/>
              </w:rPr>
            </w:pPr>
            <w:r w:rsidRPr="00CA749C">
              <w:rPr>
                <w:rFonts w:ascii="Arial" w:hAnsi="Arial" w:cs="Arial"/>
                <w:b w:val="0"/>
                <w:color w:val="auto"/>
                <w:sz w:val="20"/>
                <w:szCs w:val="20"/>
              </w:rPr>
              <w:t>0</w:t>
            </w:r>
          </w:p>
        </w:tc>
        <w:tc>
          <w:tcPr>
            <w:tcW w:w="700" w:type="dxa"/>
            <w:tcBorders>
              <w:top w:val="none" w:sz="0" w:space="0" w:color="auto"/>
              <w:bottom w:val="none" w:sz="0" w:space="0" w:color="auto"/>
            </w:tcBorders>
          </w:tcPr>
          <w:p w:rsidR="005D7390" w:rsidRPr="005D7390" w:rsidRDefault="00CA749C" w:rsidP="00CA749C">
            <w:pPr>
              <w:pStyle w:val="ExampleSub"/>
              <w:keepNext w:val="0"/>
              <w:keepLines w:val="0"/>
              <w:ind w:left="0"/>
              <w:jc w:val="center"/>
              <w:cnfStyle w:val="000000100000"/>
              <w:rPr>
                <w:rFonts w:ascii="Arial" w:hAnsi="Arial" w:cs="Arial"/>
                <w:b w:val="0"/>
                <w:bCs w:val="0"/>
                <w:i/>
                <w:color w:val="auto"/>
                <w:sz w:val="20"/>
                <w:szCs w:val="20"/>
              </w:rPr>
            </w:pPr>
            <w:r>
              <w:rPr>
                <w:rFonts w:ascii="Arial" w:hAnsi="Arial" w:cs="Arial"/>
                <w:b w:val="0"/>
                <w:bCs w:val="0"/>
                <w:i/>
                <w:color w:val="auto"/>
                <w:sz w:val="20"/>
                <w:szCs w:val="20"/>
              </w:rPr>
              <w:t>-</w:t>
            </w:r>
          </w:p>
        </w:tc>
        <w:tc>
          <w:tcPr>
            <w:tcW w:w="872" w:type="dxa"/>
            <w:tcBorders>
              <w:top w:val="none" w:sz="0" w:space="0" w:color="auto"/>
              <w:bottom w:val="none" w:sz="0" w:space="0" w:color="auto"/>
            </w:tcBorders>
          </w:tcPr>
          <w:p w:rsidR="005D7390" w:rsidRPr="005D7390" w:rsidRDefault="00CA749C" w:rsidP="00CA749C">
            <w:pPr>
              <w:pStyle w:val="ExampleSub"/>
              <w:keepNext w:val="0"/>
              <w:keepLines w:val="0"/>
              <w:ind w:left="0"/>
              <w:jc w:val="center"/>
              <w:cnfStyle w:val="000000100000"/>
              <w:rPr>
                <w:rFonts w:ascii="Arial" w:hAnsi="Arial" w:cs="Arial"/>
                <w:b w:val="0"/>
                <w:bCs w:val="0"/>
                <w:i/>
                <w:color w:val="auto"/>
                <w:sz w:val="20"/>
                <w:szCs w:val="20"/>
              </w:rPr>
            </w:pPr>
            <w:r>
              <w:rPr>
                <w:rFonts w:ascii="Arial" w:hAnsi="Arial" w:cs="Arial"/>
                <w:b w:val="0"/>
                <w:bCs w:val="0"/>
                <w:i/>
                <w:color w:val="auto"/>
                <w:sz w:val="20"/>
                <w:szCs w:val="20"/>
              </w:rPr>
              <w:t>-</w:t>
            </w:r>
          </w:p>
        </w:tc>
        <w:tc>
          <w:tcPr>
            <w:tcW w:w="686" w:type="dxa"/>
            <w:tcBorders>
              <w:top w:val="none" w:sz="0" w:space="0" w:color="auto"/>
              <w:bottom w:val="none" w:sz="0" w:space="0" w:color="auto"/>
            </w:tcBorders>
          </w:tcPr>
          <w:p w:rsidR="005D7390" w:rsidRPr="005D7390" w:rsidRDefault="005D7390" w:rsidP="00CA749C">
            <w:pPr>
              <w:pStyle w:val="ExampleSub"/>
              <w:keepNext w:val="0"/>
              <w:keepLines w:val="0"/>
              <w:ind w:left="0"/>
              <w:jc w:val="center"/>
              <w:cnfStyle w:val="000000100000"/>
              <w:rPr>
                <w:rFonts w:ascii="Arial" w:hAnsi="Arial" w:cs="Arial"/>
                <w:b w:val="0"/>
                <w:bCs w:val="0"/>
                <w:i/>
                <w:color w:val="auto"/>
                <w:sz w:val="20"/>
                <w:szCs w:val="20"/>
              </w:rPr>
            </w:pPr>
            <w:r w:rsidRPr="005D7390">
              <w:rPr>
                <w:rFonts w:ascii="Arial" w:hAnsi="Arial" w:cs="Arial"/>
                <w:b w:val="0"/>
                <w:bCs w:val="0"/>
                <w:i/>
                <w:color w:val="auto"/>
                <w:sz w:val="20"/>
                <w:szCs w:val="20"/>
              </w:rPr>
              <w:t>7.9</w:t>
            </w:r>
          </w:p>
        </w:tc>
        <w:tc>
          <w:tcPr>
            <w:tcW w:w="853" w:type="dxa"/>
            <w:tcBorders>
              <w:top w:val="none" w:sz="0" w:space="0" w:color="auto"/>
              <w:bottom w:val="none" w:sz="0" w:space="0" w:color="auto"/>
            </w:tcBorders>
          </w:tcPr>
          <w:p w:rsidR="005D7390" w:rsidRPr="005D7390" w:rsidRDefault="005D7390" w:rsidP="00CA749C">
            <w:pPr>
              <w:pStyle w:val="ExampleSub"/>
              <w:keepNext w:val="0"/>
              <w:keepLines w:val="0"/>
              <w:ind w:left="0"/>
              <w:jc w:val="center"/>
              <w:cnfStyle w:val="000000100000"/>
              <w:rPr>
                <w:rFonts w:ascii="Arial" w:hAnsi="Arial" w:cs="Arial"/>
                <w:b w:val="0"/>
                <w:bCs w:val="0"/>
                <w:i/>
                <w:color w:val="auto"/>
                <w:sz w:val="20"/>
                <w:szCs w:val="20"/>
              </w:rPr>
            </w:pPr>
            <w:r w:rsidRPr="005D7390">
              <w:rPr>
                <w:rFonts w:ascii="Arial" w:hAnsi="Arial" w:cs="Arial"/>
                <w:b w:val="0"/>
                <w:bCs w:val="0"/>
                <w:i/>
                <w:color w:val="auto"/>
                <w:sz w:val="20"/>
                <w:szCs w:val="20"/>
              </w:rPr>
              <w:t>47.8</w:t>
            </w:r>
          </w:p>
        </w:tc>
        <w:tc>
          <w:tcPr>
            <w:tcW w:w="709" w:type="dxa"/>
            <w:gridSpan w:val="2"/>
            <w:tcBorders>
              <w:top w:val="none" w:sz="0" w:space="0" w:color="auto"/>
              <w:bottom w:val="none" w:sz="0" w:space="0" w:color="auto"/>
            </w:tcBorders>
          </w:tcPr>
          <w:p w:rsidR="005D7390" w:rsidRPr="005D7390" w:rsidRDefault="00CA749C" w:rsidP="00CA749C">
            <w:pPr>
              <w:pStyle w:val="ExampleSub"/>
              <w:keepNext w:val="0"/>
              <w:keepLines w:val="0"/>
              <w:ind w:left="0"/>
              <w:jc w:val="center"/>
              <w:cnfStyle w:val="000000100000"/>
              <w:rPr>
                <w:rFonts w:ascii="Arial" w:hAnsi="Arial" w:cs="Arial"/>
                <w:b w:val="0"/>
                <w:bCs w:val="0"/>
                <w:i/>
                <w:color w:val="auto"/>
                <w:sz w:val="20"/>
                <w:szCs w:val="20"/>
              </w:rPr>
            </w:pPr>
            <w:r>
              <w:rPr>
                <w:rFonts w:ascii="Arial" w:hAnsi="Arial" w:cs="Arial"/>
                <w:b w:val="0"/>
                <w:bCs w:val="0"/>
                <w:i/>
                <w:color w:val="auto"/>
                <w:sz w:val="20"/>
                <w:szCs w:val="20"/>
              </w:rPr>
              <w:t>-</w:t>
            </w:r>
          </w:p>
        </w:tc>
        <w:tc>
          <w:tcPr>
            <w:tcW w:w="5552" w:type="dxa"/>
            <w:gridSpan w:val="5"/>
            <w:tcBorders>
              <w:top w:val="none" w:sz="0" w:space="0" w:color="auto"/>
              <w:bottom w:val="none" w:sz="0" w:space="0" w:color="auto"/>
            </w:tcBorders>
          </w:tcPr>
          <w:p w:rsidR="005D7390" w:rsidRPr="005D7390" w:rsidRDefault="005D7390" w:rsidP="00647C01">
            <w:pPr>
              <w:pStyle w:val="ExampleSub"/>
              <w:keepNext w:val="0"/>
              <w:keepLines w:val="0"/>
              <w:ind w:left="0"/>
              <w:cnfStyle w:val="000000100000"/>
              <w:rPr>
                <w:rFonts w:ascii="Arial" w:hAnsi="Arial" w:cs="Arial"/>
                <w:b w:val="0"/>
                <w:i/>
                <w:color w:val="auto"/>
                <w:sz w:val="20"/>
                <w:szCs w:val="20"/>
              </w:rPr>
            </w:pPr>
            <w:r w:rsidRPr="005D7390">
              <w:rPr>
                <w:rFonts w:ascii="Arial" w:hAnsi="Arial" w:cs="Arial"/>
                <w:i/>
                <w:color w:val="auto"/>
                <w:sz w:val="20"/>
                <w:szCs w:val="20"/>
              </w:rPr>
              <w:t xml:space="preserve">Total Movement in year </w:t>
            </w:r>
            <w:r w:rsidRPr="005D7390">
              <w:rPr>
                <w:rFonts w:ascii="Arial" w:hAnsi="Arial" w:cs="Arial"/>
                <w:b w:val="0"/>
                <w:i/>
                <w:color w:val="auto"/>
                <w:sz w:val="20"/>
                <w:szCs w:val="20"/>
              </w:rPr>
              <w:t>(see note 23)</w:t>
            </w:r>
          </w:p>
        </w:tc>
        <w:tc>
          <w:tcPr>
            <w:tcW w:w="830" w:type="dxa"/>
            <w:gridSpan w:val="5"/>
            <w:tcBorders>
              <w:top w:val="none" w:sz="0" w:space="0" w:color="auto"/>
              <w:bottom w:val="none" w:sz="0" w:space="0" w:color="auto"/>
            </w:tcBorders>
          </w:tcPr>
          <w:p w:rsidR="00497F74" w:rsidRPr="00CA749C" w:rsidRDefault="00CA749C" w:rsidP="00497F74">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0</w:t>
            </w:r>
          </w:p>
        </w:tc>
        <w:tc>
          <w:tcPr>
            <w:tcW w:w="724" w:type="dxa"/>
            <w:gridSpan w:val="4"/>
            <w:tcBorders>
              <w:top w:val="none" w:sz="0" w:space="0" w:color="auto"/>
              <w:bottom w:val="none" w:sz="0" w:space="0" w:color="auto"/>
            </w:tcBorders>
          </w:tcPr>
          <w:p w:rsidR="005D7390" w:rsidRPr="00CA749C" w:rsidRDefault="00A57ACC" w:rsidP="00497F74">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c>
          <w:tcPr>
            <w:tcW w:w="856" w:type="dxa"/>
            <w:gridSpan w:val="2"/>
            <w:tcBorders>
              <w:top w:val="none" w:sz="0" w:space="0" w:color="auto"/>
              <w:bottom w:val="none" w:sz="0" w:space="0" w:color="auto"/>
            </w:tcBorders>
          </w:tcPr>
          <w:p w:rsidR="005D7390" w:rsidRPr="00CA749C" w:rsidRDefault="00A57ACC" w:rsidP="00497F74">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c>
          <w:tcPr>
            <w:tcW w:w="709" w:type="dxa"/>
            <w:tcBorders>
              <w:top w:val="none" w:sz="0" w:space="0" w:color="auto"/>
              <w:bottom w:val="none" w:sz="0" w:space="0" w:color="auto"/>
            </w:tcBorders>
          </w:tcPr>
          <w:p w:rsidR="005D7390" w:rsidRPr="00CA749C" w:rsidRDefault="00497F74" w:rsidP="00497F74">
            <w:pPr>
              <w:pStyle w:val="ExampleSub"/>
              <w:keepNext w:val="0"/>
              <w:keepLines w:val="0"/>
              <w:ind w:left="0"/>
              <w:jc w:val="center"/>
              <w:cnfStyle w:val="000000100000"/>
              <w:rPr>
                <w:rFonts w:ascii="Arial" w:hAnsi="Arial" w:cs="Arial"/>
                <w:bCs w:val="0"/>
                <w:color w:val="auto"/>
                <w:sz w:val="20"/>
                <w:szCs w:val="20"/>
              </w:rPr>
            </w:pPr>
            <w:r w:rsidRPr="00CA749C">
              <w:rPr>
                <w:rFonts w:ascii="Arial" w:hAnsi="Arial" w:cs="Arial"/>
                <w:bCs w:val="0"/>
                <w:color w:val="auto"/>
                <w:sz w:val="20"/>
                <w:szCs w:val="20"/>
              </w:rPr>
              <w:t>9.9</w:t>
            </w:r>
          </w:p>
        </w:tc>
        <w:tc>
          <w:tcPr>
            <w:tcW w:w="850" w:type="dxa"/>
            <w:gridSpan w:val="3"/>
            <w:tcBorders>
              <w:top w:val="none" w:sz="0" w:space="0" w:color="auto"/>
              <w:bottom w:val="none" w:sz="0" w:space="0" w:color="auto"/>
            </w:tcBorders>
          </w:tcPr>
          <w:p w:rsidR="005D7390" w:rsidRPr="00CA749C" w:rsidRDefault="00F605AD" w:rsidP="00497F74">
            <w:pPr>
              <w:pStyle w:val="ExampleSub"/>
              <w:keepNext w:val="0"/>
              <w:keepLines w:val="0"/>
              <w:ind w:left="0"/>
              <w:jc w:val="center"/>
              <w:cnfStyle w:val="000000100000"/>
              <w:rPr>
                <w:rFonts w:ascii="Arial" w:hAnsi="Arial" w:cs="Arial"/>
                <w:bCs w:val="0"/>
                <w:color w:val="auto"/>
                <w:sz w:val="20"/>
                <w:szCs w:val="20"/>
              </w:rPr>
            </w:pPr>
            <w:r w:rsidRPr="00CA749C">
              <w:rPr>
                <w:rFonts w:ascii="Arial" w:hAnsi="Arial" w:cs="Arial"/>
                <w:bCs w:val="0"/>
                <w:color w:val="auto"/>
                <w:sz w:val="20"/>
                <w:szCs w:val="20"/>
              </w:rPr>
              <w:t>(17.6)</w:t>
            </w:r>
          </w:p>
        </w:tc>
        <w:tc>
          <w:tcPr>
            <w:tcW w:w="709" w:type="dxa"/>
            <w:tcBorders>
              <w:top w:val="none" w:sz="0" w:space="0" w:color="auto"/>
              <w:bottom w:val="none" w:sz="0" w:space="0" w:color="auto"/>
            </w:tcBorders>
          </w:tcPr>
          <w:p w:rsidR="005D7390" w:rsidRPr="00CA749C" w:rsidRDefault="00A57ACC" w:rsidP="00497F74">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w:t>
            </w:r>
          </w:p>
        </w:tc>
      </w:tr>
    </w:tbl>
    <w:p w:rsidR="00396DE9" w:rsidRPr="00D42E0B" w:rsidRDefault="00396DE9" w:rsidP="00FF43D9">
      <w:pPr>
        <w:pStyle w:val="ExampleSub"/>
        <w:keepNext w:val="0"/>
        <w:keepLines w:val="0"/>
        <w:ind w:left="0"/>
        <w:rPr>
          <w:rFonts w:ascii="Arial" w:hAnsi="Arial" w:cs="Arial"/>
          <w:b w:val="0"/>
          <w:bCs w:val="0"/>
          <w:color w:val="548DD4" w:themeColor="text2" w:themeTint="99"/>
          <w:sz w:val="20"/>
          <w:szCs w:val="20"/>
        </w:rPr>
        <w:sectPr w:rsidR="00396DE9" w:rsidRPr="00D42E0B" w:rsidSect="001A3F09">
          <w:headerReference w:type="default" r:id="rId39"/>
          <w:headerReference w:type="first" r:id="rId40"/>
          <w:pgSz w:w="16838" w:h="11906" w:orient="landscape" w:code="9"/>
          <w:pgMar w:top="1440" w:right="1440" w:bottom="1440" w:left="1440" w:header="544" w:footer="544" w:gutter="0"/>
          <w:cols w:space="708"/>
          <w:titlePg/>
          <w:docGrid w:linePitch="360"/>
        </w:sectPr>
      </w:pPr>
    </w:p>
    <w:p w:rsidR="00E51139" w:rsidRPr="00E618CB" w:rsidRDefault="00E51139" w:rsidP="00815C6B">
      <w:pPr>
        <w:pStyle w:val="Subtitle"/>
        <w:ind w:left="567" w:hanging="567"/>
        <w:rPr>
          <w:b/>
          <w:color w:val="auto"/>
          <w:sz w:val="22"/>
          <w:szCs w:val="22"/>
        </w:rPr>
      </w:pPr>
      <w:r w:rsidRPr="00E618CB">
        <w:rPr>
          <w:b/>
          <w:color w:val="auto"/>
          <w:sz w:val="22"/>
          <w:szCs w:val="22"/>
        </w:rPr>
        <w:lastRenderedPageBreak/>
        <w:t>8.</w:t>
      </w:r>
      <w:r w:rsidR="00F154E5" w:rsidRPr="00E618CB">
        <w:rPr>
          <w:b/>
          <w:color w:val="auto"/>
          <w:sz w:val="22"/>
          <w:szCs w:val="22"/>
        </w:rPr>
        <w:tab/>
      </w:r>
      <w:r w:rsidRPr="00E618CB">
        <w:rPr>
          <w:b/>
          <w:color w:val="auto"/>
          <w:sz w:val="22"/>
          <w:szCs w:val="22"/>
        </w:rPr>
        <w:t>Transfers to/from Earmarked Reserves</w:t>
      </w:r>
    </w:p>
    <w:p w:rsidR="00335596" w:rsidRPr="00E618CB" w:rsidRDefault="00E51139" w:rsidP="00335596">
      <w:pPr>
        <w:pStyle w:val="ExampleSub"/>
        <w:keepNext w:val="0"/>
        <w:keepLines w:val="0"/>
        <w:rPr>
          <w:rFonts w:ascii="Arial" w:hAnsi="Arial" w:cs="Arial"/>
          <w:b w:val="0"/>
          <w:bCs w:val="0"/>
          <w:color w:val="auto"/>
          <w:sz w:val="20"/>
          <w:szCs w:val="20"/>
        </w:rPr>
      </w:pPr>
      <w:r w:rsidRPr="00E618CB">
        <w:rPr>
          <w:rFonts w:ascii="Arial" w:hAnsi="Arial" w:cs="Arial"/>
          <w:b w:val="0"/>
          <w:bCs w:val="0"/>
          <w:color w:val="auto"/>
          <w:sz w:val="20"/>
          <w:szCs w:val="20"/>
        </w:rPr>
        <w:t>This note sets out the amounts set aside from the General Fund in earmarked reserves to provide financing for future expenditure plans and the amounts posted back from earmarked reserves to meet General Fund expenditure in 201</w:t>
      </w:r>
      <w:r w:rsidR="00E618CB">
        <w:rPr>
          <w:rFonts w:ascii="Arial" w:hAnsi="Arial" w:cs="Arial"/>
          <w:b w:val="0"/>
          <w:bCs w:val="0"/>
          <w:color w:val="auto"/>
          <w:sz w:val="20"/>
          <w:szCs w:val="20"/>
        </w:rPr>
        <w:t>5</w:t>
      </w:r>
      <w:r w:rsidR="00F8495F" w:rsidRPr="00E618CB">
        <w:rPr>
          <w:rFonts w:ascii="Arial" w:hAnsi="Arial" w:cs="Arial"/>
          <w:b w:val="0"/>
          <w:bCs w:val="0"/>
          <w:color w:val="auto"/>
          <w:sz w:val="20"/>
          <w:szCs w:val="20"/>
        </w:rPr>
        <w:t>/1</w:t>
      </w:r>
      <w:r w:rsidR="00E618CB">
        <w:rPr>
          <w:rFonts w:ascii="Arial" w:hAnsi="Arial" w:cs="Arial"/>
          <w:b w:val="0"/>
          <w:bCs w:val="0"/>
          <w:color w:val="auto"/>
          <w:sz w:val="20"/>
          <w:szCs w:val="20"/>
        </w:rPr>
        <w:t>6</w:t>
      </w:r>
      <w:r w:rsidR="00F23FE1" w:rsidRPr="00E618CB">
        <w:rPr>
          <w:rFonts w:ascii="Arial" w:hAnsi="Arial" w:cs="Arial"/>
          <w:b w:val="0"/>
          <w:bCs w:val="0"/>
          <w:color w:val="auto"/>
          <w:sz w:val="20"/>
          <w:szCs w:val="20"/>
        </w:rPr>
        <w:t>.</w:t>
      </w:r>
    </w:p>
    <w:p w:rsidR="00335596" w:rsidRPr="00D42E0B" w:rsidRDefault="00335596" w:rsidP="00335596">
      <w:pPr>
        <w:pStyle w:val="ExampleSub"/>
        <w:keepNext w:val="0"/>
        <w:keepLines w:val="0"/>
        <w:rPr>
          <w:rFonts w:ascii="Arial" w:hAnsi="Arial" w:cs="Arial"/>
          <w:b w:val="0"/>
          <w:bCs w:val="0"/>
          <w:color w:val="548DD4" w:themeColor="text2" w:themeTint="99"/>
          <w:sz w:val="20"/>
          <w:szCs w:val="20"/>
        </w:rPr>
      </w:pPr>
    </w:p>
    <w:tbl>
      <w:tblPr>
        <w:tblStyle w:val="ListTable3-Accent51"/>
        <w:tblW w:w="9214" w:type="dxa"/>
        <w:tblInd w:w="675" w:type="dxa"/>
        <w:tblLayout w:type="fixed"/>
        <w:tblLook w:val="00A0"/>
      </w:tblPr>
      <w:tblGrid>
        <w:gridCol w:w="1560"/>
        <w:gridCol w:w="141"/>
        <w:gridCol w:w="993"/>
        <w:gridCol w:w="992"/>
        <w:gridCol w:w="1134"/>
        <w:gridCol w:w="1134"/>
        <w:gridCol w:w="1134"/>
        <w:gridCol w:w="992"/>
        <w:gridCol w:w="1134"/>
      </w:tblGrid>
      <w:tr w:rsidR="00E618CB" w:rsidRPr="00E618CB" w:rsidTr="00AE29C3">
        <w:trPr>
          <w:cnfStyle w:val="100000000000"/>
          <w:trHeight w:val="746"/>
        </w:trPr>
        <w:tc>
          <w:tcPr>
            <w:cnfStyle w:val="001000000100"/>
            <w:tcW w:w="1560" w:type="dxa"/>
            <w:tcBorders>
              <w:bottom w:val="single" w:sz="4" w:space="0" w:color="4BACC6" w:themeColor="accent5"/>
            </w:tcBorders>
            <w:noWrap/>
          </w:tcPr>
          <w:p w:rsidR="00E618CB" w:rsidRPr="00E618CB" w:rsidRDefault="00E618CB" w:rsidP="00BE22BF">
            <w:pPr>
              <w:widowControl w:val="0"/>
              <w:spacing w:after="0" w:line="240" w:lineRule="auto"/>
              <w:jc w:val="center"/>
              <w:rPr>
                <w:rFonts w:cs="Arial"/>
                <w:b w:val="0"/>
                <w:bCs w:val="0"/>
                <w:color w:val="auto"/>
                <w:sz w:val="20"/>
                <w:szCs w:val="20"/>
                <w:lang w:eastAsia="en-GB"/>
              </w:rPr>
            </w:pPr>
          </w:p>
        </w:tc>
        <w:tc>
          <w:tcPr>
            <w:cnfStyle w:val="000010000000"/>
            <w:tcW w:w="1134" w:type="dxa"/>
            <w:gridSpan w:val="2"/>
            <w:tcBorders>
              <w:bottom w:val="single" w:sz="4" w:space="0" w:color="4BACC6" w:themeColor="accent5"/>
            </w:tcBorders>
            <w:noWrap/>
          </w:tcPr>
          <w:p w:rsidR="00E618CB" w:rsidRPr="00E618CB" w:rsidRDefault="00E618CB" w:rsidP="00521368">
            <w:pPr>
              <w:widowControl w:val="0"/>
              <w:spacing w:after="0" w:line="240" w:lineRule="auto"/>
              <w:jc w:val="center"/>
              <w:rPr>
                <w:rFonts w:cs="Arial"/>
                <w:bCs w:val="0"/>
                <w:color w:val="auto"/>
                <w:sz w:val="18"/>
                <w:szCs w:val="18"/>
                <w:lang w:eastAsia="en-GB"/>
              </w:rPr>
            </w:pPr>
            <w:r w:rsidRPr="00E618CB">
              <w:rPr>
                <w:rFonts w:cs="Arial"/>
                <w:bCs w:val="0"/>
                <w:color w:val="auto"/>
                <w:sz w:val="18"/>
                <w:szCs w:val="18"/>
                <w:lang w:eastAsia="en-GB"/>
              </w:rPr>
              <w:t>Balance at 31 March 2014</w:t>
            </w:r>
          </w:p>
          <w:p w:rsidR="00E618CB" w:rsidRPr="00E618CB" w:rsidRDefault="00E618CB" w:rsidP="00521368">
            <w:pPr>
              <w:widowControl w:val="0"/>
              <w:spacing w:after="0" w:line="240" w:lineRule="auto"/>
              <w:jc w:val="center"/>
              <w:rPr>
                <w:rFonts w:cs="Arial"/>
                <w:bCs w:val="0"/>
                <w:color w:val="auto"/>
                <w:sz w:val="18"/>
                <w:szCs w:val="18"/>
                <w:lang w:eastAsia="en-GB"/>
              </w:rPr>
            </w:pPr>
            <w:r w:rsidRPr="00E618CB">
              <w:rPr>
                <w:rFonts w:cs="Arial"/>
                <w:bCs w:val="0"/>
                <w:color w:val="auto"/>
                <w:sz w:val="18"/>
                <w:szCs w:val="18"/>
                <w:lang w:eastAsia="en-GB"/>
              </w:rPr>
              <w:t>£m</w:t>
            </w:r>
          </w:p>
        </w:tc>
        <w:tc>
          <w:tcPr>
            <w:tcW w:w="992" w:type="dxa"/>
            <w:tcBorders>
              <w:bottom w:val="single" w:sz="4" w:space="0" w:color="4BACC6" w:themeColor="accent5"/>
            </w:tcBorders>
            <w:noWrap/>
          </w:tcPr>
          <w:p w:rsidR="00E618CB" w:rsidRPr="00E618CB" w:rsidRDefault="00E618CB" w:rsidP="00521368">
            <w:pPr>
              <w:widowControl w:val="0"/>
              <w:spacing w:after="0" w:line="240" w:lineRule="auto"/>
              <w:jc w:val="center"/>
              <w:cnfStyle w:val="100000000000"/>
              <w:rPr>
                <w:rFonts w:cs="Arial"/>
                <w:bCs w:val="0"/>
                <w:color w:val="auto"/>
                <w:sz w:val="18"/>
                <w:szCs w:val="18"/>
                <w:lang w:eastAsia="en-GB"/>
              </w:rPr>
            </w:pPr>
            <w:r w:rsidRPr="00E618CB">
              <w:rPr>
                <w:rFonts w:cs="Arial"/>
                <w:bCs w:val="0"/>
                <w:color w:val="auto"/>
                <w:sz w:val="18"/>
                <w:szCs w:val="18"/>
                <w:lang w:eastAsia="en-GB"/>
              </w:rPr>
              <w:t>Transfer Out 2014/15</w:t>
            </w:r>
          </w:p>
          <w:p w:rsidR="00E618CB" w:rsidRPr="00E618CB" w:rsidRDefault="00E618CB" w:rsidP="00521368">
            <w:pPr>
              <w:widowControl w:val="0"/>
              <w:spacing w:after="0" w:line="240" w:lineRule="auto"/>
              <w:jc w:val="center"/>
              <w:cnfStyle w:val="100000000000"/>
              <w:rPr>
                <w:rFonts w:cs="Arial"/>
                <w:bCs w:val="0"/>
                <w:color w:val="auto"/>
                <w:sz w:val="18"/>
                <w:szCs w:val="18"/>
                <w:lang w:eastAsia="en-GB"/>
              </w:rPr>
            </w:pPr>
            <w:r w:rsidRPr="00E618CB">
              <w:rPr>
                <w:rFonts w:cs="Arial"/>
                <w:bCs w:val="0"/>
                <w:color w:val="auto"/>
                <w:sz w:val="18"/>
                <w:szCs w:val="18"/>
                <w:lang w:eastAsia="en-GB"/>
              </w:rPr>
              <w:t>£m</w:t>
            </w:r>
          </w:p>
        </w:tc>
        <w:tc>
          <w:tcPr>
            <w:cnfStyle w:val="000010000000"/>
            <w:tcW w:w="1134" w:type="dxa"/>
            <w:tcBorders>
              <w:bottom w:val="single" w:sz="4" w:space="0" w:color="4BACC6" w:themeColor="accent5"/>
            </w:tcBorders>
            <w:noWrap/>
          </w:tcPr>
          <w:p w:rsidR="00E618CB" w:rsidRPr="00E618CB" w:rsidRDefault="00E618CB" w:rsidP="00521368">
            <w:pPr>
              <w:widowControl w:val="0"/>
              <w:spacing w:after="0" w:line="240" w:lineRule="auto"/>
              <w:jc w:val="center"/>
              <w:rPr>
                <w:rFonts w:cs="Arial"/>
                <w:bCs w:val="0"/>
                <w:color w:val="auto"/>
                <w:sz w:val="18"/>
                <w:szCs w:val="18"/>
                <w:lang w:eastAsia="en-GB"/>
              </w:rPr>
            </w:pPr>
            <w:r w:rsidRPr="00E618CB">
              <w:rPr>
                <w:rFonts w:cs="Arial"/>
                <w:bCs w:val="0"/>
                <w:color w:val="auto"/>
                <w:sz w:val="18"/>
                <w:szCs w:val="18"/>
                <w:lang w:eastAsia="en-GB"/>
              </w:rPr>
              <w:t>Transfer In 2014/15</w:t>
            </w:r>
          </w:p>
          <w:p w:rsidR="00E618CB" w:rsidRPr="00E618CB" w:rsidRDefault="00E618CB" w:rsidP="00521368">
            <w:pPr>
              <w:widowControl w:val="0"/>
              <w:spacing w:after="0" w:line="240" w:lineRule="auto"/>
              <w:jc w:val="center"/>
              <w:rPr>
                <w:rFonts w:cs="Arial"/>
                <w:bCs w:val="0"/>
                <w:color w:val="auto"/>
                <w:sz w:val="18"/>
                <w:szCs w:val="18"/>
                <w:lang w:eastAsia="en-GB"/>
              </w:rPr>
            </w:pPr>
            <w:r w:rsidRPr="00E618CB">
              <w:rPr>
                <w:rFonts w:cs="Arial"/>
                <w:bCs w:val="0"/>
                <w:color w:val="auto"/>
                <w:sz w:val="18"/>
                <w:szCs w:val="18"/>
                <w:lang w:eastAsia="en-GB"/>
              </w:rPr>
              <w:t>£m</w:t>
            </w:r>
          </w:p>
        </w:tc>
        <w:tc>
          <w:tcPr>
            <w:tcW w:w="1134" w:type="dxa"/>
            <w:tcBorders>
              <w:bottom w:val="single" w:sz="4" w:space="0" w:color="4BACC6" w:themeColor="accent5"/>
            </w:tcBorders>
          </w:tcPr>
          <w:p w:rsidR="00E618CB" w:rsidRPr="00E618CB" w:rsidRDefault="00E618CB" w:rsidP="00721500">
            <w:pPr>
              <w:widowControl w:val="0"/>
              <w:spacing w:after="0" w:line="240" w:lineRule="auto"/>
              <w:jc w:val="center"/>
              <w:cnfStyle w:val="100000000000"/>
              <w:rPr>
                <w:rFonts w:cs="Arial"/>
                <w:bCs w:val="0"/>
                <w:color w:val="auto"/>
                <w:sz w:val="18"/>
                <w:szCs w:val="18"/>
                <w:lang w:eastAsia="en-GB"/>
              </w:rPr>
            </w:pPr>
            <w:r w:rsidRPr="00E618CB">
              <w:rPr>
                <w:rFonts w:cs="Arial"/>
                <w:bCs w:val="0"/>
                <w:color w:val="auto"/>
                <w:sz w:val="18"/>
                <w:szCs w:val="18"/>
                <w:lang w:eastAsia="en-GB"/>
              </w:rPr>
              <w:t>Balance at 31 March 2015</w:t>
            </w:r>
          </w:p>
          <w:p w:rsidR="00E618CB" w:rsidRPr="00E618CB" w:rsidRDefault="00E618CB" w:rsidP="00721500">
            <w:pPr>
              <w:widowControl w:val="0"/>
              <w:spacing w:after="0" w:line="240" w:lineRule="auto"/>
              <w:jc w:val="center"/>
              <w:cnfStyle w:val="100000000000"/>
              <w:rPr>
                <w:rFonts w:cs="Arial"/>
                <w:bCs w:val="0"/>
                <w:color w:val="auto"/>
                <w:sz w:val="18"/>
                <w:szCs w:val="18"/>
                <w:lang w:eastAsia="en-GB"/>
              </w:rPr>
            </w:pPr>
            <w:r w:rsidRPr="00E618CB">
              <w:rPr>
                <w:rFonts w:cs="Arial"/>
                <w:bCs w:val="0"/>
                <w:color w:val="auto"/>
                <w:sz w:val="18"/>
                <w:szCs w:val="18"/>
                <w:lang w:eastAsia="en-GB"/>
              </w:rPr>
              <w:t>£m</w:t>
            </w:r>
          </w:p>
        </w:tc>
        <w:tc>
          <w:tcPr>
            <w:cnfStyle w:val="000010000000"/>
            <w:tcW w:w="1134" w:type="dxa"/>
            <w:tcBorders>
              <w:bottom w:val="single" w:sz="4" w:space="0" w:color="4BACC6" w:themeColor="accent5"/>
            </w:tcBorders>
          </w:tcPr>
          <w:p w:rsidR="00E618CB" w:rsidRPr="00E618CB" w:rsidRDefault="00E618CB" w:rsidP="00BE22BF">
            <w:pPr>
              <w:widowControl w:val="0"/>
              <w:spacing w:after="0" w:line="240" w:lineRule="auto"/>
              <w:jc w:val="center"/>
              <w:rPr>
                <w:rFonts w:cs="Arial"/>
                <w:bCs w:val="0"/>
                <w:color w:val="auto"/>
                <w:sz w:val="18"/>
                <w:szCs w:val="18"/>
                <w:lang w:eastAsia="en-GB"/>
              </w:rPr>
            </w:pPr>
            <w:r w:rsidRPr="00E618CB">
              <w:rPr>
                <w:rFonts w:cs="Arial"/>
                <w:bCs w:val="0"/>
                <w:color w:val="auto"/>
                <w:sz w:val="18"/>
                <w:szCs w:val="18"/>
                <w:lang w:eastAsia="en-GB"/>
              </w:rPr>
              <w:t>Transfer Out 2015/16</w:t>
            </w:r>
          </w:p>
          <w:p w:rsidR="00E618CB" w:rsidRPr="00E618CB" w:rsidRDefault="00E618CB" w:rsidP="00BE22BF">
            <w:pPr>
              <w:widowControl w:val="0"/>
              <w:spacing w:after="0" w:line="240" w:lineRule="auto"/>
              <w:jc w:val="center"/>
              <w:rPr>
                <w:rFonts w:cs="Arial"/>
                <w:bCs w:val="0"/>
                <w:color w:val="auto"/>
                <w:sz w:val="18"/>
                <w:szCs w:val="18"/>
                <w:lang w:eastAsia="en-GB"/>
              </w:rPr>
            </w:pPr>
            <w:r w:rsidRPr="00E618CB">
              <w:rPr>
                <w:rFonts w:cs="Arial"/>
                <w:bCs w:val="0"/>
                <w:color w:val="auto"/>
                <w:sz w:val="18"/>
                <w:szCs w:val="18"/>
                <w:lang w:eastAsia="en-GB"/>
              </w:rPr>
              <w:t>£m</w:t>
            </w:r>
          </w:p>
        </w:tc>
        <w:tc>
          <w:tcPr>
            <w:tcW w:w="992" w:type="dxa"/>
            <w:tcBorders>
              <w:bottom w:val="single" w:sz="4" w:space="0" w:color="4BACC6" w:themeColor="accent5"/>
            </w:tcBorders>
          </w:tcPr>
          <w:p w:rsidR="00E618CB" w:rsidRPr="00E618CB" w:rsidRDefault="00E618CB" w:rsidP="00BE22BF">
            <w:pPr>
              <w:widowControl w:val="0"/>
              <w:spacing w:after="0" w:line="240" w:lineRule="auto"/>
              <w:jc w:val="center"/>
              <w:cnfStyle w:val="100000000000"/>
              <w:rPr>
                <w:rFonts w:cs="Arial"/>
                <w:bCs w:val="0"/>
                <w:color w:val="auto"/>
                <w:sz w:val="18"/>
                <w:szCs w:val="18"/>
                <w:lang w:eastAsia="en-GB"/>
              </w:rPr>
            </w:pPr>
            <w:r w:rsidRPr="00E618CB">
              <w:rPr>
                <w:rFonts w:cs="Arial"/>
                <w:bCs w:val="0"/>
                <w:color w:val="auto"/>
                <w:sz w:val="18"/>
                <w:szCs w:val="18"/>
                <w:lang w:eastAsia="en-GB"/>
              </w:rPr>
              <w:t>Transfer In 2015/16</w:t>
            </w:r>
          </w:p>
          <w:p w:rsidR="00E618CB" w:rsidRPr="00E618CB" w:rsidRDefault="00E618CB" w:rsidP="00BE22BF">
            <w:pPr>
              <w:widowControl w:val="0"/>
              <w:spacing w:after="0" w:line="240" w:lineRule="auto"/>
              <w:jc w:val="center"/>
              <w:cnfStyle w:val="100000000000"/>
              <w:rPr>
                <w:rFonts w:cs="Arial"/>
                <w:bCs w:val="0"/>
                <w:color w:val="auto"/>
                <w:sz w:val="18"/>
                <w:szCs w:val="18"/>
                <w:lang w:eastAsia="en-GB"/>
              </w:rPr>
            </w:pPr>
            <w:r w:rsidRPr="00E618CB">
              <w:rPr>
                <w:rFonts w:cs="Arial"/>
                <w:bCs w:val="0"/>
                <w:color w:val="auto"/>
                <w:sz w:val="18"/>
                <w:szCs w:val="18"/>
                <w:lang w:eastAsia="en-GB"/>
              </w:rPr>
              <w:t>£m</w:t>
            </w:r>
          </w:p>
        </w:tc>
        <w:tc>
          <w:tcPr>
            <w:cnfStyle w:val="000010000000"/>
            <w:tcW w:w="1134" w:type="dxa"/>
            <w:tcBorders>
              <w:bottom w:val="single" w:sz="4" w:space="0" w:color="4BACC6" w:themeColor="accent5"/>
            </w:tcBorders>
          </w:tcPr>
          <w:p w:rsidR="00E618CB" w:rsidRPr="00E618CB" w:rsidRDefault="00E618CB" w:rsidP="00BE22BF">
            <w:pPr>
              <w:widowControl w:val="0"/>
              <w:spacing w:after="0" w:line="240" w:lineRule="auto"/>
              <w:jc w:val="center"/>
              <w:rPr>
                <w:rFonts w:cs="Arial"/>
                <w:bCs w:val="0"/>
                <w:color w:val="auto"/>
                <w:sz w:val="18"/>
                <w:szCs w:val="18"/>
                <w:lang w:eastAsia="en-GB"/>
              </w:rPr>
            </w:pPr>
            <w:r w:rsidRPr="00E618CB">
              <w:rPr>
                <w:rFonts w:cs="Arial"/>
                <w:bCs w:val="0"/>
                <w:color w:val="auto"/>
                <w:sz w:val="18"/>
                <w:szCs w:val="18"/>
                <w:lang w:eastAsia="en-GB"/>
              </w:rPr>
              <w:t>Balance at 31 March 2016</w:t>
            </w:r>
          </w:p>
          <w:p w:rsidR="00E618CB" w:rsidRPr="00E618CB" w:rsidRDefault="00E618CB" w:rsidP="00BE22BF">
            <w:pPr>
              <w:widowControl w:val="0"/>
              <w:spacing w:after="0" w:line="240" w:lineRule="auto"/>
              <w:jc w:val="center"/>
              <w:rPr>
                <w:rFonts w:cs="Arial"/>
                <w:bCs w:val="0"/>
                <w:color w:val="auto"/>
                <w:sz w:val="18"/>
                <w:szCs w:val="18"/>
                <w:lang w:eastAsia="en-GB"/>
              </w:rPr>
            </w:pPr>
            <w:r w:rsidRPr="00E618CB">
              <w:rPr>
                <w:rFonts w:cs="Arial"/>
                <w:bCs w:val="0"/>
                <w:color w:val="auto"/>
                <w:sz w:val="18"/>
                <w:szCs w:val="18"/>
                <w:lang w:eastAsia="en-GB"/>
              </w:rPr>
              <w:t>£m</w:t>
            </w:r>
          </w:p>
        </w:tc>
      </w:tr>
      <w:tr w:rsidR="00E618CB" w:rsidRPr="00E618CB" w:rsidTr="00AE29C3">
        <w:trPr>
          <w:cnfStyle w:val="000000100000"/>
          <w:trHeight w:val="255"/>
        </w:trPr>
        <w:tc>
          <w:tcPr>
            <w:cnfStyle w:val="001000000000"/>
            <w:tcW w:w="9214" w:type="dxa"/>
            <w:gridSpan w:val="9"/>
            <w:tcBorders>
              <w:right w:val="single" w:sz="4" w:space="0" w:color="4BACC6" w:themeColor="accent5"/>
            </w:tcBorders>
            <w:noWrap/>
            <w:vAlign w:val="center"/>
          </w:tcPr>
          <w:p w:rsidR="00E618CB" w:rsidRPr="00E618CB" w:rsidRDefault="00E618CB" w:rsidP="00AE29C3">
            <w:pPr>
              <w:widowControl w:val="0"/>
              <w:spacing w:after="0" w:line="240" w:lineRule="auto"/>
              <w:rPr>
                <w:rFonts w:cs="Arial"/>
                <w:b w:val="0"/>
                <w:color w:val="auto"/>
                <w:sz w:val="20"/>
                <w:szCs w:val="20"/>
                <w:lang w:eastAsia="en-GB"/>
              </w:rPr>
            </w:pPr>
            <w:r w:rsidRPr="00E618CB">
              <w:rPr>
                <w:rFonts w:cs="Arial"/>
                <w:b w:val="0"/>
                <w:color w:val="auto"/>
                <w:sz w:val="20"/>
                <w:szCs w:val="20"/>
                <w:lang w:eastAsia="en-GB"/>
              </w:rPr>
              <w:t>Reserves:-</w:t>
            </w:r>
          </w:p>
        </w:tc>
      </w:tr>
      <w:tr w:rsidR="00E618CB" w:rsidRPr="00E618CB" w:rsidTr="00335596">
        <w:trPr>
          <w:trHeight w:val="255"/>
        </w:trPr>
        <w:tc>
          <w:tcPr>
            <w:cnfStyle w:val="001000000000"/>
            <w:tcW w:w="1701" w:type="dxa"/>
            <w:gridSpan w:val="2"/>
            <w:noWrap/>
            <w:vAlign w:val="center"/>
          </w:tcPr>
          <w:p w:rsidR="00E618CB" w:rsidRPr="00E618CB" w:rsidRDefault="00E618CB" w:rsidP="00CC78F2">
            <w:pPr>
              <w:pStyle w:val="BodyTextIndent"/>
              <w:ind w:left="0"/>
              <w:rPr>
                <w:b w:val="0"/>
                <w:color w:val="auto"/>
                <w:sz w:val="20"/>
                <w:szCs w:val="20"/>
              </w:rPr>
            </w:pPr>
            <w:r w:rsidRPr="00E618CB">
              <w:rPr>
                <w:rFonts w:cs="Arial"/>
                <w:b w:val="0"/>
                <w:color w:val="auto"/>
                <w:sz w:val="20"/>
                <w:szCs w:val="20"/>
                <w:lang w:eastAsia="en-GB"/>
              </w:rPr>
              <w:t>earmarked for General Expenditure</w:t>
            </w:r>
          </w:p>
        </w:tc>
        <w:tc>
          <w:tcPr>
            <w:cnfStyle w:val="000010000000"/>
            <w:tcW w:w="993" w:type="dxa"/>
            <w:noWrap/>
            <w:vAlign w:val="center"/>
          </w:tcPr>
          <w:p w:rsidR="00E618CB" w:rsidRPr="00E618CB" w:rsidRDefault="00E618CB" w:rsidP="00521368">
            <w:pPr>
              <w:widowControl w:val="0"/>
              <w:spacing w:after="0" w:line="240" w:lineRule="auto"/>
              <w:jc w:val="center"/>
              <w:rPr>
                <w:rFonts w:cs="Arial"/>
                <w:b/>
                <w:color w:val="auto"/>
                <w:sz w:val="20"/>
                <w:szCs w:val="20"/>
                <w:lang w:eastAsia="en-GB"/>
              </w:rPr>
            </w:pPr>
            <w:r w:rsidRPr="00E618CB">
              <w:rPr>
                <w:rFonts w:cs="Arial"/>
                <w:b/>
                <w:color w:val="auto"/>
                <w:sz w:val="20"/>
                <w:szCs w:val="20"/>
                <w:lang w:eastAsia="en-GB"/>
              </w:rPr>
              <w:t>4.3</w:t>
            </w:r>
          </w:p>
        </w:tc>
        <w:tc>
          <w:tcPr>
            <w:tcW w:w="992" w:type="dxa"/>
            <w:noWrap/>
            <w:vAlign w:val="center"/>
          </w:tcPr>
          <w:p w:rsidR="00E618CB" w:rsidRPr="00E618CB" w:rsidRDefault="00E618CB" w:rsidP="00521368">
            <w:pPr>
              <w:widowControl w:val="0"/>
              <w:spacing w:after="0" w:line="240" w:lineRule="auto"/>
              <w:jc w:val="center"/>
              <w:cnfStyle w:val="000000000000"/>
              <w:rPr>
                <w:rFonts w:cs="Arial"/>
                <w:color w:val="auto"/>
                <w:sz w:val="20"/>
                <w:szCs w:val="20"/>
                <w:lang w:eastAsia="en-GB"/>
              </w:rPr>
            </w:pPr>
            <w:r w:rsidRPr="00E618CB">
              <w:rPr>
                <w:rFonts w:cs="Arial"/>
                <w:color w:val="auto"/>
                <w:sz w:val="20"/>
                <w:szCs w:val="20"/>
                <w:lang w:eastAsia="en-GB"/>
              </w:rPr>
              <w:t>(1.1)</w:t>
            </w:r>
          </w:p>
        </w:tc>
        <w:tc>
          <w:tcPr>
            <w:cnfStyle w:val="000010000000"/>
            <w:tcW w:w="1134" w:type="dxa"/>
            <w:noWrap/>
            <w:vAlign w:val="center"/>
          </w:tcPr>
          <w:p w:rsidR="00E618CB" w:rsidRPr="00E618CB" w:rsidRDefault="00E618CB" w:rsidP="00521368">
            <w:pPr>
              <w:widowControl w:val="0"/>
              <w:spacing w:after="0" w:line="240" w:lineRule="auto"/>
              <w:jc w:val="center"/>
              <w:rPr>
                <w:rFonts w:cs="Arial"/>
                <w:color w:val="auto"/>
                <w:sz w:val="20"/>
                <w:szCs w:val="20"/>
                <w:lang w:eastAsia="en-GB"/>
              </w:rPr>
            </w:pPr>
            <w:r w:rsidRPr="00E618CB">
              <w:rPr>
                <w:rFonts w:cs="Arial"/>
                <w:color w:val="auto"/>
                <w:sz w:val="20"/>
                <w:szCs w:val="20"/>
                <w:lang w:eastAsia="en-GB"/>
              </w:rPr>
              <w:t>0</w:t>
            </w:r>
          </w:p>
        </w:tc>
        <w:tc>
          <w:tcPr>
            <w:tcW w:w="1134" w:type="dxa"/>
            <w:vAlign w:val="center"/>
          </w:tcPr>
          <w:p w:rsidR="00E618CB" w:rsidRPr="00E618CB" w:rsidRDefault="00E618CB" w:rsidP="00521368">
            <w:pPr>
              <w:widowControl w:val="0"/>
              <w:spacing w:after="0" w:line="240" w:lineRule="auto"/>
              <w:jc w:val="center"/>
              <w:cnfStyle w:val="000000000000"/>
              <w:rPr>
                <w:rFonts w:cs="Arial"/>
                <w:b/>
                <w:color w:val="auto"/>
                <w:sz w:val="20"/>
                <w:szCs w:val="20"/>
                <w:lang w:eastAsia="en-GB"/>
              </w:rPr>
            </w:pPr>
            <w:r w:rsidRPr="00E618CB">
              <w:rPr>
                <w:rFonts w:cs="Arial"/>
                <w:b/>
                <w:color w:val="auto"/>
                <w:sz w:val="20"/>
                <w:szCs w:val="20"/>
                <w:lang w:eastAsia="en-GB"/>
              </w:rPr>
              <w:t>3.2</w:t>
            </w:r>
          </w:p>
        </w:tc>
        <w:tc>
          <w:tcPr>
            <w:cnfStyle w:val="000010000000"/>
            <w:tcW w:w="1134" w:type="dxa"/>
            <w:vAlign w:val="center"/>
          </w:tcPr>
          <w:p w:rsidR="00E618CB" w:rsidRPr="00E618CB" w:rsidRDefault="00E729A3" w:rsidP="00CC78F2">
            <w:pPr>
              <w:widowControl w:val="0"/>
              <w:spacing w:after="0" w:line="240" w:lineRule="auto"/>
              <w:jc w:val="center"/>
              <w:rPr>
                <w:rFonts w:cs="Arial"/>
                <w:color w:val="auto"/>
                <w:sz w:val="20"/>
                <w:szCs w:val="20"/>
                <w:lang w:eastAsia="en-GB"/>
              </w:rPr>
            </w:pPr>
            <w:r>
              <w:rPr>
                <w:rFonts w:cs="Arial"/>
                <w:color w:val="auto"/>
                <w:sz w:val="20"/>
                <w:szCs w:val="20"/>
                <w:lang w:eastAsia="en-GB"/>
              </w:rPr>
              <w:t>(0.7)</w:t>
            </w:r>
          </w:p>
        </w:tc>
        <w:tc>
          <w:tcPr>
            <w:tcW w:w="992" w:type="dxa"/>
            <w:vAlign w:val="center"/>
          </w:tcPr>
          <w:p w:rsidR="00E618CB" w:rsidRPr="00E618CB" w:rsidRDefault="00E729A3" w:rsidP="00CC78F2">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1.5</w:t>
            </w:r>
          </w:p>
        </w:tc>
        <w:tc>
          <w:tcPr>
            <w:cnfStyle w:val="000010000000"/>
            <w:tcW w:w="1134" w:type="dxa"/>
            <w:vAlign w:val="center"/>
          </w:tcPr>
          <w:p w:rsidR="00E618CB" w:rsidRPr="00E618CB" w:rsidRDefault="00F80DFF" w:rsidP="00CC78F2">
            <w:pPr>
              <w:widowControl w:val="0"/>
              <w:spacing w:after="0" w:line="240" w:lineRule="auto"/>
              <w:jc w:val="center"/>
              <w:rPr>
                <w:rFonts w:cs="Arial"/>
                <w:b/>
                <w:color w:val="auto"/>
                <w:sz w:val="20"/>
                <w:szCs w:val="20"/>
                <w:lang w:eastAsia="en-GB"/>
              </w:rPr>
            </w:pPr>
            <w:r>
              <w:rPr>
                <w:rFonts w:cs="Arial"/>
                <w:b/>
                <w:color w:val="auto"/>
                <w:sz w:val="20"/>
                <w:szCs w:val="20"/>
                <w:lang w:eastAsia="en-GB"/>
              </w:rPr>
              <w:t>4.0</w:t>
            </w:r>
          </w:p>
        </w:tc>
      </w:tr>
      <w:tr w:rsidR="00E618CB" w:rsidRPr="00E618CB" w:rsidTr="00335596">
        <w:trPr>
          <w:cnfStyle w:val="000000100000"/>
          <w:trHeight w:val="255"/>
        </w:trPr>
        <w:tc>
          <w:tcPr>
            <w:cnfStyle w:val="001000000000"/>
            <w:tcW w:w="1701" w:type="dxa"/>
            <w:gridSpan w:val="2"/>
            <w:noWrap/>
            <w:vAlign w:val="center"/>
          </w:tcPr>
          <w:p w:rsidR="00E618CB" w:rsidRPr="00E618CB" w:rsidRDefault="00E618CB" w:rsidP="00CC78F2">
            <w:pPr>
              <w:pStyle w:val="BodyTextIndent"/>
              <w:ind w:left="0"/>
              <w:rPr>
                <w:b w:val="0"/>
                <w:color w:val="auto"/>
                <w:sz w:val="20"/>
                <w:szCs w:val="20"/>
              </w:rPr>
            </w:pPr>
            <w:r w:rsidRPr="00E618CB">
              <w:rPr>
                <w:b w:val="0"/>
                <w:color w:val="auto"/>
                <w:sz w:val="20"/>
                <w:szCs w:val="20"/>
              </w:rPr>
              <w:t>earmarked for specific issues</w:t>
            </w:r>
          </w:p>
        </w:tc>
        <w:tc>
          <w:tcPr>
            <w:cnfStyle w:val="000010000000"/>
            <w:tcW w:w="993" w:type="dxa"/>
            <w:noWrap/>
            <w:vAlign w:val="center"/>
          </w:tcPr>
          <w:p w:rsidR="00E618CB" w:rsidRPr="00E618CB" w:rsidRDefault="00E618CB" w:rsidP="00521368">
            <w:pPr>
              <w:widowControl w:val="0"/>
              <w:spacing w:after="0" w:line="240" w:lineRule="auto"/>
              <w:jc w:val="center"/>
              <w:rPr>
                <w:rFonts w:cs="Arial"/>
                <w:b/>
                <w:color w:val="auto"/>
                <w:sz w:val="20"/>
                <w:szCs w:val="20"/>
                <w:lang w:eastAsia="en-GB"/>
              </w:rPr>
            </w:pPr>
            <w:r w:rsidRPr="00E618CB">
              <w:rPr>
                <w:rFonts w:cs="Arial"/>
                <w:b/>
                <w:color w:val="auto"/>
                <w:sz w:val="20"/>
                <w:szCs w:val="20"/>
                <w:lang w:eastAsia="en-GB"/>
              </w:rPr>
              <w:t>9.8</w:t>
            </w:r>
          </w:p>
        </w:tc>
        <w:tc>
          <w:tcPr>
            <w:tcW w:w="992" w:type="dxa"/>
            <w:noWrap/>
            <w:vAlign w:val="center"/>
          </w:tcPr>
          <w:p w:rsidR="00E618CB" w:rsidRPr="00E618CB" w:rsidRDefault="00E618CB" w:rsidP="00521368">
            <w:pPr>
              <w:widowControl w:val="0"/>
              <w:spacing w:after="0" w:line="240" w:lineRule="auto"/>
              <w:jc w:val="center"/>
              <w:cnfStyle w:val="000000100000"/>
              <w:rPr>
                <w:rFonts w:cs="Arial"/>
                <w:color w:val="auto"/>
                <w:sz w:val="20"/>
                <w:szCs w:val="20"/>
                <w:lang w:eastAsia="en-GB"/>
              </w:rPr>
            </w:pPr>
            <w:r w:rsidRPr="00E618CB">
              <w:rPr>
                <w:rFonts w:cs="Arial"/>
                <w:color w:val="auto"/>
                <w:sz w:val="20"/>
                <w:szCs w:val="20"/>
                <w:lang w:eastAsia="en-GB"/>
              </w:rPr>
              <w:t>(3.4)</w:t>
            </w:r>
          </w:p>
        </w:tc>
        <w:tc>
          <w:tcPr>
            <w:cnfStyle w:val="000010000000"/>
            <w:tcW w:w="1134" w:type="dxa"/>
            <w:noWrap/>
            <w:vAlign w:val="center"/>
          </w:tcPr>
          <w:p w:rsidR="00E618CB" w:rsidRPr="00E618CB" w:rsidRDefault="00E618CB" w:rsidP="00521368">
            <w:pPr>
              <w:widowControl w:val="0"/>
              <w:spacing w:after="0" w:line="240" w:lineRule="auto"/>
              <w:jc w:val="center"/>
              <w:rPr>
                <w:rFonts w:cs="Arial"/>
                <w:color w:val="auto"/>
                <w:sz w:val="20"/>
                <w:szCs w:val="20"/>
                <w:lang w:eastAsia="en-GB"/>
              </w:rPr>
            </w:pPr>
            <w:r w:rsidRPr="00E618CB">
              <w:rPr>
                <w:rFonts w:cs="Arial"/>
                <w:color w:val="auto"/>
                <w:sz w:val="20"/>
                <w:szCs w:val="20"/>
                <w:lang w:eastAsia="en-GB"/>
              </w:rPr>
              <w:t>3.9</w:t>
            </w:r>
          </w:p>
        </w:tc>
        <w:tc>
          <w:tcPr>
            <w:tcW w:w="1134" w:type="dxa"/>
            <w:vAlign w:val="center"/>
          </w:tcPr>
          <w:p w:rsidR="00E618CB" w:rsidRPr="00E618CB" w:rsidRDefault="00E618CB" w:rsidP="00521368">
            <w:pPr>
              <w:widowControl w:val="0"/>
              <w:spacing w:after="0" w:line="240" w:lineRule="auto"/>
              <w:jc w:val="center"/>
              <w:cnfStyle w:val="000000100000"/>
              <w:rPr>
                <w:rFonts w:cs="Arial"/>
                <w:b/>
                <w:color w:val="auto"/>
                <w:sz w:val="20"/>
                <w:szCs w:val="20"/>
                <w:lang w:eastAsia="en-GB"/>
              </w:rPr>
            </w:pPr>
            <w:r w:rsidRPr="00E618CB">
              <w:rPr>
                <w:rFonts w:cs="Arial"/>
                <w:b/>
                <w:color w:val="auto"/>
                <w:sz w:val="20"/>
                <w:szCs w:val="20"/>
                <w:lang w:eastAsia="en-GB"/>
              </w:rPr>
              <w:t>10.3</w:t>
            </w:r>
          </w:p>
        </w:tc>
        <w:tc>
          <w:tcPr>
            <w:cnfStyle w:val="000010000000"/>
            <w:tcW w:w="1134" w:type="dxa"/>
            <w:vAlign w:val="center"/>
          </w:tcPr>
          <w:p w:rsidR="00E618CB" w:rsidRPr="00E618CB" w:rsidRDefault="00E729A3" w:rsidP="00CC78F2">
            <w:pPr>
              <w:widowControl w:val="0"/>
              <w:spacing w:after="0" w:line="240" w:lineRule="auto"/>
              <w:jc w:val="center"/>
              <w:rPr>
                <w:rFonts w:cs="Arial"/>
                <w:color w:val="auto"/>
                <w:sz w:val="20"/>
                <w:szCs w:val="20"/>
                <w:lang w:eastAsia="en-GB"/>
              </w:rPr>
            </w:pPr>
            <w:r>
              <w:rPr>
                <w:rFonts w:cs="Arial"/>
                <w:color w:val="auto"/>
                <w:sz w:val="20"/>
                <w:szCs w:val="20"/>
                <w:lang w:eastAsia="en-GB"/>
              </w:rPr>
              <w:t>(5.3)</w:t>
            </w:r>
          </w:p>
        </w:tc>
        <w:tc>
          <w:tcPr>
            <w:tcW w:w="992" w:type="dxa"/>
            <w:vAlign w:val="center"/>
          </w:tcPr>
          <w:p w:rsidR="00E618CB" w:rsidRPr="00E618CB" w:rsidRDefault="00E729A3" w:rsidP="00CC78F2">
            <w:pPr>
              <w:widowControl w:val="0"/>
              <w:spacing w:after="0" w:line="240" w:lineRule="auto"/>
              <w:jc w:val="center"/>
              <w:cnfStyle w:val="000000100000"/>
              <w:rPr>
                <w:rFonts w:cs="Arial"/>
                <w:color w:val="auto"/>
                <w:sz w:val="20"/>
                <w:szCs w:val="20"/>
                <w:lang w:eastAsia="en-GB"/>
              </w:rPr>
            </w:pPr>
            <w:r>
              <w:rPr>
                <w:rFonts w:cs="Arial"/>
                <w:color w:val="auto"/>
                <w:sz w:val="20"/>
                <w:szCs w:val="20"/>
                <w:lang w:eastAsia="en-GB"/>
              </w:rPr>
              <w:t>1.7</w:t>
            </w:r>
          </w:p>
        </w:tc>
        <w:tc>
          <w:tcPr>
            <w:cnfStyle w:val="000010000000"/>
            <w:tcW w:w="1134" w:type="dxa"/>
            <w:vAlign w:val="center"/>
          </w:tcPr>
          <w:p w:rsidR="00E618CB" w:rsidRPr="00E618CB" w:rsidRDefault="00172E69" w:rsidP="00CC78F2">
            <w:pPr>
              <w:widowControl w:val="0"/>
              <w:spacing w:after="0" w:line="240" w:lineRule="auto"/>
              <w:jc w:val="center"/>
              <w:rPr>
                <w:rFonts w:cs="Arial"/>
                <w:b/>
                <w:color w:val="auto"/>
                <w:sz w:val="20"/>
                <w:szCs w:val="20"/>
                <w:lang w:eastAsia="en-GB"/>
              </w:rPr>
            </w:pPr>
            <w:r>
              <w:rPr>
                <w:rFonts w:cs="Arial"/>
                <w:b/>
                <w:color w:val="auto"/>
                <w:sz w:val="20"/>
                <w:szCs w:val="20"/>
                <w:lang w:eastAsia="en-GB"/>
              </w:rPr>
              <w:t>6.7</w:t>
            </w:r>
          </w:p>
        </w:tc>
      </w:tr>
      <w:tr w:rsidR="00E618CB" w:rsidRPr="00E618CB" w:rsidTr="00335596">
        <w:trPr>
          <w:trHeight w:val="255"/>
        </w:trPr>
        <w:tc>
          <w:tcPr>
            <w:cnfStyle w:val="001000000000"/>
            <w:tcW w:w="1701" w:type="dxa"/>
            <w:gridSpan w:val="2"/>
            <w:noWrap/>
            <w:vAlign w:val="center"/>
          </w:tcPr>
          <w:p w:rsidR="00E618CB" w:rsidRPr="00E618CB" w:rsidRDefault="00E618CB" w:rsidP="00CC78F2">
            <w:pPr>
              <w:pStyle w:val="BodyTextIndent"/>
              <w:ind w:left="0"/>
              <w:rPr>
                <w:b w:val="0"/>
                <w:color w:val="auto"/>
                <w:sz w:val="20"/>
                <w:szCs w:val="20"/>
              </w:rPr>
            </w:pPr>
            <w:r w:rsidRPr="00E618CB">
              <w:rPr>
                <w:b w:val="0"/>
                <w:color w:val="auto"/>
                <w:sz w:val="20"/>
                <w:szCs w:val="20"/>
              </w:rPr>
              <w:t>to reflect timing of expenditure</w:t>
            </w:r>
          </w:p>
        </w:tc>
        <w:tc>
          <w:tcPr>
            <w:cnfStyle w:val="000010000000"/>
            <w:tcW w:w="993" w:type="dxa"/>
            <w:noWrap/>
            <w:vAlign w:val="center"/>
          </w:tcPr>
          <w:p w:rsidR="00E618CB" w:rsidRPr="00E618CB" w:rsidRDefault="00E618CB" w:rsidP="00521368">
            <w:pPr>
              <w:widowControl w:val="0"/>
              <w:spacing w:after="0" w:line="240" w:lineRule="auto"/>
              <w:jc w:val="center"/>
              <w:rPr>
                <w:rFonts w:cs="Arial"/>
                <w:b/>
                <w:color w:val="auto"/>
                <w:sz w:val="20"/>
                <w:szCs w:val="20"/>
                <w:lang w:eastAsia="en-GB"/>
              </w:rPr>
            </w:pPr>
            <w:r w:rsidRPr="00E618CB">
              <w:rPr>
                <w:rFonts w:cs="Arial"/>
                <w:b/>
                <w:color w:val="auto"/>
                <w:sz w:val="20"/>
                <w:szCs w:val="20"/>
                <w:lang w:eastAsia="en-GB"/>
              </w:rPr>
              <w:t>7.2</w:t>
            </w:r>
          </w:p>
        </w:tc>
        <w:tc>
          <w:tcPr>
            <w:tcW w:w="992" w:type="dxa"/>
            <w:noWrap/>
            <w:vAlign w:val="center"/>
          </w:tcPr>
          <w:p w:rsidR="00E618CB" w:rsidRPr="00E618CB" w:rsidRDefault="00E618CB" w:rsidP="00521368">
            <w:pPr>
              <w:widowControl w:val="0"/>
              <w:spacing w:after="0" w:line="240" w:lineRule="auto"/>
              <w:jc w:val="center"/>
              <w:cnfStyle w:val="000000000000"/>
              <w:rPr>
                <w:rFonts w:cs="Arial"/>
                <w:color w:val="auto"/>
                <w:sz w:val="20"/>
                <w:szCs w:val="20"/>
                <w:lang w:eastAsia="en-GB"/>
              </w:rPr>
            </w:pPr>
            <w:r w:rsidRPr="00E618CB">
              <w:rPr>
                <w:rFonts w:cs="Arial"/>
                <w:color w:val="auto"/>
                <w:sz w:val="20"/>
                <w:szCs w:val="20"/>
                <w:lang w:eastAsia="en-GB"/>
              </w:rPr>
              <w:t>(3.6)</w:t>
            </w:r>
          </w:p>
        </w:tc>
        <w:tc>
          <w:tcPr>
            <w:cnfStyle w:val="000010000000"/>
            <w:tcW w:w="1134" w:type="dxa"/>
            <w:noWrap/>
            <w:vAlign w:val="center"/>
          </w:tcPr>
          <w:p w:rsidR="00E618CB" w:rsidRPr="00E618CB" w:rsidRDefault="00E618CB" w:rsidP="00521368">
            <w:pPr>
              <w:widowControl w:val="0"/>
              <w:spacing w:after="0" w:line="240" w:lineRule="auto"/>
              <w:jc w:val="center"/>
              <w:rPr>
                <w:rFonts w:cs="Arial"/>
                <w:color w:val="auto"/>
                <w:sz w:val="20"/>
                <w:szCs w:val="20"/>
                <w:lang w:eastAsia="en-GB"/>
              </w:rPr>
            </w:pPr>
            <w:r w:rsidRPr="00E618CB">
              <w:rPr>
                <w:rFonts w:cs="Arial"/>
                <w:color w:val="auto"/>
                <w:sz w:val="20"/>
                <w:szCs w:val="20"/>
                <w:lang w:eastAsia="en-GB"/>
              </w:rPr>
              <w:t>1.7</w:t>
            </w:r>
          </w:p>
        </w:tc>
        <w:tc>
          <w:tcPr>
            <w:tcW w:w="1134" w:type="dxa"/>
            <w:vAlign w:val="center"/>
          </w:tcPr>
          <w:p w:rsidR="00E618CB" w:rsidRPr="00E618CB" w:rsidRDefault="00E618CB" w:rsidP="00521368">
            <w:pPr>
              <w:widowControl w:val="0"/>
              <w:spacing w:after="0" w:line="240" w:lineRule="auto"/>
              <w:jc w:val="center"/>
              <w:cnfStyle w:val="000000000000"/>
              <w:rPr>
                <w:rFonts w:cs="Arial"/>
                <w:b/>
                <w:color w:val="auto"/>
                <w:sz w:val="20"/>
                <w:szCs w:val="20"/>
                <w:lang w:eastAsia="en-GB"/>
              </w:rPr>
            </w:pPr>
            <w:r w:rsidRPr="00E618CB">
              <w:rPr>
                <w:rFonts w:cs="Arial"/>
                <w:b/>
                <w:color w:val="auto"/>
                <w:sz w:val="20"/>
                <w:szCs w:val="20"/>
                <w:lang w:eastAsia="en-GB"/>
              </w:rPr>
              <w:t>5.3</w:t>
            </w:r>
          </w:p>
        </w:tc>
        <w:tc>
          <w:tcPr>
            <w:cnfStyle w:val="000010000000"/>
            <w:tcW w:w="1134" w:type="dxa"/>
            <w:vAlign w:val="center"/>
          </w:tcPr>
          <w:p w:rsidR="00E618CB" w:rsidRPr="00E618CB" w:rsidRDefault="00E729A3" w:rsidP="00CC78F2">
            <w:pPr>
              <w:widowControl w:val="0"/>
              <w:spacing w:after="0" w:line="240" w:lineRule="auto"/>
              <w:jc w:val="center"/>
              <w:rPr>
                <w:rFonts w:cs="Arial"/>
                <w:color w:val="auto"/>
                <w:sz w:val="20"/>
                <w:szCs w:val="20"/>
                <w:lang w:eastAsia="en-GB"/>
              </w:rPr>
            </w:pPr>
            <w:r>
              <w:rPr>
                <w:rFonts w:cs="Arial"/>
                <w:color w:val="auto"/>
                <w:sz w:val="20"/>
                <w:szCs w:val="20"/>
                <w:lang w:eastAsia="en-GB"/>
              </w:rPr>
              <w:t>(3.0)</w:t>
            </w:r>
          </w:p>
        </w:tc>
        <w:tc>
          <w:tcPr>
            <w:tcW w:w="992" w:type="dxa"/>
            <w:vAlign w:val="center"/>
          </w:tcPr>
          <w:p w:rsidR="00E618CB" w:rsidRPr="00E618CB" w:rsidRDefault="00E729A3" w:rsidP="00CC78F2">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2.9</w:t>
            </w:r>
          </w:p>
        </w:tc>
        <w:tc>
          <w:tcPr>
            <w:cnfStyle w:val="000010000000"/>
            <w:tcW w:w="1134" w:type="dxa"/>
            <w:vAlign w:val="center"/>
          </w:tcPr>
          <w:p w:rsidR="00E618CB" w:rsidRPr="00E618CB" w:rsidRDefault="00172E69" w:rsidP="00E729A3">
            <w:pPr>
              <w:widowControl w:val="0"/>
              <w:spacing w:after="0" w:line="240" w:lineRule="auto"/>
              <w:jc w:val="center"/>
              <w:rPr>
                <w:rFonts w:cs="Arial"/>
                <w:b/>
                <w:color w:val="auto"/>
                <w:sz w:val="20"/>
                <w:szCs w:val="20"/>
                <w:lang w:eastAsia="en-GB"/>
              </w:rPr>
            </w:pPr>
            <w:r>
              <w:rPr>
                <w:rFonts w:cs="Arial"/>
                <w:b/>
                <w:color w:val="auto"/>
                <w:sz w:val="20"/>
                <w:szCs w:val="20"/>
                <w:lang w:eastAsia="en-GB"/>
              </w:rPr>
              <w:t>5.</w:t>
            </w:r>
            <w:r w:rsidR="00E729A3">
              <w:rPr>
                <w:rFonts w:cs="Arial"/>
                <w:b/>
                <w:color w:val="auto"/>
                <w:sz w:val="20"/>
                <w:szCs w:val="20"/>
                <w:lang w:eastAsia="en-GB"/>
              </w:rPr>
              <w:t>2</w:t>
            </w:r>
          </w:p>
        </w:tc>
      </w:tr>
      <w:tr w:rsidR="00E618CB" w:rsidRPr="00E618CB" w:rsidTr="00335596">
        <w:trPr>
          <w:cnfStyle w:val="000000100000"/>
          <w:trHeight w:val="255"/>
        </w:trPr>
        <w:tc>
          <w:tcPr>
            <w:cnfStyle w:val="001000000000"/>
            <w:tcW w:w="1701" w:type="dxa"/>
            <w:gridSpan w:val="2"/>
            <w:noWrap/>
            <w:vAlign w:val="center"/>
          </w:tcPr>
          <w:p w:rsidR="00E618CB" w:rsidRPr="00E618CB" w:rsidRDefault="00E618CB" w:rsidP="00CC78F2">
            <w:pPr>
              <w:pStyle w:val="BodyTextIndent"/>
              <w:ind w:left="0"/>
              <w:rPr>
                <w:b w:val="0"/>
                <w:color w:val="auto"/>
                <w:sz w:val="20"/>
                <w:szCs w:val="20"/>
              </w:rPr>
            </w:pPr>
            <w:r w:rsidRPr="00E618CB">
              <w:rPr>
                <w:b w:val="0"/>
                <w:color w:val="auto"/>
                <w:sz w:val="20"/>
                <w:szCs w:val="20"/>
              </w:rPr>
              <w:t>to support Capital expenditure</w:t>
            </w:r>
          </w:p>
        </w:tc>
        <w:tc>
          <w:tcPr>
            <w:cnfStyle w:val="000010000000"/>
            <w:tcW w:w="993" w:type="dxa"/>
            <w:noWrap/>
            <w:vAlign w:val="center"/>
          </w:tcPr>
          <w:p w:rsidR="00E618CB" w:rsidRPr="00E618CB" w:rsidRDefault="00E618CB" w:rsidP="00521368">
            <w:pPr>
              <w:widowControl w:val="0"/>
              <w:spacing w:after="0" w:line="240" w:lineRule="auto"/>
              <w:jc w:val="center"/>
              <w:rPr>
                <w:rFonts w:cs="Arial"/>
                <w:b/>
                <w:color w:val="auto"/>
                <w:sz w:val="20"/>
                <w:szCs w:val="20"/>
                <w:lang w:eastAsia="en-GB"/>
              </w:rPr>
            </w:pPr>
            <w:r w:rsidRPr="00E618CB">
              <w:rPr>
                <w:rFonts w:cs="Arial"/>
                <w:b/>
                <w:color w:val="auto"/>
                <w:sz w:val="20"/>
                <w:szCs w:val="20"/>
                <w:lang w:eastAsia="en-GB"/>
              </w:rPr>
              <w:t>2.5</w:t>
            </w:r>
          </w:p>
        </w:tc>
        <w:tc>
          <w:tcPr>
            <w:tcW w:w="992" w:type="dxa"/>
            <w:noWrap/>
            <w:vAlign w:val="center"/>
          </w:tcPr>
          <w:p w:rsidR="00E618CB" w:rsidRPr="00E618CB" w:rsidRDefault="00E618CB" w:rsidP="00521368">
            <w:pPr>
              <w:widowControl w:val="0"/>
              <w:spacing w:after="0" w:line="240" w:lineRule="auto"/>
              <w:jc w:val="center"/>
              <w:cnfStyle w:val="000000100000"/>
              <w:rPr>
                <w:rFonts w:cs="Arial"/>
                <w:color w:val="auto"/>
                <w:sz w:val="20"/>
                <w:szCs w:val="20"/>
                <w:lang w:eastAsia="en-GB"/>
              </w:rPr>
            </w:pPr>
            <w:r w:rsidRPr="00E618CB">
              <w:rPr>
                <w:rFonts w:cs="Arial"/>
                <w:color w:val="auto"/>
                <w:sz w:val="20"/>
                <w:szCs w:val="20"/>
                <w:lang w:eastAsia="en-GB"/>
              </w:rPr>
              <w:t>(1.5)</w:t>
            </w:r>
          </w:p>
        </w:tc>
        <w:tc>
          <w:tcPr>
            <w:cnfStyle w:val="000010000000"/>
            <w:tcW w:w="1134" w:type="dxa"/>
            <w:noWrap/>
            <w:vAlign w:val="center"/>
          </w:tcPr>
          <w:p w:rsidR="00E618CB" w:rsidRPr="00E618CB" w:rsidRDefault="00E618CB" w:rsidP="00521368">
            <w:pPr>
              <w:widowControl w:val="0"/>
              <w:spacing w:after="0" w:line="240" w:lineRule="auto"/>
              <w:jc w:val="center"/>
              <w:rPr>
                <w:rFonts w:cs="Arial"/>
                <w:color w:val="auto"/>
                <w:sz w:val="20"/>
                <w:szCs w:val="20"/>
                <w:lang w:eastAsia="en-GB"/>
              </w:rPr>
            </w:pPr>
            <w:r w:rsidRPr="00E618CB">
              <w:rPr>
                <w:rFonts w:cs="Arial"/>
                <w:color w:val="auto"/>
                <w:sz w:val="20"/>
                <w:szCs w:val="20"/>
                <w:lang w:eastAsia="en-GB"/>
              </w:rPr>
              <w:t>1.7</w:t>
            </w:r>
          </w:p>
        </w:tc>
        <w:tc>
          <w:tcPr>
            <w:tcW w:w="1134" w:type="dxa"/>
            <w:vAlign w:val="center"/>
          </w:tcPr>
          <w:p w:rsidR="00E618CB" w:rsidRPr="00E618CB" w:rsidRDefault="00E618CB" w:rsidP="00521368">
            <w:pPr>
              <w:widowControl w:val="0"/>
              <w:spacing w:after="0" w:line="240" w:lineRule="auto"/>
              <w:jc w:val="center"/>
              <w:cnfStyle w:val="000000100000"/>
              <w:rPr>
                <w:rFonts w:cs="Arial"/>
                <w:b/>
                <w:color w:val="auto"/>
                <w:sz w:val="20"/>
                <w:szCs w:val="20"/>
                <w:lang w:eastAsia="en-GB"/>
              </w:rPr>
            </w:pPr>
            <w:r w:rsidRPr="00E618CB">
              <w:rPr>
                <w:rFonts w:cs="Arial"/>
                <w:b/>
                <w:color w:val="auto"/>
                <w:sz w:val="20"/>
                <w:szCs w:val="20"/>
                <w:lang w:eastAsia="en-GB"/>
              </w:rPr>
              <w:t>2.7</w:t>
            </w:r>
          </w:p>
        </w:tc>
        <w:tc>
          <w:tcPr>
            <w:cnfStyle w:val="000010000000"/>
            <w:tcW w:w="1134" w:type="dxa"/>
            <w:vAlign w:val="center"/>
          </w:tcPr>
          <w:p w:rsidR="00E618CB" w:rsidRPr="00E618CB" w:rsidRDefault="00E729A3" w:rsidP="00CC78F2">
            <w:pPr>
              <w:widowControl w:val="0"/>
              <w:spacing w:after="0" w:line="240" w:lineRule="auto"/>
              <w:jc w:val="center"/>
              <w:rPr>
                <w:rFonts w:cs="Arial"/>
                <w:color w:val="auto"/>
                <w:sz w:val="20"/>
                <w:szCs w:val="20"/>
                <w:lang w:eastAsia="en-GB"/>
              </w:rPr>
            </w:pPr>
            <w:r>
              <w:rPr>
                <w:rFonts w:cs="Arial"/>
                <w:color w:val="auto"/>
                <w:sz w:val="20"/>
                <w:szCs w:val="20"/>
                <w:lang w:eastAsia="en-GB"/>
              </w:rPr>
              <w:t>(1.2)</w:t>
            </w:r>
          </w:p>
        </w:tc>
        <w:tc>
          <w:tcPr>
            <w:tcW w:w="992" w:type="dxa"/>
            <w:vAlign w:val="center"/>
          </w:tcPr>
          <w:p w:rsidR="00E618CB" w:rsidRPr="00E618CB" w:rsidRDefault="00E729A3" w:rsidP="00CC78F2">
            <w:pPr>
              <w:widowControl w:val="0"/>
              <w:spacing w:after="0" w:line="240" w:lineRule="auto"/>
              <w:jc w:val="center"/>
              <w:cnfStyle w:val="000000100000"/>
              <w:rPr>
                <w:rFonts w:cs="Arial"/>
                <w:color w:val="auto"/>
                <w:sz w:val="20"/>
                <w:szCs w:val="20"/>
                <w:lang w:eastAsia="en-GB"/>
              </w:rPr>
            </w:pPr>
            <w:r>
              <w:rPr>
                <w:rFonts w:cs="Arial"/>
                <w:color w:val="auto"/>
                <w:sz w:val="20"/>
                <w:szCs w:val="20"/>
                <w:lang w:eastAsia="en-GB"/>
              </w:rPr>
              <w:t>0.2</w:t>
            </w:r>
          </w:p>
        </w:tc>
        <w:tc>
          <w:tcPr>
            <w:cnfStyle w:val="000010000000"/>
            <w:tcW w:w="1134" w:type="dxa"/>
            <w:vAlign w:val="center"/>
          </w:tcPr>
          <w:p w:rsidR="00E618CB" w:rsidRPr="00E618CB" w:rsidRDefault="00172E69" w:rsidP="00CC78F2">
            <w:pPr>
              <w:widowControl w:val="0"/>
              <w:spacing w:after="0" w:line="240" w:lineRule="auto"/>
              <w:jc w:val="center"/>
              <w:rPr>
                <w:rFonts w:cs="Arial"/>
                <w:b/>
                <w:color w:val="auto"/>
                <w:sz w:val="20"/>
                <w:szCs w:val="20"/>
                <w:lang w:eastAsia="en-GB"/>
              </w:rPr>
            </w:pPr>
            <w:r>
              <w:rPr>
                <w:rFonts w:cs="Arial"/>
                <w:b/>
                <w:color w:val="auto"/>
                <w:sz w:val="20"/>
                <w:szCs w:val="20"/>
                <w:lang w:eastAsia="en-GB"/>
              </w:rPr>
              <w:t>1.7</w:t>
            </w:r>
          </w:p>
        </w:tc>
      </w:tr>
      <w:tr w:rsidR="00E618CB" w:rsidRPr="00E618CB" w:rsidTr="00335596">
        <w:trPr>
          <w:trHeight w:val="255"/>
        </w:trPr>
        <w:tc>
          <w:tcPr>
            <w:cnfStyle w:val="001000000000"/>
            <w:tcW w:w="1701" w:type="dxa"/>
            <w:gridSpan w:val="2"/>
            <w:noWrap/>
            <w:vAlign w:val="center"/>
          </w:tcPr>
          <w:p w:rsidR="00E618CB" w:rsidRPr="00E618CB" w:rsidRDefault="00E618CB" w:rsidP="00CC78F2">
            <w:pPr>
              <w:pStyle w:val="BodyTextIndent"/>
              <w:ind w:left="0"/>
              <w:rPr>
                <w:b w:val="0"/>
                <w:color w:val="auto"/>
                <w:sz w:val="20"/>
                <w:szCs w:val="20"/>
              </w:rPr>
            </w:pPr>
            <w:r w:rsidRPr="00E618CB">
              <w:rPr>
                <w:b w:val="0"/>
                <w:color w:val="auto"/>
                <w:sz w:val="20"/>
                <w:szCs w:val="20"/>
              </w:rPr>
              <w:t>School Related Reserves</w:t>
            </w:r>
          </w:p>
        </w:tc>
        <w:tc>
          <w:tcPr>
            <w:cnfStyle w:val="000010000000"/>
            <w:tcW w:w="993" w:type="dxa"/>
            <w:noWrap/>
            <w:vAlign w:val="center"/>
          </w:tcPr>
          <w:p w:rsidR="00E618CB" w:rsidRPr="00E618CB" w:rsidRDefault="00E618CB" w:rsidP="00521368">
            <w:pPr>
              <w:widowControl w:val="0"/>
              <w:spacing w:after="0" w:line="240" w:lineRule="auto"/>
              <w:jc w:val="center"/>
              <w:rPr>
                <w:rFonts w:cs="Arial"/>
                <w:b/>
                <w:color w:val="auto"/>
                <w:sz w:val="20"/>
                <w:szCs w:val="20"/>
                <w:lang w:eastAsia="en-GB"/>
              </w:rPr>
            </w:pPr>
            <w:r w:rsidRPr="00E618CB">
              <w:rPr>
                <w:rFonts w:cs="Arial"/>
                <w:b/>
                <w:color w:val="auto"/>
                <w:sz w:val="20"/>
                <w:szCs w:val="20"/>
                <w:lang w:eastAsia="en-GB"/>
              </w:rPr>
              <w:t>0.5</w:t>
            </w:r>
          </w:p>
        </w:tc>
        <w:tc>
          <w:tcPr>
            <w:tcW w:w="992" w:type="dxa"/>
            <w:noWrap/>
            <w:vAlign w:val="center"/>
          </w:tcPr>
          <w:p w:rsidR="00E618CB" w:rsidRPr="00E618CB" w:rsidRDefault="00E618CB" w:rsidP="00521368">
            <w:pPr>
              <w:widowControl w:val="0"/>
              <w:spacing w:after="0" w:line="240" w:lineRule="auto"/>
              <w:jc w:val="center"/>
              <w:cnfStyle w:val="000000000000"/>
              <w:rPr>
                <w:rFonts w:cs="Arial"/>
                <w:color w:val="auto"/>
                <w:sz w:val="20"/>
                <w:szCs w:val="20"/>
                <w:lang w:eastAsia="en-GB"/>
              </w:rPr>
            </w:pPr>
            <w:r w:rsidRPr="00E618CB">
              <w:rPr>
                <w:rFonts w:cs="Arial"/>
                <w:color w:val="auto"/>
                <w:sz w:val="20"/>
                <w:szCs w:val="20"/>
                <w:lang w:eastAsia="en-GB"/>
              </w:rPr>
              <w:t>0</w:t>
            </w:r>
          </w:p>
        </w:tc>
        <w:tc>
          <w:tcPr>
            <w:cnfStyle w:val="000010000000"/>
            <w:tcW w:w="1134" w:type="dxa"/>
            <w:noWrap/>
            <w:vAlign w:val="center"/>
          </w:tcPr>
          <w:p w:rsidR="00E618CB" w:rsidRPr="00E618CB" w:rsidRDefault="00E618CB" w:rsidP="00521368">
            <w:pPr>
              <w:widowControl w:val="0"/>
              <w:spacing w:after="0" w:line="240" w:lineRule="auto"/>
              <w:jc w:val="center"/>
              <w:rPr>
                <w:rFonts w:cs="Arial"/>
                <w:color w:val="auto"/>
                <w:sz w:val="20"/>
                <w:szCs w:val="20"/>
                <w:lang w:eastAsia="en-GB"/>
              </w:rPr>
            </w:pPr>
            <w:r w:rsidRPr="00E618CB">
              <w:rPr>
                <w:rFonts w:cs="Arial"/>
                <w:color w:val="auto"/>
                <w:sz w:val="20"/>
                <w:szCs w:val="20"/>
                <w:lang w:eastAsia="en-GB"/>
              </w:rPr>
              <w:t>0</w:t>
            </w:r>
          </w:p>
        </w:tc>
        <w:tc>
          <w:tcPr>
            <w:tcW w:w="1134" w:type="dxa"/>
            <w:vAlign w:val="center"/>
          </w:tcPr>
          <w:p w:rsidR="00E618CB" w:rsidRPr="00E618CB" w:rsidRDefault="00E618CB" w:rsidP="00521368">
            <w:pPr>
              <w:widowControl w:val="0"/>
              <w:spacing w:after="0" w:line="240" w:lineRule="auto"/>
              <w:jc w:val="center"/>
              <w:cnfStyle w:val="000000000000"/>
              <w:rPr>
                <w:rFonts w:cs="Arial"/>
                <w:b/>
                <w:color w:val="auto"/>
                <w:sz w:val="20"/>
                <w:szCs w:val="20"/>
                <w:lang w:eastAsia="en-GB"/>
              </w:rPr>
            </w:pPr>
            <w:r w:rsidRPr="00E618CB">
              <w:rPr>
                <w:rFonts w:cs="Arial"/>
                <w:b/>
                <w:color w:val="auto"/>
                <w:sz w:val="20"/>
                <w:szCs w:val="20"/>
                <w:lang w:eastAsia="en-GB"/>
              </w:rPr>
              <w:t>0.5</w:t>
            </w:r>
          </w:p>
        </w:tc>
        <w:tc>
          <w:tcPr>
            <w:cnfStyle w:val="000010000000"/>
            <w:tcW w:w="1134" w:type="dxa"/>
            <w:vAlign w:val="center"/>
          </w:tcPr>
          <w:p w:rsidR="00E618CB" w:rsidRPr="00E618CB" w:rsidRDefault="00E729A3" w:rsidP="00CC78F2">
            <w:pPr>
              <w:widowControl w:val="0"/>
              <w:spacing w:after="0" w:line="240" w:lineRule="auto"/>
              <w:jc w:val="center"/>
              <w:rPr>
                <w:rFonts w:cs="Arial"/>
                <w:color w:val="auto"/>
                <w:sz w:val="20"/>
                <w:szCs w:val="20"/>
                <w:lang w:eastAsia="en-GB"/>
              </w:rPr>
            </w:pPr>
            <w:r>
              <w:rPr>
                <w:rFonts w:cs="Arial"/>
                <w:color w:val="auto"/>
                <w:sz w:val="20"/>
                <w:szCs w:val="20"/>
                <w:lang w:eastAsia="en-GB"/>
              </w:rPr>
              <w:t>0</w:t>
            </w:r>
          </w:p>
        </w:tc>
        <w:tc>
          <w:tcPr>
            <w:tcW w:w="992" w:type="dxa"/>
            <w:vAlign w:val="center"/>
          </w:tcPr>
          <w:p w:rsidR="00E618CB" w:rsidRPr="00E618CB" w:rsidRDefault="00E729A3" w:rsidP="00CC78F2">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0</w:t>
            </w:r>
          </w:p>
        </w:tc>
        <w:tc>
          <w:tcPr>
            <w:cnfStyle w:val="000010000000"/>
            <w:tcW w:w="1134" w:type="dxa"/>
            <w:vAlign w:val="center"/>
          </w:tcPr>
          <w:p w:rsidR="00E618CB" w:rsidRPr="00E618CB" w:rsidRDefault="00172E69" w:rsidP="00CC78F2">
            <w:pPr>
              <w:widowControl w:val="0"/>
              <w:spacing w:after="0" w:line="240" w:lineRule="auto"/>
              <w:jc w:val="center"/>
              <w:rPr>
                <w:rFonts w:cs="Arial"/>
                <w:b/>
                <w:color w:val="auto"/>
                <w:sz w:val="20"/>
                <w:szCs w:val="20"/>
                <w:lang w:eastAsia="en-GB"/>
              </w:rPr>
            </w:pPr>
            <w:r>
              <w:rPr>
                <w:rFonts w:cs="Arial"/>
                <w:b/>
                <w:color w:val="auto"/>
                <w:sz w:val="20"/>
                <w:szCs w:val="20"/>
                <w:lang w:eastAsia="en-GB"/>
              </w:rPr>
              <w:t>0.5</w:t>
            </w:r>
          </w:p>
        </w:tc>
      </w:tr>
      <w:tr w:rsidR="00E618CB" w:rsidRPr="00E618CB" w:rsidTr="00335596">
        <w:trPr>
          <w:cnfStyle w:val="000000100000"/>
          <w:trHeight w:val="255"/>
        </w:trPr>
        <w:tc>
          <w:tcPr>
            <w:cnfStyle w:val="001000000000"/>
            <w:tcW w:w="1701" w:type="dxa"/>
            <w:gridSpan w:val="2"/>
            <w:noWrap/>
            <w:vAlign w:val="center"/>
          </w:tcPr>
          <w:p w:rsidR="00E618CB" w:rsidRPr="00E618CB" w:rsidRDefault="00E618CB" w:rsidP="00CC78F2">
            <w:pPr>
              <w:widowControl w:val="0"/>
              <w:spacing w:after="0" w:line="240" w:lineRule="auto"/>
              <w:rPr>
                <w:rFonts w:cs="Arial"/>
                <w:b w:val="0"/>
                <w:color w:val="auto"/>
                <w:sz w:val="20"/>
                <w:szCs w:val="20"/>
                <w:lang w:eastAsia="en-GB"/>
              </w:rPr>
            </w:pPr>
            <w:r w:rsidRPr="00E618CB">
              <w:rPr>
                <w:rFonts w:cs="Arial"/>
                <w:b w:val="0"/>
                <w:color w:val="auto"/>
                <w:sz w:val="20"/>
                <w:szCs w:val="20"/>
                <w:lang w:eastAsia="en-GB"/>
              </w:rPr>
              <w:t>Schools’ Balances (held under a delegation scheme)</w:t>
            </w:r>
          </w:p>
        </w:tc>
        <w:tc>
          <w:tcPr>
            <w:cnfStyle w:val="000010000000"/>
            <w:tcW w:w="993" w:type="dxa"/>
            <w:noWrap/>
            <w:vAlign w:val="center"/>
          </w:tcPr>
          <w:p w:rsidR="00E618CB" w:rsidRPr="00E618CB" w:rsidRDefault="00E618CB" w:rsidP="00521368">
            <w:pPr>
              <w:widowControl w:val="0"/>
              <w:spacing w:after="0" w:line="240" w:lineRule="auto"/>
              <w:jc w:val="center"/>
              <w:rPr>
                <w:rFonts w:cs="Arial"/>
                <w:b/>
                <w:color w:val="auto"/>
                <w:sz w:val="20"/>
                <w:szCs w:val="20"/>
                <w:lang w:eastAsia="en-GB"/>
              </w:rPr>
            </w:pPr>
            <w:r w:rsidRPr="00E618CB">
              <w:rPr>
                <w:rFonts w:cs="Arial"/>
                <w:b/>
                <w:color w:val="auto"/>
                <w:sz w:val="20"/>
                <w:szCs w:val="20"/>
                <w:lang w:eastAsia="en-GB"/>
              </w:rPr>
              <w:t>2.8</w:t>
            </w:r>
          </w:p>
        </w:tc>
        <w:tc>
          <w:tcPr>
            <w:tcW w:w="992" w:type="dxa"/>
            <w:noWrap/>
            <w:vAlign w:val="center"/>
          </w:tcPr>
          <w:p w:rsidR="00E618CB" w:rsidRPr="00E618CB" w:rsidRDefault="00E618CB" w:rsidP="00521368">
            <w:pPr>
              <w:widowControl w:val="0"/>
              <w:spacing w:after="0" w:line="240" w:lineRule="auto"/>
              <w:jc w:val="center"/>
              <w:cnfStyle w:val="000000100000"/>
              <w:rPr>
                <w:rFonts w:cs="Arial"/>
                <w:color w:val="auto"/>
                <w:sz w:val="20"/>
                <w:szCs w:val="20"/>
                <w:lang w:eastAsia="en-GB"/>
              </w:rPr>
            </w:pPr>
            <w:r w:rsidRPr="00E618CB">
              <w:rPr>
                <w:rFonts w:cs="Arial"/>
                <w:color w:val="auto"/>
                <w:sz w:val="20"/>
                <w:szCs w:val="20"/>
                <w:lang w:eastAsia="en-GB"/>
              </w:rPr>
              <w:t>(2.8)</w:t>
            </w:r>
          </w:p>
        </w:tc>
        <w:tc>
          <w:tcPr>
            <w:cnfStyle w:val="000010000000"/>
            <w:tcW w:w="1134" w:type="dxa"/>
            <w:noWrap/>
            <w:vAlign w:val="center"/>
          </w:tcPr>
          <w:p w:rsidR="00E618CB" w:rsidRPr="00E618CB" w:rsidRDefault="00E618CB" w:rsidP="00521368">
            <w:pPr>
              <w:widowControl w:val="0"/>
              <w:spacing w:after="0" w:line="240" w:lineRule="auto"/>
              <w:jc w:val="center"/>
              <w:rPr>
                <w:rFonts w:cs="Arial"/>
                <w:color w:val="auto"/>
                <w:sz w:val="20"/>
                <w:szCs w:val="20"/>
                <w:lang w:eastAsia="en-GB"/>
              </w:rPr>
            </w:pPr>
            <w:r w:rsidRPr="00E618CB">
              <w:rPr>
                <w:rFonts w:cs="Arial"/>
                <w:color w:val="auto"/>
                <w:sz w:val="20"/>
                <w:szCs w:val="20"/>
                <w:lang w:eastAsia="en-GB"/>
              </w:rPr>
              <w:t>2.9</w:t>
            </w:r>
          </w:p>
        </w:tc>
        <w:tc>
          <w:tcPr>
            <w:tcW w:w="1134" w:type="dxa"/>
            <w:vAlign w:val="center"/>
          </w:tcPr>
          <w:p w:rsidR="00E618CB" w:rsidRPr="00E618CB" w:rsidRDefault="00E618CB" w:rsidP="00521368">
            <w:pPr>
              <w:widowControl w:val="0"/>
              <w:spacing w:after="0" w:line="240" w:lineRule="auto"/>
              <w:jc w:val="center"/>
              <w:cnfStyle w:val="000000100000"/>
              <w:rPr>
                <w:rFonts w:cs="Arial"/>
                <w:b/>
                <w:color w:val="auto"/>
                <w:sz w:val="20"/>
                <w:szCs w:val="20"/>
                <w:lang w:eastAsia="en-GB"/>
              </w:rPr>
            </w:pPr>
            <w:r w:rsidRPr="00E618CB">
              <w:rPr>
                <w:rFonts w:cs="Arial"/>
                <w:b/>
                <w:color w:val="auto"/>
                <w:sz w:val="20"/>
                <w:szCs w:val="20"/>
                <w:lang w:eastAsia="en-GB"/>
              </w:rPr>
              <w:t>2.9</w:t>
            </w:r>
          </w:p>
        </w:tc>
        <w:tc>
          <w:tcPr>
            <w:cnfStyle w:val="000010000000"/>
            <w:tcW w:w="1134" w:type="dxa"/>
            <w:vAlign w:val="center"/>
          </w:tcPr>
          <w:p w:rsidR="00E618CB" w:rsidRPr="00E618CB" w:rsidRDefault="00236FC9" w:rsidP="00CC78F2">
            <w:pPr>
              <w:widowControl w:val="0"/>
              <w:spacing w:after="0" w:line="240" w:lineRule="auto"/>
              <w:jc w:val="center"/>
              <w:rPr>
                <w:rFonts w:cs="Arial"/>
                <w:color w:val="auto"/>
                <w:sz w:val="20"/>
                <w:szCs w:val="20"/>
                <w:lang w:eastAsia="en-GB"/>
              </w:rPr>
            </w:pPr>
            <w:r>
              <w:rPr>
                <w:rFonts w:cs="Arial"/>
                <w:color w:val="auto"/>
                <w:sz w:val="20"/>
                <w:szCs w:val="20"/>
                <w:lang w:eastAsia="en-GB"/>
              </w:rPr>
              <w:t>(2.9)</w:t>
            </w:r>
          </w:p>
        </w:tc>
        <w:tc>
          <w:tcPr>
            <w:tcW w:w="992" w:type="dxa"/>
            <w:vAlign w:val="center"/>
          </w:tcPr>
          <w:p w:rsidR="00E618CB" w:rsidRPr="00E618CB" w:rsidRDefault="00236FC9" w:rsidP="00CC78F2">
            <w:pPr>
              <w:widowControl w:val="0"/>
              <w:spacing w:after="0" w:line="240" w:lineRule="auto"/>
              <w:jc w:val="center"/>
              <w:cnfStyle w:val="000000100000"/>
              <w:rPr>
                <w:rFonts w:cs="Arial"/>
                <w:color w:val="auto"/>
                <w:sz w:val="20"/>
                <w:szCs w:val="20"/>
                <w:lang w:eastAsia="en-GB"/>
              </w:rPr>
            </w:pPr>
            <w:r>
              <w:rPr>
                <w:rFonts w:cs="Arial"/>
                <w:color w:val="auto"/>
                <w:sz w:val="20"/>
                <w:szCs w:val="20"/>
                <w:lang w:eastAsia="en-GB"/>
              </w:rPr>
              <w:t>2.4</w:t>
            </w:r>
          </w:p>
        </w:tc>
        <w:tc>
          <w:tcPr>
            <w:cnfStyle w:val="000010000000"/>
            <w:tcW w:w="1134" w:type="dxa"/>
            <w:vAlign w:val="center"/>
          </w:tcPr>
          <w:p w:rsidR="00E618CB" w:rsidRPr="00E618CB" w:rsidRDefault="00172E69" w:rsidP="00CC78F2">
            <w:pPr>
              <w:widowControl w:val="0"/>
              <w:spacing w:after="0" w:line="240" w:lineRule="auto"/>
              <w:jc w:val="center"/>
              <w:rPr>
                <w:rFonts w:cs="Arial"/>
                <w:b/>
                <w:color w:val="auto"/>
                <w:sz w:val="20"/>
                <w:szCs w:val="20"/>
                <w:lang w:eastAsia="en-GB"/>
              </w:rPr>
            </w:pPr>
            <w:r>
              <w:rPr>
                <w:rFonts w:cs="Arial"/>
                <w:b/>
                <w:color w:val="auto"/>
                <w:sz w:val="20"/>
                <w:szCs w:val="20"/>
                <w:lang w:eastAsia="en-GB"/>
              </w:rPr>
              <w:t>2.4</w:t>
            </w:r>
          </w:p>
        </w:tc>
      </w:tr>
      <w:tr w:rsidR="00E618CB" w:rsidRPr="00E618CB" w:rsidTr="00335596">
        <w:trPr>
          <w:trHeight w:val="630"/>
        </w:trPr>
        <w:tc>
          <w:tcPr>
            <w:cnfStyle w:val="001000000000"/>
            <w:tcW w:w="1701" w:type="dxa"/>
            <w:gridSpan w:val="2"/>
            <w:noWrap/>
            <w:vAlign w:val="center"/>
          </w:tcPr>
          <w:p w:rsidR="00E618CB" w:rsidRPr="00E618CB" w:rsidRDefault="00E618CB" w:rsidP="00AE29C3">
            <w:pPr>
              <w:pStyle w:val="BodyTextIndent"/>
              <w:ind w:left="0"/>
              <w:rPr>
                <w:b w:val="0"/>
                <w:color w:val="auto"/>
                <w:sz w:val="20"/>
                <w:szCs w:val="20"/>
              </w:rPr>
            </w:pPr>
            <w:r w:rsidRPr="00E618CB">
              <w:rPr>
                <w:b w:val="0"/>
                <w:color w:val="auto"/>
                <w:sz w:val="20"/>
                <w:szCs w:val="20"/>
              </w:rPr>
              <w:t xml:space="preserve">Ring Fenced </w:t>
            </w:r>
          </w:p>
        </w:tc>
        <w:tc>
          <w:tcPr>
            <w:cnfStyle w:val="000010000000"/>
            <w:tcW w:w="993" w:type="dxa"/>
            <w:noWrap/>
            <w:vAlign w:val="center"/>
          </w:tcPr>
          <w:p w:rsidR="00E618CB" w:rsidRPr="00E618CB" w:rsidRDefault="00E618CB" w:rsidP="00521368">
            <w:pPr>
              <w:widowControl w:val="0"/>
              <w:spacing w:after="0" w:line="240" w:lineRule="auto"/>
              <w:jc w:val="center"/>
              <w:rPr>
                <w:rFonts w:cs="Arial"/>
                <w:b/>
                <w:color w:val="auto"/>
                <w:sz w:val="20"/>
                <w:szCs w:val="20"/>
                <w:lang w:eastAsia="en-GB"/>
              </w:rPr>
            </w:pPr>
            <w:r w:rsidRPr="00E618CB">
              <w:rPr>
                <w:rFonts w:cs="Arial"/>
                <w:b/>
                <w:color w:val="auto"/>
                <w:sz w:val="20"/>
                <w:szCs w:val="20"/>
                <w:lang w:eastAsia="en-GB"/>
              </w:rPr>
              <w:t>6.9</w:t>
            </w:r>
          </w:p>
        </w:tc>
        <w:tc>
          <w:tcPr>
            <w:tcW w:w="992" w:type="dxa"/>
            <w:noWrap/>
            <w:vAlign w:val="center"/>
          </w:tcPr>
          <w:p w:rsidR="00E618CB" w:rsidRPr="00E618CB" w:rsidRDefault="00E618CB" w:rsidP="00521368">
            <w:pPr>
              <w:widowControl w:val="0"/>
              <w:spacing w:after="0" w:line="240" w:lineRule="auto"/>
              <w:jc w:val="center"/>
              <w:cnfStyle w:val="000000000000"/>
              <w:rPr>
                <w:rFonts w:cs="Arial"/>
                <w:color w:val="auto"/>
                <w:sz w:val="20"/>
                <w:szCs w:val="20"/>
                <w:lang w:eastAsia="en-GB"/>
              </w:rPr>
            </w:pPr>
            <w:r w:rsidRPr="00E618CB">
              <w:rPr>
                <w:rFonts w:cs="Arial"/>
                <w:color w:val="auto"/>
                <w:sz w:val="20"/>
                <w:szCs w:val="20"/>
                <w:lang w:eastAsia="en-GB"/>
              </w:rPr>
              <w:t>(2.4)</w:t>
            </w:r>
          </w:p>
        </w:tc>
        <w:tc>
          <w:tcPr>
            <w:cnfStyle w:val="000010000000"/>
            <w:tcW w:w="1134" w:type="dxa"/>
            <w:noWrap/>
            <w:vAlign w:val="center"/>
          </w:tcPr>
          <w:p w:rsidR="00E618CB" w:rsidRPr="00E618CB" w:rsidRDefault="00E618CB" w:rsidP="00521368">
            <w:pPr>
              <w:widowControl w:val="0"/>
              <w:spacing w:after="0" w:line="240" w:lineRule="auto"/>
              <w:jc w:val="center"/>
              <w:rPr>
                <w:rFonts w:cs="Arial"/>
                <w:color w:val="auto"/>
                <w:sz w:val="20"/>
                <w:szCs w:val="20"/>
                <w:lang w:eastAsia="en-GB"/>
              </w:rPr>
            </w:pPr>
            <w:r w:rsidRPr="00E618CB">
              <w:rPr>
                <w:rFonts w:cs="Arial"/>
                <w:color w:val="auto"/>
                <w:sz w:val="20"/>
                <w:szCs w:val="20"/>
                <w:lang w:eastAsia="en-GB"/>
              </w:rPr>
              <w:t>1.5</w:t>
            </w:r>
          </w:p>
        </w:tc>
        <w:tc>
          <w:tcPr>
            <w:tcW w:w="1134" w:type="dxa"/>
            <w:vAlign w:val="center"/>
          </w:tcPr>
          <w:p w:rsidR="00E618CB" w:rsidRPr="00E618CB" w:rsidRDefault="00E618CB" w:rsidP="00521368">
            <w:pPr>
              <w:widowControl w:val="0"/>
              <w:spacing w:after="0" w:line="240" w:lineRule="auto"/>
              <w:jc w:val="center"/>
              <w:cnfStyle w:val="000000000000"/>
              <w:rPr>
                <w:rFonts w:cs="Arial"/>
                <w:b/>
                <w:color w:val="auto"/>
                <w:sz w:val="20"/>
                <w:szCs w:val="20"/>
                <w:lang w:eastAsia="en-GB"/>
              </w:rPr>
            </w:pPr>
            <w:r w:rsidRPr="00E618CB">
              <w:rPr>
                <w:rFonts w:cs="Arial"/>
                <w:b/>
                <w:color w:val="auto"/>
                <w:sz w:val="20"/>
                <w:szCs w:val="20"/>
                <w:lang w:eastAsia="en-GB"/>
              </w:rPr>
              <w:t>6.0</w:t>
            </w:r>
          </w:p>
        </w:tc>
        <w:tc>
          <w:tcPr>
            <w:cnfStyle w:val="000010000000"/>
            <w:tcW w:w="1134" w:type="dxa"/>
            <w:vAlign w:val="center"/>
          </w:tcPr>
          <w:p w:rsidR="00E618CB" w:rsidRPr="00E618CB" w:rsidRDefault="00E729A3" w:rsidP="00CC78F2">
            <w:pPr>
              <w:widowControl w:val="0"/>
              <w:spacing w:after="0" w:line="240" w:lineRule="auto"/>
              <w:jc w:val="center"/>
              <w:rPr>
                <w:rFonts w:cs="Arial"/>
                <w:color w:val="auto"/>
                <w:sz w:val="20"/>
                <w:szCs w:val="20"/>
                <w:lang w:eastAsia="en-GB"/>
              </w:rPr>
            </w:pPr>
            <w:r>
              <w:rPr>
                <w:rFonts w:cs="Arial"/>
                <w:color w:val="auto"/>
                <w:sz w:val="20"/>
                <w:szCs w:val="20"/>
                <w:lang w:eastAsia="en-GB"/>
              </w:rPr>
              <w:t>(2.1)</w:t>
            </w:r>
          </w:p>
        </w:tc>
        <w:tc>
          <w:tcPr>
            <w:tcW w:w="992" w:type="dxa"/>
            <w:vAlign w:val="center"/>
          </w:tcPr>
          <w:p w:rsidR="00E618CB" w:rsidRPr="00E618CB" w:rsidRDefault="00E729A3" w:rsidP="00322BF5">
            <w:pPr>
              <w:widowControl w:val="0"/>
              <w:spacing w:after="0" w:line="240" w:lineRule="auto"/>
              <w:jc w:val="center"/>
              <w:cnfStyle w:val="000000000000"/>
              <w:rPr>
                <w:rFonts w:cs="Arial"/>
                <w:color w:val="auto"/>
                <w:sz w:val="20"/>
                <w:szCs w:val="20"/>
                <w:lang w:eastAsia="en-GB"/>
              </w:rPr>
            </w:pPr>
            <w:r>
              <w:rPr>
                <w:rFonts w:cs="Arial"/>
                <w:color w:val="auto"/>
                <w:sz w:val="20"/>
                <w:szCs w:val="20"/>
                <w:lang w:eastAsia="en-GB"/>
              </w:rPr>
              <w:t>0.9</w:t>
            </w:r>
          </w:p>
        </w:tc>
        <w:tc>
          <w:tcPr>
            <w:cnfStyle w:val="000010000000"/>
            <w:tcW w:w="1134" w:type="dxa"/>
            <w:vAlign w:val="center"/>
          </w:tcPr>
          <w:p w:rsidR="00E618CB" w:rsidRPr="00E618CB" w:rsidRDefault="00172E69" w:rsidP="00CC78F2">
            <w:pPr>
              <w:widowControl w:val="0"/>
              <w:spacing w:after="0" w:line="240" w:lineRule="auto"/>
              <w:jc w:val="center"/>
              <w:rPr>
                <w:rFonts w:cs="Arial"/>
                <w:b/>
                <w:color w:val="auto"/>
                <w:sz w:val="20"/>
                <w:szCs w:val="20"/>
                <w:lang w:eastAsia="en-GB"/>
              </w:rPr>
            </w:pPr>
            <w:r>
              <w:rPr>
                <w:rFonts w:cs="Arial"/>
                <w:b/>
                <w:color w:val="auto"/>
                <w:sz w:val="20"/>
                <w:szCs w:val="20"/>
                <w:lang w:eastAsia="en-GB"/>
              </w:rPr>
              <w:t>4.8</w:t>
            </w:r>
          </w:p>
        </w:tc>
      </w:tr>
      <w:tr w:rsidR="00E618CB" w:rsidRPr="00E618CB" w:rsidTr="00335596">
        <w:trPr>
          <w:cnfStyle w:val="000000100000"/>
          <w:trHeight w:val="255"/>
        </w:trPr>
        <w:tc>
          <w:tcPr>
            <w:cnfStyle w:val="001000000000"/>
            <w:tcW w:w="1701" w:type="dxa"/>
            <w:gridSpan w:val="2"/>
            <w:noWrap/>
            <w:vAlign w:val="bottom"/>
          </w:tcPr>
          <w:p w:rsidR="00E618CB" w:rsidRPr="00E618CB" w:rsidRDefault="00E618CB" w:rsidP="00CC78F2">
            <w:pPr>
              <w:rPr>
                <w:b w:val="0"/>
                <w:color w:val="auto"/>
                <w:sz w:val="20"/>
                <w:szCs w:val="20"/>
              </w:rPr>
            </w:pPr>
            <w:r w:rsidRPr="00E618CB">
              <w:rPr>
                <w:b w:val="0"/>
                <w:color w:val="auto"/>
                <w:sz w:val="20"/>
                <w:szCs w:val="20"/>
              </w:rPr>
              <w:t>Total</w:t>
            </w:r>
          </w:p>
        </w:tc>
        <w:tc>
          <w:tcPr>
            <w:cnfStyle w:val="000010000000"/>
            <w:tcW w:w="993" w:type="dxa"/>
            <w:noWrap/>
            <w:vAlign w:val="center"/>
          </w:tcPr>
          <w:p w:rsidR="00E618CB" w:rsidRPr="00E618CB" w:rsidRDefault="00E618CB" w:rsidP="00521368">
            <w:pPr>
              <w:widowControl w:val="0"/>
              <w:spacing w:after="0" w:line="240" w:lineRule="auto"/>
              <w:jc w:val="center"/>
              <w:rPr>
                <w:rFonts w:cs="Arial"/>
                <w:b/>
                <w:color w:val="auto"/>
                <w:sz w:val="20"/>
                <w:szCs w:val="20"/>
                <w:lang w:eastAsia="en-GB"/>
              </w:rPr>
            </w:pPr>
            <w:r w:rsidRPr="00E618CB">
              <w:rPr>
                <w:rFonts w:cs="Arial"/>
                <w:b/>
                <w:color w:val="auto"/>
                <w:sz w:val="20"/>
                <w:szCs w:val="20"/>
                <w:lang w:eastAsia="en-GB"/>
              </w:rPr>
              <w:t>34.0</w:t>
            </w:r>
          </w:p>
        </w:tc>
        <w:tc>
          <w:tcPr>
            <w:tcW w:w="992" w:type="dxa"/>
            <w:noWrap/>
            <w:vAlign w:val="center"/>
          </w:tcPr>
          <w:p w:rsidR="00E618CB" w:rsidRPr="00E618CB" w:rsidRDefault="00E618CB" w:rsidP="00521368">
            <w:pPr>
              <w:widowControl w:val="0"/>
              <w:spacing w:after="0" w:line="240" w:lineRule="auto"/>
              <w:jc w:val="center"/>
              <w:cnfStyle w:val="000000100000"/>
              <w:rPr>
                <w:rFonts w:cs="Arial"/>
                <w:color w:val="auto"/>
                <w:sz w:val="20"/>
                <w:szCs w:val="20"/>
                <w:lang w:eastAsia="en-GB"/>
              </w:rPr>
            </w:pPr>
            <w:r w:rsidRPr="00E618CB">
              <w:rPr>
                <w:rFonts w:cs="Arial"/>
                <w:color w:val="auto"/>
                <w:sz w:val="20"/>
                <w:szCs w:val="20"/>
                <w:lang w:eastAsia="en-GB"/>
              </w:rPr>
              <w:t>(14.8)</w:t>
            </w:r>
          </w:p>
        </w:tc>
        <w:tc>
          <w:tcPr>
            <w:cnfStyle w:val="000010000000"/>
            <w:tcW w:w="1134" w:type="dxa"/>
            <w:noWrap/>
            <w:vAlign w:val="center"/>
          </w:tcPr>
          <w:p w:rsidR="00E618CB" w:rsidRPr="00E618CB" w:rsidRDefault="00E618CB" w:rsidP="00521368">
            <w:pPr>
              <w:widowControl w:val="0"/>
              <w:spacing w:after="0" w:line="240" w:lineRule="auto"/>
              <w:jc w:val="center"/>
              <w:rPr>
                <w:rFonts w:cs="Arial"/>
                <w:color w:val="auto"/>
                <w:sz w:val="20"/>
                <w:szCs w:val="20"/>
                <w:lang w:eastAsia="en-GB"/>
              </w:rPr>
            </w:pPr>
            <w:r w:rsidRPr="00E618CB">
              <w:rPr>
                <w:rFonts w:cs="Arial"/>
                <w:color w:val="auto"/>
                <w:sz w:val="20"/>
                <w:szCs w:val="20"/>
                <w:lang w:eastAsia="en-GB"/>
              </w:rPr>
              <w:t>11.7</w:t>
            </w:r>
          </w:p>
        </w:tc>
        <w:tc>
          <w:tcPr>
            <w:tcW w:w="1134" w:type="dxa"/>
            <w:vAlign w:val="center"/>
          </w:tcPr>
          <w:p w:rsidR="00E618CB" w:rsidRPr="00E618CB" w:rsidRDefault="00E618CB" w:rsidP="00521368">
            <w:pPr>
              <w:widowControl w:val="0"/>
              <w:spacing w:after="0" w:line="240" w:lineRule="auto"/>
              <w:jc w:val="center"/>
              <w:cnfStyle w:val="000000100000"/>
              <w:rPr>
                <w:rFonts w:cs="Arial"/>
                <w:b/>
                <w:color w:val="auto"/>
                <w:sz w:val="20"/>
                <w:szCs w:val="20"/>
                <w:lang w:eastAsia="en-GB"/>
              </w:rPr>
            </w:pPr>
            <w:r w:rsidRPr="00E618CB">
              <w:rPr>
                <w:rFonts w:cs="Arial"/>
                <w:b/>
                <w:color w:val="auto"/>
                <w:sz w:val="20"/>
                <w:szCs w:val="20"/>
                <w:lang w:eastAsia="en-GB"/>
              </w:rPr>
              <w:t>30.9</w:t>
            </w:r>
          </w:p>
        </w:tc>
        <w:tc>
          <w:tcPr>
            <w:cnfStyle w:val="000010000000"/>
            <w:tcW w:w="1134" w:type="dxa"/>
            <w:vAlign w:val="center"/>
          </w:tcPr>
          <w:p w:rsidR="00E618CB" w:rsidRPr="00E618CB" w:rsidRDefault="00E729A3" w:rsidP="00CC78F2">
            <w:pPr>
              <w:widowControl w:val="0"/>
              <w:spacing w:after="0" w:line="240" w:lineRule="auto"/>
              <w:jc w:val="center"/>
              <w:rPr>
                <w:rFonts w:cs="Arial"/>
                <w:color w:val="auto"/>
                <w:sz w:val="20"/>
                <w:szCs w:val="20"/>
                <w:lang w:eastAsia="en-GB"/>
              </w:rPr>
            </w:pPr>
            <w:r>
              <w:rPr>
                <w:rFonts w:cs="Arial"/>
                <w:color w:val="auto"/>
                <w:sz w:val="20"/>
                <w:szCs w:val="20"/>
                <w:lang w:eastAsia="en-GB"/>
              </w:rPr>
              <w:t>(15.2)</w:t>
            </w:r>
          </w:p>
        </w:tc>
        <w:tc>
          <w:tcPr>
            <w:tcW w:w="992" w:type="dxa"/>
            <w:vAlign w:val="center"/>
          </w:tcPr>
          <w:p w:rsidR="00E618CB" w:rsidRPr="00E618CB" w:rsidRDefault="00E729A3" w:rsidP="00CC78F2">
            <w:pPr>
              <w:widowControl w:val="0"/>
              <w:spacing w:after="0" w:line="240" w:lineRule="auto"/>
              <w:jc w:val="center"/>
              <w:cnfStyle w:val="000000100000"/>
              <w:rPr>
                <w:rFonts w:cs="Arial"/>
                <w:color w:val="auto"/>
                <w:sz w:val="20"/>
                <w:szCs w:val="20"/>
                <w:lang w:eastAsia="en-GB"/>
              </w:rPr>
            </w:pPr>
            <w:r>
              <w:rPr>
                <w:rFonts w:cs="Arial"/>
                <w:color w:val="auto"/>
                <w:sz w:val="20"/>
                <w:szCs w:val="20"/>
                <w:lang w:eastAsia="en-GB"/>
              </w:rPr>
              <w:t>9.6</w:t>
            </w:r>
          </w:p>
        </w:tc>
        <w:tc>
          <w:tcPr>
            <w:cnfStyle w:val="000010000000"/>
            <w:tcW w:w="1134" w:type="dxa"/>
            <w:vAlign w:val="center"/>
          </w:tcPr>
          <w:p w:rsidR="00E618CB" w:rsidRPr="00E618CB" w:rsidRDefault="00172E69" w:rsidP="00CC78F2">
            <w:pPr>
              <w:widowControl w:val="0"/>
              <w:spacing w:after="0" w:line="240" w:lineRule="auto"/>
              <w:jc w:val="center"/>
              <w:rPr>
                <w:rFonts w:cs="Arial"/>
                <w:b/>
                <w:color w:val="auto"/>
                <w:sz w:val="20"/>
                <w:szCs w:val="20"/>
                <w:lang w:eastAsia="en-GB"/>
              </w:rPr>
            </w:pPr>
            <w:r w:rsidRPr="00E729A3">
              <w:rPr>
                <w:rFonts w:cs="Arial"/>
                <w:b/>
                <w:color w:val="auto"/>
                <w:sz w:val="20"/>
                <w:szCs w:val="20"/>
                <w:lang w:eastAsia="en-GB"/>
              </w:rPr>
              <w:t>25.</w:t>
            </w:r>
            <w:r w:rsidR="00125C0F" w:rsidRPr="00E729A3">
              <w:rPr>
                <w:rFonts w:cs="Arial"/>
                <w:b/>
                <w:color w:val="auto"/>
                <w:sz w:val="20"/>
                <w:szCs w:val="20"/>
                <w:lang w:eastAsia="en-GB"/>
              </w:rPr>
              <w:t>3</w:t>
            </w:r>
          </w:p>
        </w:tc>
      </w:tr>
    </w:tbl>
    <w:p w:rsidR="005B3D95" w:rsidRPr="00D42E0B" w:rsidRDefault="005B3D95" w:rsidP="006E4B56">
      <w:pPr>
        <w:pStyle w:val="BodyTextIndent"/>
        <w:ind w:left="0"/>
        <w:rPr>
          <w:color w:val="548DD4" w:themeColor="text2" w:themeTint="99"/>
          <w:sz w:val="20"/>
          <w:szCs w:val="20"/>
        </w:rPr>
      </w:pPr>
    </w:p>
    <w:p w:rsidR="00C52520" w:rsidRPr="00E618CB" w:rsidRDefault="007C1374" w:rsidP="005B3D95">
      <w:pPr>
        <w:pStyle w:val="Subtitle"/>
        <w:ind w:left="567" w:hanging="567"/>
        <w:rPr>
          <w:b/>
          <w:color w:val="auto"/>
          <w:sz w:val="22"/>
          <w:szCs w:val="22"/>
        </w:rPr>
      </w:pPr>
      <w:r w:rsidRPr="00E618CB">
        <w:rPr>
          <w:b/>
          <w:color w:val="auto"/>
          <w:sz w:val="22"/>
          <w:szCs w:val="22"/>
        </w:rPr>
        <w:t>9</w:t>
      </w:r>
      <w:r w:rsidR="00E51139" w:rsidRPr="00E618CB">
        <w:rPr>
          <w:b/>
          <w:color w:val="auto"/>
          <w:sz w:val="22"/>
          <w:szCs w:val="22"/>
        </w:rPr>
        <w:t>.</w:t>
      </w:r>
      <w:r w:rsidR="00E51139" w:rsidRPr="00E618CB">
        <w:rPr>
          <w:b/>
          <w:color w:val="auto"/>
          <w:sz w:val="22"/>
          <w:szCs w:val="22"/>
        </w:rPr>
        <w:tab/>
        <w:t>Financing and Investment Income and Expenditure</w:t>
      </w:r>
    </w:p>
    <w:tbl>
      <w:tblPr>
        <w:tblStyle w:val="ListTable3-Accent51"/>
        <w:tblpPr w:leftFromText="180" w:rightFromText="180" w:vertAnchor="text" w:tblpX="642" w:tblpY="268"/>
        <w:tblW w:w="9230" w:type="dxa"/>
        <w:tblLook w:val="00A0"/>
      </w:tblPr>
      <w:tblGrid>
        <w:gridCol w:w="1318"/>
        <w:gridCol w:w="6593"/>
        <w:gridCol w:w="1319"/>
      </w:tblGrid>
      <w:tr w:rsidR="00721500" w:rsidRPr="00E618CB" w:rsidTr="00335596">
        <w:trPr>
          <w:cnfStyle w:val="100000000000"/>
          <w:trHeight w:val="514"/>
        </w:trPr>
        <w:tc>
          <w:tcPr>
            <w:cnfStyle w:val="001000000100"/>
            <w:tcW w:w="1318" w:type="dxa"/>
          </w:tcPr>
          <w:p w:rsidR="00721500" w:rsidRPr="00E618CB" w:rsidRDefault="00721500" w:rsidP="005B3D95">
            <w:pPr>
              <w:pStyle w:val="ExampleSub"/>
              <w:keepNext w:val="0"/>
              <w:keepLines w:val="0"/>
              <w:spacing w:line="240" w:lineRule="auto"/>
              <w:ind w:left="0"/>
              <w:jc w:val="center"/>
              <w:rPr>
                <w:rFonts w:ascii="Arial" w:hAnsi="Arial" w:cs="Arial"/>
                <w:color w:val="auto"/>
                <w:sz w:val="18"/>
                <w:szCs w:val="18"/>
              </w:rPr>
            </w:pPr>
            <w:r w:rsidRPr="00E618CB">
              <w:rPr>
                <w:rFonts w:ascii="Arial" w:hAnsi="Arial" w:cs="Arial"/>
                <w:color w:val="auto"/>
                <w:sz w:val="18"/>
                <w:szCs w:val="18"/>
              </w:rPr>
              <w:t>201</w:t>
            </w:r>
            <w:r w:rsidR="00E618CB" w:rsidRPr="00E618CB">
              <w:rPr>
                <w:rFonts w:ascii="Arial" w:hAnsi="Arial" w:cs="Arial"/>
                <w:color w:val="auto"/>
                <w:sz w:val="18"/>
                <w:szCs w:val="18"/>
              </w:rPr>
              <w:t>4</w:t>
            </w:r>
            <w:r w:rsidRPr="00E618CB">
              <w:rPr>
                <w:rFonts w:ascii="Arial" w:hAnsi="Arial" w:cs="Arial"/>
                <w:color w:val="auto"/>
                <w:sz w:val="18"/>
                <w:szCs w:val="18"/>
              </w:rPr>
              <w:t>/1</w:t>
            </w:r>
            <w:r w:rsidR="00E618CB" w:rsidRPr="00E618CB">
              <w:rPr>
                <w:rFonts w:ascii="Arial" w:hAnsi="Arial" w:cs="Arial"/>
                <w:color w:val="auto"/>
                <w:sz w:val="18"/>
                <w:szCs w:val="18"/>
              </w:rPr>
              <w:t>5</w:t>
            </w:r>
            <w:r w:rsidRPr="00E618CB">
              <w:rPr>
                <w:rFonts w:ascii="Arial" w:hAnsi="Arial" w:cs="Arial"/>
                <w:color w:val="auto"/>
                <w:sz w:val="18"/>
                <w:szCs w:val="18"/>
              </w:rPr>
              <w:t xml:space="preserve"> </w:t>
            </w:r>
          </w:p>
          <w:p w:rsidR="00721500" w:rsidRPr="00E618CB" w:rsidRDefault="00721500" w:rsidP="005B3D95">
            <w:pPr>
              <w:pStyle w:val="ExampleSub"/>
              <w:keepNext w:val="0"/>
              <w:keepLines w:val="0"/>
              <w:spacing w:line="240" w:lineRule="auto"/>
              <w:ind w:left="0"/>
              <w:jc w:val="center"/>
              <w:rPr>
                <w:rFonts w:ascii="Arial" w:hAnsi="Arial" w:cs="Arial"/>
                <w:color w:val="auto"/>
                <w:sz w:val="18"/>
                <w:szCs w:val="18"/>
              </w:rPr>
            </w:pPr>
            <w:r w:rsidRPr="00E618CB">
              <w:rPr>
                <w:rFonts w:ascii="Arial" w:hAnsi="Arial" w:cs="Arial"/>
                <w:color w:val="auto"/>
                <w:sz w:val="18"/>
                <w:szCs w:val="18"/>
              </w:rPr>
              <w:t>£m</w:t>
            </w:r>
          </w:p>
        </w:tc>
        <w:tc>
          <w:tcPr>
            <w:cnfStyle w:val="000010000000"/>
            <w:tcW w:w="6593" w:type="dxa"/>
          </w:tcPr>
          <w:p w:rsidR="00721500" w:rsidRPr="00E618CB" w:rsidRDefault="00721500" w:rsidP="005B3D95">
            <w:pPr>
              <w:pStyle w:val="ExampleSub"/>
              <w:keepNext w:val="0"/>
              <w:keepLines w:val="0"/>
              <w:spacing w:line="240" w:lineRule="auto"/>
              <w:ind w:left="0"/>
              <w:rPr>
                <w:rFonts w:ascii="Arial" w:hAnsi="Arial" w:cs="Arial"/>
                <w:color w:val="auto"/>
                <w:sz w:val="18"/>
                <w:szCs w:val="18"/>
              </w:rPr>
            </w:pPr>
          </w:p>
        </w:tc>
        <w:tc>
          <w:tcPr>
            <w:tcW w:w="1319" w:type="dxa"/>
          </w:tcPr>
          <w:p w:rsidR="00721500" w:rsidRPr="00E618CB" w:rsidRDefault="00721500" w:rsidP="005B3D95">
            <w:pPr>
              <w:pStyle w:val="ExampleSub"/>
              <w:keepNext w:val="0"/>
              <w:keepLines w:val="0"/>
              <w:spacing w:line="240" w:lineRule="auto"/>
              <w:ind w:left="0"/>
              <w:jc w:val="center"/>
              <w:cnfStyle w:val="100000000000"/>
              <w:rPr>
                <w:rFonts w:ascii="Arial" w:hAnsi="Arial" w:cs="Arial"/>
                <w:color w:val="auto"/>
                <w:sz w:val="18"/>
                <w:szCs w:val="18"/>
              </w:rPr>
            </w:pPr>
            <w:r w:rsidRPr="00E618CB">
              <w:rPr>
                <w:rFonts w:ascii="Arial" w:hAnsi="Arial" w:cs="Arial"/>
                <w:color w:val="auto"/>
                <w:sz w:val="18"/>
                <w:szCs w:val="18"/>
              </w:rPr>
              <w:t>201</w:t>
            </w:r>
            <w:r w:rsidR="00E618CB" w:rsidRPr="00E618CB">
              <w:rPr>
                <w:rFonts w:ascii="Arial" w:hAnsi="Arial" w:cs="Arial"/>
                <w:color w:val="auto"/>
                <w:sz w:val="18"/>
                <w:szCs w:val="18"/>
              </w:rPr>
              <w:t>5</w:t>
            </w:r>
            <w:r w:rsidRPr="00E618CB">
              <w:rPr>
                <w:rFonts w:ascii="Arial" w:hAnsi="Arial" w:cs="Arial"/>
                <w:color w:val="auto"/>
                <w:sz w:val="18"/>
                <w:szCs w:val="18"/>
              </w:rPr>
              <w:t>/1</w:t>
            </w:r>
            <w:r w:rsidR="00E618CB" w:rsidRPr="00E618CB">
              <w:rPr>
                <w:rFonts w:ascii="Arial" w:hAnsi="Arial" w:cs="Arial"/>
                <w:color w:val="auto"/>
                <w:sz w:val="18"/>
                <w:szCs w:val="18"/>
              </w:rPr>
              <w:t>6</w:t>
            </w:r>
            <w:r w:rsidRPr="00E618CB">
              <w:rPr>
                <w:rFonts w:ascii="Arial" w:hAnsi="Arial" w:cs="Arial"/>
                <w:color w:val="auto"/>
                <w:sz w:val="18"/>
                <w:szCs w:val="18"/>
              </w:rPr>
              <w:t xml:space="preserve"> </w:t>
            </w:r>
          </w:p>
          <w:p w:rsidR="00721500" w:rsidRPr="00E618CB" w:rsidRDefault="00721500" w:rsidP="005B3D95">
            <w:pPr>
              <w:pStyle w:val="ExampleSub"/>
              <w:keepNext w:val="0"/>
              <w:keepLines w:val="0"/>
              <w:spacing w:line="240" w:lineRule="auto"/>
              <w:ind w:left="0"/>
              <w:jc w:val="center"/>
              <w:cnfStyle w:val="100000000000"/>
              <w:rPr>
                <w:rFonts w:ascii="Arial" w:hAnsi="Arial" w:cs="Arial"/>
                <w:color w:val="auto"/>
                <w:sz w:val="18"/>
                <w:szCs w:val="18"/>
              </w:rPr>
            </w:pPr>
            <w:r w:rsidRPr="00E618CB">
              <w:rPr>
                <w:rFonts w:ascii="Arial" w:hAnsi="Arial" w:cs="Arial"/>
                <w:color w:val="auto"/>
                <w:sz w:val="18"/>
                <w:szCs w:val="18"/>
              </w:rPr>
              <w:t>£m</w:t>
            </w:r>
          </w:p>
        </w:tc>
      </w:tr>
      <w:tr w:rsidR="00E618CB" w:rsidRPr="00E618CB" w:rsidTr="00335596">
        <w:trPr>
          <w:cnfStyle w:val="000000100000"/>
          <w:trHeight w:val="279"/>
        </w:trPr>
        <w:tc>
          <w:tcPr>
            <w:cnfStyle w:val="001000000000"/>
            <w:tcW w:w="1318" w:type="dxa"/>
          </w:tcPr>
          <w:p w:rsidR="00E618CB" w:rsidRPr="00E618CB" w:rsidRDefault="00E618CB" w:rsidP="00E618CB">
            <w:pPr>
              <w:pStyle w:val="ExampleSub"/>
              <w:keepNext w:val="0"/>
              <w:keepLines w:val="0"/>
              <w:spacing w:line="240" w:lineRule="auto"/>
              <w:ind w:left="0"/>
              <w:jc w:val="center"/>
              <w:rPr>
                <w:rFonts w:ascii="Arial" w:hAnsi="Arial" w:cs="Arial"/>
                <w:color w:val="auto"/>
                <w:sz w:val="20"/>
                <w:szCs w:val="20"/>
              </w:rPr>
            </w:pPr>
            <w:r w:rsidRPr="00E618CB">
              <w:rPr>
                <w:rFonts w:ascii="Arial" w:hAnsi="Arial" w:cs="Arial"/>
                <w:color w:val="auto"/>
                <w:sz w:val="20"/>
                <w:szCs w:val="20"/>
              </w:rPr>
              <w:t>6.6</w:t>
            </w:r>
          </w:p>
        </w:tc>
        <w:tc>
          <w:tcPr>
            <w:cnfStyle w:val="000010000000"/>
            <w:tcW w:w="6593" w:type="dxa"/>
          </w:tcPr>
          <w:p w:rsidR="00E618CB" w:rsidRPr="00E618CB" w:rsidRDefault="00E618CB" w:rsidP="00E618CB">
            <w:pPr>
              <w:pStyle w:val="ExampleSub"/>
              <w:keepNext w:val="0"/>
              <w:keepLines w:val="0"/>
              <w:spacing w:line="240" w:lineRule="auto"/>
              <w:ind w:left="0"/>
              <w:rPr>
                <w:rFonts w:ascii="Arial" w:hAnsi="Arial" w:cs="Arial"/>
                <w:b w:val="0"/>
                <w:bCs w:val="0"/>
                <w:color w:val="auto"/>
                <w:sz w:val="20"/>
                <w:szCs w:val="20"/>
              </w:rPr>
            </w:pPr>
            <w:r w:rsidRPr="00E618CB">
              <w:rPr>
                <w:rFonts w:ascii="Arial" w:hAnsi="Arial" w:cs="Arial"/>
                <w:b w:val="0"/>
                <w:bCs w:val="0"/>
                <w:color w:val="auto"/>
                <w:sz w:val="20"/>
                <w:szCs w:val="20"/>
              </w:rPr>
              <w:t>Interest payable and similar charges</w:t>
            </w:r>
          </w:p>
        </w:tc>
        <w:tc>
          <w:tcPr>
            <w:tcW w:w="1319" w:type="dxa"/>
          </w:tcPr>
          <w:p w:rsidR="00E618CB" w:rsidRPr="00E618CB" w:rsidRDefault="001B0559" w:rsidP="00E618CB">
            <w:pPr>
              <w:pStyle w:val="ExampleSub"/>
              <w:keepNext w:val="0"/>
              <w:keepLines w:val="0"/>
              <w:spacing w:line="240" w:lineRule="auto"/>
              <w:ind w:left="0"/>
              <w:jc w:val="center"/>
              <w:cnfStyle w:val="000000100000"/>
              <w:rPr>
                <w:rFonts w:ascii="Arial" w:hAnsi="Arial" w:cs="Arial"/>
                <w:bCs w:val="0"/>
                <w:color w:val="auto"/>
                <w:sz w:val="20"/>
                <w:szCs w:val="20"/>
              </w:rPr>
            </w:pPr>
            <w:r>
              <w:rPr>
                <w:rFonts w:ascii="Arial" w:hAnsi="Arial" w:cs="Arial"/>
                <w:bCs w:val="0"/>
                <w:color w:val="auto"/>
                <w:sz w:val="20"/>
                <w:szCs w:val="20"/>
              </w:rPr>
              <w:t>7.8</w:t>
            </w:r>
          </w:p>
        </w:tc>
      </w:tr>
      <w:tr w:rsidR="00E618CB" w:rsidRPr="00E618CB" w:rsidTr="00335596">
        <w:trPr>
          <w:trHeight w:val="279"/>
        </w:trPr>
        <w:tc>
          <w:tcPr>
            <w:cnfStyle w:val="001000000000"/>
            <w:tcW w:w="1318" w:type="dxa"/>
          </w:tcPr>
          <w:p w:rsidR="00E618CB" w:rsidRPr="00E618CB" w:rsidRDefault="00E618CB" w:rsidP="00E618CB">
            <w:pPr>
              <w:pStyle w:val="ExampleSub"/>
              <w:keepNext w:val="0"/>
              <w:keepLines w:val="0"/>
              <w:spacing w:line="240" w:lineRule="auto"/>
              <w:ind w:left="0"/>
              <w:jc w:val="center"/>
              <w:rPr>
                <w:rFonts w:ascii="Arial" w:hAnsi="Arial" w:cs="Arial"/>
                <w:color w:val="auto"/>
                <w:sz w:val="20"/>
                <w:szCs w:val="20"/>
              </w:rPr>
            </w:pPr>
            <w:r w:rsidRPr="00E618CB">
              <w:rPr>
                <w:rFonts w:ascii="Arial" w:hAnsi="Arial" w:cs="Arial"/>
                <w:color w:val="auto"/>
                <w:sz w:val="20"/>
                <w:szCs w:val="20"/>
              </w:rPr>
              <w:t>5.2</w:t>
            </w:r>
          </w:p>
        </w:tc>
        <w:tc>
          <w:tcPr>
            <w:cnfStyle w:val="000010000000"/>
            <w:tcW w:w="6593" w:type="dxa"/>
          </w:tcPr>
          <w:p w:rsidR="00E618CB" w:rsidRPr="00E618CB" w:rsidRDefault="00E618CB" w:rsidP="00E618CB">
            <w:pPr>
              <w:pStyle w:val="ExampleSub"/>
              <w:keepNext w:val="0"/>
              <w:keepLines w:val="0"/>
              <w:spacing w:line="240" w:lineRule="auto"/>
              <w:ind w:left="0"/>
              <w:rPr>
                <w:rFonts w:ascii="Arial" w:hAnsi="Arial" w:cs="Arial"/>
                <w:b w:val="0"/>
                <w:bCs w:val="0"/>
                <w:color w:val="auto"/>
                <w:sz w:val="20"/>
                <w:szCs w:val="20"/>
              </w:rPr>
            </w:pPr>
            <w:r w:rsidRPr="00E618CB">
              <w:rPr>
                <w:rFonts w:ascii="Arial" w:hAnsi="Arial" w:cs="Arial"/>
                <w:b w:val="0"/>
                <w:bCs w:val="0"/>
                <w:color w:val="auto"/>
                <w:sz w:val="20"/>
                <w:szCs w:val="20"/>
              </w:rPr>
              <w:t>Net interest on net defined pension liability</w:t>
            </w:r>
          </w:p>
        </w:tc>
        <w:tc>
          <w:tcPr>
            <w:tcW w:w="1319" w:type="dxa"/>
          </w:tcPr>
          <w:p w:rsidR="00E618CB" w:rsidRPr="00E618CB" w:rsidRDefault="001B0559" w:rsidP="00E618CB">
            <w:pPr>
              <w:pStyle w:val="ExampleSub"/>
              <w:keepNext w:val="0"/>
              <w:keepLines w:val="0"/>
              <w:spacing w:line="240" w:lineRule="auto"/>
              <w:ind w:left="0"/>
              <w:jc w:val="center"/>
              <w:cnfStyle w:val="000000000000"/>
              <w:rPr>
                <w:rFonts w:ascii="Arial" w:hAnsi="Arial" w:cs="Arial"/>
                <w:bCs w:val="0"/>
                <w:color w:val="auto"/>
                <w:sz w:val="20"/>
                <w:szCs w:val="20"/>
              </w:rPr>
            </w:pPr>
            <w:r>
              <w:rPr>
                <w:rFonts w:ascii="Arial" w:hAnsi="Arial" w:cs="Arial"/>
                <w:bCs w:val="0"/>
                <w:color w:val="auto"/>
                <w:sz w:val="20"/>
                <w:szCs w:val="20"/>
              </w:rPr>
              <w:t>5.4</w:t>
            </w:r>
          </w:p>
        </w:tc>
      </w:tr>
      <w:tr w:rsidR="00E618CB" w:rsidRPr="00E618CB" w:rsidTr="00335596">
        <w:trPr>
          <w:cnfStyle w:val="000000100000"/>
          <w:trHeight w:val="279"/>
        </w:trPr>
        <w:tc>
          <w:tcPr>
            <w:cnfStyle w:val="001000000000"/>
            <w:tcW w:w="1318" w:type="dxa"/>
          </w:tcPr>
          <w:p w:rsidR="00E618CB" w:rsidRPr="00E618CB" w:rsidRDefault="00E618CB" w:rsidP="00E618CB">
            <w:pPr>
              <w:pStyle w:val="ExampleSub"/>
              <w:keepNext w:val="0"/>
              <w:keepLines w:val="0"/>
              <w:spacing w:line="240" w:lineRule="auto"/>
              <w:ind w:left="0"/>
              <w:jc w:val="center"/>
              <w:rPr>
                <w:rFonts w:ascii="Arial" w:hAnsi="Arial" w:cs="Arial"/>
                <w:color w:val="auto"/>
                <w:sz w:val="20"/>
                <w:szCs w:val="20"/>
              </w:rPr>
            </w:pPr>
            <w:r w:rsidRPr="00E618CB">
              <w:rPr>
                <w:rFonts w:ascii="Arial" w:hAnsi="Arial" w:cs="Arial"/>
                <w:color w:val="auto"/>
                <w:sz w:val="20"/>
                <w:szCs w:val="20"/>
              </w:rPr>
              <w:t>(1.0)</w:t>
            </w:r>
          </w:p>
        </w:tc>
        <w:tc>
          <w:tcPr>
            <w:cnfStyle w:val="000010000000"/>
            <w:tcW w:w="6593" w:type="dxa"/>
          </w:tcPr>
          <w:p w:rsidR="00E618CB" w:rsidRPr="00E618CB" w:rsidRDefault="00E618CB" w:rsidP="00E618CB">
            <w:pPr>
              <w:pStyle w:val="ExampleSub"/>
              <w:keepNext w:val="0"/>
              <w:keepLines w:val="0"/>
              <w:spacing w:line="240" w:lineRule="auto"/>
              <w:ind w:left="0"/>
              <w:rPr>
                <w:rFonts w:ascii="Arial" w:hAnsi="Arial" w:cs="Arial"/>
                <w:b w:val="0"/>
                <w:bCs w:val="0"/>
                <w:color w:val="auto"/>
                <w:sz w:val="20"/>
                <w:szCs w:val="20"/>
              </w:rPr>
            </w:pPr>
            <w:r w:rsidRPr="00E618CB">
              <w:rPr>
                <w:rFonts w:ascii="Arial" w:hAnsi="Arial" w:cs="Arial"/>
                <w:b w:val="0"/>
                <w:bCs w:val="0"/>
                <w:color w:val="auto"/>
                <w:sz w:val="20"/>
                <w:szCs w:val="20"/>
              </w:rPr>
              <w:t>Interest receivable and similar income</w:t>
            </w:r>
          </w:p>
        </w:tc>
        <w:tc>
          <w:tcPr>
            <w:tcW w:w="1319" w:type="dxa"/>
          </w:tcPr>
          <w:p w:rsidR="00E618CB" w:rsidRPr="00E618CB" w:rsidRDefault="003954D6" w:rsidP="00E618CB">
            <w:pPr>
              <w:pStyle w:val="ExampleSub"/>
              <w:keepNext w:val="0"/>
              <w:keepLines w:val="0"/>
              <w:spacing w:line="240" w:lineRule="auto"/>
              <w:ind w:left="0"/>
              <w:jc w:val="center"/>
              <w:cnfStyle w:val="000000100000"/>
              <w:rPr>
                <w:rFonts w:ascii="Arial" w:hAnsi="Arial" w:cs="Arial"/>
                <w:bCs w:val="0"/>
                <w:color w:val="auto"/>
                <w:sz w:val="20"/>
                <w:szCs w:val="20"/>
              </w:rPr>
            </w:pPr>
            <w:r>
              <w:rPr>
                <w:rFonts w:ascii="Arial" w:hAnsi="Arial" w:cs="Arial"/>
                <w:bCs w:val="0"/>
                <w:color w:val="auto"/>
                <w:sz w:val="20"/>
                <w:szCs w:val="20"/>
              </w:rPr>
              <w:t>(1.0)</w:t>
            </w:r>
          </w:p>
        </w:tc>
      </w:tr>
      <w:tr w:rsidR="00E618CB" w:rsidRPr="00E618CB" w:rsidTr="00335596">
        <w:trPr>
          <w:trHeight w:val="447"/>
        </w:trPr>
        <w:tc>
          <w:tcPr>
            <w:cnfStyle w:val="001000000000"/>
            <w:tcW w:w="1318" w:type="dxa"/>
          </w:tcPr>
          <w:p w:rsidR="00E618CB" w:rsidRPr="00E618CB" w:rsidRDefault="00E618CB" w:rsidP="00E618CB">
            <w:pPr>
              <w:pStyle w:val="ExampleSub"/>
              <w:keepNext w:val="0"/>
              <w:keepLines w:val="0"/>
              <w:spacing w:line="240" w:lineRule="auto"/>
              <w:ind w:left="0"/>
              <w:jc w:val="center"/>
              <w:rPr>
                <w:rFonts w:ascii="Arial" w:hAnsi="Arial" w:cs="Arial"/>
                <w:color w:val="auto"/>
                <w:sz w:val="20"/>
                <w:szCs w:val="20"/>
              </w:rPr>
            </w:pPr>
            <w:r w:rsidRPr="00E618CB">
              <w:rPr>
                <w:rFonts w:ascii="Arial" w:hAnsi="Arial" w:cs="Arial"/>
                <w:color w:val="auto"/>
                <w:sz w:val="20"/>
                <w:szCs w:val="20"/>
              </w:rPr>
              <w:t>(0.3)</w:t>
            </w:r>
          </w:p>
        </w:tc>
        <w:tc>
          <w:tcPr>
            <w:cnfStyle w:val="000010000000"/>
            <w:tcW w:w="6593" w:type="dxa"/>
          </w:tcPr>
          <w:p w:rsidR="00E618CB" w:rsidRPr="00E618CB" w:rsidRDefault="00E618CB" w:rsidP="00E618CB">
            <w:pPr>
              <w:pStyle w:val="ExampleSub"/>
              <w:keepNext w:val="0"/>
              <w:keepLines w:val="0"/>
              <w:spacing w:line="240" w:lineRule="auto"/>
              <w:ind w:left="0"/>
              <w:rPr>
                <w:rFonts w:ascii="Arial" w:hAnsi="Arial" w:cs="Arial"/>
                <w:b w:val="0"/>
                <w:bCs w:val="0"/>
                <w:color w:val="auto"/>
                <w:sz w:val="20"/>
                <w:szCs w:val="20"/>
              </w:rPr>
            </w:pPr>
            <w:r w:rsidRPr="00E618CB">
              <w:rPr>
                <w:rFonts w:ascii="Arial" w:hAnsi="Arial" w:cs="Arial"/>
                <w:b w:val="0"/>
                <w:bCs w:val="0"/>
                <w:color w:val="auto"/>
                <w:sz w:val="20"/>
                <w:szCs w:val="20"/>
              </w:rPr>
              <w:t>Income and expenditure in relation to investment properties and changes in their fair value</w:t>
            </w:r>
          </w:p>
        </w:tc>
        <w:tc>
          <w:tcPr>
            <w:tcW w:w="1319" w:type="dxa"/>
          </w:tcPr>
          <w:p w:rsidR="00E618CB" w:rsidRPr="00E618CB" w:rsidRDefault="003954D6" w:rsidP="00E618CB">
            <w:pPr>
              <w:pStyle w:val="ExampleSub"/>
              <w:keepNext w:val="0"/>
              <w:keepLines w:val="0"/>
              <w:spacing w:line="240" w:lineRule="auto"/>
              <w:ind w:left="0"/>
              <w:jc w:val="center"/>
              <w:cnfStyle w:val="000000000000"/>
              <w:rPr>
                <w:rFonts w:ascii="Arial" w:hAnsi="Arial" w:cs="Arial"/>
                <w:bCs w:val="0"/>
                <w:color w:val="auto"/>
                <w:sz w:val="20"/>
                <w:szCs w:val="20"/>
              </w:rPr>
            </w:pPr>
            <w:r>
              <w:rPr>
                <w:rFonts w:ascii="Arial" w:hAnsi="Arial" w:cs="Arial"/>
                <w:bCs w:val="0"/>
                <w:color w:val="auto"/>
                <w:sz w:val="20"/>
                <w:szCs w:val="20"/>
              </w:rPr>
              <w:t>(0.7)</w:t>
            </w:r>
          </w:p>
        </w:tc>
      </w:tr>
      <w:tr w:rsidR="00E618CB" w:rsidRPr="00E618CB" w:rsidTr="00335596">
        <w:trPr>
          <w:cnfStyle w:val="000000100000"/>
          <w:trHeight w:val="447"/>
        </w:trPr>
        <w:tc>
          <w:tcPr>
            <w:cnfStyle w:val="001000000000"/>
            <w:tcW w:w="1318" w:type="dxa"/>
          </w:tcPr>
          <w:p w:rsidR="00E618CB" w:rsidRPr="00E618CB" w:rsidRDefault="00E618CB" w:rsidP="00E618CB">
            <w:pPr>
              <w:pStyle w:val="ExampleSub"/>
              <w:keepNext w:val="0"/>
              <w:keepLines w:val="0"/>
              <w:spacing w:line="240" w:lineRule="auto"/>
              <w:ind w:left="0"/>
              <w:jc w:val="center"/>
              <w:rPr>
                <w:rFonts w:ascii="Arial" w:hAnsi="Arial" w:cs="Arial"/>
                <w:color w:val="auto"/>
                <w:sz w:val="20"/>
                <w:szCs w:val="20"/>
              </w:rPr>
            </w:pPr>
            <w:r w:rsidRPr="00E618CB">
              <w:rPr>
                <w:rFonts w:ascii="Arial" w:hAnsi="Arial" w:cs="Arial"/>
                <w:color w:val="auto"/>
                <w:sz w:val="20"/>
                <w:szCs w:val="20"/>
              </w:rPr>
              <w:t>(0.4)</w:t>
            </w:r>
          </w:p>
        </w:tc>
        <w:tc>
          <w:tcPr>
            <w:cnfStyle w:val="000010000000"/>
            <w:tcW w:w="6593" w:type="dxa"/>
          </w:tcPr>
          <w:p w:rsidR="00E618CB" w:rsidRPr="00E618CB" w:rsidRDefault="00E618CB" w:rsidP="00E618CB">
            <w:pPr>
              <w:pStyle w:val="ExampleSub"/>
              <w:keepNext w:val="0"/>
              <w:keepLines w:val="0"/>
              <w:spacing w:line="240" w:lineRule="auto"/>
              <w:ind w:left="0"/>
              <w:rPr>
                <w:rFonts w:ascii="Arial" w:hAnsi="Arial" w:cs="Arial"/>
                <w:b w:val="0"/>
                <w:bCs w:val="0"/>
                <w:color w:val="auto"/>
                <w:sz w:val="20"/>
                <w:szCs w:val="20"/>
              </w:rPr>
            </w:pPr>
            <w:r w:rsidRPr="00E618CB">
              <w:rPr>
                <w:rFonts w:ascii="Arial" w:hAnsi="Arial" w:cs="Arial"/>
                <w:b w:val="0"/>
                <w:bCs w:val="0"/>
                <w:color w:val="auto"/>
                <w:sz w:val="20"/>
                <w:szCs w:val="20"/>
              </w:rPr>
              <w:t xml:space="preserve">Gain from </w:t>
            </w:r>
            <w:r w:rsidR="007E33E1" w:rsidRPr="00E618CB">
              <w:rPr>
                <w:rFonts w:ascii="Arial" w:hAnsi="Arial" w:cs="Arial"/>
                <w:b w:val="0"/>
                <w:bCs w:val="0"/>
                <w:color w:val="auto"/>
                <w:sz w:val="20"/>
                <w:szCs w:val="20"/>
              </w:rPr>
              <w:t>Devon wide</w:t>
            </w:r>
            <w:r w:rsidRPr="00E618CB">
              <w:rPr>
                <w:rFonts w:ascii="Arial" w:hAnsi="Arial" w:cs="Arial"/>
                <w:b w:val="0"/>
                <w:bCs w:val="0"/>
                <w:color w:val="auto"/>
                <w:sz w:val="20"/>
                <w:szCs w:val="20"/>
              </w:rPr>
              <w:t xml:space="preserve"> NNDR Pool </w:t>
            </w:r>
          </w:p>
        </w:tc>
        <w:tc>
          <w:tcPr>
            <w:tcW w:w="1319" w:type="dxa"/>
          </w:tcPr>
          <w:p w:rsidR="00E618CB" w:rsidRPr="00E618CB" w:rsidRDefault="001B0559" w:rsidP="003954D6">
            <w:pPr>
              <w:pStyle w:val="ExampleSub"/>
              <w:keepNext w:val="0"/>
              <w:keepLines w:val="0"/>
              <w:spacing w:line="240" w:lineRule="auto"/>
              <w:ind w:left="0"/>
              <w:jc w:val="center"/>
              <w:cnfStyle w:val="000000100000"/>
              <w:rPr>
                <w:rFonts w:ascii="Arial" w:hAnsi="Arial" w:cs="Arial"/>
                <w:bCs w:val="0"/>
                <w:color w:val="auto"/>
                <w:sz w:val="20"/>
                <w:szCs w:val="20"/>
              </w:rPr>
            </w:pPr>
            <w:r>
              <w:rPr>
                <w:rFonts w:ascii="Arial" w:hAnsi="Arial" w:cs="Arial"/>
                <w:bCs w:val="0"/>
                <w:color w:val="auto"/>
                <w:sz w:val="20"/>
                <w:szCs w:val="20"/>
              </w:rPr>
              <w:t>(0.</w:t>
            </w:r>
            <w:r w:rsidR="003954D6">
              <w:rPr>
                <w:rFonts w:ascii="Arial" w:hAnsi="Arial" w:cs="Arial"/>
                <w:bCs w:val="0"/>
                <w:color w:val="auto"/>
                <w:sz w:val="20"/>
                <w:szCs w:val="20"/>
              </w:rPr>
              <w:t>2</w:t>
            </w:r>
            <w:r>
              <w:rPr>
                <w:rFonts w:ascii="Arial" w:hAnsi="Arial" w:cs="Arial"/>
                <w:bCs w:val="0"/>
                <w:color w:val="auto"/>
                <w:sz w:val="20"/>
                <w:szCs w:val="20"/>
              </w:rPr>
              <w:t>)</w:t>
            </w:r>
          </w:p>
        </w:tc>
      </w:tr>
      <w:tr w:rsidR="00E618CB" w:rsidRPr="00E618CB" w:rsidTr="00335596">
        <w:trPr>
          <w:trHeight w:val="314"/>
        </w:trPr>
        <w:tc>
          <w:tcPr>
            <w:cnfStyle w:val="001000000000"/>
            <w:tcW w:w="1318" w:type="dxa"/>
          </w:tcPr>
          <w:p w:rsidR="00E618CB" w:rsidRPr="00E618CB" w:rsidRDefault="00E618CB" w:rsidP="00E618CB">
            <w:pPr>
              <w:pStyle w:val="ExampleSub"/>
              <w:keepNext w:val="0"/>
              <w:keepLines w:val="0"/>
              <w:ind w:left="0"/>
              <w:jc w:val="center"/>
              <w:rPr>
                <w:rFonts w:ascii="Arial" w:hAnsi="Arial" w:cs="Arial"/>
                <w:color w:val="auto"/>
                <w:sz w:val="20"/>
                <w:szCs w:val="20"/>
              </w:rPr>
            </w:pPr>
            <w:r w:rsidRPr="00E618CB">
              <w:rPr>
                <w:rFonts w:ascii="Arial" w:hAnsi="Arial" w:cs="Arial"/>
                <w:color w:val="auto"/>
                <w:sz w:val="20"/>
                <w:szCs w:val="20"/>
              </w:rPr>
              <w:t>10.1</w:t>
            </w:r>
          </w:p>
        </w:tc>
        <w:tc>
          <w:tcPr>
            <w:cnfStyle w:val="000010000000"/>
            <w:tcW w:w="6593" w:type="dxa"/>
          </w:tcPr>
          <w:p w:rsidR="00E618CB" w:rsidRPr="00E618CB" w:rsidRDefault="00E618CB" w:rsidP="00E618CB">
            <w:pPr>
              <w:pStyle w:val="ExampleSub"/>
              <w:keepNext w:val="0"/>
              <w:keepLines w:val="0"/>
              <w:ind w:left="0"/>
              <w:rPr>
                <w:rFonts w:ascii="Arial" w:hAnsi="Arial" w:cs="Arial"/>
                <w:bCs w:val="0"/>
                <w:color w:val="auto"/>
                <w:sz w:val="20"/>
                <w:szCs w:val="20"/>
              </w:rPr>
            </w:pPr>
            <w:r w:rsidRPr="00E618CB">
              <w:rPr>
                <w:rFonts w:ascii="Arial" w:hAnsi="Arial" w:cs="Arial"/>
                <w:bCs w:val="0"/>
                <w:color w:val="auto"/>
                <w:sz w:val="20"/>
                <w:szCs w:val="20"/>
              </w:rPr>
              <w:t>Total</w:t>
            </w:r>
          </w:p>
        </w:tc>
        <w:tc>
          <w:tcPr>
            <w:tcW w:w="1319" w:type="dxa"/>
          </w:tcPr>
          <w:p w:rsidR="00E618CB" w:rsidRPr="00E618CB" w:rsidRDefault="001B0559" w:rsidP="00E618CB">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11.3</w:t>
            </w:r>
          </w:p>
        </w:tc>
      </w:tr>
    </w:tbl>
    <w:p w:rsidR="00C5487C" w:rsidRDefault="00C5487C" w:rsidP="000D1F14">
      <w:pPr>
        <w:pStyle w:val="Subtitle"/>
        <w:ind w:left="567" w:hanging="567"/>
        <w:rPr>
          <w:b/>
          <w:color w:val="auto"/>
          <w:sz w:val="22"/>
          <w:szCs w:val="22"/>
        </w:rPr>
      </w:pPr>
    </w:p>
    <w:p w:rsidR="00591A3A" w:rsidRPr="00521368" w:rsidRDefault="00E51139" w:rsidP="000D1F14">
      <w:pPr>
        <w:pStyle w:val="Subtitle"/>
        <w:ind w:left="567" w:hanging="567"/>
        <w:rPr>
          <w:b/>
          <w:color w:val="auto"/>
          <w:sz w:val="22"/>
          <w:szCs w:val="22"/>
        </w:rPr>
      </w:pPr>
      <w:r w:rsidRPr="00521368">
        <w:rPr>
          <w:b/>
          <w:color w:val="auto"/>
          <w:sz w:val="22"/>
          <w:szCs w:val="22"/>
        </w:rPr>
        <w:lastRenderedPageBreak/>
        <w:t>1</w:t>
      </w:r>
      <w:r w:rsidR="00FE0163" w:rsidRPr="00521368">
        <w:rPr>
          <w:b/>
          <w:color w:val="auto"/>
          <w:sz w:val="22"/>
          <w:szCs w:val="22"/>
        </w:rPr>
        <w:t>0</w:t>
      </w:r>
      <w:r w:rsidRPr="00521368">
        <w:rPr>
          <w:b/>
          <w:color w:val="auto"/>
          <w:sz w:val="22"/>
          <w:szCs w:val="22"/>
        </w:rPr>
        <w:t>.</w:t>
      </w:r>
      <w:r w:rsidRPr="00521368">
        <w:rPr>
          <w:b/>
          <w:color w:val="auto"/>
          <w:sz w:val="22"/>
          <w:szCs w:val="22"/>
        </w:rPr>
        <w:tab/>
        <w:t>Taxation and Non Specific Grant Income</w:t>
      </w:r>
    </w:p>
    <w:p w:rsidR="006055F2" w:rsidRPr="00D42E0B" w:rsidRDefault="006055F2" w:rsidP="00591A3A">
      <w:pPr>
        <w:pStyle w:val="ExampleSub"/>
        <w:keepNext w:val="0"/>
        <w:keepLines w:val="0"/>
        <w:ind w:left="0"/>
        <w:outlineLvl w:val="0"/>
        <w:rPr>
          <w:rFonts w:ascii="Arial" w:hAnsi="Arial" w:cs="Times New Roman"/>
          <w:bCs w:val="0"/>
          <w:color w:val="548DD4" w:themeColor="text2" w:themeTint="99"/>
          <w:sz w:val="21"/>
          <w:szCs w:val="21"/>
          <w:lang w:eastAsia="en-US"/>
        </w:rPr>
      </w:pPr>
    </w:p>
    <w:tbl>
      <w:tblPr>
        <w:tblStyle w:val="ListTable3-Accent51"/>
        <w:tblW w:w="0" w:type="auto"/>
        <w:tblInd w:w="675" w:type="dxa"/>
        <w:tblLook w:val="00A0"/>
      </w:tblPr>
      <w:tblGrid>
        <w:gridCol w:w="1696"/>
        <w:gridCol w:w="4372"/>
        <w:gridCol w:w="2100"/>
      </w:tblGrid>
      <w:tr w:rsidR="00396DE9" w:rsidRPr="00521368" w:rsidTr="005B3D95">
        <w:trPr>
          <w:cnfStyle w:val="100000000000"/>
        </w:trPr>
        <w:tc>
          <w:tcPr>
            <w:cnfStyle w:val="001000000100"/>
            <w:tcW w:w="1696" w:type="dxa"/>
          </w:tcPr>
          <w:p w:rsidR="00126836" w:rsidRPr="00521368" w:rsidRDefault="00591A3A" w:rsidP="003C5E34">
            <w:pPr>
              <w:pStyle w:val="ExampleSub"/>
              <w:keepNext w:val="0"/>
              <w:keepLines w:val="0"/>
              <w:ind w:left="0"/>
              <w:jc w:val="center"/>
              <w:rPr>
                <w:rFonts w:ascii="Arial" w:hAnsi="Arial" w:cs="Arial"/>
                <w:color w:val="auto"/>
                <w:sz w:val="20"/>
                <w:szCs w:val="20"/>
              </w:rPr>
            </w:pPr>
            <w:r w:rsidRPr="00521368">
              <w:rPr>
                <w:rFonts w:ascii="Arial" w:hAnsi="Arial" w:cs="Arial"/>
                <w:color w:val="auto"/>
                <w:sz w:val="20"/>
                <w:szCs w:val="20"/>
              </w:rPr>
              <w:t>201</w:t>
            </w:r>
            <w:r w:rsidR="00521368" w:rsidRPr="00521368">
              <w:rPr>
                <w:rFonts w:ascii="Arial" w:hAnsi="Arial" w:cs="Arial"/>
                <w:color w:val="auto"/>
                <w:sz w:val="20"/>
                <w:szCs w:val="20"/>
              </w:rPr>
              <w:t>4</w:t>
            </w:r>
            <w:r w:rsidR="00E51139" w:rsidRPr="00521368">
              <w:rPr>
                <w:rFonts w:ascii="Arial" w:hAnsi="Arial" w:cs="Arial"/>
                <w:color w:val="auto"/>
                <w:sz w:val="20"/>
                <w:szCs w:val="20"/>
              </w:rPr>
              <w:t>/1</w:t>
            </w:r>
            <w:r w:rsidR="00521368" w:rsidRPr="00521368">
              <w:rPr>
                <w:rFonts w:ascii="Arial" w:hAnsi="Arial" w:cs="Arial"/>
                <w:color w:val="auto"/>
                <w:sz w:val="20"/>
                <w:szCs w:val="20"/>
              </w:rPr>
              <w:t>5</w:t>
            </w:r>
            <w:r w:rsidR="00E51139" w:rsidRPr="00521368">
              <w:rPr>
                <w:rFonts w:ascii="Arial" w:hAnsi="Arial" w:cs="Arial"/>
                <w:color w:val="auto"/>
                <w:sz w:val="20"/>
                <w:szCs w:val="20"/>
              </w:rPr>
              <w:t xml:space="preserve"> </w:t>
            </w:r>
          </w:p>
          <w:p w:rsidR="00CB4D72" w:rsidRPr="00521368" w:rsidRDefault="00126836" w:rsidP="00126836">
            <w:pPr>
              <w:pStyle w:val="ExampleSub"/>
              <w:keepNext w:val="0"/>
              <w:keepLines w:val="0"/>
              <w:ind w:left="0"/>
              <w:jc w:val="center"/>
              <w:rPr>
                <w:rFonts w:ascii="Arial" w:hAnsi="Arial" w:cs="Arial"/>
                <w:color w:val="auto"/>
                <w:sz w:val="20"/>
                <w:szCs w:val="20"/>
              </w:rPr>
            </w:pPr>
            <w:r w:rsidRPr="00521368">
              <w:rPr>
                <w:rFonts w:ascii="Arial" w:hAnsi="Arial" w:cs="Arial"/>
                <w:color w:val="auto"/>
                <w:sz w:val="20"/>
                <w:szCs w:val="20"/>
              </w:rPr>
              <w:t>£m</w:t>
            </w:r>
          </w:p>
        </w:tc>
        <w:tc>
          <w:tcPr>
            <w:cnfStyle w:val="000010000000"/>
            <w:tcW w:w="4372" w:type="dxa"/>
          </w:tcPr>
          <w:p w:rsidR="00E51139" w:rsidRPr="00521368" w:rsidRDefault="00E51139" w:rsidP="003C5E34">
            <w:pPr>
              <w:pStyle w:val="ExampleSub"/>
              <w:keepNext w:val="0"/>
              <w:keepLines w:val="0"/>
              <w:ind w:left="0"/>
              <w:rPr>
                <w:rFonts w:ascii="Arial" w:hAnsi="Arial" w:cs="Arial"/>
                <w:color w:val="auto"/>
                <w:sz w:val="20"/>
                <w:szCs w:val="20"/>
              </w:rPr>
            </w:pPr>
          </w:p>
        </w:tc>
        <w:tc>
          <w:tcPr>
            <w:tcW w:w="2100" w:type="dxa"/>
          </w:tcPr>
          <w:p w:rsidR="00126836" w:rsidRPr="00521368" w:rsidRDefault="00E51139" w:rsidP="00721500">
            <w:pPr>
              <w:pStyle w:val="ExampleSub"/>
              <w:keepNext w:val="0"/>
              <w:keepLines w:val="0"/>
              <w:ind w:left="0"/>
              <w:jc w:val="center"/>
              <w:cnfStyle w:val="100000000000"/>
              <w:rPr>
                <w:rFonts w:ascii="Arial" w:hAnsi="Arial" w:cs="Arial"/>
                <w:color w:val="auto"/>
                <w:sz w:val="20"/>
                <w:szCs w:val="20"/>
              </w:rPr>
            </w:pPr>
            <w:r w:rsidRPr="00521368">
              <w:rPr>
                <w:rFonts w:ascii="Arial" w:hAnsi="Arial" w:cs="Arial"/>
                <w:color w:val="auto"/>
                <w:sz w:val="20"/>
                <w:szCs w:val="20"/>
              </w:rPr>
              <w:t>201</w:t>
            </w:r>
            <w:r w:rsidR="00521368" w:rsidRPr="00521368">
              <w:rPr>
                <w:rFonts w:ascii="Arial" w:hAnsi="Arial" w:cs="Arial"/>
                <w:color w:val="auto"/>
                <w:sz w:val="20"/>
                <w:szCs w:val="20"/>
              </w:rPr>
              <w:t>5</w:t>
            </w:r>
            <w:r w:rsidR="00924BCD" w:rsidRPr="00521368">
              <w:rPr>
                <w:rFonts w:ascii="Arial" w:hAnsi="Arial" w:cs="Arial"/>
                <w:color w:val="auto"/>
                <w:sz w:val="20"/>
                <w:szCs w:val="20"/>
              </w:rPr>
              <w:t>/1</w:t>
            </w:r>
            <w:r w:rsidR="00521368" w:rsidRPr="00521368">
              <w:rPr>
                <w:rFonts w:ascii="Arial" w:hAnsi="Arial" w:cs="Arial"/>
                <w:color w:val="auto"/>
                <w:sz w:val="20"/>
                <w:szCs w:val="20"/>
              </w:rPr>
              <w:t>6</w:t>
            </w:r>
          </w:p>
          <w:p w:rsidR="00E51139" w:rsidRPr="00521368" w:rsidRDefault="00E51139" w:rsidP="00721500">
            <w:pPr>
              <w:pStyle w:val="ExampleSub"/>
              <w:keepNext w:val="0"/>
              <w:keepLines w:val="0"/>
              <w:ind w:left="0"/>
              <w:jc w:val="center"/>
              <w:cnfStyle w:val="100000000000"/>
              <w:rPr>
                <w:rFonts w:ascii="Arial" w:hAnsi="Arial" w:cs="Arial"/>
                <w:color w:val="auto"/>
                <w:sz w:val="20"/>
                <w:szCs w:val="20"/>
              </w:rPr>
            </w:pPr>
            <w:r w:rsidRPr="00521368">
              <w:rPr>
                <w:rFonts w:ascii="Arial" w:hAnsi="Arial" w:cs="Arial"/>
                <w:color w:val="auto"/>
                <w:sz w:val="20"/>
                <w:szCs w:val="20"/>
              </w:rPr>
              <w:t xml:space="preserve"> £m</w:t>
            </w:r>
          </w:p>
        </w:tc>
      </w:tr>
      <w:tr w:rsidR="00521368" w:rsidRPr="00521368" w:rsidTr="00521368">
        <w:trPr>
          <w:cnfStyle w:val="000000100000"/>
        </w:trPr>
        <w:tc>
          <w:tcPr>
            <w:cnfStyle w:val="001000000000"/>
            <w:tcW w:w="1696" w:type="dxa"/>
          </w:tcPr>
          <w:p w:rsidR="00521368" w:rsidRPr="00392695" w:rsidRDefault="00521368" w:rsidP="00521368">
            <w:pPr>
              <w:pStyle w:val="ExampleSub"/>
              <w:keepNext w:val="0"/>
              <w:keepLines w:val="0"/>
              <w:ind w:left="0"/>
              <w:jc w:val="center"/>
              <w:rPr>
                <w:rFonts w:ascii="Arial" w:hAnsi="Arial" w:cs="Arial"/>
                <w:b w:val="0"/>
                <w:color w:val="auto"/>
                <w:sz w:val="20"/>
                <w:szCs w:val="20"/>
              </w:rPr>
            </w:pPr>
            <w:r w:rsidRPr="00392695">
              <w:rPr>
                <w:rFonts w:ascii="Arial" w:hAnsi="Arial" w:cs="Arial"/>
                <w:b w:val="0"/>
                <w:color w:val="auto"/>
                <w:sz w:val="20"/>
                <w:szCs w:val="20"/>
              </w:rPr>
              <w:t>(53.5)</w:t>
            </w:r>
          </w:p>
        </w:tc>
        <w:tc>
          <w:tcPr>
            <w:cnfStyle w:val="000010000000"/>
            <w:tcW w:w="4372" w:type="dxa"/>
            <w:vAlign w:val="center"/>
          </w:tcPr>
          <w:p w:rsidR="00521368" w:rsidRPr="00521368" w:rsidRDefault="00521368" w:rsidP="00347FF5">
            <w:pPr>
              <w:pStyle w:val="ExampleSub"/>
              <w:keepNext w:val="0"/>
              <w:keepLines w:val="0"/>
              <w:ind w:left="0"/>
              <w:rPr>
                <w:rFonts w:ascii="Arial" w:hAnsi="Arial" w:cs="Arial"/>
                <w:b w:val="0"/>
                <w:bCs w:val="0"/>
                <w:color w:val="auto"/>
                <w:sz w:val="20"/>
                <w:szCs w:val="20"/>
              </w:rPr>
            </w:pPr>
            <w:r w:rsidRPr="00521368">
              <w:rPr>
                <w:rFonts w:ascii="Arial" w:hAnsi="Arial" w:cs="Arial"/>
                <w:b w:val="0"/>
                <w:bCs w:val="0"/>
                <w:color w:val="auto"/>
                <w:sz w:val="20"/>
                <w:szCs w:val="20"/>
              </w:rPr>
              <w:t xml:space="preserve">Council tax </w:t>
            </w:r>
            <w:r w:rsidR="00347FF5">
              <w:rPr>
                <w:rFonts w:ascii="Arial" w:hAnsi="Arial" w:cs="Arial"/>
                <w:b w:val="0"/>
                <w:bCs w:val="0"/>
                <w:color w:val="auto"/>
                <w:sz w:val="20"/>
                <w:szCs w:val="20"/>
              </w:rPr>
              <w:t>I</w:t>
            </w:r>
            <w:r w:rsidRPr="00521368">
              <w:rPr>
                <w:rFonts w:ascii="Arial" w:hAnsi="Arial" w:cs="Arial"/>
                <w:b w:val="0"/>
                <w:bCs w:val="0"/>
                <w:color w:val="auto"/>
                <w:sz w:val="20"/>
                <w:szCs w:val="20"/>
              </w:rPr>
              <w:t>ncome</w:t>
            </w:r>
            <w:r w:rsidR="00347FF5">
              <w:rPr>
                <w:rFonts w:ascii="Arial" w:hAnsi="Arial" w:cs="Arial"/>
                <w:b w:val="0"/>
                <w:bCs w:val="0"/>
                <w:color w:val="auto"/>
                <w:sz w:val="20"/>
                <w:szCs w:val="20"/>
              </w:rPr>
              <w:t xml:space="preserve"> &amp; Collection Fund </w:t>
            </w:r>
          </w:p>
        </w:tc>
        <w:tc>
          <w:tcPr>
            <w:tcW w:w="2100" w:type="dxa"/>
          </w:tcPr>
          <w:p w:rsidR="00521368" w:rsidRPr="00521368" w:rsidRDefault="00392695" w:rsidP="00347FF5">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(5</w:t>
            </w:r>
            <w:r w:rsidR="00347FF5">
              <w:rPr>
                <w:rFonts w:ascii="Arial" w:hAnsi="Arial" w:cs="Arial"/>
                <w:bCs w:val="0"/>
                <w:color w:val="auto"/>
                <w:sz w:val="20"/>
                <w:szCs w:val="20"/>
              </w:rPr>
              <w:t>4.7</w:t>
            </w:r>
            <w:r>
              <w:rPr>
                <w:rFonts w:ascii="Arial" w:hAnsi="Arial" w:cs="Arial"/>
                <w:bCs w:val="0"/>
                <w:color w:val="auto"/>
                <w:sz w:val="20"/>
                <w:szCs w:val="20"/>
              </w:rPr>
              <w:t>)</w:t>
            </w:r>
          </w:p>
        </w:tc>
      </w:tr>
      <w:tr w:rsidR="00521368" w:rsidRPr="00521368" w:rsidTr="00521368">
        <w:tc>
          <w:tcPr>
            <w:cnfStyle w:val="001000000000"/>
            <w:tcW w:w="1696" w:type="dxa"/>
          </w:tcPr>
          <w:p w:rsidR="00521368" w:rsidRPr="00392695" w:rsidRDefault="00521368" w:rsidP="00521368">
            <w:pPr>
              <w:pStyle w:val="ExampleSub"/>
              <w:keepNext w:val="0"/>
              <w:keepLines w:val="0"/>
              <w:ind w:left="0"/>
              <w:jc w:val="center"/>
              <w:rPr>
                <w:rFonts w:ascii="Arial" w:hAnsi="Arial" w:cs="Arial"/>
                <w:b w:val="0"/>
                <w:color w:val="auto"/>
                <w:sz w:val="20"/>
                <w:szCs w:val="20"/>
              </w:rPr>
            </w:pPr>
            <w:r w:rsidRPr="00392695">
              <w:rPr>
                <w:rFonts w:ascii="Arial" w:hAnsi="Arial" w:cs="Arial"/>
                <w:b w:val="0"/>
                <w:color w:val="auto"/>
                <w:sz w:val="20"/>
                <w:szCs w:val="20"/>
              </w:rPr>
              <w:t>(26.1)</w:t>
            </w:r>
          </w:p>
        </w:tc>
        <w:tc>
          <w:tcPr>
            <w:cnfStyle w:val="000010000000"/>
            <w:tcW w:w="4372" w:type="dxa"/>
            <w:vAlign w:val="center"/>
          </w:tcPr>
          <w:p w:rsidR="00521368" w:rsidRPr="00521368" w:rsidRDefault="002A5981" w:rsidP="00AE29C3">
            <w:pPr>
              <w:pStyle w:val="ExampleSub"/>
              <w:keepNext w:val="0"/>
              <w:keepLines w:val="0"/>
              <w:ind w:left="0"/>
              <w:rPr>
                <w:rFonts w:ascii="Arial" w:hAnsi="Arial" w:cs="Arial"/>
                <w:b w:val="0"/>
                <w:bCs w:val="0"/>
                <w:color w:val="auto"/>
                <w:sz w:val="20"/>
                <w:szCs w:val="20"/>
              </w:rPr>
            </w:pPr>
            <w:r>
              <w:rPr>
                <w:rFonts w:ascii="Arial" w:hAnsi="Arial" w:cs="Arial"/>
                <w:b w:val="0"/>
                <w:bCs w:val="0"/>
                <w:color w:val="auto"/>
                <w:sz w:val="20"/>
                <w:szCs w:val="20"/>
              </w:rPr>
              <w:t>Retained income from rate retention scheme</w:t>
            </w:r>
            <w:r w:rsidR="00521368" w:rsidRPr="00521368">
              <w:rPr>
                <w:rFonts w:ascii="Arial" w:hAnsi="Arial" w:cs="Arial"/>
                <w:b w:val="0"/>
                <w:bCs w:val="0"/>
                <w:color w:val="auto"/>
                <w:sz w:val="20"/>
                <w:szCs w:val="20"/>
              </w:rPr>
              <w:t xml:space="preserve"> </w:t>
            </w:r>
          </w:p>
        </w:tc>
        <w:tc>
          <w:tcPr>
            <w:tcW w:w="2100" w:type="dxa"/>
          </w:tcPr>
          <w:p w:rsidR="00521368" w:rsidRPr="00521368" w:rsidRDefault="00392695" w:rsidP="00347FF5">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(30.</w:t>
            </w:r>
            <w:r w:rsidR="00347FF5">
              <w:rPr>
                <w:rFonts w:ascii="Arial" w:hAnsi="Arial" w:cs="Arial"/>
                <w:bCs w:val="0"/>
                <w:color w:val="auto"/>
                <w:sz w:val="20"/>
                <w:szCs w:val="20"/>
              </w:rPr>
              <w:t>7</w:t>
            </w:r>
            <w:r>
              <w:rPr>
                <w:rFonts w:ascii="Arial" w:hAnsi="Arial" w:cs="Arial"/>
                <w:bCs w:val="0"/>
                <w:color w:val="auto"/>
                <w:sz w:val="20"/>
                <w:szCs w:val="20"/>
              </w:rPr>
              <w:t>)</w:t>
            </w:r>
          </w:p>
        </w:tc>
      </w:tr>
      <w:tr w:rsidR="00521368" w:rsidRPr="00521368" w:rsidTr="00521368">
        <w:trPr>
          <w:cnfStyle w:val="000000100000"/>
        </w:trPr>
        <w:tc>
          <w:tcPr>
            <w:cnfStyle w:val="001000000000"/>
            <w:tcW w:w="1696" w:type="dxa"/>
          </w:tcPr>
          <w:p w:rsidR="00521368" w:rsidRPr="00392695" w:rsidRDefault="00521368" w:rsidP="00521368">
            <w:pPr>
              <w:pStyle w:val="ExampleSub"/>
              <w:keepNext w:val="0"/>
              <w:keepLines w:val="0"/>
              <w:ind w:left="0"/>
              <w:jc w:val="center"/>
              <w:rPr>
                <w:rFonts w:ascii="Arial" w:hAnsi="Arial" w:cs="Arial"/>
                <w:b w:val="0"/>
                <w:color w:val="auto"/>
                <w:sz w:val="20"/>
                <w:szCs w:val="20"/>
              </w:rPr>
            </w:pPr>
            <w:r w:rsidRPr="00392695">
              <w:rPr>
                <w:rFonts w:ascii="Arial" w:hAnsi="Arial" w:cs="Arial"/>
                <w:b w:val="0"/>
                <w:color w:val="auto"/>
                <w:sz w:val="20"/>
                <w:szCs w:val="20"/>
              </w:rPr>
              <w:t>(2.6)</w:t>
            </w:r>
          </w:p>
        </w:tc>
        <w:tc>
          <w:tcPr>
            <w:cnfStyle w:val="000010000000"/>
            <w:tcW w:w="4372" w:type="dxa"/>
            <w:vAlign w:val="center"/>
          </w:tcPr>
          <w:p w:rsidR="00521368" w:rsidRPr="00521368" w:rsidRDefault="00521368" w:rsidP="00AE29C3">
            <w:pPr>
              <w:pStyle w:val="ExampleSub"/>
              <w:keepNext w:val="0"/>
              <w:keepLines w:val="0"/>
              <w:ind w:left="0"/>
              <w:rPr>
                <w:rFonts w:ascii="Arial" w:hAnsi="Arial" w:cs="Arial"/>
                <w:b w:val="0"/>
                <w:bCs w:val="0"/>
                <w:color w:val="auto"/>
                <w:sz w:val="20"/>
                <w:szCs w:val="20"/>
              </w:rPr>
            </w:pPr>
            <w:r w:rsidRPr="00521368">
              <w:rPr>
                <w:rFonts w:ascii="Arial" w:hAnsi="Arial" w:cs="Arial"/>
                <w:b w:val="0"/>
                <w:bCs w:val="0"/>
                <w:color w:val="auto"/>
                <w:sz w:val="20"/>
                <w:szCs w:val="20"/>
              </w:rPr>
              <w:t>Collection Fund Adjustment Account</w:t>
            </w:r>
          </w:p>
        </w:tc>
        <w:tc>
          <w:tcPr>
            <w:tcW w:w="2100" w:type="dxa"/>
          </w:tcPr>
          <w:p w:rsidR="00521368" w:rsidRPr="00521368" w:rsidRDefault="00392695" w:rsidP="00197AB1">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0.3</w:t>
            </w:r>
          </w:p>
        </w:tc>
      </w:tr>
      <w:tr w:rsidR="00521368" w:rsidRPr="00521368" w:rsidTr="00521368">
        <w:tc>
          <w:tcPr>
            <w:cnfStyle w:val="001000000000"/>
            <w:tcW w:w="1696" w:type="dxa"/>
          </w:tcPr>
          <w:p w:rsidR="00521368" w:rsidRPr="00392695" w:rsidRDefault="00521368" w:rsidP="00521368">
            <w:pPr>
              <w:pStyle w:val="ExampleSub"/>
              <w:keepNext w:val="0"/>
              <w:keepLines w:val="0"/>
              <w:ind w:left="0"/>
              <w:jc w:val="center"/>
              <w:rPr>
                <w:rFonts w:ascii="Arial" w:hAnsi="Arial" w:cs="Arial"/>
                <w:b w:val="0"/>
                <w:color w:val="auto"/>
                <w:sz w:val="20"/>
                <w:szCs w:val="20"/>
              </w:rPr>
            </w:pPr>
            <w:r w:rsidRPr="005C4110">
              <w:rPr>
                <w:rFonts w:ascii="Arial" w:hAnsi="Arial" w:cs="Arial"/>
                <w:b w:val="0"/>
                <w:color w:val="auto"/>
                <w:sz w:val="20"/>
                <w:szCs w:val="20"/>
              </w:rPr>
              <w:t>(41.9)</w:t>
            </w:r>
          </w:p>
        </w:tc>
        <w:tc>
          <w:tcPr>
            <w:cnfStyle w:val="000010000000"/>
            <w:tcW w:w="4372" w:type="dxa"/>
            <w:vAlign w:val="center"/>
          </w:tcPr>
          <w:p w:rsidR="00521368" w:rsidRPr="00521368" w:rsidRDefault="00521368" w:rsidP="00AE29C3">
            <w:pPr>
              <w:pStyle w:val="ExampleSub"/>
              <w:keepNext w:val="0"/>
              <w:keepLines w:val="0"/>
              <w:ind w:left="0"/>
              <w:rPr>
                <w:rFonts w:ascii="Arial" w:hAnsi="Arial" w:cs="Arial"/>
                <w:b w:val="0"/>
                <w:bCs w:val="0"/>
                <w:color w:val="auto"/>
                <w:sz w:val="20"/>
                <w:szCs w:val="20"/>
              </w:rPr>
            </w:pPr>
            <w:r w:rsidRPr="00521368">
              <w:rPr>
                <w:rFonts w:ascii="Arial" w:hAnsi="Arial" w:cs="Arial"/>
                <w:b w:val="0"/>
                <w:bCs w:val="0"/>
                <w:color w:val="auto"/>
                <w:sz w:val="20"/>
                <w:szCs w:val="20"/>
              </w:rPr>
              <w:t>Non-</w:t>
            </w:r>
            <w:r w:rsidR="007E33E1" w:rsidRPr="00521368">
              <w:rPr>
                <w:rFonts w:ascii="Arial" w:hAnsi="Arial" w:cs="Arial"/>
                <w:b w:val="0"/>
                <w:bCs w:val="0"/>
                <w:color w:val="auto"/>
                <w:sz w:val="20"/>
                <w:szCs w:val="20"/>
              </w:rPr>
              <w:t>ring fenced</w:t>
            </w:r>
            <w:r w:rsidRPr="00521368">
              <w:rPr>
                <w:rFonts w:ascii="Arial" w:hAnsi="Arial" w:cs="Arial"/>
                <w:b w:val="0"/>
                <w:bCs w:val="0"/>
                <w:color w:val="auto"/>
                <w:sz w:val="20"/>
                <w:szCs w:val="20"/>
              </w:rPr>
              <w:t xml:space="preserve"> government grants</w:t>
            </w:r>
          </w:p>
        </w:tc>
        <w:tc>
          <w:tcPr>
            <w:tcW w:w="2100" w:type="dxa"/>
          </w:tcPr>
          <w:p w:rsidR="00521368" w:rsidRPr="00521368" w:rsidRDefault="00392695" w:rsidP="00392695">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(29.2)</w:t>
            </w:r>
          </w:p>
        </w:tc>
      </w:tr>
      <w:tr w:rsidR="00521368" w:rsidRPr="00521368" w:rsidTr="00521368">
        <w:trPr>
          <w:cnfStyle w:val="000000100000"/>
        </w:trPr>
        <w:tc>
          <w:tcPr>
            <w:cnfStyle w:val="001000000000"/>
            <w:tcW w:w="1696" w:type="dxa"/>
          </w:tcPr>
          <w:p w:rsidR="00521368" w:rsidRPr="00392695" w:rsidRDefault="00521368" w:rsidP="00521368">
            <w:pPr>
              <w:pStyle w:val="ExampleSub"/>
              <w:keepNext w:val="0"/>
              <w:keepLines w:val="0"/>
              <w:ind w:left="0"/>
              <w:jc w:val="center"/>
              <w:rPr>
                <w:rFonts w:ascii="Arial" w:hAnsi="Arial" w:cs="Arial"/>
                <w:b w:val="0"/>
                <w:color w:val="auto"/>
                <w:sz w:val="20"/>
                <w:szCs w:val="20"/>
              </w:rPr>
            </w:pPr>
            <w:r w:rsidRPr="00392695">
              <w:rPr>
                <w:rFonts w:ascii="Arial" w:hAnsi="Arial" w:cs="Arial"/>
                <w:b w:val="0"/>
                <w:color w:val="auto"/>
                <w:sz w:val="20"/>
                <w:szCs w:val="20"/>
              </w:rPr>
              <w:t>(8.6)</w:t>
            </w:r>
          </w:p>
        </w:tc>
        <w:tc>
          <w:tcPr>
            <w:cnfStyle w:val="000010000000"/>
            <w:tcW w:w="4372" w:type="dxa"/>
            <w:vAlign w:val="center"/>
          </w:tcPr>
          <w:p w:rsidR="00521368" w:rsidRPr="00521368" w:rsidRDefault="00521368" w:rsidP="00AE29C3">
            <w:pPr>
              <w:pStyle w:val="ExampleSub"/>
              <w:keepNext w:val="0"/>
              <w:keepLines w:val="0"/>
              <w:ind w:left="0"/>
              <w:rPr>
                <w:rFonts w:ascii="Arial" w:hAnsi="Arial" w:cs="Arial"/>
                <w:b w:val="0"/>
                <w:bCs w:val="0"/>
                <w:color w:val="auto"/>
                <w:sz w:val="20"/>
                <w:szCs w:val="20"/>
              </w:rPr>
            </w:pPr>
            <w:r w:rsidRPr="00521368">
              <w:rPr>
                <w:rFonts w:ascii="Arial" w:hAnsi="Arial" w:cs="Arial"/>
                <w:b w:val="0"/>
                <w:bCs w:val="0"/>
                <w:color w:val="auto"/>
                <w:sz w:val="20"/>
                <w:szCs w:val="20"/>
              </w:rPr>
              <w:t>Capital grants and contributions</w:t>
            </w:r>
          </w:p>
        </w:tc>
        <w:tc>
          <w:tcPr>
            <w:tcW w:w="2100" w:type="dxa"/>
          </w:tcPr>
          <w:p w:rsidR="00521368" w:rsidRPr="00521368" w:rsidRDefault="00392695" w:rsidP="00197AB1">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(7.5)</w:t>
            </w:r>
          </w:p>
        </w:tc>
      </w:tr>
      <w:tr w:rsidR="00521368" w:rsidRPr="00521368" w:rsidTr="00521368">
        <w:tc>
          <w:tcPr>
            <w:cnfStyle w:val="001000000000"/>
            <w:tcW w:w="1696" w:type="dxa"/>
          </w:tcPr>
          <w:p w:rsidR="00521368" w:rsidRPr="00392695" w:rsidRDefault="00521368" w:rsidP="00521368">
            <w:pPr>
              <w:pStyle w:val="ExampleSub"/>
              <w:keepNext w:val="0"/>
              <w:keepLines w:val="0"/>
              <w:ind w:left="0"/>
              <w:jc w:val="center"/>
              <w:rPr>
                <w:rFonts w:ascii="Arial" w:hAnsi="Arial" w:cs="Arial"/>
                <w:b w:val="0"/>
                <w:color w:val="auto"/>
                <w:sz w:val="20"/>
                <w:szCs w:val="20"/>
              </w:rPr>
            </w:pPr>
            <w:r w:rsidRPr="00392695">
              <w:rPr>
                <w:rFonts w:ascii="Arial" w:hAnsi="Arial" w:cs="Arial"/>
                <w:b w:val="0"/>
                <w:color w:val="auto"/>
                <w:sz w:val="20"/>
                <w:szCs w:val="20"/>
              </w:rPr>
              <w:t>(132.7)</w:t>
            </w:r>
          </w:p>
        </w:tc>
        <w:tc>
          <w:tcPr>
            <w:cnfStyle w:val="000010000000"/>
            <w:tcW w:w="4372" w:type="dxa"/>
            <w:vAlign w:val="center"/>
          </w:tcPr>
          <w:p w:rsidR="00521368" w:rsidRPr="00521368" w:rsidRDefault="00521368" w:rsidP="00AE29C3">
            <w:pPr>
              <w:pStyle w:val="ExampleSub"/>
              <w:keepNext w:val="0"/>
              <w:keepLines w:val="0"/>
              <w:ind w:left="0"/>
              <w:rPr>
                <w:rFonts w:ascii="Arial" w:hAnsi="Arial" w:cs="Arial"/>
                <w:b w:val="0"/>
                <w:bCs w:val="0"/>
                <w:color w:val="auto"/>
                <w:sz w:val="20"/>
                <w:szCs w:val="20"/>
              </w:rPr>
            </w:pPr>
            <w:r w:rsidRPr="00521368">
              <w:rPr>
                <w:rFonts w:ascii="Arial" w:hAnsi="Arial" w:cs="Arial"/>
                <w:b w:val="0"/>
                <w:bCs w:val="0"/>
                <w:color w:val="auto"/>
                <w:sz w:val="20"/>
                <w:szCs w:val="20"/>
              </w:rPr>
              <w:t>Total</w:t>
            </w:r>
          </w:p>
        </w:tc>
        <w:tc>
          <w:tcPr>
            <w:tcW w:w="2100" w:type="dxa"/>
          </w:tcPr>
          <w:p w:rsidR="00521368" w:rsidRPr="00521368" w:rsidRDefault="00392695" w:rsidP="000C2144">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(121.8)</w:t>
            </w:r>
          </w:p>
        </w:tc>
      </w:tr>
    </w:tbl>
    <w:p w:rsidR="000D1F14" w:rsidRPr="00D42E0B" w:rsidRDefault="000D1F14" w:rsidP="00335596">
      <w:pPr>
        <w:pStyle w:val="Subtitle"/>
        <w:rPr>
          <w:color w:val="548DD4" w:themeColor="text2" w:themeTint="99"/>
          <w:sz w:val="22"/>
          <w:szCs w:val="22"/>
        </w:rPr>
      </w:pPr>
    </w:p>
    <w:p w:rsidR="00E51139" w:rsidRPr="00521368" w:rsidRDefault="00FE0163" w:rsidP="005B3D95">
      <w:pPr>
        <w:pStyle w:val="Subtitle"/>
        <w:ind w:left="567" w:hanging="567"/>
        <w:rPr>
          <w:b/>
          <w:color w:val="auto"/>
          <w:sz w:val="22"/>
          <w:szCs w:val="22"/>
        </w:rPr>
      </w:pPr>
      <w:r w:rsidRPr="00521368">
        <w:rPr>
          <w:b/>
          <w:color w:val="auto"/>
          <w:sz w:val="22"/>
          <w:szCs w:val="22"/>
        </w:rPr>
        <w:t>11.</w:t>
      </w:r>
      <w:r w:rsidRPr="00521368">
        <w:rPr>
          <w:b/>
          <w:color w:val="auto"/>
          <w:sz w:val="22"/>
          <w:szCs w:val="22"/>
        </w:rPr>
        <w:tab/>
      </w:r>
      <w:r w:rsidR="00E51139" w:rsidRPr="00521368">
        <w:rPr>
          <w:b/>
          <w:color w:val="auto"/>
          <w:sz w:val="22"/>
          <w:szCs w:val="22"/>
        </w:rPr>
        <w:t>Prope</w:t>
      </w:r>
      <w:r w:rsidR="00D74D23" w:rsidRPr="00521368">
        <w:rPr>
          <w:b/>
          <w:color w:val="auto"/>
          <w:sz w:val="22"/>
          <w:szCs w:val="22"/>
        </w:rPr>
        <w:t xml:space="preserve">rty, Plant and Equipment </w:t>
      </w:r>
    </w:p>
    <w:p w:rsidR="00E51139" w:rsidRPr="00521368" w:rsidRDefault="00E51139" w:rsidP="00E75A4D">
      <w:pPr>
        <w:pStyle w:val="ExampleSub"/>
        <w:keepNext w:val="0"/>
        <w:keepLines w:val="0"/>
        <w:rPr>
          <w:rFonts w:ascii="Arial" w:hAnsi="Arial" w:cs="Arial"/>
          <w:bCs w:val="0"/>
          <w:color w:val="auto"/>
          <w:sz w:val="20"/>
          <w:szCs w:val="20"/>
        </w:rPr>
      </w:pPr>
      <w:r w:rsidRPr="00521368">
        <w:rPr>
          <w:rFonts w:ascii="Arial" w:hAnsi="Arial" w:cs="Arial"/>
          <w:bCs w:val="0"/>
          <w:color w:val="auto"/>
          <w:sz w:val="20"/>
          <w:szCs w:val="20"/>
        </w:rPr>
        <w:t>Measurement Basis</w:t>
      </w:r>
    </w:p>
    <w:p w:rsidR="00E51139" w:rsidRPr="00521368" w:rsidRDefault="00E51139" w:rsidP="00AE29C3">
      <w:pPr>
        <w:pStyle w:val="ExampleSub"/>
        <w:keepNext w:val="0"/>
        <w:keepLines w:val="0"/>
        <w:spacing w:line="240" w:lineRule="auto"/>
        <w:rPr>
          <w:rFonts w:ascii="Arial" w:hAnsi="Arial" w:cs="Arial"/>
          <w:b w:val="0"/>
          <w:bCs w:val="0"/>
          <w:color w:val="auto"/>
          <w:sz w:val="20"/>
          <w:szCs w:val="20"/>
        </w:rPr>
      </w:pPr>
      <w:r w:rsidRPr="00521368">
        <w:rPr>
          <w:rFonts w:ascii="Arial" w:hAnsi="Arial" w:cs="Arial"/>
          <w:b w:val="0"/>
          <w:bCs w:val="0"/>
          <w:color w:val="auto"/>
          <w:sz w:val="20"/>
          <w:szCs w:val="20"/>
        </w:rPr>
        <w:t>Non Current assets are valued at fair value for their particular asset type (category).  Fair Value will therefore reflect:</w:t>
      </w:r>
    </w:p>
    <w:p w:rsidR="006055F2" w:rsidRPr="00521368" w:rsidRDefault="00E51139" w:rsidP="003E10DE">
      <w:pPr>
        <w:pStyle w:val="ExampleSub"/>
        <w:keepNext w:val="0"/>
        <w:keepLines w:val="0"/>
        <w:numPr>
          <w:ilvl w:val="0"/>
          <w:numId w:val="22"/>
        </w:numPr>
        <w:spacing w:line="240" w:lineRule="auto"/>
        <w:rPr>
          <w:rFonts w:ascii="Arial" w:hAnsi="Arial" w:cs="Arial"/>
          <w:b w:val="0"/>
          <w:bCs w:val="0"/>
          <w:color w:val="auto"/>
          <w:sz w:val="20"/>
          <w:szCs w:val="20"/>
        </w:rPr>
      </w:pPr>
      <w:r w:rsidRPr="00521368">
        <w:rPr>
          <w:rFonts w:ascii="Arial" w:hAnsi="Arial" w:cs="Arial"/>
          <w:b w:val="0"/>
          <w:bCs w:val="0"/>
          <w:color w:val="auto"/>
          <w:sz w:val="20"/>
          <w:szCs w:val="20"/>
        </w:rPr>
        <w:t xml:space="preserve">Existing Use Value for most categories of Property Plant and Equipment </w:t>
      </w:r>
      <w:r w:rsidR="00D74D23" w:rsidRPr="00521368">
        <w:rPr>
          <w:rFonts w:ascii="Arial" w:hAnsi="Arial" w:cs="Arial"/>
          <w:b w:val="0"/>
          <w:bCs w:val="0"/>
          <w:color w:val="auto"/>
          <w:sz w:val="20"/>
          <w:szCs w:val="20"/>
        </w:rPr>
        <w:t>(P,P&amp;E)</w:t>
      </w:r>
    </w:p>
    <w:p w:rsidR="00E51139" w:rsidRPr="00521368" w:rsidRDefault="00E51139" w:rsidP="003E10DE">
      <w:pPr>
        <w:pStyle w:val="ExampleSub"/>
        <w:keepNext w:val="0"/>
        <w:keepLines w:val="0"/>
        <w:numPr>
          <w:ilvl w:val="0"/>
          <w:numId w:val="22"/>
        </w:numPr>
        <w:spacing w:line="240" w:lineRule="auto"/>
        <w:rPr>
          <w:rFonts w:ascii="Arial" w:hAnsi="Arial" w:cs="Arial"/>
          <w:b w:val="0"/>
          <w:bCs w:val="0"/>
          <w:color w:val="auto"/>
          <w:sz w:val="20"/>
          <w:szCs w:val="20"/>
        </w:rPr>
      </w:pPr>
      <w:r w:rsidRPr="00521368">
        <w:rPr>
          <w:rFonts w:ascii="Arial" w:hAnsi="Arial" w:cs="Arial"/>
          <w:b w:val="0"/>
          <w:bCs w:val="0"/>
          <w:color w:val="auto"/>
          <w:sz w:val="20"/>
          <w:szCs w:val="20"/>
        </w:rPr>
        <w:t>Depreciated Replacement Cost for assets of a specialised nature with no readily identifiable market</w:t>
      </w:r>
    </w:p>
    <w:p w:rsidR="00E51139" w:rsidRPr="00521368" w:rsidRDefault="00E51139" w:rsidP="003E10DE">
      <w:pPr>
        <w:pStyle w:val="ExampleSub"/>
        <w:keepNext w:val="0"/>
        <w:keepLines w:val="0"/>
        <w:numPr>
          <w:ilvl w:val="0"/>
          <w:numId w:val="22"/>
        </w:numPr>
        <w:spacing w:line="240" w:lineRule="auto"/>
        <w:rPr>
          <w:rFonts w:ascii="Arial" w:hAnsi="Arial" w:cs="Arial"/>
          <w:b w:val="0"/>
          <w:bCs w:val="0"/>
          <w:color w:val="auto"/>
          <w:sz w:val="20"/>
          <w:szCs w:val="20"/>
        </w:rPr>
      </w:pPr>
      <w:r w:rsidRPr="00521368">
        <w:rPr>
          <w:rFonts w:ascii="Arial" w:hAnsi="Arial" w:cs="Arial"/>
          <w:b w:val="0"/>
          <w:bCs w:val="0"/>
          <w:color w:val="auto"/>
          <w:sz w:val="20"/>
          <w:szCs w:val="20"/>
        </w:rPr>
        <w:t>Depreciated Historical Cost for Community, Infrastructure and Vehicles, Plant and Equipment</w:t>
      </w:r>
    </w:p>
    <w:p w:rsidR="00E51139" w:rsidRPr="00521368" w:rsidRDefault="00E51139" w:rsidP="003E10DE">
      <w:pPr>
        <w:pStyle w:val="ExampleSub"/>
        <w:keepNext w:val="0"/>
        <w:keepLines w:val="0"/>
        <w:numPr>
          <w:ilvl w:val="0"/>
          <w:numId w:val="22"/>
        </w:numPr>
        <w:spacing w:line="240" w:lineRule="auto"/>
        <w:rPr>
          <w:rFonts w:ascii="Arial" w:hAnsi="Arial" w:cs="Arial"/>
          <w:b w:val="0"/>
          <w:bCs w:val="0"/>
          <w:color w:val="auto"/>
          <w:sz w:val="20"/>
          <w:szCs w:val="20"/>
        </w:rPr>
      </w:pPr>
      <w:r w:rsidRPr="00521368">
        <w:rPr>
          <w:rFonts w:ascii="Arial" w:hAnsi="Arial" w:cs="Arial"/>
          <w:b w:val="0"/>
          <w:bCs w:val="0"/>
          <w:color w:val="auto"/>
          <w:sz w:val="20"/>
          <w:szCs w:val="20"/>
        </w:rPr>
        <w:t>Historical Cost for Assets under Construction</w:t>
      </w:r>
    </w:p>
    <w:p w:rsidR="00E51139" w:rsidRPr="00521368" w:rsidRDefault="00E51139" w:rsidP="00E75A4D">
      <w:pPr>
        <w:pStyle w:val="ExampleSub"/>
        <w:keepNext w:val="0"/>
        <w:keepLines w:val="0"/>
        <w:rPr>
          <w:rFonts w:ascii="Arial" w:hAnsi="Arial" w:cs="Arial"/>
          <w:bCs w:val="0"/>
          <w:color w:val="auto"/>
          <w:sz w:val="20"/>
          <w:szCs w:val="20"/>
        </w:rPr>
      </w:pPr>
      <w:r w:rsidRPr="00521368">
        <w:rPr>
          <w:rFonts w:ascii="Arial" w:hAnsi="Arial" w:cs="Arial"/>
          <w:bCs w:val="0"/>
          <w:color w:val="auto"/>
          <w:sz w:val="20"/>
          <w:szCs w:val="20"/>
        </w:rPr>
        <w:t>Depreciation method</w:t>
      </w:r>
    </w:p>
    <w:p w:rsidR="00E51139" w:rsidRPr="00521368" w:rsidRDefault="00E51139" w:rsidP="00AE29C3">
      <w:pPr>
        <w:pStyle w:val="ExampleSub"/>
        <w:keepNext w:val="0"/>
        <w:keepLines w:val="0"/>
        <w:spacing w:line="240" w:lineRule="auto"/>
        <w:rPr>
          <w:rFonts w:ascii="Arial" w:hAnsi="Arial" w:cs="Arial"/>
          <w:b w:val="0"/>
          <w:bCs w:val="0"/>
          <w:color w:val="auto"/>
          <w:sz w:val="20"/>
          <w:szCs w:val="20"/>
        </w:rPr>
      </w:pPr>
      <w:r w:rsidRPr="00521368">
        <w:rPr>
          <w:rFonts w:ascii="Arial" w:hAnsi="Arial" w:cs="Arial"/>
          <w:b w:val="0"/>
          <w:bCs w:val="0"/>
          <w:color w:val="auto"/>
          <w:sz w:val="20"/>
          <w:szCs w:val="20"/>
        </w:rPr>
        <w:t>Assets are depreciated on a straight line basis over the useful life of each asset to reflect the pattern in which the asset’s service potential is expected to be used.</w:t>
      </w:r>
    </w:p>
    <w:p w:rsidR="00E51139" w:rsidRPr="00521368" w:rsidRDefault="00E51139" w:rsidP="00AE29C3">
      <w:pPr>
        <w:pStyle w:val="ExampleSub"/>
        <w:keepNext w:val="0"/>
        <w:keepLines w:val="0"/>
        <w:spacing w:line="240" w:lineRule="auto"/>
        <w:rPr>
          <w:rFonts w:ascii="Arial" w:hAnsi="Arial" w:cs="Arial"/>
          <w:b w:val="0"/>
          <w:bCs w:val="0"/>
          <w:color w:val="auto"/>
          <w:sz w:val="20"/>
          <w:szCs w:val="20"/>
        </w:rPr>
      </w:pPr>
      <w:r w:rsidRPr="00521368">
        <w:rPr>
          <w:rFonts w:ascii="Arial" w:hAnsi="Arial" w:cs="Arial"/>
          <w:b w:val="0"/>
          <w:bCs w:val="0"/>
          <w:color w:val="auto"/>
          <w:sz w:val="20"/>
          <w:szCs w:val="20"/>
        </w:rPr>
        <w:t>Depreciation is applied to all asset types with the exception of land which is not depreciated due to its nature.</w:t>
      </w:r>
    </w:p>
    <w:p w:rsidR="00E51139" w:rsidRPr="00521368" w:rsidRDefault="00E51139" w:rsidP="00E75A4D">
      <w:pPr>
        <w:pStyle w:val="ExampleSub"/>
        <w:keepNext w:val="0"/>
        <w:keepLines w:val="0"/>
        <w:rPr>
          <w:rFonts w:ascii="Arial" w:hAnsi="Arial" w:cs="Arial"/>
          <w:bCs w:val="0"/>
          <w:color w:val="auto"/>
          <w:sz w:val="20"/>
          <w:szCs w:val="20"/>
        </w:rPr>
      </w:pPr>
      <w:r w:rsidRPr="00521368">
        <w:rPr>
          <w:rFonts w:ascii="Arial" w:hAnsi="Arial" w:cs="Arial"/>
          <w:bCs w:val="0"/>
          <w:color w:val="auto"/>
          <w:sz w:val="20"/>
          <w:szCs w:val="20"/>
        </w:rPr>
        <w:t>Useful lives used</w:t>
      </w:r>
    </w:p>
    <w:p w:rsidR="00E51139" w:rsidRPr="00521368" w:rsidRDefault="00E51139" w:rsidP="00AE29C3">
      <w:pPr>
        <w:pStyle w:val="ExampleSub"/>
        <w:keepNext w:val="0"/>
        <w:keepLines w:val="0"/>
        <w:spacing w:line="240" w:lineRule="auto"/>
        <w:rPr>
          <w:rFonts w:ascii="Arial" w:hAnsi="Arial" w:cs="Arial"/>
          <w:b w:val="0"/>
          <w:bCs w:val="0"/>
          <w:color w:val="auto"/>
          <w:sz w:val="20"/>
          <w:szCs w:val="20"/>
        </w:rPr>
      </w:pPr>
      <w:r w:rsidRPr="00521368">
        <w:rPr>
          <w:rFonts w:ascii="Arial" w:hAnsi="Arial" w:cs="Arial"/>
          <w:b w:val="0"/>
          <w:bCs w:val="0"/>
          <w:color w:val="auto"/>
          <w:sz w:val="20"/>
          <w:szCs w:val="20"/>
        </w:rPr>
        <w:t>The useful life of an asset represents the period over which an asset is expected to be of use in providing services for the Council.</w:t>
      </w:r>
    </w:p>
    <w:p w:rsidR="00730D43" w:rsidRPr="00D42E0B" w:rsidRDefault="00730D43" w:rsidP="00730D43">
      <w:pPr>
        <w:pStyle w:val="ExampleSub"/>
        <w:keepNext w:val="0"/>
        <w:keepLines w:val="0"/>
        <w:spacing w:before="0" w:line="240" w:lineRule="auto"/>
        <w:ind w:left="0"/>
        <w:outlineLvl w:val="0"/>
        <w:rPr>
          <w:rFonts w:ascii="Arial" w:hAnsi="Arial" w:cs="Arial"/>
          <w:b w:val="0"/>
          <w:bCs w:val="0"/>
          <w:color w:val="548DD4" w:themeColor="text2" w:themeTint="99"/>
          <w:sz w:val="20"/>
          <w:szCs w:val="20"/>
        </w:rPr>
      </w:pPr>
    </w:p>
    <w:p w:rsidR="006055F2" w:rsidRPr="00521368" w:rsidRDefault="00E51139" w:rsidP="00AE29C3">
      <w:pPr>
        <w:pStyle w:val="ExampleSub"/>
        <w:keepNext w:val="0"/>
        <w:keepLines w:val="0"/>
        <w:spacing w:before="0" w:line="240" w:lineRule="auto"/>
        <w:outlineLvl w:val="0"/>
        <w:rPr>
          <w:rFonts w:ascii="Arial" w:hAnsi="Arial" w:cs="Arial"/>
          <w:b w:val="0"/>
          <w:bCs w:val="0"/>
          <w:color w:val="auto"/>
          <w:sz w:val="20"/>
          <w:szCs w:val="20"/>
        </w:rPr>
      </w:pPr>
      <w:r w:rsidRPr="00521368">
        <w:rPr>
          <w:rFonts w:ascii="Arial" w:hAnsi="Arial" w:cs="Arial"/>
          <w:bCs w:val="0"/>
          <w:color w:val="auto"/>
          <w:sz w:val="20"/>
          <w:szCs w:val="20"/>
        </w:rPr>
        <w:t>Movements on Balances</w:t>
      </w:r>
    </w:p>
    <w:p w:rsidR="00AE29C3" w:rsidRPr="00521368" w:rsidRDefault="00AE29C3" w:rsidP="006055F2">
      <w:pPr>
        <w:pStyle w:val="ExampleSub"/>
        <w:keepNext w:val="0"/>
        <w:keepLines w:val="0"/>
        <w:spacing w:before="0" w:line="240" w:lineRule="auto"/>
        <w:outlineLvl w:val="0"/>
        <w:rPr>
          <w:rFonts w:ascii="Arial" w:hAnsi="Arial" w:cs="Arial"/>
          <w:b w:val="0"/>
          <w:bCs w:val="0"/>
          <w:color w:val="auto"/>
          <w:sz w:val="20"/>
          <w:szCs w:val="20"/>
        </w:rPr>
      </w:pPr>
    </w:p>
    <w:p w:rsidR="006055F2" w:rsidRPr="00D42E0B" w:rsidRDefault="00E51139" w:rsidP="006055F2">
      <w:pPr>
        <w:pStyle w:val="ExampleSub"/>
        <w:keepNext w:val="0"/>
        <w:keepLines w:val="0"/>
        <w:spacing w:before="0" w:line="240" w:lineRule="auto"/>
        <w:outlineLvl w:val="0"/>
        <w:rPr>
          <w:rFonts w:ascii="Arial" w:hAnsi="Arial" w:cs="Arial"/>
          <w:b w:val="0"/>
          <w:bCs w:val="0"/>
          <w:color w:val="548DD4" w:themeColor="text2" w:themeTint="99"/>
          <w:sz w:val="20"/>
          <w:szCs w:val="20"/>
        </w:rPr>
        <w:sectPr w:rsidR="006055F2" w:rsidRPr="00D42E0B" w:rsidSect="001A3F09">
          <w:pgSz w:w="11906" w:h="16838" w:code="9"/>
          <w:pgMar w:top="1440" w:right="1440" w:bottom="1440" w:left="1440" w:header="544" w:footer="544" w:gutter="0"/>
          <w:cols w:space="708"/>
          <w:titlePg/>
          <w:docGrid w:linePitch="360"/>
        </w:sectPr>
      </w:pPr>
      <w:r w:rsidRPr="00521368">
        <w:rPr>
          <w:rFonts w:ascii="Arial" w:hAnsi="Arial" w:cs="Arial"/>
          <w:b w:val="0"/>
          <w:bCs w:val="0"/>
          <w:color w:val="auto"/>
          <w:sz w:val="20"/>
          <w:szCs w:val="20"/>
        </w:rPr>
        <w:t>Reconciliation of movements in 201</w:t>
      </w:r>
      <w:r w:rsidR="00521368" w:rsidRPr="00521368">
        <w:rPr>
          <w:rFonts w:ascii="Arial" w:hAnsi="Arial" w:cs="Arial"/>
          <w:b w:val="0"/>
          <w:bCs w:val="0"/>
          <w:color w:val="auto"/>
          <w:sz w:val="20"/>
          <w:szCs w:val="20"/>
        </w:rPr>
        <w:t>5</w:t>
      </w:r>
      <w:r w:rsidR="009674C2" w:rsidRPr="00521368">
        <w:rPr>
          <w:rFonts w:ascii="Arial" w:hAnsi="Arial" w:cs="Arial"/>
          <w:b w:val="0"/>
          <w:bCs w:val="0"/>
          <w:color w:val="auto"/>
          <w:sz w:val="20"/>
          <w:szCs w:val="20"/>
        </w:rPr>
        <w:t>/1</w:t>
      </w:r>
      <w:r w:rsidR="00521368" w:rsidRPr="00521368">
        <w:rPr>
          <w:rFonts w:ascii="Arial" w:hAnsi="Arial" w:cs="Arial"/>
          <w:b w:val="0"/>
          <w:bCs w:val="0"/>
          <w:color w:val="auto"/>
          <w:sz w:val="20"/>
          <w:szCs w:val="20"/>
        </w:rPr>
        <w:t>6</w:t>
      </w:r>
      <w:r w:rsidR="00FB7939" w:rsidRPr="00521368">
        <w:rPr>
          <w:rFonts w:ascii="Arial" w:hAnsi="Arial" w:cs="Arial"/>
          <w:b w:val="0"/>
          <w:bCs w:val="0"/>
          <w:color w:val="auto"/>
          <w:sz w:val="20"/>
          <w:szCs w:val="20"/>
        </w:rPr>
        <w:t>,</w:t>
      </w:r>
      <w:r w:rsidRPr="00521368">
        <w:rPr>
          <w:rFonts w:ascii="Arial" w:hAnsi="Arial" w:cs="Arial"/>
          <w:b w:val="0"/>
          <w:bCs w:val="0"/>
          <w:color w:val="auto"/>
          <w:sz w:val="20"/>
          <w:szCs w:val="20"/>
        </w:rPr>
        <w:t xml:space="preserve"> and the prior year 20</w:t>
      </w:r>
      <w:r w:rsidR="009674C2" w:rsidRPr="00521368">
        <w:rPr>
          <w:rFonts w:ascii="Arial" w:hAnsi="Arial" w:cs="Arial"/>
          <w:b w:val="0"/>
          <w:bCs w:val="0"/>
          <w:color w:val="auto"/>
          <w:sz w:val="20"/>
          <w:szCs w:val="20"/>
        </w:rPr>
        <w:t>1</w:t>
      </w:r>
      <w:r w:rsidR="00521368" w:rsidRPr="00521368">
        <w:rPr>
          <w:rFonts w:ascii="Arial" w:hAnsi="Arial" w:cs="Arial"/>
          <w:b w:val="0"/>
          <w:bCs w:val="0"/>
          <w:color w:val="auto"/>
          <w:sz w:val="20"/>
          <w:szCs w:val="20"/>
        </w:rPr>
        <w:t>4</w:t>
      </w:r>
      <w:r w:rsidR="009674C2" w:rsidRPr="00521368">
        <w:rPr>
          <w:rFonts w:ascii="Arial" w:hAnsi="Arial" w:cs="Arial"/>
          <w:b w:val="0"/>
          <w:bCs w:val="0"/>
          <w:color w:val="auto"/>
          <w:sz w:val="20"/>
          <w:szCs w:val="20"/>
        </w:rPr>
        <w:t>/1</w:t>
      </w:r>
      <w:r w:rsidR="00521368" w:rsidRPr="00521368">
        <w:rPr>
          <w:rFonts w:ascii="Arial" w:hAnsi="Arial" w:cs="Arial"/>
          <w:b w:val="0"/>
          <w:bCs w:val="0"/>
          <w:color w:val="auto"/>
          <w:sz w:val="20"/>
          <w:szCs w:val="20"/>
        </w:rPr>
        <w:t>5</w:t>
      </w:r>
      <w:r w:rsidR="00FB7939" w:rsidRPr="00521368">
        <w:rPr>
          <w:rFonts w:ascii="Arial" w:hAnsi="Arial" w:cs="Arial"/>
          <w:b w:val="0"/>
          <w:bCs w:val="0"/>
          <w:color w:val="auto"/>
          <w:sz w:val="20"/>
          <w:szCs w:val="20"/>
        </w:rPr>
        <w:t>,</w:t>
      </w:r>
      <w:r w:rsidRPr="00521368">
        <w:rPr>
          <w:rFonts w:ascii="Arial" w:hAnsi="Arial" w:cs="Arial"/>
          <w:b w:val="0"/>
          <w:bCs w:val="0"/>
          <w:color w:val="auto"/>
          <w:sz w:val="20"/>
          <w:szCs w:val="20"/>
        </w:rPr>
        <w:t xml:space="preserve"> in Property, Plant and Equipment by category of asset</w:t>
      </w:r>
      <w:r w:rsidR="00335596" w:rsidRPr="00521368">
        <w:rPr>
          <w:rFonts w:ascii="Arial" w:hAnsi="Arial" w:cs="Arial"/>
          <w:b w:val="0"/>
          <w:bCs w:val="0"/>
          <w:color w:val="auto"/>
          <w:sz w:val="20"/>
          <w:szCs w:val="20"/>
        </w:rPr>
        <w:t>s is shown in the tables below</w:t>
      </w:r>
      <w:r w:rsidR="004C1441" w:rsidRPr="00521368">
        <w:rPr>
          <w:rFonts w:ascii="Arial" w:hAnsi="Arial" w:cs="Arial"/>
          <w:b w:val="0"/>
          <w:bCs w:val="0"/>
          <w:color w:val="auto"/>
          <w:sz w:val="20"/>
          <w:szCs w:val="20"/>
        </w:rPr>
        <w:t>:</w:t>
      </w:r>
    </w:p>
    <w:tbl>
      <w:tblPr>
        <w:tblStyle w:val="ListTable3-Accent51"/>
        <w:tblpPr w:leftFromText="180" w:rightFromText="180" w:vertAnchor="text" w:horzAnchor="margin" w:tblpXSpec="center" w:tblpY="-74"/>
        <w:tblW w:w="14841" w:type="dxa"/>
        <w:tblLayout w:type="fixed"/>
        <w:tblLook w:val="00A0"/>
      </w:tblPr>
      <w:tblGrid>
        <w:gridCol w:w="7636"/>
        <w:gridCol w:w="994"/>
        <w:gridCol w:w="1136"/>
        <w:gridCol w:w="853"/>
        <w:gridCol w:w="852"/>
        <w:gridCol w:w="828"/>
        <w:gridCol w:w="735"/>
        <w:gridCol w:w="994"/>
        <w:gridCol w:w="813"/>
      </w:tblGrid>
      <w:tr w:rsidR="00ED06F5" w:rsidRPr="00ED06F5" w:rsidTr="00ED06F5">
        <w:trPr>
          <w:cnfStyle w:val="100000000000"/>
          <w:trHeight w:val="1541"/>
        </w:trPr>
        <w:tc>
          <w:tcPr>
            <w:cnfStyle w:val="001000000100"/>
            <w:tcW w:w="7636" w:type="dxa"/>
            <w:noWrap/>
          </w:tcPr>
          <w:p w:rsidR="00ED06F5" w:rsidRPr="00ED06F5" w:rsidRDefault="00ED06F5" w:rsidP="00C5487C">
            <w:pPr>
              <w:pStyle w:val="CodeNotesExampleText"/>
              <w:spacing w:line="210" w:lineRule="atLeast"/>
              <w:ind w:left="210"/>
              <w:jc w:val="center"/>
              <w:rPr>
                <w:rFonts w:cs="Arial"/>
                <w:b w:val="0"/>
                <w:color w:val="auto"/>
                <w:sz w:val="24"/>
                <w:szCs w:val="24"/>
              </w:rPr>
            </w:pPr>
            <w:r w:rsidRPr="00ED06F5">
              <w:rPr>
                <w:rFonts w:cs="Arial"/>
                <w:b w:val="0"/>
                <w:color w:val="auto"/>
                <w:sz w:val="24"/>
                <w:szCs w:val="24"/>
              </w:rPr>
              <w:lastRenderedPageBreak/>
              <w:t xml:space="preserve">2014/15 </w:t>
            </w:r>
          </w:p>
        </w:tc>
        <w:tc>
          <w:tcPr>
            <w:cnfStyle w:val="000010000000"/>
            <w:tcW w:w="994" w:type="dxa"/>
            <w:textDirection w:val="tbRl"/>
          </w:tcPr>
          <w:p w:rsidR="00ED06F5" w:rsidRPr="00ED06F5" w:rsidRDefault="00ED06F5" w:rsidP="00ED06F5">
            <w:pPr>
              <w:pStyle w:val="CodeNotesExampleText"/>
              <w:spacing w:line="210" w:lineRule="atLeast"/>
              <w:ind w:left="105" w:right="113"/>
              <w:jc w:val="center"/>
              <w:rPr>
                <w:rFonts w:cs="Arial"/>
                <w:b w:val="0"/>
                <w:bCs w:val="0"/>
                <w:color w:val="auto"/>
              </w:rPr>
            </w:pPr>
            <w:r w:rsidRPr="00ED06F5">
              <w:rPr>
                <w:rFonts w:cs="Arial"/>
                <w:b w:val="0"/>
                <w:bCs w:val="0"/>
                <w:color w:val="auto"/>
              </w:rPr>
              <w:t>Other Land &amp; Buildings</w:t>
            </w:r>
          </w:p>
        </w:tc>
        <w:tc>
          <w:tcPr>
            <w:tcW w:w="1136" w:type="dxa"/>
            <w:textDirection w:val="tbRl"/>
          </w:tcPr>
          <w:p w:rsidR="00ED06F5" w:rsidRPr="00ED06F5" w:rsidRDefault="00ED06F5" w:rsidP="00ED06F5">
            <w:pPr>
              <w:pStyle w:val="CodeNotesExampleText"/>
              <w:spacing w:line="210" w:lineRule="atLeast"/>
              <w:ind w:left="105" w:right="113"/>
              <w:jc w:val="center"/>
              <w:cnfStyle w:val="100000000000"/>
              <w:rPr>
                <w:rFonts w:cs="Arial"/>
                <w:b w:val="0"/>
                <w:bCs w:val="0"/>
                <w:color w:val="auto"/>
              </w:rPr>
            </w:pPr>
            <w:r w:rsidRPr="00ED06F5">
              <w:rPr>
                <w:rFonts w:cs="Arial"/>
                <w:b w:val="0"/>
                <w:bCs w:val="0"/>
                <w:color w:val="auto"/>
              </w:rPr>
              <w:t>Vehicles, Plant &amp; Equipm’t</w:t>
            </w:r>
          </w:p>
        </w:tc>
        <w:tc>
          <w:tcPr>
            <w:cnfStyle w:val="000010000000"/>
            <w:tcW w:w="853" w:type="dxa"/>
            <w:textDirection w:val="tbRl"/>
          </w:tcPr>
          <w:p w:rsidR="00ED06F5" w:rsidRPr="00ED06F5" w:rsidRDefault="00ED06F5" w:rsidP="00ED06F5">
            <w:pPr>
              <w:pStyle w:val="CodeNotesExampleText"/>
              <w:spacing w:line="210" w:lineRule="atLeast"/>
              <w:ind w:left="105" w:right="113"/>
              <w:jc w:val="center"/>
              <w:rPr>
                <w:rFonts w:cs="Arial"/>
                <w:b w:val="0"/>
                <w:bCs w:val="0"/>
                <w:color w:val="auto"/>
              </w:rPr>
            </w:pPr>
            <w:r w:rsidRPr="00ED06F5">
              <w:rPr>
                <w:rFonts w:cs="Arial"/>
                <w:b w:val="0"/>
                <w:bCs w:val="0"/>
                <w:color w:val="auto"/>
              </w:rPr>
              <w:t>Infra - structure Assets</w:t>
            </w:r>
          </w:p>
        </w:tc>
        <w:tc>
          <w:tcPr>
            <w:tcW w:w="852" w:type="dxa"/>
            <w:textDirection w:val="tbRl"/>
          </w:tcPr>
          <w:p w:rsidR="00ED06F5" w:rsidRPr="00ED06F5" w:rsidRDefault="00ED06F5" w:rsidP="00ED06F5">
            <w:pPr>
              <w:pStyle w:val="CodeNotesExampleText"/>
              <w:spacing w:line="210" w:lineRule="atLeast"/>
              <w:ind w:left="105" w:right="113"/>
              <w:jc w:val="center"/>
              <w:cnfStyle w:val="100000000000"/>
              <w:rPr>
                <w:rFonts w:cs="Arial"/>
                <w:b w:val="0"/>
                <w:bCs w:val="0"/>
                <w:color w:val="auto"/>
              </w:rPr>
            </w:pPr>
            <w:r w:rsidRPr="00ED06F5">
              <w:rPr>
                <w:rFonts w:cs="Arial"/>
                <w:b w:val="0"/>
                <w:bCs w:val="0"/>
                <w:color w:val="auto"/>
              </w:rPr>
              <w:t>Community Assets</w:t>
            </w:r>
          </w:p>
        </w:tc>
        <w:tc>
          <w:tcPr>
            <w:cnfStyle w:val="000010000000"/>
            <w:tcW w:w="828" w:type="dxa"/>
            <w:textDirection w:val="tbRl"/>
          </w:tcPr>
          <w:p w:rsidR="00ED06F5" w:rsidRPr="00ED06F5" w:rsidRDefault="00ED06F5" w:rsidP="00ED06F5">
            <w:pPr>
              <w:pStyle w:val="CodeNotesExampleText"/>
              <w:spacing w:line="210" w:lineRule="atLeast"/>
              <w:ind w:left="105" w:right="113"/>
              <w:jc w:val="center"/>
              <w:rPr>
                <w:rFonts w:cs="Arial"/>
                <w:b w:val="0"/>
                <w:bCs w:val="0"/>
                <w:color w:val="auto"/>
              </w:rPr>
            </w:pPr>
            <w:r w:rsidRPr="00ED06F5">
              <w:rPr>
                <w:rFonts w:cs="Arial"/>
                <w:b w:val="0"/>
                <w:bCs w:val="0"/>
                <w:color w:val="auto"/>
              </w:rPr>
              <w:t>Surplus Assets</w:t>
            </w:r>
          </w:p>
        </w:tc>
        <w:tc>
          <w:tcPr>
            <w:tcW w:w="735" w:type="dxa"/>
            <w:textDirection w:val="tbRl"/>
          </w:tcPr>
          <w:p w:rsidR="00ED06F5" w:rsidRPr="00ED06F5" w:rsidRDefault="00ED06F5" w:rsidP="00ED06F5">
            <w:pPr>
              <w:pStyle w:val="CodeNotesExampleText"/>
              <w:spacing w:line="210" w:lineRule="atLeast"/>
              <w:ind w:left="105" w:right="113"/>
              <w:jc w:val="center"/>
              <w:cnfStyle w:val="100000000000"/>
              <w:rPr>
                <w:rFonts w:cs="Arial"/>
                <w:b w:val="0"/>
                <w:bCs w:val="0"/>
                <w:color w:val="auto"/>
              </w:rPr>
            </w:pPr>
            <w:r w:rsidRPr="00ED06F5">
              <w:rPr>
                <w:rFonts w:cs="Arial"/>
                <w:b w:val="0"/>
                <w:bCs w:val="0"/>
                <w:color w:val="auto"/>
              </w:rPr>
              <w:t>Assets Under Construction</w:t>
            </w:r>
          </w:p>
        </w:tc>
        <w:tc>
          <w:tcPr>
            <w:cnfStyle w:val="000010000000"/>
            <w:tcW w:w="994" w:type="dxa"/>
            <w:textDirection w:val="tbRl"/>
          </w:tcPr>
          <w:p w:rsidR="00ED06F5" w:rsidRPr="00ED06F5" w:rsidRDefault="00ED06F5" w:rsidP="00ED06F5">
            <w:pPr>
              <w:pStyle w:val="CodeNotesExampleText"/>
              <w:spacing w:line="210" w:lineRule="atLeast"/>
              <w:ind w:left="105" w:right="113"/>
              <w:jc w:val="center"/>
              <w:rPr>
                <w:rFonts w:cs="Arial"/>
                <w:b w:val="0"/>
                <w:bCs w:val="0"/>
                <w:color w:val="auto"/>
              </w:rPr>
            </w:pPr>
            <w:r w:rsidRPr="00ED06F5">
              <w:rPr>
                <w:rFonts w:cs="Arial"/>
                <w:bCs w:val="0"/>
                <w:color w:val="auto"/>
              </w:rPr>
              <w:t xml:space="preserve">Total  </w:t>
            </w:r>
            <w:r w:rsidRPr="00ED06F5">
              <w:rPr>
                <w:rFonts w:cs="Arial"/>
                <w:b w:val="0"/>
                <w:bCs w:val="0"/>
                <w:color w:val="auto"/>
              </w:rPr>
              <w:t xml:space="preserve">    </w:t>
            </w:r>
            <w:r w:rsidRPr="00ED06F5">
              <w:rPr>
                <w:rFonts w:cs="Arial"/>
                <w:bCs w:val="0"/>
                <w:color w:val="auto"/>
              </w:rPr>
              <w:t>Property, Plant &amp; Equipm’t</w:t>
            </w:r>
          </w:p>
        </w:tc>
        <w:tc>
          <w:tcPr>
            <w:tcW w:w="813" w:type="dxa"/>
            <w:textDirection w:val="tbRl"/>
          </w:tcPr>
          <w:p w:rsidR="00ED06F5" w:rsidRPr="00ED06F5" w:rsidRDefault="00ED06F5" w:rsidP="00ED06F5">
            <w:pPr>
              <w:pStyle w:val="CodeNotesExampleText"/>
              <w:spacing w:line="210" w:lineRule="atLeast"/>
              <w:ind w:left="105" w:right="113"/>
              <w:jc w:val="center"/>
              <w:cnfStyle w:val="100000000000"/>
              <w:rPr>
                <w:rFonts w:cs="Arial"/>
                <w:b w:val="0"/>
                <w:bCs w:val="0"/>
                <w:color w:val="auto"/>
              </w:rPr>
            </w:pPr>
            <w:r w:rsidRPr="00ED06F5">
              <w:rPr>
                <w:rFonts w:cs="Arial"/>
                <w:b w:val="0"/>
                <w:bCs w:val="0"/>
                <w:color w:val="auto"/>
              </w:rPr>
              <w:t xml:space="preserve">PFI Assets in </w:t>
            </w:r>
          </w:p>
          <w:p w:rsidR="00ED06F5" w:rsidRPr="00ED06F5" w:rsidRDefault="00ED06F5" w:rsidP="00ED06F5">
            <w:pPr>
              <w:pStyle w:val="CodeNotesExampleText"/>
              <w:spacing w:line="210" w:lineRule="atLeast"/>
              <w:ind w:left="105" w:right="113"/>
              <w:jc w:val="center"/>
              <w:cnfStyle w:val="100000000000"/>
              <w:rPr>
                <w:rFonts w:cs="Arial"/>
                <w:b w:val="0"/>
                <w:bCs w:val="0"/>
                <w:color w:val="auto"/>
              </w:rPr>
            </w:pPr>
            <w:r w:rsidRPr="00ED06F5">
              <w:rPr>
                <w:rFonts w:cs="Arial"/>
                <w:b w:val="0"/>
                <w:bCs w:val="0"/>
                <w:color w:val="auto"/>
              </w:rPr>
              <w:t>P, P &amp; E</w:t>
            </w:r>
          </w:p>
        </w:tc>
      </w:tr>
      <w:tr w:rsidR="00ED06F5" w:rsidRPr="00ED06F5" w:rsidTr="00ED06F5">
        <w:trPr>
          <w:cnfStyle w:val="000000100000"/>
          <w:trHeight w:val="240"/>
        </w:trPr>
        <w:tc>
          <w:tcPr>
            <w:cnfStyle w:val="001000000000"/>
            <w:tcW w:w="7636" w:type="dxa"/>
            <w:noWrap/>
          </w:tcPr>
          <w:p w:rsidR="00ED06F5" w:rsidRPr="00ED06F5" w:rsidRDefault="00ED06F5" w:rsidP="00ED06F5">
            <w:pPr>
              <w:pStyle w:val="CodeNotesExampleText"/>
              <w:spacing w:line="210" w:lineRule="atLeast"/>
              <w:ind w:left="105"/>
              <w:jc w:val="center"/>
              <w:rPr>
                <w:rFonts w:cs="Arial"/>
                <w:color w:val="auto"/>
                <w:sz w:val="20"/>
                <w:szCs w:val="20"/>
              </w:rPr>
            </w:pPr>
          </w:p>
        </w:tc>
        <w:tc>
          <w:tcPr>
            <w:cnfStyle w:val="000010000000"/>
            <w:tcW w:w="994" w:type="dxa"/>
          </w:tcPr>
          <w:p w:rsidR="00ED06F5" w:rsidRPr="00ED06F5" w:rsidRDefault="00ED06F5" w:rsidP="00ED06F5">
            <w:pPr>
              <w:pStyle w:val="CodeNotesExampleText"/>
              <w:spacing w:line="210" w:lineRule="atLeast"/>
              <w:jc w:val="center"/>
              <w:rPr>
                <w:rFonts w:cs="Arial"/>
                <w:bCs/>
                <w:color w:val="auto"/>
                <w:sz w:val="20"/>
                <w:szCs w:val="20"/>
              </w:rPr>
            </w:pPr>
            <w:r w:rsidRPr="00ED06F5">
              <w:rPr>
                <w:rFonts w:cs="Arial"/>
                <w:bCs/>
                <w:color w:val="auto"/>
                <w:sz w:val="20"/>
                <w:szCs w:val="20"/>
              </w:rPr>
              <w:t>£m</w:t>
            </w:r>
          </w:p>
        </w:tc>
        <w:tc>
          <w:tcPr>
            <w:tcW w:w="1136" w:type="dxa"/>
          </w:tcPr>
          <w:p w:rsidR="00ED06F5" w:rsidRPr="00ED06F5" w:rsidRDefault="00ED06F5" w:rsidP="00ED06F5">
            <w:pPr>
              <w:pStyle w:val="CodeNotesExampleText"/>
              <w:spacing w:line="210" w:lineRule="atLeast"/>
              <w:jc w:val="center"/>
              <w:cnfStyle w:val="000000100000"/>
              <w:rPr>
                <w:rFonts w:cs="Arial"/>
                <w:bCs/>
                <w:color w:val="auto"/>
                <w:sz w:val="20"/>
                <w:szCs w:val="20"/>
              </w:rPr>
            </w:pPr>
            <w:r w:rsidRPr="00ED06F5">
              <w:rPr>
                <w:rFonts w:cs="Arial"/>
                <w:bCs/>
                <w:color w:val="auto"/>
                <w:sz w:val="20"/>
                <w:szCs w:val="20"/>
              </w:rPr>
              <w:t>£m</w:t>
            </w:r>
          </w:p>
        </w:tc>
        <w:tc>
          <w:tcPr>
            <w:cnfStyle w:val="000010000000"/>
            <w:tcW w:w="853" w:type="dxa"/>
          </w:tcPr>
          <w:p w:rsidR="00ED06F5" w:rsidRPr="00ED06F5" w:rsidRDefault="00ED06F5" w:rsidP="00ED06F5">
            <w:pPr>
              <w:pStyle w:val="CodeNotesExampleText"/>
              <w:spacing w:line="210" w:lineRule="atLeast"/>
              <w:jc w:val="center"/>
              <w:rPr>
                <w:rFonts w:cs="Arial"/>
                <w:bCs/>
                <w:color w:val="auto"/>
                <w:sz w:val="20"/>
                <w:szCs w:val="20"/>
              </w:rPr>
            </w:pPr>
            <w:r w:rsidRPr="00ED06F5">
              <w:rPr>
                <w:rFonts w:cs="Arial"/>
                <w:bCs/>
                <w:color w:val="auto"/>
                <w:sz w:val="20"/>
                <w:szCs w:val="20"/>
              </w:rPr>
              <w:t>£m</w:t>
            </w:r>
          </w:p>
        </w:tc>
        <w:tc>
          <w:tcPr>
            <w:tcW w:w="852" w:type="dxa"/>
          </w:tcPr>
          <w:p w:rsidR="00ED06F5" w:rsidRPr="00ED06F5" w:rsidRDefault="00ED06F5" w:rsidP="00ED06F5">
            <w:pPr>
              <w:pStyle w:val="CodeNotesExampleText"/>
              <w:spacing w:line="210" w:lineRule="atLeast"/>
              <w:jc w:val="center"/>
              <w:cnfStyle w:val="000000100000"/>
              <w:rPr>
                <w:rFonts w:cs="Arial"/>
                <w:bCs/>
                <w:color w:val="auto"/>
                <w:sz w:val="20"/>
                <w:szCs w:val="20"/>
              </w:rPr>
            </w:pPr>
            <w:r w:rsidRPr="00ED06F5">
              <w:rPr>
                <w:rFonts w:cs="Arial"/>
                <w:bCs/>
                <w:color w:val="auto"/>
                <w:sz w:val="20"/>
                <w:szCs w:val="20"/>
              </w:rPr>
              <w:t>£m</w:t>
            </w:r>
          </w:p>
        </w:tc>
        <w:tc>
          <w:tcPr>
            <w:cnfStyle w:val="000010000000"/>
            <w:tcW w:w="828" w:type="dxa"/>
          </w:tcPr>
          <w:p w:rsidR="00ED06F5" w:rsidRPr="00ED06F5" w:rsidRDefault="00ED06F5" w:rsidP="00ED06F5">
            <w:pPr>
              <w:pStyle w:val="CodeNotesExampleText"/>
              <w:spacing w:line="210" w:lineRule="atLeast"/>
              <w:jc w:val="center"/>
              <w:rPr>
                <w:rFonts w:cs="Arial"/>
                <w:bCs/>
                <w:color w:val="auto"/>
              </w:rPr>
            </w:pPr>
            <w:r w:rsidRPr="00ED06F5">
              <w:rPr>
                <w:rFonts w:cs="Arial"/>
                <w:bCs/>
                <w:color w:val="auto"/>
              </w:rPr>
              <w:t>£m</w:t>
            </w:r>
          </w:p>
        </w:tc>
        <w:tc>
          <w:tcPr>
            <w:tcW w:w="735" w:type="dxa"/>
          </w:tcPr>
          <w:p w:rsidR="00ED06F5" w:rsidRPr="00ED06F5" w:rsidRDefault="00ED06F5" w:rsidP="00ED06F5">
            <w:pPr>
              <w:pStyle w:val="CodeNotesExampleText"/>
              <w:spacing w:line="210" w:lineRule="atLeast"/>
              <w:jc w:val="center"/>
              <w:cnfStyle w:val="000000100000"/>
              <w:rPr>
                <w:rFonts w:cs="Arial"/>
                <w:bCs/>
                <w:color w:val="auto"/>
                <w:sz w:val="20"/>
                <w:szCs w:val="20"/>
              </w:rPr>
            </w:pPr>
            <w:r w:rsidRPr="00ED06F5">
              <w:rPr>
                <w:rFonts w:cs="Arial"/>
                <w:bCs/>
                <w:color w:val="auto"/>
                <w:sz w:val="20"/>
                <w:szCs w:val="20"/>
              </w:rPr>
              <w:t>£m</w:t>
            </w:r>
          </w:p>
        </w:tc>
        <w:tc>
          <w:tcPr>
            <w:cnfStyle w:val="000010000000"/>
            <w:tcW w:w="994" w:type="dxa"/>
          </w:tcPr>
          <w:p w:rsidR="00ED06F5" w:rsidRPr="00ED06F5" w:rsidRDefault="00ED06F5" w:rsidP="00ED06F5">
            <w:pPr>
              <w:pStyle w:val="CodeNotesExampleText"/>
              <w:spacing w:line="210" w:lineRule="atLeast"/>
              <w:jc w:val="center"/>
              <w:rPr>
                <w:rFonts w:cs="Arial"/>
                <w:bCs/>
                <w:color w:val="auto"/>
                <w:sz w:val="20"/>
                <w:szCs w:val="20"/>
              </w:rPr>
            </w:pPr>
            <w:r w:rsidRPr="00ED06F5">
              <w:rPr>
                <w:rFonts w:cs="Arial"/>
                <w:bCs/>
                <w:color w:val="auto"/>
                <w:sz w:val="20"/>
                <w:szCs w:val="20"/>
              </w:rPr>
              <w:t>£m</w:t>
            </w:r>
          </w:p>
        </w:tc>
        <w:tc>
          <w:tcPr>
            <w:tcW w:w="813" w:type="dxa"/>
          </w:tcPr>
          <w:p w:rsidR="00ED06F5" w:rsidRPr="00ED06F5" w:rsidRDefault="00ED06F5" w:rsidP="00ED06F5">
            <w:pPr>
              <w:pStyle w:val="CodeNotesExampleText"/>
              <w:spacing w:line="210" w:lineRule="atLeast"/>
              <w:jc w:val="center"/>
              <w:cnfStyle w:val="000000100000"/>
              <w:rPr>
                <w:rFonts w:cs="Arial"/>
                <w:bCs/>
                <w:color w:val="auto"/>
                <w:sz w:val="20"/>
                <w:szCs w:val="20"/>
              </w:rPr>
            </w:pPr>
            <w:r w:rsidRPr="00ED06F5">
              <w:rPr>
                <w:rFonts w:cs="Arial"/>
                <w:bCs/>
                <w:color w:val="auto"/>
                <w:sz w:val="20"/>
                <w:szCs w:val="20"/>
              </w:rPr>
              <w:t>£m</w:t>
            </w:r>
          </w:p>
        </w:tc>
      </w:tr>
      <w:tr w:rsidR="00ED06F5" w:rsidRPr="00ED06F5" w:rsidTr="00ED06F5">
        <w:trPr>
          <w:trHeight w:val="459"/>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2"/>
                <w:szCs w:val="22"/>
              </w:rPr>
            </w:pPr>
            <w:r w:rsidRPr="00ED06F5">
              <w:rPr>
                <w:rFonts w:cs="Arial"/>
                <w:bCs w:val="0"/>
                <w:color w:val="auto"/>
                <w:sz w:val="22"/>
                <w:szCs w:val="22"/>
              </w:rPr>
              <w:t>Cost or Valuation</w:t>
            </w:r>
          </w:p>
        </w:tc>
        <w:tc>
          <w:tcPr>
            <w:cnfStyle w:val="000010000000"/>
            <w:tcW w:w="994" w:type="dxa"/>
            <w:vAlign w:val="center"/>
          </w:tcPr>
          <w:p w:rsidR="00ED06F5" w:rsidRPr="00ED06F5" w:rsidRDefault="00ED06F5" w:rsidP="00ED06F5">
            <w:pPr>
              <w:pStyle w:val="CodeNotesExampleText"/>
              <w:spacing w:line="210" w:lineRule="atLeast"/>
              <w:ind w:left="567"/>
              <w:jc w:val="center"/>
              <w:rPr>
                <w:rFonts w:cs="Arial"/>
                <w:color w:val="auto"/>
                <w:sz w:val="20"/>
                <w:szCs w:val="20"/>
              </w:rPr>
            </w:pPr>
          </w:p>
        </w:tc>
        <w:tc>
          <w:tcPr>
            <w:tcW w:w="1136" w:type="dxa"/>
            <w:vAlign w:val="center"/>
          </w:tcPr>
          <w:p w:rsidR="00ED06F5" w:rsidRPr="00ED06F5" w:rsidRDefault="00ED06F5" w:rsidP="00ED06F5">
            <w:pPr>
              <w:pStyle w:val="CodeNotesExampleText"/>
              <w:spacing w:line="210" w:lineRule="atLeast"/>
              <w:ind w:left="567"/>
              <w:jc w:val="center"/>
              <w:cnfStyle w:val="000000000000"/>
              <w:rPr>
                <w:rFonts w:cs="Arial"/>
                <w:color w:val="auto"/>
                <w:sz w:val="20"/>
                <w:szCs w:val="20"/>
              </w:rPr>
            </w:pPr>
          </w:p>
        </w:tc>
        <w:tc>
          <w:tcPr>
            <w:cnfStyle w:val="000010000000"/>
            <w:tcW w:w="853" w:type="dxa"/>
            <w:vAlign w:val="center"/>
          </w:tcPr>
          <w:p w:rsidR="00ED06F5" w:rsidRPr="00ED06F5" w:rsidRDefault="00ED06F5" w:rsidP="00ED06F5">
            <w:pPr>
              <w:pStyle w:val="CodeNotesExampleText"/>
              <w:spacing w:line="210" w:lineRule="atLeast"/>
              <w:ind w:left="210"/>
              <w:jc w:val="center"/>
              <w:rPr>
                <w:rFonts w:cs="Arial"/>
                <w:color w:val="auto"/>
                <w:sz w:val="20"/>
                <w:szCs w:val="20"/>
              </w:rPr>
            </w:pPr>
          </w:p>
        </w:tc>
        <w:tc>
          <w:tcPr>
            <w:tcW w:w="852" w:type="dxa"/>
            <w:vAlign w:val="center"/>
          </w:tcPr>
          <w:p w:rsidR="00ED06F5" w:rsidRPr="00ED06F5" w:rsidRDefault="00ED06F5" w:rsidP="00ED06F5">
            <w:pPr>
              <w:pStyle w:val="CodeNotesExampleText"/>
              <w:spacing w:line="210" w:lineRule="atLeast"/>
              <w:ind w:left="567"/>
              <w:jc w:val="center"/>
              <w:cnfStyle w:val="000000000000"/>
              <w:rPr>
                <w:rFonts w:cs="Arial"/>
                <w:color w:val="auto"/>
                <w:sz w:val="20"/>
                <w:szCs w:val="20"/>
              </w:rPr>
            </w:pPr>
          </w:p>
        </w:tc>
        <w:tc>
          <w:tcPr>
            <w:cnfStyle w:val="000010000000"/>
            <w:tcW w:w="828" w:type="dxa"/>
            <w:vAlign w:val="center"/>
          </w:tcPr>
          <w:p w:rsidR="00ED06F5" w:rsidRPr="00ED06F5" w:rsidRDefault="00ED06F5" w:rsidP="00ED06F5">
            <w:pPr>
              <w:pStyle w:val="CodeNotesExampleText"/>
              <w:spacing w:line="210" w:lineRule="atLeast"/>
              <w:ind w:left="567"/>
              <w:jc w:val="center"/>
              <w:rPr>
                <w:rFonts w:cs="Arial"/>
                <w:b/>
                <w:bCs/>
                <w:color w:val="auto"/>
              </w:rPr>
            </w:pPr>
          </w:p>
        </w:tc>
        <w:tc>
          <w:tcPr>
            <w:tcW w:w="735" w:type="dxa"/>
            <w:vAlign w:val="center"/>
          </w:tcPr>
          <w:p w:rsidR="00ED06F5" w:rsidRPr="00ED06F5" w:rsidRDefault="00ED06F5" w:rsidP="00ED06F5">
            <w:pPr>
              <w:pStyle w:val="CodeNotesExampleText"/>
              <w:spacing w:line="210" w:lineRule="atLeast"/>
              <w:ind w:left="567"/>
              <w:jc w:val="center"/>
              <w:cnfStyle w:val="000000000000"/>
              <w:rPr>
                <w:rFonts w:cs="Arial"/>
                <w:color w:val="auto"/>
                <w:sz w:val="20"/>
                <w:szCs w:val="20"/>
              </w:rPr>
            </w:pPr>
          </w:p>
        </w:tc>
        <w:tc>
          <w:tcPr>
            <w:cnfStyle w:val="000010000000"/>
            <w:tcW w:w="994" w:type="dxa"/>
            <w:vAlign w:val="center"/>
          </w:tcPr>
          <w:p w:rsidR="00ED06F5" w:rsidRPr="00ED06F5" w:rsidRDefault="00ED06F5" w:rsidP="00ED06F5">
            <w:pPr>
              <w:pStyle w:val="CodeNotesExampleText"/>
              <w:spacing w:line="210" w:lineRule="atLeast"/>
              <w:ind w:left="567"/>
              <w:jc w:val="center"/>
              <w:rPr>
                <w:rFonts w:cs="Arial"/>
                <w:b/>
                <w:bCs/>
                <w:color w:val="auto"/>
                <w:sz w:val="20"/>
                <w:szCs w:val="20"/>
              </w:rPr>
            </w:pPr>
          </w:p>
        </w:tc>
        <w:tc>
          <w:tcPr>
            <w:tcW w:w="813" w:type="dxa"/>
            <w:vAlign w:val="center"/>
          </w:tcPr>
          <w:p w:rsidR="00ED06F5" w:rsidRPr="00ED06F5" w:rsidRDefault="00ED06F5" w:rsidP="00ED06F5">
            <w:pPr>
              <w:pStyle w:val="CodeNotesExampleText"/>
              <w:spacing w:line="210" w:lineRule="atLeast"/>
              <w:ind w:left="567"/>
              <w:jc w:val="center"/>
              <w:cnfStyle w:val="000000000000"/>
              <w:rPr>
                <w:rFonts w:cs="Arial"/>
                <w:b/>
                <w:bCs/>
                <w:color w:val="auto"/>
                <w:sz w:val="20"/>
                <w:szCs w:val="20"/>
              </w:rPr>
            </w:pPr>
          </w:p>
        </w:tc>
      </w:tr>
      <w:tr w:rsidR="00ED06F5" w:rsidRPr="00ED06F5" w:rsidTr="00ED06F5">
        <w:trPr>
          <w:cnfStyle w:val="000000100000"/>
          <w:trHeight w:val="312"/>
        </w:trPr>
        <w:tc>
          <w:tcPr>
            <w:cnfStyle w:val="001000000000"/>
            <w:tcW w:w="7636" w:type="dxa"/>
            <w:vAlign w:val="center"/>
          </w:tcPr>
          <w:p w:rsidR="00ED06F5" w:rsidRPr="00ED06F5" w:rsidRDefault="00ED06F5" w:rsidP="00ED06F5">
            <w:pPr>
              <w:pStyle w:val="CodeNotesExampleText"/>
              <w:spacing w:line="210" w:lineRule="atLeast"/>
              <w:ind w:left="105"/>
              <w:rPr>
                <w:rFonts w:cs="Arial"/>
                <w:color w:val="auto"/>
                <w:sz w:val="20"/>
                <w:szCs w:val="20"/>
              </w:rPr>
            </w:pPr>
            <w:r w:rsidRPr="00ED06F5">
              <w:rPr>
                <w:rFonts w:cs="Arial"/>
                <w:color w:val="auto"/>
                <w:sz w:val="20"/>
                <w:szCs w:val="20"/>
              </w:rPr>
              <w:t>As at 1</w:t>
            </w:r>
            <w:r w:rsidRPr="00ED06F5">
              <w:rPr>
                <w:rFonts w:cs="Arial"/>
                <w:color w:val="auto"/>
                <w:sz w:val="20"/>
                <w:szCs w:val="20"/>
                <w:vertAlign w:val="superscript"/>
              </w:rPr>
              <w:t>st</w:t>
            </w:r>
            <w:r w:rsidRPr="00ED06F5">
              <w:rPr>
                <w:rFonts w:cs="Arial"/>
                <w:color w:val="auto"/>
                <w:sz w:val="20"/>
                <w:szCs w:val="20"/>
              </w:rPr>
              <w:t xml:space="preserve"> April 2014</w:t>
            </w:r>
          </w:p>
        </w:tc>
        <w:tc>
          <w:tcPr>
            <w:cnfStyle w:val="000010000000"/>
            <w:tcW w:w="994"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197.6</w:t>
            </w:r>
          </w:p>
        </w:tc>
        <w:tc>
          <w:tcPr>
            <w:tcW w:w="1136" w:type="dxa"/>
            <w:vAlign w:val="center"/>
          </w:tcPr>
          <w:p w:rsidR="00ED06F5" w:rsidRPr="00ED06F5" w:rsidRDefault="00ED06F5" w:rsidP="00ED06F5">
            <w:pPr>
              <w:pStyle w:val="CodeNotesExampleText"/>
              <w:spacing w:line="210" w:lineRule="atLeast"/>
              <w:jc w:val="center"/>
              <w:cnfStyle w:val="000000100000"/>
              <w:rPr>
                <w:rFonts w:cs="Arial"/>
                <w:b/>
                <w:bCs/>
                <w:color w:val="auto"/>
                <w:sz w:val="20"/>
                <w:szCs w:val="20"/>
              </w:rPr>
            </w:pPr>
            <w:r w:rsidRPr="00ED06F5">
              <w:rPr>
                <w:rFonts w:cs="Arial"/>
                <w:b/>
                <w:bCs/>
                <w:color w:val="auto"/>
                <w:sz w:val="20"/>
                <w:szCs w:val="20"/>
              </w:rPr>
              <w:t>16.9</w:t>
            </w:r>
          </w:p>
        </w:tc>
        <w:tc>
          <w:tcPr>
            <w:cnfStyle w:val="000010000000"/>
            <w:tcW w:w="853"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98.0</w:t>
            </w:r>
          </w:p>
        </w:tc>
        <w:tc>
          <w:tcPr>
            <w:tcW w:w="852" w:type="dxa"/>
            <w:vAlign w:val="center"/>
          </w:tcPr>
          <w:p w:rsidR="00ED06F5" w:rsidRPr="00ED06F5" w:rsidRDefault="00ED06F5" w:rsidP="00ED06F5">
            <w:pPr>
              <w:pStyle w:val="CodeNotesExampleText"/>
              <w:spacing w:line="210" w:lineRule="atLeast"/>
              <w:jc w:val="center"/>
              <w:cnfStyle w:val="000000100000"/>
              <w:rPr>
                <w:rFonts w:cs="Arial"/>
                <w:b/>
                <w:bCs/>
                <w:color w:val="auto"/>
                <w:sz w:val="20"/>
                <w:szCs w:val="20"/>
              </w:rPr>
            </w:pPr>
            <w:r w:rsidRPr="00ED06F5">
              <w:rPr>
                <w:rFonts w:cs="Arial"/>
                <w:b/>
                <w:bCs/>
                <w:color w:val="auto"/>
                <w:sz w:val="20"/>
                <w:szCs w:val="20"/>
              </w:rPr>
              <w:t>8.6</w:t>
            </w:r>
          </w:p>
        </w:tc>
        <w:tc>
          <w:tcPr>
            <w:cnfStyle w:val="000010000000"/>
            <w:tcW w:w="828"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0</w:t>
            </w:r>
          </w:p>
        </w:tc>
        <w:tc>
          <w:tcPr>
            <w:tcW w:w="735" w:type="dxa"/>
            <w:vAlign w:val="center"/>
          </w:tcPr>
          <w:p w:rsidR="00ED06F5" w:rsidRPr="00ED06F5" w:rsidRDefault="00ED06F5" w:rsidP="00ED06F5">
            <w:pPr>
              <w:pStyle w:val="CodeNotesExampleText"/>
              <w:spacing w:line="210" w:lineRule="atLeast"/>
              <w:jc w:val="center"/>
              <w:cnfStyle w:val="000000100000"/>
              <w:rPr>
                <w:rFonts w:cs="Arial"/>
                <w:b/>
                <w:bCs/>
                <w:color w:val="auto"/>
                <w:sz w:val="20"/>
                <w:szCs w:val="20"/>
              </w:rPr>
            </w:pPr>
            <w:r w:rsidRPr="00ED06F5">
              <w:rPr>
                <w:rFonts w:cs="Arial"/>
                <w:b/>
                <w:bCs/>
                <w:color w:val="auto"/>
                <w:sz w:val="20"/>
                <w:szCs w:val="20"/>
              </w:rPr>
              <w:t>2.2</w:t>
            </w:r>
          </w:p>
        </w:tc>
        <w:tc>
          <w:tcPr>
            <w:cnfStyle w:val="000010000000"/>
            <w:tcW w:w="994"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323.3</w:t>
            </w:r>
          </w:p>
        </w:tc>
        <w:tc>
          <w:tcPr>
            <w:tcW w:w="813" w:type="dxa"/>
            <w:vAlign w:val="center"/>
          </w:tcPr>
          <w:p w:rsidR="00ED06F5" w:rsidRPr="00ED06F5" w:rsidRDefault="00ED06F5" w:rsidP="00ED06F5">
            <w:pPr>
              <w:pStyle w:val="CodeNotesExampleText"/>
              <w:spacing w:line="210" w:lineRule="atLeast"/>
              <w:jc w:val="center"/>
              <w:cnfStyle w:val="000000100000"/>
              <w:rPr>
                <w:rFonts w:cs="Arial"/>
                <w:b/>
                <w:bCs/>
                <w:color w:val="auto"/>
                <w:sz w:val="20"/>
                <w:szCs w:val="20"/>
              </w:rPr>
            </w:pPr>
            <w:r w:rsidRPr="00ED06F5">
              <w:rPr>
                <w:rFonts w:cs="Arial"/>
                <w:b/>
                <w:bCs/>
                <w:color w:val="auto"/>
                <w:sz w:val="20"/>
                <w:szCs w:val="20"/>
              </w:rPr>
              <w:t>24.1</w:t>
            </w:r>
          </w:p>
        </w:tc>
      </w:tr>
      <w:tr w:rsidR="00ED06F5" w:rsidRPr="00ED06F5" w:rsidTr="00ED06F5">
        <w:trPr>
          <w:trHeight w:val="24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Additions</w:t>
            </w:r>
          </w:p>
        </w:tc>
        <w:tc>
          <w:tcPr>
            <w:cnfStyle w:val="000010000000"/>
            <w:tcW w:w="994" w:type="dxa"/>
            <w:vAlign w:val="center"/>
          </w:tcPr>
          <w:p w:rsidR="00ED06F5" w:rsidRPr="00ED06F5" w:rsidRDefault="00ED06F5" w:rsidP="00ED06F5">
            <w:pPr>
              <w:pStyle w:val="CodeNotesExampleText"/>
              <w:spacing w:line="210" w:lineRule="atLeast"/>
              <w:jc w:val="center"/>
              <w:rPr>
                <w:rFonts w:cs="Arial"/>
                <w:color w:val="auto"/>
                <w:sz w:val="20"/>
                <w:szCs w:val="20"/>
              </w:rPr>
            </w:pPr>
            <w:r w:rsidRPr="00ED06F5">
              <w:rPr>
                <w:rFonts w:cs="Arial"/>
                <w:color w:val="auto"/>
                <w:sz w:val="20"/>
                <w:szCs w:val="20"/>
              </w:rPr>
              <w:t>3.7</w:t>
            </w:r>
          </w:p>
        </w:tc>
        <w:tc>
          <w:tcPr>
            <w:tcW w:w="1136" w:type="dxa"/>
            <w:vAlign w:val="center"/>
          </w:tcPr>
          <w:p w:rsidR="00ED06F5" w:rsidRPr="00ED06F5" w:rsidRDefault="00ED06F5" w:rsidP="00ED06F5">
            <w:pPr>
              <w:pStyle w:val="CodeNotesExampleText"/>
              <w:spacing w:line="210" w:lineRule="atLeast"/>
              <w:jc w:val="center"/>
              <w:cnfStyle w:val="000000000000"/>
              <w:rPr>
                <w:rFonts w:cs="Arial"/>
                <w:color w:val="auto"/>
                <w:sz w:val="20"/>
                <w:szCs w:val="20"/>
              </w:rPr>
            </w:pPr>
            <w:r w:rsidRPr="00ED06F5">
              <w:rPr>
                <w:rFonts w:cs="Arial"/>
                <w:color w:val="auto"/>
                <w:sz w:val="20"/>
                <w:szCs w:val="20"/>
              </w:rPr>
              <w:t>0.7</w:t>
            </w:r>
          </w:p>
        </w:tc>
        <w:tc>
          <w:tcPr>
            <w:cnfStyle w:val="000010000000"/>
            <w:tcW w:w="853" w:type="dxa"/>
            <w:vAlign w:val="center"/>
          </w:tcPr>
          <w:p w:rsidR="00ED06F5" w:rsidRPr="00ED06F5" w:rsidRDefault="00ED06F5" w:rsidP="00ED06F5">
            <w:pPr>
              <w:pStyle w:val="CodeNotesExampleText"/>
              <w:spacing w:line="210" w:lineRule="atLeast"/>
              <w:jc w:val="center"/>
              <w:rPr>
                <w:rFonts w:cs="Arial"/>
                <w:color w:val="auto"/>
                <w:sz w:val="20"/>
                <w:szCs w:val="20"/>
              </w:rPr>
            </w:pPr>
            <w:r w:rsidRPr="00ED06F5">
              <w:rPr>
                <w:rFonts w:cs="Arial"/>
                <w:color w:val="auto"/>
                <w:sz w:val="20"/>
                <w:szCs w:val="20"/>
              </w:rPr>
              <w:t>5.9</w:t>
            </w:r>
          </w:p>
        </w:tc>
        <w:tc>
          <w:tcPr>
            <w:tcW w:w="852" w:type="dxa"/>
            <w:vAlign w:val="center"/>
          </w:tcPr>
          <w:p w:rsidR="00ED06F5" w:rsidRPr="00ED06F5" w:rsidRDefault="00ED06F5" w:rsidP="00ED06F5">
            <w:pPr>
              <w:pStyle w:val="CodeNotesExampleText"/>
              <w:spacing w:line="210" w:lineRule="atLeast"/>
              <w:jc w:val="center"/>
              <w:cnfStyle w:val="000000000000"/>
              <w:rPr>
                <w:rFonts w:cs="Arial"/>
                <w:color w:val="auto"/>
                <w:sz w:val="20"/>
                <w:szCs w:val="20"/>
              </w:rPr>
            </w:pPr>
            <w:r w:rsidRPr="00ED06F5">
              <w:rPr>
                <w:rFonts w:cs="Arial"/>
                <w:color w:val="auto"/>
                <w:sz w:val="20"/>
                <w:szCs w:val="20"/>
              </w:rPr>
              <w:t>0.1</w:t>
            </w:r>
          </w:p>
        </w:tc>
        <w:tc>
          <w:tcPr>
            <w:cnfStyle w:val="000010000000"/>
            <w:tcW w:w="828" w:type="dxa"/>
            <w:vAlign w:val="center"/>
          </w:tcPr>
          <w:p w:rsidR="00ED06F5" w:rsidRPr="00ED06F5" w:rsidRDefault="00ED06F5" w:rsidP="00ED06F5">
            <w:pPr>
              <w:pStyle w:val="CodeNotesExampleText"/>
              <w:spacing w:line="210" w:lineRule="atLeast"/>
              <w:jc w:val="center"/>
              <w:rPr>
                <w:rFonts w:cs="Arial"/>
                <w:bCs/>
                <w:color w:val="auto"/>
                <w:sz w:val="20"/>
                <w:szCs w:val="20"/>
              </w:rPr>
            </w:pPr>
            <w:r w:rsidRPr="00ED06F5">
              <w:rPr>
                <w:rFonts w:cs="Arial"/>
                <w:bCs/>
                <w:color w:val="auto"/>
                <w:sz w:val="20"/>
                <w:szCs w:val="20"/>
              </w:rPr>
              <w:t>0</w:t>
            </w:r>
          </w:p>
        </w:tc>
        <w:tc>
          <w:tcPr>
            <w:tcW w:w="735" w:type="dxa"/>
            <w:vAlign w:val="center"/>
          </w:tcPr>
          <w:p w:rsidR="00ED06F5" w:rsidRPr="00ED06F5" w:rsidRDefault="00ED06F5" w:rsidP="00ED06F5">
            <w:pPr>
              <w:pStyle w:val="CodeNotesExampleText"/>
              <w:spacing w:line="210" w:lineRule="atLeast"/>
              <w:jc w:val="center"/>
              <w:cnfStyle w:val="000000000000"/>
              <w:rPr>
                <w:rFonts w:cs="Arial"/>
                <w:color w:val="auto"/>
                <w:sz w:val="20"/>
                <w:szCs w:val="20"/>
              </w:rPr>
            </w:pPr>
            <w:r w:rsidRPr="00ED06F5">
              <w:rPr>
                <w:rFonts w:cs="Arial"/>
                <w:color w:val="auto"/>
                <w:sz w:val="20"/>
                <w:szCs w:val="20"/>
              </w:rPr>
              <w:t>1.8</w:t>
            </w:r>
          </w:p>
        </w:tc>
        <w:tc>
          <w:tcPr>
            <w:cnfStyle w:val="000010000000"/>
            <w:tcW w:w="994" w:type="dxa"/>
            <w:vAlign w:val="center"/>
          </w:tcPr>
          <w:p w:rsidR="00ED06F5" w:rsidRPr="00ED06F5" w:rsidRDefault="00ED06F5" w:rsidP="00ED06F5">
            <w:pPr>
              <w:pStyle w:val="CodeNotesExampleText"/>
              <w:spacing w:line="210" w:lineRule="atLeast"/>
              <w:jc w:val="center"/>
              <w:rPr>
                <w:rFonts w:cs="Arial"/>
                <w:b/>
                <w:color w:val="auto"/>
                <w:sz w:val="20"/>
                <w:szCs w:val="20"/>
              </w:rPr>
            </w:pPr>
            <w:r w:rsidRPr="00ED06F5">
              <w:rPr>
                <w:rFonts w:cs="Arial"/>
                <w:b/>
                <w:color w:val="auto"/>
                <w:sz w:val="20"/>
                <w:szCs w:val="20"/>
              </w:rPr>
              <w:t>12.2</w:t>
            </w:r>
          </w:p>
        </w:tc>
        <w:tc>
          <w:tcPr>
            <w:tcW w:w="813" w:type="dxa"/>
            <w:vAlign w:val="center"/>
          </w:tcPr>
          <w:p w:rsidR="00ED06F5" w:rsidRPr="00ED06F5" w:rsidRDefault="00ED06F5" w:rsidP="00ED06F5">
            <w:pPr>
              <w:pStyle w:val="CodeNotesExampleText"/>
              <w:spacing w:line="210" w:lineRule="atLeast"/>
              <w:jc w:val="center"/>
              <w:cnfStyle w:val="000000000000"/>
              <w:rPr>
                <w:rFonts w:cs="Arial"/>
                <w:color w:val="auto"/>
                <w:sz w:val="20"/>
                <w:szCs w:val="20"/>
              </w:rPr>
            </w:pPr>
            <w:r w:rsidRPr="00ED06F5">
              <w:rPr>
                <w:rFonts w:cs="Arial"/>
                <w:color w:val="auto"/>
                <w:sz w:val="20"/>
                <w:szCs w:val="20"/>
              </w:rPr>
              <w:t>0</w:t>
            </w:r>
          </w:p>
        </w:tc>
      </w:tr>
      <w:tr w:rsidR="00ED06F5" w:rsidRPr="00ED06F5" w:rsidTr="00ED06F5">
        <w:trPr>
          <w:cnfStyle w:val="000000100000"/>
          <w:trHeight w:val="31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Revaluation increases/ (decreases) recognised in the Revaluation Reserve</w:t>
            </w:r>
          </w:p>
        </w:tc>
        <w:tc>
          <w:tcPr>
            <w:cnfStyle w:val="000010000000"/>
            <w:tcW w:w="994" w:type="dxa"/>
            <w:vAlign w:val="center"/>
          </w:tcPr>
          <w:p w:rsidR="00ED06F5" w:rsidRPr="00ED06F5" w:rsidRDefault="00ED06F5" w:rsidP="00ED06F5">
            <w:pPr>
              <w:pStyle w:val="CodeNotesExampleText"/>
              <w:spacing w:line="210" w:lineRule="atLeast"/>
              <w:jc w:val="center"/>
              <w:rPr>
                <w:rFonts w:cs="Arial"/>
                <w:color w:val="auto"/>
                <w:sz w:val="20"/>
                <w:szCs w:val="20"/>
              </w:rPr>
            </w:pPr>
            <w:r w:rsidRPr="00ED06F5">
              <w:rPr>
                <w:rFonts w:cs="Arial"/>
                <w:color w:val="auto"/>
                <w:sz w:val="20"/>
                <w:szCs w:val="20"/>
              </w:rPr>
              <w:t>1.0</w:t>
            </w:r>
          </w:p>
        </w:tc>
        <w:tc>
          <w:tcPr>
            <w:tcW w:w="1136" w:type="dxa"/>
            <w:vAlign w:val="center"/>
          </w:tcPr>
          <w:p w:rsidR="00ED06F5" w:rsidRPr="00ED06F5" w:rsidRDefault="00ED06F5" w:rsidP="00ED06F5">
            <w:pPr>
              <w:pStyle w:val="CodeNotesExampleText"/>
              <w:spacing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853" w:type="dxa"/>
            <w:vAlign w:val="center"/>
          </w:tcPr>
          <w:p w:rsidR="00ED06F5" w:rsidRPr="00ED06F5" w:rsidRDefault="00ED06F5" w:rsidP="00ED06F5">
            <w:pPr>
              <w:pStyle w:val="CodeNotesExampleText"/>
              <w:spacing w:line="210" w:lineRule="atLeast"/>
              <w:jc w:val="center"/>
              <w:rPr>
                <w:rFonts w:cs="Arial"/>
                <w:color w:val="auto"/>
                <w:sz w:val="20"/>
                <w:szCs w:val="20"/>
              </w:rPr>
            </w:pPr>
            <w:r w:rsidRPr="00ED06F5">
              <w:rPr>
                <w:rFonts w:cs="Arial"/>
                <w:color w:val="auto"/>
                <w:sz w:val="20"/>
                <w:szCs w:val="20"/>
              </w:rPr>
              <w:t>0</w:t>
            </w:r>
          </w:p>
        </w:tc>
        <w:tc>
          <w:tcPr>
            <w:tcW w:w="852" w:type="dxa"/>
            <w:vAlign w:val="center"/>
          </w:tcPr>
          <w:p w:rsidR="00ED06F5" w:rsidRPr="00ED06F5" w:rsidRDefault="00ED06F5" w:rsidP="00ED06F5">
            <w:pPr>
              <w:pStyle w:val="CodeNotesExampleText"/>
              <w:spacing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828" w:type="dxa"/>
            <w:vAlign w:val="center"/>
          </w:tcPr>
          <w:p w:rsidR="00ED06F5" w:rsidRPr="00ED06F5" w:rsidRDefault="00ED06F5" w:rsidP="00ED06F5">
            <w:pPr>
              <w:pStyle w:val="CodeNotesExampleText"/>
              <w:spacing w:line="210" w:lineRule="atLeast"/>
              <w:jc w:val="center"/>
              <w:rPr>
                <w:rFonts w:cs="Arial"/>
                <w:bCs/>
                <w:color w:val="auto"/>
                <w:sz w:val="20"/>
                <w:szCs w:val="20"/>
              </w:rPr>
            </w:pPr>
            <w:r w:rsidRPr="00ED06F5">
              <w:rPr>
                <w:rFonts w:cs="Arial"/>
                <w:bCs/>
                <w:color w:val="auto"/>
                <w:sz w:val="20"/>
                <w:szCs w:val="20"/>
              </w:rPr>
              <w:t>0.1</w:t>
            </w:r>
          </w:p>
        </w:tc>
        <w:tc>
          <w:tcPr>
            <w:tcW w:w="735" w:type="dxa"/>
            <w:vAlign w:val="center"/>
          </w:tcPr>
          <w:p w:rsidR="00ED06F5" w:rsidRPr="00ED06F5" w:rsidRDefault="00ED06F5" w:rsidP="00ED06F5">
            <w:pPr>
              <w:pStyle w:val="CodeNotesExampleText"/>
              <w:spacing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994"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1.1</w:t>
            </w:r>
          </w:p>
        </w:tc>
        <w:tc>
          <w:tcPr>
            <w:tcW w:w="813" w:type="dxa"/>
            <w:vAlign w:val="center"/>
          </w:tcPr>
          <w:p w:rsidR="00ED06F5" w:rsidRPr="00ED06F5" w:rsidRDefault="00ED06F5" w:rsidP="00ED06F5">
            <w:pPr>
              <w:pStyle w:val="CodeNotesExampleText"/>
              <w:spacing w:line="210" w:lineRule="atLeast"/>
              <w:jc w:val="center"/>
              <w:cnfStyle w:val="000000100000"/>
              <w:rPr>
                <w:rFonts w:cs="Arial"/>
                <w:bCs/>
                <w:color w:val="auto"/>
                <w:sz w:val="20"/>
                <w:szCs w:val="20"/>
              </w:rPr>
            </w:pPr>
            <w:r w:rsidRPr="00ED06F5">
              <w:rPr>
                <w:rFonts w:cs="Arial"/>
                <w:bCs/>
                <w:color w:val="auto"/>
                <w:sz w:val="20"/>
                <w:szCs w:val="20"/>
              </w:rPr>
              <w:t>(0.3)</w:t>
            </w:r>
          </w:p>
        </w:tc>
      </w:tr>
      <w:tr w:rsidR="00ED06F5" w:rsidRPr="00ED06F5" w:rsidTr="00ED06F5">
        <w:trPr>
          <w:trHeight w:val="31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Revaluation Increases/ (decreases) recognised in the Surplus/Deficit on the Provision of Services</w:t>
            </w:r>
          </w:p>
        </w:tc>
        <w:tc>
          <w:tcPr>
            <w:cnfStyle w:val="000010000000"/>
            <w:tcW w:w="994" w:type="dxa"/>
            <w:vAlign w:val="center"/>
          </w:tcPr>
          <w:p w:rsidR="00ED06F5" w:rsidRPr="00ED06F5" w:rsidRDefault="00ED06F5" w:rsidP="00ED06F5">
            <w:pPr>
              <w:pStyle w:val="CodeNotesExampleText"/>
              <w:spacing w:line="210" w:lineRule="atLeast"/>
              <w:jc w:val="center"/>
              <w:rPr>
                <w:rFonts w:cs="Arial"/>
                <w:color w:val="auto"/>
                <w:sz w:val="20"/>
                <w:szCs w:val="20"/>
              </w:rPr>
            </w:pPr>
            <w:r w:rsidRPr="00ED06F5">
              <w:rPr>
                <w:rFonts w:cs="Arial"/>
                <w:color w:val="auto"/>
                <w:sz w:val="20"/>
                <w:szCs w:val="20"/>
              </w:rPr>
              <w:t>(4.4)</w:t>
            </w:r>
          </w:p>
        </w:tc>
        <w:tc>
          <w:tcPr>
            <w:tcW w:w="1136" w:type="dxa"/>
            <w:vAlign w:val="center"/>
          </w:tcPr>
          <w:p w:rsidR="00ED06F5" w:rsidRPr="00ED06F5" w:rsidRDefault="00ED06F5" w:rsidP="00ED06F5">
            <w:pPr>
              <w:pStyle w:val="CodeNotesExampleText"/>
              <w:spacing w:line="210" w:lineRule="atLeast"/>
              <w:jc w:val="center"/>
              <w:cnfStyle w:val="000000000000"/>
              <w:rPr>
                <w:rFonts w:cs="Arial"/>
                <w:color w:val="auto"/>
                <w:sz w:val="20"/>
                <w:szCs w:val="20"/>
              </w:rPr>
            </w:pPr>
            <w:r w:rsidRPr="00ED06F5">
              <w:rPr>
                <w:rFonts w:cs="Arial"/>
                <w:color w:val="auto"/>
                <w:sz w:val="20"/>
                <w:szCs w:val="20"/>
              </w:rPr>
              <w:t>0</w:t>
            </w:r>
          </w:p>
        </w:tc>
        <w:tc>
          <w:tcPr>
            <w:cnfStyle w:val="000010000000"/>
            <w:tcW w:w="853" w:type="dxa"/>
            <w:vAlign w:val="center"/>
          </w:tcPr>
          <w:p w:rsidR="00ED06F5" w:rsidRPr="00ED06F5" w:rsidRDefault="00ED06F5" w:rsidP="00ED06F5">
            <w:pPr>
              <w:pStyle w:val="CodeNotesExampleText"/>
              <w:spacing w:line="210" w:lineRule="atLeast"/>
              <w:jc w:val="center"/>
              <w:rPr>
                <w:rFonts w:cs="Arial"/>
                <w:color w:val="auto"/>
                <w:sz w:val="20"/>
                <w:szCs w:val="20"/>
              </w:rPr>
            </w:pPr>
            <w:r w:rsidRPr="00ED06F5">
              <w:rPr>
                <w:rFonts w:cs="Arial"/>
                <w:color w:val="auto"/>
                <w:sz w:val="20"/>
                <w:szCs w:val="20"/>
              </w:rPr>
              <w:t>0</w:t>
            </w:r>
          </w:p>
        </w:tc>
        <w:tc>
          <w:tcPr>
            <w:tcW w:w="852" w:type="dxa"/>
            <w:vAlign w:val="center"/>
          </w:tcPr>
          <w:p w:rsidR="00ED06F5" w:rsidRPr="00ED06F5" w:rsidRDefault="00ED06F5" w:rsidP="00ED06F5">
            <w:pPr>
              <w:pStyle w:val="CodeNotesExampleText"/>
              <w:spacing w:line="210" w:lineRule="atLeast"/>
              <w:jc w:val="center"/>
              <w:cnfStyle w:val="000000000000"/>
              <w:rPr>
                <w:rFonts w:cs="Arial"/>
                <w:color w:val="auto"/>
                <w:sz w:val="20"/>
                <w:szCs w:val="20"/>
              </w:rPr>
            </w:pPr>
            <w:r w:rsidRPr="00ED06F5">
              <w:rPr>
                <w:rFonts w:cs="Arial"/>
                <w:color w:val="auto"/>
                <w:sz w:val="20"/>
                <w:szCs w:val="20"/>
              </w:rPr>
              <w:t>(0.1)</w:t>
            </w:r>
          </w:p>
        </w:tc>
        <w:tc>
          <w:tcPr>
            <w:cnfStyle w:val="000010000000"/>
            <w:tcW w:w="828" w:type="dxa"/>
            <w:vAlign w:val="center"/>
          </w:tcPr>
          <w:p w:rsidR="00ED06F5" w:rsidRPr="00ED06F5" w:rsidRDefault="00ED06F5" w:rsidP="00ED06F5">
            <w:pPr>
              <w:pStyle w:val="CodeNotesExampleText"/>
              <w:spacing w:line="210" w:lineRule="atLeast"/>
              <w:jc w:val="center"/>
              <w:rPr>
                <w:rFonts w:cs="Arial"/>
                <w:bCs/>
                <w:color w:val="auto"/>
                <w:sz w:val="20"/>
                <w:szCs w:val="20"/>
              </w:rPr>
            </w:pPr>
            <w:r w:rsidRPr="00ED06F5">
              <w:rPr>
                <w:rFonts w:cs="Arial"/>
                <w:bCs/>
                <w:color w:val="auto"/>
                <w:sz w:val="20"/>
                <w:szCs w:val="20"/>
              </w:rPr>
              <w:t>0</w:t>
            </w:r>
          </w:p>
        </w:tc>
        <w:tc>
          <w:tcPr>
            <w:tcW w:w="735" w:type="dxa"/>
            <w:vAlign w:val="center"/>
          </w:tcPr>
          <w:p w:rsidR="00ED06F5" w:rsidRPr="00ED06F5" w:rsidRDefault="00ED06F5" w:rsidP="00ED06F5">
            <w:pPr>
              <w:pStyle w:val="CodeNotesExampleText"/>
              <w:spacing w:line="210" w:lineRule="atLeast"/>
              <w:jc w:val="center"/>
              <w:cnfStyle w:val="000000000000"/>
              <w:rPr>
                <w:rFonts w:cs="Arial"/>
                <w:color w:val="auto"/>
                <w:sz w:val="20"/>
                <w:szCs w:val="20"/>
              </w:rPr>
            </w:pPr>
            <w:r w:rsidRPr="00ED06F5">
              <w:rPr>
                <w:rFonts w:cs="Arial"/>
                <w:color w:val="auto"/>
                <w:sz w:val="20"/>
                <w:szCs w:val="20"/>
              </w:rPr>
              <w:t>0</w:t>
            </w:r>
          </w:p>
        </w:tc>
        <w:tc>
          <w:tcPr>
            <w:cnfStyle w:val="000010000000"/>
            <w:tcW w:w="994"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(4.5)</w:t>
            </w:r>
          </w:p>
        </w:tc>
        <w:tc>
          <w:tcPr>
            <w:tcW w:w="813" w:type="dxa"/>
            <w:vAlign w:val="center"/>
          </w:tcPr>
          <w:p w:rsidR="00ED06F5" w:rsidRPr="00ED06F5" w:rsidRDefault="00ED06F5" w:rsidP="00ED06F5">
            <w:pPr>
              <w:pStyle w:val="CodeNotesExampleText"/>
              <w:spacing w:line="210" w:lineRule="atLeast"/>
              <w:jc w:val="center"/>
              <w:cnfStyle w:val="000000000000"/>
              <w:rPr>
                <w:rFonts w:cs="Arial"/>
                <w:bCs/>
                <w:color w:val="auto"/>
                <w:sz w:val="20"/>
                <w:szCs w:val="20"/>
              </w:rPr>
            </w:pPr>
            <w:r w:rsidRPr="00ED06F5">
              <w:rPr>
                <w:rFonts w:cs="Arial"/>
                <w:bCs/>
                <w:color w:val="auto"/>
                <w:sz w:val="20"/>
                <w:szCs w:val="20"/>
              </w:rPr>
              <w:t>0</w:t>
            </w:r>
          </w:p>
        </w:tc>
      </w:tr>
      <w:tr w:rsidR="00ED06F5" w:rsidRPr="00ED06F5" w:rsidTr="00ED06F5">
        <w:trPr>
          <w:cnfStyle w:val="000000100000"/>
          <w:trHeight w:val="31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 xml:space="preserve">Derecognition – Disposals </w:t>
            </w:r>
          </w:p>
        </w:tc>
        <w:tc>
          <w:tcPr>
            <w:cnfStyle w:val="000010000000"/>
            <w:tcW w:w="994" w:type="dxa"/>
            <w:vAlign w:val="center"/>
          </w:tcPr>
          <w:p w:rsidR="00ED06F5" w:rsidRPr="00ED06F5" w:rsidRDefault="00ED06F5" w:rsidP="00ED06F5">
            <w:pPr>
              <w:pStyle w:val="CodeNotesExampleText"/>
              <w:spacing w:line="210" w:lineRule="atLeast"/>
              <w:ind w:left="105"/>
              <w:jc w:val="center"/>
              <w:rPr>
                <w:rFonts w:cs="Arial"/>
                <w:color w:val="auto"/>
                <w:sz w:val="20"/>
                <w:szCs w:val="20"/>
              </w:rPr>
            </w:pPr>
            <w:r w:rsidRPr="00ED06F5">
              <w:rPr>
                <w:rFonts w:cs="Arial"/>
                <w:color w:val="auto"/>
                <w:sz w:val="20"/>
                <w:szCs w:val="20"/>
              </w:rPr>
              <w:t>(10.7)</w:t>
            </w:r>
          </w:p>
        </w:tc>
        <w:tc>
          <w:tcPr>
            <w:tcW w:w="1136" w:type="dxa"/>
            <w:vAlign w:val="center"/>
          </w:tcPr>
          <w:p w:rsidR="00ED06F5" w:rsidRPr="00ED06F5" w:rsidRDefault="00ED06F5" w:rsidP="00ED06F5">
            <w:pPr>
              <w:pStyle w:val="CodeNotesExampleText"/>
              <w:spacing w:line="210" w:lineRule="atLeast"/>
              <w:ind w:left="105"/>
              <w:jc w:val="center"/>
              <w:cnfStyle w:val="000000100000"/>
              <w:rPr>
                <w:rFonts w:cs="Arial"/>
                <w:color w:val="auto"/>
                <w:sz w:val="20"/>
                <w:szCs w:val="20"/>
              </w:rPr>
            </w:pPr>
            <w:r w:rsidRPr="00ED06F5">
              <w:rPr>
                <w:rFonts w:cs="Arial"/>
                <w:color w:val="auto"/>
                <w:sz w:val="20"/>
                <w:szCs w:val="20"/>
              </w:rPr>
              <w:t>(0.4)</w:t>
            </w:r>
          </w:p>
        </w:tc>
        <w:tc>
          <w:tcPr>
            <w:cnfStyle w:val="000010000000"/>
            <w:tcW w:w="853" w:type="dxa"/>
            <w:vAlign w:val="center"/>
          </w:tcPr>
          <w:p w:rsidR="00ED06F5" w:rsidRPr="00ED06F5" w:rsidRDefault="00ED06F5" w:rsidP="00ED06F5">
            <w:pPr>
              <w:pStyle w:val="CodeNotesExampleText"/>
              <w:spacing w:line="210" w:lineRule="atLeast"/>
              <w:ind w:left="105"/>
              <w:jc w:val="center"/>
              <w:rPr>
                <w:rFonts w:cs="Arial"/>
                <w:color w:val="auto"/>
                <w:sz w:val="20"/>
                <w:szCs w:val="20"/>
              </w:rPr>
            </w:pPr>
            <w:r w:rsidRPr="00ED06F5">
              <w:rPr>
                <w:rFonts w:cs="Arial"/>
                <w:color w:val="auto"/>
                <w:sz w:val="20"/>
                <w:szCs w:val="20"/>
              </w:rPr>
              <w:t>0</w:t>
            </w:r>
          </w:p>
        </w:tc>
        <w:tc>
          <w:tcPr>
            <w:tcW w:w="852" w:type="dxa"/>
            <w:vAlign w:val="center"/>
          </w:tcPr>
          <w:p w:rsidR="00ED06F5" w:rsidRPr="00ED06F5" w:rsidRDefault="00ED06F5" w:rsidP="00ED06F5">
            <w:pPr>
              <w:pStyle w:val="CodeNotesExampleText"/>
              <w:spacing w:line="210" w:lineRule="atLeast"/>
              <w:ind w:left="105"/>
              <w:jc w:val="center"/>
              <w:cnfStyle w:val="000000100000"/>
              <w:rPr>
                <w:rFonts w:cs="Arial"/>
                <w:color w:val="auto"/>
                <w:sz w:val="20"/>
                <w:szCs w:val="20"/>
              </w:rPr>
            </w:pPr>
            <w:r w:rsidRPr="00ED06F5">
              <w:rPr>
                <w:rFonts w:cs="Arial"/>
                <w:color w:val="auto"/>
                <w:sz w:val="20"/>
                <w:szCs w:val="20"/>
              </w:rPr>
              <w:t>0</w:t>
            </w:r>
          </w:p>
        </w:tc>
        <w:tc>
          <w:tcPr>
            <w:cnfStyle w:val="000010000000"/>
            <w:tcW w:w="828" w:type="dxa"/>
            <w:vAlign w:val="center"/>
          </w:tcPr>
          <w:p w:rsidR="00ED06F5" w:rsidRPr="00ED06F5" w:rsidRDefault="00ED06F5" w:rsidP="00ED06F5">
            <w:pPr>
              <w:pStyle w:val="CodeNotesExampleText"/>
              <w:spacing w:line="210" w:lineRule="atLeast"/>
              <w:ind w:left="105"/>
              <w:jc w:val="center"/>
              <w:rPr>
                <w:rFonts w:cs="Arial"/>
                <w:color w:val="auto"/>
                <w:sz w:val="20"/>
                <w:szCs w:val="20"/>
              </w:rPr>
            </w:pPr>
            <w:r w:rsidRPr="00ED06F5">
              <w:rPr>
                <w:rFonts w:cs="Arial"/>
                <w:color w:val="auto"/>
                <w:sz w:val="20"/>
                <w:szCs w:val="20"/>
              </w:rPr>
              <w:t>0</w:t>
            </w:r>
          </w:p>
        </w:tc>
        <w:tc>
          <w:tcPr>
            <w:tcW w:w="735" w:type="dxa"/>
            <w:vAlign w:val="center"/>
          </w:tcPr>
          <w:p w:rsidR="00ED06F5" w:rsidRPr="00ED06F5" w:rsidRDefault="00ED06F5" w:rsidP="00ED06F5">
            <w:pPr>
              <w:pStyle w:val="CodeNotesExampleText"/>
              <w:spacing w:line="210" w:lineRule="atLeast"/>
              <w:ind w:left="105"/>
              <w:jc w:val="center"/>
              <w:cnfStyle w:val="000000100000"/>
              <w:rPr>
                <w:rFonts w:cs="Arial"/>
                <w:color w:val="auto"/>
                <w:sz w:val="20"/>
                <w:szCs w:val="20"/>
              </w:rPr>
            </w:pPr>
            <w:r w:rsidRPr="00ED06F5">
              <w:rPr>
                <w:rFonts w:cs="Arial"/>
                <w:color w:val="auto"/>
                <w:sz w:val="20"/>
                <w:szCs w:val="20"/>
              </w:rPr>
              <w:t>0</w:t>
            </w:r>
          </w:p>
        </w:tc>
        <w:tc>
          <w:tcPr>
            <w:cnfStyle w:val="000010000000"/>
            <w:tcW w:w="994" w:type="dxa"/>
            <w:vAlign w:val="center"/>
          </w:tcPr>
          <w:p w:rsidR="00ED06F5" w:rsidRPr="00ED06F5" w:rsidRDefault="00ED06F5" w:rsidP="00ED06F5">
            <w:pPr>
              <w:pStyle w:val="CodeNotesExampleText"/>
              <w:spacing w:line="210" w:lineRule="atLeast"/>
              <w:ind w:left="105"/>
              <w:jc w:val="center"/>
              <w:rPr>
                <w:rFonts w:cs="Arial"/>
                <w:b/>
                <w:color w:val="auto"/>
                <w:sz w:val="20"/>
                <w:szCs w:val="20"/>
              </w:rPr>
            </w:pPr>
            <w:r w:rsidRPr="00ED06F5">
              <w:rPr>
                <w:rFonts w:cs="Arial"/>
                <w:b/>
                <w:color w:val="auto"/>
                <w:sz w:val="20"/>
                <w:szCs w:val="20"/>
              </w:rPr>
              <w:t>(11.1)</w:t>
            </w:r>
          </w:p>
        </w:tc>
        <w:tc>
          <w:tcPr>
            <w:tcW w:w="813" w:type="dxa"/>
            <w:vAlign w:val="center"/>
          </w:tcPr>
          <w:p w:rsidR="00ED06F5" w:rsidRPr="00ED06F5" w:rsidRDefault="00ED06F5" w:rsidP="00ED06F5">
            <w:pPr>
              <w:pStyle w:val="CodeNotesExampleText"/>
              <w:spacing w:line="210" w:lineRule="atLeast"/>
              <w:ind w:left="105"/>
              <w:jc w:val="center"/>
              <w:cnfStyle w:val="000000100000"/>
              <w:rPr>
                <w:rFonts w:cs="Arial"/>
                <w:color w:val="auto"/>
                <w:sz w:val="20"/>
                <w:szCs w:val="20"/>
              </w:rPr>
            </w:pPr>
            <w:r w:rsidRPr="00ED06F5">
              <w:rPr>
                <w:rFonts w:cs="Arial"/>
                <w:color w:val="auto"/>
                <w:sz w:val="20"/>
                <w:szCs w:val="20"/>
              </w:rPr>
              <w:t>0</w:t>
            </w:r>
          </w:p>
        </w:tc>
      </w:tr>
      <w:tr w:rsidR="00ED06F5" w:rsidRPr="00ED06F5" w:rsidTr="00ED06F5">
        <w:trPr>
          <w:trHeight w:val="31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Assets reclassified (to)/from Held for Sale</w:t>
            </w:r>
          </w:p>
        </w:tc>
        <w:tc>
          <w:tcPr>
            <w:cnfStyle w:val="000010000000"/>
            <w:tcW w:w="994" w:type="dxa"/>
            <w:vAlign w:val="center"/>
          </w:tcPr>
          <w:p w:rsidR="00ED06F5" w:rsidRPr="00ED06F5" w:rsidRDefault="00ED06F5" w:rsidP="00ED06F5">
            <w:pPr>
              <w:pStyle w:val="CodeNotesExampleText"/>
              <w:spacing w:line="210" w:lineRule="atLeast"/>
              <w:ind w:left="105"/>
              <w:jc w:val="center"/>
              <w:rPr>
                <w:rFonts w:cs="Arial"/>
                <w:color w:val="auto"/>
                <w:sz w:val="20"/>
                <w:szCs w:val="20"/>
              </w:rPr>
            </w:pPr>
            <w:r w:rsidRPr="00ED06F5">
              <w:rPr>
                <w:rFonts w:cs="Arial"/>
                <w:color w:val="auto"/>
                <w:sz w:val="20"/>
                <w:szCs w:val="20"/>
              </w:rPr>
              <w:t>(0.4)</w:t>
            </w:r>
          </w:p>
        </w:tc>
        <w:tc>
          <w:tcPr>
            <w:tcW w:w="1136" w:type="dxa"/>
            <w:vAlign w:val="center"/>
          </w:tcPr>
          <w:p w:rsidR="00ED06F5" w:rsidRPr="00ED06F5" w:rsidRDefault="00ED06F5" w:rsidP="00ED06F5">
            <w:pPr>
              <w:pStyle w:val="CodeNotesExampleText"/>
              <w:spacing w:line="210" w:lineRule="atLeast"/>
              <w:ind w:left="105"/>
              <w:jc w:val="center"/>
              <w:cnfStyle w:val="000000000000"/>
              <w:rPr>
                <w:rFonts w:cs="Arial"/>
                <w:color w:val="auto"/>
                <w:sz w:val="20"/>
                <w:szCs w:val="20"/>
              </w:rPr>
            </w:pPr>
            <w:r w:rsidRPr="00ED06F5">
              <w:rPr>
                <w:rFonts w:cs="Arial"/>
                <w:color w:val="auto"/>
                <w:sz w:val="20"/>
                <w:szCs w:val="20"/>
              </w:rPr>
              <w:t>0</w:t>
            </w:r>
          </w:p>
        </w:tc>
        <w:tc>
          <w:tcPr>
            <w:cnfStyle w:val="000010000000"/>
            <w:tcW w:w="853" w:type="dxa"/>
            <w:vAlign w:val="center"/>
          </w:tcPr>
          <w:p w:rsidR="00ED06F5" w:rsidRPr="00ED06F5" w:rsidRDefault="00ED06F5" w:rsidP="00ED06F5">
            <w:pPr>
              <w:pStyle w:val="CodeNotesExampleText"/>
              <w:spacing w:line="210" w:lineRule="atLeast"/>
              <w:ind w:left="105"/>
              <w:jc w:val="center"/>
              <w:rPr>
                <w:rFonts w:cs="Arial"/>
                <w:color w:val="auto"/>
                <w:sz w:val="20"/>
                <w:szCs w:val="20"/>
              </w:rPr>
            </w:pPr>
            <w:r w:rsidRPr="00ED06F5">
              <w:rPr>
                <w:rFonts w:cs="Arial"/>
                <w:color w:val="auto"/>
                <w:sz w:val="20"/>
                <w:szCs w:val="20"/>
              </w:rPr>
              <w:t>0</w:t>
            </w:r>
          </w:p>
        </w:tc>
        <w:tc>
          <w:tcPr>
            <w:tcW w:w="852" w:type="dxa"/>
            <w:vAlign w:val="center"/>
          </w:tcPr>
          <w:p w:rsidR="00ED06F5" w:rsidRPr="00ED06F5" w:rsidRDefault="00ED06F5" w:rsidP="00ED06F5">
            <w:pPr>
              <w:pStyle w:val="CodeNotesExampleText"/>
              <w:spacing w:line="210" w:lineRule="atLeast"/>
              <w:ind w:left="105"/>
              <w:jc w:val="center"/>
              <w:cnfStyle w:val="000000000000"/>
              <w:rPr>
                <w:rFonts w:cs="Arial"/>
                <w:color w:val="auto"/>
                <w:sz w:val="20"/>
                <w:szCs w:val="20"/>
              </w:rPr>
            </w:pPr>
            <w:r w:rsidRPr="00ED06F5">
              <w:rPr>
                <w:rFonts w:cs="Arial"/>
                <w:color w:val="auto"/>
                <w:sz w:val="20"/>
                <w:szCs w:val="20"/>
              </w:rPr>
              <w:t>0</w:t>
            </w:r>
          </w:p>
        </w:tc>
        <w:tc>
          <w:tcPr>
            <w:cnfStyle w:val="000010000000"/>
            <w:tcW w:w="828" w:type="dxa"/>
            <w:vAlign w:val="center"/>
          </w:tcPr>
          <w:p w:rsidR="00ED06F5" w:rsidRPr="00ED06F5" w:rsidRDefault="00ED06F5" w:rsidP="00ED06F5">
            <w:pPr>
              <w:pStyle w:val="CodeNotesExampleText"/>
              <w:spacing w:line="210" w:lineRule="atLeast"/>
              <w:ind w:left="105"/>
              <w:jc w:val="center"/>
              <w:rPr>
                <w:rFonts w:cs="Arial"/>
                <w:color w:val="auto"/>
                <w:sz w:val="20"/>
                <w:szCs w:val="20"/>
              </w:rPr>
            </w:pPr>
            <w:r w:rsidRPr="00ED06F5">
              <w:rPr>
                <w:rFonts w:cs="Arial"/>
                <w:color w:val="auto"/>
                <w:sz w:val="20"/>
                <w:szCs w:val="20"/>
              </w:rPr>
              <w:t>(0.1)</w:t>
            </w:r>
          </w:p>
        </w:tc>
        <w:tc>
          <w:tcPr>
            <w:tcW w:w="735" w:type="dxa"/>
            <w:vAlign w:val="center"/>
          </w:tcPr>
          <w:p w:rsidR="00ED06F5" w:rsidRPr="00ED06F5" w:rsidRDefault="00ED06F5" w:rsidP="00ED06F5">
            <w:pPr>
              <w:pStyle w:val="CodeNotesExampleText"/>
              <w:spacing w:line="210" w:lineRule="atLeast"/>
              <w:ind w:left="105"/>
              <w:jc w:val="center"/>
              <w:cnfStyle w:val="000000000000"/>
              <w:rPr>
                <w:rFonts w:cs="Arial"/>
                <w:color w:val="auto"/>
                <w:sz w:val="20"/>
                <w:szCs w:val="20"/>
              </w:rPr>
            </w:pPr>
            <w:r w:rsidRPr="00ED06F5">
              <w:rPr>
                <w:rFonts w:cs="Arial"/>
                <w:color w:val="auto"/>
                <w:sz w:val="20"/>
                <w:szCs w:val="20"/>
              </w:rPr>
              <w:t>0</w:t>
            </w:r>
          </w:p>
        </w:tc>
        <w:tc>
          <w:tcPr>
            <w:cnfStyle w:val="000010000000"/>
            <w:tcW w:w="994" w:type="dxa"/>
            <w:vAlign w:val="center"/>
          </w:tcPr>
          <w:p w:rsidR="00ED06F5" w:rsidRPr="00ED06F5" w:rsidRDefault="00ED06F5" w:rsidP="00ED06F5">
            <w:pPr>
              <w:pStyle w:val="CodeNotesExampleText"/>
              <w:spacing w:line="210" w:lineRule="atLeast"/>
              <w:ind w:left="105"/>
              <w:jc w:val="center"/>
              <w:rPr>
                <w:rFonts w:cs="Arial"/>
                <w:b/>
                <w:color w:val="auto"/>
                <w:sz w:val="20"/>
                <w:szCs w:val="20"/>
              </w:rPr>
            </w:pPr>
            <w:r w:rsidRPr="00ED06F5">
              <w:rPr>
                <w:rFonts w:cs="Arial"/>
                <w:b/>
                <w:color w:val="auto"/>
                <w:sz w:val="20"/>
                <w:szCs w:val="20"/>
              </w:rPr>
              <w:t>(0.5)</w:t>
            </w:r>
          </w:p>
        </w:tc>
        <w:tc>
          <w:tcPr>
            <w:tcW w:w="813" w:type="dxa"/>
            <w:vAlign w:val="center"/>
          </w:tcPr>
          <w:p w:rsidR="00ED06F5" w:rsidRPr="00ED06F5" w:rsidRDefault="00ED06F5" w:rsidP="00ED06F5">
            <w:pPr>
              <w:pStyle w:val="CodeNotesExampleText"/>
              <w:spacing w:line="210" w:lineRule="atLeast"/>
              <w:ind w:left="105"/>
              <w:jc w:val="center"/>
              <w:cnfStyle w:val="000000000000"/>
              <w:rPr>
                <w:rFonts w:cs="Arial"/>
                <w:color w:val="auto"/>
                <w:sz w:val="20"/>
                <w:szCs w:val="20"/>
              </w:rPr>
            </w:pPr>
            <w:r w:rsidRPr="00ED06F5">
              <w:rPr>
                <w:rFonts w:cs="Arial"/>
                <w:color w:val="auto"/>
                <w:sz w:val="20"/>
                <w:szCs w:val="20"/>
              </w:rPr>
              <w:t>0</w:t>
            </w:r>
          </w:p>
        </w:tc>
      </w:tr>
      <w:tr w:rsidR="00ED06F5" w:rsidRPr="00ED06F5" w:rsidTr="00ED06F5">
        <w:trPr>
          <w:cnfStyle w:val="000000100000"/>
          <w:trHeight w:val="31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Other movements in Cost or Valuation</w:t>
            </w:r>
          </w:p>
        </w:tc>
        <w:tc>
          <w:tcPr>
            <w:cnfStyle w:val="000010000000"/>
            <w:tcW w:w="994" w:type="dxa"/>
            <w:vAlign w:val="center"/>
          </w:tcPr>
          <w:p w:rsidR="00ED06F5" w:rsidRPr="00ED06F5" w:rsidRDefault="00ED06F5" w:rsidP="00ED06F5">
            <w:pPr>
              <w:pStyle w:val="CodeNotesExampleText"/>
              <w:spacing w:line="210" w:lineRule="atLeast"/>
              <w:ind w:left="105"/>
              <w:jc w:val="center"/>
              <w:rPr>
                <w:rFonts w:cs="Arial"/>
                <w:color w:val="auto"/>
                <w:sz w:val="20"/>
                <w:szCs w:val="20"/>
              </w:rPr>
            </w:pPr>
            <w:r w:rsidRPr="00ED06F5">
              <w:rPr>
                <w:rFonts w:cs="Arial"/>
                <w:color w:val="auto"/>
                <w:sz w:val="20"/>
                <w:szCs w:val="20"/>
              </w:rPr>
              <w:t>0</w:t>
            </w:r>
          </w:p>
        </w:tc>
        <w:tc>
          <w:tcPr>
            <w:tcW w:w="1136" w:type="dxa"/>
            <w:vAlign w:val="center"/>
          </w:tcPr>
          <w:p w:rsidR="00ED06F5" w:rsidRPr="00ED06F5" w:rsidRDefault="00ED06F5" w:rsidP="00ED06F5">
            <w:pPr>
              <w:pStyle w:val="CodeNotesExampleText"/>
              <w:spacing w:line="210" w:lineRule="atLeast"/>
              <w:ind w:left="105"/>
              <w:jc w:val="center"/>
              <w:cnfStyle w:val="000000100000"/>
              <w:rPr>
                <w:rFonts w:cs="Arial"/>
                <w:color w:val="auto"/>
                <w:sz w:val="20"/>
                <w:szCs w:val="20"/>
              </w:rPr>
            </w:pPr>
            <w:r w:rsidRPr="00ED06F5">
              <w:rPr>
                <w:rFonts w:cs="Arial"/>
                <w:color w:val="auto"/>
                <w:sz w:val="20"/>
                <w:szCs w:val="20"/>
              </w:rPr>
              <w:t>0</w:t>
            </w:r>
          </w:p>
        </w:tc>
        <w:tc>
          <w:tcPr>
            <w:cnfStyle w:val="000010000000"/>
            <w:tcW w:w="853" w:type="dxa"/>
            <w:vAlign w:val="center"/>
          </w:tcPr>
          <w:p w:rsidR="00ED06F5" w:rsidRPr="00ED06F5" w:rsidRDefault="00ED06F5" w:rsidP="00ED06F5">
            <w:pPr>
              <w:pStyle w:val="CodeNotesExampleText"/>
              <w:spacing w:line="210" w:lineRule="atLeast"/>
              <w:ind w:left="105"/>
              <w:jc w:val="center"/>
              <w:rPr>
                <w:rFonts w:cs="Arial"/>
                <w:color w:val="auto"/>
                <w:sz w:val="20"/>
                <w:szCs w:val="20"/>
              </w:rPr>
            </w:pPr>
            <w:r w:rsidRPr="00ED06F5">
              <w:rPr>
                <w:rFonts w:cs="Arial"/>
                <w:color w:val="auto"/>
                <w:sz w:val="20"/>
                <w:szCs w:val="20"/>
              </w:rPr>
              <w:t>2.5</w:t>
            </w:r>
          </w:p>
        </w:tc>
        <w:tc>
          <w:tcPr>
            <w:tcW w:w="852" w:type="dxa"/>
            <w:vAlign w:val="center"/>
          </w:tcPr>
          <w:p w:rsidR="00ED06F5" w:rsidRPr="00ED06F5" w:rsidRDefault="00ED06F5" w:rsidP="00ED06F5">
            <w:pPr>
              <w:pStyle w:val="CodeNotesExampleText"/>
              <w:spacing w:line="210" w:lineRule="atLeast"/>
              <w:ind w:left="105"/>
              <w:jc w:val="center"/>
              <w:cnfStyle w:val="000000100000"/>
              <w:rPr>
                <w:rFonts w:cs="Arial"/>
                <w:color w:val="auto"/>
                <w:sz w:val="20"/>
                <w:szCs w:val="20"/>
              </w:rPr>
            </w:pPr>
            <w:r w:rsidRPr="00ED06F5">
              <w:rPr>
                <w:rFonts w:cs="Arial"/>
                <w:color w:val="auto"/>
                <w:sz w:val="20"/>
                <w:szCs w:val="20"/>
              </w:rPr>
              <w:t>(1.2)</w:t>
            </w:r>
          </w:p>
        </w:tc>
        <w:tc>
          <w:tcPr>
            <w:cnfStyle w:val="000010000000"/>
            <w:tcW w:w="828" w:type="dxa"/>
            <w:vAlign w:val="center"/>
          </w:tcPr>
          <w:p w:rsidR="00ED06F5" w:rsidRPr="00ED06F5" w:rsidRDefault="00ED06F5" w:rsidP="00ED06F5">
            <w:pPr>
              <w:pStyle w:val="CodeNotesExampleText"/>
              <w:spacing w:line="210" w:lineRule="atLeast"/>
              <w:ind w:left="105"/>
              <w:jc w:val="center"/>
              <w:rPr>
                <w:rFonts w:cs="Arial"/>
                <w:color w:val="auto"/>
                <w:sz w:val="20"/>
                <w:szCs w:val="20"/>
              </w:rPr>
            </w:pPr>
            <w:r w:rsidRPr="00ED06F5">
              <w:rPr>
                <w:rFonts w:cs="Arial"/>
                <w:color w:val="auto"/>
                <w:sz w:val="20"/>
                <w:szCs w:val="20"/>
              </w:rPr>
              <w:t>0.5</w:t>
            </w:r>
          </w:p>
        </w:tc>
        <w:tc>
          <w:tcPr>
            <w:tcW w:w="735" w:type="dxa"/>
            <w:vAlign w:val="center"/>
          </w:tcPr>
          <w:p w:rsidR="00ED06F5" w:rsidRPr="00ED06F5" w:rsidRDefault="00ED06F5" w:rsidP="00ED06F5">
            <w:pPr>
              <w:pStyle w:val="CodeNotesExampleText"/>
              <w:spacing w:line="210" w:lineRule="atLeast"/>
              <w:ind w:left="105"/>
              <w:jc w:val="center"/>
              <w:cnfStyle w:val="000000100000"/>
              <w:rPr>
                <w:rFonts w:cs="Arial"/>
                <w:color w:val="auto"/>
                <w:sz w:val="20"/>
                <w:szCs w:val="20"/>
              </w:rPr>
            </w:pPr>
            <w:r w:rsidRPr="00ED06F5">
              <w:rPr>
                <w:rFonts w:cs="Arial"/>
                <w:color w:val="auto"/>
                <w:sz w:val="20"/>
                <w:szCs w:val="20"/>
              </w:rPr>
              <w:t>(1.7)</w:t>
            </w:r>
          </w:p>
        </w:tc>
        <w:tc>
          <w:tcPr>
            <w:cnfStyle w:val="000010000000"/>
            <w:tcW w:w="994" w:type="dxa"/>
            <w:vAlign w:val="center"/>
          </w:tcPr>
          <w:p w:rsidR="00ED06F5" w:rsidRPr="00ED06F5" w:rsidRDefault="00ED06F5" w:rsidP="00ED06F5">
            <w:pPr>
              <w:pStyle w:val="CodeNotesExampleText"/>
              <w:spacing w:line="210" w:lineRule="atLeast"/>
              <w:ind w:left="105"/>
              <w:jc w:val="center"/>
              <w:rPr>
                <w:rFonts w:cs="Arial"/>
                <w:b/>
                <w:color w:val="auto"/>
                <w:sz w:val="20"/>
                <w:szCs w:val="20"/>
              </w:rPr>
            </w:pPr>
            <w:r w:rsidRPr="00ED06F5">
              <w:rPr>
                <w:rFonts w:cs="Arial"/>
                <w:b/>
                <w:color w:val="auto"/>
                <w:sz w:val="20"/>
                <w:szCs w:val="20"/>
              </w:rPr>
              <w:t>0.1</w:t>
            </w:r>
          </w:p>
        </w:tc>
        <w:tc>
          <w:tcPr>
            <w:tcW w:w="813" w:type="dxa"/>
            <w:vAlign w:val="center"/>
          </w:tcPr>
          <w:p w:rsidR="00ED06F5" w:rsidRPr="00ED06F5" w:rsidRDefault="00ED06F5" w:rsidP="00ED06F5">
            <w:pPr>
              <w:pStyle w:val="CodeNotesExampleText"/>
              <w:spacing w:line="210" w:lineRule="atLeast"/>
              <w:ind w:left="105"/>
              <w:jc w:val="center"/>
              <w:cnfStyle w:val="000000100000"/>
              <w:rPr>
                <w:rFonts w:cs="Arial"/>
                <w:color w:val="auto"/>
                <w:sz w:val="20"/>
                <w:szCs w:val="20"/>
              </w:rPr>
            </w:pPr>
            <w:r w:rsidRPr="00ED06F5">
              <w:rPr>
                <w:rFonts w:cs="Arial"/>
                <w:color w:val="auto"/>
                <w:sz w:val="20"/>
                <w:szCs w:val="20"/>
              </w:rPr>
              <w:t>0</w:t>
            </w:r>
          </w:p>
        </w:tc>
      </w:tr>
      <w:tr w:rsidR="00ED06F5" w:rsidRPr="00ED06F5" w:rsidTr="00ED06F5">
        <w:trPr>
          <w:trHeight w:val="312"/>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0"/>
                <w:szCs w:val="20"/>
              </w:rPr>
            </w:pPr>
            <w:r w:rsidRPr="00ED06F5">
              <w:rPr>
                <w:rFonts w:cs="Arial"/>
                <w:bCs w:val="0"/>
                <w:color w:val="auto"/>
                <w:sz w:val="20"/>
                <w:szCs w:val="20"/>
              </w:rPr>
              <w:t>As at  31</w:t>
            </w:r>
            <w:r w:rsidRPr="00ED06F5">
              <w:rPr>
                <w:rFonts w:cs="Arial"/>
                <w:bCs w:val="0"/>
                <w:color w:val="auto"/>
                <w:sz w:val="20"/>
                <w:szCs w:val="20"/>
                <w:vertAlign w:val="superscript"/>
              </w:rPr>
              <w:t>st</w:t>
            </w:r>
            <w:r w:rsidRPr="00ED06F5">
              <w:rPr>
                <w:rFonts w:cs="Arial"/>
                <w:bCs w:val="0"/>
                <w:color w:val="auto"/>
                <w:sz w:val="20"/>
                <w:szCs w:val="20"/>
              </w:rPr>
              <w:t xml:space="preserve">  March 2015</w:t>
            </w:r>
          </w:p>
        </w:tc>
        <w:tc>
          <w:tcPr>
            <w:cnfStyle w:val="000010000000"/>
            <w:tcW w:w="994"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186.8</w:t>
            </w:r>
          </w:p>
        </w:tc>
        <w:tc>
          <w:tcPr>
            <w:tcW w:w="1136" w:type="dxa"/>
            <w:vAlign w:val="center"/>
          </w:tcPr>
          <w:p w:rsidR="00ED06F5" w:rsidRPr="00ED06F5" w:rsidRDefault="00ED06F5" w:rsidP="00ED06F5">
            <w:pPr>
              <w:pStyle w:val="CodeNotesExampleText"/>
              <w:spacing w:line="210" w:lineRule="atLeast"/>
              <w:jc w:val="center"/>
              <w:cnfStyle w:val="000000000000"/>
              <w:rPr>
                <w:rFonts w:cs="Arial"/>
                <w:b/>
                <w:bCs/>
                <w:color w:val="auto"/>
                <w:sz w:val="20"/>
                <w:szCs w:val="20"/>
              </w:rPr>
            </w:pPr>
            <w:r w:rsidRPr="00ED06F5">
              <w:rPr>
                <w:rFonts w:cs="Arial"/>
                <w:b/>
                <w:bCs/>
                <w:color w:val="auto"/>
                <w:sz w:val="20"/>
                <w:szCs w:val="20"/>
              </w:rPr>
              <w:t>17.2</w:t>
            </w:r>
          </w:p>
        </w:tc>
        <w:tc>
          <w:tcPr>
            <w:cnfStyle w:val="000010000000"/>
            <w:tcW w:w="853"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106.4</w:t>
            </w:r>
          </w:p>
        </w:tc>
        <w:tc>
          <w:tcPr>
            <w:tcW w:w="852" w:type="dxa"/>
            <w:vAlign w:val="center"/>
          </w:tcPr>
          <w:p w:rsidR="00ED06F5" w:rsidRPr="00ED06F5" w:rsidRDefault="00ED06F5" w:rsidP="00ED06F5">
            <w:pPr>
              <w:pStyle w:val="CodeNotesExampleText"/>
              <w:spacing w:line="210" w:lineRule="atLeast"/>
              <w:jc w:val="center"/>
              <w:cnfStyle w:val="000000000000"/>
              <w:rPr>
                <w:rFonts w:cs="Arial"/>
                <w:b/>
                <w:bCs/>
                <w:color w:val="auto"/>
                <w:sz w:val="20"/>
                <w:szCs w:val="20"/>
              </w:rPr>
            </w:pPr>
            <w:r w:rsidRPr="00ED06F5">
              <w:rPr>
                <w:rFonts w:cs="Arial"/>
                <w:b/>
                <w:bCs/>
                <w:color w:val="auto"/>
                <w:sz w:val="20"/>
                <w:szCs w:val="20"/>
              </w:rPr>
              <w:t>7.4</w:t>
            </w:r>
          </w:p>
        </w:tc>
        <w:tc>
          <w:tcPr>
            <w:cnfStyle w:val="000010000000"/>
            <w:tcW w:w="828"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0.5</w:t>
            </w:r>
          </w:p>
        </w:tc>
        <w:tc>
          <w:tcPr>
            <w:tcW w:w="735" w:type="dxa"/>
            <w:vAlign w:val="center"/>
          </w:tcPr>
          <w:p w:rsidR="00ED06F5" w:rsidRPr="00ED06F5" w:rsidRDefault="00ED06F5" w:rsidP="00ED06F5">
            <w:pPr>
              <w:pStyle w:val="CodeNotesExampleText"/>
              <w:spacing w:line="210" w:lineRule="atLeast"/>
              <w:jc w:val="center"/>
              <w:cnfStyle w:val="000000000000"/>
              <w:rPr>
                <w:rFonts w:cs="Arial"/>
                <w:b/>
                <w:bCs/>
                <w:color w:val="auto"/>
                <w:sz w:val="20"/>
                <w:szCs w:val="20"/>
              </w:rPr>
            </w:pPr>
            <w:r w:rsidRPr="00ED06F5">
              <w:rPr>
                <w:rFonts w:cs="Arial"/>
                <w:b/>
                <w:bCs/>
                <w:color w:val="auto"/>
                <w:sz w:val="20"/>
                <w:szCs w:val="20"/>
              </w:rPr>
              <w:t>2.3</w:t>
            </w:r>
          </w:p>
        </w:tc>
        <w:tc>
          <w:tcPr>
            <w:cnfStyle w:val="000010000000"/>
            <w:tcW w:w="994" w:type="dxa"/>
            <w:vAlign w:val="center"/>
          </w:tcPr>
          <w:p w:rsidR="00ED06F5" w:rsidRPr="00ED06F5" w:rsidRDefault="00ED06F5" w:rsidP="00ED06F5">
            <w:pPr>
              <w:pStyle w:val="CodeNotesExampleText"/>
              <w:spacing w:line="210" w:lineRule="atLeast"/>
              <w:jc w:val="center"/>
              <w:rPr>
                <w:rFonts w:cs="Arial"/>
                <w:b/>
                <w:bCs/>
                <w:color w:val="auto"/>
                <w:sz w:val="20"/>
                <w:szCs w:val="20"/>
              </w:rPr>
            </w:pPr>
            <w:r w:rsidRPr="00ED06F5">
              <w:rPr>
                <w:rFonts w:cs="Arial"/>
                <w:b/>
                <w:bCs/>
                <w:color w:val="auto"/>
                <w:sz w:val="20"/>
                <w:szCs w:val="20"/>
              </w:rPr>
              <w:t>320.6</w:t>
            </w:r>
          </w:p>
        </w:tc>
        <w:tc>
          <w:tcPr>
            <w:tcW w:w="813" w:type="dxa"/>
            <w:vAlign w:val="center"/>
          </w:tcPr>
          <w:p w:rsidR="00ED06F5" w:rsidRPr="00ED06F5" w:rsidRDefault="00ED06F5" w:rsidP="00ED06F5">
            <w:pPr>
              <w:pStyle w:val="CodeNotesExampleText"/>
              <w:spacing w:line="210" w:lineRule="atLeast"/>
              <w:jc w:val="center"/>
              <w:cnfStyle w:val="000000000000"/>
              <w:rPr>
                <w:rFonts w:cs="Arial"/>
                <w:b/>
                <w:bCs/>
                <w:color w:val="auto"/>
                <w:sz w:val="20"/>
                <w:szCs w:val="20"/>
              </w:rPr>
            </w:pPr>
            <w:r w:rsidRPr="00ED06F5">
              <w:rPr>
                <w:rFonts w:cs="Arial"/>
                <w:b/>
                <w:bCs/>
                <w:color w:val="auto"/>
                <w:sz w:val="20"/>
                <w:szCs w:val="20"/>
              </w:rPr>
              <w:t>23.8</w:t>
            </w:r>
          </w:p>
        </w:tc>
      </w:tr>
      <w:tr w:rsidR="00ED06F5" w:rsidRPr="00ED06F5" w:rsidTr="00ED06F5">
        <w:trPr>
          <w:cnfStyle w:val="000000100000"/>
          <w:trHeight w:val="447"/>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2"/>
                <w:szCs w:val="22"/>
              </w:rPr>
            </w:pPr>
            <w:r w:rsidRPr="00ED06F5">
              <w:rPr>
                <w:rFonts w:cs="Arial"/>
                <w:bCs w:val="0"/>
                <w:color w:val="auto"/>
                <w:sz w:val="22"/>
                <w:szCs w:val="22"/>
              </w:rPr>
              <w:t>Accumulated Depreciation and Impairment</w:t>
            </w:r>
          </w:p>
        </w:tc>
        <w:tc>
          <w:tcPr>
            <w:cnfStyle w:val="000010000000"/>
            <w:tcW w:w="994" w:type="dxa"/>
            <w:vAlign w:val="center"/>
          </w:tcPr>
          <w:p w:rsidR="00ED06F5" w:rsidRPr="00ED06F5" w:rsidRDefault="00ED06F5" w:rsidP="00ED06F5">
            <w:pPr>
              <w:pStyle w:val="CodeNotesExampleText"/>
              <w:spacing w:line="210" w:lineRule="atLeast"/>
              <w:ind w:left="567"/>
              <w:jc w:val="center"/>
              <w:rPr>
                <w:rFonts w:cs="Arial"/>
                <w:b/>
                <w:color w:val="auto"/>
                <w:sz w:val="20"/>
                <w:szCs w:val="20"/>
              </w:rPr>
            </w:pPr>
          </w:p>
        </w:tc>
        <w:tc>
          <w:tcPr>
            <w:tcW w:w="1136"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853" w:type="dxa"/>
            <w:vAlign w:val="center"/>
          </w:tcPr>
          <w:p w:rsidR="00ED06F5" w:rsidRPr="00ED06F5" w:rsidRDefault="00ED06F5" w:rsidP="00ED06F5">
            <w:pPr>
              <w:pStyle w:val="CodeNotesExampleText"/>
              <w:spacing w:line="210" w:lineRule="atLeast"/>
              <w:ind w:left="567"/>
              <w:jc w:val="center"/>
              <w:rPr>
                <w:rFonts w:cs="Arial"/>
                <w:b/>
                <w:color w:val="auto"/>
                <w:sz w:val="20"/>
                <w:szCs w:val="20"/>
              </w:rPr>
            </w:pPr>
          </w:p>
        </w:tc>
        <w:tc>
          <w:tcPr>
            <w:tcW w:w="852"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828" w:type="dxa"/>
            <w:vAlign w:val="center"/>
          </w:tcPr>
          <w:p w:rsidR="00ED06F5" w:rsidRPr="00ED06F5" w:rsidRDefault="00ED06F5" w:rsidP="00ED06F5">
            <w:pPr>
              <w:pStyle w:val="CodeNotesExampleText"/>
              <w:spacing w:line="210" w:lineRule="atLeast"/>
              <w:ind w:left="567"/>
              <w:jc w:val="center"/>
              <w:rPr>
                <w:rFonts w:cs="Arial"/>
                <w:b/>
                <w:bCs/>
                <w:color w:val="auto"/>
              </w:rPr>
            </w:pPr>
          </w:p>
        </w:tc>
        <w:tc>
          <w:tcPr>
            <w:tcW w:w="735"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994" w:type="dxa"/>
            <w:vAlign w:val="center"/>
          </w:tcPr>
          <w:p w:rsidR="00ED06F5" w:rsidRPr="00ED06F5" w:rsidRDefault="00ED06F5" w:rsidP="00ED06F5">
            <w:pPr>
              <w:pStyle w:val="CodeNotesExampleText"/>
              <w:spacing w:line="210" w:lineRule="atLeast"/>
              <w:ind w:left="567"/>
              <w:jc w:val="center"/>
              <w:rPr>
                <w:rFonts w:cs="Arial"/>
                <w:b/>
                <w:bCs/>
                <w:color w:val="auto"/>
                <w:sz w:val="20"/>
                <w:szCs w:val="20"/>
              </w:rPr>
            </w:pPr>
          </w:p>
        </w:tc>
        <w:tc>
          <w:tcPr>
            <w:tcW w:w="813" w:type="dxa"/>
            <w:vAlign w:val="center"/>
          </w:tcPr>
          <w:p w:rsidR="00ED06F5" w:rsidRPr="00ED06F5" w:rsidRDefault="00ED06F5" w:rsidP="00ED06F5">
            <w:pPr>
              <w:pStyle w:val="CodeNotesExampleText"/>
              <w:spacing w:line="210" w:lineRule="atLeast"/>
              <w:ind w:left="567"/>
              <w:jc w:val="center"/>
              <w:cnfStyle w:val="000000100000"/>
              <w:rPr>
                <w:rFonts w:cs="Arial"/>
                <w:b/>
                <w:bCs/>
                <w:color w:val="auto"/>
                <w:sz w:val="20"/>
                <w:szCs w:val="20"/>
              </w:rPr>
            </w:pPr>
          </w:p>
        </w:tc>
      </w:tr>
      <w:tr w:rsidR="00ED06F5" w:rsidRPr="00ED06F5" w:rsidTr="00ED06F5">
        <w:trPr>
          <w:trHeight w:val="340"/>
        </w:trPr>
        <w:tc>
          <w:tcPr>
            <w:cnfStyle w:val="001000000000"/>
            <w:tcW w:w="7636" w:type="dxa"/>
            <w:vAlign w:val="center"/>
          </w:tcPr>
          <w:p w:rsidR="00ED06F5" w:rsidRPr="00ED06F5" w:rsidRDefault="00ED06F5" w:rsidP="00ED06F5">
            <w:pPr>
              <w:pStyle w:val="CodeNotesExampleText"/>
              <w:spacing w:line="210" w:lineRule="atLeast"/>
              <w:ind w:left="105"/>
              <w:rPr>
                <w:rFonts w:cs="Arial"/>
                <w:color w:val="auto"/>
                <w:sz w:val="20"/>
                <w:szCs w:val="20"/>
              </w:rPr>
            </w:pPr>
            <w:r w:rsidRPr="00ED06F5">
              <w:rPr>
                <w:rFonts w:cs="Arial"/>
                <w:color w:val="auto"/>
                <w:sz w:val="20"/>
                <w:szCs w:val="20"/>
              </w:rPr>
              <w:t>As at 1</w:t>
            </w:r>
            <w:r w:rsidRPr="00ED06F5">
              <w:rPr>
                <w:rFonts w:cs="Arial"/>
                <w:color w:val="auto"/>
                <w:sz w:val="20"/>
                <w:szCs w:val="20"/>
                <w:vertAlign w:val="superscript"/>
              </w:rPr>
              <w:t>st</w:t>
            </w:r>
            <w:r w:rsidRPr="00ED06F5">
              <w:rPr>
                <w:rFonts w:cs="Arial"/>
                <w:color w:val="auto"/>
                <w:sz w:val="20"/>
                <w:szCs w:val="20"/>
              </w:rPr>
              <w:t xml:space="preserve"> April 2014</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(5.4)</w:t>
            </w:r>
          </w:p>
        </w:tc>
        <w:tc>
          <w:tcPr>
            <w:tcW w:w="1136"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(12.5)</w:t>
            </w:r>
          </w:p>
        </w:tc>
        <w:tc>
          <w:tcPr>
            <w:cnfStyle w:val="000010000000"/>
            <w:tcW w:w="853"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(21.5)</w:t>
            </w:r>
          </w:p>
        </w:tc>
        <w:tc>
          <w:tcPr>
            <w:tcW w:w="852"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(0.1)</w:t>
            </w:r>
          </w:p>
        </w:tc>
        <w:tc>
          <w:tcPr>
            <w:cnfStyle w:val="000010000000"/>
            <w:tcW w:w="828"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0</w:t>
            </w:r>
          </w:p>
        </w:tc>
        <w:tc>
          <w:tcPr>
            <w:tcW w:w="735"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0</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(39.5)</w:t>
            </w:r>
          </w:p>
        </w:tc>
        <w:tc>
          <w:tcPr>
            <w:tcW w:w="813"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(0.4)</w:t>
            </w:r>
          </w:p>
        </w:tc>
      </w:tr>
      <w:tr w:rsidR="00ED06F5" w:rsidRPr="00ED06F5" w:rsidTr="00ED06F5">
        <w:trPr>
          <w:cnfStyle w:val="000000100000"/>
          <w:trHeight w:val="31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Depreciation charge</w:t>
            </w:r>
          </w:p>
        </w:tc>
        <w:tc>
          <w:tcPr>
            <w:cnfStyle w:val="000010000000"/>
            <w:tcW w:w="994"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(3.2)</w:t>
            </w:r>
          </w:p>
        </w:tc>
        <w:tc>
          <w:tcPr>
            <w:tcW w:w="1136"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(1.2)</w:t>
            </w:r>
          </w:p>
        </w:tc>
        <w:tc>
          <w:tcPr>
            <w:cnfStyle w:val="000010000000"/>
            <w:tcW w:w="853"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(3.1)</w:t>
            </w:r>
          </w:p>
        </w:tc>
        <w:tc>
          <w:tcPr>
            <w:tcW w:w="852"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(0.2)</w:t>
            </w:r>
          </w:p>
        </w:tc>
        <w:tc>
          <w:tcPr>
            <w:cnfStyle w:val="000010000000"/>
            <w:tcW w:w="828"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735"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(7.7)</w:t>
            </w:r>
          </w:p>
        </w:tc>
        <w:tc>
          <w:tcPr>
            <w:tcW w:w="813"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(0.3)</w:t>
            </w:r>
          </w:p>
        </w:tc>
      </w:tr>
      <w:tr w:rsidR="00ED06F5" w:rsidRPr="00ED06F5" w:rsidTr="00ED06F5">
        <w:trPr>
          <w:trHeight w:val="31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Depreciation written out to the Revaluation Reserve</w:t>
            </w:r>
          </w:p>
        </w:tc>
        <w:tc>
          <w:tcPr>
            <w:cnfStyle w:val="000010000000"/>
            <w:tcW w:w="994"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1.3</w:t>
            </w:r>
          </w:p>
        </w:tc>
        <w:tc>
          <w:tcPr>
            <w:tcW w:w="1136" w:type="dxa"/>
            <w:vAlign w:val="center"/>
          </w:tcPr>
          <w:p w:rsidR="00ED06F5" w:rsidRPr="00ED06F5" w:rsidRDefault="00ED06F5" w:rsidP="00ED06F5">
            <w:pPr>
              <w:spacing w:after="0" w:line="210" w:lineRule="atLeast"/>
              <w:jc w:val="center"/>
              <w:cnfStyle w:val="000000000000"/>
              <w:rPr>
                <w:rFonts w:cs="Arial"/>
                <w:color w:val="auto"/>
                <w:sz w:val="20"/>
                <w:szCs w:val="20"/>
              </w:rPr>
            </w:pPr>
            <w:r w:rsidRPr="00ED06F5">
              <w:rPr>
                <w:rFonts w:cs="Arial"/>
                <w:color w:val="auto"/>
                <w:sz w:val="20"/>
                <w:szCs w:val="20"/>
              </w:rPr>
              <w:t>0</w:t>
            </w:r>
          </w:p>
        </w:tc>
        <w:tc>
          <w:tcPr>
            <w:cnfStyle w:val="000010000000"/>
            <w:tcW w:w="853"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852" w:type="dxa"/>
            <w:vAlign w:val="center"/>
          </w:tcPr>
          <w:p w:rsidR="00ED06F5" w:rsidRPr="00ED06F5" w:rsidRDefault="00ED06F5" w:rsidP="00ED06F5">
            <w:pPr>
              <w:spacing w:after="0" w:line="210" w:lineRule="atLeast"/>
              <w:jc w:val="center"/>
              <w:cnfStyle w:val="000000000000"/>
              <w:rPr>
                <w:rFonts w:cs="Arial"/>
                <w:color w:val="auto"/>
                <w:sz w:val="20"/>
                <w:szCs w:val="20"/>
              </w:rPr>
            </w:pPr>
            <w:r w:rsidRPr="00ED06F5">
              <w:rPr>
                <w:rFonts w:cs="Arial"/>
                <w:color w:val="auto"/>
                <w:sz w:val="20"/>
                <w:szCs w:val="20"/>
              </w:rPr>
              <w:t>0</w:t>
            </w:r>
          </w:p>
        </w:tc>
        <w:tc>
          <w:tcPr>
            <w:cnfStyle w:val="000010000000"/>
            <w:tcW w:w="828"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735" w:type="dxa"/>
            <w:vAlign w:val="center"/>
          </w:tcPr>
          <w:p w:rsidR="00ED06F5" w:rsidRPr="00ED06F5" w:rsidRDefault="00ED06F5" w:rsidP="00ED06F5">
            <w:pPr>
              <w:spacing w:after="0" w:line="210" w:lineRule="atLeast"/>
              <w:jc w:val="center"/>
              <w:cnfStyle w:val="000000000000"/>
              <w:rPr>
                <w:rFonts w:cs="Arial"/>
                <w:color w:val="auto"/>
                <w:sz w:val="20"/>
                <w:szCs w:val="20"/>
              </w:rPr>
            </w:pPr>
            <w:r w:rsidRPr="00ED06F5">
              <w:rPr>
                <w:rFonts w:cs="Arial"/>
                <w:color w:val="auto"/>
                <w:sz w:val="20"/>
                <w:szCs w:val="20"/>
              </w:rPr>
              <w:t>0</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1.3</w:t>
            </w:r>
          </w:p>
        </w:tc>
        <w:tc>
          <w:tcPr>
            <w:tcW w:w="813" w:type="dxa"/>
            <w:vAlign w:val="center"/>
          </w:tcPr>
          <w:p w:rsidR="00ED06F5" w:rsidRPr="00ED06F5" w:rsidRDefault="00ED06F5" w:rsidP="00ED06F5">
            <w:pPr>
              <w:spacing w:after="0" w:line="210" w:lineRule="atLeast"/>
              <w:jc w:val="center"/>
              <w:cnfStyle w:val="000000000000"/>
              <w:rPr>
                <w:rFonts w:cs="Arial"/>
                <w:color w:val="auto"/>
                <w:sz w:val="20"/>
                <w:szCs w:val="20"/>
              </w:rPr>
            </w:pPr>
            <w:r w:rsidRPr="00ED06F5">
              <w:rPr>
                <w:rFonts w:cs="Arial"/>
                <w:color w:val="auto"/>
                <w:sz w:val="20"/>
                <w:szCs w:val="20"/>
              </w:rPr>
              <w:t>0.1</w:t>
            </w:r>
          </w:p>
        </w:tc>
      </w:tr>
      <w:tr w:rsidR="00ED06F5" w:rsidRPr="00ED06F5" w:rsidTr="00ED06F5">
        <w:trPr>
          <w:cnfStyle w:val="000000100000"/>
          <w:trHeight w:val="34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Revaluation Increases/ (decreases) recognised in the Surplus/Deficit on the Provision of Services</w:t>
            </w:r>
          </w:p>
        </w:tc>
        <w:tc>
          <w:tcPr>
            <w:cnfStyle w:val="000010000000"/>
            <w:tcW w:w="994"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0.5</w:t>
            </w:r>
          </w:p>
        </w:tc>
        <w:tc>
          <w:tcPr>
            <w:tcW w:w="1136"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853"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852"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828"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735"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0.5</w:t>
            </w:r>
          </w:p>
        </w:tc>
        <w:tc>
          <w:tcPr>
            <w:tcW w:w="813"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0.2</w:t>
            </w:r>
          </w:p>
        </w:tc>
      </w:tr>
      <w:tr w:rsidR="00ED06F5" w:rsidRPr="00ED06F5" w:rsidTr="00ED06F5">
        <w:trPr>
          <w:trHeight w:val="34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Depreciation written out to Surplus/Deficit Provision on Services</w:t>
            </w:r>
          </w:p>
        </w:tc>
        <w:tc>
          <w:tcPr>
            <w:cnfStyle w:val="000010000000"/>
            <w:tcW w:w="994"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0.2</w:t>
            </w:r>
          </w:p>
        </w:tc>
        <w:tc>
          <w:tcPr>
            <w:tcW w:w="1136" w:type="dxa"/>
            <w:vAlign w:val="center"/>
          </w:tcPr>
          <w:p w:rsidR="00ED06F5" w:rsidRPr="00ED06F5" w:rsidRDefault="00ED06F5" w:rsidP="00ED06F5">
            <w:pPr>
              <w:spacing w:after="0" w:line="210" w:lineRule="atLeast"/>
              <w:jc w:val="center"/>
              <w:cnfStyle w:val="000000000000"/>
              <w:rPr>
                <w:rFonts w:cs="Arial"/>
                <w:color w:val="auto"/>
                <w:sz w:val="20"/>
                <w:szCs w:val="20"/>
              </w:rPr>
            </w:pPr>
            <w:r w:rsidRPr="00ED06F5">
              <w:rPr>
                <w:rFonts w:cs="Arial"/>
                <w:color w:val="auto"/>
                <w:sz w:val="20"/>
                <w:szCs w:val="20"/>
              </w:rPr>
              <w:t>0.4</w:t>
            </w:r>
          </w:p>
        </w:tc>
        <w:tc>
          <w:tcPr>
            <w:cnfStyle w:val="000010000000"/>
            <w:tcW w:w="853"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852" w:type="dxa"/>
            <w:vAlign w:val="center"/>
          </w:tcPr>
          <w:p w:rsidR="00ED06F5" w:rsidRPr="00ED06F5" w:rsidRDefault="00ED06F5" w:rsidP="00ED06F5">
            <w:pPr>
              <w:spacing w:after="0" w:line="210" w:lineRule="atLeast"/>
              <w:jc w:val="center"/>
              <w:cnfStyle w:val="000000000000"/>
              <w:rPr>
                <w:rFonts w:cs="Arial"/>
                <w:color w:val="auto"/>
                <w:sz w:val="20"/>
                <w:szCs w:val="20"/>
              </w:rPr>
            </w:pPr>
            <w:r w:rsidRPr="00ED06F5">
              <w:rPr>
                <w:rFonts w:cs="Arial"/>
                <w:color w:val="auto"/>
                <w:sz w:val="20"/>
                <w:szCs w:val="20"/>
              </w:rPr>
              <w:t>0</w:t>
            </w:r>
          </w:p>
        </w:tc>
        <w:tc>
          <w:tcPr>
            <w:cnfStyle w:val="000010000000"/>
            <w:tcW w:w="828"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735" w:type="dxa"/>
            <w:vAlign w:val="center"/>
          </w:tcPr>
          <w:p w:rsidR="00ED06F5" w:rsidRPr="00ED06F5" w:rsidRDefault="00ED06F5" w:rsidP="00ED06F5">
            <w:pPr>
              <w:spacing w:after="0" w:line="210" w:lineRule="atLeast"/>
              <w:jc w:val="center"/>
              <w:cnfStyle w:val="000000000000"/>
              <w:rPr>
                <w:rFonts w:cs="Arial"/>
                <w:color w:val="auto"/>
                <w:sz w:val="20"/>
                <w:szCs w:val="20"/>
              </w:rPr>
            </w:pPr>
            <w:r w:rsidRPr="00ED06F5">
              <w:rPr>
                <w:rFonts w:cs="Arial"/>
                <w:color w:val="auto"/>
                <w:sz w:val="20"/>
                <w:szCs w:val="20"/>
              </w:rPr>
              <w:t>0</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0.6</w:t>
            </w:r>
          </w:p>
        </w:tc>
        <w:tc>
          <w:tcPr>
            <w:tcW w:w="813" w:type="dxa"/>
            <w:vAlign w:val="center"/>
          </w:tcPr>
          <w:p w:rsidR="00ED06F5" w:rsidRPr="00ED06F5" w:rsidRDefault="00ED06F5" w:rsidP="00ED06F5">
            <w:pPr>
              <w:spacing w:after="0" w:line="210" w:lineRule="atLeast"/>
              <w:jc w:val="center"/>
              <w:cnfStyle w:val="000000000000"/>
              <w:rPr>
                <w:rFonts w:cs="Arial"/>
                <w:color w:val="auto"/>
                <w:sz w:val="20"/>
                <w:szCs w:val="20"/>
              </w:rPr>
            </w:pPr>
            <w:r w:rsidRPr="00ED06F5">
              <w:rPr>
                <w:rFonts w:cs="Arial"/>
                <w:color w:val="auto"/>
                <w:sz w:val="20"/>
                <w:szCs w:val="20"/>
              </w:rPr>
              <w:t>0</w:t>
            </w:r>
          </w:p>
        </w:tc>
      </w:tr>
      <w:tr w:rsidR="00ED06F5" w:rsidRPr="00ED06F5" w:rsidTr="00ED06F5">
        <w:trPr>
          <w:cnfStyle w:val="000000100000"/>
          <w:trHeight w:val="313"/>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 xml:space="preserve">Derecognition – Disposals </w:t>
            </w:r>
          </w:p>
        </w:tc>
        <w:tc>
          <w:tcPr>
            <w:cnfStyle w:val="000010000000"/>
            <w:tcW w:w="994"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1136"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853"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852"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828"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735"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0</w:t>
            </w:r>
          </w:p>
        </w:tc>
        <w:tc>
          <w:tcPr>
            <w:tcW w:w="813"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0</w:t>
            </w:r>
          </w:p>
        </w:tc>
      </w:tr>
      <w:tr w:rsidR="00ED06F5" w:rsidRPr="00ED06F5" w:rsidTr="00ED06F5">
        <w:trPr>
          <w:trHeight w:val="307"/>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0"/>
                <w:szCs w:val="20"/>
              </w:rPr>
            </w:pPr>
            <w:r w:rsidRPr="00ED06F5">
              <w:rPr>
                <w:rFonts w:cs="Arial"/>
                <w:bCs w:val="0"/>
                <w:color w:val="auto"/>
                <w:sz w:val="20"/>
                <w:szCs w:val="20"/>
              </w:rPr>
              <w:t>As at  31</w:t>
            </w:r>
            <w:r w:rsidRPr="00ED06F5">
              <w:rPr>
                <w:rFonts w:cs="Arial"/>
                <w:bCs w:val="0"/>
                <w:color w:val="auto"/>
                <w:sz w:val="20"/>
                <w:szCs w:val="20"/>
                <w:vertAlign w:val="superscript"/>
              </w:rPr>
              <w:t>st</w:t>
            </w:r>
            <w:r w:rsidRPr="00ED06F5">
              <w:rPr>
                <w:rFonts w:cs="Arial"/>
                <w:bCs w:val="0"/>
                <w:color w:val="auto"/>
                <w:sz w:val="20"/>
                <w:szCs w:val="20"/>
              </w:rPr>
              <w:t xml:space="preserve"> March 2015</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(6.6)</w:t>
            </w:r>
          </w:p>
        </w:tc>
        <w:tc>
          <w:tcPr>
            <w:tcW w:w="1136"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(13.3)</w:t>
            </w:r>
          </w:p>
        </w:tc>
        <w:tc>
          <w:tcPr>
            <w:cnfStyle w:val="000010000000"/>
            <w:tcW w:w="853"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(24.6)</w:t>
            </w:r>
          </w:p>
        </w:tc>
        <w:tc>
          <w:tcPr>
            <w:tcW w:w="852"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(0.3)</w:t>
            </w:r>
          </w:p>
        </w:tc>
        <w:tc>
          <w:tcPr>
            <w:cnfStyle w:val="000010000000"/>
            <w:tcW w:w="828"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0</w:t>
            </w:r>
          </w:p>
        </w:tc>
        <w:tc>
          <w:tcPr>
            <w:tcW w:w="735"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0</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(44.8)</w:t>
            </w:r>
          </w:p>
        </w:tc>
        <w:tc>
          <w:tcPr>
            <w:tcW w:w="813"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(0.4)</w:t>
            </w:r>
          </w:p>
        </w:tc>
      </w:tr>
      <w:tr w:rsidR="00ED06F5" w:rsidRPr="00ED06F5" w:rsidTr="00ED06F5">
        <w:trPr>
          <w:cnfStyle w:val="000000100000"/>
          <w:trHeight w:val="425"/>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2"/>
                <w:szCs w:val="22"/>
              </w:rPr>
            </w:pPr>
            <w:r w:rsidRPr="00ED06F5">
              <w:rPr>
                <w:rFonts w:cs="Arial"/>
                <w:bCs w:val="0"/>
                <w:color w:val="auto"/>
                <w:sz w:val="22"/>
                <w:szCs w:val="22"/>
              </w:rPr>
              <w:t>Net Book Value</w:t>
            </w:r>
          </w:p>
        </w:tc>
        <w:tc>
          <w:tcPr>
            <w:cnfStyle w:val="000010000000"/>
            <w:tcW w:w="994" w:type="dxa"/>
            <w:vAlign w:val="center"/>
          </w:tcPr>
          <w:p w:rsidR="00ED06F5" w:rsidRPr="00ED06F5" w:rsidRDefault="00ED06F5" w:rsidP="00ED06F5">
            <w:pPr>
              <w:pStyle w:val="CodeNotesExampleText"/>
              <w:spacing w:line="210" w:lineRule="atLeast"/>
              <w:ind w:left="567"/>
              <w:jc w:val="center"/>
              <w:rPr>
                <w:rFonts w:cs="Arial"/>
                <w:b/>
                <w:color w:val="auto"/>
                <w:sz w:val="20"/>
                <w:szCs w:val="20"/>
              </w:rPr>
            </w:pPr>
          </w:p>
        </w:tc>
        <w:tc>
          <w:tcPr>
            <w:tcW w:w="1136" w:type="dxa"/>
            <w:vAlign w:val="center"/>
          </w:tcPr>
          <w:p w:rsidR="00ED06F5" w:rsidRPr="00ED06F5" w:rsidRDefault="00ED06F5" w:rsidP="00ED06F5">
            <w:pPr>
              <w:pStyle w:val="CodeNotesExampleText"/>
              <w:spacing w:line="210" w:lineRule="atLeast"/>
              <w:jc w:val="center"/>
              <w:cnfStyle w:val="000000100000"/>
              <w:rPr>
                <w:rFonts w:cs="Arial"/>
                <w:b/>
                <w:color w:val="auto"/>
                <w:sz w:val="20"/>
                <w:szCs w:val="20"/>
              </w:rPr>
            </w:pPr>
          </w:p>
        </w:tc>
        <w:tc>
          <w:tcPr>
            <w:cnfStyle w:val="000010000000"/>
            <w:tcW w:w="853" w:type="dxa"/>
            <w:vAlign w:val="center"/>
          </w:tcPr>
          <w:p w:rsidR="00ED06F5" w:rsidRPr="00ED06F5" w:rsidRDefault="00ED06F5" w:rsidP="00ED06F5">
            <w:pPr>
              <w:pStyle w:val="CodeNotesExampleText"/>
              <w:spacing w:line="210" w:lineRule="atLeast"/>
              <w:ind w:left="567"/>
              <w:jc w:val="center"/>
              <w:rPr>
                <w:rFonts w:cs="Arial"/>
                <w:b/>
                <w:color w:val="auto"/>
                <w:sz w:val="20"/>
                <w:szCs w:val="20"/>
              </w:rPr>
            </w:pPr>
          </w:p>
        </w:tc>
        <w:tc>
          <w:tcPr>
            <w:tcW w:w="852"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828" w:type="dxa"/>
            <w:vAlign w:val="center"/>
          </w:tcPr>
          <w:p w:rsidR="00ED06F5" w:rsidRPr="00ED06F5" w:rsidRDefault="00ED06F5" w:rsidP="00ED06F5">
            <w:pPr>
              <w:pStyle w:val="CodeNotesExampleText"/>
              <w:spacing w:line="210" w:lineRule="atLeast"/>
              <w:ind w:left="567"/>
              <w:jc w:val="center"/>
              <w:rPr>
                <w:rFonts w:cs="Arial"/>
                <w:b/>
                <w:bCs/>
                <w:color w:val="auto"/>
              </w:rPr>
            </w:pPr>
          </w:p>
        </w:tc>
        <w:tc>
          <w:tcPr>
            <w:tcW w:w="735"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994" w:type="dxa"/>
            <w:vAlign w:val="center"/>
          </w:tcPr>
          <w:p w:rsidR="00ED06F5" w:rsidRPr="00ED06F5" w:rsidRDefault="00ED06F5" w:rsidP="00ED06F5">
            <w:pPr>
              <w:pStyle w:val="CodeNotesExampleText"/>
              <w:spacing w:line="210" w:lineRule="atLeast"/>
              <w:ind w:left="567"/>
              <w:jc w:val="center"/>
              <w:rPr>
                <w:rFonts w:cs="Arial"/>
                <w:b/>
                <w:bCs/>
                <w:color w:val="auto"/>
                <w:sz w:val="20"/>
                <w:szCs w:val="20"/>
              </w:rPr>
            </w:pPr>
          </w:p>
        </w:tc>
        <w:tc>
          <w:tcPr>
            <w:tcW w:w="813" w:type="dxa"/>
            <w:vAlign w:val="center"/>
          </w:tcPr>
          <w:p w:rsidR="00ED06F5" w:rsidRPr="00ED06F5" w:rsidRDefault="00ED06F5" w:rsidP="00ED06F5">
            <w:pPr>
              <w:pStyle w:val="CodeNotesExampleText"/>
              <w:spacing w:line="210" w:lineRule="atLeast"/>
              <w:ind w:left="567"/>
              <w:jc w:val="center"/>
              <w:cnfStyle w:val="000000100000"/>
              <w:rPr>
                <w:rFonts w:cs="Arial"/>
                <w:b/>
                <w:bCs/>
                <w:color w:val="auto"/>
                <w:sz w:val="20"/>
                <w:szCs w:val="20"/>
              </w:rPr>
            </w:pPr>
          </w:p>
        </w:tc>
      </w:tr>
      <w:tr w:rsidR="00ED06F5" w:rsidRPr="00ED06F5" w:rsidTr="00ED06F5">
        <w:trPr>
          <w:trHeight w:val="402"/>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0"/>
                <w:szCs w:val="20"/>
              </w:rPr>
            </w:pPr>
            <w:r w:rsidRPr="00ED06F5">
              <w:rPr>
                <w:rFonts w:cs="Arial"/>
                <w:bCs w:val="0"/>
                <w:color w:val="auto"/>
                <w:sz w:val="20"/>
                <w:szCs w:val="20"/>
              </w:rPr>
              <w:t>As at 31</w:t>
            </w:r>
            <w:r w:rsidRPr="00ED06F5">
              <w:rPr>
                <w:rFonts w:cs="Arial"/>
                <w:bCs w:val="0"/>
                <w:color w:val="auto"/>
                <w:sz w:val="20"/>
                <w:szCs w:val="20"/>
                <w:vertAlign w:val="superscript"/>
              </w:rPr>
              <w:t>st</w:t>
            </w:r>
            <w:r w:rsidRPr="00ED06F5">
              <w:rPr>
                <w:rFonts w:cs="Arial"/>
                <w:bCs w:val="0"/>
                <w:color w:val="auto"/>
                <w:sz w:val="20"/>
                <w:szCs w:val="20"/>
              </w:rPr>
              <w:t xml:space="preserve"> March 2015</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180.2</w:t>
            </w:r>
          </w:p>
        </w:tc>
        <w:tc>
          <w:tcPr>
            <w:tcW w:w="1136"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3.9</w:t>
            </w:r>
          </w:p>
        </w:tc>
        <w:tc>
          <w:tcPr>
            <w:cnfStyle w:val="000010000000"/>
            <w:tcW w:w="853"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81.8</w:t>
            </w:r>
          </w:p>
        </w:tc>
        <w:tc>
          <w:tcPr>
            <w:tcW w:w="852"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7.1</w:t>
            </w:r>
          </w:p>
        </w:tc>
        <w:tc>
          <w:tcPr>
            <w:cnfStyle w:val="000010000000"/>
            <w:tcW w:w="828"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0.5</w:t>
            </w:r>
          </w:p>
        </w:tc>
        <w:tc>
          <w:tcPr>
            <w:tcW w:w="735"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2.3</w:t>
            </w:r>
          </w:p>
        </w:tc>
        <w:tc>
          <w:tcPr>
            <w:cnfStyle w:val="000010000000"/>
            <w:tcW w:w="994" w:type="dxa"/>
            <w:vAlign w:val="center"/>
          </w:tcPr>
          <w:p w:rsidR="00ED06F5" w:rsidRPr="00ED06F5" w:rsidRDefault="00ED06F5" w:rsidP="00ED06F5">
            <w:pPr>
              <w:spacing w:after="0" w:line="210" w:lineRule="atLeast"/>
              <w:jc w:val="center"/>
              <w:rPr>
                <w:rFonts w:cs="Arial"/>
                <w:b/>
                <w:color w:val="auto"/>
                <w:sz w:val="20"/>
                <w:szCs w:val="20"/>
              </w:rPr>
            </w:pPr>
            <w:r w:rsidRPr="00ED06F5">
              <w:rPr>
                <w:rFonts w:cs="Arial"/>
                <w:b/>
                <w:color w:val="auto"/>
                <w:sz w:val="20"/>
                <w:szCs w:val="20"/>
              </w:rPr>
              <w:t>275.8</w:t>
            </w:r>
          </w:p>
        </w:tc>
        <w:tc>
          <w:tcPr>
            <w:tcW w:w="813" w:type="dxa"/>
            <w:vAlign w:val="center"/>
          </w:tcPr>
          <w:p w:rsidR="00ED06F5" w:rsidRPr="00ED06F5" w:rsidRDefault="00ED06F5" w:rsidP="00ED06F5">
            <w:pPr>
              <w:spacing w:after="0" w:line="210" w:lineRule="atLeast"/>
              <w:jc w:val="center"/>
              <w:cnfStyle w:val="000000000000"/>
              <w:rPr>
                <w:rFonts w:cs="Arial"/>
                <w:b/>
                <w:color w:val="auto"/>
                <w:sz w:val="20"/>
                <w:szCs w:val="20"/>
              </w:rPr>
            </w:pPr>
            <w:r w:rsidRPr="00ED06F5">
              <w:rPr>
                <w:rFonts w:cs="Arial"/>
                <w:b/>
                <w:color w:val="auto"/>
                <w:sz w:val="20"/>
                <w:szCs w:val="20"/>
              </w:rPr>
              <w:t>23.4</w:t>
            </w:r>
          </w:p>
        </w:tc>
      </w:tr>
      <w:tr w:rsidR="00ED06F5" w:rsidRPr="00ED06F5" w:rsidTr="00ED06F5">
        <w:trPr>
          <w:cnfStyle w:val="000000100000"/>
          <w:trHeight w:val="225"/>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bCs w:val="0"/>
                <w:color w:val="auto"/>
                <w:sz w:val="20"/>
                <w:szCs w:val="20"/>
              </w:rPr>
            </w:pPr>
            <w:r w:rsidRPr="00ED06F5">
              <w:rPr>
                <w:rFonts w:cs="Arial"/>
                <w:b w:val="0"/>
                <w:bCs w:val="0"/>
                <w:color w:val="auto"/>
                <w:sz w:val="20"/>
                <w:szCs w:val="20"/>
              </w:rPr>
              <w:t>As at  31</w:t>
            </w:r>
            <w:r w:rsidRPr="00ED06F5">
              <w:rPr>
                <w:rFonts w:cs="Arial"/>
                <w:b w:val="0"/>
                <w:bCs w:val="0"/>
                <w:color w:val="auto"/>
                <w:sz w:val="20"/>
                <w:szCs w:val="20"/>
                <w:vertAlign w:val="superscript"/>
              </w:rPr>
              <w:t>st</w:t>
            </w:r>
            <w:r w:rsidRPr="00ED06F5">
              <w:rPr>
                <w:rFonts w:cs="Arial"/>
                <w:b w:val="0"/>
                <w:bCs w:val="0"/>
                <w:color w:val="auto"/>
                <w:sz w:val="20"/>
                <w:szCs w:val="20"/>
              </w:rPr>
              <w:t xml:space="preserve">  March 2014</w:t>
            </w:r>
          </w:p>
        </w:tc>
        <w:tc>
          <w:tcPr>
            <w:cnfStyle w:val="000010000000"/>
            <w:tcW w:w="994"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192.2</w:t>
            </w:r>
          </w:p>
        </w:tc>
        <w:tc>
          <w:tcPr>
            <w:tcW w:w="1136"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4.4</w:t>
            </w:r>
          </w:p>
        </w:tc>
        <w:tc>
          <w:tcPr>
            <w:cnfStyle w:val="000010000000"/>
            <w:tcW w:w="853"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76.5</w:t>
            </w:r>
          </w:p>
        </w:tc>
        <w:tc>
          <w:tcPr>
            <w:tcW w:w="852"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8.5</w:t>
            </w:r>
          </w:p>
        </w:tc>
        <w:tc>
          <w:tcPr>
            <w:cnfStyle w:val="000010000000"/>
            <w:tcW w:w="828"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0</w:t>
            </w:r>
          </w:p>
        </w:tc>
        <w:tc>
          <w:tcPr>
            <w:tcW w:w="735"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2.2</w:t>
            </w:r>
          </w:p>
        </w:tc>
        <w:tc>
          <w:tcPr>
            <w:cnfStyle w:val="000010000000"/>
            <w:tcW w:w="994" w:type="dxa"/>
            <w:vAlign w:val="center"/>
          </w:tcPr>
          <w:p w:rsidR="00ED06F5" w:rsidRPr="00ED06F5" w:rsidRDefault="00ED06F5" w:rsidP="00ED06F5">
            <w:pPr>
              <w:spacing w:after="0" w:line="210" w:lineRule="atLeast"/>
              <w:jc w:val="center"/>
              <w:rPr>
                <w:rFonts w:cs="Arial"/>
                <w:color w:val="auto"/>
                <w:sz w:val="20"/>
                <w:szCs w:val="20"/>
              </w:rPr>
            </w:pPr>
            <w:r w:rsidRPr="00ED06F5">
              <w:rPr>
                <w:rFonts w:cs="Arial"/>
                <w:color w:val="auto"/>
                <w:sz w:val="20"/>
                <w:szCs w:val="20"/>
              </w:rPr>
              <w:t>283.8</w:t>
            </w:r>
          </w:p>
        </w:tc>
        <w:tc>
          <w:tcPr>
            <w:tcW w:w="813" w:type="dxa"/>
            <w:vAlign w:val="center"/>
          </w:tcPr>
          <w:p w:rsidR="00ED06F5" w:rsidRPr="00ED06F5" w:rsidRDefault="00ED06F5" w:rsidP="00ED06F5">
            <w:pPr>
              <w:spacing w:after="0" w:line="210" w:lineRule="atLeast"/>
              <w:jc w:val="center"/>
              <w:cnfStyle w:val="000000100000"/>
              <w:rPr>
                <w:rFonts w:cs="Arial"/>
                <w:color w:val="auto"/>
                <w:sz w:val="20"/>
                <w:szCs w:val="20"/>
              </w:rPr>
            </w:pPr>
            <w:r w:rsidRPr="00ED06F5">
              <w:rPr>
                <w:rFonts w:cs="Arial"/>
                <w:color w:val="auto"/>
                <w:sz w:val="20"/>
                <w:szCs w:val="20"/>
              </w:rPr>
              <w:t>23.7</w:t>
            </w:r>
          </w:p>
        </w:tc>
      </w:tr>
      <w:tr w:rsidR="00ED06F5" w:rsidRPr="00ED06F5" w:rsidTr="00ED06F5">
        <w:trPr>
          <w:trHeight w:val="1396"/>
        </w:trPr>
        <w:tc>
          <w:tcPr>
            <w:cnfStyle w:val="001000000000"/>
            <w:tcW w:w="7636" w:type="dxa"/>
            <w:shd w:val="clear" w:color="auto" w:fill="4BACC6" w:themeFill="accent5"/>
          </w:tcPr>
          <w:p w:rsidR="00ED06F5" w:rsidRPr="00ED06F5" w:rsidRDefault="00ED06F5" w:rsidP="00ED06F5">
            <w:pPr>
              <w:pStyle w:val="CodeNotesExampleText"/>
              <w:widowControl w:val="0"/>
              <w:spacing w:line="210" w:lineRule="atLeast"/>
              <w:ind w:left="105"/>
              <w:jc w:val="center"/>
              <w:rPr>
                <w:rFonts w:cs="Arial"/>
                <w:b w:val="0"/>
                <w:color w:val="auto"/>
                <w:sz w:val="24"/>
                <w:szCs w:val="24"/>
              </w:rPr>
            </w:pPr>
          </w:p>
          <w:p w:rsidR="00ED06F5" w:rsidRPr="00ED06F5" w:rsidRDefault="00ED06F5" w:rsidP="00ED06F5">
            <w:pPr>
              <w:pStyle w:val="CodeNotesExampleText"/>
              <w:widowControl w:val="0"/>
              <w:spacing w:line="210" w:lineRule="atLeast"/>
              <w:ind w:left="105"/>
              <w:jc w:val="center"/>
              <w:rPr>
                <w:rFonts w:cs="Arial"/>
                <w:b w:val="0"/>
                <w:color w:val="auto"/>
                <w:sz w:val="20"/>
                <w:szCs w:val="20"/>
              </w:rPr>
            </w:pPr>
            <w:r w:rsidRPr="00ED06F5">
              <w:rPr>
                <w:rFonts w:cs="Arial"/>
                <w:b w:val="0"/>
                <w:color w:val="auto"/>
                <w:sz w:val="24"/>
                <w:szCs w:val="24"/>
              </w:rPr>
              <w:t xml:space="preserve">2015/16 </w:t>
            </w:r>
          </w:p>
          <w:p w:rsidR="00ED06F5" w:rsidRPr="00ED06F5" w:rsidRDefault="00ED06F5" w:rsidP="00ED06F5">
            <w:pPr>
              <w:pStyle w:val="CodeNotesExampleText"/>
              <w:widowControl w:val="0"/>
              <w:spacing w:line="210" w:lineRule="atLeast"/>
              <w:ind w:left="105"/>
              <w:jc w:val="center"/>
              <w:rPr>
                <w:rFonts w:cs="Arial"/>
                <w:b w:val="0"/>
                <w:color w:val="auto"/>
                <w:sz w:val="20"/>
                <w:szCs w:val="20"/>
              </w:rPr>
            </w:pPr>
          </w:p>
          <w:p w:rsidR="00ED06F5" w:rsidRPr="00ED06F5" w:rsidRDefault="00ED06F5" w:rsidP="00ED06F5">
            <w:pPr>
              <w:pStyle w:val="CodeNotesExampleText"/>
              <w:widowControl w:val="0"/>
              <w:spacing w:line="210" w:lineRule="atLeast"/>
              <w:ind w:left="105"/>
              <w:jc w:val="center"/>
              <w:rPr>
                <w:rFonts w:cs="Arial"/>
                <w:b w:val="0"/>
                <w:color w:val="auto"/>
                <w:sz w:val="20"/>
                <w:szCs w:val="20"/>
              </w:rPr>
            </w:pPr>
          </w:p>
        </w:tc>
        <w:tc>
          <w:tcPr>
            <w:cnfStyle w:val="000010000000"/>
            <w:tcW w:w="994" w:type="dxa"/>
            <w:shd w:val="clear" w:color="auto" w:fill="4BACC6" w:themeFill="accent5"/>
            <w:textDirection w:val="tbRl"/>
          </w:tcPr>
          <w:p w:rsidR="00ED06F5" w:rsidRPr="00ED06F5" w:rsidRDefault="00ED06F5" w:rsidP="00ED06F5">
            <w:pPr>
              <w:pStyle w:val="CodeNotesExampleText"/>
              <w:spacing w:line="210" w:lineRule="atLeast"/>
              <w:ind w:left="108" w:right="113"/>
              <w:jc w:val="center"/>
              <w:rPr>
                <w:rFonts w:cs="Arial"/>
                <w:bCs/>
                <w:color w:val="auto"/>
              </w:rPr>
            </w:pPr>
            <w:r w:rsidRPr="00ED06F5">
              <w:rPr>
                <w:rFonts w:cs="Arial"/>
                <w:bCs/>
                <w:color w:val="auto"/>
              </w:rPr>
              <w:t>Other Land and Buildings</w:t>
            </w:r>
          </w:p>
        </w:tc>
        <w:tc>
          <w:tcPr>
            <w:tcW w:w="1136" w:type="dxa"/>
            <w:shd w:val="clear" w:color="auto" w:fill="4BACC6" w:themeFill="accent5"/>
            <w:textDirection w:val="tbRl"/>
          </w:tcPr>
          <w:p w:rsidR="00ED06F5" w:rsidRPr="00ED06F5" w:rsidRDefault="00ED06F5" w:rsidP="00ED06F5">
            <w:pPr>
              <w:pStyle w:val="CodeNotesExampleText"/>
              <w:widowControl w:val="0"/>
              <w:spacing w:line="210" w:lineRule="atLeast"/>
              <w:ind w:left="105" w:right="113"/>
              <w:jc w:val="center"/>
              <w:cnfStyle w:val="000000000000"/>
              <w:rPr>
                <w:rFonts w:cs="Arial"/>
                <w:bCs/>
                <w:color w:val="auto"/>
              </w:rPr>
            </w:pPr>
            <w:r w:rsidRPr="00ED06F5">
              <w:rPr>
                <w:rFonts w:cs="Arial"/>
                <w:bCs/>
                <w:color w:val="auto"/>
              </w:rPr>
              <w:t>Vehicles, Plant &amp; Equipm’t</w:t>
            </w:r>
          </w:p>
        </w:tc>
        <w:tc>
          <w:tcPr>
            <w:cnfStyle w:val="000010000000"/>
            <w:tcW w:w="853" w:type="dxa"/>
            <w:shd w:val="clear" w:color="auto" w:fill="4BACC6" w:themeFill="accent5"/>
            <w:textDirection w:val="tbRl"/>
          </w:tcPr>
          <w:p w:rsidR="00ED06F5" w:rsidRPr="00ED06F5" w:rsidRDefault="00ED06F5" w:rsidP="00ED06F5">
            <w:pPr>
              <w:pStyle w:val="CodeNotesExampleText"/>
              <w:widowControl w:val="0"/>
              <w:spacing w:line="210" w:lineRule="atLeast"/>
              <w:ind w:left="105" w:right="113"/>
              <w:jc w:val="center"/>
              <w:rPr>
                <w:rFonts w:cs="Arial"/>
                <w:bCs/>
                <w:color w:val="auto"/>
              </w:rPr>
            </w:pPr>
            <w:r w:rsidRPr="00ED06F5">
              <w:rPr>
                <w:rFonts w:cs="Arial"/>
                <w:bCs/>
                <w:color w:val="auto"/>
              </w:rPr>
              <w:t>Infra-structure Assets</w:t>
            </w:r>
          </w:p>
        </w:tc>
        <w:tc>
          <w:tcPr>
            <w:tcW w:w="852" w:type="dxa"/>
            <w:shd w:val="clear" w:color="auto" w:fill="4BACC6" w:themeFill="accent5"/>
            <w:textDirection w:val="tbRl"/>
          </w:tcPr>
          <w:p w:rsidR="00ED06F5" w:rsidRPr="00ED06F5" w:rsidRDefault="00ED06F5" w:rsidP="00ED06F5">
            <w:pPr>
              <w:pStyle w:val="CodeNotesExampleText"/>
              <w:widowControl w:val="0"/>
              <w:spacing w:line="210" w:lineRule="atLeast"/>
              <w:ind w:left="105" w:right="113"/>
              <w:jc w:val="center"/>
              <w:cnfStyle w:val="000000000000"/>
              <w:rPr>
                <w:rFonts w:cs="Arial"/>
                <w:bCs/>
                <w:color w:val="auto"/>
              </w:rPr>
            </w:pPr>
            <w:r w:rsidRPr="00ED06F5">
              <w:rPr>
                <w:rFonts w:cs="Arial"/>
                <w:bCs/>
                <w:color w:val="auto"/>
              </w:rPr>
              <w:t>Community Assets</w:t>
            </w:r>
          </w:p>
        </w:tc>
        <w:tc>
          <w:tcPr>
            <w:cnfStyle w:val="000010000000"/>
            <w:tcW w:w="828" w:type="dxa"/>
            <w:shd w:val="clear" w:color="auto" w:fill="4BACC6" w:themeFill="accent5"/>
            <w:textDirection w:val="tbRl"/>
          </w:tcPr>
          <w:p w:rsidR="00ED06F5" w:rsidRPr="00ED06F5" w:rsidRDefault="00ED06F5" w:rsidP="00ED06F5">
            <w:pPr>
              <w:pStyle w:val="CodeNotesExampleText"/>
              <w:widowControl w:val="0"/>
              <w:spacing w:line="210" w:lineRule="atLeast"/>
              <w:ind w:left="105" w:right="113"/>
              <w:jc w:val="center"/>
              <w:rPr>
                <w:rFonts w:cs="Arial"/>
                <w:bCs/>
                <w:color w:val="auto"/>
              </w:rPr>
            </w:pPr>
            <w:r w:rsidRPr="00ED06F5">
              <w:rPr>
                <w:rFonts w:cs="Arial"/>
                <w:bCs/>
                <w:color w:val="auto"/>
              </w:rPr>
              <w:t>Surplus Assets</w:t>
            </w:r>
          </w:p>
        </w:tc>
        <w:tc>
          <w:tcPr>
            <w:tcW w:w="735" w:type="dxa"/>
            <w:shd w:val="clear" w:color="auto" w:fill="4BACC6" w:themeFill="accent5"/>
            <w:textDirection w:val="tbRl"/>
          </w:tcPr>
          <w:p w:rsidR="00ED06F5" w:rsidRPr="00ED06F5" w:rsidRDefault="00ED06F5" w:rsidP="00ED06F5">
            <w:pPr>
              <w:pStyle w:val="CodeNotesExampleText"/>
              <w:widowControl w:val="0"/>
              <w:spacing w:line="210" w:lineRule="atLeast"/>
              <w:ind w:left="105" w:right="113"/>
              <w:jc w:val="center"/>
              <w:cnfStyle w:val="000000000000"/>
              <w:rPr>
                <w:rFonts w:cs="Arial"/>
                <w:bCs/>
                <w:color w:val="auto"/>
              </w:rPr>
            </w:pPr>
            <w:r w:rsidRPr="00ED06F5">
              <w:rPr>
                <w:rFonts w:cs="Arial"/>
                <w:bCs/>
                <w:color w:val="auto"/>
              </w:rPr>
              <w:t>Assets Under Const-ruction</w:t>
            </w:r>
          </w:p>
        </w:tc>
        <w:tc>
          <w:tcPr>
            <w:cnfStyle w:val="000010000000"/>
            <w:tcW w:w="994" w:type="dxa"/>
            <w:shd w:val="clear" w:color="auto" w:fill="4BACC6" w:themeFill="accent5"/>
            <w:textDirection w:val="tbRl"/>
          </w:tcPr>
          <w:p w:rsidR="00ED06F5" w:rsidRPr="00ED06F5" w:rsidRDefault="00ED06F5" w:rsidP="00ED06F5">
            <w:pPr>
              <w:pStyle w:val="CodeNotesExampleText"/>
              <w:widowControl w:val="0"/>
              <w:spacing w:line="210" w:lineRule="atLeast"/>
              <w:ind w:left="105" w:right="113"/>
              <w:jc w:val="center"/>
              <w:rPr>
                <w:rFonts w:cs="Arial"/>
                <w:b/>
                <w:bCs/>
                <w:color w:val="auto"/>
              </w:rPr>
            </w:pPr>
            <w:r w:rsidRPr="00ED06F5">
              <w:rPr>
                <w:rFonts w:cs="Arial"/>
                <w:b/>
                <w:bCs/>
                <w:color w:val="auto"/>
              </w:rPr>
              <w:t>Total      Property, Plant &amp; Equipm’t</w:t>
            </w:r>
          </w:p>
        </w:tc>
        <w:tc>
          <w:tcPr>
            <w:tcW w:w="813" w:type="dxa"/>
            <w:shd w:val="clear" w:color="auto" w:fill="4BACC6" w:themeFill="accent5"/>
            <w:textDirection w:val="tbRl"/>
          </w:tcPr>
          <w:p w:rsidR="00ED06F5" w:rsidRPr="00ED06F5" w:rsidRDefault="00ED06F5" w:rsidP="00ED06F5">
            <w:pPr>
              <w:pStyle w:val="CodeNotesExampleText"/>
              <w:widowControl w:val="0"/>
              <w:spacing w:line="210" w:lineRule="atLeast"/>
              <w:ind w:left="105" w:right="113"/>
              <w:jc w:val="center"/>
              <w:cnfStyle w:val="000000000000"/>
              <w:rPr>
                <w:rFonts w:cs="Arial"/>
                <w:bCs/>
                <w:color w:val="auto"/>
              </w:rPr>
            </w:pPr>
            <w:r w:rsidRPr="00ED06F5">
              <w:rPr>
                <w:rFonts w:cs="Arial"/>
                <w:bCs/>
                <w:color w:val="auto"/>
              </w:rPr>
              <w:t>PFI Assets</w:t>
            </w:r>
          </w:p>
          <w:p w:rsidR="00ED06F5" w:rsidRPr="00ED06F5" w:rsidRDefault="00ED06F5" w:rsidP="00ED06F5">
            <w:pPr>
              <w:pStyle w:val="CodeNotesExampleText"/>
              <w:widowControl w:val="0"/>
              <w:spacing w:line="210" w:lineRule="atLeast"/>
              <w:ind w:left="105" w:right="113"/>
              <w:jc w:val="center"/>
              <w:cnfStyle w:val="000000000000"/>
              <w:rPr>
                <w:rFonts w:cs="Arial"/>
                <w:bCs/>
                <w:color w:val="auto"/>
              </w:rPr>
            </w:pPr>
            <w:r w:rsidRPr="00ED06F5">
              <w:rPr>
                <w:rFonts w:cs="Arial"/>
                <w:b/>
                <w:bCs/>
                <w:color w:val="auto"/>
              </w:rPr>
              <w:t xml:space="preserve"> </w:t>
            </w:r>
            <w:r w:rsidRPr="00ED06F5">
              <w:rPr>
                <w:rFonts w:cs="Arial"/>
                <w:bCs/>
                <w:color w:val="auto"/>
              </w:rPr>
              <w:t xml:space="preserve"> in </w:t>
            </w:r>
          </w:p>
          <w:p w:rsidR="00ED06F5" w:rsidRPr="00ED06F5" w:rsidRDefault="00ED06F5" w:rsidP="00ED06F5">
            <w:pPr>
              <w:pStyle w:val="CodeNotesExampleText"/>
              <w:widowControl w:val="0"/>
              <w:spacing w:line="210" w:lineRule="atLeast"/>
              <w:ind w:left="105" w:right="113"/>
              <w:jc w:val="center"/>
              <w:cnfStyle w:val="000000000000"/>
              <w:rPr>
                <w:rFonts w:cs="Arial"/>
                <w:bCs/>
                <w:color w:val="auto"/>
              </w:rPr>
            </w:pPr>
            <w:r w:rsidRPr="00ED06F5">
              <w:rPr>
                <w:rFonts w:cs="Arial"/>
                <w:bCs/>
                <w:color w:val="auto"/>
              </w:rPr>
              <w:t>P,P &amp; E</w:t>
            </w:r>
          </w:p>
        </w:tc>
      </w:tr>
      <w:tr w:rsidR="00ED06F5" w:rsidRPr="00ED06F5" w:rsidTr="00ED06F5">
        <w:trPr>
          <w:cnfStyle w:val="000000100000"/>
          <w:trHeight w:val="313"/>
        </w:trPr>
        <w:tc>
          <w:tcPr>
            <w:cnfStyle w:val="001000000000"/>
            <w:tcW w:w="7636" w:type="dxa"/>
          </w:tcPr>
          <w:p w:rsidR="00ED06F5" w:rsidRPr="00ED06F5" w:rsidRDefault="00ED06F5" w:rsidP="00ED06F5">
            <w:pPr>
              <w:pStyle w:val="CodeNotesExampleText"/>
              <w:widowControl w:val="0"/>
              <w:spacing w:line="210" w:lineRule="atLeast"/>
              <w:ind w:left="105"/>
              <w:rPr>
                <w:rFonts w:cs="Arial"/>
                <w:color w:val="auto"/>
                <w:sz w:val="20"/>
                <w:szCs w:val="20"/>
              </w:rPr>
            </w:pPr>
            <w:r w:rsidRPr="00ED06F5">
              <w:rPr>
                <w:rFonts w:cs="Arial"/>
                <w:color w:val="auto"/>
                <w:sz w:val="20"/>
                <w:szCs w:val="20"/>
              </w:rPr>
              <w:t> </w:t>
            </w:r>
          </w:p>
        </w:tc>
        <w:tc>
          <w:tcPr>
            <w:cnfStyle w:val="000010000000"/>
            <w:tcW w:w="994" w:type="dxa"/>
          </w:tcPr>
          <w:p w:rsidR="00ED06F5" w:rsidRPr="00ED06F5" w:rsidRDefault="00ED06F5" w:rsidP="00ED06F5">
            <w:pPr>
              <w:pStyle w:val="CodeNotesExampleText"/>
              <w:widowControl w:val="0"/>
              <w:spacing w:line="210" w:lineRule="atLeast"/>
              <w:ind w:left="105"/>
              <w:jc w:val="center"/>
              <w:rPr>
                <w:rFonts w:cs="Arial"/>
                <w:bCs/>
                <w:color w:val="auto"/>
                <w:sz w:val="20"/>
                <w:szCs w:val="20"/>
              </w:rPr>
            </w:pPr>
            <w:r w:rsidRPr="00ED06F5">
              <w:rPr>
                <w:rFonts w:cs="Arial"/>
                <w:bCs/>
                <w:color w:val="auto"/>
                <w:sz w:val="20"/>
                <w:szCs w:val="20"/>
              </w:rPr>
              <w:t>£m</w:t>
            </w:r>
          </w:p>
        </w:tc>
        <w:tc>
          <w:tcPr>
            <w:tcW w:w="1136" w:type="dxa"/>
          </w:tcPr>
          <w:p w:rsidR="00ED06F5" w:rsidRPr="00ED06F5" w:rsidRDefault="00ED06F5" w:rsidP="00ED06F5">
            <w:pPr>
              <w:pStyle w:val="CodeNotesExampleText"/>
              <w:widowControl w:val="0"/>
              <w:spacing w:line="210" w:lineRule="atLeast"/>
              <w:ind w:left="105"/>
              <w:jc w:val="center"/>
              <w:cnfStyle w:val="000000100000"/>
              <w:rPr>
                <w:rFonts w:cs="Arial"/>
                <w:bCs/>
                <w:color w:val="auto"/>
                <w:sz w:val="20"/>
                <w:szCs w:val="20"/>
              </w:rPr>
            </w:pPr>
            <w:r w:rsidRPr="00ED06F5">
              <w:rPr>
                <w:rFonts w:cs="Arial"/>
                <w:bCs/>
                <w:color w:val="auto"/>
                <w:sz w:val="20"/>
                <w:szCs w:val="20"/>
              </w:rPr>
              <w:t>£m</w:t>
            </w:r>
          </w:p>
        </w:tc>
        <w:tc>
          <w:tcPr>
            <w:cnfStyle w:val="000010000000"/>
            <w:tcW w:w="853" w:type="dxa"/>
          </w:tcPr>
          <w:p w:rsidR="00ED06F5" w:rsidRPr="00ED06F5" w:rsidRDefault="00ED06F5" w:rsidP="00ED06F5">
            <w:pPr>
              <w:pStyle w:val="CodeNotesExampleText"/>
              <w:widowControl w:val="0"/>
              <w:spacing w:line="210" w:lineRule="atLeast"/>
              <w:ind w:left="210"/>
              <w:jc w:val="center"/>
              <w:rPr>
                <w:rFonts w:cs="Arial"/>
                <w:bCs/>
                <w:color w:val="auto"/>
                <w:sz w:val="20"/>
                <w:szCs w:val="20"/>
              </w:rPr>
            </w:pPr>
            <w:r w:rsidRPr="00ED06F5">
              <w:rPr>
                <w:rFonts w:cs="Arial"/>
                <w:bCs/>
                <w:color w:val="auto"/>
                <w:sz w:val="20"/>
                <w:szCs w:val="20"/>
              </w:rPr>
              <w:t>£m</w:t>
            </w:r>
          </w:p>
        </w:tc>
        <w:tc>
          <w:tcPr>
            <w:tcW w:w="852" w:type="dxa"/>
          </w:tcPr>
          <w:p w:rsidR="00ED06F5" w:rsidRPr="00ED06F5" w:rsidRDefault="00ED06F5" w:rsidP="00ED06F5">
            <w:pPr>
              <w:pStyle w:val="CodeNotesExampleText"/>
              <w:widowControl w:val="0"/>
              <w:spacing w:line="210" w:lineRule="atLeast"/>
              <w:ind w:left="210"/>
              <w:jc w:val="center"/>
              <w:cnfStyle w:val="000000100000"/>
              <w:rPr>
                <w:rFonts w:cs="Arial"/>
                <w:bCs/>
                <w:color w:val="auto"/>
                <w:sz w:val="20"/>
                <w:szCs w:val="20"/>
              </w:rPr>
            </w:pPr>
            <w:r w:rsidRPr="00ED06F5">
              <w:rPr>
                <w:rFonts w:cs="Arial"/>
                <w:bCs/>
                <w:color w:val="auto"/>
                <w:sz w:val="20"/>
                <w:szCs w:val="20"/>
              </w:rPr>
              <w:t>£m</w:t>
            </w:r>
          </w:p>
        </w:tc>
        <w:tc>
          <w:tcPr>
            <w:cnfStyle w:val="000010000000"/>
            <w:tcW w:w="828" w:type="dxa"/>
          </w:tcPr>
          <w:p w:rsidR="00ED06F5" w:rsidRPr="00ED06F5" w:rsidRDefault="00ED06F5" w:rsidP="00ED06F5">
            <w:pPr>
              <w:pStyle w:val="CodeNotesExampleText"/>
              <w:widowControl w:val="0"/>
              <w:spacing w:line="210" w:lineRule="atLeast"/>
              <w:ind w:left="105"/>
              <w:jc w:val="center"/>
              <w:rPr>
                <w:rFonts w:cs="Arial"/>
                <w:bCs/>
                <w:color w:val="auto"/>
              </w:rPr>
            </w:pPr>
            <w:r w:rsidRPr="00ED06F5">
              <w:rPr>
                <w:rFonts w:cs="Arial"/>
                <w:bCs/>
                <w:color w:val="auto"/>
              </w:rPr>
              <w:t>£m</w:t>
            </w:r>
          </w:p>
        </w:tc>
        <w:tc>
          <w:tcPr>
            <w:tcW w:w="735" w:type="dxa"/>
          </w:tcPr>
          <w:p w:rsidR="00ED06F5" w:rsidRPr="00ED06F5" w:rsidRDefault="00ED06F5" w:rsidP="00ED06F5">
            <w:pPr>
              <w:pStyle w:val="CodeNotesExampleText"/>
              <w:widowControl w:val="0"/>
              <w:spacing w:line="210" w:lineRule="atLeast"/>
              <w:ind w:left="105"/>
              <w:jc w:val="center"/>
              <w:cnfStyle w:val="000000100000"/>
              <w:rPr>
                <w:rFonts w:cs="Arial"/>
                <w:bCs/>
                <w:color w:val="auto"/>
                <w:sz w:val="20"/>
                <w:szCs w:val="20"/>
              </w:rPr>
            </w:pPr>
            <w:r w:rsidRPr="00ED06F5">
              <w:rPr>
                <w:rFonts w:cs="Arial"/>
                <w:bCs/>
                <w:color w:val="auto"/>
                <w:sz w:val="20"/>
                <w:szCs w:val="20"/>
              </w:rPr>
              <w:t>£m</w:t>
            </w:r>
          </w:p>
        </w:tc>
        <w:tc>
          <w:tcPr>
            <w:cnfStyle w:val="000010000000"/>
            <w:tcW w:w="994" w:type="dxa"/>
          </w:tcPr>
          <w:p w:rsidR="00ED06F5" w:rsidRPr="00F46D9B" w:rsidRDefault="00ED06F5" w:rsidP="00ED06F5">
            <w:pPr>
              <w:pStyle w:val="CodeNotesExampleText"/>
              <w:widowControl w:val="0"/>
              <w:spacing w:line="210" w:lineRule="atLeast"/>
              <w:ind w:left="210"/>
              <w:jc w:val="center"/>
              <w:rPr>
                <w:rFonts w:cs="Arial"/>
                <w:bCs/>
                <w:color w:val="auto"/>
                <w:sz w:val="20"/>
                <w:szCs w:val="20"/>
              </w:rPr>
            </w:pPr>
            <w:r w:rsidRPr="00F46D9B">
              <w:rPr>
                <w:rFonts w:cs="Arial"/>
                <w:bCs/>
                <w:color w:val="auto"/>
                <w:sz w:val="20"/>
                <w:szCs w:val="20"/>
              </w:rPr>
              <w:t>£m</w:t>
            </w:r>
          </w:p>
        </w:tc>
        <w:tc>
          <w:tcPr>
            <w:tcW w:w="813" w:type="dxa"/>
          </w:tcPr>
          <w:p w:rsidR="00ED06F5" w:rsidRPr="00ED06F5" w:rsidRDefault="00ED06F5" w:rsidP="00ED06F5">
            <w:pPr>
              <w:pStyle w:val="CodeNotesExampleText"/>
              <w:widowControl w:val="0"/>
              <w:spacing w:line="210" w:lineRule="atLeast"/>
              <w:ind w:left="210"/>
              <w:jc w:val="center"/>
              <w:cnfStyle w:val="000000100000"/>
              <w:rPr>
                <w:rFonts w:cs="Arial"/>
                <w:bCs/>
                <w:color w:val="auto"/>
                <w:sz w:val="20"/>
                <w:szCs w:val="20"/>
              </w:rPr>
            </w:pPr>
            <w:r w:rsidRPr="00ED06F5">
              <w:rPr>
                <w:rFonts w:cs="Arial"/>
                <w:bCs/>
                <w:color w:val="auto"/>
                <w:sz w:val="20"/>
                <w:szCs w:val="20"/>
              </w:rPr>
              <w:t>£m</w:t>
            </w:r>
          </w:p>
        </w:tc>
      </w:tr>
      <w:tr w:rsidR="008817F4" w:rsidRPr="00ED06F5" w:rsidTr="008817F4">
        <w:trPr>
          <w:trHeight w:val="239"/>
        </w:trPr>
        <w:tc>
          <w:tcPr>
            <w:cnfStyle w:val="001000000000"/>
            <w:tcW w:w="7636" w:type="dxa"/>
            <w:vAlign w:val="center"/>
          </w:tcPr>
          <w:p w:rsidR="008817F4" w:rsidRPr="00ED06F5" w:rsidRDefault="008817F4" w:rsidP="008817F4">
            <w:pPr>
              <w:pStyle w:val="CodeNotesExampleText"/>
              <w:spacing w:line="210" w:lineRule="atLeast"/>
              <w:ind w:left="105"/>
              <w:rPr>
                <w:rFonts w:cs="Arial"/>
                <w:bCs w:val="0"/>
                <w:color w:val="auto"/>
                <w:sz w:val="22"/>
                <w:szCs w:val="22"/>
              </w:rPr>
            </w:pPr>
            <w:r w:rsidRPr="00ED06F5">
              <w:rPr>
                <w:rFonts w:cs="Arial"/>
                <w:bCs w:val="0"/>
                <w:color w:val="auto"/>
                <w:sz w:val="22"/>
                <w:szCs w:val="22"/>
              </w:rPr>
              <w:t>Cost or Valuation</w:t>
            </w:r>
          </w:p>
        </w:tc>
        <w:tc>
          <w:tcPr>
            <w:cnfStyle w:val="000010000000"/>
            <w:tcW w:w="994" w:type="dxa"/>
            <w:vAlign w:val="center"/>
          </w:tcPr>
          <w:p w:rsidR="008817F4" w:rsidRPr="001F06FB" w:rsidRDefault="008817F4" w:rsidP="008817F4">
            <w:pPr>
              <w:pStyle w:val="CodeNotesExampleText"/>
              <w:spacing w:line="210" w:lineRule="atLeast"/>
              <w:jc w:val="center"/>
              <w:rPr>
                <w:rFonts w:cs="Arial"/>
                <w:b/>
                <w:bCs/>
                <w:color w:val="auto"/>
                <w:sz w:val="20"/>
                <w:szCs w:val="20"/>
              </w:rPr>
            </w:pPr>
            <w:r w:rsidRPr="001F06FB">
              <w:rPr>
                <w:rFonts w:cs="Arial"/>
                <w:b/>
                <w:bCs/>
                <w:color w:val="auto"/>
                <w:sz w:val="20"/>
                <w:szCs w:val="20"/>
              </w:rPr>
              <w:t>186.8</w:t>
            </w:r>
          </w:p>
        </w:tc>
        <w:tc>
          <w:tcPr>
            <w:tcW w:w="1136" w:type="dxa"/>
            <w:vAlign w:val="center"/>
          </w:tcPr>
          <w:p w:rsidR="008817F4" w:rsidRPr="00ED06F5" w:rsidRDefault="008817F4" w:rsidP="008817F4">
            <w:pPr>
              <w:pStyle w:val="CodeNotesExampleText"/>
              <w:spacing w:line="210" w:lineRule="atLeast"/>
              <w:jc w:val="center"/>
              <w:cnfStyle w:val="000000000000"/>
              <w:rPr>
                <w:rFonts w:cs="Arial"/>
                <w:b/>
                <w:bCs/>
                <w:color w:val="auto"/>
                <w:sz w:val="20"/>
                <w:szCs w:val="20"/>
              </w:rPr>
            </w:pPr>
            <w:r w:rsidRPr="00ED06F5">
              <w:rPr>
                <w:rFonts w:cs="Arial"/>
                <w:b/>
                <w:bCs/>
                <w:color w:val="auto"/>
                <w:sz w:val="20"/>
                <w:szCs w:val="20"/>
              </w:rPr>
              <w:t>17.2</w:t>
            </w:r>
          </w:p>
        </w:tc>
        <w:tc>
          <w:tcPr>
            <w:cnfStyle w:val="000010000000"/>
            <w:tcW w:w="853" w:type="dxa"/>
            <w:vAlign w:val="center"/>
          </w:tcPr>
          <w:p w:rsidR="008817F4" w:rsidRPr="00ED06F5" w:rsidRDefault="008817F4" w:rsidP="008817F4">
            <w:pPr>
              <w:pStyle w:val="CodeNotesExampleText"/>
              <w:spacing w:line="210" w:lineRule="atLeast"/>
              <w:jc w:val="center"/>
              <w:rPr>
                <w:rFonts w:cs="Arial"/>
                <w:b/>
                <w:bCs/>
                <w:color w:val="auto"/>
                <w:sz w:val="20"/>
                <w:szCs w:val="20"/>
              </w:rPr>
            </w:pPr>
            <w:r w:rsidRPr="00ED06F5">
              <w:rPr>
                <w:rFonts w:cs="Arial"/>
                <w:b/>
                <w:bCs/>
                <w:color w:val="auto"/>
                <w:sz w:val="20"/>
                <w:szCs w:val="20"/>
              </w:rPr>
              <w:t>106.4</w:t>
            </w:r>
          </w:p>
        </w:tc>
        <w:tc>
          <w:tcPr>
            <w:tcW w:w="852" w:type="dxa"/>
            <w:vAlign w:val="center"/>
          </w:tcPr>
          <w:p w:rsidR="008817F4" w:rsidRPr="00ED06F5" w:rsidRDefault="008817F4" w:rsidP="008817F4">
            <w:pPr>
              <w:pStyle w:val="CodeNotesExampleText"/>
              <w:spacing w:line="210" w:lineRule="atLeast"/>
              <w:jc w:val="center"/>
              <w:cnfStyle w:val="000000000000"/>
              <w:rPr>
                <w:rFonts w:cs="Arial"/>
                <w:b/>
                <w:bCs/>
                <w:color w:val="auto"/>
                <w:sz w:val="20"/>
                <w:szCs w:val="20"/>
              </w:rPr>
            </w:pPr>
            <w:r w:rsidRPr="00ED06F5">
              <w:rPr>
                <w:rFonts w:cs="Arial"/>
                <w:b/>
                <w:bCs/>
                <w:color w:val="auto"/>
                <w:sz w:val="20"/>
                <w:szCs w:val="20"/>
              </w:rPr>
              <w:t>7.4</w:t>
            </w:r>
          </w:p>
        </w:tc>
        <w:tc>
          <w:tcPr>
            <w:cnfStyle w:val="000010000000"/>
            <w:tcW w:w="828" w:type="dxa"/>
            <w:vAlign w:val="center"/>
          </w:tcPr>
          <w:p w:rsidR="008817F4" w:rsidRPr="00ED06F5" w:rsidRDefault="008817F4" w:rsidP="008817F4">
            <w:pPr>
              <w:pStyle w:val="CodeNotesExampleText"/>
              <w:spacing w:line="210" w:lineRule="atLeast"/>
              <w:jc w:val="center"/>
              <w:rPr>
                <w:rFonts w:cs="Arial"/>
                <w:b/>
                <w:bCs/>
                <w:color w:val="auto"/>
                <w:sz w:val="20"/>
                <w:szCs w:val="20"/>
              </w:rPr>
            </w:pPr>
            <w:r w:rsidRPr="00ED06F5">
              <w:rPr>
                <w:rFonts w:cs="Arial"/>
                <w:b/>
                <w:bCs/>
                <w:color w:val="auto"/>
                <w:sz w:val="20"/>
                <w:szCs w:val="20"/>
              </w:rPr>
              <w:t>0.5</w:t>
            </w:r>
          </w:p>
        </w:tc>
        <w:tc>
          <w:tcPr>
            <w:tcW w:w="735" w:type="dxa"/>
            <w:vAlign w:val="center"/>
          </w:tcPr>
          <w:p w:rsidR="008817F4" w:rsidRPr="00ED06F5" w:rsidRDefault="008817F4" w:rsidP="008817F4">
            <w:pPr>
              <w:pStyle w:val="CodeNotesExampleText"/>
              <w:spacing w:line="210" w:lineRule="atLeast"/>
              <w:jc w:val="center"/>
              <w:cnfStyle w:val="000000000000"/>
              <w:rPr>
                <w:rFonts w:cs="Arial"/>
                <w:b/>
                <w:bCs/>
                <w:color w:val="auto"/>
                <w:sz w:val="20"/>
                <w:szCs w:val="20"/>
              </w:rPr>
            </w:pPr>
            <w:r w:rsidRPr="00ED06F5">
              <w:rPr>
                <w:rFonts w:cs="Arial"/>
                <w:b/>
                <w:bCs/>
                <w:color w:val="auto"/>
                <w:sz w:val="20"/>
                <w:szCs w:val="20"/>
              </w:rPr>
              <w:t>2.3</w:t>
            </w:r>
          </w:p>
        </w:tc>
        <w:tc>
          <w:tcPr>
            <w:cnfStyle w:val="000010000000"/>
            <w:tcW w:w="994" w:type="dxa"/>
            <w:vAlign w:val="center"/>
          </w:tcPr>
          <w:p w:rsidR="008817F4" w:rsidRPr="00F46D9B" w:rsidRDefault="008817F4" w:rsidP="008817F4">
            <w:pPr>
              <w:pStyle w:val="CodeNotesExampleText"/>
              <w:spacing w:line="210" w:lineRule="atLeast"/>
              <w:jc w:val="center"/>
              <w:rPr>
                <w:rFonts w:cs="Arial"/>
                <w:b/>
                <w:bCs/>
                <w:color w:val="auto"/>
                <w:sz w:val="20"/>
                <w:szCs w:val="20"/>
              </w:rPr>
            </w:pPr>
            <w:r w:rsidRPr="00F46D9B">
              <w:rPr>
                <w:rFonts w:cs="Arial"/>
                <w:b/>
                <w:bCs/>
                <w:color w:val="auto"/>
                <w:sz w:val="20"/>
                <w:szCs w:val="20"/>
              </w:rPr>
              <w:t>320.6</w:t>
            </w:r>
          </w:p>
        </w:tc>
        <w:tc>
          <w:tcPr>
            <w:tcW w:w="813" w:type="dxa"/>
            <w:vAlign w:val="center"/>
          </w:tcPr>
          <w:p w:rsidR="008817F4" w:rsidRPr="00ED06F5" w:rsidRDefault="008817F4" w:rsidP="008817F4">
            <w:pPr>
              <w:pStyle w:val="CodeNotesExampleText"/>
              <w:spacing w:line="210" w:lineRule="atLeast"/>
              <w:jc w:val="center"/>
              <w:cnfStyle w:val="000000000000"/>
              <w:rPr>
                <w:rFonts w:cs="Arial"/>
                <w:b/>
                <w:bCs/>
                <w:color w:val="auto"/>
                <w:sz w:val="20"/>
                <w:szCs w:val="20"/>
              </w:rPr>
            </w:pPr>
            <w:r w:rsidRPr="00ED06F5">
              <w:rPr>
                <w:rFonts w:cs="Arial"/>
                <w:b/>
                <w:bCs/>
                <w:color w:val="auto"/>
                <w:sz w:val="20"/>
                <w:szCs w:val="20"/>
              </w:rPr>
              <w:t>23.8</w:t>
            </w:r>
          </w:p>
        </w:tc>
      </w:tr>
      <w:tr w:rsidR="00ED06F5" w:rsidRPr="00ED06F5" w:rsidTr="00ED06F5">
        <w:trPr>
          <w:cnfStyle w:val="000000100000"/>
          <w:trHeight w:val="257"/>
        </w:trPr>
        <w:tc>
          <w:tcPr>
            <w:cnfStyle w:val="001000000000"/>
            <w:tcW w:w="7636" w:type="dxa"/>
            <w:vAlign w:val="center"/>
          </w:tcPr>
          <w:p w:rsidR="00ED06F5" w:rsidRPr="00ED06F5" w:rsidRDefault="00ED06F5" w:rsidP="00ED06F5">
            <w:pPr>
              <w:pStyle w:val="CodeNotesExampleText"/>
              <w:spacing w:line="210" w:lineRule="atLeast"/>
              <w:ind w:left="105"/>
              <w:rPr>
                <w:rFonts w:cs="Arial"/>
                <w:color w:val="auto"/>
                <w:sz w:val="20"/>
                <w:szCs w:val="20"/>
              </w:rPr>
            </w:pPr>
            <w:r w:rsidRPr="00ED06F5">
              <w:rPr>
                <w:rFonts w:cs="Arial"/>
                <w:color w:val="auto"/>
                <w:sz w:val="20"/>
                <w:szCs w:val="20"/>
              </w:rPr>
              <w:t>As at 1</w:t>
            </w:r>
            <w:r w:rsidRPr="00ED06F5">
              <w:rPr>
                <w:rFonts w:cs="Arial"/>
                <w:color w:val="auto"/>
                <w:sz w:val="20"/>
                <w:szCs w:val="20"/>
                <w:vertAlign w:val="superscript"/>
              </w:rPr>
              <w:t>st</w:t>
            </w:r>
            <w:r w:rsidRPr="00ED06F5">
              <w:rPr>
                <w:rFonts w:cs="Arial"/>
                <w:color w:val="auto"/>
                <w:sz w:val="20"/>
                <w:szCs w:val="20"/>
              </w:rPr>
              <w:t xml:space="preserve"> April 2015</w:t>
            </w:r>
          </w:p>
        </w:tc>
        <w:tc>
          <w:tcPr>
            <w:cnfStyle w:val="000010000000"/>
            <w:tcW w:w="994" w:type="dxa"/>
            <w:vAlign w:val="center"/>
          </w:tcPr>
          <w:p w:rsidR="00ED06F5" w:rsidRPr="001F06FB" w:rsidRDefault="00ED06F5" w:rsidP="00ED06F5">
            <w:pPr>
              <w:pStyle w:val="CodeNotesExampleText"/>
              <w:spacing w:line="210" w:lineRule="atLeast"/>
              <w:jc w:val="center"/>
              <w:rPr>
                <w:rFonts w:cs="Arial"/>
                <w:b/>
                <w:bCs/>
                <w:color w:val="auto"/>
                <w:sz w:val="20"/>
                <w:szCs w:val="20"/>
              </w:rPr>
            </w:pPr>
          </w:p>
        </w:tc>
        <w:tc>
          <w:tcPr>
            <w:tcW w:w="1136" w:type="dxa"/>
            <w:vAlign w:val="center"/>
          </w:tcPr>
          <w:p w:rsidR="00ED06F5" w:rsidRPr="00ED06F5" w:rsidRDefault="00ED06F5" w:rsidP="00ED06F5">
            <w:pPr>
              <w:pStyle w:val="CodeNotesExampleText"/>
              <w:spacing w:line="210" w:lineRule="atLeast"/>
              <w:jc w:val="center"/>
              <w:cnfStyle w:val="000000100000"/>
              <w:rPr>
                <w:rFonts w:cs="Arial"/>
                <w:b/>
                <w:bCs/>
                <w:color w:val="auto"/>
                <w:sz w:val="20"/>
                <w:szCs w:val="20"/>
              </w:rPr>
            </w:pPr>
          </w:p>
        </w:tc>
        <w:tc>
          <w:tcPr>
            <w:cnfStyle w:val="000010000000"/>
            <w:tcW w:w="853" w:type="dxa"/>
            <w:vAlign w:val="center"/>
          </w:tcPr>
          <w:p w:rsidR="00ED06F5" w:rsidRPr="00ED06F5" w:rsidRDefault="00ED06F5" w:rsidP="00ED06F5">
            <w:pPr>
              <w:pStyle w:val="CodeNotesExampleText"/>
              <w:spacing w:line="210" w:lineRule="atLeast"/>
              <w:jc w:val="center"/>
              <w:rPr>
                <w:rFonts w:cs="Arial"/>
                <w:b/>
                <w:bCs/>
                <w:color w:val="auto"/>
                <w:sz w:val="20"/>
                <w:szCs w:val="20"/>
              </w:rPr>
            </w:pPr>
          </w:p>
        </w:tc>
        <w:tc>
          <w:tcPr>
            <w:tcW w:w="852" w:type="dxa"/>
            <w:vAlign w:val="center"/>
          </w:tcPr>
          <w:p w:rsidR="00ED06F5" w:rsidRPr="00ED06F5" w:rsidRDefault="00ED06F5" w:rsidP="00ED06F5">
            <w:pPr>
              <w:pStyle w:val="CodeNotesExampleText"/>
              <w:spacing w:line="210" w:lineRule="atLeast"/>
              <w:jc w:val="center"/>
              <w:cnfStyle w:val="000000100000"/>
              <w:rPr>
                <w:rFonts w:cs="Arial"/>
                <w:b/>
                <w:bCs/>
                <w:color w:val="auto"/>
                <w:sz w:val="20"/>
                <w:szCs w:val="20"/>
              </w:rPr>
            </w:pPr>
          </w:p>
        </w:tc>
        <w:tc>
          <w:tcPr>
            <w:cnfStyle w:val="000010000000"/>
            <w:tcW w:w="828" w:type="dxa"/>
            <w:vAlign w:val="center"/>
          </w:tcPr>
          <w:p w:rsidR="00ED06F5" w:rsidRPr="00ED06F5" w:rsidRDefault="00ED06F5" w:rsidP="00ED06F5">
            <w:pPr>
              <w:pStyle w:val="CodeNotesExampleText"/>
              <w:spacing w:line="210" w:lineRule="atLeast"/>
              <w:jc w:val="center"/>
              <w:rPr>
                <w:rFonts w:cs="Arial"/>
                <w:b/>
                <w:bCs/>
                <w:color w:val="auto"/>
                <w:sz w:val="20"/>
                <w:szCs w:val="20"/>
              </w:rPr>
            </w:pPr>
          </w:p>
        </w:tc>
        <w:tc>
          <w:tcPr>
            <w:tcW w:w="735" w:type="dxa"/>
            <w:vAlign w:val="center"/>
          </w:tcPr>
          <w:p w:rsidR="00ED06F5" w:rsidRPr="00ED06F5" w:rsidRDefault="00ED06F5" w:rsidP="00ED06F5">
            <w:pPr>
              <w:pStyle w:val="CodeNotesExampleText"/>
              <w:spacing w:line="210" w:lineRule="atLeast"/>
              <w:jc w:val="center"/>
              <w:cnfStyle w:val="000000100000"/>
              <w:rPr>
                <w:rFonts w:cs="Arial"/>
                <w:b/>
                <w:bCs/>
                <w:color w:val="auto"/>
                <w:sz w:val="20"/>
                <w:szCs w:val="20"/>
              </w:rPr>
            </w:pPr>
          </w:p>
        </w:tc>
        <w:tc>
          <w:tcPr>
            <w:cnfStyle w:val="000010000000"/>
            <w:tcW w:w="994" w:type="dxa"/>
            <w:vAlign w:val="center"/>
          </w:tcPr>
          <w:p w:rsidR="00ED06F5" w:rsidRPr="00C81A6A" w:rsidRDefault="00ED06F5" w:rsidP="00ED06F5">
            <w:pPr>
              <w:pStyle w:val="CodeNotesExampleText"/>
              <w:spacing w:line="210" w:lineRule="atLeast"/>
              <w:jc w:val="center"/>
              <w:rPr>
                <w:rFonts w:cs="Arial"/>
                <w:b/>
                <w:bCs/>
                <w:color w:val="auto"/>
                <w:sz w:val="20"/>
                <w:szCs w:val="20"/>
                <w:highlight w:val="yellow"/>
              </w:rPr>
            </w:pPr>
          </w:p>
        </w:tc>
        <w:tc>
          <w:tcPr>
            <w:tcW w:w="813" w:type="dxa"/>
            <w:vAlign w:val="center"/>
          </w:tcPr>
          <w:p w:rsidR="00ED06F5" w:rsidRPr="00ED06F5" w:rsidRDefault="00ED06F5" w:rsidP="00ED06F5">
            <w:pPr>
              <w:pStyle w:val="CodeNotesExampleText"/>
              <w:spacing w:line="210" w:lineRule="atLeast"/>
              <w:jc w:val="center"/>
              <w:cnfStyle w:val="000000100000"/>
              <w:rPr>
                <w:rFonts w:cs="Arial"/>
                <w:b/>
                <w:bCs/>
                <w:color w:val="auto"/>
                <w:sz w:val="20"/>
                <w:szCs w:val="20"/>
              </w:rPr>
            </w:pPr>
          </w:p>
        </w:tc>
      </w:tr>
      <w:tr w:rsidR="00ED06F5" w:rsidRPr="00ED06F5" w:rsidTr="00ED06F5">
        <w:trPr>
          <w:trHeight w:val="275"/>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Additions</w:t>
            </w:r>
          </w:p>
        </w:tc>
        <w:tc>
          <w:tcPr>
            <w:cnfStyle w:val="000010000000"/>
            <w:tcW w:w="994" w:type="dxa"/>
            <w:vAlign w:val="center"/>
          </w:tcPr>
          <w:p w:rsidR="00ED06F5" w:rsidRPr="001F06FB" w:rsidRDefault="00597E6D" w:rsidP="00ED06F5">
            <w:pPr>
              <w:pStyle w:val="CodeNotesExampleText"/>
              <w:spacing w:line="210" w:lineRule="atLeast"/>
              <w:jc w:val="center"/>
              <w:rPr>
                <w:rFonts w:cs="Arial"/>
                <w:color w:val="auto"/>
                <w:sz w:val="20"/>
                <w:szCs w:val="20"/>
              </w:rPr>
            </w:pPr>
            <w:r w:rsidRPr="001F06FB">
              <w:rPr>
                <w:rFonts w:cs="Arial"/>
                <w:color w:val="auto"/>
                <w:sz w:val="20"/>
                <w:szCs w:val="20"/>
              </w:rPr>
              <w:t>37.9</w:t>
            </w:r>
          </w:p>
        </w:tc>
        <w:tc>
          <w:tcPr>
            <w:tcW w:w="1136" w:type="dxa"/>
            <w:vAlign w:val="center"/>
          </w:tcPr>
          <w:p w:rsidR="00ED06F5" w:rsidRPr="00ED06F5" w:rsidRDefault="00435AA8" w:rsidP="00ED06F5">
            <w:pPr>
              <w:pStyle w:val="CodeNotesExampleText"/>
              <w:spacing w:line="210" w:lineRule="atLeast"/>
              <w:jc w:val="center"/>
              <w:cnfStyle w:val="000000000000"/>
              <w:rPr>
                <w:rFonts w:cs="Arial"/>
                <w:color w:val="auto"/>
                <w:sz w:val="20"/>
                <w:szCs w:val="20"/>
              </w:rPr>
            </w:pPr>
            <w:r>
              <w:rPr>
                <w:rFonts w:cs="Arial"/>
                <w:color w:val="auto"/>
                <w:sz w:val="20"/>
                <w:szCs w:val="20"/>
              </w:rPr>
              <w:t>0</w:t>
            </w:r>
          </w:p>
        </w:tc>
        <w:tc>
          <w:tcPr>
            <w:cnfStyle w:val="000010000000"/>
            <w:tcW w:w="853" w:type="dxa"/>
            <w:vAlign w:val="center"/>
          </w:tcPr>
          <w:p w:rsidR="00D041ED" w:rsidRPr="00ED06F5" w:rsidRDefault="00D041ED" w:rsidP="00D041ED">
            <w:pPr>
              <w:pStyle w:val="CodeNotesExampleText"/>
              <w:spacing w:line="210" w:lineRule="atLeast"/>
              <w:jc w:val="center"/>
              <w:rPr>
                <w:rFonts w:cs="Arial"/>
                <w:color w:val="auto"/>
                <w:sz w:val="20"/>
                <w:szCs w:val="20"/>
              </w:rPr>
            </w:pPr>
            <w:r>
              <w:rPr>
                <w:rFonts w:cs="Arial"/>
                <w:color w:val="auto"/>
                <w:sz w:val="20"/>
                <w:szCs w:val="20"/>
              </w:rPr>
              <w:t>13.7</w:t>
            </w:r>
          </w:p>
        </w:tc>
        <w:tc>
          <w:tcPr>
            <w:tcW w:w="852" w:type="dxa"/>
            <w:vAlign w:val="center"/>
          </w:tcPr>
          <w:p w:rsidR="00ED06F5" w:rsidRPr="00ED06F5" w:rsidRDefault="00D041ED" w:rsidP="00ED06F5">
            <w:pPr>
              <w:pStyle w:val="CodeNotesExampleText"/>
              <w:spacing w:line="210" w:lineRule="atLeast"/>
              <w:jc w:val="center"/>
              <w:cnfStyle w:val="000000000000"/>
              <w:rPr>
                <w:rFonts w:cs="Arial"/>
                <w:color w:val="auto"/>
                <w:sz w:val="20"/>
                <w:szCs w:val="20"/>
              </w:rPr>
            </w:pPr>
            <w:r>
              <w:rPr>
                <w:rFonts w:cs="Arial"/>
                <w:color w:val="auto"/>
                <w:sz w:val="20"/>
                <w:szCs w:val="20"/>
              </w:rPr>
              <w:t>0.1</w:t>
            </w:r>
          </w:p>
        </w:tc>
        <w:tc>
          <w:tcPr>
            <w:cnfStyle w:val="000010000000"/>
            <w:tcW w:w="828" w:type="dxa"/>
            <w:vAlign w:val="center"/>
          </w:tcPr>
          <w:p w:rsidR="00ED06F5" w:rsidRPr="00ED06F5" w:rsidRDefault="00C96D86" w:rsidP="00ED06F5">
            <w:pPr>
              <w:pStyle w:val="CodeNotesExampleText"/>
              <w:spacing w:line="210" w:lineRule="atLeast"/>
              <w:jc w:val="center"/>
              <w:rPr>
                <w:rFonts w:cs="Arial"/>
                <w:bCs/>
                <w:color w:val="auto"/>
                <w:sz w:val="20"/>
                <w:szCs w:val="20"/>
              </w:rPr>
            </w:pPr>
            <w:r>
              <w:rPr>
                <w:rFonts w:cs="Arial"/>
                <w:bCs/>
                <w:color w:val="auto"/>
                <w:sz w:val="20"/>
                <w:szCs w:val="20"/>
              </w:rPr>
              <w:t>0.1</w:t>
            </w:r>
          </w:p>
        </w:tc>
        <w:tc>
          <w:tcPr>
            <w:tcW w:w="735" w:type="dxa"/>
            <w:vAlign w:val="center"/>
          </w:tcPr>
          <w:p w:rsidR="008817F4" w:rsidRPr="00ED06F5" w:rsidRDefault="008817F4" w:rsidP="008817F4">
            <w:pPr>
              <w:pStyle w:val="CodeNotesExampleText"/>
              <w:spacing w:line="210" w:lineRule="atLeast"/>
              <w:jc w:val="center"/>
              <w:cnfStyle w:val="000000000000"/>
              <w:rPr>
                <w:rFonts w:cs="Arial"/>
                <w:color w:val="auto"/>
                <w:sz w:val="20"/>
                <w:szCs w:val="20"/>
              </w:rPr>
            </w:pPr>
            <w:r>
              <w:rPr>
                <w:rFonts w:cs="Arial"/>
                <w:color w:val="auto"/>
                <w:sz w:val="20"/>
                <w:szCs w:val="20"/>
              </w:rPr>
              <w:t>0.4</w:t>
            </w:r>
          </w:p>
        </w:tc>
        <w:tc>
          <w:tcPr>
            <w:cnfStyle w:val="000010000000"/>
            <w:tcW w:w="994" w:type="dxa"/>
            <w:vAlign w:val="center"/>
          </w:tcPr>
          <w:p w:rsidR="00ED06F5" w:rsidRPr="00C81A6A" w:rsidRDefault="005308A5" w:rsidP="00ED06F5">
            <w:pPr>
              <w:pStyle w:val="CodeNotesExampleText"/>
              <w:spacing w:line="210" w:lineRule="atLeast"/>
              <w:jc w:val="center"/>
              <w:rPr>
                <w:rFonts w:cs="Arial"/>
                <w:b/>
                <w:color w:val="auto"/>
                <w:sz w:val="20"/>
                <w:szCs w:val="20"/>
                <w:highlight w:val="yellow"/>
              </w:rPr>
            </w:pPr>
            <w:r w:rsidRPr="00F46D9B">
              <w:rPr>
                <w:rFonts w:cs="Arial"/>
                <w:b/>
                <w:color w:val="auto"/>
                <w:sz w:val="20"/>
                <w:szCs w:val="20"/>
              </w:rPr>
              <w:t>52.2</w:t>
            </w:r>
          </w:p>
        </w:tc>
        <w:tc>
          <w:tcPr>
            <w:tcW w:w="813" w:type="dxa"/>
            <w:vAlign w:val="center"/>
          </w:tcPr>
          <w:p w:rsidR="00ED06F5" w:rsidRPr="00ED06F5" w:rsidRDefault="007227F8" w:rsidP="00ED06F5">
            <w:pPr>
              <w:pStyle w:val="CodeNotesExampleText"/>
              <w:spacing w:line="210" w:lineRule="atLeast"/>
              <w:jc w:val="center"/>
              <w:cnfStyle w:val="000000000000"/>
              <w:rPr>
                <w:rFonts w:cs="Arial"/>
                <w:color w:val="auto"/>
                <w:sz w:val="20"/>
                <w:szCs w:val="20"/>
              </w:rPr>
            </w:pPr>
            <w:r>
              <w:rPr>
                <w:rFonts w:cs="Arial"/>
                <w:color w:val="auto"/>
                <w:sz w:val="20"/>
                <w:szCs w:val="20"/>
              </w:rPr>
              <w:t>33.3</w:t>
            </w:r>
          </w:p>
        </w:tc>
      </w:tr>
      <w:tr w:rsidR="00ED06F5" w:rsidRPr="00ED06F5" w:rsidTr="00ED06F5">
        <w:trPr>
          <w:cnfStyle w:val="000000100000"/>
          <w:trHeight w:val="278"/>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Revaluation increases/ (decreases) recognised in the Revaluation Reserve</w:t>
            </w:r>
          </w:p>
        </w:tc>
        <w:tc>
          <w:tcPr>
            <w:cnfStyle w:val="000010000000"/>
            <w:tcW w:w="994" w:type="dxa"/>
            <w:vAlign w:val="center"/>
          </w:tcPr>
          <w:p w:rsidR="00ED06F5" w:rsidRPr="001F06FB" w:rsidRDefault="00597E6D" w:rsidP="00D62F9B">
            <w:pPr>
              <w:pStyle w:val="CodeNotesExampleText"/>
              <w:spacing w:line="210" w:lineRule="atLeast"/>
              <w:jc w:val="center"/>
              <w:rPr>
                <w:rFonts w:cs="Arial"/>
                <w:color w:val="auto"/>
                <w:sz w:val="20"/>
                <w:szCs w:val="20"/>
              </w:rPr>
            </w:pPr>
            <w:r w:rsidRPr="001F06FB">
              <w:rPr>
                <w:rFonts w:cs="Arial"/>
                <w:color w:val="auto"/>
                <w:sz w:val="20"/>
                <w:szCs w:val="20"/>
              </w:rPr>
              <w:t>3.</w:t>
            </w:r>
            <w:r w:rsidR="00D62F9B">
              <w:rPr>
                <w:rFonts w:cs="Arial"/>
                <w:color w:val="auto"/>
                <w:sz w:val="20"/>
                <w:szCs w:val="20"/>
              </w:rPr>
              <w:t>9</w:t>
            </w:r>
          </w:p>
        </w:tc>
        <w:tc>
          <w:tcPr>
            <w:tcW w:w="1136" w:type="dxa"/>
            <w:vAlign w:val="center"/>
          </w:tcPr>
          <w:p w:rsidR="00ED06F5" w:rsidRPr="00ED06F5" w:rsidRDefault="00435AA8" w:rsidP="00ED06F5">
            <w:pPr>
              <w:pStyle w:val="CodeNotesExampleText"/>
              <w:spacing w:line="210" w:lineRule="atLeast"/>
              <w:jc w:val="center"/>
              <w:cnfStyle w:val="000000100000"/>
              <w:rPr>
                <w:rFonts w:cs="Arial"/>
                <w:color w:val="auto"/>
                <w:sz w:val="20"/>
                <w:szCs w:val="20"/>
              </w:rPr>
            </w:pPr>
            <w:r>
              <w:rPr>
                <w:rFonts w:cs="Arial"/>
                <w:color w:val="auto"/>
                <w:sz w:val="20"/>
                <w:szCs w:val="20"/>
              </w:rPr>
              <w:t>0</w:t>
            </w:r>
          </w:p>
        </w:tc>
        <w:tc>
          <w:tcPr>
            <w:cnfStyle w:val="000010000000"/>
            <w:tcW w:w="853" w:type="dxa"/>
            <w:vAlign w:val="center"/>
          </w:tcPr>
          <w:p w:rsidR="00ED06F5" w:rsidRPr="00ED06F5" w:rsidRDefault="00D041ED" w:rsidP="00ED06F5">
            <w:pPr>
              <w:pStyle w:val="CodeNotesExampleText"/>
              <w:spacing w:line="210" w:lineRule="atLeast"/>
              <w:jc w:val="center"/>
              <w:rPr>
                <w:rFonts w:cs="Arial"/>
                <w:color w:val="auto"/>
                <w:sz w:val="20"/>
                <w:szCs w:val="20"/>
              </w:rPr>
            </w:pPr>
            <w:r>
              <w:rPr>
                <w:rFonts w:cs="Arial"/>
                <w:color w:val="auto"/>
                <w:sz w:val="20"/>
                <w:szCs w:val="20"/>
              </w:rPr>
              <w:t>0</w:t>
            </w:r>
          </w:p>
        </w:tc>
        <w:tc>
          <w:tcPr>
            <w:tcW w:w="852" w:type="dxa"/>
            <w:vAlign w:val="center"/>
          </w:tcPr>
          <w:p w:rsidR="00ED06F5" w:rsidRPr="00ED06F5" w:rsidRDefault="00D041ED" w:rsidP="00ED06F5">
            <w:pPr>
              <w:pStyle w:val="CodeNotesExampleText"/>
              <w:spacing w:line="210" w:lineRule="atLeast"/>
              <w:jc w:val="center"/>
              <w:cnfStyle w:val="000000100000"/>
              <w:rPr>
                <w:rFonts w:cs="Arial"/>
                <w:color w:val="auto"/>
                <w:sz w:val="20"/>
                <w:szCs w:val="20"/>
              </w:rPr>
            </w:pPr>
            <w:r>
              <w:rPr>
                <w:rFonts w:cs="Arial"/>
                <w:color w:val="auto"/>
                <w:sz w:val="20"/>
                <w:szCs w:val="20"/>
              </w:rPr>
              <w:t>0</w:t>
            </w:r>
          </w:p>
        </w:tc>
        <w:tc>
          <w:tcPr>
            <w:cnfStyle w:val="000010000000"/>
            <w:tcW w:w="828" w:type="dxa"/>
            <w:vAlign w:val="center"/>
          </w:tcPr>
          <w:p w:rsidR="00ED06F5" w:rsidRPr="00ED06F5" w:rsidRDefault="00C96D86" w:rsidP="00ED06F5">
            <w:pPr>
              <w:pStyle w:val="CodeNotesExampleText"/>
              <w:spacing w:line="210" w:lineRule="atLeast"/>
              <w:jc w:val="center"/>
              <w:rPr>
                <w:rFonts w:cs="Arial"/>
                <w:bCs/>
                <w:color w:val="auto"/>
                <w:sz w:val="20"/>
                <w:szCs w:val="20"/>
              </w:rPr>
            </w:pPr>
            <w:r>
              <w:rPr>
                <w:rFonts w:cs="Arial"/>
                <w:bCs/>
                <w:color w:val="auto"/>
                <w:sz w:val="20"/>
                <w:szCs w:val="20"/>
              </w:rPr>
              <w:t>0.7</w:t>
            </w:r>
          </w:p>
        </w:tc>
        <w:tc>
          <w:tcPr>
            <w:tcW w:w="735" w:type="dxa"/>
            <w:vAlign w:val="center"/>
          </w:tcPr>
          <w:p w:rsidR="00ED06F5" w:rsidRPr="00ED06F5" w:rsidRDefault="00D041ED" w:rsidP="00ED06F5">
            <w:pPr>
              <w:pStyle w:val="CodeNotesExampleText"/>
              <w:spacing w:line="210" w:lineRule="atLeast"/>
              <w:jc w:val="center"/>
              <w:cnfStyle w:val="000000100000"/>
              <w:rPr>
                <w:rFonts w:cs="Arial"/>
                <w:color w:val="auto"/>
                <w:sz w:val="20"/>
                <w:szCs w:val="20"/>
              </w:rPr>
            </w:pPr>
            <w:r>
              <w:rPr>
                <w:rFonts w:cs="Arial"/>
                <w:color w:val="auto"/>
                <w:sz w:val="20"/>
                <w:szCs w:val="20"/>
              </w:rPr>
              <w:t>0</w:t>
            </w:r>
          </w:p>
        </w:tc>
        <w:tc>
          <w:tcPr>
            <w:cnfStyle w:val="000010000000"/>
            <w:tcW w:w="994" w:type="dxa"/>
            <w:vAlign w:val="center"/>
          </w:tcPr>
          <w:p w:rsidR="00ED06F5" w:rsidRPr="00C81A6A" w:rsidRDefault="005308A5" w:rsidP="00D62F9B">
            <w:pPr>
              <w:pStyle w:val="CodeNotesExampleText"/>
              <w:spacing w:line="210" w:lineRule="atLeast"/>
              <w:jc w:val="center"/>
              <w:rPr>
                <w:rFonts w:cs="Arial"/>
                <w:b/>
                <w:bCs/>
                <w:color w:val="auto"/>
                <w:sz w:val="20"/>
                <w:szCs w:val="20"/>
                <w:highlight w:val="yellow"/>
              </w:rPr>
            </w:pPr>
            <w:r w:rsidRPr="00F46D9B">
              <w:rPr>
                <w:rFonts w:cs="Arial"/>
                <w:b/>
                <w:bCs/>
                <w:color w:val="auto"/>
                <w:sz w:val="20"/>
                <w:szCs w:val="20"/>
              </w:rPr>
              <w:t>4.</w:t>
            </w:r>
            <w:r w:rsidR="00D62F9B">
              <w:rPr>
                <w:rFonts w:cs="Arial"/>
                <w:b/>
                <w:bCs/>
                <w:color w:val="auto"/>
                <w:sz w:val="20"/>
                <w:szCs w:val="20"/>
              </w:rPr>
              <w:t>6</w:t>
            </w:r>
          </w:p>
        </w:tc>
        <w:tc>
          <w:tcPr>
            <w:tcW w:w="813" w:type="dxa"/>
            <w:vAlign w:val="center"/>
          </w:tcPr>
          <w:p w:rsidR="00ED06F5" w:rsidRPr="00ED06F5" w:rsidRDefault="007227F8" w:rsidP="007227F8">
            <w:pPr>
              <w:pStyle w:val="CodeNotesExampleText"/>
              <w:spacing w:line="210" w:lineRule="atLeast"/>
              <w:jc w:val="center"/>
              <w:cnfStyle w:val="000000100000"/>
              <w:rPr>
                <w:rFonts w:cs="Arial"/>
                <w:bCs/>
                <w:color w:val="auto"/>
                <w:sz w:val="20"/>
                <w:szCs w:val="20"/>
              </w:rPr>
            </w:pPr>
            <w:r>
              <w:rPr>
                <w:rFonts w:cs="Arial"/>
                <w:bCs/>
                <w:color w:val="auto"/>
                <w:sz w:val="20"/>
                <w:szCs w:val="20"/>
              </w:rPr>
              <w:t>0</w:t>
            </w:r>
            <w:r w:rsidRPr="002C0D32">
              <w:rPr>
                <w:rFonts w:cs="Arial"/>
                <w:bCs/>
                <w:color w:val="auto"/>
                <w:sz w:val="20"/>
                <w:szCs w:val="20"/>
              </w:rPr>
              <w:t>.2</w:t>
            </w:r>
          </w:p>
        </w:tc>
      </w:tr>
      <w:tr w:rsidR="00ED06F5" w:rsidRPr="00ED06F5" w:rsidTr="00ED06F5">
        <w:trPr>
          <w:trHeight w:val="40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Revaluation Increases/ (decreases) recognised in the Surplus/Deficit on the Provision of Services</w:t>
            </w:r>
          </w:p>
        </w:tc>
        <w:tc>
          <w:tcPr>
            <w:cnfStyle w:val="000010000000"/>
            <w:tcW w:w="994" w:type="dxa"/>
            <w:vAlign w:val="center"/>
          </w:tcPr>
          <w:p w:rsidR="00ED06F5" w:rsidRPr="00C81A6A" w:rsidRDefault="00597E6D" w:rsidP="00ED06F5">
            <w:pPr>
              <w:pStyle w:val="CodeNotesExampleText"/>
              <w:spacing w:line="210" w:lineRule="atLeast"/>
              <w:jc w:val="center"/>
              <w:rPr>
                <w:rFonts w:cs="Arial"/>
                <w:color w:val="auto"/>
                <w:sz w:val="20"/>
                <w:szCs w:val="20"/>
                <w:highlight w:val="yellow"/>
              </w:rPr>
            </w:pPr>
            <w:r w:rsidRPr="001F06FB">
              <w:rPr>
                <w:rFonts w:cs="Arial"/>
                <w:color w:val="auto"/>
                <w:sz w:val="20"/>
                <w:szCs w:val="20"/>
              </w:rPr>
              <w:t>(9.6)</w:t>
            </w:r>
          </w:p>
        </w:tc>
        <w:tc>
          <w:tcPr>
            <w:tcW w:w="1136" w:type="dxa"/>
            <w:vAlign w:val="center"/>
          </w:tcPr>
          <w:p w:rsidR="00ED06F5" w:rsidRPr="00ED06F5" w:rsidRDefault="00435AA8" w:rsidP="00ED06F5">
            <w:pPr>
              <w:pStyle w:val="CodeNotesExampleText"/>
              <w:spacing w:line="210" w:lineRule="atLeast"/>
              <w:jc w:val="center"/>
              <w:cnfStyle w:val="000000000000"/>
              <w:rPr>
                <w:rFonts w:cs="Arial"/>
                <w:color w:val="auto"/>
                <w:sz w:val="20"/>
                <w:szCs w:val="20"/>
              </w:rPr>
            </w:pPr>
            <w:r>
              <w:rPr>
                <w:rFonts w:cs="Arial"/>
                <w:color w:val="auto"/>
                <w:sz w:val="20"/>
                <w:szCs w:val="20"/>
              </w:rPr>
              <w:t>0</w:t>
            </w:r>
          </w:p>
        </w:tc>
        <w:tc>
          <w:tcPr>
            <w:cnfStyle w:val="000010000000"/>
            <w:tcW w:w="853" w:type="dxa"/>
            <w:vAlign w:val="center"/>
          </w:tcPr>
          <w:p w:rsidR="00ED06F5" w:rsidRPr="00ED06F5" w:rsidRDefault="00D041ED" w:rsidP="00ED06F5">
            <w:pPr>
              <w:pStyle w:val="CodeNotesExampleText"/>
              <w:spacing w:line="210" w:lineRule="atLeast"/>
              <w:jc w:val="center"/>
              <w:rPr>
                <w:rFonts w:cs="Arial"/>
                <w:color w:val="auto"/>
                <w:sz w:val="20"/>
                <w:szCs w:val="20"/>
              </w:rPr>
            </w:pPr>
            <w:r>
              <w:rPr>
                <w:rFonts w:cs="Arial"/>
                <w:color w:val="auto"/>
                <w:sz w:val="20"/>
                <w:szCs w:val="20"/>
              </w:rPr>
              <w:t>0</w:t>
            </w:r>
          </w:p>
        </w:tc>
        <w:tc>
          <w:tcPr>
            <w:tcW w:w="852" w:type="dxa"/>
            <w:vAlign w:val="center"/>
          </w:tcPr>
          <w:p w:rsidR="00ED06F5" w:rsidRPr="00ED06F5" w:rsidRDefault="00D041ED" w:rsidP="00ED06F5">
            <w:pPr>
              <w:pStyle w:val="CodeNotesExampleText"/>
              <w:spacing w:line="210" w:lineRule="atLeast"/>
              <w:jc w:val="center"/>
              <w:cnfStyle w:val="000000000000"/>
              <w:rPr>
                <w:rFonts w:cs="Arial"/>
                <w:color w:val="auto"/>
                <w:sz w:val="20"/>
                <w:szCs w:val="20"/>
              </w:rPr>
            </w:pPr>
            <w:r>
              <w:rPr>
                <w:rFonts w:cs="Arial"/>
                <w:color w:val="auto"/>
                <w:sz w:val="20"/>
                <w:szCs w:val="20"/>
              </w:rPr>
              <w:t>0</w:t>
            </w:r>
          </w:p>
        </w:tc>
        <w:tc>
          <w:tcPr>
            <w:cnfStyle w:val="000010000000"/>
            <w:tcW w:w="828" w:type="dxa"/>
            <w:vAlign w:val="center"/>
          </w:tcPr>
          <w:p w:rsidR="00ED06F5" w:rsidRPr="00ED06F5" w:rsidRDefault="00C96D86" w:rsidP="00ED06F5">
            <w:pPr>
              <w:pStyle w:val="CodeNotesExampleText"/>
              <w:spacing w:line="210" w:lineRule="atLeast"/>
              <w:jc w:val="center"/>
              <w:rPr>
                <w:rFonts w:cs="Arial"/>
                <w:bCs/>
                <w:color w:val="auto"/>
                <w:sz w:val="20"/>
                <w:szCs w:val="20"/>
              </w:rPr>
            </w:pPr>
            <w:r>
              <w:rPr>
                <w:rFonts w:cs="Arial"/>
                <w:bCs/>
                <w:color w:val="auto"/>
                <w:sz w:val="20"/>
                <w:szCs w:val="20"/>
              </w:rPr>
              <w:t>(0.2)</w:t>
            </w:r>
          </w:p>
        </w:tc>
        <w:tc>
          <w:tcPr>
            <w:tcW w:w="735" w:type="dxa"/>
            <w:vAlign w:val="center"/>
          </w:tcPr>
          <w:p w:rsidR="00ED06F5" w:rsidRPr="00ED06F5" w:rsidRDefault="00D041ED" w:rsidP="00ED06F5">
            <w:pPr>
              <w:pStyle w:val="CodeNotesExampleText"/>
              <w:spacing w:line="210" w:lineRule="atLeast"/>
              <w:jc w:val="center"/>
              <w:cnfStyle w:val="000000000000"/>
              <w:rPr>
                <w:rFonts w:cs="Arial"/>
                <w:color w:val="auto"/>
                <w:sz w:val="20"/>
                <w:szCs w:val="20"/>
              </w:rPr>
            </w:pPr>
            <w:r>
              <w:rPr>
                <w:rFonts w:cs="Arial"/>
                <w:color w:val="auto"/>
                <w:sz w:val="20"/>
                <w:szCs w:val="20"/>
              </w:rPr>
              <w:t>0</w:t>
            </w:r>
          </w:p>
        </w:tc>
        <w:tc>
          <w:tcPr>
            <w:cnfStyle w:val="000010000000"/>
            <w:tcW w:w="994" w:type="dxa"/>
            <w:vAlign w:val="center"/>
          </w:tcPr>
          <w:p w:rsidR="00ED06F5" w:rsidRPr="00C81A6A" w:rsidRDefault="005308A5" w:rsidP="00ED06F5">
            <w:pPr>
              <w:pStyle w:val="CodeNotesExampleText"/>
              <w:spacing w:line="210" w:lineRule="atLeast"/>
              <w:jc w:val="center"/>
              <w:rPr>
                <w:rFonts w:cs="Arial"/>
                <w:b/>
                <w:bCs/>
                <w:color w:val="auto"/>
                <w:sz w:val="20"/>
                <w:szCs w:val="20"/>
                <w:highlight w:val="yellow"/>
              </w:rPr>
            </w:pPr>
            <w:r w:rsidRPr="00F46D9B">
              <w:rPr>
                <w:rFonts w:cs="Arial"/>
                <w:b/>
                <w:bCs/>
                <w:color w:val="auto"/>
                <w:sz w:val="20"/>
                <w:szCs w:val="20"/>
              </w:rPr>
              <w:t>(9.8)</w:t>
            </w:r>
          </w:p>
        </w:tc>
        <w:tc>
          <w:tcPr>
            <w:tcW w:w="813" w:type="dxa"/>
            <w:vAlign w:val="center"/>
          </w:tcPr>
          <w:p w:rsidR="00ED06F5" w:rsidRPr="00ED06F5" w:rsidRDefault="007227F8" w:rsidP="007227F8">
            <w:pPr>
              <w:pStyle w:val="CodeNotesExampleText"/>
              <w:spacing w:line="210" w:lineRule="atLeast"/>
              <w:jc w:val="center"/>
              <w:cnfStyle w:val="000000000000"/>
              <w:rPr>
                <w:rFonts w:cs="Arial"/>
                <w:bCs/>
                <w:color w:val="auto"/>
                <w:sz w:val="20"/>
                <w:szCs w:val="20"/>
              </w:rPr>
            </w:pPr>
            <w:r>
              <w:rPr>
                <w:rFonts w:cs="Arial"/>
                <w:bCs/>
                <w:color w:val="auto"/>
                <w:sz w:val="20"/>
                <w:szCs w:val="20"/>
              </w:rPr>
              <w:t>(1.9)</w:t>
            </w:r>
          </w:p>
        </w:tc>
      </w:tr>
      <w:tr w:rsidR="00ED06F5" w:rsidRPr="00ED06F5" w:rsidTr="00ED06F5">
        <w:trPr>
          <w:cnfStyle w:val="000000100000"/>
          <w:trHeight w:val="360"/>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Derecognition - Disposals</w:t>
            </w:r>
          </w:p>
        </w:tc>
        <w:tc>
          <w:tcPr>
            <w:cnfStyle w:val="000010000000"/>
            <w:tcW w:w="994" w:type="dxa"/>
            <w:vAlign w:val="center"/>
          </w:tcPr>
          <w:p w:rsidR="00ED06F5" w:rsidRPr="00C81A6A" w:rsidRDefault="00597E6D" w:rsidP="00597E6D">
            <w:pPr>
              <w:pStyle w:val="CodeNotesExampleText"/>
              <w:spacing w:line="210" w:lineRule="atLeast"/>
              <w:ind w:left="105"/>
              <w:jc w:val="center"/>
              <w:rPr>
                <w:rFonts w:cs="Arial"/>
                <w:color w:val="auto"/>
                <w:sz w:val="20"/>
                <w:szCs w:val="20"/>
                <w:highlight w:val="yellow"/>
              </w:rPr>
            </w:pPr>
            <w:r w:rsidRPr="001F06FB">
              <w:rPr>
                <w:rFonts w:cs="Arial"/>
                <w:color w:val="auto"/>
                <w:sz w:val="20"/>
                <w:szCs w:val="20"/>
              </w:rPr>
              <w:t>(14.7)</w:t>
            </w:r>
          </w:p>
        </w:tc>
        <w:tc>
          <w:tcPr>
            <w:tcW w:w="1136" w:type="dxa"/>
            <w:vAlign w:val="center"/>
          </w:tcPr>
          <w:p w:rsidR="00ED06F5" w:rsidRPr="00ED06F5" w:rsidRDefault="00435AA8" w:rsidP="00ED06F5">
            <w:pPr>
              <w:pStyle w:val="CodeNotesExampleText"/>
              <w:spacing w:line="210" w:lineRule="atLeast"/>
              <w:ind w:left="105"/>
              <w:jc w:val="center"/>
              <w:cnfStyle w:val="000000100000"/>
              <w:rPr>
                <w:rFonts w:cs="Arial"/>
                <w:color w:val="auto"/>
                <w:sz w:val="20"/>
                <w:szCs w:val="20"/>
              </w:rPr>
            </w:pPr>
            <w:r>
              <w:rPr>
                <w:rFonts w:cs="Arial"/>
                <w:color w:val="auto"/>
                <w:sz w:val="20"/>
                <w:szCs w:val="20"/>
              </w:rPr>
              <w:t>(0.2)</w:t>
            </w:r>
          </w:p>
        </w:tc>
        <w:tc>
          <w:tcPr>
            <w:cnfStyle w:val="000010000000"/>
            <w:tcW w:w="853" w:type="dxa"/>
            <w:vAlign w:val="center"/>
          </w:tcPr>
          <w:p w:rsidR="00ED06F5" w:rsidRPr="00ED06F5" w:rsidRDefault="00D041ED" w:rsidP="00ED06F5">
            <w:pPr>
              <w:pStyle w:val="CodeNotesExampleText"/>
              <w:spacing w:line="210" w:lineRule="atLeast"/>
              <w:ind w:left="105"/>
              <w:jc w:val="center"/>
              <w:rPr>
                <w:rFonts w:cs="Arial"/>
                <w:color w:val="auto"/>
                <w:sz w:val="20"/>
                <w:szCs w:val="20"/>
              </w:rPr>
            </w:pPr>
            <w:r>
              <w:rPr>
                <w:rFonts w:cs="Arial"/>
                <w:color w:val="auto"/>
                <w:sz w:val="20"/>
                <w:szCs w:val="20"/>
              </w:rPr>
              <w:t>0</w:t>
            </w:r>
          </w:p>
        </w:tc>
        <w:tc>
          <w:tcPr>
            <w:tcW w:w="852" w:type="dxa"/>
            <w:vAlign w:val="center"/>
          </w:tcPr>
          <w:p w:rsidR="00ED06F5" w:rsidRPr="00ED06F5" w:rsidRDefault="00D041ED" w:rsidP="00ED06F5">
            <w:pPr>
              <w:pStyle w:val="CodeNotesExampleText"/>
              <w:spacing w:line="210" w:lineRule="atLeast"/>
              <w:ind w:left="105"/>
              <w:jc w:val="center"/>
              <w:cnfStyle w:val="000000100000"/>
              <w:rPr>
                <w:rFonts w:cs="Arial"/>
                <w:color w:val="auto"/>
                <w:sz w:val="20"/>
                <w:szCs w:val="20"/>
              </w:rPr>
            </w:pPr>
            <w:r>
              <w:rPr>
                <w:rFonts w:cs="Arial"/>
                <w:color w:val="auto"/>
                <w:sz w:val="20"/>
                <w:szCs w:val="20"/>
              </w:rPr>
              <w:t>0</w:t>
            </w:r>
          </w:p>
        </w:tc>
        <w:tc>
          <w:tcPr>
            <w:cnfStyle w:val="000010000000"/>
            <w:tcW w:w="828" w:type="dxa"/>
            <w:vAlign w:val="center"/>
          </w:tcPr>
          <w:p w:rsidR="00ED06F5" w:rsidRPr="00ED06F5" w:rsidRDefault="00C96D86" w:rsidP="00C96D86">
            <w:pPr>
              <w:pStyle w:val="CodeNotesExampleText"/>
              <w:spacing w:line="210" w:lineRule="atLeast"/>
              <w:ind w:left="105"/>
              <w:rPr>
                <w:rFonts w:cs="Arial"/>
                <w:color w:val="auto"/>
                <w:sz w:val="20"/>
                <w:szCs w:val="20"/>
              </w:rPr>
            </w:pPr>
            <w:r>
              <w:rPr>
                <w:rFonts w:cs="Arial"/>
                <w:color w:val="auto"/>
                <w:sz w:val="20"/>
                <w:szCs w:val="20"/>
              </w:rPr>
              <w:t>(0.1)</w:t>
            </w:r>
          </w:p>
        </w:tc>
        <w:tc>
          <w:tcPr>
            <w:tcW w:w="735" w:type="dxa"/>
            <w:vAlign w:val="center"/>
          </w:tcPr>
          <w:p w:rsidR="00ED06F5" w:rsidRPr="00ED06F5" w:rsidRDefault="00D041ED" w:rsidP="00ED06F5">
            <w:pPr>
              <w:pStyle w:val="CodeNotesExampleText"/>
              <w:spacing w:line="210" w:lineRule="atLeast"/>
              <w:ind w:left="105"/>
              <w:jc w:val="center"/>
              <w:cnfStyle w:val="000000100000"/>
              <w:rPr>
                <w:rFonts w:cs="Arial"/>
                <w:color w:val="auto"/>
                <w:sz w:val="20"/>
                <w:szCs w:val="20"/>
              </w:rPr>
            </w:pPr>
            <w:r>
              <w:rPr>
                <w:rFonts w:cs="Arial"/>
                <w:color w:val="auto"/>
                <w:sz w:val="20"/>
                <w:szCs w:val="20"/>
              </w:rPr>
              <w:t>0</w:t>
            </w:r>
          </w:p>
        </w:tc>
        <w:tc>
          <w:tcPr>
            <w:cnfStyle w:val="000010000000"/>
            <w:tcW w:w="994" w:type="dxa"/>
            <w:vAlign w:val="center"/>
          </w:tcPr>
          <w:p w:rsidR="00ED06F5" w:rsidRPr="00C81A6A" w:rsidRDefault="005308A5" w:rsidP="00ED06F5">
            <w:pPr>
              <w:pStyle w:val="CodeNotesExampleText"/>
              <w:spacing w:line="210" w:lineRule="atLeast"/>
              <w:ind w:left="105"/>
              <w:jc w:val="center"/>
              <w:rPr>
                <w:rFonts w:cs="Arial"/>
                <w:b/>
                <w:color w:val="auto"/>
                <w:sz w:val="20"/>
                <w:szCs w:val="20"/>
                <w:highlight w:val="yellow"/>
              </w:rPr>
            </w:pPr>
            <w:r w:rsidRPr="00F46D9B">
              <w:rPr>
                <w:rFonts w:cs="Arial"/>
                <w:b/>
                <w:color w:val="auto"/>
                <w:sz w:val="20"/>
                <w:szCs w:val="20"/>
              </w:rPr>
              <w:t>(15.0)</w:t>
            </w:r>
          </w:p>
        </w:tc>
        <w:tc>
          <w:tcPr>
            <w:tcW w:w="813" w:type="dxa"/>
            <w:vAlign w:val="center"/>
          </w:tcPr>
          <w:p w:rsidR="00ED06F5" w:rsidRPr="00ED06F5" w:rsidRDefault="007227F8" w:rsidP="00ED06F5">
            <w:pPr>
              <w:pStyle w:val="CodeNotesExampleText"/>
              <w:spacing w:line="210" w:lineRule="atLeast"/>
              <w:ind w:left="105"/>
              <w:jc w:val="center"/>
              <w:cnfStyle w:val="000000100000"/>
              <w:rPr>
                <w:rFonts w:cs="Arial"/>
                <w:color w:val="auto"/>
                <w:sz w:val="20"/>
                <w:szCs w:val="20"/>
              </w:rPr>
            </w:pPr>
            <w:r>
              <w:rPr>
                <w:rFonts w:cs="Arial"/>
                <w:color w:val="auto"/>
                <w:sz w:val="20"/>
                <w:szCs w:val="20"/>
              </w:rPr>
              <w:t>0</w:t>
            </w:r>
          </w:p>
        </w:tc>
      </w:tr>
      <w:tr w:rsidR="00ED06F5" w:rsidRPr="00ED06F5" w:rsidTr="00ED06F5">
        <w:trPr>
          <w:trHeight w:val="40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Assets reclassified (to)/from Held for Sale</w:t>
            </w:r>
          </w:p>
        </w:tc>
        <w:tc>
          <w:tcPr>
            <w:cnfStyle w:val="000010000000"/>
            <w:tcW w:w="994" w:type="dxa"/>
            <w:vAlign w:val="center"/>
          </w:tcPr>
          <w:p w:rsidR="00ED06F5" w:rsidRPr="001F06FB" w:rsidRDefault="00597E6D" w:rsidP="00597E6D">
            <w:pPr>
              <w:pStyle w:val="CodeNotesExampleText"/>
              <w:spacing w:line="210" w:lineRule="atLeast"/>
              <w:ind w:left="105"/>
              <w:rPr>
                <w:rFonts w:cs="Arial"/>
                <w:color w:val="auto"/>
                <w:sz w:val="20"/>
                <w:szCs w:val="20"/>
              </w:rPr>
            </w:pPr>
            <w:r w:rsidRPr="001F06FB">
              <w:rPr>
                <w:rFonts w:cs="Arial"/>
                <w:color w:val="auto"/>
                <w:sz w:val="20"/>
                <w:szCs w:val="20"/>
              </w:rPr>
              <w:t>(0.4)</w:t>
            </w:r>
          </w:p>
        </w:tc>
        <w:tc>
          <w:tcPr>
            <w:tcW w:w="1136" w:type="dxa"/>
            <w:vAlign w:val="center"/>
          </w:tcPr>
          <w:p w:rsidR="00ED06F5" w:rsidRPr="00ED06F5" w:rsidRDefault="00435AA8" w:rsidP="00ED06F5">
            <w:pPr>
              <w:pStyle w:val="CodeNotesExampleText"/>
              <w:spacing w:line="210" w:lineRule="atLeast"/>
              <w:ind w:left="105"/>
              <w:jc w:val="center"/>
              <w:cnfStyle w:val="000000000000"/>
              <w:rPr>
                <w:rFonts w:cs="Arial"/>
                <w:color w:val="auto"/>
                <w:sz w:val="20"/>
                <w:szCs w:val="20"/>
              </w:rPr>
            </w:pPr>
            <w:r>
              <w:rPr>
                <w:rFonts w:cs="Arial"/>
                <w:color w:val="auto"/>
                <w:sz w:val="20"/>
                <w:szCs w:val="20"/>
              </w:rPr>
              <w:t>0</w:t>
            </w:r>
          </w:p>
        </w:tc>
        <w:tc>
          <w:tcPr>
            <w:cnfStyle w:val="000010000000"/>
            <w:tcW w:w="853" w:type="dxa"/>
            <w:vAlign w:val="center"/>
          </w:tcPr>
          <w:p w:rsidR="00ED06F5" w:rsidRPr="00ED06F5" w:rsidRDefault="00D041ED" w:rsidP="00ED06F5">
            <w:pPr>
              <w:pStyle w:val="CodeNotesExampleText"/>
              <w:spacing w:line="210" w:lineRule="atLeast"/>
              <w:ind w:left="105"/>
              <w:jc w:val="center"/>
              <w:rPr>
                <w:rFonts w:cs="Arial"/>
                <w:color w:val="auto"/>
                <w:sz w:val="20"/>
                <w:szCs w:val="20"/>
              </w:rPr>
            </w:pPr>
            <w:r>
              <w:rPr>
                <w:rFonts w:cs="Arial"/>
                <w:color w:val="auto"/>
                <w:sz w:val="20"/>
                <w:szCs w:val="20"/>
              </w:rPr>
              <w:t>0</w:t>
            </w:r>
          </w:p>
        </w:tc>
        <w:tc>
          <w:tcPr>
            <w:tcW w:w="852" w:type="dxa"/>
            <w:vAlign w:val="center"/>
          </w:tcPr>
          <w:p w:rsidR="00ED06F5" w:rsidRPr="00ED06F5" w:rsidRDefault="00D041ED" w:rsidP="00ED06F5">
            <w:pPr>
              <w:pStyle w:val="CodeNotesExampleText"/>
              <w:spacing w:line="210" w:lineRule="atLeast"/>
              <w:ind w:left="105"/>
              <w:jc w:val="center"/>
              <w:cnfStyle w:val="000000000000"/>
              <w:rPr>
                <w:rFonts w:cs="Arial"/>
                <w:color w:val="auto"/>
                <w:sz w:val="20"/>
                <w:szCs w:val="20"/>
              </w:rPr>
            </w:pPr>
            <w:r>
              <w:rPr>
                <w:rFonts w:cs="Arial"/>
                <w:color w:val="auto"/>
                <w:sz w:val="20"/>
                <w:szCs w:val="20"/>
              </w:rPr>
              <w:t>0</w:t>
            </w:r>
          </w:p>
        </w:tc>
        <w:tc>
          <w:tcPr>
            <w:cnfStyle w:val="000010000000"/>
            <w:tcW w:w="828" w:type="dxa"/>
            <w:vAlign w:val="center"/>
          </w:tcPr>
          <w:p w:rsidR="00ED06F5" w:rsidRPr="00ED06F5" w:rsidRDefault="00C96D86" w:rsidP="00ED06F5">
            <w:pPr>
              <w:pStyle w:val="CodeNotesExampleText"/>
              <w:spacing w:line="210" w:lineRule="atLeast"/>
              <w:ind w:left="105"/>
              <w:jc w:val="center"/>
              <w:rPr>
                <w:rFonts w:cs="Arial"/>
                <w:color w:val="auto"/>
                <w:sz w:val="20"/>
                <w:szCs w:val="20"/>
              </w:rPr>
            </w:pPr>
            <w:r>
              <w:rPr>
                <w:rFonts w:cs="Arial"/>
                <w:color w:val="auto"/>
                <w:sz w:val="20"/>
                <w:szCs w:val="20"/>
              </w:rPr>
              <w:t>0</w:t>
            </w:r>
          </w:p>
        </w:tc>
        <w:tc>
          <w:tcPr>
            <w:tcW w:w="735" w:type="dxa"/>
            <w:vAlign w:val="center"/>
          </w:tcPr>
          <w:p w:rsidR="00ED06F5" w:rsidRPr="00ED06F5" w:rsidRDefault="00D041ED" w:rsidP="00ED06F5">
            <w:pPr>
              <w:pStyle w:val="CodeNotesExampleText"/>
              <w:spacing w:line="210" w:lineRule="atLeast"/>
              <w:ind w:left="105"/>
              <w:jc w:val="center"/>
              <w:cnfStyle w:val="000000000000"/>
              <w:rPr>
                <w:rFonts w:cs="Arial"/>
                <w:color w:val="auto"/>
                <w:sz w:val="20"/>
                <w:szCs w:val="20"/>
              </w:rPr>
            </w:pPr>
            <w:r>
              <w:rPr>
                <w:rFonts w:cs="Arial"/>
                <w:color w:val="auto"/>
                <w:sz w:val="20"/>
                <w:szCs w:val="20"/>
              </w:rPr>
              <w:t>0</w:t>
            </w:r>
          </w:p>
        </w:tc>
        <w:tc>
          <w:tcPr>
            <w:cnfStyle w:val="000010000000"/>
            <w:tcW w:w="994" w:type="dxa"/>
            <w:vAlign w:val="center"/>
          </w:tcPr>
          <w:p w:rsidR="00ED06F5" w:rsidRPr="00C81A6A" w:rsidRDefault="005308A5" w:rsidP="00ED06F5">
            <w:pPr>
              <w:pStyle w:val="CodeNotesExampleText"/>
              <w:spacing w:line="210" w:lineRule="atLeast"/>
              <w:ind w:left="105"/>
              <w:jc w:val="center"/>
              <w:rPr>
                <w:rFonts w:cs="Arial"/>
                <w:b/>
                <w:color w:val="auto"/>
                <w:sz w:val="20"/>
                <w:szCs w:val="20"/>
                <w:highlight w:val="yellow"/>
              </w:rPr>
            </w:pPr>
            <w:r w:rsidRPr="00F46D9B">
              <w:rPr>
                <w:rFonts w:cs="Arial"/>
                <w:b/>
                <w:color w:val="auto"/>
                <w:sz w:val="20"/>
                <w:szCs w:val="20"/>
              </w:rPr>
              <w:t>(0.4)</w:t>
            </w:r>
          </w:p>
        </w:tc>
        <w:tc>
          <w:tcPr>
            <w:tcW w:w="813" w:type="dxa"/>
            <w:vAlign w:val="center"/>
          </w:tcPr>
          <w:p w:rsidR="00ED06F5" w:rsidRPr="00ED06F5" w:rsidRDefault="007227F8" w:rsidP="00ED06F5">
            <w:pPr>
              <w:pStyle w:val="CodeNotesExampleText"/>
              <w:spacing w:line="210" w:lineRule="atLeast"/>
              <w:ind w:left="105"/>
              <w:jc w:val="center"/>
              <w:cnfStyle w:val="000000000000"/>
              <w:rPr>
                <w:rFonts w:cs="Arial"/>
                <w:color w:val="auto"/>
                <w:sz w:val="20"/>
                <w:szCs w:val="20"/>
              </w:rPr>
            </w:pPr>
            <w:r>
              <w:rPr>
                <w:rFonts w:cs="Arial"/>
                <w:color w:val="auto"/>
                <w:sz w:val="20"/>
                <w:szCs w:val="20"/>
              </w:rPr>
              <w:t>0</w:t>
            </w:r>
          </w:p>
        </w:tc>
      </w:tr>
      <w:tr w:rsidR="00ED06F5" w:rsidRPr="00ED06F5" w:rsidTr="00ED06F5">
        <w:trPr>
          <w:cnfStyle w:val="000000100000"/>
          <w:trHeight w:val="40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Other movements in Cost or Valuation</w:t>
            </w:r>
          </w:p>
        </w:tc>
        <w:tc>
          <w:tcPr>
            <w:cnfStyle w:val="000010000000"/>
            <w:tcW w:w="994" w:type="dxa"/>
            <w:vAlign w:val="center"/>
          </w:tcPr>
          <w:p w:rsidR="00ED06F5" w:rsidRPr="001F06FB" w:rsidRDefault="00597E6D" w:rsidP="00ED06F5">
            <w:pPr>
              <w:pStyle w:val="CodeNotesExampleText"/>
              <w:spacing w:line="210" w:lineRule="atLeast"/>
              <w:ind w:left="105"/>
              <w:jc w:val="center"/>
              <w:rPr>
                <w:rFonts w:cs="Arial"/>
                <w:color w:val="auto"/>
                <w:sz w:val="20"/>
                <w:szCs w:val="20"/>
              </w:rPr>
            </w:pPr>
            <w:r w:rsidRPr="001F06FB">
              <w:rPr>
                <w:rFonts w:cs="Arial"/>
                <w:color w:val="auto"/>
                <w:sz w:val="20"/>
                <w:szCs w:val="20"/>
              </w:rPr>
              <w:t>2.1</w:t>
            </w:r>
          </w:p>
        </w:tc>
        <w:tc>
          <w:tcPr>
            <w:tcW w:w="1136" w:type="dxa"/>
            <w:vAlign w:val="center"/>
          </w:tcPr>
          <w:p w:rsidR="00ED06F5" w:rsidRPr="00ED06F5" w:rsidRDefault="00435AA8" w:rsidP="00ED06F5">
            <w:pPr>
              <w:pStyle w:val="CodeNotesExampleText"/>
              <w:spacing w:line="210" w:lineRule="atLeast"/>
              <w:ind w:left="105"/>
              <w:jc w:val="center"/>
              <w:cnfStyle w:val="000000100000"/>
              <w:rPr>
                <w:rFonts w:cs="Arial"/>
                <w:color w:val="auto"/>
                <w:sz w:val="20"/>
                <w:szCs w:val="20"/>
              </w:rPr>
            </w:pPr>
            <w:r>
              <w:rPr>
                <w:rFonts w:cs="Arial"/>
                <w:color w:val="auto"/>
                <w:sz w:val="20"/>
                <w:szCs w:val="20"/>
              </w:rPr>
              <w:t>0</w:t>
            </w:r>
          </w:p>
        </w:tc>
        <w:tc>
          <w:tcPr>
            <w:cnfStyle w:val="000010000000"/>
            <w:tcW w:w="853" w:type="dxa"/>
            <w:vAlign w:val="center"/>
          </w:tcPr>
          <w:p w:rsidR="00ED06F5" w:rsidRPr="00ED06F5" w:rsidRDefault="00D041ED" w:rsidP="00ED06F5">
            <w:pPr>
              <w:pStyle w:val="CodeNotesExampleText"/>
              <w:spacing w:line="210" w:lineRule="atLeast"/>
              <w:ind w:left="105"/>
              <w:jc w:val="center"/>
              <w:rPr>
                <w:rFonts w:cs="Arial"/>
                <w:color w:val="auto"/>
                <w:sz w:val="20"/>
                <w:szCs w:val="20"/>
              </w:rPr>
            </w:pPr>
            <w:r>
              <w:rPr>
                <w:rFonts w:cs="Arial"/>
                <w:color w:val="auto"/>
                <w:sz w:val="20"/>
                <w:szCs w:val="20"/>
              </w:rPr>
              <w:t>0</w:t>
            </w:r>
          </w:p>
        </w:tc>
        <w:tc>
          <w:tcPr>
            <w:tcW w:w="852" w:type="dxa"/>
            <w:vAlign w:val="center"/>
          </w:tcPr>
          <w:p w:rsidR="00ED06F5" w:rsidRPr="00ED06F5" w:rsidRDefault="00D041ED" w:rsidP="00ED06F5">
            <w:pPr>
              <w:pStyle w:val="CodeNotesExampleText"/>
              <w:spacing w:line="210" w:lineRule="atLeast"/>
              <w:ind w:left="105"/>
              <w:jc w:val="center"/>
              <w:cnfStyle w:val="000000100000"/>
              <w:rPr>
                <w:rFonts w:cs="Arial"/>
                <w:color w:val="auto"/>
                <w:sz w:val="20"/>
                <w:szCs w:val="20"/>
              </w:rPr>
            </w:pPr>
            <w:r>
              <w:rPr>
                <w:rFonts w:cs="Arial"/>
                <w:color w:val="auto"/>
                <w:sz w:val="20"/>
                <w:szCs w:val="20"/>
              </w:rPr>
              <w:t>0</w:t>
            </w:r>
          </w:p>
        </w:tc>
        <w:tc>
          <w:tcPr>
            <w:cnfStyle w:val="000010000000"/>
            <w:tcW w:w="828" w:type="dxa"/>
            <w:vAlign w:val="center"/>
          </w:tcPr>
          <w:p w:rsidR="00ED06F5" w:rsidRPr="00ED06F5" w:rsidRDefault="00C96D86" w:rsidP="00ED06F5">
            <w:pPr>
              <w:pStyle w:val="CodeNotesExampleText"/>
              <w:spacing w:line="210" w:lineRule="atLeast"/>
              <w:ind w:left="105"/>
              <w:jc w:val="center"/>
              <w:rPr>
                <w:rFonts w:cs="Arial"/>
                <w:color w:val="auto"/>
                <w:sz w:val="20"/>
                <w:szCs w:val="20"/>
              </w:rPr>
            </w:pPr>
            <w:r>
              <w:rPr>
                <w:rFonts w:cs="Arial"/>
                <w:color w:val="auto"/>
                <w:sz w:val="20"/>
                <w:szCs w:val="20"/>
              </w:rPr>
              <w:t>0</w:t>
            </w:r>
          </w:p>
        </w:tc>
        <w:tc>
          <w:tcPr>
            <w:tcW w:w="735" w:type="dxa"/>
            <w:vAlign w:val="center"/>
          </w:tcPr>
          <w:p w:rsidR="00ED06F5" w:rsidRPr="00ED06F5" w:rsidRDefault="008817F4" w:rsidP="00ED06F5">
            <w:pPr>
              <w:pStyle w:val="CodeNotesExampleText"/>
              <w:spacing w:line="210" w:lineRule="atLeast"/>
              <w:ind w:left="105"/>
              <w:jc w:val="center"/>
              <w:cnfStyle w:val="000000100000"/>
              <w:rPr>
                <w:rFonts w:cs="Arial"/>
                <w:color w:val="auto"/>
                <w:sz w:val="20"/>
                <w:szCs w:val="20"/>
              </w:rPr>
            </w:pPr>
            <w:r>
              <w:rPr>
                <w:rFonts w:cs="Arial"/>
                <w:color w:val="auto"/>
                <w:sz w:val="20"/>
                <w:szCs w:val="20"/>
              </w:rPr>
              <w:t>(2.2)</w:t>
            </w:r>
          </w:p>
        </w:tc>
        <w:tc>
          <w:tcPr>
            <w:cnfStyle w:val="000010000000"/>
            <w:tcW w:w="994" w:type="dxa"/>
            <w:vAlign w:val="center"/>
          </w:tcPr>
          <w:p w:rsidR="00ED06F5" w:rsidRPr="00C81A6A" w:rsidRDefault="005308A5" w:rsidP="00ED06F5">
            <w:pPr>
              <w:pStyle w:val="CodeNotesExampleText"/>
              <w:spacing w:line="210" w:lineRule="atLeast"/>
              <w:ind w:left="105"/>
              <w:jc w:val="center"/>
              <w:rPr>
                <w:rFonts w:cs="Arial"/>
                <w:b/>
                <w:color w:val="auto"/>
                <w:sz w:val="20"/>
                <w:szCs w:val="20"/>
                <w:highlight w:val="yellow"/>
              </w:rPr>
            </w:pPr>
            <w:r w:rsidRPr="00F46D9B">
              <w:rPr>
                <w:rFonts w:cs="Arial"/>
                <w:b/>
                <w:color w:val="auto"/>
                <w:sz w:val="20"/>
                <w:szCs w:val="20"/>
              </w:rPr>
              <w:t>(0.1)</w:t>
            </w:r>
          </w:p>
        </w:tc>
        <w:tc>
          <w:tcPr>
            <w:tcW w:w="813" w:type="dxa"/>
            <w:vAlign w:val="center"/>
          </w:tcPr>
          <w:p w:rsidR="00ED06F5" w:rsidRPr="00ED06F5" w:rsidRDefault="007227F8" w:rsidP="00ED06F5">
            <w:pPr>
              <w:pStyle w:val="CodeNotesExampleText"/>
              <w:spacing w:line="210" w:lineRule="atLeast"/>
              <w:ind w:left="105"/>
              <w:jc w:val="center"/>
              <w:cnfStyle w:val="000000100000"/>
              <w:rPr>
                <w:rFonts w:cs="Arial"/>
                <w:color w:val="auto"/>
                <w:sz w:val="20"/>
                <w:szCs w:val="20"/>
              </w:rPr>
            </w:pPr>
            <w:r>
              <w:rPr>
                <w:rFonts w:cs="Arial"/>
                <w:color w:val="auto"/>
                <w:sz w:val="20"/>
                <w:szCs w:val="20"/>
              </w:rPr>
              <w:t>0</w:t>
            </w:r>
          </w:p>
        </w:tc>
      </w:tr>
      <w:tr w:rsidR="00ED06F5" w:rsidRPr="00ED06F5" w:rsidTr="00ED06F5">
        <w:trPr>
          <w:trHeight w:val="292"/>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0"/>
                <w:szCs w:val="20"/>
              </w:rPr>
            </w:pPr>
            <w:r w:rsidRPr="00ED06F5">
              <w:rPr>
                <w:rFonts w:cs="Arial"/>
                <w:bCs w:val="0"/>
                <w:color w:val="auto"/>
                <w:sz w:val="20"/>
                <w:szCs w:val="20"/>
              </w:rPr>
              <w:t>As at 31</w:t>
            </w:r>
            <w:r w:rsidRPr="00ED06F5">
              <w:rPr>
                <w:rFonts w:cs="Arial"/>
                <w:bCs w:val="0"/>
                <w:color w:val="auto"/>
                <w:sz w:val="20"/>
                <w:szCs w:val="20"/>
                <w:vertAlign w:val="superscript"/>
              </w:rPr>
              <w:t>st</w:t>
            </w:r>
            <w:r w:rsidRPr="00ED06F5">
              <w:rPr>
                <w:rFonts w:cs="Arial"/>
                <w:bCs w:val="0"/>
                <w:color w:val="auto"/>
                <w:sz w:val="20"/>
                <w:szCs w:val="20"/>
              </w:rPr>
              <w:t xml:space="preserve"> March 2016</w:t>
            </w:r>
          </w:p>
        </w:tc>
        <w:tc>
          <w:tcPr>
            <w:cnfStyle w:val="000010000000"/>
            <w:tcW w:w="994" w:type="dxa"/>
            <w:vAlign w:val="center"/>
          </w:tcPr>
          <w:p w:rsidR="00ED06F5" w:rsidRPr="001F06FB" w:rsidRDefault="00D15983" w:rsidP="00D62F9B">
            <w:pPr>
              <w:pStyle w:val="CodeNotesExampleText"/>
              <w:spacing w:line="210" w:lineRule="atLeast"/>
              <w:jc w:val="center"/>
              <w:rPr>
                <w:rFonts w:cs="Arial"/>
                <w:b/>
                <w:bCs/>
                <w:color w:val="auto"/>
                <w:sz w:val="20"/>
                <w:szCs w:val="20"/>
              </w:rPr>
            </w:pPr>
            <w:r w:rsidRPr="001F06FB">
              <w:rPr>
                <w:rFonts w:cs="Arial"/>
                <w:b/>
                <w:bCs/>
                <w:color w:val="auto"/>
                <w:sz w:val="20"/>
                <w:szCs w:val="20"/>
              </w:rPr>
              <w:t>20</w:t>
            </w:r>
            <w:r w:rsidR="00D62F9B">
              <w:rPr>
                <w:rFonts w:cs="Arial"/>
                <w:b/>
                <w:bCs/>
                <w:color w:val="auto"/>
                <w:sz w:val="20"/>
                <w:szCs w:val="20"/>
              </w:rPr>
              <w:t>6</w:t>
            </w:r>
            <w:r w:rsidRPr="001F06FB">
              <w:rPr>
                <w:rFonts w:cs="Arial"/>
                <w:b/>
                <w:bCs/>
                <w:color w:val="auto"/>
                <w:sz w:val="20"/>
                <w:szCs w:val="20"/>
              </w:rPr>
              <w:t>.</w:t>
            </w:r>
            <w:r w:rsidR="00D62F9B">
              <w:rPr>
                <w:rFonts w:cs="Arial"/>
                <w:b/>
                <w:bCs/>
                <w:color w:val="auto"/>
                <w:sz w:val="20"/>
                <w:szCs w:val="20"/>
              </w:rPr>
              <w:t>0</w:t>
            </w:r>
          </w:p>
        </w:tc>
        <w:tc>
          <w:tcPr>
            <w:tcW w:w="1136" w:type="dxa"/>
            <w:vAlign w:val="center"/>
          </w:tcPr>
          <w:p w:rsidR="00ED06F5" w:rsidRPr="00ED06F5" w:rsidRDefault="00435AA8" w:rsidP="00ED06F5">
            <w:pPr>
              <w:pStyle w:val="CodeNotesExampleText"/>
              <w:spacing w:line="210" w:lineRule="atLeast"/>
              <w:jc w:val="center"/>
              <w:cnfStyle w:val="000000000000"/>
              <w:rPr>
                <w:rFonts w:cs="Arial"/>
                <w:b/>
                <w:bCs/>
                <w:color w:val="auto"/>
                <w:sz w:val="20"/>
                <w:szCs w:val="20"/>
              </w:rPr>
            </w:pPr>
            <w:r>
              <w:rPr>
                <w:rFonts w:cs="Arial"/>
                <w:b/>
                <w:bCs/>
                <w:color w:val="auto"/>
                <w:sz w:val="20"/>
                <w:szCs w:val="20"/>
              </w:rPr>
              <w:t>17.0</w:t>
            </w:r>
          </w:p>
        </w:tc>
        <w:tc>
          <w:tcPr>
            <w:cnfStyle w:val="000010000000"/>
            <w:tcW w:w="853" w:type="dxa"/>
            <w:vAlign w:val="center"/>
          </w:tcPr>
          <w:p w:rsidR="00ED06F5" w:rsidRPr="00ED06F5" w:rsidRDefault="00D041ED" w:rsidP="00ED06F5">
            <w:pPr>
              <w:pStyle w:val="CodeNotesExampleText"/>
              <w:spacing w:line="210" w:lineRule="atLeast"/>
              <w:jc w:val="center"/>
              <w:rPr>
                <w:rFonts w:cs="Arial"/>
                <w:b/>
                <w:bCs/>
                <w:color w:val="auto"/>
                <w:sz w:val="20"/>
                <w:szCs w:val="20"/>
              </w:rPr>
            </w:pPr>
            <w:r>
              <w:rPr>
                <w:rFonts w:cs="Arial"/>
                <w:b/>
                <w:bCs/>
                <w:color w:val="auto"/>
                <w:sz w:val="20"/>
                <w:szCs w:val="20"/>
              </w:rPr>
              <w:t>120.1</w:t>
            </w:r>
          </w:p>
        </w:tc>
        <w:tc>
          <w:tcPr>
            <w:tcW w:w="852" w:type="dxa"/>
            <w:vAlign w:val="center"/>
          </w:tcPr>
          <w:p w:rsidR="00ED06F5" w:rsidRPr="00ED06F5" w:rsidRDefault="00D041ED" w:rsidP="00ED06F5">
            <w:pPr>
              <w:pStyle w:val="CodeNotesExampleText"/>
              <w:spacing w:line="210" w:lineRule="atLeast"/>
              <w:jc w:val="center"/>
              <w:cnfStyle w:val="000000000000"/>
              <w:rPr>
                <w:rFonts w:cs="Arial"/>
                <w:b/>
                <w:bCs/>
                <w:color w:val="auto"/>
                <w:sz w:val="20"/>
                <w:szCs w:val="20"/>
              </w:rPr>
            </w:pPr>
            <w:r>
              <w:rPr>
                <w:rFonts w:cs="Arial"/>
                <w:b/>
                <w:bCs/>
                <w:color w:val="auto"/>
                <w:sz w:val="20"/>
                <w:szCs w:val="20"/>
              </w:rPr>
              <w:t>7.5</w:t>
            </w:r>
          </w:p>
        </w:tc>
        <w:tc>
          <w:tcPr>
            <w:cnfStyle w:val="000010000000"/>
            <w:tcW w:w="828" w:type="dxa"/>
            <w:vAlign w:val="center"/>
          </w:tcPr>
          <w:p w:rsidR="00ED06F5" w:rsidRPr="00ED06F5" w:rsidRDefault="00C96D86" w:rsidP="00ED06F5">
            <w:pPr>
              <w:pStyle w:val="CodeNotesExampleText"/>
              <w:spacing w:line="210" w:lineRule="atLeast"/>
              <w:jc w:val="center"/>
              <w:rPr>
                <w:rFonts w:cs="Arial"/>
                <w:b/>
                <w:bCs/>
                <w:color w:val="auto"/>
                <w:sz w:val="20"/>
                <w:szCs w:val="20"/>
              </w:rPr>
            </w:pPr>
            <w:r>
              <w:rPr>
                <w:rFonts w:cs="Arial"/>
                <w:b/>
                <w:bCs/>
                <w:color w:val="auto"/>
                <w:sz w:val="20"/>
                <w:szCs w:val="20"/>
              </w:rPr>
              <w:t>1.0</w:t>
            </w:r>
          </w:p>
        </w:tc>
        <w:tc>
          <w:tcPr>
            <w:tcW w:w="735" w:type="dxa"/>
            <w:vAlign w:val="center"/>
          </w:tcPr>
          <w:p w:rsidR="00D041ED" w:rsidRPr="00ED06F5" w:rsidRDefault="00D041ED" w:rsidP="00D041ED">
            <w:pPr>
              <w:pStyle w:val="CodeNotesExampleText"/>
              <w:spacing w:line="210" w:lineRule="atLeast"/>
              <w:jc w:val="center"/>
              <w:cnfStyle w:val="000000000000"/>
              <w:rPr>
                <w:rFonts w:cs="Arial"/>
                <w:b/>
                <w:bCs/>
                <w:color w:val="auto"/>
                <w:sz w:val="20"/>
                <w:szCs w:val="20"/>
              </w:rPr>
            </w:pPr>
            <w:r>
              <w:rPr>
                <w:rFonts w:cs="Arial"/>
                <w:b/>
                <w:bCs/>
                <w:color w:val="auto"/>
                <w:sz w:val="20"/>
                <w:szCs w:val="20"/>
              </w:rPr>
              <w:t>0.5</w:t>
            </w:r>
          </w:p>
        </w:tc>
        <w:tc>
          <w:tcPr>
            <w:cnfStyle w:val="000010000000"/>
            <w:tcW w:w="994" w:type="dxa"/>
            <w:vAlign w:val="center"/>
          </w:tcPr>
          <w:p w:rsidR="00ED06F5" w:rsidRPr="00C81A6A" w:rsidRDefault="005308A5" w:rsidP="00D62F9B">
            <w:pPr>
              <w:pStyle w:val="CodeNotesExampleText"/>
              <w:spacing w:line="210" w:lineRule="atLeast"/>
              <w:jc w:val="center"/>
              <w:rPr>
                <w:rFonts w:cs="Arial"/>
                <w:b/>
                <w:bCs/>
                <w:color w:val="auto"/>
                <w:sz w:val="20"/>
                <w:szCs w:val="20"/>
                <w:highlight w:val="yellow"/>
              </w:rPr>
            </w:pPr>
            <w:r w:rsidRPr="00F46D9B">
              <w:rPr>
                <w:rFonts w:cs="Arial"/>
                <w:b/>
                <w:bCs/>
                <w:color w:val="auto"/>
                <w:sz w:val="20"/>
                <w:szCs w:val="20"/>
              </w:rPr>
              <w:t>352.</w:t>
            </w:r>
            <w:r w:rsidR="00D62F9B">
              <w:rPr>
                <w:rFonts w:cs="Arial"/>
                <w:b/>
                <w:bCs/>
                <w:color w:val="auto"/>
                <w:sz w:val="20"/>
                <w:szCs w:val="20"/>
              </w:rPr>
              <w:t>1</w:t>
            </w:r>
          </w:p>
        </w:tc>
        <w:tc>
          <w:tcPr>
            <w:tcW w:w="813" w:type="dxa"/>
            <w:vAlign w:val="center"/>
          </w:tcPr>
          <w:p w:rsidR="00ED06F5" w:rsidRPr="00ED06F5" w:rsidRDefault="007227F8" w:rsidP="007227F8">
            <w:pPr>
              <w:pStyle w:val="CodeNotesExampleText"/>
              <w:spacing w:line="210" w:lineRule="atLeast"/>
              <w:jc w:val="center"/>
              <w:cnfStyle w:val="000000000000"/>
              <w:rPr>
                <w:rFonts w:cs="Arial"/>
                <w:b/>
                <w:bCs/>
                <w:color w:val="auto"/>
                <w:sz w:val="20"/>
                <w:szCs w:val="20"/>
              </w:rPr>
            </w:pPr>
            <w:r>
              <w:rPr>
                <w:rFonts w:cs="Arial"/>
                <w:b/>
                <w:bCs/>
                <w:color w:val="auto"/>
                <w:sz w:val="20"/>
                <w:szCs w:val="20"/>
              </w:rPr>
              <w:t>55.4</w:t>
            </w:r>
          </w:p>
        </w:tc>
      </w:tr>
      <w:tr w:rsidR="00ED06F5" w:rsidRPr="00ED06F5" w:rsidTr="00ED06F5">
        <w:trPr>
          <w:cnfStyle w:val="000000100000"/>
          <w:trHeight w:val="296"/>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2"/>
                <w:szCs w:val="22"/>
              </w:rPr>
            </w:pPr>
            <w:r w:rsidRPr="00ED06F5">
              <w:rPr>
                <w:rFonts w:cs="Arial"/>
                <w:bCs w:val="0"/>
                <w:color w:val="auto"/>
                <w:sz w:val="22"/>
                <w:szCs w:val="22"/>
              </w:rPr>
              <w:t>Accumulated Depreciation and Impairment</w:t>
            </w:r>
          </w:p>
        </w:tc>
        <w:tc>
          <w:tcPr>
            <w:cnfStyle w:val="000010000000"/>
            <w:tcW w:w="994" w:type="dxa"/>
            <w:vAlign w:val="center"/>
          </w:tcPr>
          <w:p w:rsidR="00ED06F5" w:rsidRPr="00C81A6A" w:rsidRDefault="00ED06F5" w:rsidP="00ED06F5">
            <w:pPr>
              <w:pStyle w:val="CodeNotesExampleText"/>
              <w:spacing w:line="210" w:lineRule="atLeast"/>
              <w:ind w:left="567"/>
              <w:jc w:val="center"/>
              <w:rPr>
                <w:rFonts w:cs="Arial"/>
                <w:b/>
                <w:color w:val="auto"/>
                <w:sz w:val="20"/>
                <w:szCs w:val="20"/>
                <w:highlight w:val="yellow"/>
              </w:rPr>
            </w:pPr>
          </w:p>
        </w:tc>
        <w:tc>
          <w:tcPr>
            <w:tcW w:w="1136"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853" w:type="dxa"/>
            <w:vAlign w:val="center"/>
          </w:tcPr>
          <w:p w:rsidR="00ED06F5" w:rsidRPr="00ED06F5" w:rsidRDefault="00ED06F5" w:rsidP="00ED06F5">
            <w:pPr>
              <w:pStyle w:val="CodeNotesExampleText"/>
              <w:spacing w:line="210" w:lineRule="atLeast"/>
              <w:ind w:left="567"/>
              <w:jc w:val="center"/>
              <w:rPr>
                <w:rFonts w:cs="Arial"/>
                <w:b/>
                <w:color w:val="auto"/>
                <w:sz w:val="20"/>
                <w:szCs w:val="20"/>
              </w:rPr>
            </w:pPr>
          </w:p>
        </w:tc>
        <w:tc>
          <w:tcPr>
            <w:tcW w:w="852"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828" w:type="dxa"/>
            <w:vAlign w:val="center"/>
          </w:tcPr>
          <w:p w:rsidR="00ED06F5" w:rsidRPr="00ED06F5" w:rsidRDefault="00ED06F5" w:rsidP="00ED06F5">
            <w:pPr>
              <w:pStyle w:val="CodeNotesExampleText"/>
              <w:spacing w:line="210" w:lineRule="atLeast"/>
              <w:ind w:left="567"/>
              <w:jc w:val="center"/>
              <w:rPr>
                <w:rFonts w:cs="Arial"/>
                <w:b/>
                <w:bCs/>
                <w:color w:val="auto"/>
              </w:rPr>
            </w:pPr>
          </w:p>
        </w:tc>
        <w:tc>
          <w:tcPr>
            <w:tcW w:w="735"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994" w:type="dxa"/>
            <w:vAlign w:val="center"/>
          </w:tcPr>
          <w:p w:rsidR="00ED06F5" w:rsidRPr="00C81A6A" w:rsidRDefault="00ED06F5" w:rsidP="00ED06F5">
            <w:pPr>
              <w:pStyle w:val="CodeNotesExampleText"/>
              <w:spacing w:line="210" w:lineRule="atLeast"/>
              <w:ind w:left="567"/>
              <w:jc w:val="center"/>
              <w:rPr>
                <w:rFonts w:cs="Arial"/>
                <w:b/>
                <w:bCs/>
                <w:color w:val="auto"/>
                <w:sz w:val="20"/>
                <w:szCs w:val="20"/>
                <w:highlight w:val="yellow"/>
              </w:rPr>
            </w:pPr>
          </w:p>
        </w:tc>
        <w:tc>
          <w:tcPr>
            <w:tcW w:w="813" w:type="dxa"/>
            <w:vAlign w:val="center"/>
          </w:tcPr>
          <w:p w:rsidR="00ED06F5" w:rsidRPr="00ED06F5" w:rsidRDefault="00ED06F5" w:rsidP="00ED06F5">
            <w:pPr>
              <w:pStyle w:val="CodeNotesExampleText"/>
              <w:spacing w:line="210" w:lineRule="atLeast"/>
              <w:ind w:left="567"/>
              <w:jc w:val="center"/>
              <w:cnfStyle w:val="000000100000"/>
              <w:rPr>
                <w:rFonts w:cs="Arial"/>
                <w:b/>
                <w:bCs/>
                <w:color w:val="auto"/>
                <w:sz w:val="20"/>
                <w:szCs w:val="20"/>
              </w:rPr>
            </w:pPr>
          </w:p>
        </w:tc>
      </w:tr>
      <w:tr w:rsidR="008817F4" w:rsidRPr="00ED06F5" w:rsidTr="00ED06F5">
        <w:trPr>
          <w:trHeight w:val="273"/>
        </w:trPr>
        <w:tc>
          <w:tcPr>
            <w:cnfStyle w:val="001000000000"/>
            <w:tcW w:w="7636" w:type="dxa"/>
            <w:vAlign w:val="center"/>
          </w:tcPr>
          <w:p w:rsidR="008817F4" w:rsidRPr="00ED06F5" w:rsidRDefault="008817F4" w:rsidP="008817F4">
            <w:pPr>
              <w:pStyle w:val="CodeNotesExampleText"/>
              <w:spacing w:line="210" w:lineRule="atLeast"/>
              <w:ind w:left="105"/>
              <w:rPr>
                <w:rFonts w:cs="Arial"/>
                <w:color w:val="auto"/>
                <w:sz w:val="20"/>
                <w:szCs w:val="20"/>
              </w:rPr>
            </w:pPr>
            <w:r w:rsidRPr="00ED06F5">
              <w:rPr>
                <w:rFonts w:cs="Arial"/>
                <w:color w:val="auto"/>
                <w:sz w:val="20"/>
                <w:szCs w:val="20"/>
              </w:rPr>
              <w:t>As at 1st April 2015</w:t>
            </w:r>
          </w:p>
        </w:tc>
        <w:tc>
          <w:tcPr>
            <w:cnfStyle w:val="000010000000"/>
            <w:tcW w:w="994" w:type="dxa"/>
            <w:vAlign w:val="center"/>
          </w:tcPr>
          <w:p w:rsidR="008817F4" w:rsidRPr="00C81A6A" w:rsidRDefault="008817F4" w:rsidP="008817F4">
            <w:pPr>
              <w:spacing w:after="0" w:line="210" w:lineRule="atLeast"/>
              <w:jc w:val="center"/>
              <w:rPr>
                <w:rFonts w:cs="Arial"/>
                <w:b/>
                <w:color w:val="auto"/>
                <w:sz w:val="20"/>
                <w:szCs w:val="20"/>
                <w:highlight w:val="yellow"/>
              </w:rPr>
            </w:pPr>
            <w:r w:rsidRPr="001F06FB">
              <w:rPr>
                <w:rFonts w:cs="Arial"/>
                <w:b/>
                <w:color w:val="auto"/>
                <w:sz w:val="20"/>
                <w:szCs w:val="20"/>
              </w:rPr>
              <w:t>(6.6)</w:t>
            </w:r>
          </w:p>
        </w:tc>
        <w:tc>
          <w:tcPr>
            <w:tcW w:w="1136" w:type="dxa"/>
            <w:vAlign w:val="center"/>
          </w:tcPr>
          <w:p w:rsidR="008817F4" w:rsidRPr="00ED06F5" w:rsidRDefault="008817F4" w:rsidP="008817F4">
            <w:pPr>
              <w:spacing w:after="0" w:line="210" w:lineRule="atLeast"/>
              <w:jc w:val="center"/>
              <w:cnfStyle w:val="000000000000"/>
              <w:rPr>
                <w:rFonts w:cs="Arial"/>
                <w:b/>
                <w:color w:val="auto"/>
                <w:sz w:val="20"/>
                <w:szCs w:val="20"/>
              </w:rPr>
            </w:pPr>
            <w:r w:rsidRPr="00ED06F5">
              <w:rPr>
                <w:rFonts w:cs="Arial"/>
                <w:b/>
                <w:color w:val="auto"/>
                <w:sz w:val="20"/>
                <w:szCs w:val="20"/>
              </w:rPr>
              <w:t>(13.3)</w:t>
            </w:r>
          </w:p>
        </w:tc>
        <w:tc>
          <w:tcPr>
            <w:cnfStyle w:val="000010000000"/>
            <w:tcW w:w="853" w:type="dxa"/>
            <w:vAlign w:val="center"/>
          </w:tcPr>
          <w:p w:rsidR="008817F4" w:rsidRPr="00ED06F5" w:rsidRDefault="008817F4" w:rsidP="008817F4">
            <w:pPr>
              <w:spacing w:after="0" w:line="210" w:lineRule="atLeast"/>
              <w:jc w:val="center"/>
              <w:rPr>
                <w:rFonts w:cs="Arial"/>
                <w:b/>
                <w:color w:val="auto"/>
                <w:sz w:val="20"/>
                <w:szCs w:val="20"/>
              </w:rPr>
            </w:pPr>
            <w:r w:rsidRPr="00ED06F5">
              <w:rPr>
                <w:rFonts w:cs="Arial"/>
                <w:b/>
                <w:color w:val="auto"/>
                <w:sz w:val="20"/>
                <w:szCs w:val="20"/>
              </w:rPr>
              <w:t>(24.6)</w:t>
            </w:r>
          </w:p>
        </w:tc>
        <w:tc>
          <w:tcPr>
            <w:tcW w:w="852" w:type="dxa"/>
            <w:vAlign w:val="center"/>
          </w:tcPr>
          <w:p w:rsidR="008817F4" w:rsidRPr="00ED06F5" w:rsidRDefault="008817F4" w:rsidP="008817F4">
            <w:pPr>
              <w:spacing w:after="0" w:line="210" w:lineRule="atLeast"/>
              <w:jc w:val="center"/>
              <w:cnfStyle w:val="000000000000"/>
              <w:rPr>
                <w:rFonts w:cs="Arial"/>
                <w:b/>
                <w:color w:val="auto"/>
                <w:sz w:val="20"/>
                <w:szCs w:val="20"/>
              </w:rPr>
            </w:pPr>
            <w:r w:rsidRPr="00ED06F5">
              <w:rPr>
                <w:rFonts w:cs="Arial"/>
                <w:b/>
                <w:color w:val="auto"/>
                <w:sz w:val="20"/>
                <w:szCs w:val="20"/>
              </w:rPr>
              <w:t>(0.3)</w:t>
            </w:r>
          </w:p>
        </w:tc>
        <w:tc>
          <w:tcPr>
            <w:cnfStyle w:val="000010000000"/>
            <w:tcW w:w="828" w:type="dxa"/>
            <w:vAlign w:val="center"/>
          </w:tcPr>
          <w:p w:rsidR="008817F4" w:rsidRPr="00ED06F5" w:rsidRDefault="008817F4" w:rsidP="008817F4">
            <w:pPr>
              <w:spacing w:after="0" w:line="210" w:lineRule="atLeast"/>
              <w:jc w:val="center"/>
              <w:rPr>
                <w:rFonts w:cs="Arial"/>
                <w:b/>
                <w:color w:val="auto"/>
                <w:sz w:val="20"/>
                <w:szCs w:val="20"/>
              </w:rPr>
            </w:pPr>
            <w:r w:rsidRPr="00ED06F5">
              <w:rPr>
                <w:rFonts w:cs="Arial"/>
                <w:b/>
                <w:color w:val="auto"/>
                <w:sz w:val="20"/>
                <w:szCs w:val="20"/>
              </w:rPr>
              <w:t>0</w:t>
            </w:r>
          </w:p>
        </w:tc>
        <w:tc>
          <w:tcPr>
            <w:tcW w:w="735" w:type="dxa"/>
            <w:vAlign w:val="center"/>
          </w:tcPr>
          <w:p w:rsidR="008817F4" w:rsidRPr="00ED06F5" w:rsidRDefault="008817F4" w:rsidP="008817F4">
            <w:pPr>
              <w:spacing w:after="0" w:line="210" w:lineRule="atLeast"/>
              <w:jc w:val="center"/>
              <w:cnfStyle w:val="000000000000"/>
              <w:rPr>
                <w:rFonts w:cs="Arial"/>
                <w:b/>
                <w:color w:val="auto"/>
                <w:sz w:val="20"/>
                <w:szCs w:val="20"/>
              </w:rPr>
            </w:pPr>
            <w:r w:rsidRPr="00ED06F5">
              <w:rPr>
                <w:rFonts w:cs="Arial"/>
                <w:b/>
                <w:color w:val="auto"/>
                <w:sz w:val="20"/>
                <w:szCs w:val="20"/>
              </w:rPr>
              <w:t>0</w:t>
            </w:r>
          </w:p>
        </w:tc>
        <w:tc>
          <w:tcPr>
            <w:cnfStyle w:val="000010000000"/>
            <w:tcW w:w="994" w:type="dxa"/>
            <w:vAlign w:val="center"/>
          </w:tcPr>
          <w:p w:rsidR="008817F4" w:rsidRPr="00C81A6A" w:rsidRDefault="008817F4" w:rsidP="008817F4">
            <w:pPr>
              <w:spacing w:after="0" w:line="210" w:lineRule="atLeast"/>
              <w:jc w:val="center"/>
              <w:rPr>
                <w:rFonts w:cs="Arial"/>
                <w:b/>
                <w:color w:val="auto"/>
                <w:sz w:val="20"/>
                <w:szCs w:val="20"/>
                <w:highlight w:val="yellow"/>
              </w:rPr>
            </w:pPr>
            <w:r w:rsidRPr="00F46D9B">
              <w:rPr>
                <w:rFonts w:cs="Arial"/>
                <w:b/>
                <w:color w:val="auto"/>
                <w:sz w:val="20"/>
                <w:szCs w:val="20"/>
              </w:rPr>
              <w:t>(44.8)</w:t>
            </w:r>
          </w:p>
        </w:tc>
        <w:tc>
          <w:tcPr>
            <w:tcW w:w="813" w:type="dxa"/>
            <w:vAlign w:val="center"/>
          </w:tcPr>
          <w:p w:rsidR="008817F4" w:rsidRPr="00ED06F5" w:rsidRDefault="008817F4" w:rsidP="008817F4">
            <w:pPr>
              <w:spacing w:after="0" w:line="210" w:lineRule="atLeast"/>
              <w:jc w:val="center"/>
              <w:cnfStyle w:val="000000000000"/>
              <w:rPr>
                <w:rFonts w:cs="Arial"/>
                <w:b/>
                <w:color w:val="auto"/>
                <w:sz w:val="20"/>
                <w:szCs w:val="20"/>
              </w:rPr>
            </w:pPr>
            <w:r w:rsidRPr="00ED06F5">
              <w:rPr>
                <w:rFonts w:cs="Arial"/>
                <w:b/>
                <w:color w:val="auto"/>
                <w:sz w:val="20"/>
                <w:szCs w:val="20"/>
              </w:rPr>
              <w:t>(0.4)</w:t>
            </w:r>
          </w:p>
        </w:tc>
      </w:tr>
      <w:tr w:rsidR="00ED06F5" w:rsidRPr="00ED06F5" w:rsidTr="00ED06F5">
        <w:trPr>
          <w:cnfStyle w:val="000000100000"/>
          <w:trHeight w:val="40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Depreciation charge</w:t>
            </w:r>
          </w:p>
        </w:tc>
        <w:tc>
          <w:tcPr>
            <w:cnfStyle w:val="000010000000"/>
            <w:tcW w:w="994" w:type="dxa"/>
            <w:vAlign w:val="center"/>
          </w:tcPr>
          <w:p w:rsidR="00ED06F5" w:rsidRPr="00C81A6A" w:rsidRDefault="00F46D9B" w:rsidP="00D62F9B">
            <w:pPr>
              <w:spacing w:after="0" w:line="210" w:lineRule="atLeast"/>
              <w:jc w:val="center"/>
              <w:rPr>
                <w:rFonts w:cs="Arial"/>
                <w:color w:val="auto"/>
                <w:sz w:val="20"/>
                <w:szCs w:val="20"/>
                <w:highlight w:val="yellow"/>
              </w:rPr>
            </w:pPr>
            <w:r>
              <w:rPr>
                <w:rFonts w:cs="Arial"/>
                <w:color w:val="auto"/>
                <w:sz w:val="20"/>
                <w:szCs w:val="20"/>
              </w:rPr>
              <w:t>(</w:t>
            </w:r>
            <w:r w:rsidR="00D15983" w:rsidRPr="001F06FB">
              <w:rPr>
                <w:rFonts w:cs="Arial"/>
                <w:color w:val="auto"/>
                <w:sz w:val="20"/>
                <w:szCs w:val="20"/>
              </w:rPr>
              <w:t>4.</w:t>
            </w:r>
            <w:r w:rsidR="00D62F9B">
              <w:rPr>
                <w:rFonts w:cs="Arial"/>
                <w:color w:val="auto"/>
                <w:sz w:val="20"/>
                <w:szCs w:val="20"/>
              </w:rPr>
              <w:t>1</w:t>
            </w:r>
            <w:r>
              <w:rPr>
                <w:rFonts w:cs="Arial"/>
                <w:color w:val="auto"/>
                <w:sz w:val="20"/>
                <w:szCs w:val="20"/>
              </w:rPr>
              <w:t>)</w:t>
            </w:r>
          </w:p>
        </w:tc>
        <w:tc>
          <w:tcPr>
            <w:tcW w:w="1136" w:type="dxa"/>
            <w:vAlign w:val="center"/>
          </w:tcPr>
          <w:p w:rsidR="00ED06F5" w:rsidRPr="00ED06F5" w:rsidRDefault="00435AA8" w:rsidP="00ED06F5">
            <w:pPr>
              <w:spacing w:after="0" w:line="210" w:lineRule="atLeast"/>
              <w:jc w:val="center"/>
              <w:cnfStyle w:val="000000100000"/>
              <w:rPr>
                <w:rFonts w:cs="Arial"/>
                <w:color w:val="auto"/>
                <w:sz w:val="20"/>
                <w:szCs w:val="20"/>
              </w:rPr>
            </w:pPr>
            <w:r>
              <w:rPr>
                <w:rFonts w:cs="Arial"/>
                <w:color w:val="auto"/>
                <w:sz w:val="20"/>
                <w:szCs w:val="20"/>
              </w:rPr>
              <w:t>(0.9)</w:t>
            </w:r>
          </w:p>
        </w:tc>
        <w:tc>
          <w:tcPr>
            <w:cnfStyle w:val="000010000000"/>
            <w:tcW w:w="853" w:type="dxa"/>
            <w:vAlign w:val="center"/>
          </w:tcPr>
          <w:p w:rsidR="00ED06F5" w:rsidRPr="00ED06F5" w:rsidRDefault="00D041ED" w:rsidP="00ED06F5">
            <w:pPr>
              <w:spacing w:after="0" w:line="210" w:lineRule="atLeast"/>
              <w:jc w:val="center"/>
              <w:rPr>
                <w:rFonts w:cs="Arial"/>
                <w:color w:val="auto"/>
                <w:sz w:val="20"/>
                <w:szCs w:val="20"/>
              </w:rPr>
            </w:pPr>
            <w:r>
              <w:rPr>
                <w:rFonts w:cs="Arial"/>
                <w:color w:val="auto"/>
                <w:sz w:val="20"/>
                <w:szCs w:val="20"/>
              </w:rPr>
              <w:t>(3.4)</w:t>
            </w:r>
          </w:p>
        </w:tc>
        <w:tc>
          <w:tcPr>
            <w:tcW w:w="852" w:type="dxa"/>
            <w:vAlign w:val="center"/>
          </w:tcPr>
          <w:p w:rsidR="00D041ED" w:rsidRPr="00ED06F5" w:rsidRDefault="00D041ED" w:rsidP="00D041ED">
            <w:pPr>
              <w:spacing w:after="0" w:line="210" w:lineRule="atLeast"/>
              <w:jc w:val="center"/>
              <w:cnfStyle w:val="000000100000"/>
              <w:rPr>
                <w:rFonts w:cs="Arial"/>
                <w:color w:val="auto"/>
                <w:sz w:val="20"/>
                <w:szCs w:val="20"/>
              </w:rPr>
            </w:pPr>
            <w:r>
              <w:rPr>
                <w:rFonts w:cs="Arial"/>
                <w:color w:val="auto"/>
                <w:sz w:val="20"/>
                <w:szCs w:val="20"/>
              </w:rPr>
              <w:t>(0.1)</w:t>
            </w:r>
          </w:p>
        </w:tc>
        <w:tc>
          <w:tcPr>
            <w:cnfStyle w:val="000010000000"/>
            <w:tcW w:w="828" w:type="dxa"/>
            <w:vAlign w:val="center"/>
          </w:tcPr>
          <w:p w:rsidR="00ED06F5" w:rsidRPr="00ED06F5" w:rsidRDefault="00C96D86" w:rsidP="00ED06F5">
            <w:pPr>
              <w:spacing w:after="0" w:line="210" w:lineRule="atLeast"/>
              <w:jc w:val="center"/>
              <w:rPr>
                <w:rFonts w:cs="Arial"/>
                <w:color w:val="auto"/>
                <w:sz w:val="20"/>
                <w:szCs w:val="20"/>
              </w:rPr>
            </w:pPr>
            <w:r>
              <w:rPr>
                <w:rFonts w:cs="Arial"/>
                <w:color w:val="auto"/>
                <w:sz w:val="20"/>
                <w:szCs w:val="20"/>
              </w:rPr>
              <w:t>0</w:t>
            </w:r>
          </w:p>
        </w:tc>
        <w:tc>
          <w:tcPr>
            <w:tcW w:w="735" w:type="dxa"/>
            <w:vAlign w:val="center"/>
          </w:tcPr>
          <w:p w:rsidR="00D041ED" w:rsidRPr="00ED06F5" w:rsidRDefault="00D041ED" w:rsidP="00D041ED">
            <w:pPr>
              <w:spacing w:after="0" w:line="210" w:lineRule="atLeast"/>
              <w:jc w:val="center"/>
              <w:cnfStyle w:val="000000100000"/>
              <w:rPr>
                <w:rFonts w:cs="Arial"/>
                <w:color w:val="auto"/>
                <w:sz w:val="20"/>
                <w:szCs w:val="20"/>
              </w:rPr>
            </w:pPr>
            <w:r>
              <w:rPr>
                <w:rFonts w:cs="Arial"/>
                <w:color w:val="auto"/>
                <w:sz w:val="20"/>
                <w:szCs w:val="20"/>
              </w:rPr>
              <w:t>0</w:t>
            </w:r>
          </w:p>
        </w:tc>
        <w:tc>
          <w:tcPr>
            <w:cnfStyle w:val="000010000000"/>
            <w:tcW w:w="994" w:type="dxa"/>
            <w:vAlign w:val="center"/>
          </w:tcPr>
          <w:p w:rsidR="00ED06F5" w:rsidRPr="00C81A6A" w:rsidRDefault="005308A5" w:rsidP="00D62F9B">
            <w:pPr>
              <w:spacing w:after="0" w:line="210" w:lineRule="atLeast"/>
              <w:jc w:val="center"/>
              <w:rPr>
                <w:rFonts w:cs="Arial"/>
                <w:b/>
                <w:color w:val="auto"/>
                <w:sz w:val="20"/>
                <w:szCs w:val="20"/>
                <w:highlight w:val="yellow"/>
              </w:rPr>
            </w:pPr>
            <w:r w:rsidRPr="00F46D9B">
              <w:rPr>
                <w:rFonts w:cs="Arial"/>
                <w:b/>
                <w:color w:val="auto"/>
                <w:sz w:val="20"/>
                <w:szCs w:val="20"/>
              </w:rPr>
              <w:t>(8.</w:t>
            </w:r>
            <w:r w:rsidR="00D62F9B">
              <w:rPr>
                <w:rFonts w:cs="Arial"/>
                <w:b/>
                <w:color w:val="auto"/>
                <w:sz w:val="20"/>
                <w:szCs w:val="20"/>
              </w:rPr>
              <w:t>5</w:t>
            </w:r>
            <w:r w:rsidRPr="00F46D9B">
              <w:rPr>
                <w:rFonts w:cs="Arial"/>
                <w:b/>
                <w:color w:val="auto"/>
                <w:sz w:val="20"/>
                <w:szCs w:val="20"/>
              </w:rPr>
              <w:t>)</w:t>
            </w:r>
          </w:p>
        </w:tc>
        <w:tc>
          <w:tcPr>
            <w:tcW w:w="813" w:type="dxa"/>
            <w:vAlign w:val="center"/>
          </w:tcPr>
          <w:p w:rsidR="00ED06F5" w:rsidRPr="00ED06F5" w:rsidRDefault="007227F8" w:rsidP="00ED06F5">
            <w:pPr>
              <w:spacing w:after="0" w:line="210" w:lineRule="atLeast"/>
              <w:jc w:val="center"/>
              <w:cnfStyle w:val="000000100000"/>
              <w:rPr>
                <w:rFonts w:cs="Arial"/>
                <w:color w:val="auto"/>
                <w:sz w:val="20"/>
                <w:szCs w:val="20"/>
              </w:rPr>
            </w:pPr>
            <w:r>
              <w:rPr>
                <w:rFonts w:cs="Arial"/>
                <w:color w:val="auto"/>
                <w:sz w:val="20"/>
                <w:szCs w:val="20"/>
              </w:rPr>
              <w:t>(1.5)</w:t>
            </w:r>
          </w:p>
        </w:tc>
      </w:tr>
      <w:tr w:rsidR="00ED06F5" w:rsidRPr="00ED06F5" w:rsidTr="00ED06F5">
        <w:trPr>
          <w:trHeight w:val="40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Depreciation written out to the Revaluation Reserve</w:t>
            </w:r>
          </w:p>
        </w:tc>
        <w:tc>
          <w:tcPr>
            <w:cnfStyle w:val="000010000000"/>
            <w:tcW w:w="994" w:type="dxa"/>
            <w:vAlign w:val="center"/>
          </w:tcPr>
          <w:p w:rsidR="00ED06F5" w:rsidRPr="00C81A6A" w:rsidRDefault="001F06FB" w:rsidP="00F46D9B">
            <w:pPr>
              <w:spacing w:after="0" w:line="210" w:lineRule="atLeast"/>
              <w:jc w:val="center"/>
              <w:rPr>
                <w:rFonts w:cs="Arial"/>
                <w:color w:val="auto"/>
                <w:sz w:val="20"/>
                <w:szCs w:val="20"/>
                <w:highlight w:val="yellow"/>
              </w:rPr>
            </w:pPr>
            <w:r w:rsidRPr="00F46D9B">
              <w:rPr>
                <w:rFonts w:cs="Arial"/>
                <w:color w:val="auto"/>
                <w:sz w:val="20"/>
                <w:szCs w:val="20"/>
              </w:rPr>
              <w:t>1.</w:t>
            </w:r>
            <w:r w:rsidR="00F46D9B">
              <w:rPr>
                <w:rFonts w:cs="Arial"/>
                <w:color w:val="auto"/>
                <w:sz w:val="20"/>
                <w:szCs w:val="20"/>
              </w:rPr>
              <w:t>7</w:t>
            </w:r>
          </w:p>
        </w:tc>
        <w:tc>
          <w:tcPr>
            <w:tcW w:w="1136" w:type="dxa"/>
            <w:vAlign w:val="center"/>
          </w:tcPr>
          <w:p w:rsidR="00ED06F5" w:rsidRPr="00ED06F5" w:rsidRDefault="00435AA8" w:rsidP="00ED06F5">
            <w:pPr>
              <w:spacing w:after="0" w:line="210" w:lineRule="atLeast"/>
              <w:jc w:val="center"/>
              <w:cnfStyle w:val="000000000000"/>
              <w:rPr>
                <w:rFonts w:cs="Arial"/>
                <w:color w:val="auto"/>
                <w:sz w:val="20"/>
                <w:szCs w:val="20"/>
              </w:rPr>
            </w:pPr>
            <w:r>
              <w:rPr>
                <w:rFonts w:cs="Arial"/>
                <w:color w:val="auto"/>
                <w:sz w:val="20"/>
                <w:szCs w:val="20"/>
              </w:rPr>
              <w:t>0</w:t>
            </w:r>
          </w:p>
        </w:tc>
        <w:tc>
          <w:tcPr>
            <w:cnfStyle w:val="000010000000"/>
            <w:tcW w:w="853" w:type="dxa"/>
            <w:vAlign w:val="center"/>
          </w:tcPr>
          <w:p w:rsidR="00ED06F5" w:rsidRPr="00ED06F5" w:rsidRDefault="00C96D86" w:rsidP="00ED06F5">
            <w:pPr>
              <w:spacing w:after="0" w:line="210" w:lineRule="atLeast"/>
              <w:jc w:val="center"/>
              <w:rPr>
                <w:rFonts w:cs="Arial"/>
                <w:color w:val="auto"/>
                <w:sz w:val="20"/>
                <w:szCs w:val="20"/>
              </w:rPr>
            </w:pPr>
            <w:r>
              <w:rPr>
                <w:rFonts w:cs="Arial"/>
                <w:color w:val="auto"/>
                <w:sz w:val="20"/>
                <w:szCs w:val="20"/>
              </w:rPr>
              <w:t>0</w:t>
            </w:r>
          </w:p>
        </w:tc>
        <w:tc>
          <w:tcPr>
            <w:tcW w:w="852" w:type="dxa"/>
            <w:vAlign w:val="center"/>
          </w:tcPr>
          <w:p w:rsidR="00ED06F5" w:rsidRPr="00ED06F5" w:rsidRDefault="00D041ED" w:rsidP="00ED06F5">
            <w:pPr>
              <w:spacing w:after="0" w:line="210" w:lineRule="atLeast"/>
              <w:jc w:val="center"/>
              <w:cnfStyle w:val="000000000000"/>
              <w:rPr>
                <w:rFonts w:cs="Arial"/>
                <w:color w:val="auto"/>
                <w:sz w:val="20"/>
                <w:szCs w:val="20"/>
              </w:rPr>
            </w:pPr>
            <w:r>
              <w:rPr>
                <w:rFonts w:cs="Arial"/>
                <w:color w:val="auto"/>
                <w:sz w:val="20"/>
                <w:szCs w:val="20"/>
              </w:rPr>
              <w:t>0</w:t>
            </w:r>
          </w:p>
        </w:tc>
        <w:tc>
          <w:tcPr>
            <w:cnfStyle w:val="000010000000"/>
            <w:tcW w:w="828" w:type="dxa"/>
            <w:vAlign w:val="center"/>
          </w:tcPr>
          <w:p w:rsidR="00ED06F5" w:rsidRPr="00ED06F5" w:rsidRDefault="00C96D86" w:rsidP="00ED06F5">
            <w:pPr>
              <w:spacing w:after="0" w:line="210" w:lineRule="atLeast"/>
              <w:jc w:val="center"/>
              <w:rPr>
                <w:rFonts w:cs="Arial"/>
                <w:color w:val="auto"/>
                <w:sz w:val="20"/>
                <w:szCs w:val="20"/>
              </w:rPr>
            </w:pPr>
            <w:r>
              <w:rPr>
                <w:rFonts w:cs="Arial"/>
                <w:color w:val="auto"/>
                <w:sz w:val="20"/>
                <w:szCs w:val="20"/>
              </w:rPr>
              <w:t>0</w:t>
            </w:r>
          </w:p>
        </w:tc>
        <w:tc>
          <w:tcPr>
            <w:tcW w:w="735" w:type="dxa"/>
            <w:vAlign w:val="center"/>
          </w:tcPr>
          <w:p w:rsidR="00ED06F5" w:rsidRPr="00ED06F5" w:rsidRDefault="00D041ED" w:rsidP="00ED06F5">
            <w:pPr>
              <w:spacing w:after="0" w:line="210" w:lineRule="atLeast"/>
              <w:jc w:val="center"/>
              <w:cnfStyle w:val="000000000000"/>
              <w:rPr>
                <w:rFonts w:cs="Arial"/>
                <w:color w:val="auto"/>
                <w:sz w:val="20"/>
                <w:szCs w:val="20"/>
              </w:rPr>
            </w:pPr>
            <w:r>
              <w:rPr>
                <w:rFonts w:cs="Arial"/>
                <w:color w:val="auto"/>
                <w:sz w:val="20"/>
                <w:szCs w:val="20"/>
              </w:rPr>
              <w:t>0</w:t>
            </w:r>
          </w:p>
        </w:tc>
        <w:tc>
          <w:tcPr>
            <w:cnfStyle w:val="000010000000"/>
            <w:tcW w:w="994" w:type="dxa"/>
            <w:vAlign w:val="center"/>
          </w:tcPr>
          <w:p w:rsidR="00ED06F5" w:rsidRPr="00F46D9B" w:rsidRDefault="00F46D9B" w:rsidP="00ED06F5">
            <w:pPr>
              <w:spacing w:after="0" w:line="210" w:lineRule="atLeast"/>
              <w:jc w:val="center"/>
              <w:rPr>
                <w:rFonts w:cs="Arial"/>
                <w:b/>
                <w:color w:val="auto"/>
                <w:sz w:val="20"/>
                <w:szCs w:val="20"/>
              </w:rPr>
            </w:pPr>
            <w:r w:rsidRPr="00F46D9B">
              <w:rPr>
                <w:rFonts w:cs="Arial"/>
                <w:b/>
                <w:color w:val="auto"/>
                <w:sz w:val="20"/>
                <w:szCs w:val="20"/>
              </w:rPr>
              <w:t>1.7</w:t>
            </w:r>
          </w:p>
        </w:tc>
        <w:tc>
          <w:tcPr>
            <w:tcW w:w="813" w:type="dxa"/>
            <w:vAlign w:val="center"/>
          </w:tcPr>
          <w:p w:rsidR="00ED06F5" w:rsidRPr="00ED06F5" w:rsidRDefault="007227F8" w:rsidP="00ED06F5">
            <w:pPr>
              <w:spacing w:after="0" w:line="210" w:lineRule="atLeast"/>
              <w:jc w:val="center"/>
              <w:cnfStyle w:val="000000000000"/>
              <w:rPr>
                <w:rFonts w:cs="Arial"/>
                <w:color w:val="auto"/>
                <w:sz w:val="20"/>
                <w:szCs w:val="20"/>
              </w:rPr>
            </w:pPr>
            <w:r>
              <w:rPr>
                <w:rFonts w:cs="Arial"/>
                <w:color w:val="auto"/>
                <w:sz w:val="20"/>
                <w:szCs w:val="20"/>
              </w:rPr>
              <w:t>0</w:t>
            </w:r>
          </w:p>
        </w:tc>
      </w:tr>
      <w:tr w:rsidR="00ED06F5" w:rsidRPr="00ED06F5" w:rsidTr="00ED06F5">
        <w:trPr>
          <w:cnfStyle w:val="000000100000"/>
          <w:trHeight w:val="40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Revaluation Increases/ (decreases) recognised in the Surplus/Deficit on the Provision of Services</w:t>
            </w:r>
          </w:p>
        </w:tc>
        <w:tc>
          <w:tcPr>
            <w:cnfStyle w:val="000010000000"/>
            <w:tcW w:w="994" w:type="dxa"/>
            <w:vAlign w:val="center"/>
          </w:tcPr>
          <w:p w:rsidR="00ED06F5" w:rsidRPr="00C81A6A" w:rsidRDefault="001F06FB" w:rsidP="00ED06F5">
            <w:pPr>
              <w:spacing w:after="0" w:line="210" w:lineRule="atLeast"/>
              <w:jc w:val="center"/>
              <w:rPr>
                <w:rFonts w:cs="Arial"/>
                <w:color w:val="auto"/>
                <w:sz w:val="20"/>
                <w:szCs w:val="20"/>
                <w:highlight w:val="yellow"/>
              </w:rPr>
            </w:pPr>
            <w:r w:rsidRPr="00F46D9B">
              <w:rPr>
                <w:rFonts w:cs="Arial"/>
                <w:color w:val="auto"/>
                <w:sz w:val="20"/>
                <w:szCs w:val="20"/>
              </w:rPr>
              <w:t>1.8</w:t>
            </w:r>
          </w:p>
        </w:tc>
        <w:tc>
          <w:tcPr>
            <w:tcW w:w="1136" w:type="dxa"/>
            <w:vAlign w:val="center"/>
          </w:tcPr>
          <w:p w:rsidR="00ED06F5" w:rsidRPr="00ED06F5" w:rsidRDefault="00435AA8" w:rsidP="00ED06F5">
            <w:pPr>
              <w:spacing w:after="0" w:line="210" w:lineRule="atLeast"/>
              <w:jc w:val="center"/>
              <w:cnfStyle w:val="000000100000"/>
              <w:rPr>
                <w:rFonts w:cs="Arial"/>
                <w:color w:val="auto"/>
                <w:sz w:val="20"/>
                <w:szCs w:val="20"/>
              </w:rPr>
            </w:pPr>
            <w:r>
              <w:rPr>
                <w:rFonts w:cs="Arial"/>
                <w:color w:val="auto"/>
                <w:sz w:val="20"/>
                <w:szCs w:val="20"/>
              </w:rPr>
              <w:t>0</w:t>
            </w:r>
          </w:p>
        </w:tc>
        <w:tc>
          <w:tcPr>
            <w:cnfStyle w:val="000010000000"/>
            <w:tcW w:w="853" w:type="dxa"/>
            <w:vAlign w:val="center"/>
          </w:tcPr>
          <w:p w:rsidR="00ED06F5" w:rsidRPr="00ED06F5" w:rsidRDefault="00C96D86" w:rsidP="00ED06F5">
            <w:pPr>
              <w:spacing w:after="0" w:line="210" w:lineRule="atLeast"/>
              <w:jc w:val="center"/>
              <w:rPr>
                <w:rFonts w:cs="Arial"/>
                <w:color w:val="auto"/>
                <w:sz w:val="20"/>
                <w:szCs w:val="20"/>
              </w:rPr>
            </w:pPr>
            <w:r>
              <w:rPr>
                <w:rFonts w:cs="Arial"/>
                <w:color w:val="auto"/>
                <w:sz w:val="20"/>
                <w:szCs w:val="20"/>
              </w:rPr>
              <w:t>0</w:t>
            </w:r>
          </w:p>
        </w:tc>
        <w:tc>
          <w:tcPr>
            <w:tcW w:w="852" w:type="dxa"/>
            <w:vAlign w:val="center"/>
          </w:tcPr>
          <w:p w:rsidR="00ED06F5" w:rsidRPr="00ED06F5" w:rsidRDefault="00D041ED" w:rsidP="00ED06F5">
            <w:pPr>
              <w:spacing w:after="0" w:line="210" w:lineRule="atLeast"/>
              <w:jc w:val="center"/>
              <w:cnfStyle w:val="000000100000"/>
              <w:rPr>
                <w:rFonts w:cs="Arial"/>
                <w:color w:val="auto"/>
                <w:sz w:val="20"/>
                <w:szCs w:val="20"/>
              </w:rPr>
            </w:pPr>
            <w:r>
              <w:rPr>
                <w:rFonts w:cs="Arial"/>
                <w:color w:val="auto"/>
                <w:sz w:val="20"/>
                <w:szCs w:val="20"/>
              </w:rPr>
              <w:t>0</w:t>
            </w:r>
          </w:p>
        </w:tc>
        <w:tc>
          <w:tcPr>
            <w:cnfStyle w:val="000010000000"/>
            <w:tcW w:w="828" w:type="dxa"/>
            <w:vAlign w:val="center"/>
          </w:tcPr>
          <w:p w:rsidR="00ED06F5" w:rsidRPr="00ED06F5" w:rsidRDefault="00C96D86" w:rsidP="00ED06F5">
            <w:pPr>
              <w:spacing w:after="0" w:line="210" w:lineRule="atLeast"/>
              <w:jc w:val="center"/>
              <w:rPr>
                <w:rFonts w:cs="Arial"/>
                <w:color w:val="auto"/>
                <w:sz w:val="20"/>
                <w:szCs w:val="20"/>
              </w:rPr>
            </w:pPr>
            <w:r>
              <w:rPr>
                <w:rFonts w:cs="Arial"/>
                <w:color w:val="auto"/>
                <w:sz w:val="20"/>
                <w:szCs w:val="20"/>
              </w:rPr>
              <w:t>0</w:t>
            </w:r>
          </w:p>
        </w:tc>
        <w:tc>
          <w:tcPr>
            <w:tcW w:w="735" w:type="dxa"/>
            <w:vAlign w:val="center"/>
          </w:tcPr>
          <w:p w:rsidR="00ED06F5" w:rsidRPr="00ED06F5" w:rsidRDefault="00D041ED" w:rsidP="00ED06F5">
            <w:pPr>
              <w:spacing w:after="0" w:line="210" w:lineRule="atLeast"/>
              <w:jc w:val="center"/>
              <w:cnfStyle w:val="000000100000"/>
              <w:rPr>
                <w:rFonts w:cs="Arial"/>
                <w:color w:val="auto"/>
                <w:sz w:val="20"/>
                <w:szCs w:val="20"/>
              </w:rPr>
            </w:pPr>
            <w:r>
              <w:rPr>
                <w:rFonts w:cs="Arial"/>
                <w:color w:val="auto"/>
                <w:sz w:val="20"/>
                <w:szCs w:val="20"/>
              </w:rPr>
              <w:t>0</w:t>
            </w:r>
          </w:p>
        </w:tc>
        <w:tc>
          <w:tcPr>
            <w:cnfStyle w:val="000010000000"/>
            <w:tcW w:w="994" w:type="dxa"/>
            <w:vAlign w:val="center"/>
          </w:tcPr>
          <w:p w:rsidR="00ED06F5" w:rsidRPr="00F46D9B" w:rsidRDefault="00F46D9B" w:rsidP="00ED06F5">
            <w:pPr>
              <w:spacing w:after="0" w:line="210" w:lineRule="atLeast"/>
              <w:jc w:val="center"/>
              <w:rPr>
                <w:rFonts w:cs="Arial"/>
                <w:b/>
                <w:color w:val="auto"/>
                <w:sz w:val="20"/>
                <w:szCs w:val="20"/>
              </w:rPr>
            </w:pPr>
            <w:r w:rsidRPr="00F46D9B">
              <w:rPr>
                <w:rFonts w:cs="Arial"/>
                <w:b/>
                <w:color w:val="auto"/>
                <w:sz w:val="20"/>
                <w:szCs w:val="20"/>
              </w:rPr>
              <w:t>1.8</w:t>
            </w:r>
          </w:p>
        </w:tc>
        <w:tc>
          <w:tcPr>
            <w:tcW w:w="813" w:type="dxa"/>
            <w:vAlign w:val="center"/>
          </w:tcPr>
          <w:p w:rsidR="00ED06F5" w:rsidRPr="00ED06F5" w:rsidRDefault="007227F8" w:rsidP="00ED06F5">
            <w:pPr>
              <w:spacing w:after="0" w:line="210" w:lineRule="atLeast"/>
              <w:jc w:val="center"/>
              <w:cnfStyle w:val="000000100000"/>
              <w:rPr>
                <w:rFonts w:cs="Arial"/>
                <w:color w:val="auto"/>
                <w:sz w:val="20"/>
                <w:szCs w:val="20"/>
              </w:rPr>
            </w:pPr>
            <w:r>
              <w:rPr>
                <w:rFonts w:cs="Arial"/>
                <w:color w:val="auto"/>
                <w:sz w:val="20"/>
                <w:szCs w:val="20"/>
              </w:rPr>
              <w:t>1.1</w:t>
            </w:r>
          </w:p>
        </w:tc>
      </w:tr>
      <w:tr w:rsidR="00ED06F5" w:rsidRPr="00ED06F5" w:rsidTr="00ED06F5">
        <w:trPr>
          <w:trHeight w:val="402"/>
        </w:trPr>
        <w:tc>
          <w:tcPr>
            <w:cnfStyle w:val="001000000000"/>
            <w:tcW w:w="7636" w:type="dxa"/>
            <w:vAlign w:val="center"/>
          </w:tcPr>
          <w:p w:rsidR="00ED06F5" w:rsidRPr="00ED06F5" w:rsidRDefault="00ED06F5" w:rsidP="00ED06F5">
            <w:pPr>
              <w:pStyle w:val="CodeNotesExampleText"/>
              <w:spacing w:line="210" w:lineRule="atLeast"/>
              <w:ind w:left="105"/>
              <w:rPr>
                <w:rFonts w:cs="Arial"/>
                <w:b w:val="0"/>
                <w:color w:val="auto"/>
                <w:sz w:val="20"/>
                <w:szCs w:val="20"/>
              </w:rPr>
            </w:pPr>
            <w:r w:rsidRPr="00ED06F5">
              <w:rPr>
                <w:rFonts w:cs="Arial"/>
                <w:b w:val="0"/>
                <w:color w:val="auto"/>
                <w:sz w:val="20"/>
                <w:szCs w:val="20"/>
              </w:rPr>
              <w:t>Derecognition - Disposals</w:t>
            </w:r>
          </w:p>
        </w:tc>
        <w:tc>
          <w:tcPr>
            <w:cnfStyle w:val="000010000000"/>
            <w:tcW w:w="994" w:type="dxa"/>
            <w:vAlign w:val="center"/>
          </w:tcPr>
          <w:p w:rsidR="00ED06F5" w:rsidRPr="00C81A6A" w:rsidRDefault="00D15983" w:rsidP="00ED06F5">
            <w:pPr>
              <w:spacing w:after="0" w:line="210" w:lineRule="atLeast"/>
              <w:jc w:val="center"/>
              <w:rPr>
                <w:rFonts w:cs="Arial"/>
                <w:color w:val="auto"/>
                <w:sz w:val="20"/>
                <w:szCs w:val="20"/>
                <w:highlight w:val="yellow"/>
              </w:rPr>
            </w:pPr>
            <w:r w:rsidRPr="00F46D9B">
              <w:rPr>
                <w:rFonts w:cs="Arial"/>
                <w:color w:val="auto"/>
                <w:sz w:val="20"/>
                <w:szCs w:val="20"/>
              </w:rPr>
              <w:t>0.2</w:t>
            </w:r>
          </w:p>
        </w:tc>
        <w:tc>
          <w:tcPr>
            <w:tcW w:w="1136" w:type="dxa"/>
            <w:vAlign w:val="center"/>
          </w:tcPr>
          <w:p w:rsidR="00ED06F5" w:rsidRPr="00ED06F5" w:rsidRDefault="00435AA8" w:rsidP="00ED06F5">
            <w:pPr>
              <w:spacing w:after="0" w:line="210" w:lineRule="atLeast"/>
              <w:jc w:val="center"/>
              <w:cnfStyle w:val="000000000000"/>
              <w:rPr>
                <w:rFonts w:cs="Arial"/>
                <w:color w:val="auto"/>
                <w:sz w:val="20"/>
                <w:szCs w:val="20"/>
              </w:rPr>
            </w:pPr>
            <w:r>
              <w:rPr>
                <w:rFonts w:cs="Arial"/>
                <w:color w:val="auto"/>
                <w:sz w:val="20"/>
                <w:szCs w:val="20"/>
              </w:rPr>
              <w:t>0.2</w:t>
            </w:r>
          </w:p>
        </w:tc>
        <w:tc>
          <w:tcPr>
            <w:cnfStyle w:val="000010000000"/>
            <w:tcW w:w="853" w:type="dxa"/>
            <w:vAlign w:val="center"/>
          </w:tcPr>
          <w:p w:rsidR="00ED06F5" w:rsidRPr="00ED06F5" w:rsidRDefault="00C96D86" w:rsidP="00ED06F5">
            <w:pPr>
              <w:spacing w:after="0" w:line="210" w:lineRule="atLeast"/>
              <w:jc w:val="center"/>
              <w:rPr>
                <w:rFonts w:cs="Arial"/>
                <w:color w:val="auto"/>
                <w:sz w:val="20"/>
                <w:szCs w:val="20"/>
              </w:rPr>
            </w:pPr>
            <w:r>
              <w:rPr>
                <w:rFonts w:cs="Arial"/>
                <w:color w:val="auto"/>
                <w:sz w:val="20"/>
                <w:szCs w:val="20"/>
              </w:rPr>
              <w:t>0</w:t>
            </w:r>
          </w:p>
        </w:tc>
        <w:tc>
          <w:tcPr>
            <w:tcW w:w="852" w:type="dxa"/>
            <w:vAlign w:val="center"/>
          </w:tcPr>
          <w:p w:rsidR="00ED06F5" w:rsidRPr="00ED06F5" w:rsidRDefault="00D041ED" w:rsidP="00ED06F5">
            <w:pPr>
              <w:spacing w:after="0" w:line="210" w:lineRule="atLeast"/>
              <w:jc w:val="center"/>
              <w:cnfStyle w:val="000000000000"/>
              <w:rPr>
                <w:rFonts w:cs="Arial"/>
                <w:color w:val="auto"/>
                <w:sz w:val="20"/>
                <w:szCs w:val="20"/>
              </w:rPr>
            </w:pPr>
            <w:r>
              <w:rPr>
                <w:rFonts w:cs="Arial"/>
                <w:color w:val="auto"/>
                <w:sz w:val="20"/>
                <w:szCs w:val="20"/>
              </w:rPr>
              <w:t>0</w:t>
            </w:r>
          </w:p>
        </w:tc>
        <w:tc>
          <w:tcPr>
            <w:cnfStyle w:val="000010000000"/>
            <w:tcW w:w="828" w:type="dxa"/>
            <w:vAlign w:val="center"/>
          </w:tcPr>
          <w:p w:rsidR="00ED06F5" w:rsidRPr="00ED06F5" w:rsidRDefault="00C96D86" w:rsidP="00ED06F5">
            <w:pPr>
              <w:spacing w:after="0" w:line="210" w:lineRule="atLeast"/>
              <w:jc w:val="center"/>
              <w:rPr>
                <w:rFonts w:cs="Arial"/>
                <w:color w:val="auto"/>
                <w:sz w:val="20"/>
                <w:szCs w:val="20"/>
              </w:rPr>
            </w:pPr>
            <w:r>
              <w:rPr>
                <w:rFonts w:cs="Arial"/>
                <w:color w:val="auto"/>
                <w:sz w:val="20"/>
                <w:szCs w:val="20"/>
              </w:rPr>
              <w:t>0</w:t>
            </w:r>
          </w:p>
        </w:tc>
        <w:tc>
          <w:tcPr>
            <w:tcW w:w="735" w:type="dxa"/>
            <w:vAlign w:val="center"/>
          </w:tcPr>
          <w:p w:rsidR="00ED06F5" w:rsidRPr="00ED06F5" w:rsidRDefault="00D041ED" w:rsidP="00ED06F5">
            <w:pPr>
              <w:spacing w:after="0" w:line="210" w:lineRule="atLeast"/>
              <w:jc w:val="center"/>
              <w:cnfStyle w:val="000000000000"/>
              <w:rPr>
                <w:rFonts w:cs="Arial"/>
                <w:color w:val="auto"/>
                <w:sz w:val="20"/>
                <w:szCs w:val="20"/>
              </w:rPr>
            </w:pPr>
            <w:r>
              <w:rPr>
                <w:rFonts w:cs="Arial"/>
                <w:color w:val="auto"/>
                <w:sz w:val="20"/>
                <w:szCs w:val="20"/>
              </w:rPr>
              <w:t>0</w:t>
            </w:r>
          </w:p>
        </w:tc>
        <w:tc>
          <w:tcPr>
            <w:cnfStyle w:val="000010000000"/>
            <w:tcW w:w="994" w:type="dxa"/>
            <w:vAlign w:val="center"/>
          </w:tcPr>
          <w:p w:rsidR="00ED06F5" w:rsidRPr="00F46D9B" w:rsidRDefault="005308A5" w:rsidP="00ED06F5">
            <w:pPr>
              <w:spacing w:after="0" w:line="210" w:lineRule="atLeast"/>
              <w:jc w:val="center"/>
              <w:rPr>
                <w:rFonts w:cs="Arial"/>
                <w:b/>
                <w:color w:val="auto"/>
                <w:sz w:val="20"/>
                <w:szCs w:val="20"/>
              </w:rPr>
            </w:pPr>
            <w:r w:rsidRPr="00F46D9B">
              <w:rPr>
                <w:rFonts w:cs="Arial"/>
                <w:b/>
                <w:color w:val="auto"/>
                <w:sz w:val="20"/>
                <w:szCs w:val="20"/>
              </w:rPr>
              <w:t>0.4</w:t>
            </w:r>
          </w:p>
        </w:tc>
        <w:tc>
          <w:tcPr>
            <w:tcW w:w="813" w:type="dxa"/>
            <w:vAlign w:val="center"/>
          </w:tcPr>
          <w:p w:rsidR="00ED06F5" w:rsidRPr="00ED06F5" w:rsidRDefault="007227F8" w:rsidP="00ED06F5">
            <w:pPr>
              <w:spacing w:after="0" w:line="210" w:lineRule="atLeast"/>
              <w:jc w:val="center"/>
              <w:cnfStyle w:val="000000000000"/>
              <w:rPr>
                <w:rFonts w:cs="Arial"/>
                <w:color w:val="auto"/>
                <w:sz w:val="20"/>
                <w:szCs w:val="20"/>
              </w:rPr>
            </w:pPr>
            <w:r>
              <w:rPr>
                <w:rFonts w:cs="Arial"/>
                <w:color w:val="auto"/>
                <w:sz w:val="20"/>
                <w:szCs w:val="20"/>
              </w:rPr>
              <w:t>0</w:t>
            </w:r>
          </w:p>
        </w:tc>
      </w:tr>
      <w:tr w:rsidR="00ED06F5" w:rsidRPr="00ED06F5" w:rsidTr="00ED06F5">
        <w:trPr>
          <w:cnfStyle w:val="000000100000"/>
          <w:trHeight w:val="316"/>
        </w:trPr>
        <w:tc>
          <w:tcPr>
            <w:cnfStyle w:val="001000000000"/>
            <w:tcW w:w="7636" w:type="dxa"/>
            <w:vAlign w:val="center"/>
          </w:tcPr>
          <w:p w:rsidR="00ED06F5" w:rsidRPr="00F46D9B" w:rsidRDefault="00ED06F5" w:rsidP="00ED06F5">
            <w:pPr>
              <w:pStyle w:val="CodeNotesExampleText"/>
              <w:spacing w:line="210" w:lineRule="atLeast"/>
              <w:ind w:left="105"/>
              <w:rPr>
                <w:rFonts w:cs="Arial"/>
                <w:b w:val="0"/>
                <w:color w:val="auto"/>
                <w:sz w:val="20"/>
                <w:szCs w:val="20"/>
              </w:rPr>
            </w:pPr>
            <w:r w:rsidRPr="00F46D9B">
              <w:rPr>
                <w:rFonts w:cs="Arial"/>
                <w:b w:val="0"/>
                <w:color w:val="auto"/>
                <w:sz w:val="20"/>
                <w:szCs w:val="20"/>
              </w:rPr>
              <w:t>Other movements in Depreciation and Impairment</w:t>
            </w:r>
          </w:p>
        </w:tc>
        <w:tc>
          <w:tcPr>
            <w:cnfStyle w:val="000010000000"/>
            <w:tcW w:w="994" w:type="dxa"/>
            <w:vAlign w:val="center"/>
          </w:tcPr>
          <w:p w:rsidR="00ED06F5" w:rsidRPr="00F46D9B" w:rsidRDefault="00D15983" w:rsidP="00ED06F5">
            <w:pPr>
              <w:spacing w:after="0" w:line="210" w:lineRule="atLeast"/>
              <w:jc w:val="center"/>
              <w:rPr>
                <w:rFonts w:cs="Arial"/>
                <w:color w:val="auto"/>
                <w:sz w:val="20"/>
                <w:szCs w:val="20"/>
              </w:rPr>
            </w:pPr>
            <w:r w:rsidRPr="00F46D9B">
              <w:rPr>
                <w:rFonts w:cs="Arial"/>
                <w:color w:val="auto"/>
                <w:sz w:val="20"/>
                <w:szCs w:val="20"/>
              </w:rPr>
              <w:t>0</w:t>
            </w:r>
          </w:p>
        </w:tc>
        <w:tc>
          <w:tcPr>
            <w:tcW w:w="1136" w:type="dxa"/>
            <w:vAlign w:val="center"/>
          </w:tcPr>
          <w:p w:rsidR="00435AA8" w:rsidRPr="00ED06F5" w:rsidRDefault="00435AA8" w:rsidP="00435AA8">
            <w:pPr>
              <w:spacing w:after="0" w:line="210" w:lineRule="atLeast"/>
              <w:jc w:val="center"/>
              <w:cnfStyle w:val="000000100000"/>
              <w:rPr>
                <w:rFonts w:cs="Arial"/>
                <w:color w:val="auto"/>
                <w:sz w:val="20"/>
                <w:szCs w:val="20"/>
              </w:rPr>
            </w:pPr>
            <w:r>
              <w:rPr>
                <w:rFonts w:cs="Arial"/>
                <w:color w:val="auto"/>
                <w:sz w:val="20"/>
                <w:szCs w:val="20"/>
              </w:rPr>
              <w:t>0</w:t>
            </w:r>
          </w:p>
        </w:tc>
        <w:tc>
          <w:tcPr>
            <w:cnfStyle w:val="000010000000"/>
            <w:tcW w:w="853" w:type="dxa"/>
            <w:vAlign w:val="center"/>
          </w:tcPr>
          <w:p w:rsidR="00ED06F5" w:rsidRPr="00ED06F5" w:rsidRDefault="00C96D86" w:rsidP="00ED06F5">
            <w:pPr>
              <w:spacing w:after="0" w:line="210" w:lineRule="atLeast"/>
              <w:jc w:val="center"/>
              <w:rPr>
                <w:rFonts w:cs="Arial"/>
                <w:color w:val="auto"/>
                <w:sz w:val="20"/>
                <w:szCs w:val="20"/>
              </w:rPr>
            </w:pPr>
            <w:r>
              <w:rPr>
                <w:rFonts w:cs="Arial"/>
                <w:color w:val="auto"/>
                <w:sz w:val="20"/>
                <w:szCs w:val="20"/>
              </w:rPr>
              <w:t>0</w:t>
            </w:r>
          </w:p>
        </w:tc>
        <w:tc>
          <w:tcPr>
            <w:tcW w:w="852" w:type="dxa"/>
            <w:vAlign w:val="center"/>
          </w:tcPr>
          <w:p w:rsidR="00ED06F5" w:rsidRPr="00ED06F5" w:rsidRDefault="00D041ED" w:rsidP="00ED06F5">
            <w:pPr>
              <w:spacing w:after="0" w:line="210" w:lineRule="atLeast"/>
              <w:jc w:val="center"/>
              <w:cnfStyle w:val="000000100000"/>
              <w:rPr>
                <w:rFonts w:cs="Arial"/>
                <w:color w:val="auto"/>
                <w:sz w:val="20"/>
                <w:szCs w:val="20"/>
              </w:rPr>
            </w:pPr>
            <w:r>
              <w:rPr>
                <w:rFonts w:cs="Arial"/>
                <w:color w:val="auto"/>
                <w:sz w:val="20"/>
                <w:szCs w:val="20"/>
              </w:rPr>
              <w:t>0</w:t>
            </w:r>
          </w:p>
        </w:tc>
        <w:tc>
          <w:tcPr>
            <w:cnfStyle w:val="000010000000"/>
            <w:tcW w:w="828" w:type="dxa"/>
            <w:vAlign w:val="center"/>
          </w:tcPr>
          <w:p w:rsidR="00ED06F5" w:rsidRPr="00ED06F5" w:rsidRDefault="00C96D86" w:rsidP="00ED06F5">
            <w:pPr>
              <w:spacing w:after="0" w:line="210" w:lineRule="atLeast"/>
              <w:jc w:val="center"/>
              <w:rPr>
                <w:rFonts w:cs="Arial"/>
                <w:color w:val="auto"/>
                <w:sz w:val="20"/>
                <w:szCs w:val="20"/>
              </w:rPr>
            </w:pPr>
            <w:r>
              <w:rPr>
                <w:rFonts w:cs="Arial"/>
                <w:color w:val="auto"/>
                <w:sz w:val="20"/>
                <w:szCs w:val="20"/>
              </w:rPr>
              <w:t>0</w:t>
            </w:r>
          </w:p>
        </w:tc>
        <w:tc>
          <w:tcPr>
            <w:tcW w:w="735" w:type="dxa"/>
            <w:vAlign w:val="center"/>
          </w:tcPr>
          <w:p w:rsidR="00ED06F5" w:rsidRPr="00ED06F5" w:rsidRDefault="00D041ED" w:rsidP="00ED06F5">
            <w:pPr>
              <w:spacing w:after="0" w:line="210" w:lineRule="atLeast"/>
              <w:jc w:val="center"/>
              <w:cnfStyle w:val="000000100000"/>
              <w:rPr>
                <w:rFonts w:cs="Arial"/>
                <w:color w:val="auto"/>
                <w:sz w:val="20"/>
                <w:szCs w:val="20"/>
              </w:rPr>
            </w:pPr>
            <w:r>
              <w:rPr>
                <w:rFonts w:cs="Arial"/>
                <w:color w:val="auto"/>
                <w:sz w:val="20"/>
                <w:szCs w:val="20"/>
              </w:rPr>
              <w:t>0</w:t>
            </w:r>
          </w:p>
        </w:tc>
        <w:tc>
          <w:tcPr>
            <w:cnfStyle w:val="000010000000"/>
            <w:tcW w:w="994" w:type="dxa"/>
            <w:vAlign w:val="center"/>
          </w:tcPr>
          <w:p w:rsidR="00ED06F5" w:rsidRPr="00F46D9B" w:rsidRDefault="005308A5" w:rsidP="00ED06F5">
            <w:pPr>
              <w:spacing w:after="0" w:line="210" w:lineRule="atLeast"/>
              <w:jc w:val="center"/>
              <w:rPr>
                <w:rFonts w:cs="Arial"/>
                <w:b/>
                <w:color w:val="auto"/>
                <w:sz w:val="20"/>
                <w:szCs w:val="20"/>
              </w:rPr>
            </w:pPr>
            <w:r w:rsidRPr="00F46D9B">
              <w:rPr>
                <w:rFonts w:cs="Arial"/>
                <w:b/>
                <w:color w:val="auto"/>
                <w:sz w:val="20"/>
                <w:szCs w:val="20"/>
              </w:rPr>
              <w:t>0</w:t>
            </w:r>
          </w:p>
        </w:tc>
        <w:tc>
          <w:tcPr>
            <w:tcW w:w="813" w:type="dxa"/>
            <w:vAlign w:val="center"/>
          </w:tcPr>
          <w:p w:rsidR="00ED06F5" w:rsidRPr="00ED06F5" w:rsidRDefault="007227F8" w:rsidP="00ED06F5">
            <w:pPr>
              <w:spacing w:after="0" w:line="210" w:lineRule="atLeast"/>
              <w:jc w:val="center"/>
              <w:cnfStyle w:val="000000100000"/>
              <w:rPr>
                <w:rFonts w:cs="Arial"/>
                <w:color w:val="auto"/>
                <w:sz w:val="20"/>
                <w:szCs w:val="20"/>
              </w:rPr>
            </w:pPr>
            <w:r>
              <w:rPr>
                <w:rFonts w:cs="Arial"/>
                <w:color w:val="auto"/>
                <w:sz w:val="20"/>
                <w:szCs w:val="20"/>
              </w:rPr>
              <w:t>0</w:t>
            </w:r>
          </w:p>
        </w:tc>
      </w:tr>
      <w:tr w:rsidR="00ED06F5" w:rsidRPr="00ED06F5" w:rsidTr="00ED06F5">
        <w:trPr>
          <w:trHeight w:val="320"/>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0"/>
                <w:szCs w:val="20"/>
              </w:rPr>
            </w:pPr>
            <w:r w:rsidRPr="00ED06F5">
              <w:rPr>
                <w:rFonts w:cs="Arial"/>
                <w:bCs w:val="0"/>
                <w:color w:val="auto"/>
                <w:sz w:val="20"/>
                <w:szCs w:val="20"/>
              </w:rPr>
              <w:t>As at 31st March 2016</w:t>
            </w:r>
          </w:p>
        </w:tc>
        <w:tc>
          <w:tcPr>
            <w:cnfStyle w:val="000010000000"/>
            <w:tcW w:w="994" w:type="dxa"/>
            <w:vAlign w:val="center"/>
          </w:tcPr>
          <w:p w:rsidR="00ED06F5" w:rsidRPr="00C81A6A" w:rsidRDefault="00D15983" w:rsidP="00D62F9B">
            <w:pPr>
              <w:spacing w:after="0" w:line="210" w:lineRule="atLeast"/>
              <w:jc w:val="center"/>
              <w:rPr>
                <w:rFonts w:cs="Arial"/>
                <w:b/>
                <w:color w:val="auto"/>
                <w:sz w:val="20"/>
                <w:szCs w:val="20"/>
                <w:highlight w:val="yellow"/>
              </w:rPr>
            </w:pPr>
            <w:r w:rsidRPr="00F46D9B">
              <w:rPr>
                <w:rFonts w:cs="Arial"/>
                <w:b/>
                <w:color w:val="auto"/>
                <w:sz w:val="20"/>
                <w:szCs w:val="20"/>
              </w:rPr>
              <w:t>(</w:t>
            </w:r>
            <w:r w:rsidR="00D62F9B">
              <w:rPr>
                <w:rFonts w:cs="Arial"/>
                <w:b/>
                <w:color w:val="auto"/>
                <w:sz w:val="20"/>
                <w:szCs w:val="20"/>
              </w:rPr>
              <w:t>7.0</w:t>
            </w:r>
            <w:r w:rsidRPr="00F46D9B">
              <w:rPr>
                <w:rFonts w:cs="Arial"/>
                <w:b/>
                <w:color w:val="auto"/>
                <w:sz w:val="20"/>
                <w:szCs w:val="20"/>
              </w:rPr>
              <w:t>)</w:t>
            </w:r>
          </w:p>
        </w:tc>
        <w:tc>
          <w:tcPr>
            <w:tcW w:w="1136" w:type="dxa"/>
            <w:vAlign w:val="center"/>
          </w:tcPr>
          <w:p w:rsidR="00ED06F5" w:rsidRPr="00ED06F5" w:rsidRDefault="00435AA8" w:rsidP="00435AA8">
            <w:pPr>
              <w:spacing w:after="0" w:line="210" w:lineRule="atLeast"/>
              <w:jc w:val="center"/>
              <w:cnfStyle w:val="000000000000"/>
              <w:rPr>
                <w:rFonts w:cs="Arial"/>
                <w:b/>
                <w:color w:val="auto"/>
                <w:sz w:val="20"/>
                <w:szCs w:val="20"/>
              </w:rPr>
            </w:pPr>
            <w:r>
              <w:rPr>
                <w:rFonts w:cs="Arial"/>
                <w:b/>
                <w:color w:val="auto"/>
                <w:sz w:val="20"/>
                <w:szCs w:val="20"/>
              </w:rPr>
              <w:t>(14.0)</w:t>
            </w:r>
          </w:p>
        </w:tc>
        <w:tc>
          <w:tcPr>
            <w:cnfStyle w:val="000010000000"/>
            <w:tcW w:w="853" w:type="dxa"/>
            <w:vAlign w:val="center"/>
          </w:tcPr>
          <w:p w:rsidR="00ED06F5" w:rsidRPr="00ED06F5" w:rsidRDefault="00D041ED" w:rsidP="00ED06F5">
            <w:pPr>
              <w:spacing w:after="0" w:line="210" w:lineRule="atLeast"/>
              <w:jc w:val="center"/>
              <w:rPr>
                <w:rFonts w:cs="Arial"/>
                <w:b/>
                <w:color w:val="auto"/>
                <w:sz w:val="20"/>
                <w:szCs w:val="20"/>
              </w:rPr>
            </w:pPr>
            <w:r>
              <w:rPr>
                <w:rFonts w:cs="Arial"/>
                <w:b/>
                <w:color w:val="auto"/>
                <w:sz w:val="20"/>
                <w:szCs w:val="20"/>
              </w:rPr>
              <w:t>(28.0)</w:t>
            </w:r>
          </w:p>
        </w:tc>
        <w:tc>
          <w:tcPr>
            <w:tcW w:w="852" w:type="dxa"/>
            <w:vAlign w:val="center"/>
          </w:tcPr>
          <w:p w:rsidR="00ED06F5" w:rsidRPr="00ED06F5" w:rsidRDefault="00D041ED" w:rsidP="00ED06F5">
            <w:pPr>
              <w:spacing w:after="0" w:line="210" w:lineRule="atLeast"/>
              <w:jc w:val="center"/>
              <w:cnfStyle w:val="000000000000"/>
              <w:rPr>
                <w:rFonts w:cs="Arial"/>
                <w:b/>
                <w:color w:val="auto"/>
                <w:sz w:val="20"/>
                <w:szCs w:val="20"/>
              </w:rPr>
            </w:pPr>
            <w:r>
              <w:rPr>
                <w:rFonts w:cs="Arial"/>
                <w:b/>
                <w:color w:val="auto"/>
                <w:sz w:val="20"/>
                <w:szCs w:val="20"/>
              </w:rPr>
              <w:t>(0.4)</w:t>
            </w:r>
          </w:p>
        </w:tc>
        <w:tc>
          <w:tcPr>
            <w:cnfStyle w:val="000010000000"/>
            <w:tcW w:w="828" w:type="dxa"/>
            <w:vAlign w:val="center"/>
          </w:tcPr>
          <w:p w:rsidR="00ED06F5" w:rsidRPr="00F46D9B" w:rsidRDefault="00C96D86" w:rsidP="00ED06F5">
            <w:pPr>
              <w:spacing w:after="0" w:line="210" w:lineRule="atLeast"/>
              <w:jc w:val="center"/>
              <w:rPr>
                <w:rFonts w:cs="Arial"/>
                <w:b/>
                <w:color w:val="auto"/>
                <w:sz w:val="20"/>
                <w:szCs w:val="20"/>
              </w:rPr>
            </w:pPr>
            <w:r w:rsidRPr="00F46D9B">
              <w:rPr>
                <w:rFonts w:cs="Arial"/>
                <w:b/>
                <w:color w:val="auto"/>
                <w:sz w:val="20"/>
                <w:szCs w:val="20"/>
              </w:rPr>
              <w:t>0</w:t>
            </w:r>
          </w:p>
        </w:tc>
        <w:tc>
          <w:tcPr>
            <w:tcW w:w="735" w:type="dxa"/>
            <w:vAlign w:val="center"/>
          </w:tcPr>
          <w:p w:rsidR="00ED06F5" w:rsidRPr="00F46D9B" w:rsidRDefault="00D041ED" w:rsidP="00ED06F5">
            <w:pPr>
              <w:spacing w:after="0" w:line="210" w:lineRule="atLeast"/>
              <w:jc w:val="center"/>
              <w:cnfStyle w:val="000000000000"/>
              <w:rPr>
                <w:rFonts w:cs="Arial"/>
                <w:b/>
                <w:color w:val="auto"/>
                <w:sz w:val="20"/>
                <w:szCs w:val="20"/>
              </w:rPr>
            </w:pPr>
            <w:r w:rsidRPr="00F46D9B">
              <w:rPr>
                <w:rFonts w:cs="Arial"/>
                <w:b/>
                <w:color w:val="auto"/>
                <w:sz w:val="20"/>
                <w:szCs w:val="20"/>
              </w:rPr>
              <w:t>0</w:t>
            </w:r>
          </w:p>
        </w:tc>
        <w:tc>
          <w:tcPr>
            <w:cnfStyle w:val="000010000000"/>
            <w:tcW w:w="994" w:type="dxa"/>
            <w:vAlign w:val="center"/>
          </w:tcPr>
          <w:p w:rsidR="00ED06F5" w:rsidRPr="00F46D9B" w:rsidRDefault="005308A5" w:rsidP="00D62F9B">
            <w:pPr>
              <w:spacing w:after="0" w:line="210" w:lineRule="atLeast"/>
              <w:jc w:val="center"/>
              <w:rPr>
                <w:rFonts w:cs="Arial"/>
                <w:b/>
                <w:color w:val="auto"/>
                <w:sz w:val="20"/>
                <w:szCs w:val="20"/>
              </w:rPr>
            </w:pPr>
            <w:r w:rsidRPr="00F46D9B">
              <w:rPr>
                <w:rFonts w:cs="Arial"/>
                <w:b/>
                <w:color w:val="auto"/>
                <w:sz w:val="20"/>
                <w:szCs w:val="20"/>
              </w:rPr>
              <w:t>(</w:t>
            </w:r>
            <w:r w:rsidR="00F46D9B" w:rsidRPr="00F46D9B">
              <w:rPr>
                <w:rFonts w:cs="Arial"/>
                <w:b/>
                <w:color w:val="auto"/>
                <w:sz w:val="20"/>
                <w:szCs w:val="20"/>
              </w:rPr>
              <w:t>49.</w:t>
            </w:r>
            <w:r w:rsidR="00D62F9B">
              <w:rPr>
                <w:rFonts w:cs="Arial"/>
                <w:b/>
                <w:color w:val="auto"/>
                <w:sz w:val="20"/>
                <w:szCs w:val="20"/>
              </w:rPr>
              <w:t>4</w:t>
            </w:r>
            <w:r w:rsidRPr="00F46D9B">
              <w:rPr>
                <w:rFonts w:cs="Arial"/>
                <w:b/>
                <w:color w:val="auto"/>
                <w:sz w:val="20"/>
                <w:szCs w:val="20"/>
              </w:rPr>
              <w:t>)</w:t>
            </w:r>
          </w:p>
        </w:tc>
        <w:tc>
          <w:tcPr>
            <w:tcW w:w="813" w:type="dxa"/>
            <w:vAlign w:val="center"/>
          </w:tcPr>
          <w:p w:rsidR="00ED06F5" w:rsidRPr="00F46D9B" w:rsidRDefault="007227F8" w:rsidP="00ED06F5">
            <w:pPr>
              <w:spacing w:after="0" w:line="210" w:lineRule="atLeast"/>
              <w:jc w:val="center"/>
              <w:cnfStyle w:val="000000000000"/>
              <w:rPr>
                <w:rFonts w:cs="Arial"/>
                <w:b/>
                <w:color w:val="auto"/>
                <w:sz w:val="20"/>
                <w:szCs w:val="20"/>
              </w:rPr>
            </w:pPr>
            <w:r>
              <w:rPr>
                <w:rFonts w:cs="Arial"/>
                <w:b/>
                <w:color w:val="auto"/>
                <w:sz w:val="20"/>
                <w:szCs w:val="20"/>
              </w:rPr>
              <w:t>(0.8)</w:t>
            </w:r>
          </w:p>
        </w:tc>
      </w:tr>
      <w:tr w:rsidR="00ED06F5" w:rsidRPr="00ED06F5" w:rsidTr="00ED06F5">
        <w:trPr>
          <w:cnfStyle w:val="000000100000"/>
          <w:trHeight w:val="269"/>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2"/>
                <w:szCs w:val="22"/>
              </w:rPr>
            </w:pPr>
            <w:r w:rsidRPr="00ED06F5">
              <w:rPr>
                <w:rFonts w:cs="Arial"/>
                <w:bCs w:val="0"/>
                <w:color w:val="auto"/>
                <w:sz w:val="22"/>
                <w:szCs w:val="22"/>
              </w:rPr>
              <w:t>Net Book Value:-</w:t>
            </w:r>
          </w:p>
        </w:tc>
        <w:tc>
          <w:tcPr>
            <w:cnfStyle w:val="000010000000"/>
            <w:tcW w:w="994" w:type="dxa"/>
            <w:vAlign w:val="center"/>
          </w:tcPr>
          <w:p w:rsidR="00ED06F5" w:rsidRPr="00C81A6A" w:rsidRDefault="00ED06F5" w:rsidP="00ED06F5">
            <w:pPr>
              <w:pStyle w:val="CodeNotesExampleText"/>
              <w:spacing w:line="210" w:lineRule="atLeast"/>
              <w:ind w:left="567"/>
              <w:jc w:val="center"/>
              <w:rPr>
                <w:rFonts w:cs="Arial"/>
                <w:b/>
                <w:color w:val="auto"/>
                <w:sz w:val="20"/>
                <w:szCs w:val="20"/>
                <w:highlight w:val="yellow"/>
              </w:rPr>
            </w:pPr>
          </w:p>
        </w:tc>
        <w:tc>
          <w:tcPr>
            <w:tcW w:w="1136" w:type="dxa"/>
            <w:vAlign w:val="center"/>
          </w:tcPr>
          <w:p w:rsidR="00ED06F5" w:rsidRPr="00ED06F5" w:rsidRDefault="00ED06F5" w:rsidP="00ED06F5">
            <w:pPr>
              <w:pStyle w:val="CodeNotesExampleText"/>
              <w:spacing w:line="210" w:lineRule="atLeast"/>
              <w:jc w:val="center"/>
              <w:cnfStyle w:val="000000100000"/>
              <w:rPr>
                <w:rFonts w:cs="Arial"/>
                <w:b/>
                <w:color w:val="auto"/>
                <w:sz w:val="20"/>
                <w:szCs w:val="20"/>
              </w:rPr>
            </w:pPr>
          </w:p>
        </w:tc>
        <w:tc>
          <w:tcPr>
            <w:cnfStyle w:val="000010000000"/>
            <w:tcW w:w="853" w:type="dxa"/>
            <w:vAlign w:val="center"/>
          </w:tcPr>
          <w:p w:rsidR="00ED06F5" w:rsidRPr="00ED06F5" w:rsidRDefault="00ED06F5" w:rsidP="00ED06F5">
            <w:pPr>
              <w:pStyle w:val="CodeNotesExampleText"/>
              <w:spacing w:line="210" w:lineRule="atLeast"/>
              <w:ind w:left="567"/>
              <w:jc w:val="center"/>
              <w:rPr>
                <w:rFonts w:cs="Arial"/>
                <w:b/>
                <w:color w:val="auto"/>
                <w:sz w:val="20"/>
                <w:szCs w:val="20"/>
              </w:rPr>
            </w:pPr>
          </w:p>
        </w:tc>
        <w:tc>
          <w:tcPr>
            <w:tcW w:w="852"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828" w:type="dxa"/>
            <w:vAlign w:val="center"/>
          </w:tcPr>
          <w:p w:rsidR="00ED06F5" w:rsidRPr="00ED06F5" w:rsidRDefault="00ED06F5" w:rsidP="00ED06F5">
            <w:pPr>
              <w:pStyle w:val="CodeNotesExampleText"/>
              <w:spacing w:line="210" w:lineRule="atLeast"/>
              <w:ind w:left="567"/>
              <w:jc w:val="center"/>
              <w:rPr>
                <w:rFonts w:cs="Arial"/>
                <w:b/>
                <w:bCs/>
                <w:color w:val="auto"/>
              </w:rPr>
            </w:pPr>
          </w:p>
        </w:tc>
        <w:tc>
          <w:tcPr>
            <w:tcW w:w="735" w:type="dxa"/>
            <w:vAlign w:val="center"/>
          </w:tcPr>
          <w:p w:rsidR="00ED06F5" w:rsidRPr="00ED06F5" w:rsidRDefault="00ED06F5" w:rsidP="00ED06F5">
            <w:pPr>
              <w:pStyle w:val="CodeNotesExampleText"/>
              <w:spacing w:line="210" w:lineRule="atLeast"/>
              <w:ind w:left="567"/>
              <w:jc w:val="center"/>
              <w:cnfStyle w:val="000000100000"/>
              <w:rPr>
                <w:rFonts w:cs="Arial"/>
                <w:b/>
                <w:color w:val="auto"/>
                <w:sz w:val="20"/>
                <w:szCs w:val="20"/>
              </w:rPr>
            </w:pPr>
          </w:p>
        </w:tc>
        <w:tc>
          <w:tcPr>
            <w:cnfStyle w:val="000010000000"/>
            <w:tcW w:w="994" w:type="dxa"/>
            <w:vAlign w:val="center"/>
          </w:tcPr>
          <w:p w:rsidR="00ED06F5" w:rsidRPr="00C81A6A" w:rsidRDefault="00ED06F5" w:rsidP="00ED06F5">
            <w:pPr>
              <w:pStyle w:val="CodeNotesExampleText"/>
              <w:spacing w:line="210" w:lineRule="atLeast"/>
              <w:ind w:left="567"/>
              <w:jc w:val="center"/>
              <w:rPr>
                <w:rFonts w:cs="Arial"/>
                <w:b/>
                <w:bCs/>
                <w:color w:val="auto"/>
                <w:sz w:val="20"/>
                <w:szCs w:val="20"/>
                <w:highlight w:val="yellow"/>
              </w:rPr>
            </w:pPr>
          </w:p>
        </w:tc>
        <w:tc>
          <w:tcPr>
            <w:tcW w:w="813" w:type="dxa"/>
            <w:vAlign w:val="center"/>
          </w:tcPr>
          <w:p w:rsidR="00ED06F5" w:rsidRPr="00ED06F5" w:rsidRDefault="00ED06F5" w:rsidP="00ED06F5">
            <w:pPr>
              <w:pStyle w:val="CodeNotesExampleText"/>
              <w:spacing w:line="210" w:lineRule="atLeast"/>
              <w:ind w:left="567"/>
              <w:jc w:val="center"/>
              <w:cnfStyle w:val="000000100000"/>
              <w:rPr>
                <w:rFonts w:cs="Arial"/>
                <w:b/>
                <w:bCs/>
                <w:color w:val="auto"/>
                <w:sz w:val="20"/>
                <w:szCs w:val="20"/>
              </w:rPr>
            </w:pPr>
          </w:p>
        </w:tc>
      </w:tr>
      <w:tr w:rsidR="00ED06F5" w:rsidRPr="00ED06F5" w:rsidTr="00ED06F5">
        <w:trPr>
          <w:trHeight w:val="402"/>
        </w:trPr>
        <w:tc>
          <w:tcPr>
            <w:cnfStyle w:val="001000000000"/>
            <w:tcW w:w="7636" w:type="dxa"/>
            <w:vAlign w:val="center"/>
          </w:tcPr>
          <w:p w:rsidR="00ED06F5" w:rsidRPr="00ED06F5" w:rsidRDefault="00ED06F5" w:rsidP="00ED06F5">
            <w:pPr>
              <w:pStyle w:val="CodeNotesExampleText"/>
              <w:spacing w:line="210" w:lineRule="atLeast"/>
              <w:ind w:left="105"/>
              <w:rPr>
                <w:rFonts w:cs="Arial"/>
                <w:bCs w:val="0"/>
                <w:color w:val="auto"/>
                <w:sz w:val="20"/>
                <w:szCs w:val="20"/>
              </w:rPr>
            </w:pPr>
            <w:r w:rsidRPr="00ED06F5">
              <w:rPr>
                <w:rFonts w:cs="Arial"/>
                <w:bCs w:val="0"/>
                <w:color w:val="auto"/>
                <w:sz w:val="20"/>
                <w:szCs w:val="20"/>
              </w:rPr>
              <w:t>As at 31</w:t>
            </w:r>
            <w:r w:rsidRPr="00ED06F5">
              <w:rPr>
                <w:rFonts w:cs="Arial"/>
                <w:bCs w:val="0"/>
                <w:color w:val="auto"/>
                <w:sz w:val="20"/>
                <w:szCs w:val="20"/>
                <w:vertAlign w:val="superscript"/>
              </w:rPr>
              <w:t>st</w:t>
            </w:r>
            <w:r w:rsidRPr="00ED06F5">
              <w:rPr>
                <w:rFonts w:cs="Arial"/>
                <w:bCs w:val="0"/>
                <w:color w:val="auto"/>
                <w:sz w:val="20"/>
                <w:szCs w:val="20"/>
              </w:rPr>
              <w:t xml:space="preserve"> March 2016</w:t>
            </w:r>
          </w:p>
        </w:tc>
        <w:tc>
          <w:tcPr>
            <w:cnfStyle w:val="000010000000"/>
            <w:tcW w:w="994" w:type="dxa"/>
            <w:vAlign w:val="center"/>
          </w:tcPr>
          <w:p w:rsidR="00ED06F5" w:rsidRPr="00F46D9B" w:rsidRDefault="005308A5" w:rsidP="00F46D9B">
            <w:pPr>
              <w:spacing w:after="0" w:line="210" w:lineRule="atLeast"/>
              <w:jc w:val="center"/>
              <w:rPr>
                <w:rFonts w:cs="Arial"/>
                <w:b/>
                <w:color w:val="auto"/>
                <w:sz w:val="20"/>
                <w:szCs w:val="20"/>
              </w:rPr>
            </w:pPr>
            <w:r w:rsidRPr="00F46D9B">
              <w:rPr>
                <w:rFonts w:cs="Arial"/>
                <w:b/>
                <w:color w:val="auto"/>
                <w:sz w:val="20"/>
                <w:szCs w:val="20"/>
              </w:rPr>
              <w:t>19</w:t>
            </w:r>
            <w:r w:rsidR="00F46D9B" w:rsidRPr="00F46D9B">
              <w:rPr>
                <w:rFonts w:cs="Arial"/>
                <w:b/>
                <w:color w:val="auto"/>
                <w:sz w:val="20"/>
                <w:szCs w:val="20"/>
              </w:rPr>
              <w:t>9</w:t>
            </w:r>
            <w:r w:rsidRPr="00F46D9B">
              <w:rPr>
                <w:rFonts w:cs="Arial"/>
                <w:b/>
                <w:color w:val="auto"/>
                <w:sz w:val="20"/>
                <w:szCs w:val="20"/>
              </w:rPr>
              <w:t>.</w:t>
            </w:r>
            <w:r w:rsidR="00F46D9B" w:rsidRPr="00F46D9B">
              <w:rPr>
                <w:rFonts w:cs="Arial"/>
                <w:b/>
                <w:color w:val="auto"/>
                <w:sz w:val="20"/>
                <w:szCs w:val="20"/>
              </w:rPr>
              <w:t>0</w:t>
            </w:r>
          </w:p>
        </w:tc>
        <w:tc>
          <w:tcPr>
            <w:tcW w:w="1136" w:type="dxa"/>
            <w:vAlign w:val="center"/>
          </w:tcPr>
          <w:p w:rsidR="00ED06F5" w:rsidRPr="00ED06F5" w:rsidRDefault="00C96D86" w:rsidP="00ED06F5">
            <w:pPr>
              <w:spacing w:after="0" w:line="210" w:lineRule="atLeast"/>
              <w:jc w:val="center"/>
              <w:cnfStyle w:val="000000000000"/>
              <w:rPr>
                <w:rFonts w:cs="Arial"/>
                <w:b/>
                <w:color w:val="auto"/>
                <w:sz w:val="20"/>
                <w:szCs w:val="20"/>
              </w:rPr>
            </w:pPr>
            <w:r>
              <w:rPr>
                <w:rFonts w:cs="Arial"/>
                <w:b/>
                <w:color w:val="auto"/>
                <w:sz w:val="20"/>
                <w:szCs w:val="20"/>
              </w:rPr>
              <w:t>3.0</w:t>
            </w:r>
          </w:p>
        </w:tc>
        <w:tc>
          <w:tcPr>
            <w:cnfStyle w:val="000010000000"/>
            <w:tcW w:w="853" w:type="dxa"/>
            <w:vAlign w:val="center"/>
          </w:tcPr>
          <w:p w:rsidR="00ED06F5" w:rsidRPr="00ED06F5" w:rsidRDefault="00D041ED" w:rsidP="00ED06F5">
            <w:pPr>
              <w:spacing w:after="0" w:line="210" w:lineRule="atLeast"/>
              <w:jc w:val="center"/>
              <w:rPr>
                <w:rFonts w:cs="Arial"/>
                <w:b/>
                <w:color w:val="auto"/>
                <w:sz w:val="20"/>
                <w:szCs w:val="20"/>
              </w:rPr>
            </w:pPr>
            <w:r>
              <w:rPr>
                <w:rFonts w:cs="Arial"/>
                <w:b/>
                <w:color w:val="auto"/>
                <w:sz w:val="20"/>
                <w:szCs w:val="20"/>
              </w:rPr>
              <w:t>92.1</w:t>
            </w:r>
          </w:p>
        </w:tc>
        <w:tc>
          <w:tcPr>
            <w:tcW w:w="852" w:type="dxa"/>
            <w:vAlign w:val="center"/>
          </w:tcPr>
          <w:p w:rsidR="00ED06F5" w:rsidRPr="00ED06F5" w:rsidRDefault="00D041ED" w:rsidP="00D041ED">
            <w:pPr>
              <w:spacing w:after="0" w:line="210" w:lineRule="atLeast"/>
              <w:jc w:val="center"/>
              <w:cnfStyle w:val="000000000000"/>
              <w:rPr>
                <w:rFonts w:cs="Arial"/>
                <w:b/>
                <w:color w:val="auto"/>
                <w:sz w:val="20"/>
                <w:szCs w:val="20"/>
              </w:rPr>
            </w:pPr>
            <w:r>
              <w:rPr>
                <w:rFonts w:cs="Arial"/>
                <w:b/>
                <w:color w:val="auto"/>
                <w:sz w:val="20"/>
                <w:szCs w:val="20"/>
              </w:rPr>
              <w:t>7.1</w:t>
            </w:r>
          </w:p>
        </w:tc>
        <w:tc>
          <w:tcPr>
            <w:cnfStyle w:val="000010000000"/>
            <w:tcW w:w="828" w:type="dxa"/>
            <w:vAlign w:val="center"/>
          </w:tcPr>
          <w:p w:rsidR="00ED06F5" w:rsidRPr="00ED06F5" w:rsidRDefault="00C96D86" w:rsidP="00ED06F5">
            <w:pPr>
              <w:spacing w:after="0" w:line="210" w:lineRule="atLeast"/>
              <w:jc w:val="center"/>
              <w:rPr>
                <w:rFonts w:cs="Arial"/>
                <w:b/>
                <w:color w:val="auto"/>
                <w:sz w:val="20"/>
                <w:szCs w:val="20"/>
              </w:rPr>
            </w:pPr>
            <w:r>
              <w:rPr>
                <w:rFonts w:cs="Arial"/>
                <w:b/>
                <w:color w:val="auto"/>
                <w:sz w:val="20"/>
                <w:szCs w:val="20"/>
              </w:rPr>
              <w:t>1.0</w:t>
            </w:r>
          </w:p>
        </w:tc>
        <w:tc>
          <w:tcPr>
            <w:tcW w:w="735" w:type="dxa"/>
            <w:vAlign w:val="center"/>
          </w:tcPr>
          <w:p w:rsidR="00ED06F5" w:rsidRPr="00ED06F5" w:rsidRDefault="00D041ED" w:rsidP="00ED06F5">
            <w:pPr>
              <w:spacing w:after="0" w:line="210" w:lineRule="atLeast"/>
              <w:jc w:val="center"/>
              <w:cnfStyle w:val="000000000000"/>
              <w:rPr>
                <w:rFonts w:cs="Arial"/>
                <w:b/>
                <w:color w:val="auto"/>
                <w:sz w:val="20"/>
                <w:szCs w:val="20"/>
              </w:rPr>
            </w:pPr>
            <w:r>
              <w:rPr>
                <w:rFonts w:cs="Arial"/>
                <w:b/>
                <w:color w:val="auto"/>
                <w:sz w:val="20"/>
                <w:szCs w:val="20"/>
              </w:rPr>
              <w:t>0.5</w:t>
            </w:r>
          </w:p>
        </w:tc>
        <w:tc>
          <w:tcPr>
            <w:cnfStyle w:val="000010000000"/>
            <w:tcW w:w="994" w:type="dxa"/>
            <w:vAlign w:val="center"/>
          </w:tcPr>
          <w:p w:rsidR="00ED06F5" w:rsidRPr="00C81A6A" w:rsidRDefault="00F46D9B" w:rsidP="00ED06F5">
            <w:pPr>
              <w:spacing w:after="0" w:line="210" w:lineRule="atLeast"/>
              <w:jc w:val="center"/>
              <w:rPr>
                <w:rFonts w:cs="Arial"/>
                <w:b/>
                <w:color w:val="auto"/>
                <w:sz w:val="20"/>
                <w:szCs w:val="20"/>
                <w:highlight w:val="yellow"/>
              </w:rPr>
            </w:pPr>
            <w:r w:rsidRPr="007227F8">
              <w:rPr>
                <w:rFonts w:cs="Arial"/>
                <w:b/>
                <w:color w:val="auto"/>
                <w:sz w:val="20"/>
                <w:szCs w:val="20"/>
              </w:rPr>
              <w:t>302.7</w:t>
            </w:r>
          </w:p>
        </w:tc>
        <w:tc>
          <w:tcPr>
            <w:tcW w:w="813" w:type="dxa"/>
            <w:vAlign w:val="center"/>
          </w:tcPr>
          <w:p w:rsidR="00ED06F5" w:rsidRPr="00ED06F5" w:rsidRDefault="007227F8" w:rsidP="00ED06F5">
            <w:pPr>
              <w:spacing w:after="0" w:line="210" w:lineRule="atLeast"/>
              <w:jc w:val="center"/>
              <w:cnfStyle w:val="000000000000"/>
              <w:rPr>
                <w:rFonts w:cs="Arial"/>
                <w:b/>
                <w:color w:val="auto"/>
                <w:sz w:val="20"/>
                <w:szCs w:val="20"/>
              </w:rPr>
            </w:pPr>
            <w:r>
              <w:rPr>
                <w:rFonts w:cs="Arial"/>
                <w:b/>
                <w:color w:val="auto"/>
                <w:sz w:val="20"/>
                <w:szCs w:val="20"/>
              </w:rPr>
              <w:t>54.6</w:t>
            </w:r>
          </w:p>
        </w:tc>
      </w:tr>
      <w:tr w:rsidR="008817F4" w:rsidRPr="00ED06F5" w:rsidTr="00ED06F5">
        <w:trPr>
          <w:cnfStyle w:val="000000100000"/>
          <w:trHeight w:val="402"/>
        </w:trPr>
        <w:tc>
          <w:tcPr>
            <w:cnfStyle w:val="001000000000"/>
            <w:tcW w:w="7636" w:type="dxa"/>
            <w:vAlign w:val="center"/>
          </w:tcPr>
          <w:p w:rsidR="008817F4" w:rsidRPr="00ED06F5" w:rsidRDefault="008817F4" w:rsidP="008817F4">
            <w:pPr>
              <w:pStyle w:val="CodeNotesExampleText"/>
              <w:spacing w:line="210" w:lineRule="atLeast"/>
              <w:ind w:left="105"/>
              <w:rPr>
                <w:rFonts w:cs="Arial"/>
                <w:b w:val="0"/>
                <w:bCs w:val="0"/>
                <w:color w:val="auto"/>
                <w:sz w:val="20"/>
                <w:szCs w:val="20"/>
              </w:rPr>
            </w:pPr>
            <w:r w:rsidRPr="00ED06F5">
              <w:rPr>
                <w:rFonts w:cs="Arial"/>
                <w:b w:val="0"/>
                <w:bCs w:val="0"/>
                <w:color w:val="auto"/>
                <w:sz w:val="20"/>
                <w:szCs w:val="20"/>
              </w:rPr>
              <w:t>As at 31</w:t>
            </w:r>
            <w:r w:rsidRPr="00ED06F5">
              <w:rPr>
                <w:rFonts w:cs="Arial"/>
                <w:b w:val="0"/>
                <w:bCs w:val="0"/>
                <w:color w:val="auto"/>
                <w:sz w:val="20"/>
                <w:szCs w:val="20"/>
                <w:vertAlign w:val="superscript"/>
              </w:rPr>
              <w:t>st</w:t>
            </w:r>
            <w:r w:rsidRPr="00ED06F5">
              <w:rPr>
                <w:rFonts w:cs="Arial"/>
                <w:b w:val="0"/>
                <w:bCs w:val="0"/>
                <w:color w:val="auto"/>
                <w:sz w:val="20"/>
                <w:szCs w:val="20"/>
              </w:rPr>
              <w:t xml:space="preserve"> March 2015</w:t>
            </w:r>
          </w:p>
        </w:tc>
        <w:tc>
          <w:tcPr>
            <w:cnfStyle w:val="000010000000"/>
            <w:tcW w:w="994" w:type="dxa"/>
            <w:vAlign w:val="center"/>
          </w:tcPr>
          <w:p w:rsidR="008817F4" w:rsidRPr="00F46D9B" w:rsidRDefault="008817F4" w:rsidP="008817F4">
            <w:pPr>
              <w:spacing w:after="0" w:line="210" w:lineRule="atLeast"/>
              <w:jc w:val="center"/>
              <w:rPr>
                <w:rFonts w:cs="Arial"/>
                <w:b/>
                <w:color w:val="auto"/>
                <w:sz w:val="20"/>
                <w:szCs w:val="20"/>
              </w:rPr>
            </w:pPr>
            <w:r w:rsidRPr="00F46D9B">
              <w:rPr>
                <w:rFonts w:cs="Arial"/>
                <w:b/>
                <w:color w:val="auto"/>
                <w:sz w:val="20"/>
                <w:szCs w:val="20"/>
              </w:rPr>
              <w:t>180.2</w:t>
            </w:r>
          </w:p>
        </w:tc>
        <w:tc>
          <w:tcPr>
            <w:tcW w:w="1136" w:type="dxa"/>
            <w:vAlign w:val="center"/>
          </w:tcPr>
          <w:p w:rsidR="008817F4" w:rsidRPr="00ED06F5" w:rsidRDefault="008817F4" w:rsidP="008817F4">
            <w:pPr>
              <w:spacing w:after="0" w:line="210" w:lineRule="atLeast"/>
              <w:jc w:val="center"/>
              <w:cnfStyle w:val="000000100000"/>
              <w:rPr>
                <w:rFonts w:cs="Arial"/>
                <w:b/>
                <w:color w:val="auto"/>
                <w:sz w:val="20"/>
                <w:szCs w:val="20"/>
              </w:rPr>
            </w:pPr>
            <w:r w:rsidRPr="00ED06F5">
              <w:rPr>
                <w:rFonts w:cs="Arial"/>
                <w:b/>
                <w:color w:val="auto"/>
                <w:sz w:val="20"/>
                <w:szCs w:val="20"/>
              </w:rPr>
              <w:t>3.9</w:t>
            </w:r>
          </w:p>
        </w:tc>
        <w:tc>
          <w:tcPr>
            <w:cnfStyle w:val="000010000000"/>
            <w:tcW w:w="853" w:type="dxa"/>
            <w:vAlign w:val="center"/>
          </w:tcPr>
          <w:p w:rsidR="008817F4" w:rsidRPr="00ED06F5" w:rsidRDefault="008817F4" w:rsidP="008817F4">
            <w:pPr>
              <w:spacing w:after="0" w:line="210" w:lineRule="atLeast"/>
              <w:jc w:val="center"/>
              <w:rPr>
                <w:rFonts w:cs="Arial"/>
                <w:b/>
                <w:color w:val="auto"/>
                <w:sz w:val="20"/>
                <w:szCs w:val="20"/>
              </w:rPr>
            </w:pPr>
            <w:r w:rsidRPr="00ED06F5">
              <w:rPr>
                <w:rFonts w:cs="Arial"/>
                <w:b/>
                <w:color w:val="auto"/>
                <w:sz w:val="20"/>
                <w:szCs w:val="20"/>
              </w:rPr>
              <w:t>81.8</w:t>
            </w:r>
          </w:p>
        </w:tc>
        <w:tc>
          <w:tcPr>
            <w:tcW w:w="852" w:type="dxa"/>
            <w:vAlign w:val="center"/>
          </w:tcPr>
          <w:p w:rsidR="008817F4" w:rsidRPr="00ED06F5" w:rsidRDefault="008817F4" w:rsidP="008817F4">
            <w:pPr>
              <w:spacing w:after="0" w:line="210" w:lineRule="atLeast"/>
              <w:jc w:val="center"/>
              <w:cnfStyle w:val="000000100000"/>
              <w:rPr>
                <w:rFonts w:cs="Arial"/>
                <w:b/>
                <w:color w:val="auto"/>
                <w:sz w:val="20"/>
                <w:szCs w:val="20"/>
              </w:rPr>
            </w:pPr>
            <w:r w:rsidRPr="00ED06F5">
              <w:rPr>
                <w:rFonts w:cs="Arial"/>
                <w:b/>
                <w:color w:val="auto"/>
                <w:sz w:val="20"/>
                <w:szCs w:val="20"/>
              </w:rPr>
              <w:t>7.1</w:t>
            </w:r>
          </w:p>
        </w:tc>
        <w:tc>
          <w:tcPr>
            <w:cnfStyle w:val="000010000000"/>
            <w:tcW w:w="828" w:type="dxa"/>
            <w:vAlign w:val="center"/>
          </w:tcPr>
          <w:p w:rsidR="008817F4" w:rsidRPr="00ED06F5" w:rsidRDefault="008817F4" w:rsidP="008817F4">
            <w:pPr>
              <w:spacing w:after="0" w:line="210" w:lineRule="atLeast"/>
              <w:jc w:val="center"/>
              <w:rPr>
                <w:rFonts w:cs="Arial"/>
                <w:b/>
                <w:color w:val="auto"/>
                <w:sz w:val="20"/>
                <w:szCs w:val="20"/>
              </w:rPr>
            </w:pPr>
            <w:r w:rsidRPr="00ED06F5">
              <w:rPr>
                <w:rFonts w:cs="Arial"/>
                <w:b/>
                <w:color w:val="auto"/>
                <w:sz w:val="20"/>
                <w:szCs w:val="20"/>
              </w:rPr>
              <w:t>0.5</w:t>
            </w:r>
          </w:p>
        </w:tc>
        <w:tc>
          <w:tcPr>
            <w:tcW w:w="735" w:type="dxa"/>
            <w:vAlign w:val="center"/>
          </w:tcPr>
          <w:p w:rsidR="008817F4" w:rsidRPr="00ED06F5" w:rsidRDefault="008817F4" w:rsidP="008817F4">
            <w:pPr>
              <w:spacing w:after="0" w:line="210" w:lineRule="atLeast"/>
              <w:jc w:val="center"/>
              <w:cnfStyle w:val="000000100000"/>
              <w:rPr>
                <w:rFonts w:cs="Arial"/>
                <w:b/>
                <w:color w:val="auto"/>
                <w:sz w:val="20"/>
                <w:szCs w:val="20"/>
              </w:rPr>
            </w:pPr>
            <w:r w:rsidRPr="00ED06F5">
              <w:rPr>
                <w:rFonts w:cs="Arial"/>
                <w:b/>
                <w:color w:val="auto"/>
                <w:sz w:val="20"/>
                <w:szCs w:val="20"/>
              </w:rPr>
              <w:t>2.3</w:t>
            </w:r>
          </w:p>
        </w:tc>
        <w:tc>
          <w:tcPr>
            <w:cnfStyle w:val="000010000000"/>
            <w:tcW w:w="994" w:type="dxa"/>
            <w:vAlign w:val="center"/>
          </w:tcPr>
          <w:p w:rsidR="008817F4" w:rsidRPr="00C81A6A" w:rsidRDefault="008817F4" w:rsidP="008817F4">
            <w:pPr>
              <w:spacing w:after="0" w:line="210" w:lineRule="atLeast"/>
              <w:jc w:val="center"/>
              <w:rPr>
                <w:rFonts w:cs="Arial"/>
                <w:b/>
                <w:color w:val="auto"/>
                <w:sz w:val="20"/>
                <w:szCs w:val="20"/>
                <w:highlight w:val="yellow"/>
              </w:rPr>
            </w:pPr>
            <w:r w:rsidRPr="007227F8">
              <w:rPr>
                <w:rFonts w:cs="Arial"/>
                <w:b/>
                <w:color w:val="auto"/>
                <w:sz w:val="20"/>
                <w:szCs w:val="20"/>
              </w:rPr>
              <w:t>275.8</w:t>
            </w:r>
          </w:p>
        </w:tc>
        <w:tc>
          <w:tcPr>
            <w:tcW w:w="813" w:type="dxa"/>
            <w:vAlign w:val="center"/>
          </w:tcPr>
          <w:p w:rsidR="008817F4" w:rsidRPr="00ED06F5" w:rsidRDefault="008817F4" w:rsidP="008817F4">
            <w:pPr>
              <w:spacing w:after="0" w:line="210" w:lineRule="atLeast"/>
              <w:jc w:val="center"/>
              <w:cnfStyle w:val="000000100000"/>
              <w:rPr>
                <w:rFonts w:cs="Arial"/>
                <w:b/>
                <w:color w:val="auto"/>
                <w:sz w:val="20"/>
                <w:szCs w:val="20"/>
              </w:rPr>
            </w:pPr>
            <w:r w:rsidRPr="00ED06F5">
              <w:rPr>
                <w:rFonts w:cs="Arial"/>
                <w:b/>
                <w:color w:val="auto"/>
                <w:sz w:val="20"/>
                <w:szCs w:val="20"/>
              </w:rPr>
              <w:t>23.4</w:t>
            </w:r>
          </w:p>
        </w:tc>
      </w:tr>
    </w:tbl>
    <w:p w:rsidR="00BB6ED7" w:rsidRPr="00D42E0B" w:rsidRDefault="00BB6ED7" w:rsidP="00591A3A">
      <w:pPr>
        <w:pStyle w:val="ExampleSub"/>
        <w:keepNext w:val="0"/>
        <w:keepLines w:val="0"/>
        <w:spacing w:before="0" w:line="240" w:lineRule="auto"/>
        <w:ind w:left="0"/>
        <w:rPr>
          <w:rFonts w:ascii="Arial" w:hAnsi="Arial" w:cs="Arial"/>
          <w:b w:val="0"/>
          <w:bCs w:val="0"/>
          <w:color w:val="548DD4" w:themeColor="text2" w:themeTint="99"/>
          <w:sz w:val="20"/>
          <w:szCs w:val="20"/>
        </w:rPr>
        <w:sectPr w:rsidR="00BB6ED7" w:rsidRPr="00D42E0B" w:rsidSect="001A3F09">
          <w:pgSz w:w="16838" w:h="11906" w:orient="landscape" w:code="9"/>
          <w:pgMar w:top="1440" w:right="1440" w:bottom="1440" w:left="1440" w:header="544" w:footer="544" w:gutter="0"/>
          <w:cols w:space="708"/>
          <w:titlePg/>
          <w:docGrid w:linePitch="360"/>
        </w:sectPr>
      </w:pPr>
    </w:p>
    <w:p w:rsidR="00E51139" w:rsidRPr="00ED06F5" w:rsidRDefault="00E51139" w:rsidP="00ED06F5">
      <w:pPr>
        <w:pStyle w:val="CodeNotesExampleText"/>
        <w:widowControl w:val="0"/>
        <w:outlineLvl w:val="0"/>
        <w:rPr>
          <w:rFonts w:cs="Arial"/>
          <w:b/>
          <w:color w:val="auto"/>
          <w:sz w:val="20"/>
          <w:szCs w:val="20"/>
        </w:rPr>
      </w:pPr>
      <w:r w:rsidRPr="00ED06F5">
        <w:rPr>
          <w:rFonts w:cs="Arial"/>
          <w:b/>
          <w:color w:val="auto"/>
          <w:sz w:val="20"/>
          <w:szCs w:val="20"/>
        </w:rPr>
        <w:lastRenderedPageBreak/>
        <w:t>Contractual Commitments for the acquisition of Propert</w:t>
      </w:r>
      <w:r w:rsidR="00CC4FA9" w:rsidRPr="00ED06F5">
        <w:rPr>
          <w:rFonts w:cs="Arial"/>
          <w:b/>
          <w:color w:val="auto"/>
          <w:sz w:val="20"/>
          <w:szCs w:val="20"/>
        </w:rPr>
        <w:t>y, Plant and Equipment as at 31</w:t>
      </w:r>
      <w:r w:rsidR="00CC4FA9" w:rsidRPr="00ED06F5">
        <w:rPr>
          <w:rFonts w:cs="Arial"/>
          <w:b/>
          <w:color w:val="auto"/>
          <w:sz w:val="20"/>
          <w:szCs w:val="20"/>
          <w:vertAlign w:val="superscript"/>
        </w:rPr>
        <w:t>st</w:t>
      </w:r>
      <w:r w:rsidR="00CC4FA9" w:rsidRPr="00ED06F5">
        <w:rPr>
          <w:rFonts w:cs="Arial"/>
          <w:b/>
          <w:color w:val="auto"/>
          <w:sz w:val="20"/>
          <w:szCs w:val="20"/>
        </w:rPr>
        <w:t xml:space="preserve"> </w:t>
      </w:r>
      <w:r w:rsidRPr="00ED06F5">
        <w:rPr>
          <w:rFonts w:cs="Arial"/>
          <w:b/>
          <w:color w:val="auto"/>
          <w:sz w:val="20"/>
          <w:szCs w:val="20"/>
        </w:rPr>
        <w:t>March 201</w:t>
      </w:r>
      <w:r w:rsidR="00ED06F5" w:rsidRPr="00ED06F5">
        <w:rPr>
          <w:rFonts w:cs="Arial"/>
          <w:b/>
          <w:color w:val="auto"/>
          <w:sz w:val="20"/>
          <w:szCs w:val="20"/>
        </w:rPr>
        <w:t>6</w:t>
      </w:r>
    </w:p>
    <w:p w:rsidR="00E51139" w:rsidRPr="00C5487C" w:rsidRDefault="00E51139" w:rsidP="002A779E">
      <w:pPr>
        <w:pStyle w:val="CodeNotesExampleText"/>
        <w:widowControl w:val="0"/>
        <w:ind w:left="567"/>
        <w:outlineLvl w:val="0"/>
        <w:rPr>
          <w:rFonts w:cs="Arial"/>
          <w:color w:val="548DD4" w:themeColor="text2" w:themeTint="99"/>
          <w:sz w:val="20"/>
          <w:szCs w:val="20"/>
          <w:u w:val="single"/>
        </w:rPr>
      </w:pPr>
    </w:p>
    <w:p w:rsidR="00E51139" w:rsidRPr="002361DF" w:rsidRDefault="00E51139" w:rsidP="002A779E">
      <w:pPr>
        <w:pStyle w:val="CodeNotesExampleText"/>
        <w:widowControl w:val="0"/>
        <w:ind w:left="567"/>
        <w:outlineLvl w:val="0"/>
        <w:rPr>
          <w:rFonts w:cs="Arial"/>
          <w:color w:val="auto"/>
          <w:sz w:val="20"/>
          <w:szCs w:val="20"/>
        </w:rPr>
      </w:pPr>
      <w:r w:rsidRPr="002361DF">
        <w:rPr>
          <w:rFonts w:cs="Arial"/>
          <w:color w:val="auto"/>
          <w:sz w:val="20"/>
          <w:szCs w:val="20"/>
        </w:rPr>
        <w:t>The significant commitments on capital schemes with a value greater than £</w:t>
      </w:r>
      <w:r w:rsidR="007F35BB" w:rsidRPr="002361DF">
        <w:rPr>
          <w:rFonts w:cs="Arial"/>
          <w:color w:val="auto"/>
          <w:sz w:val="20"/>
          <w:szCs w:val="20"/>
        </w:rPr>
        <w:t>0.5</w:t>
      </w:r>
      <w:r w:rsidR="00FB55B3" w:rsidRPr="002361DF">
        <w:rPr>
          <w:rFonts w:cs="Arial"/>
          <w:color w:val="auto"/>
          <w:sz w:val="20"/>
          <w:szCs w:val="20"/>
        </w:rPr>
        <w:t>m</w:t>
      </w:r>
      <w:r w:rsidRPr="002361DF">
        <w:rPr>
          <w:rFonts w:cs="Arial"/>
          <w:color w:val="auto"/>
          <w:sz w:val="20"/>
          <w:szCs w:val="20"/>
        </w:rPr>
        <w:t xml:space="preserve"> together with the likely year of spend are shown in the table below</w:t>
      </w:r>
      <w:r w:rsidR="00BE348A" w:rsidRPr="002361DF">
        <w:rPr>
          <w:rFonts w:cs="Arial"/>
          <w:color w:val="auto"/>
          <w:sz w:val="20"/>
          <w:szCs w:val="20"/>
        </w:rPr>
        <w:t>. Similar commitments for the previous financial year were £</w:t>
      </w:r>
      <w:r w:rsidR="00ED06F5" w:rsidRPr="002361DF">
        <w:rPr>
          <w:rFonts w:cs="Arial"/>
          <w:color w:val="auto"/>
          <w:sz w:val="20"/>
          <w:szCs w:val="20"/>
        </w:rPr>
        <w:t>1</w:t>
      </w:r>
      <w:r w:rsidR="002024B1" w:rsidRPr="002361DF">
        <w:rPr>
          <w:rFonts w:cs="Arial"/>
          <w:color w:val="auto"/>
          <w:sz w:val="20"/>
          <w:szCs w:val="20"/>
        </w:rPr>
        <w:t>4.4</w:t>
      </w:r>
      <w:r w:rsidR="00BE348A" w:rsidRPr="002361DF">
        <w:rPr>
          <w:rFonts w:cs="Arial"/>
          <w:color w:val="auto"/>
          <w:sz w:val="20"/>
          <w:szCs w:val="20"/>
        </w:rPr>
        <w:t>m.</w:t>
      </w:r>
    </w:p>
    <w:p w:rsidR="00E51139" w:rsidRPr="00D42E0B" w:rsidRDefault="00E51139" w:rsidP="002A779E">
      <w:pPr>
        <w:pStyle w:val="CodeNotesExampleText"/>
        <w:widowControl w:val="0"/>
        <w:ind w:left="567"/>
        <w:outlineLvl w:val="0"/>
        <w:rPr>
          <w:rFonts w:cs="Arial"/>
          <w:color w:val="548DD4" w:themeColor="text2" w:themeTint="99"/>
          <w:sz w:val="20"/>
          <w:szCs w:val="20"/>
        </w:rPr>
      </w:pPr>
    </w:p>
    <w:tbl>
      <w:tblPr>
        <w:tblStyle w:val="ListTable3-Accent51"/>
        <w:tblW w:w="9072" w:type="dxa"/>
        <w:tblInd w:w="675" w:type="dxa"/>
        <w:tblLayout w:type="fixed"/>
        <w:tblLook w:val="01E0"/>
      </w:tblPr>
      <w:tblGrid>
        <w:gridCol w:w="1843"/>
        <w:gridCol w:w="4111"/>
        <w:gridCol w:w="1134"/>
        <w:gridCol w:w="992"/>
        <w:gridCol w:w="992"/>
      </w:tblGrid>
      <w:tr w:rsidR="00E51139" w:rsidRPr="00B50B8A" w:rsidTr="00F04167">
        <w:trPr>
          <w:cnfStyle w:val="100000000000"/>
        </w:trPr>
        <w:tc>
          <w:tcPr>
            <w:cnfStyle w:val="001000000100"/>
            <w:tcW w:w="1843" w:type="dxa"/>
          </w:tcPr>
          <w:p w:rsidR="00E51139" w:rsidRPr="00B50B8A" w:rsidRDefault="00E51139" w:rsidP="00CE6D72">
            <w:pPr>
              <w:pStyle w:val="CodeNotesExampleText"/>
              <w:widowControl w:val="0"/>
              <w:outlineLvl w:val="0"/>
              <w:rPr>
                <w:rFonts w:cs="Arial"/>
                <w:b w:val="0"/>
                <w:color w:val="auto"/>
                <w:sz w:val="20"/>
                <w:szCs w:val="20"/>
              </w:rPr>
            </w:pPr>
            <w:r w:rsidRPr="00B50B8A">
              <w:rPr>
                <w:rFonts w:cs="Arial"/>
                <w:b w:val="0"/>
                <w:color w:val="auto"/>
                <w:sz w:val="20"/>
                <w:szCs w:val="20"/>
              </w:rPr>
              <w:t>Contract</w:t>
            </w:r>
          </w:p>
        </w:tc>
        <w:tc>
          <w:tcPr>
            <w:cnfStyle w:val="000010000000"/>
            <w:tcW w:w="4111" w:type="dxa"/>
          </w:tcPr>
          <w:p w:rsidR="00E51139" w:rsidRPr="00B50B8A" w:rsidRDefault="00E51139" w:rsidP="00CE6D72">
            <w:pPr>
              <w:pStyle w:val="CodeNotesExampleText"/>
              <w:widowControl w:val="0"/>
              <w:outlineLvl w:val="0"/>
              <w:rPr>
                <w:rFonts w:cs="Arial"/>
                <w:b w:val="0"/>
                <w:color w:val="auto"/>
                <w:sz w:val="20"/>
                <w:szCs w:val="20"/>
              </w:rPr>
            </w:pPr>
            <w:r w:rsidRPr="00B50B8A">
              <w:rPr>
                <w:rFonts w:cs="Arial"/>
                <w:b w:val="0"/>
                <w:color w:val="auto"/>
                <w:sz w:val="20"/>
                <w:szCs w:val="20"/>
              </w:rPr>
              <w:t>Purpose</w:t>
            </w:r>
          </w:p>
        </w:tc>
        <w:tc>
          <w:tcPr>
            <w:tcW w:w="1134" w:type="dxa"/>
          </w:tcPr>
          <w:p w:rsidR="00E51139" w:rsidRPr="00B50B8A" w:rsidRDefault="00E51139" w:rsidP="009F352E">
            <w:pPr>
              <w:pStyle w:val="CodeNotesExampleText"/>
              <w:widowControl w:val="0"/>
              <w:jc w:val="center"/>
              <w:outlineLvl w:val="0"/>
              <w:cnfStyle w:val="100000000000"/>
              <w:rPr>
                <w:rFonts w:cs="Arial"/>
                <w:b w:val="0"/>
                <w:color w:val="auto"/>
                <w:sz w:val="20"/>
                <w:szCs w:val="20"/>
              </w:rPr>
            </w:pPr>
            <w:r w:rsidRPr="00B50B8A">
              <w:rPr>
                <w:rFonts w:cs="Arial"/>
                <w:b w:val="0"/>
                <w:color w:val="auto"/>
                <w:sz w:val="20"/>
                <w:szCs w:val="20"/>
              </w:rPr>
              <w:t>Total Commit</w:t>
            </w:r>
            <w:r w:rsidR="002A779E" w:rsidRPr="00B50B8A">
              <w:rPr>
                <w:rFonts w:cs="Arial"/>
                <w:b w:val="0"/>
                <w:color w:val="auto"/>
                <w:sz w:val="20"/>
                <w:szCs w:val="20"/>
              </w:rPr>
              <w:t>-</w:t>
            </w:r>
            <w:r w:rsidRPr="00B50B8A">
              <w:rPr>
                <w:rFonts w:cs="Arial"/>
                <w:b w:val="0"/>
                <w:color w:val="auto"/>
                <w:sz w:val="20"/>
                <w:szCs w:val="20"/>
              </w:rPr>
              <w:t>ments</w:t>
            </w:r>
          </w:p>
        </w:tc>
        <w:tc>
          <w:tcPr>
            <w:cnfStyle w:val="000010000000"/>
            <w:tcW w:w="992" w:type="dxa"/>
          </w:tcPr>
          <w:p w:rsidR="00E51139" w:rsidRPr="00B50B8A" w:rsidRDefault="00E51139" w:rsidP="00ED06F5">
            <w:pPr>
              <w:pStyle w:val="CodeNotesExampleText"/>
              <w:widowControl w:val="0"/>
              <w:jc w:val="center"/>
              <w:outlineLvl w:val="0"/>
              <w:rPr>
                <w:rFonts w:cs="Arial"/>
                <w:b w:val="0"/>
                <w:color w:val="auto"/>
                <w:sz w:val="20"/>
                <w:szCs w:val="20"/>
              </w:rPr>
            </w:pPr>
            <w:r w:rsidRPr="00B50B8A">
              <w:rPr>
                <w:rFonts w:cs="Arial"/>
                <w:b w:val="0"/>
                <w:color w:val="auto"/>
                <w:sz w:val="20"/>
                <w:szCs w:val="20"/>
              </w:rPr>
              <w:t>201</w:t>
            </w:r>
            <w:r w:rsidR="00ED06F5" w:rsidRPr="00B50B8A">
              <w:rPr>
                <w:rFonts w:cs="Arial"/>
                <w:b w:val="0"/>
                <w:color w:val="auto"/>
                <w:sz w:val="20"/>
                <w:szCs w:val="20"/>
              </w:rPr>
              <w:t>6</w:t>
            </w:r>
            <w:r w:rsidR="009E42F6" w:rsidRPr="00B50B8A">
              <w:rPr>
                <w:rFonts w:cs="Arial"/>
                <w:b w:val="0"/>
                <w:color w:val="auto"/>
                <w:sz w:val="20"/>
                <w:szCs w:val="20"/>
              </w:rPr>
              <w:t>/1</w:t>
            </w:r>
            <w:r w:rsidR="00ED06F5" w:rsidRPr="00B50B8A">
              <w:rPr>
                <w:rFonts w:cs="Arial"/>
                <w:b w:val="0"/>
                <w:color w:val="auto"/>
                <w:sz w:val="20"/>
                <w:szCs w:val="20"/>
              </w:rPr>
              <w:t>7</w:t>
            </w:r>
          </w:p>
        </w:tc>
        <w:tc>
          <w:tcPr>
            <w:cnfStyle w:val="000100001000"/>
            <w:tcW w:w="992" w:type="dxa"/>
          </w:tcPr>
          <w:p w:rsidR="00E51139" w:rsidRPr="00B50B8A" w:rsidRDefault="00E51139" w:rsidP="00ED06F5">
            <w:pPr>
              <w:pStyle w:val="CodeNotesExampleText"/>
              <w:widowControl w:val="0"/>
              <w:jc w:val="center"/>
              <w:outlineLvl w:val="0"/>
              <w:rPr>
                <w:rFonts w:cs="Arial"/>
                <w:b w:val="0"/>
                <w:color w:val="auto"/>
                <w:sz w:val="20"/>
                <w:szCs w:val="20"/>
              </w:rPr>
            </w:pPr>
            <w:r w:rsidRPr="00B50B8A">
              <w:rPr>
                <w:rFonts w:cs="Arial"/>
                <w:b w:val="0"/>
                <w:color w:val="auto"/>
                <w:sz w:val="20"/>
                <w:szCs w:val="20"/>
              </w:rPr>
              <w:t>201</w:t>
            </w:r>
            <w:r w:rsidR="00ED06F5" w:rsidRPr="00B50B8A">
              <w:rPr>
                <w:rFonts w:cs="Arial"/>
                <w:b w:val="0"/>
                <w:color w:val="auto"/>
                <w:sz w:val="20"/>
                <w:szCs w:val="20"/>
              </w:rPr>
              <w:t>7</w:t>
            </w:r>
            <w:r w:rsidR="009E42F6" w:rsidRPr="00B50B8A">
              <w:rPr>
                <w:rFonts w:cs="Arial"/>
                <w:b w:val="0"/>
                <w:color w:val="auto"/>
                <w:sz w:val="20"/>
                <w:szCs w:val="20"/>
              </w:rPr>
              <w:t>/1</w:t>
            </w:r>
            <w:r w:rsidR="00ED06F5" w:rsidRPr="00B50B8A">
              <w:rPr>
                <w:rFonts w:cs="Arial"/>
                <w:b w:val="0"/>
                <w:color w:val="auto"/>
                <w:sz w:val="20"/>
                <w:szCs w:val="20"/>
              </w:rPr>
              <w:t>8</w:t>
            </w:r>
          </w:p>
        </w:tc>
      </w:tr>
      <w:tr w:rsidR="00E51139" w:rsidRPr="00B50B8A" w:rsidTr="00F04167">
        <w:trPr>
          <w:cnfStyle w:val="000000100000"/>
        </w:trPr>
        <w:tc>
          <w:tcPr>
            <w:cnfStyle w:val="001000000000"/>
            <w:tcW w:w="1843" w:type="dxa"/>
            <w:shd w:val="clear" w:color="auto" w:fill="4BACC6" w:themeFill="accent5"/>
          </w:tcPr>
          <w:p w:rsidR="00E51139" w:rsidRPr="00B50B8A" w:rsidRDefault="00E51139" w:rsidP="00CE6D72">
            <w:pPr>
              <w:pStyle w:val="CodeNotesExampleText"/>
              <w:widowControl w:val="0"/>
              <w:outlineLvl w:val="0"/>
              <w:rPr>
                <w:rFonts w:cs="Arial"/>
                <w:color w:val="auto"/>
                <w:sz w:val="20"/>
                <w:szCs w:val="20"/>
                <w:u w:val="single"/>
              </w:rPr>
            </w:pPr>
          </w:p>
        </w:tc>
        <w:tc>
          <w:tcPr>
            <w:cnfStyle w:val="000010000000"/>
            <w:tcW w:w="4111" w:type="dxa"/>
            <w:shd w:val="clear" w:color="auto" w:fill="4BACC6" w:themeFill="accent5"/>
          </w:tcPr>
          <w:p w:rsidR="00E51139" w:rsidRPr="00B50B8A" w:rsidRDefault="00E51139" w:rsidP="00CE6D72">
            <w:pPr>
              <w:pStyle w:val="CodeNotesExampleText"/>
              <w:widowControl w:val="0"/>
              <w:outlineLvl w:val="0"/>
              <w:rPr>
                <w:rFonts w:cs="Arial"/>
                <w:color w:val="auto"/>
                <w:sz w:val="20"/>
                <w:szCs w:val="20"/>
              </w:rPr>
            </w:pPr>
          </w:p>
        </w:tc>
        <w:tc>
          <w:tcPr>
            <w:tcW w:w="1134" w:type="dxa"/>
            <w:shd w:val="clear" w:color="auto" w:fill="4BACC6" w:themeFill="accent5"/>
          </w:tcPr>
          <w:p w:rsidR="00E51139" w:rsidRPr="00B50B8A" w:rsidRDefault="00E51139" w:rsidP="00CE6D72">
            <w:pPr>
              <w:pStyle w:val="CodeNotesExampleText"/>
              <w:widowControl w:val="0"/>
              <w:jc w:val="center"/>
              <w:outlineLvl w:val="0"/>
              <w:cnfStyle w:val="000000100000"/>
              <w:rPr>
                <w:rFonts w:cs="Arial"/>
                <w:color w:val="auto"/>
                <w:sz w:val="20"/>
                <w:szCs w:val="20"/>
              </w:rPr>
            </w:pPr>
            <w:r w:rsidRPr="00B50B8A">
              <w:rPr>
                <w:rFonts w:cs="Arial"/>
                <w:color w:val="auto"/>
                <w:sz w:val="20"/>
                <w:szCs w:val="20"/>
              </w:rPr>
              <w:t>£m</w:t>
            </w:r>
          </w:p>
        </w:tc>
        <w:tc>
          <w:tcPr>
            <w:cnfStyle w:val="000010000000"/>
            <w:tcW w:w="992" w:type="dxa"/>
            <w:shd w:val="clear" w:color="auto" w:fill="4BACC6" w:themeFill="accent5"/>
          </w:tcPr>
          <w:p w:rsidR="00E51139" w:rsidRPr="00B50B8A" w:rsidRDefault="00E51139" w:rsidP="00CE6D72">
            <w:pPr>
              <w:pStyle w:val="CodeNotesExampleText"/>
              <w:widowControl w:val="0"/>
              <w:jc w:val="center"/>
              <w:outlineLvl w:val="0"/>
              <w:rPr>
                <w:rFonts w:cs="Arial"/>
                <w:color w:val="auto"/>
                <w:sz w:val="20"/>
                <w:szCs w:val="20"/>
              </w:rPr>
            </w:pPr>
            <w:r w:rsidRPr="00B50B8A">
              <w:rPr>
                <w:rFonts w:cs="Arial"/>
                <w:color w:val="auto"/>
                <w:sz w:val="20"/>
                <w:szCs w:val="20"/>
              </w:rPr>
              <w:t>£m</w:t>
            </w:r>
          </w:p>
        </w:tc>
        <w:tc>
          <w:tcPr>
            <w:cnfStyle w:val="000100000000"/>
            <w:tcW w:w="992" w:type="dxa"/>
            <w:shd w:val="clear" w:color="auto" w:fill="4BACC6" w:themeFill="accent5"/>
          </w:tcPr>
          <w:p w:rsidR="00E51139" w:rsidRPr="00B50B8A" w:rsidRDefault="00E51139" w:rsidP="00CE6D72">
            <w:pPr>
              <w:pStyle w:val="CodeNotesExampleText"/>
              <w:widowControl w:val="0"/>
              <w:jc w:val="center"/>
              <w:outlineLvl w:val="0"/>
              <w:rPr>
                <w:rFonts w:cs="Arial"/>
                <w:b w:val="0"/>
                <w:color w:val="auto"/>
                <w:sz w:val="20"/>
                <w:szCs w:val="20"/>
              </w:rPr>
            </w:pPr>
            <w:r w:rsidRPr="00B50B8A">
              <w:rPr>
                <w:rFonts w:cs="Arial"/>
                <w:b w:val="0"/>
                <w:color w:val="auto"/>
                <w:sz w:val="20"/>
                <w:szCs w:val="20"/>
              </w:rPr>
              <w:t>£m</w:t>
            </w:r>
          </w:p>
        </w:tc>
      </w:tr>
      <w:tr w:rsidR="00A83F68" w:rsidRPr="00B50B8A" w:rsidTr="00F04167">
        <w:tc>
          <w:tcPr>
            <w:cnfStyle w:val="001000000000"/>
            <w:tcW w:w="1843" w:type="dxa"/>
          </w:tcPr>
          <w:p w:rsidR="00A83F68" w:rsidRPr="00B50B8A" w:rsidRDefault="00A83F68" w:rsidP="00CE6D72">
            <w:pPr>
              <w:pStyle w:val="CodeNotesExampleText"/>
              <w:widowControl w:val="0"/>
              <w:outlineLvl w:val="0"/>
              <w:rPr>
                <w:rFonts w:cs="Arial"/>
                <w:color w:val="auto"/>
                <w:sz w:val="20"/>
                <w:szCs w:val="20"/>
              </w:rPr>
            </w:pPr>
          </w:p>
        </w:tc>
        <w:tc>
          <w:tcPr>
            <w:cnfStyle w:val="000010000000"/>
            <w:tcW w:w="4111" w:type="dxa"/>
          </w:tcPr>
          <w:p w:rsidR="00A83F68" w:rsidRPr="00B50B8A" w:rsidRDefault="00E47359" w:rsidP="00E47359">
            <w:pPr>
              <w:pStyle w:val="CodeNotesExampleText"/>
              <w:widowControl w:val="0"/>
              <w:outlineLvl w:val="0"/>
              <w:rPr>
                <w:rFonts w:cs="Arial"/>
                <w:b/>
                <w:color w:val="auto"/>
                <w:sz w:val="20"/>
                <w:szCs w:val="20"/>
              </w:rPr>
            </w:pPr>
            <w:r w:rsidRPr="00B50B8A">
              <w:rPr>
                <w:rFonts w:cs="Arial"/>
                <w:b/>
                <w:color w:val="auto"/>
                <w:sz w:val="20"/>
                <w:szCs w:val="20"/>
              </w:rPr>
              <w:t>Expenditure on Council Assets:</w:t>
            </w:r>
          </w:p>
        </w:tc>
        <w:tc>
          <w:tcPr>
            <w:tcW w:w="1134" w:type="dxa"/>
            <w:vAlign w:val="center"/>
          </w:tcPr>
          <w:p w:rsidR="00A83F68" w:rsidRPr="00B50B8A" w:rsidRDefault="00A83F68" w:rsidP="00AE29C3">
            <w:pPr>
              <w:pStyle w:val="CodeNotesExampleText"/>
              <w:widowControl w:val="0"/>
              <w:jc w:val="center"/>
              <w:outlineLvl w:val="0"/>
              <w:cnfStyle w:val="000000000000"/>
              <w:rPr>
                <w:rFonts w:cs="Arial"/>
                <w:color w:val="auto"/>
                <w:sz w:val="20"/>
                <w:szCs w:val="20"/>
              </w:rPr>
            </w:pPr>
          </w:p>
        </w:tc>
        <w:tc>
          <w:tcPr>
            <w:cnfStyle w:val="000010000000"/>
            <w:tcW w:w="992" w:type="dxa"/>
            <w:vAlign w:val="center"/>
          </w:tcPr>
          <w:p w:rsidR="00A83F68" w:rsidRPr="00B50B8A" w:rsidRDefault="00A83F68" w:rsidP="00AE29C3">
            <w:pPr>
              <w:pStyle w:val="CodeNotesExampleText"/>
              <w:widowControl w:val="0"/>
              <w:jc w:val="center"/>
              <w:outlineLvl w:val="0"/>
              <w:rPr>
                <w:rFonts w:cs="Arial"/>
                <w:color w:val="auto"/>
                <w:sz w:val="20"/>
                <w:szCs w:val="20"/>
              </w:rPr>
            </w:pPr>
          </w:p>
        </w:tc>
        <w:tc>
          <w:tcPr>
            <w:cnfStyle w:val="000100000000"/>
            <w:tcW w:w="992" w:type="dxa"/>
            <w:vAlign w:val="center"/>
          </w:tcPr>
          <w:p w:rsidR="00A83F68" w:rsidRPr="00B50B8A" w:rsidRDefault="00A83F68" w:rsidP="00AE29C3">
            <w:pPr>
              <w:pStyle w:val="CodeNotesExampleText"/>
              <w:widowControl w:val="0"/>
              <w:jc w:val="center"/>
              <w:outlineLvl w:val="0"/>
              <w:rPr>
                <w:rFonts w:cs="Arial"/>
                <w:color w:val="auto"/>
                <w:sz w:val="20"/>
                <w:szCs w:val="20"/>
              </w:rPr>
            </w:pPr>
          </w:p>
        </w:tc>
      </w:tr>
      <w:tr w:rsidR="00ED06F5" w:rsidRPr="00B50B8A" w:rsidTr="00F04167">
        <w:trPr>
          <w:cnfStyle w:val="000000100000"/>
        </w:trPr>
        <w:tc>
          <w:tcPr>
            <w:cnfStyle w:val="001000000000"/>
            <w:tcW w:w="1843" w:type="dxa"/>
            <w:tcBorders>
              <w:right w:val="single" w:sz="4" w:space="0" w:color="4BACC6" w:themeColor="accent5"/>
            </w:tcBorders>
          </w:tcPr>
          <w:p w:rsidR="00ED06F5" w:rsidRPr="00B50B8A" w:rsidRDefault="00ED06F5" w:rsidP="00CE6D72">
            <w:pPr>
              <w:pStyle w:val="CodeNotesExampleText"/>
              <w:widowControl w:val="0"/>
              <w:outlineLvl w:val="0"/>
              <w:rPr>
                <w:rFonts w:cs="Arial"/>
                <w:color w:val="auto"/>
                <w:sz w:val="20"/>
                <w:szCs w:val="20"/>
              </w:rPr>
            </w:pPr>
            <w:r w:rsidRPr="00B50B8A">
              <w:rPr>
                <w:rFonts w:cs="Arial"/>
                <w:color w:val="auto"/>
                <w:sz w:val="20"/>
                <w:szCs w:val="20"/>
              </w:rPr>
              <w:t>Transport</w:t>
            </w:r>
          </w:p>
        </w:tc>
        <w:tc>
          <w:tcPr>
            <w:cnfStyle w:val="000010000000"/>
            <w:tcW w:w="4111" w:type="dxa"/>
          </w:tcPr>
          <w:p w:rsidR="00ED06F5" w:rsidRPr="00B50B8A" w:rsidRDefault="00ED06F5" w:rsidP="00C079BE">
            <w:pPr>
              <w:pStyle w:val="CodeNotesExampleText"/>
              <w:widowControl w:val="0"/>
              <w:outlineLvl w:val="0"/>
              <w:rPr>
                <w:rFonts w:cs="Arial"/>
                <w:b/>
                <w:bCs/>
                <w:color w:val="auto"/>
                <w:sz w:val="20"/>
                <w:szCs w:val="20"/>
              </w:rPr>
            </w:pPr>
          </w:p>
        </w:tc>
        <w:tc>
          <w:tcPr>
            <w:tcW w:w="1134" w:type="dxa"/>
            <w:vAlign w:val="center"/>
          </w:tcPr>
          <w:p w:rsidR="00ED06F5" w:rsidRPr="00B50B8A" w:rsidRDefault="00ED06F5" w:rsidP="00ED06F5">
            <w:pPr>
              <w:pStyle w:val="CodeNotesExampleText"/>
              <w:widowControl w:val="0"/>
              <w:jc w:val="center"/>
              <w:outlineLvl w:val="0"/>
              <w:cnfStyle w:val="000000100000"/>
              <w:rPr>
                <w:rFonts w:cs="Arial"/>
                <w:color w:val="auto"/>
                <w:sz w:val="20"/>
                <w:szCs w:val="20"/>
              </w:rPr>
            </w:pPr>
          </w:p>
        </w:tc>
        <w:tc>
          <w:tcPr>
            <w:cnfStyle w:val="000010000000"/>
            <w:tcW w:w="992" w:type="dxa"/>
            <w:vAlign w:val="center"/>
          </w:tcPr>
          <w:p w:rsidR="00ED06F5" w:rsidRPr="00C5487C" w:rsidRDefault="00ED06F5" w:rsidP="00ED06F5">
            <w:pPr>
              <w:pStyle w:val="CodeNotesExampleText"/>
              <w:widowControl w:val="0"/>
              <w:jc w:val="center"/>
              <w:outlineLvl w:val="0"/>
              <w:rPr>
                <w:rFonts w:cs="Arial"/>
                <w:b/>
                <w:color w:val="548DD4" w:themeColor="text2" w:themeTint="99"/>
                <w:sz w:val="20"/>
                <w:szCs w:val="20"/>
              </w:rPr>
            </w:pPr>
          </w:p>
        </w:tc>
        <w:tc>
          <w:tcPr>
            <w:cnfStyle w:val="000100000000"/>
            <w:tcW w:w="992" w:type="dxa"/>
            <w:vAlign w:val="center"/>
          </w:tcPr>
          <w:p w:rsidR="00ED06F5" w:rsidRPr="00B50B8A" w:rsidRDefault="00ED06F5" w:rsidP="00AE29C3">
            <w:pPr>
              <w:pStyle w:val="CodeNotesExampleText"/>
              <w:widowControl w:val="0"/>
              <w:jc w:val="center"/>
              <w:outlineLvl w:val="0"/>
              <w:rPr>
                <w:rFonts w:cs="Arial"/>
                <w:b w:val="0"/>
                <w:color w:val="auto"/>
                <w:sz w:val="20"/>
                <w:szCs w:val="20"/>
              </w:rPr>
            </w:pPr>
          </w:p>
        </w:tc>
      </w:tr>
      <w:tr w:rsidR="00ED06F5" w:rsidRPr="00B50B8A" w:rsidTr="00F04167">
        <w:tc>
          <w:tcPr>
            <w:cnfStyle w:val="001000000000"/>
            <w:tcW w:w="1843" w:type="dxa"/>
          </w:tcPr>
          <w:p w:rsidR="00ED06F5" w:rsidRPr="00B50B8A" w:rsidRDefault="00ED06F5" w:rsidP="002024B1">
            <w:pPr>
              <w:pStyle w:val="CodeNotesExampleText"/>
              <w:widowControl w:val="0"/>
              <w:outlineLvl w:val="0"/>
              <w:rPr>
                <w:rFonts w:cs="Arial"/>
                <w:b w:val="0"/>
                <w:color w:val="auto"/>
                <w:sz w:val="20"/>
                <w:szCs w:val="20"/>
              </w:rPr>
            </w:pPr>
            <w:r w:rsidRPr="00B50B8A">
              <w:rPr>
                <w:rFonts w:cs="Arial"/>
                <w:b w:val="0"/>
                <w:color w:val="auto"/>
                <w:sz w:val="20"/>
                <w:szCs w:val="20"/>
              </w:rPr>
              <w:t xml:space="preserve">South Devon </w:t>
            </w:r>
            <w:r w:rsidR="002024B1">
              <w:rPr>
                <w:rFonts w:cs="Arial"/>
                <w:b w:val="0"/>
                <w:color w:val="auto"/>
                <w:sz w:val="20"/>
                <w:szCs w:val="20"/>
              </w:rPr>
              <w:t>Highway</w:t>
            </w:r>
          </w:p>
        </w:tc>
        <w:tc>
          <w:tcPr>
            <w:cnfStyle w:val="000010000000"/>
            <w:tcW w:w="4111" w:type="dxa"/>
          </w:tcPr>
          <w:p w:rsidR="00ED06F5" w:rsidRPr="00B50B8A" w:rsidRDefault="00ED06F5" w:rsidP="00CE6D72">
            <w:pPr>
              <w:pStyle w:val="CodeNotesExampleText"/>
              <w:widowControl w:val="0"/>
              <w:outlineLvl w:val="0"/>
              <w:rPr>
                <w:rFonts w:cs="Arial"/>
                <w:color w:val="auto"/>
                <w:sz w:val="20"/>
                <w:szCs w:val="20"/>
              </w:rPr>
            </w:pPr>
            <w:r w:rsidRPr="00B50B8A">
              <w:rPr>
                <w:rFonts w:cs="Arial"/>
                <w:color w:val="auto"/>
                <w:sz w:val="20"/>
                <w:szCs w:val="20"/>
              </w:rPr>
              <w:t>Major investment to provide new road to alleviate congestion and ease traffic flow to and from Torbay.</w:t>
            </w:r>
          </w:p>
        </w:tc>
        <w:tc>
          <w:tcPr>
            <w:tcW w:w="1134" w:type="dxa"/>
            <w:vAlign w:val="center"/>
          </w:tcPr>
          <w:p w:rsidR="00ED06F5" w:rsidRPr="00B50B8A" w:rsidRDefault="002024B1" w:rsidP="00ED06F5">
            <w:pPr>
              <w:pStyle w:val="CodeNotesExampleText"/>
              <w:widowControl w:val="0"/>
              <w:jc w:val="center"/>
              <w:outlineLvl w:val="0"/>
              <w:cnfStyle w:val="000000000000"/>
              <w:rPr>
                <w:rFonts w:cs="Arial"/>
                <w:color w:val="auto"/>
                <w:sz w:val="20"/>
                <w:szCs w:val="20"/>
              </w:rPr>
            </w:pPr>
            <w:r>
              <w:rPr>
                <w:rFonts w:cs="Arial"/>
                <w:color w:val="auto"/>
                <w:sz w:val="20"/>
                <w:szCs w:val="20"/>
              </w:rPr>
              <w:t>7.6</w:t>
            </w:r>
          </w:p>
        </w:tc>
        <w:tc>
          <w:tcPr>
            <w:cnfStyle w:val="000010000000"/>
            <w:tcW w:w="992" w:type="dxa"/>
            <w:vAlign w:val="center"/>
          </w:tcPr>
          <w:p w:rsidR="00ED06F5" w:rsidRPr="002024B1" w:rsidRDefault="002024B1" w:rsidP="00ED06F5">
            <w:pPr>
              <w:pStyle w:val="CodeNotesExampleText"/>
              <w:widowControl w:val="0"/>
              <w:jc w:val="center"/>
              <w:outlineLvl w:val="0"/>
              <w:rPr>
                <w:rFonts w:cs="Arial"/>
                <w:color w:val="auto"/>
                <w:sz w:val="20"/>
                <w:szCs w:val="20"/>
              </w:rPr>
            </w:pPr>
            <w:r w:rsidRPr="002024B1">
              <w:rPr>
                <w:rFonts w:cs="Arial"/>
                <w:color w:val="auto"/>
                <w:sz w:val="20"/>
                <w:szCs w:val="20"/>
              </w:rPr>
              <w:t>4.6</w:t>
            </w:r>
          </w:p>
        </w:tc>
        <w:tc>
          <w:tcPr>
            <w:cnfStyle w:val="000100000000"/>
            <w:tcW w:w="992" w:type="dxa"/>
            <w:vAlign w:val="center"/>
          </w:tcPr>
          <w:p w:rsidR="00ED06F5" w:rsidRPr="00B50B8A" w:rsidRDefault="002024B1" w:rsidP="00AE29C3">
            <w:pPr>
              <w:pStyle w:val="CodeNotesExampleText"/>
              <w:widowControl w:val="0"/>
              <w:jc w:val="center"/>
              <w:outlineLvl w:val="0"/>
              <w:rPr>
                <w:rFonts w:cs="Arial"/>
                <w:b w:val="0"/>
                <w:color w:val="auto"/>
                <w:sz w:val="20"/>
                <w:szCs w:val="20"/>
              </w:rPr>
            </w:pPr>
            <w:r>
              <w:rPr>
                <w:rFonts w:cs="Arial"/>
                <w:b w:val="0"/>
                <w:color w:val="auto"/>
                <w:sz w:val="20"/>
                <w:szCs w:val="20"/>
              </w:rPr>
              <w:t>1.5</w:t>
            </w:r>
          </w:p>
        </w:tc>
      </w:tr>
      <w:tr w:rsidR="00ED06F5" w:rsidRPr="00B50B8A" w:rsidTr="00F04167">
        <w:trPr>
          <w:cnfStyle w:val="010000000000"/>
        </w:trPr>
        <w:tc>
          <w:tcPr>
            <w:cnfStyle w:val="001000000001"/>
            <w:tcW w:w="1843" w:type="dxa"/>
            <w:tcBorders>
              <w:top w:val="single" w:sz="4" w:space="0" w:color="4BACC6" w:themeColor="accent5"/>
              <w:bottom w:val="single" w:sz="4" w:space="0" w:color="4BACC6" w:themeColor="accent5"/>
            </w:tcBorders>
          </w:tcPr>
          <w:p w:rsidR="00ED06F5" w:rsidRPr="00B50B8A" w:rsidRDefault="00ED06F5" w:rsidP="00CE6D72">
            <w:pPr>
              <w:pStyle w:val="CodeNotesExampleText"/>
              <w:widowControl w:val="0"/>
              <w:outlineLvl w:val="0"/>
              <w:rPr>
                <w:rFonts w:cs="Arial"/>
                <w:bCs w:val="0"/>
                <w:color w:val="auto"/>
                <w:sz w:val="20"/>
                <w:szCs w:val="20"/>
              </w:rPr>
            </w:pPr>
          </w:p>
        </w:tc>
        <w:tc>
          <w:tcPr>
            <w:cnfStyle w:val="000010000000"/>
            <w:tcW w:w="4111" w:type="dxa"/>
            <w:tcBorders>
              <w:top w:val="single" w:sz="4" w:space="0" w:color="4BACC6" w:themeColor="accent5"/>
              <w:bottom w:val="single" w:sz="4" w:space="0" w:color="4BACC6" w:themeColor="accent5"/>
            </w:tcBorders>
          </w:tcPr>
          <w:p w:rsidR="00ED06F5" w:rsidRPr="00B50B8A" w:rsidRDefault="00ED06F5" w:rsidP="00CE6D72">
            <w:pPr>
              <w:pStyle w:val="CodeNotesExampleText"/>
              <w:widowControl w:val="0"/>
              <w:outlineLvl w:val="0"/>
              <w:rPr>
                <w:rFonts w:cs="Arial"/>
                <w:color w:val="auto"/>
                <w:sz w:val="20"/>
                <w:szCs w:val="20"/>
              </w:rPr>
            </w:pPr>
            <w:r w:rsidRPr="00B50B8A">
              <w:rPr>
                <w:rFonts w:cs="Arial"/>
                <w:color w:val="auto"/>
                <w:sz w:val="20"/>
                <w:szCs w:val="20"/>
              </w:rPr>
              <w:t>Total Significant Commitments</w:t>
            </w:r>
          </w:p>
        </w:tc>
        <w:tc>
          <w:tcPr>
            <w:tcW w:w="1134" w:type="dxa"/>
            <w:tcBorders>
              <w:top w:val="single" w:sz="4" w:space="0" w:color="4BACC6" w:themeColor="accent5"/>
              <w:bottom w:val="single" w:sz="4" w:space="0" w:color="4BACC6" w:themeColor="accent5"/>
            </w:tcBorders>
            <w:vAlign w:val="center"/>
          </w:tcPr>
          <w:p w:rsidR="00ED06F5" w:rsidRPr="00B50B8A" w:rsidRDefault="00610FB5" w:rsidP="00ED06F5">
            <w:pPr>
              <w:pStyle w:val="CodeNotesExampleText"/>
              <w:widowControl w:val="0"/>
              <w:jc w:val="center"/>
              <w:outlineLvl w:val="0"/>
              <w:cnfStyle w:val="010000000000"/>
              <w:rPr>
                <w:rFonts w:cs="Arial"/>
                <w:color w:val="auto"/>
                <w:sz w:val="20"/>
                <w:szCs w:val="20"/>
              </w:rPr>
            </w:pPr>
            <w:r>
              <w:rPr>
                <w:rFonts w:cs="Arial"/>
                <w:color w:val="auto"/>
                <w:sz w:val="20"/>
                <w:szCs w:val="20"/>
              </w:rPr>
              <w:t>7.6</w:t>
            </w:r>
          </w:p>
        </w:tc>
        <w:tc>
          <w:tcPr>
            <w:cnfStyle w:val="000010000000"/>
            <w:tcW w:w="992" w:type="dxa"/>
            <w:tcBorders>
              <w:top w:val="single" w:sz="4" w:space="0" w:color="4BACC6" w:themeColor="accent5"/>
              <w:bottom w:val="single" w:sz="4" w:space="0" w:color="4BACC6" w:themeColor="accent5"/>
            </w:tcBorders>
            <w:vAlign w:val="center"/>
          </w:tcPr>
          <w:p w:rsidR="00ED06F5" w:rsidRPr="002024B1" w:rsidRDefault="002024B1" w:rsidP="00ED06F5">
            <w:pPr>
              <w:pStyle w:val="CodeNotesExampleText"/>
              <w:widowControl w:val="0"/>
              <w:jc w:val="center"/>
              <w:outlineLvl w:val="0"/>
              <w:rPr>
                <w:rFonts w:cs="Arial"/>
                <w:color w:val="auto"/>
                <w:sz w:val="20"/>
                <w:szCs w:val="20"/>
              </w:rPr>
            </w:pPr>
            <w:r w:rsidRPr="002024B1">
              <w:rPr>
                <w:rFonts w:cs="Arial"/>
                <w:color w:val="auto"/>
                <w:sz w:val="20"/>
                <w:szCs w:val="20"/>
              </w:rPr>
              <w:t>4.6</w:t>
            </w:r>
          </w:p>
        </w:tc>
        <w:tc>
          <w:tcPr>
            <w:cnfStyle w:val="000100000010"/>
            <w:tcW w:w="992" w:type="dxa"/>
            <w:tcBorders>
              <w:top w:val="single" w:sz="4" w:space="0" w:color="4BACC6" w:themeColor="accent5"/>
              <w:bottom w:val="single" w:sz="4" w:space="0" w:color="4BACC6" w:themeColor="accent5"/>
            </w:tcBorders>
            <w:vAlign w:val="center"/>
          </w:tcPr>
          <w:p w:rsidR="00ED06F5" w:rsidRPr="00B50B8A" w:rsidRDefault="002024B1" w:rsidP="00AE29C3">
            <w:pPr>
              <w:pStyle w:val="CodeNotesExampleText"/>
              <w:widowControl w:val="0"/>
              <w:jc w:val="center"/>
              <w:outlineLvl w:val="0"/>
              <w:rPr>
                <w:rFonts w:cs="Arial"/>
                <w:color w:val="auto"/>
                <w:sz w:val="20"/>
                <w:szCs w:val="20"/>
              </w:rPr>
            </w:pPr>
            <w:r>
              <w:rPr>
                <w:rFonts w:cs="Arial"/>
                <w:color w:val="auto"/>
                <w:sz w:val="20"/>
                <w:szCs w:val="20"/>
              </w:rPr>
              <w:t>1.5</w:t>
            </w:r>
          </w:p>
        </w:tc>
      </w:tr>
    </w:tbl>
    <w:p w:rsidR="00E51139" w:rsidRPr="00D42E0B" w:rsidRDefault="00E51139" w:rsidP="003C5E34">
      <w:pPr>
        <w:pStyle w:val="CodeNotesExampleText"/>
        <w:widowControl w:val="0"/>
        <w:ind w:left="567"/>
        <w:outlineLvl w:val="0"/>
        <w:rPr>
          <w:rFonts w:cs="Arial"/>
          <w:color w:val="548DD4" w:themeColor="text2" w:themeTint="99"/>
          <w:sz w:val="20"/>
          <w:szCs w:val="20"/>
          <w:u w:val="single"/>
        </w:rPr>
      </w:pPr>
    </w:p>
    <w:p w:rsidR="00E51139" w:rsidRPr="00692213" w:rsidRDefault="00E51139" w:rsidP="002A779E">
      <w:pPr>
        <w:pStyle w:val="CodeNotesExampleText"/>
        <w:widowControl w:val="0"/>
        <w:ind w:left="567"/>
        <w:outlineLvl w:val="0"/>
        <w:rPr>
          <w:rFonts w:cs="Arial"/>
          <w:b/>
          <w:color w:val="auto"/>
          <w:sz w:val="20"/>
          <w:szCs w:val="20"/>
        </w:rPr>
      </w:pPr>
      <w:r w:rsidRPr="00692213">
        <w:rPr>
          <w:rFonts w:cs="Arial"/>
          <w:b/>
          <w:color w:val="auto"/>
          <w:sz w:val="20"/>
          <w:szCs w:val="20"/>
        </w:rPr>
        <w:t>Revaluations</w:t>
      </w:r>
    </w:p>
    <w:p w:rsidR="00E51139" w:rsidRPr="00692213" w:rsidRDefault="00E51139" w:rsidP="002A779E">
      <w:pPr>
        <w:pStyle w:val="CodeNotesExampleText"/>
        <w:widowControl w:val="0"/>
        <w:ind w:left="567"/>
        <w:rPr>
          <w:rFonts w:cs="Arial"/>
          <w:color w:val="auto"/>
          <w:sz w:val="20"/>
          <w:szCs w:val="20"/>
        </w:rPr>
      </w:pPr>
    </w:p>
    <w:p w:rsidR="00E51139" w:rsidRPr="00D42E0B" w:rsidRDefault="00E51139" w:rsidP="002A779E">
      <w:pPr>
        <w:pStyle w:val="CodeNotesExampleText"/>
        <w:widowControl w:val="0"/>
        <w:ind w:left="567"/>
        <w:rPr>
          <w:rFonts w:cs="Arial"/>
          <w:color w:val="548DD4" w:themeColor="text2" w:themeTint="99"/>
          <w:sz w:val="20"/>
          <w:szCs w:val="20"/>
        </w:rPr>
      </w:pPr>
      <w:r w:rsidRPr="00692213">
        <w:rPr>
          <w:rFonts w:cs="Arial"/>
          <w:color w:val="auto"/>
          <w:sz w:val="20"/>
          <w:szCs w:val="20"/>
        </w:rPr>
        <w:t xml:space="preserve">The Council’s assets are regularly revalued, (at least once during a five year period), by the Council’s appointed </w:t>
      </w:r>
      <w:r w:rsidR="001E16F0" w:rsidRPr="00692213">
        <w:rPr>
          <w:rFonts w:cs="Arial"/>
          <w:color w:val="auto"/>
          <w:sz w:val="20"/>
          <w:szCs w:val="20"/>
        </w:rPr>
        <w:t xml:space="preserve">external </w:t>
      </w:r>
      <w:r w:rsidRPr="00692213">
        <w:rPr>
          <w:rFonts w:cs="Arial"/>
          <w:color w:val="auto"/>
          <w:sz w:val="20"/>
          <w:szCs w:val="20"/>
        </w:rPr>
        <w:t>qualified valuer - see accounting policies. The effective date of revaluation is usually the 1</w:t>
      </w:r>
      <w:r w:rsidRPr="00692213">
        <w:rPr>
          <w:rFonts w:cs="Arial"/>
          <w:color w:val="auto"/>
          <w:sz w:val="20"/>
          <w:szCs w:val="20"/>
          <w:vertAlign w:val="superscript"/>
        </w:rPr>
        <w:t>st</w:t>
      </w:r>
      <w:r w:rsidRPr="00692213">
        <w:rPr>
          <w:rFonts w:cs="Arial"/>
          <w:color w:val="auto"/>
          <w:sz w:val="20"/>
          <w:szCs w:val="20"/>
        </w:rPr>
        <w:t xml:space="preserve"> April of the year o</w:t>
      </w:r>
      <w:r w:rsidR="006C39E7" w:rsidRPr="00692213">
        <w:rPr>
          <w:rFonts w:cs="Arial"/>
          <w:color w:val="auto"/>
          <w:sz w:val="20"/>
          <w:szCs w:val="20"/>
        </w:rPr>
        <w:t>f</w:t>
      </w:r>
      <w:r w:rsidRPr="00692213">
        <w:rPr>
          <w:rFonts w:cs="Arial"/>
          <w:color w:val="auto"/>
          <w:sz w:val="20"/>
          <w:szCs w:val="20"/>
        </w:rPr>
        <w:t xml:space="preserve"> the revaluation.</w:t>
      </w:r>
      <w:r w:rsidR="004A4764" w:rsidRPr="00692213">
        <w:rPr>
          <w:rFonts w:cs="Arial"/>
          <w:color w:val="auto"/>
          <w:sz w:val="20"/>
          <w:szCs w:val="20"/>
        </w:rPr>
        <w:t xml:space="preserve"> </w:t>
      </w:r>
      <w:r w:rsidR="004A4764" w:rsidRPr="002361DF">
        <w:rPr>
          <w:rFonts w:cs="Arial"/>
          <w:color w:val="auto"/>
          <w:sz w:val="20"/>
          <w:szCs w:val="20"/>
        </w:rPr>
        <w:t>The only class of asset that has significant revaluations is “Other Land and Buildings” which is valued at existing use.</w:t>
      </w:r>
      <w:r w:rsidR="004A4764" w:rsidRPr="00D42E0B">
        <w:rPr>
          <w:rFonts w:cs="Arial"/>
          <w:color w:val="548DD4" w:themeColor="text2" w:themeTint="99"/>
          <w:sz w:val="20"/>
          <w:szCs w:val="20"/>
        </w:rPr>
        <w:t xml:space="preserve">  </w:t>
      </w:r>
    </w:p>
    <w:p w:rsidR="00E51139" w:rsidRPr="00D42E0B" w:rsidRDefault="00E51139"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tbl>
      <w:tblPr>
        <w:tblStyle w:val="ListTable3-Accent51"/>
        <w:tblpPr w:leftFromText="180" w:rightFromText="180" w:vertAnchor="text" w:horzAnchor="page" w:tblpX="2101" w:tblpY="-113"/>
        <w:tblW w:w="9039" w:type="dxa"/>
        <w:tblLayout w:type="fixed"/>
        <w:tblLook w:val="01E0"/>
      </w:tblPr>
      <w:tblGrid>
        <w:gridCol w:w="4928"/>
        <w:gridCol w:w="4111"/>
      </w:tblGrid>
      <w:tr w:rsidR="002A779E" w:rsidRPr="00692213" w:rsidTr="006E0C58">
        <w:trPr>
          <w:cnfStyle w:val="100000000000"/>
          <w:trHeight w:val="340"/>
        </w:trPr>
        <w:tc>
          <w:tcPr>
            <w:cnfStyle w:val="001000000100"/>
            <w:tcW w:w="4928" w:type="dxa"/>
          </w:tcPr>
          <w:p w:rsidR="002A779E" w:rsidRPr="00692213" w:rsidRDefault="002A779E" w:rsidP="002A779E">
            <w:pPr>
              <w:pStyle w:val="CodeNotesExampleText"/>
              <w:widowControl w:val="0"/>
              <w:outlineLvl w:val="0"/>
              <w:rPr>
                <w:rFonts w:cs="Arial"/>
                <w:b w:val="0"/>
                <w:color w:val="auto"/>
                <w:sz w:val="20"/>
                <w:szCs w:val="20"/>
              </w:rPr>
            </w:pPr>
            <w:r w:rsidRPr="00692213">
              <w:rPr>
                <w:rFonts w:cs="Arial"/>
                <w:b w:val="0"/>
                <w:color w:val="auto"/>
                <w:sz w:val="20"/>
                <w:szCs w:val="20"/>
              </w:rPr>
              <w:t>Valued at fair value as at</w:t>
            </w:r>
            <w:r w:rsidR="006E0C58" w:rsidRPr="00692213">
              <w:rPr>
                <w:rFonts w:cs="Arial"/>
                <w:b w:val="0"/>
                <w:color w:val="auto"/>
                <w:sz w:val="20"/>
                <w:szCs w:val="20"/>
              </w:rPr>
              <w:t xml:space="preserve">       </w:t>
            </w:r>
          </w:p>
        </w:tc>
        <w:tc>
          <w:tcPr>
            <w:cnfStyle w:val="000100001000"/>
            <w:tcW w:w="4111" w:type="dxa"/>
          </w:tcPr>
          <w:p w:rsidR="002A779E" w:rsidRPr="00692213" w:rsidRDefault="002A779E" w:rsidP="006E0C58">
            <w:pPr>
              <w:pStyle w:val="CodeNotesExampleText"/>
              <w:widowControl w:val="0"/>
              <w:jc w:val="center"/>
              <w:outlineLvl w:val="0"/>
              <w:rPr>
                <w:rFonts w:cs="Arial"/>
                <w:b w:val="0"/>
                <w:color w:val="auto"/>
                <w:sz w:val="20"/>
                <w:szCs w:val="20"/>
              </w:rPr>
            </w:pPr>
            <w:r w:rsidRPr="00692213">
              <w:rPr>
                <w:rFonts w:cs="Arial"/>
                <w:b w:val="0"/>
                <w:bCs w:val="0"/>
                <w:color w:val="auto"/>
                <w:sz w:val="20"/>
                <w:szCs w:val="20"/>
              </w:rPr>
              <w:t>Other Land and Buildings</w:t>
            </w:r>
          </w:p>
        </w:tc>
      </w:tr>
      <w:tr w:rsidR="002A779E" w:rsidRPr="00692213" w:rsidTr="006E0C58">
        <w:trPr>
          <w:cnfStyle w:val="000000100000"/>
          <w:trHeight w:val="340"/>
        </w:trPr>
        <w:tc>
          <w:tcPr>
            <w:cnfStyle w:val="001000000000"/>
            <w:tcW w:w="4928" w:type="dxa"/>
            <w:shd w:val="clear" w:color="auto" w:fill="4BACC6" w:themeFill="accent5"/>
          </w:tcPr>
          <w:p w:rsidR="002A779E" w:rsidRPr="00692213" w:rsidRDefault="002A779E" w:rsidP="002A779E">
            <w:pPr>
              <w:pStyle w:val="CodeNotesExampleText"/>
              <w:widowControl w:val="0"/>
              <w:outlineLvl w:val="0"/>
              <w:rPr>
                <w:rFonts w:cs="Arial"/>
                <w:color w:val="auto"/>
                <w:sz w:val="20"/>
                <w:szCs w:val="20"/>
                <w:u w:val="single"/>
              </w:rPr>
            </w:pPr>
          </w:p>
        </w:tc>
        <w:tc>
          <w:tcPr>
            <w:cnfStyle w:val="000100000000"/>
            <w:tcW w:w="4111" w:type="dxa"/>
            <w:shd w:val="clear" w:color="auto" w:fill="4BACC6" w:themeFill="accent5"/>
          </w:tcPr>
          <w:p w:rsidR="002A779E" w:rsidRPr="00692213" w:rsidRDefault="002A779E" w:rsidP="00CC4FA9">
            <w:pPr>
              <w:pStyle w:val="CodeNotesExampleText"/>
              <w:widowControl w:val="0"/>
              <w:jc w:val="center"/>
              <w:outlineLvl w:val="0"/>
              <w:rPr>
                <w:rFonts w:cs="Arial"/>
                <w:color w:val="auto"/>
                <w:sz w:val="20"/>
                <w:szCs w:val="20"/>
              </w:rPr>
            </w:pPr>
            <w:r w:rsidRPr="00692213">
              <w:rPr>
                <w:rFonts w:cs="Arial"/>
                <w:b w:val="0"/>
                <w:bCs w:val="0"/>
                <w:color w:val="auto"/>
                <w:sz w:val="20"/>
                <w:szCs w:val="20"/>
              </w:rPr>
              <w:t>£m</w:t>
            </w:r>
          </w:p>
        </w:tc>
      </w:tr>
      <w:tr w:rsidR="00692213" w:rsidRPr="00692213" w:rsidTr="006E0C58">
        <w:trPr>
          <w:trHeight w:val="340"/>
        </w:trPr>
        <w:tc>
          <w:tcPr>
            <w:cnfStyle w:val="001000000000"/>
            <w:tcW w:w="4928" w:type="dxa"/>
            <w:tcBorders>
              <w:right w:val="single" w:sz="4" w:space="0" w:color="4BACC6" w:themeColor="accent5"/>
            </w:tcBorders>
          </w:tcPr>
          <w:p w:rsidR="00692213" w:rsidRPr="00692213" w:rsidRDefault="00692213" w:rsidP="00875E2D">
            <w:pPr>
              <w:pStyle w:val="CodeNotesExampleText"/>
              <w:widowControl w:val="0"/>
              <w:outlineLvl w:val="0"/>
              <w:rPr>
                <w:rFonts w:cs="Arial"/>
                <w:b w:val="0"/>
                <w:color w:val="auto"/>
                <w:sz w:val="20"/>
                <w:szCs w:val="20"/>
              </w:rPr>
            </w:pPr>
            <w:r w:rsidRPr="00692213">
              <w:rPr>
                <w:rFonts w:cs="Arial"/>
                <w:b w:val="0"/>
                <w:color w:val="auto"/>
                <w:sz w:val="20"/>
                <w:szCs w:val="20"/>
              </w:rPr>
              <w:t>31 March 2016</w:t>
            </w:r>
          </w:p>
        </w:tc>
        <w:tc>
          <w:tcPr>
            <w:cnfStyle w:val="000100000000"/>
            <w:tcW w:w="4111" w:type="dxa"/>
            <w:tcBorders>
              <w:left w:val="single" w:sz="4" w:space="0" w:color="4BACC6" w:themeColor="accent5"/>
            </w:tcBorders>
          </w:tcPr>
          <w:p w:rsidR="00692213" w:rsidRPr="00692213" w:rsidRDefault="002361DF" w:rsidP="00970A0E">
            <w:pPr>
              <w:pStyle w:val="CodeNotesExampleText"/>
              <w:widowControl w:val="0"/>
              <w:jc w:val="center"/>
              <w:outlineLvl w:val="0"/>
              <w:rPr>
                <w:rFonts w:cs="Arial"/>
                <w:b w:val="0"/>
                <w:color w:val="auto"/>
                <w:sz w:val="20"/>
                <w:szCs w:val="20"/>
              </w:rPr>
            </w:pPr>
            <w:r>
              <w:rPr>
                <w:rFonts w:cs="Arial"/>
                <w:b w:val="0"/>
                <w:color w:val="auto"/>
                <w:sz w:val="20"/>
                <w:szCs w:val="20"/>
              </w:rPr>
              <w:t>6</w:t>
            </w:r>
            <w:r w:rsidR="00995027">
              <w:rPr>
                <w:rFonts w:cs="Arial"/>
                <w:b w:val="0"/>
                <w:color w:val="auto"/>
                <w:sz w:val="20"/>
                <w:szCs w:val="20"/>
              </w:rPr>
              <w:t>0.</w:t>
            </w:r>
            <w:r w:rsidR="001131FA">
              <w:rPr>
                <w:rFonts w:cs="Arial"/>
                <w:b w:val="0"/>
                <w:color w:val="auto"/>
                <w:sz w:val="20"/>
                <w:szCs w:val="20"/>
              </w:rPr>
              <w:t>5</w:t>
            </w:r>
          </w:p>
        </w:tc>
      </w:tr>
      <w:tr w:rsidR="002A779E" w:rsidRPr="00692213" w:rsidTr="006E0C58">
        <w:trPr>
          <w:cnfStyle w:val="000000100000"/>
          <w:trHeight w:val="340"/>
        </w:trPr>
        <w:tc>
          <w:tcPr>
            <w:cnfStyle w:val="001000000000"/>
            <w:tcW w:w="4928" w:type="dxa"/>
            <w:tcBorders>
              <w:right w:val="single" w:sz="4" w:space="0" w:color="4BACC6" w:themeColor="accent5"/>
            </w:tcBorders>
          </w:tcPr>
          <w:p w:rsidR="002A779E" w:rsidRPr="00692213" w:rsidRDefault="002A779E" w:rsidP="00875E2D">
            <w:pPr>
              <w:pStyle w:val="CodeNotesExampleText"/>
              <w:widowControl w:val="0"/>
              <w:outlineLvl w:val="0"/>
              <w:rPr>
                <w:rFonts w:cs="Arial"/>
                <w:b w:val="0"/>
                <w:color w:val="auto"/>
                <w:sz w:val="20"/>
                <w:szCs w:val="20"/>
              </w:rPr>
            </w:pPr>
            <w:r w:rsidRPr="00692213">
              <w:rPr>
                <w:rFonts w:cs="Arial"/>
                <w:b w:val="0"/>
                <w:color w:val="auto"/>
                <w:sz w:val="20"/>
                <w:szCs w:val="20"/>
              </w:rPr>
              <w:t>31 March 201</w:t>
            </w:r>
            <w:r w:rsidR="00875E2D" w:rsidRPr="00692213">
              <w:rPr>
                <w:rFonts w:cs="Arial"/>
                <w:b w:val="0"/>
                <w:color w:val="auto"/>
                <w:sz w:val="20"/>
                <w:szCs w:val="20"/>
              </w:rPr>
              <w:t>5</w:t>
            </w:r>
          </w:p>
        </w:tc>
        <w:tc>
          <w:tcPr>
            <w:cnfStyle w:val="000100000000"/>
            <w:tcW w:w="4111" w:type="dxa"/>
            <w:tcBorders>
              <w:left w:val="single" w:sz="4" w:space="0" w:color="4BACC6" w:themeColor="accent5"/>
            </w:tcBorders>
          </w:tcPr>
          <w:p w:rsidR="002A779E" w:rsidRPr="00692213" w:rsidRDefault="002361DF" w:rsidP="00970A0E">
            <w:pPr>
              <w:pStyle w:val="CodeNotesExampleText"/>
              <w:widowControl w:val="0"/>
              <w:jc w:val="center"/>
              <w:outlineLvl w:val="0"/>
              <w:rPr>
                <w:rFonts w:cs="Arial"/>
                <w:b w:val="0"/>
                <w:color w:val="auto"/>
                <w:sz w:val="20"/>
                <w:szCs w:val="20"/>
              </w:rPr>
            </w:pPr>
            <w:r>
              <w:rPr>
                <w:rFonts w:cs="Arial"/>
                <w:b w:val="0"/>
                <w:color w:val="auto"/>
                <w:sz w:val="20"/>
                <w:szCs w:val="20"/>
              </w:rPr>
              <w:t>56.6</w:t>
            </w:r>
          </w:p>
        </w:tc>
      </w:tr>
      <w:tr w:rsidR="002A779E" w:rsidRPr="00692213" w:rsidTr="006E0C58">
        <w:trPr>
          <w:trHeight w:val="340"/>
        </w:trPr>
        <w:tc>
          <w:tcPr>
            <w:cnfStyle w:val="001000000000"/>
            <w:tcW w:w="4928" w:type="dxa"/>
            <w:tcBorders>
              <w:right w:val="single" w:sz="4" w:space="0" w:color="4BACC6" w:themeColor="accent5"/>
            </w:tcBorders>
          </w:tcPr>
          <w:p w:rsidR="002A779E" w:rsidRPr="00692213" w:rsidRDefault="002A779E" w:rsidP="002A779E">
            <w:pPr>
              <w:pStyle w:val="CodeNotesExampleText"/>
              <w:widowControl w:val="0"/>
              <w:outlineLvl w:val="0"/>
              <w:rPr>
                <w:rFonts w:cs="Arial"/>
                <w:b w:val="0"/>
                <w:color w:val="auto"/>
                <w:sz w:val="20"/>
                <w:szCs w:val="20"/>
              </w:rPr>
            </w:pPr>
            <w:r w:rsidRPr="00692213">
              <w:rPr>
                <w:rFonts w:cs="Arial"/>
                <w:b w:val="0"/>
                <w:color w:val="auto"/>
                <w:sz w:val="20"/>
                <w:szCs w:val="20"/>
              </w:rPr>
              <w:t>31 March 2014</w:t>
            </w:r>
          </w:p>
        </w:tc>
        <w:tc>
          <w:tcPr>
            <w:cnfStyle w:val="000100000000"/>
            <w:tcW w:w="4111" w:type="dxa"/>
            <w:tcBorders>
              <w:left w:val="single" w:sz="4" w:space="0" w:color="4BACC6" w:themeColor="accent5"/>
            </w:tcBorders>
          </w:tcPr>
          <w:p w:rsidR="002A779E" w:rsidRPr="00692213" w:rsidRDefault="002361DF" w:rsidP="00F04167">
            <w:pPr>
              <w:pStyle w:val="CodeNotesExampleText"/>
              <w:widowControl w:val="0"/>
              <w:jc w:val="center"/>
              <w:outlineLvl w:val="0"/>
              <w:rPr>
                <w:rFonts w:cs="Arial"/>
                <w:b w:val="0"/>
                <w:color w:val="auto"/>
                <w:sz w:val="20"/>
                <w:szCs w:val="20"/>
              </w:rPr>
            </w:pPr>
            <w:r>
              <w:rPr>
                <w:rFonts w:cs="Arial"/>
                <w:b w:val="0"/>
                <w:color w:val="auto"/>
                <w:sz w:val="20"/>
                <w:szCs w:val="20"/>
              </w:rPr>
              <w:t>42.8</w:t>
            </w:r>
          </w:p>
        </w:tc>
      </w:tr>
      <w:tr w:rsidR="002A779E" w:rsidRPr="00692213" w:rsidTr="006E0C58">
        <w:trPr>
          <w:cnfStyle w:val="000000100000"/>
          <w:trHeight w:val="340"/>
        </w:trPr>
        <w:tc>
          <w:tcPr>
            <w:cnfStyle w:val="001000000000"/>
            <w:tcW w:w="4928" w:type="dxa"/>
            <w:tcBorders>
              <w:right w:val="single" w:sz="4" w:space="0" w:color="4BACC6" w:themeColor="accent5"/>
            </w:tcBorders>
          </w:tcPr>
          <w:p w:rsidR="002A779E" w:rsidRPr="00692213" w:rsidRDefault="002A779E" w:rsidP="002A779E">
            <w:pPr>
              <w:pStyle w:val="CodeNotesExampleText"/>
              <w:widowControl w:val="0"/>
              <w:outlineLvl w:val="0"/>
              <w:rPr>
                <w:rFonts w:cs="Arial"/>
                <w:b w:val="0"/>
                <w:color w:val="auto"/>
                <w:sz w:val="20"/>
                <w:szCs w:val="20"/>
                <w:u w:val="single"/>
              </w:rPr>
            </w:pPr>
            <w:r w:rsidRPr="00692213">
              <w:rPr>
                <w:rFonts w:cs="Arial"/>
                <w:b w:val="0"/>
                <w:color w:val="auto"/>
                <w:sz w:val="20"/>
                <w:szCs w:val="20"/>
              </w:rPr>
              <w:t>31 March 2013</w:t>
            </w:r>
          </w:p>
        </w:tc>
        <w:tc>
          <w:tcPr>
            <w:cnfStyle w:val="000100000000"/>
            <w:tcW w:w="4111" w:type="dxa"/>
            <w:tcBorders>
              <w:left w:val="single" w:sz="4" w:space="0" w:color="4BACC6" w:themeColor="accent5"/>
            </w:tcBorders>
          </w:tcPr>
          <w:p w:rsidR="002A779E" w:rsidRPr="00692213" w:rsidRDefault="002361DF" w:rsidP="00F04167">
            <w:pPr>
              <w:pStyle w:val="CodeNotesExampleText"/>
              <w:widowControl w:val="0"/>
              <w:jc w:val="center"/>
              <w:outlineLvl w:val="0"/>
              <w:rPr>
                <w:rFonts w:cs="Arial"/>
                <w:b w:val="0"/>
                <w:color w:val="auto"/>
                <w:sz w:val="20"/>
                <w:szCs w:val="20"/>
              </w:rPr>
            </w:pPr>
            <w:r>
              <w:rPr>
                <w:rFonts w:cs="Arial"/>
                <w:b w:val="0"/>
                <w:color w:val="auto"/>
                <w:sz w:val="20"/>
                <w:szCs w:val="20"/>
              </w:rPr>
              <w:t>26.3</w:t>
            </w:r>
          </w:p>
        </w:tc>
      </w:tr>
      <w:tr w:rsidR="002A779E" w:rsidRPr="00692213" w:rsidTr="006E0C58">
        <w:trPr>
          <w:trHeight w:val="340"/>
        </w:trPr>
        <w:tc>
          <w:tcPr>
            <w:cnfStyle w:val="001000000000"/>
            <w:tcW w:w="4928" w:type="dxa"/>
            <w:tcBorders>
              <w:right w:val="single" w:sz="4" w:space="0" w:color="4BACC6" w:themeColor="accent5"/>
            </w:tcBorders>
          </w:tcPr>
          <w:p w:rsidR="002A779E" w:rsidRPr="00692213" w:rsidRDefault="002A779E" w:rsidP="002A779E">
            <w:pPr>
              <w:pStyle w:val="CodeNotesExampleText"/>
              <w:widowControl w:val="0"/>
              <w:outlineLvl w:val="0"/>
              <w:rPr>
                <w:rFonts w:cs="Arial"/>
                <w:b w:val="0"/>
                <w:color w:val="auto"/>
                <w:sz w:val="20"/>
                <w:szCs w:val="20"/>
              </w:rPr>
            </w:pPr>
            <w:r w:rsidRPr="00692213">
              <w:rPr>
                <w:rFonts w:cs="Arial"/>
                <w:b w:val="0"/>
                <w:color w:val="auto"/>
                <w:sz w:val="20"/>
                <w:szCs w:val="20"/>
              </w:rPr>
              <w:t>31 March 2012</w:t>
            </w:r>
          </w:p>
        </w:tc>
        <w:tc>
          <w:tcPr>
            <w:cnfStyle w:val="000100000000"/>
            <w:tcW w:w="4111" w:type="dxa"/>
            <w:tcBorders>
              <w:left w:val="single" w:sz="4" w:space="0" w:color="4BACC6" w:themeColor="accent5"/>
            </w:tcBorders>
          </w:tcPr>
          <w:p w:rsidR="002A779E" w:rsidRPr="00692213" w:rsidRDefault="002361DF" w:rsidP="00F04167">
            <w:pPr>
              <w:pStyle w:val="CodeNotesExampleText"/>
              <w:widowControl w:val="0"/>
              <w:jc w:val="center"/>
              <w:outlineLvl w:val="0"/>
              <w:rPr>
                <w:rFonts w:cs="Arial"/>
                <w:b w:val="0"/>
                <w:color w:val="auto"/>
                <w:sz w:val="20"/>
                <w:szCs w:val="20"/>
              </w:rPr>
            </w:pPr>
            <w:r>
              <w:rPr>
                <w:rFonts w:cs="Arial"/>
                <w:b w:val="0"/>
                <w:color w:val="auto"/>
                <w:sz w:val="20"/>
                <w:szCs w:val="20"/>
              </w:rPr>
              <w:t>19.7</w:t>
            </w:r>
          </w:p>
        </w:tc>
      </w:tr>
      <w:tr w:rsidR="002A779E" w:rsidRPr="00692213" w:rsidTr="006E0C58">
        <w:trPr>
          <w:cnfStyle w:val="010000000000"/>
          <w:trHeight w:val="340"/>
        </w:trPr>
        <w:tc>
          <w:tcPr>
            <w:cnfStyle w:val="001000000001"/>
            <w:tcW w:w="4928" w:type="dxa"/>
            <w:tcBorders>
              <w:top w:val="single" w:sz="4" w:space="0" w:color="4BACC6" w:themeColor="accent5"/>
              <w:bottom w:val="single" w:sz="4" w:space="0" w:color="4BACC6" w:themeColor="accent5"/>
              <w:right w:val="single" w:sz="4" w:space="0" w:color="4BACC6" w:themeColor="accent5"/>
            </w:tcBorders>
          </w:tcPr>
          <w:p w:rsidR="002A779E" w:rsidRPr="00692213" w:rsidRDefault="002A779E" w:rsidP="002A779E">
            <w:pPr>
              <w:pStyle w:val="CodeNotesExampleText"/>
              <w:widowControl w:val="0"/>
              <w:outlineLvl w:val="0"/>
              <w:rPr>
                <w:rFonts w:cs="Arial"/>
                <w:b w:val="0"/>
                <w:color w:val="auto"/>
                <w:sz w:val="20"/>
                <w:szCs w:val="20"/>
              </w:rPr>
            </w:pPr>
            <w:r w:rsidRPr="00692213">
              <w:rPr>
                <w:rFonts w:cs="Arial"/>
                <w:b w:val="0"/>
                <w:color w:val="auto"/>
                <w:sz w:val="20"/>
                <w:szCs w:val="20"/>
              </w:rPr>
              <w:t>Total Cost or Valuation</w:t>
            </w:r>
            <w:r w:rsidR="002361DF">
              <w:rPr>
                <w:rFonts w:cs="Arial"/>
                <w:b w:val="0"/>
                <w:color w:val="auto"/>
                <w:sz w:val="20"/>
                <w:szCs w:val="20"/>
              </w:rPr>
              <w:t xml:space="preserve"> </w:t>
            </w:r>
            <w:r w:rsidR="007E33E1">
              <w:rPr>
                <w:rFonts w:cs="Arial"/>
                <w:b w:val="0"/>
                <w:color w:val="auto"/>
                <w:sz w:val="20"/>
                <w:szCs w:val="20"/>
              </w:rPr>
              <w:t>of</w:t>
            </w:r>
            <w:r w:rsidR="002361DF">
              <w:rPr>
                <w:rFonts w:cs="Arial"/>
                <w:b w:val="0"/>
                <w:color w:val="auto"/>
                <w:sz w:val="20"/>
                <w:szCs w:val="20"/>
              </w:rPr>
              <w:t xml:space="preserve"> Other Land &amp; Buildings</w:t>
            </w:r>
          </w:p>
        </w:tc>
        <w:tc>
          <w:tcPr>
            <w:cnfStyle w:val="000100000010"/>
            <w:tcW w:w="4111" w:type="dxa"/>
            <w:tcBorders>
              <w:top w:val="single" w:sz="4" w:space="0" w:color="4BACC6" w:themeColor="accent5"/>
              <w:left w:val="single" w:sz="4" w:space="0" w:color="4BACC6" w:themeColor="accent5"/>
              <w:bottom w:val="single" w:sz="4" w:space="0" w:color="4BACC6" w:themeColor="accent5"/>
            </w:tcBorders>
          </w:tcPr>
          <w:p w:rsidR="002A779E" w:rsidRPr="00EA44EC" w:rsidRDefault="002361DF" w:rsidP="001131FA">
            <w:pPr>
              <w:pStyle w:val="CodeNotesExampleText"/>
              <w:widowControl w:val="0"/>
              <w:jc w:val="center"/>
              <w:outlineLvl w:val="0"/>
              <w:rPr>
                <w:rFonts w:cs="Arial"/>
                <w:color w:val="auto"/>
                <w:sz w:val="20"/>
                <w:szCs w:val="20"/>
              </w:rPr>
            </w:pPr>
            <w:r w:rsidRPr="00EA44EC">
              <w:rPr>
                <w:rFonts w:cs="Arial"/>
                <w:color w:val="auto"/>
                <w:sz w:val="20"/>
                <w:szCs w:val="20"/>
              </w:rPr>
              <w:t>20</w:t>
            </w:r>
            <w:r w:rsidR="001131FA" w:rsidRPr="00EA44EC">
              <w:rPr>
                <w:rFonts w:cs="Arial"/>
                <w:color w:val="auto"/>
                <w:sz w:val="20"/>
                <w:szCs w:val="20"/>
              </w:rPr>
              <w:t>5.9</w:t>
            </w:r>
          </w:p>
        </w:tc>
      </w:tr>
    </w:tbl>
    <w:p w:rsidR="00FC2AD4" w:rsidRPr="00D42E0B" w:rsidRDefault="00FC2AD4"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p w:rsidR="00FC2AD4" w:rsidRPr="00D42E0B" w:rsidRDefault="00FC2AD4" w:rsidP="003C5E34">
      <w:pPr>
        <w:pStyle w:val="CodeNotesExampleText"/>
        <w:widowControl w:val="0"/>
        <w:ind w:left="567"/>
        <w:rPr>
          <w:rFonts w:cs="Arial"/>
          <w:color w:val="548DD4" w:themeColor="text2" w:themeTint="99"/>
          <w:sz w:val="20"/>
          <w:szCs w:val="20"/>
        </w:rPr>
      </w:pPr>
    </w:p>
    <w:p w:rsidR="00E51139" w:rsidRPr="00D42E0B" w:rsidRDefault="00E51139" w:rsidP="003C5E34">
      <w:pPr>
        <w:pStyle w:val="CodeNotesExampleText"/>
        <w:widowControl w:val="0"/>
        <w:ind w:left="567"/>
        <w:rPr>
          <w:rFonts w:cs="Arial"/>
          <w:color w:val="548DD4" w:themeColor="text2" w:themeTint="99"/>
          <w:sz w:val="20"/>
          <w:szCs w:val="20"/>
        </w:rPr>
      </w:pPr>
    </w:p>
    <w:p w:rsidR="00E51139" w:rsidRPr="00D42E0B" w:rsidRDefault="00E51139" w:rsidP="00446433">
      <w:pPr>
        <w:pStyle w:val="ExampleSub"/>
        <w:keepNext w:val="0"/>
        <w:keepLines w:val="0"/>
        <w:ind w:left="105" w:hanging="105"/>
        <w:jc w:val="center"/>
        <w:outlineLvl w:val="0"/>
        <w:rPr>
          <w:rFonts w:ascii="Arial" w:hAnsi="Arial" w:cs="Arial"/>
          <w:b w:val="0"/>
          <w:bCs w:val="0"/>
          <w:color w:val="548DD4" w:themeColor="text2" w:themeTint="99"/>
          <w:sz w:val="20"/>
          <w:szCs w:val="20"/>
        </w:rPr>
      </w:pPr>
    </w:p>
    <w:p w:rsidR="00E51139" w:rsidRDefault="00E51139" w:rsidP="002A6FA3">
      <w:pPr>
        <w:pStyle w:val="Subtitle"/>
        <w:ind w:left="567" w:hanging="567"/>
        <w:rPr>
          <w:b/>
          <w:color w:val="auto"/>
          <w:sz w:val="22"/>
          <w:szCs w:val="22"/>
        </w:rPr>
      </w:pPr>
      <w:r w:rsidRPr="00692213">
        <w:rPr>
          <w:b/>
          <w:color w:val="auto"/>
          <w:sz w:val="22"/>
          <w:szCs w:val="22"/>
        </w:rPr>
        <w:t>1</w:t>
      </w:r>
      <w:r w:rsidR="00FE0163" w:rsidRPr="00692213">
        <w:rPr>
          <w:b/>
          <w:color w:val="auto"/>
          <w:sz w:val="22"/>
          <w:szCs w:val="22"/>
        </w:rPr>
        <w:t>2</w:t>
      </w:r>
      <w:r w:rsidRPr="00692213">
        <w:rPr>
          <w:b/>
          <w:color w:val="auto"/>
          <w:sz w:val="22"/>
          <w:szCs w:val="22"/>
        </w:rPr>
        <w:t>.</w:t>
      </w:r>
      <w:r w:rsidRPr="00692213">
        <w:rPr>
          <w:b/>
          <w:color w:val="auto"/>
          <w:sz w:val="22"/>
          <w:szCs w:val="22"/>
        </w:rPr>
        <w:tab/>
        <w:t>Heritage Assets</w:t>
      </w:r>
    </w:p>
    <w:p w:rsidR="00E51139" w:rsidRPr="002A5EB8" w:rsidRDefault="00E51139" w:rsidP="002A5EB8">
      <w:pPr>
        <w:autoSpaceDE w:val="0"/>
        <w:autoSpaceDN w:val="0"/>
        <w:adjustRightInd w:val="0"/>
        <w:spacing w:after="0" w:line="240" w:lineRule="auto"/>
        <w:ind w:left="567"/>
        <w:rPr>
          <w:rFonts w:eastAsia="Times New Roman" w:cs="Arial"/>
          <w:color w:val="auto"/>
          <w:sz w:val="20"/>
          <w:szCs w:val="20"/>
        </w:rPr>
      </w:pPr>
      <w:bookmarkStart w:id="1" w:name="_GoBack"/>
      <w:bookmarkEnd w:id="1"/>
      <w:r w:rsidRPr="002A5EB8">
        <w:rPr>
          <w:rFonts w:eastAsia="Times New Roman" w:cs="Arial"/>
          <w:color w:val="auto"/>
          <w:sz w:val="20"/>
          <w:szCs w:val="20"/>
        </w:rPr>
        <w:t xml:space="preserve">The value of the Council’s heritage assets are reported in the balance sheet at an insurance valuation. Where it is not practical to obtain an insurance valuation the asset is measured at historical cost (usually nil). Heritage Assets, by their nature have a long life, so have not been depreciated. </w:t>
      </w:r>
    </w:p>
    <w:p w:rsidR="00E51139" w:rsidRPr="00692213" w:rsidRDefault="00E51139" w:rsidP="003D08FD">
      <w:pPr>
        <w:pStyle w:val="ExampleSub"/>
        <w:keepNext w:val="0"/>
        <w:keepLines w:val="0"/>
        <w:outlineLvl w:val="0"/>
        <w:rPr>
          <w:rFonts w:ascii="Arial" w:hAnsi="Arial" w:cs="Arial"/>
          <w:b w:val="0"/>
          <w:bCs w:val="0"/>
          <w:color w:val="auto"/>
          <w:sz w:val="20"/>
          <w:szCs w:val="20"/>
          <w:lang w:eastAsia="en-US"/>
        </w:rPr>
      </w:pPr>
      <w:r w:rsidRPr="00692213">
        <w:rPr>
          <w:rFonts w:ascii="Arial" w:hAnsi="Arial" w:cs="Arial"/>
          <w:b w:val="0"/>
          <w:bCs w:val="0"/>
          <w:color w:val="auto"/>
          <w:sz w:val="20"/>
          <w:szCs w:val="20"/>
          <w:lang w:eastAsia="en-US"/>
        </w:rPr>
        <w:t xml:space="preserve">The insurance valuations for heritage assets classified as property are updated every year by an inflationary factor as recommended by the Council’s insurers, then revalued every 5 years as part of a rolling programme by an external valuer.  The Fine Art Collection and Mayoral Regalia are revalued periodically by external valuers to ensure the adequacy of the valuation. The value of these assets </w:t>
      </w:r>
      <w:r w:rsidR="00C55555" w:rsidRPr="00692213">
        <w:rPr>
          <w:rFonts w:ascii="Arial" w:hAnsi="Arial" w:cs="Arial"/>
          <w:b w:val="0"/>
          <w:bCs w:val="0"/>
          <w:color w:val="auto"/>
          <w:sz w:val="20"/>
          <w:szCs w:val="20"/>
          <w:lang w:eastAsia="en-US"/>
        </w:rPr>
        <w:t>is</w:t>
      </w:r>
      <w:r w:rsidRPr="00692213">
        <w:rPr>
          <w:rFonts w:ascii="Arial" w:hAnsi="Arial" w:cs="Arial"/>
          <w:b w:val="0"/>
          <w:bCs w:val="0"/>
          <w:color w:val="auto"/>
          <w:sz w:val="20"/>
          <w:szCs w:val="20"/>
          <w:lang w:eastAsia="en-US"/>
        </w:rPr>
        <w:t xml:space="preserve"> held on the Council’s Asset Register.</w:t>
      </w:r>
    </w:p>
    <w:p w:rsidR="00E51139" w:rsidRPr="00692213" w:rsidRDefault="00E51139" w:rsidP="003D08FD">
      <w:pPr>
        <w:pStyle w:val="ExampleSub"/>
        <w:keepNext w:val="0"/>
        <w:keepLines w:val="0"/>
        <w:outlineLvl w:val="0"/>
        <w:rPr>
          <w:rFonts w:ascii="Arial" w:hAnsi="Arial" w:cs="Arial"/>
          <w:b w:val="0"/>
          <w:bCs w:val="0"/>
          <w:color w:val="auto"/>
          <w:sz w:val="20"/>
          <w:szCs w:val="20"/>
        </w:rPr>
      </w:pPr>
      <w:r w:rsidRPr="00692213">
        <w:rPr>
          <w:rFonts w:ascii="Arial" w:hAnsi="Arial" w:cs="Arial"/>
          <w:b w:val="0"/>
          <w:bCs w:val="0"/>
          <w:color w:val="auto"/>
          <w:sz w:val="20"/>
          <w:szCs w:val="20"/>
        </w:rPr>
        <w:t xml:space="preserve">The following table shows the reconciliation of the carrying value of Heritage Assets held by the Council. </w:t>
      </w:r>
    </w:p>
    <w:p w:rsidR="00E51139" w:rsidRPr="00D42E0B" w:rsidRDefault="00E51139" w:rsidP="00B63E46">
      <w:pPr>
        <w:pStyle w:val="ExampleSub"/>
        <w:keepNext w:val="0"/>
        <w:keepLines w:val="0"/>
        <w:ind w:left="0"/>
        <w:outlineLvl w:val="0"/>
        <w:rPr>
          <w:rFonts w:ascii="Arial" w:hAnsi="Arial" w:cs="Arial"/>
          <w:b w:val="0"/>
          <w:bCs w:val="0"/>
          <w:color w:val="548DD4" w:themeColor="text2" w:themeTint="99"/>
          <w:sz w:val="20"/>
          <w:szCs w:val="20"/>
        </w:rPr>
      </w:pPr>
    </w:p>
    <w:tbl>
      <w:tblPr>
        <w:tblStyle w:val="ListTable3-Accent51"/>
        <w:tblW w:w="8222" w:type="dxa"/>
        <w:tblInd w:w="675" w:type="dxa"/>
        <w:tblLayout w:type="fixed"/>
        <w:tblLook w:val="01E0"/>
      </w:tblPr>
      <w:tblGrid>
        <w:gridCol w:w="3969"/>
        <w:gridCol w:w="993"/>
        <w:gridCol w:w="992"/>
        <w:gridCol w:w="1134"/>
        <w:gridCol w:w="1134"/>
      </w:tblGrid>
      <w:tr w:rsidR="004076A0" w:rsidRPr="00692213" w:rsidTr="004076A0">
        <w:trPr>
          <w:cnfStyle w:val="100000000000"/>
          <w:cantSplit/>
          <w:trHeight w:val="1728"/>
        </w:trPr>
        <w:tc>
          <w:tcPr>
            <w:cnfStyle w:val="001000000100"/>
            <w:tcW w:w="3969" w:type="dxa"/>
          </w:tcPr>
          <w:p w:rsidR="004076A0" w:rsidRPr="00692213" w:rsidRDefault="004076A0" w:rsidP="00CE6D72">
            <w:pPr>
              <w:pStyle w:val="ExampleSub"/>
              <w:keepNext w:val="0"/>
              <w:keepLines w:val="0"/>
              <w:ind w:left="0"/>
              <w:outlineLvl w:val="0"/>
              <w:rPr>
                <w:rFonts w:ascii="Arial" w:hAnsi="Arial" w:cs="Arial"/>
                <w:color w:val="auto"/>
                <w:sz w:val="20"/>
                <w:szCs w:val="20"/>
              </w:rPr>
            </w:pPr>
          </w:p>
        </w:tc>
        <w:tc>
          <w:tcPr>
            <w:cnfStyle w:val="000010000000"/>
            <w:tcW w:w="993" w:type="dxa"/>
            <w:textDirection w:val="btLr"/>
          </w:tcPr>
          <w:p w:rsidR="004076A0" w:rsidRPr="00692213" w:rsidRDefault="004076A0" w:rsidP="002D4A0F">
            <w:pPr>
              <w:pStyle w:val="ExampleSub"/>
              <w:keepNext w:val="0"/>
              <w:keepLines w:val="0"/>
              <w:ind w:left="113" w:right="113"/>
              <w:outlineLvl w:val="0"/>
              <w:rPr>
                <w:rFonts w:ascii="Arial" w:hAnsi="Arial" w:cs="Arial"/>
                <w:color w:val="auto"/>
                <w:sz w:val="20"/>
                <w:szCs w:val="20"/>
              </w:rPr>
            </w:pPr>
            <w:r w:rsidRPr="00692213">
              <w:rPr>
                <w:rFonts w:ascii="Arial" w:hAnsi="Arial" w:cs="Arial"/>
                <w:color w:val="auto"/>
                <w:sz w:val="20"/>
                <w:szCs w:val="20"/>
              </w:rPr>
              <w:t>Fine Art Collection</w:t>
            </w:r>
          </w:p>
        </w:tc>
        <w:tc>
          <w:tcPr>
            <w:tcW w:w="992" w:type="dxa"/>
            <w:textDirection w:val="btLr"/>
          </w:tcPr>
          <w:p w:rsidR="004076A0" w:rsidRPr="00692213" w:rsidRDefault="004076A0" w:rsidP="002D4A0F">
            <w:pPr>
              <w:pStyle w:val="ExampleSub"/>
              <w:keepNext w:val="0"/>
              <w:keepLines w:val="0"/>
              <w:ind w:left="113" w:right="113"/>
              <w:outlineLvl w:val="0"/>
              <w:cnfStyle w:val="100000000000"/>
              <w:rPr>
                <w:rFonts w:ascii="Arial" w:hAnsi="Arial" w:cs="Arial"/>
                <w:color w:val="auto"/>
                <w:sz w:val="20"/>
                <w:szCs w:val="20"/>
              </w:rPr>
            </w:pPr>
            <w:r w:rsidRPr="00692213">
              <w:rPr>
                <w:rFonts w:ascii="Arial" w:hAnsi="Arial" w:cs="Arial"/>
                <w:color w:val="auto"/>
                <w:sz w:val="20"/>
                <w:szCs w:val="20"/>
              </w:rPr>
              <w:t>Mayoral  Regalia</w:t>
            </w:r>
          </w:p>
        </w:tc>
        <w:tc>
          <w:tcPr>
            <w:cnfStyle w:val="000010000000"/>
            <w:tcW w:w="1134" w:type="dxa"/>
            <w:textDirection w:val="btLr"/>
          </w:tcPr>
          <w:p w:rsidR="004076A0" w:rsidRPr="00692213" w:rsidRDefault="004076A0" w:rsidP="002D4A0F">
            <w:pPr>
              <w:pStyle w:val="ExampleSub"/>
              <w:keepNext w:val="0"/>
              <w:keepLines w:val="0"/>
              <w:ind w:left="113" w:right="113"/>
              <w:outlineLvl w:val="0"/>
              <w:rPr>
                <w:rFonts w:ascii="Arial" w:hAnsi="Arial" w:cs="Arial"/>
                <w:color w:val="auto"/>
                <w:sz w:val="20"/>
                <w:szCs w:val="20"/>
              </w:rPr>
            </w:pPr>
            <w:r w:rsidRPr="00692213">
              <w:rPr>
                <w:rFonts w:ascii="Arial" w:hAnsi="Arial" w:cs="Arial"/>
                <w:color w:val="auto"/>
                <w:sz w:val="20"/>
                <w:szCs w:val="20"/>
              </w:rPr>
              <w:t>Heritage Property</w:t>
            </w:r>
          </w:p>
        </w:tc>
        <w:tc>
          <w:tcPr>
            <w:cnfStyle w:val="000100001000"/>
            <w:tcW w:w="1134" w:type="dxa"/>
            <w:tcBorders>
              <w:top w:val="single" w:sz="4" w:space="0" w:color="4BACC6" w:themeColor="accent5"/>
              <w:left w:val="single" w:sz="4" w:space="0" w:color="4BACC6" w:themeColor="accent5"/>
            </w:tcBorders>
            <w:textDirection w:val="btLr"/>
          </w:tcPr>
          <w:p w:rsidR="004076A0" w:rsidRPr="00692213" w:rsidRDefault="004076A0" w:rsidP="002D4A0F">
            <w:pPr>
              <w:pStyle w:val="ExampleSub"/>
              <w:keepNext w:val="0"/>
              <w:keepLines w:val="0"/>
              <w:ind w:left="113" w:right="113"/>
              <w:outlineLvl w:val="0"/>
              <w:rPr>
                <w:rFonts w:ascii="Arial" w:hAnsi="Arial" w:cs="Arial"/>
                <w:color w:val="auto"/>
                <w:sz w:val="20"/>
                <w:szCs w:val="20"/>
              </w:rPr>
            </w:pPr>
            <w:r w:rsidRPr="00692213">
              <w:rPr>
                <w:rFonts w:ascii="Arial" w:hAnsi="Arial" w:cs="Arial"/>
                <w:color w:val="auto"/>
                <w:sz w:val="20"/>
                <w:szCs w:val="20"/>
              </w:rPr>
              <w:t>Total Assets</w:t>
            </w:r>
          </w:p>
        </w:tc>
      </w:tr>
      <w:tr w:rsidR="004076A0" w:rsidRPr="00692213" w:rsidTr="004076A0">
        <w:trPr>
          <w:cnfStyle w:val="000000100000"/>
        </w:trPr>
        <w:tc>
          <w:tcPr>
            <w:cnfStyle w:val="001000000000"/>
            <w:tcW w:w="3969" w:type="dxa"/>
          </w:tcPr>
          <w:p w:rsidR="004076A0" w:rsidRPr="00692213" w:rsidRDefault="004076A0" w:rsidP="00CE6D72">
            <w:pPr>
              <w:pStyle w:val="ExampleSub"/>
              <w:keepNext w:val="0"/>
              <w:keepLines w:val="0"/>
              <w:ind w:left="0"/>
              <w:outlineLvl w:val="0"/>
              <w:rPr>
                <w:rFonts w:ascii="Arial" w:hAnsi="Arial" w:cs="Arial"/>
                <w:color w:val="auto"/>
                <w:sz w:val="20"/>
                <w:szCs w:val="20"/>
              </w:rPr>
            </w:pPr>
            <w:r w:rsidRPr="00692213">
              <w:rPr>
                <w:rFonts w:ascii="Arial" w:hAnsi="Arial" w:cs="Arial"/>
                <w:color w:val="auto"/>
                <w:sz w:val="20"/>
                <w:szCs w:val="20"/>
              </w:rPr>
              <w:t>Valuation</w:t>
            </w:r>
          </w:p>
        </w:tc>
        <w:tc>
          <w:tcPr>
            <w:cnfStyle w:val="000010000000"/>
            <w:tcW w:w="993" w:type="dxa"/>
          </w:tcPr>
          <w:p w:rsidR="004076A0" w:rsidRPr="00692213" w:rsidRDefault="004076A0" w:rsidP="00CE6D72">
            <w:pPr>
              <w:pStyle w:val="ExampleSub"/>
              <w:keepNext w:val="0"/>
              <w:keepLines w:val="0"/>
              <w:ind w:left="0"/>
              <w:jc w:val="center"/>
              <w:outlineLvl w:val="0"/>
              <w:rPr>
                <w:rFonts w:ascii="Arial" w:hAnsi="Arial" w:cs="Arial"/>
                <w:b w:val="0"/>
                <w:bCs w:val="0"/>
                <w:color w:val="auto"/>
                <w:sz w:val="20"/>
                <w:szCs w:val="20"/>
              </w:rPr>
            </w:pPr>
            <w:r w:rsidRPr="00692213">
              <w:rPr>
                <w:rFonts w:ascii="Arial" w:hAnsi="Arial" w:cs="Arial"/>
                <w:b w:val="0"/>
                <w:color w:val="auto"/>
                <w:sz w:val="20"/>
                <w:szCs w:val="20"/>
              </w:rPr>
              <w:t>£m</w:t>
            </w:r>
          </w:p>
        </w:tc>
        <w:tc>
          <w:tcPr>
            <w:tcW w:w="992" w:type="dxa"/>
          </w:tcPr>
          <w:p w:rsidR="004076A0" w:rsidRPr="00692213" w:rsidRDefault="004076A0" w:rsidP="00CE6D72">
            <w:pPr>
              <w:pStyle w:val="ExampleSub"/>
              <w:keepNext w:val="0"/>
              <w:keepLines w:val="0"/>
              <w:ind w:left="0"/>
              <w:jc w:val="center"/>
              <w:outlineLvl w:val="0"/>
              <w:cnfStyle w:val="000000100000"/>
              <w:rPr>
                <w:rFonts w:ascii="Arial" w:hAnsi="Arial" w:cs="Arial"/>
                <w:b w:val="0"/>
                <w:bCs w:val="0"/>
                <w:color w:val="auto"/>
                <w:sz w:val="20"/>
                <w:szCs w:val="20"/>
              </w:rPr>
            </w:pPr>
            <w:r w:rsidRPr="00692213">
              <w:rPr>
                <w:rFonts w:ascii="Arial" w:hAnsi="Arial" w:cs="Arial"/>
                <w:b w:val="0"/>
                <w:color w:val="auto"/>
                <w:sz w:val="20"/>
                <w:szCs w:val="20"/>
              </w:rPr>
              <w:t>£m</w:t>
            </w:r>
          </w:p>
        </w:tc>
        <w:tc>
          <w:tcPr>
            <w:cnfStyle w:val="000010000000"/>
            <w:tcW w:w="1134" w:type="dxa"/>
          </w:tcPr>
          <w:p w:rsidR="004076A0" w:rsidRPr="00692213" w:rsidRDefault="004076A0" w:rsidP="00CE6D72">
            <w:pPr>
              <w:pStyle w:val="ExampleSub"/>
              <w:keepNext w:val="0"/>
              <w:keepLines w:val="0"/>
              <w:ind w:left="0"/>
              <w:jc w:val="center"/>
              <w:outlineLvl w:val="0"/>
              <w:rPr>
                <w:rFonts w:ascii="Arial" w:hAnsi="Arial" w:cs="Arial"/>
                <w:b w:val="0"/>
                <w:bCs w:val="0"/>
                <w:color w:val="auto"/>
                <w:sz w:val="20"/>
                <w:szCs w:val="20"/>
              </w:rPr>
            </w:pPr>
            <w:r w:rsidRPr="00692213">
              <w:rPr>
                <w:rFonts w:ascii="Arial" w:hAnsi="Arial" w:cs="Arial"/>
                <w:b w:val="0"/>
                <w:color w:val="auto"/>
                <w:sz w:val="20"/>
                <w:szCs w:val="20"/>
              </w:rPr>
              <w:t>£m</w:t>
            </w:r>
          </w:p>
        </w:tc>
        <w:tc>
          <w:tcPr>
            <w:cnfStyle w:val="000100000000"/>
            <w:tcW w:w="1134" w:type="dxa"/>
            <w:tcBorders>
              <w:left w:val="single" w:sz="4" w:space="0" w:color="4BACC6" w:themeColor="accent5"/>
            </w:tcBorders>
          </w:tcPr>
          <w:p w:rsidR="004076A0" w:rsidRPr="00692213" w:rsidRDefault="004076A0" w:rsidP="00CE6D72">
            <w:pPr>
              <w:pStyle w:val="ExampleSub"/>
              <w:keepNext w:val="0"/>
              <w:keepLines w:val="0"/>
              <w:ind w:left="0"/>
              <w:jc w:val="center"/>
              <w:outlineLvl w:val="0"/>
              <w:rPr>
                <w:rFonts w:ascii="Arial" w:hAnsi="Arial" w:cs="Arial"/>
                <w:color w:val="auto"/>
                <w:sz w:val="20"/>
                <w:szCs w:val="20"/>
              </w:rPr>
            </w:pPr>
            <w:r w:rsidRPr="00692213">
              <w:rPr>
                <w:rFonts w:ascii="Arial" w:hAnsi="Arial" w:cs="Arial"/>
                <w:color w:val="auto"/>
                <w:sz w:val="20"/>
                <w:szCs w:val="20"/>
              </w:rPr>
              <w:t>£m</w:t>
            </w:r>
          </w:p>
        </w:tc>
      </w:tr>
      <w:tr w:rsidR="004076A0" w:rsidRPr="00692213" w:rsidTr="004076A0">
        <w:tc>
          <w:tcPr>
            <w:cnfStyle w:val="001000000000"/>
            <w:tcW w:w="3969" w:type="dxa"/>
          </w:tcPr>
          <w:p w:rsidR="004076A0" w:rsidRPr="00692213" w:rsidRDefault="004076A0" w:rsidP="00CC4FA9">
            <w:pPr>
              <w:pStyle w:val="ExampleSub"/>
              <w:keepNext w:val="0"/>
              <w:keepLines w:val="0"/>
              <w:ind w:left="0"/>
              <w:outlineLvl w:val="0"/>
              <w:rPr>
                <w:rFonts w:ascii="Arial" w:hAnsi="Arial" w:cs="Arial"/>
                <w:color w:val="auto"/>
                <w:sz w:val="20"/>
                <w:szCs w:val="20"/>
              </w:rPr>
            </w:pPr>
            <w:r w:rsidRPr="00692213">
              <w:rPr>
                <w:rFonts w:ascii="Arial" w:hAnsi="Arial" w:cs="Arial"/>
                <w:color w:val="auto"/>
                <w:sz w:val="20"/>
                <w:szCs w:val="20"/>
              </w:rPr>
              <w:t>31</w:t>
            </w:r>
            <w:r w:rsidRPr="00692213">
              <w:rPr>
                <w:rFonts w:ascii="Arial" w:hAnsi="Arial" w:cs="Arial"/>
                <w:color w:val="auto"/>
                <w:sz w:val="20"/>
                <w:szCs w:val="20"/>
                <w:vertAlign w:val="superscript"/>
              </w:rPr>
              <w:t>st</w:t>
            </w:r>
            <w:r w:rsidRPr="00692213">
              <w:rPr>
                <w:rFonts w:ascii="Arial" w:hAnsi="Arial" w:cs="Arial"/>
                <w:color w:val="auto"/>
                <w:sz w:val="20"/>
                <w:szCs w:val="20"/>
              </w:rPr>
              <w:t xml:space="preserve"> March 2014</w:t>
            </w:r>
          </w:p>
        </w:tc>
        <w:tc>
          <w:tcPr>
            <w:cnfStyle w:val="000010000000"/>
            <w:tcW w:w="993" w:type="dxa"/>
          </w:tcPr>
          <w:p w:rsidR="004076A0" w:rsidRPr="00692213" w:rsidRDefault="004076A0" w:rsidP="00692213">
            <w:pPr>
              <w:pStyle w:val="ExampleSub"/>
              <w:keepNext w:val="0"/>
              <w:keepLines w:val="0"/>
              <w:ind w:left="0"/>
              <w:jc w:val="center"/>
              <w:outlineLvl w:val="0"/>
              <w:rPr>
                <w:rFonts w:ascii="Arial" w:hAnsi="Arial" w:cs="Arial"/>
                <w:bCs w:val="0"/>
                <w:color w:val="auto"/>
                <w:sz w:val="20"/>
                <w:szCs w:val="20"/>
              </w:rPr>
            </w:pPr>
            <w:r w:rsidRPr="00692213">
              <w:rPr>
                <w:rFonts w:ascii="Arial" w:hAnsi="Arial" w:cs="Arial"/>
                <w:bCs w:val="0"/>
                <w:color w:val="auto"/>
                <w:sz w:val="20"/>
                <w:szCs w:val="20"/>
              </w:rPr>
              <w:t>5.8</w:t>
            </w:r>
          </w:p>
        </w:tc>
        <w:tc>
          <w:tcPr>
            <w:tcW w:w="992" w:type="dxa"/>
          </w:tcPr>
          <w:p w:rsidR="004076A0" w:rsidRPr="00692213" w:rsidRDefault="004076A0" w:rsidP="00692213">
            <w:pPr>
              <w:pStyle w:val="ExampleSub"/>
              <w:keepNext w:val="0"/>
              <w:keepLines w:val="0"/>
              <w:ind w:left="0"/>
              <w:jc w:val="center"/>
              <w:outlineLvl w:val="0"/>
              <w:cnfStyle w:val="000000000000"/>
              <w:rPr>
                <w:rFonts w:ascii="Arial" w:hAnsi="Arial" w:cs="Arial"/>
                <w:bCs w:val="0"/>
                <w:color w:val="auto"/>
                <w:sz w:val="20"/>
                <w:szCs w:val="20"/>
              </w:rPr>
            </w:pPr>
            <w:r w:rsidRPr="00692213">
              <w:rPr>
                <w:rFonts w:ascii="Arial" w:hAnsi="Arial" w:cs="Arial"/>
                <w:bCs w:val="0"/>
                <w:color w:val="auto"/>
                <w:sz w:val="20"/>
                <w:szCs w:val="20"/>
              </w:rPr>
              <w:t>0.2</w:t>
            </w:r>
          </w:p>
        </w:tc>
        <w:tc>
          <w:tcPr>
            <w:cnfStyle w:val="000010000000"/>
            <w:tcW w:w="1134" w:type="dxa"/>
          </w:tcPr>
          <w:p w:rsidR="004076A0" w:rsidRPr="00692213" w:rsidRDefault="004076A0" w:rsidP="00692213">
            <w:pPr>
              <w:pStyle w:val="ExampleSub"/>
              <w:keepNext w:val="0"/>
              <w:keepLines w:val="0"/>
              <w:ind w:left="0"/>
              <w:jc w:val="center"/>
              <w:outlineLvl w:val="0"/>
              <w:rPr>
                <w:rFonts w:ascii="Arial" w:hAnsi="Arial" w:cs="Arial"/>
                <w:bCs w:val="0"/>
                <w:color w:val="auto"/>
                <w:sz w:val="20"/>
                <w:szCs w:val="20"/>
              </w:rPr>
            </w:pPr>
            <w:r w:rsidRPr="00692213">
              <w:rPr>
                <w:rFonts w:ascii="Arial" w:hAnsi="Arial" w:cs="Arial"/>
                <w:bCs w:val="0"/>
                <w:color w:val="auto"/>
                <w:sz w:val="20"/>
                <w:szCs w:val="20"/>
              </w:rPr>
              <w:t>20.3</w:t>
            </w:r>
          </w:p>
        </w:tc>
        <w:tc>
          <w:tcPr>
            <w:cnfStyle w:val="000100000000"/>
            <w:tcW w:w="1134" w:type="dxa"/>
            <w:tcBorders>
              <w:left w:val="single" w:sz="4" w:space="0" w:color="4BACC6" w:themeColor="accent5"/>
            </w:tcBorders>
          </w:tcPr>
          <w:p w:rsidR="004076A0" w:rsidRPr="00692213" w:rsidRDefault="004076A0" w:rsidP="00692213">
            <w:pPr>
              <w:pStyle w:val="ExampleSub"/>
              <w:keepNext w:val="0"/>
              <w:keepLines w:val="0"/>
              <w:ind w:left="0"/>
              <w:jc w:val="center"/>
              <w:outlineLvl w:val="0"/>
              <w:rPr>
                <w:rFonts w:ascii="Arial" w:hAnsi="Arial" w:cs="Arial"/>
                <w:color w:val="auto"/>
                <w:sz w:val="20"/>
                <w:szCs w:val="20"/>
              </w:rPr>
            </w:pPr>
            <w:r w:rsidRPr="00692213">
              <w:rPr>
                <w:rFonts w:ascii="Arial" w:hAnsi="Arial" w:cs="Arial"/>
                <w:color w:val="auto"/>
                <w:sz w:val="20"/>
                <w:szCs w:val="20"/>
              </w:rPr>
              <w:t>26.3</w:t>
            </w:r>
          </w:p>
        </w:tc>
      </w:tr>
      <w:tr w:rsidR="004076A0" w:rsidRPr="00692213" w:rsidTr="004076A0">
        <w:trPr>
          <w:cnfStyle w:val="000000100000"/>
        </w:trPr>
        <w:tc>
          <w:tcPr>
            <w:cnfStyle w:val="001000000000"/>
            <w:tcW w:w="3969" w:type="dxa"/>
          </w:tcPr>
          <w:p w:rsidR="004076A0" w:rsidRPr="00692213" w:rsidRDefault="004076A0" w:rsidP="00804CC4">
            <w:pPr>
              <w:pStyle w:val="ExampleSub"/>
              <w:keepNext w:val="0"/>
              <w:keepLines w:val="0"/>
              <w:ind w:left="0"/>
              <w:outlineLvl w:val="0"/>
              <w:rPr>
                <w:rFonts w:ascii="Arial" w:hAnsi="Arial" w:cs="Arial"/>
                <w:color w:val="auto"/>
                <w:sz w:val="20"/>
                <w:szCs w:val="20"/>
              </w:rPr>
            </w:pPr>
            <w:r w:rsidRPr="00692213">
              <w:rPr>
                <w:rFonts w:ascii="Arial" w:hAnsi="Arial" w:cs="Arial"/>
                <w:color w:val="auto"/>
                <w:sz w:val="20"/>
                <w:szCs w:val="20"/>
              </w:rPr>
              <w:t>Additions</w:t>
            </w:r>
          </w:p>
        </w:tc>
        <w:tc>
          <w:tcPr>
            <w:cnfStyle w:val="000010000000"/>
            <w:tcW w:w="993" w:type="dxa"/>
          </w:tcPr>
          <w:p w:rsidR="004076A0" w:rsidRPr="00692213" w:rsidRDefault="004076A0" w:rsidP="00692213">
            <w:pPr>
              <w:pStyle w:val="ExampleSub"/>
              <w:keepNext w:val="0"/>
              <w:keepLines w:val="0"/>
              <w:ind w:left="0"/>
              <w:jc w:val="center"/>
              <w:outlineLvl w:val="0"/>
              <w:rPr>
                <w:rFonts w:ascii="Arial" w:hAnsi="Arial" w:cs="Arial"/>
                <w:b w:val="0"/>
                <w:bCs w:val="0"/>
                <w:color w:val="auto"/>
                <w:sz w:val="20"/>
                <w:szCs w:val="20"/>
              </w:rPr>
            </w:pPr>
            <w:r w:rsidRPr="00692213">
              <w:rPr>
                <w:rFonts w:ascii="Arial" w:hAnsi="Arial" w:cs="Arial"/>
                <w:b w:val="0"/>
                <w:bCs w:val="0"/>
                <w:color w:val="auto"/>
                <w:sz w:val="20"/>
                <w:szCs w:val="20"/>
              </w:rPr>
              <w:t>0</w:t>
            </w:r>
          </w:p>
        </w:tc>
        <w:tc>
          <w:tcPr>
            <w:tcW w:w="992" w:type="dxa"/>
          </w:tcPr>
          <w:p w:rsidR="004076A0" w:rsidRPr="00692213" w:rsidRDefault="004076A0" w:rsidP="00692213">
            <w:pPr>
              <w:pStyle w:val="ExampleSub"/>
              <w:keepNext w:val="0"/>
              <w:keepLines w:val="0"/>
              <w:ind w:left="0"/>
              <w:jc w:val="center"/>
              <w:outlineLvl w:val="0"/>
              <w:cnfStyle w:val="000000100000"/>
              <w:rPr>
                <w:rFonts w:ascii="Arial" w:hAnsi="Arial" w:cs="Arial"/>
                <w:b w:val="0"/>
                <w:bCs w:val="0"/>
                <w:color w:val="auto"/>
                <w:sz w:val="20"/>
                <w:szCs w:val="20"/>
              </w:rPr>
            </w:pPr>
            <w:r w:rsidRPr="00692213">
              <w:rPr>
                <w:rFonts w:ascii="Arial" w:hAnsi="Arial" w:cs="Arial"/>
                <w:b w:val="0"/>
                <w:bCs w:val="0"/>
                <w:color w:val="auto"/>
                <w:sz w:val="20"/>
                <w:szCs w:val="20"/>
              </w:rPr>
              <w:t>0</w:t>
            </w:r>
          </w:p>
        </w:tc>
        <w:tc>
          <w:tcPr>
            <w:cnfStyle w:val="000010000000"/>
            <w:tcW w:w="1134" w:type="dxa"/>
          </w:tcPr>
          <w:p w:rsidR="004076A0" w:rsidRPr="00692213" w:rsidRDefault="004076A0" w:rsidP="00692213">
            <w:pPr>
              <w:pStyle w:val="ExampleSub"/>
              <w:keepNext w:val="0"/>
              <w:keepLines w:val="0"/>
              <w:ind w:left="0"/>
              <w:jc w:val="center"/>
              <w:outlineLvl w:val="0"/>
              <w:rPr>
                <w:rFonts w:ascii="Arial" w:hAnsi="Arial" w:cs="Arial"/>
                <w:b w:val="0"/>
                <w:bCs w:val="0"/>
                <w:color w:val="auto"/>
                <w:sz w:val="20"/>
                <w:szCs w:val="20"/>
              </w:rPr>
            </w:pPr>
            <w:r w:rsidRPr="00692213">
              <w:rPr>
                <w:rFonts w:ascii="Arial" w:hAnsi="Arial" w:cs="Arial"/>
                <w:b w:val="0"/>
                <w:bCs w:val="0"/>
                <w:color w:val="auto"/>
                <w:sz w:val="20"/>
                <w:szCs w:val="20"/>
              </w:rPr>
              <w:t>0.1</w:t>
            </w:r>
          </w:p>
        </w:tc>
        <w:tc>
          <w:tcPr>
            <w:cnfStyle w:val="000100000000"/>
            <w:tcW w:w="1134" w:type="dxa"/>
            <w:tcBorders>
              <w:left w:val="single" w:sz="4" w:space="0" w:color="4BACC6" w:themeColor="accent5"/>
            </w:tcBorders>
          </w:tcPr>
          <w:p w:rsidR="004076A0" w:rsidRPr="00692213" w:rsidRDefault="004076A0" w:rsidP="00692213">
            <w:pPr>
              <w:pStyle w:val="ExampleSub"/>
              <w:keepNext w:val="0"/>
              <w:keepLines w:val="0"/>
              <w:ind w:left="0"/>
              <w:jc w:val="center"/>
              <w:outlineLvl w:val="0"/>
              <w:rPr>
                <w:rFonts w:ascii="Arial" w:hAnsi="Arial" w:cs="Arial"/>
                <w:color w:val="auto"/>
                <w:sz w:val="20"/>
                <w:szCs w:val="20"/>
              </w:rPr>
            </w:pPr>
            <w:r w:rsidRPr="00692213">
              <w:rPr>
                <w:rFonts w:ascii="Arial" w:hAnsi="Arial" w:cs="Arial"/>
                <w:color w:val="auto"/>
                <w:sz w:val="20"/>
                <w:szCs w:val="20"/>
              </w:rPr>
              <w:t>0.1</w:t>
            </w:r>
          </w:p>
        </w:tc>
      </w:tr>
      <w:tr w:rsidR="004076A0" w:rsidRPr="00692213" w:rsidTr="004076A0">
        <w:tc>
          <w:tcPr>
            <w:cnfStyle w:val="001000000000"/>
            <w:tcW w:w="3969" w:type="dxa"/>
          </w:tcPr>
          <w:p w:rsidR="004076A0" w:rsidRPr="00692213" w:rsidRDefault="004076A0" w:rsidP="000F3D88">
            <w:pPr>
              <w:pStyle w:val="ExampleSub"/>
              <w:keepNext w:val="0"/>
              <w:keepLines w:val="0"/>
              <w:ind w:left="0"/>
              <w:outlineLvl w:val="0"/>
              <w:rPr>
                <w:rFonts w:ascii="Arial" w:hAnsi="Arial" w:cs="Arial"/>
                <w:color w:val="auto"/>
                <w:sz w:val="20"/>
                <w:szCs w:val="20"/>
              </w:rPr>
            </w:pPr>
            <w:r w:rsidRPr="00692213">
              <w:rPr>
                <w:rFonts w:ascii="Arial" w:hAnsi="Arial" w:cs="Arial"/>
                <w:color w:val="auto"/>
                <w:sz w:val="20"/>
                <w:szCs w:val="20"/>
              </w:rPr>
              <w:t>Reclassifications</w:t>
            </w:r>
          </w:p>
        </w:tc>
        <w:tc>
          <w:tcPr>
            <w:cnfStyle w:val="000010000000"/>
            <w:tcW w:w="993" w:type="dxa"/>
          </w:tcPr>
          <w:p w:rsidR="004076A0" w:rsidRPr="00692213" w:rsidRDefault="004076A0" w:rsidP="00692213">
            <w:pPr>
              <w:pStyle w:val="ExampleSub"/>
              <w:keepNext w:val="0"/>
              <w:keepLines w:val="0"/>
              <w:ind w:left="0"/>
              <w:jc w:val="center"/>
              <w:outlineLvl w:val="0"/>
              <w:rPr>
                <w:rFonts w:ascii="Arial" w:hAnsi="Arial" w:cs="Arial"/>
                <w:b w:val="0"/>
                <w:bCs w:val="0"/>
                <w:color w:val="auto"/>
                <w:sz w:val="20"/>
                <w:szCs w:val="20"/>
              </w:rPr>
            </w:pPr>
            <w:r w:rsidRPr="00692213">
              <w:rPr>
                <w:rFonts w:ascii="Arial" w:hAnsi="Arial" w:cs="Arial"/>
                <w:b w:val="0"/>
                <w:bCs w:val="0"/>
                <w:color w:val="auto"/>
                <w:sz w:val="20"/>
                <w:szCs w:val="20"/>
              </w:rPr>
              <w:t>0</w:t>
            </w:r>
          </w:p>
        </w:tc>
        <w:tc>
          <w:tcPr>
            <w:tcW w:w="992" w:type="dxa"/>
          </w:tcPr>
          <w:p w:rsidR="004076A0" w:rsidRPr="00692213" w:rsidRDefault="004076A0" w:rsidP="00692213">
            <w:pPr>
              <w:pStyle w:val="ExampleSub"/>
              <w:keepNext w:val="0"/>
              <w:keepLines w:val="0"/>
              <w:ind w:left="0"/>
              <w:jc w:val="center"/>
              <w:outlineLvl w:val="0"/>
              <w:cnfStyle w:val="000000000000"/>
              <w:rPr>
                <w:rFonts w:ascii="Arial" w:hAnsi="Arial" w:cs="Arial"/>
                <w:b w:val="0"/>
                <w:bCs w:val="0"/>
                <w:color w:val="auto"/>
                <w:sz w:val="20"/>
                <w:szCs w:val="20"/>
              </w:rPr>
            </w:pPr>
            <w:r w:rsidRPr="00692213">
              <w:rPr>
                <w:rFonts w:ascii="Arial" w:hAnsi="Arial" w:cs="Arial"/>
                <w:b w:val="0"/>
                <w:bCs w:val="0"/>
                <w:color w:val="auto"/>
                <w:sz w:val="20"/>
                <w:szCs w:val="20"/>
              </w:rPr>
              <w:t>0</w:t>
            </w:r>
          </w:p>
        </w:tc>
        <w:tc>
          <w:tcPr>
            <w:cnfStyle w:val="000010000000"/>
            <w:tcW w:w="1134" w:type="dxa"/>
          </w:tcPr>
          <w:p w:rsidR="004076A0" w:rsidRPr="00692213" w:rsidRDefault="004076A0" w:rsidP="00692213">
            <w:pPr>
              <w:pStyle w:val="ExampleSub"/>
              <w:keepNext w:val="0"/>
              <w:keepLines w:val="0"/>
              <w:ind w:left="0"/>
              <w:jc w:val="center"/>
              <w:outlineLvl w:val="0"/>
              <w:rPr>
                <w:rFonts w:ascii="Arial" w:hAnsi="Arial" w:cs="Arial"/>
                <w:b w:val="0"/>
                <w:bCs w:val="0"/>
                <w:color w:val="auto"/>
                <w:sz w:val="20"/>
                <w:szCs w:val="20"/>
              </w:rPr>
            </w:pPr>
            <w:r w:rsidRPr="00692213">
              <w:rPr>
                <w:rFonts w:ascii="Arial" w:hAnsi="Arial" w:cs="Arial"/>
                <w:b w:val="0"/>
                <w:bCs w:val="0"/>
                <w:color w:val="auto"/>
                <w:sz w:val="20"/>
                <w:szCs w:val="20"/>
              </w:rPr>
              <w:t>1.0</w:t>
            </w:r>
          </w:p>
        </w:tc>
        <w:tc>
          <w:tcPr>
            <w:cnfStyle w:val="000100000000"/>
            <w:tcW w:w="1134" w:type="dxa"/>
            <w:tcBorders>
              <w:left w:val="single" w:sz="4" w:space="0" w:color="4BACC6" w:themeColor="accent5"/>
            </w:tcBorders>
          </w:tcPr>
          <w:p w:rsidR="004076A0" w:rsidRPr="00692213" w:rsidRDefault="004076A0" w:rsidP="00692213">
            <w:pPr>
              <w:pStyle w:val="ExampleSub"/>
              <w:keepNext w:val="0"/>
              <w:keepLines w:val="0"/>
              <w:ind w:left="0"/>
              <w:jc w:val="center"/>
              <w:outlineLvl w:val="0"/>
              <w:rPr>
                <w:rFonts w:ascii="Arial" w:hAnsi="Arial" w:cs="Arial"/>
                <w:color w:val="auto"/>
                <w:sz w:val="20"/>
                <w:szCs w:val="20"/>
              </w:rPr>
            </w:pPr>
            <w:r w:rsidRPr="00692213">
              <w:rPr>
                <w:rFonts w:ascii="Arial" w:hAnsi="Arial" w:cs="Arial"/>
                <w:color w:val="auto"/>
                <w:sz w:val="20"/>
                <w:szCs w:val="20"/>
              </w:rPr>
              <w:t>1.0</w:t>
            </w:r>
          </w:p>
        </w:tc>
      </w:tr>
      <w:tr w:rsidR="004076A0" w:rsidRPr="00692213" w:rsidTr="004076A0">
        <w:trPr>
          <w:cnfStyle w:val="000000100000"/>
        </w:trPr>
        <w:tc>
          <w:tcPr>
            <w:cnfStyle w:val="001000000000"/>
            <w:tcW w:w="3969" w:type="dxa"/>
          </w:tcPr>
          <w:p w:rsidR="004076A0" w:rsidRPr="00692213" w:rsidRDefault="004076A0" w:rsidP="00751F18">
            <w:pPr>
              <w:pStyle w:val="ExampleSub"/>
              <w:keepNext w:val="0"/>
              <w:keepLines w:val="0"/>
              <w:ind w:left="0"/>
              <w:outlineLvl w:val="0"/>
              <w:rPr>
                <w:rFonts w:ascii="Arial" w:hAnsi="Arial" w:cs="Arial"/>
                <w:color w:val="auto"/>
                <w:sz w:val="20"/>
                <w:szCs w:val="20"/>
              </w:rPr>
            </w:pPr>
            <w:r w:rsidRPr="00692213">
              <w:rPr>
                <w:rFonts w:ascii="Arial" w:hAnsi="Arial" w:cs="Arial"/>
                <w:color w:val="auto"/>
                <w:sz w:val="20"/>
                <w:szCs w:val="20"/>
              </w:rPr>
              <w:t>31</w:t>
            </w:r>
            <w:r w:rsidRPr="00692213">
              <w:rPr>
                <w:rFonts w:ascii="Arial" w:hAnsi="Arial" w:cs="Arial"/>
                <w:color w:val="auto"/>
                <w:sz w:val="20"/>
                <w:szCs w:val="20"/>
                <w:vertAlign w:val="superscript"/>
              </w:rPr>
              <w:t>st</w:t>
            </w:r>
            <w:r w:rsidRPr="00692213">
              <w:rPr>
                <w:rFonts w:ascii="Arial" w:hAnsi="Arial" w:cs="Arial"/>
                <w:color w:val="auto"/>
                <w:sz w:val="20"/>
                <w:szCs w:val="20"/>
              </w:rPr>
              <w:t xml:space="preserve"> March 2015</w:t>
            </w:r>
          </w:p>
        </w:tc>
        <w:tc>
          <w:tcPr>
            <w:cnfStyle w:val="000010000000"/>
            <w:tcW w:w="993" w:type="dxa"/>
          </w:tcPr>
          <w:p w:rsidR="004076A0" w:rsidRPr="00692213" w:rsidRDefault="004076A0" w:rsidP="00692213">
            <w:pPr>
              <w:pStyle w:val="ExampleSub"/>
              <w:keepNext w:val="0"/>
              <w:keepLines w:val="0"/>
              <w:ind w:left="0"/>
              <w:jc w:val="center"/>
              <w:outlineLvl w:val="0"/>
              <w:rPr>
                <w:rFonts w:ascii="Arial" w:hAnsi="Arial" w:cs="Arial"/>
                <w:color w:val="auto"/>
                <w:sz w:val="20"/>
                <w:szCs w:val="20"/>
              </w:rPr>
            </w:pPr>
            <w:r w:rsidRPr="00692213">
              <w:rPr>
                <w:rFonts w:ascii="Arial" w:hAnsi="Arial" w:cs="Arial"/>
                <w:color w:val="auto"/>
                <w:sz w:val="20"/>
                <w:szCs w:val="20"/>
              </w:rPr>
              <w:t>5.8</w:t>
            </w:r>
          </w:p>
        </w:tc>
        <w:tc>
          <w:tcPr>
            <w:tcW w:w="992" w:type="dxa"/>
          </w:tcPr>
          <w:p w:rsidR="004076A0" w:rsidRPr="00692213" w:rsidRDefault="004076A0" w:rsidP="00692213">
            <w:pPr>
              <w:pStyle w:val="ExampleSub"/>
              <w:keepNext w:val="0"/>
              <w:keepLines w:val="0"/>
              <w:ind w:left="0"/>
              <w:jc w:val="center"/>
              <w:outlineLvl w:val="0"/>
              <w:cnfStyle w:val="000000100000"/>
              <w:rPr>
                <w:rFonts w:ascii="Arial" w:hAnsi="Arial" w:cs="Arial"/>
                <w:color w:val="auto"/>
                <w:sz w:val="20"/>
                <w:szCs w:val="20"/>
              </w:rPr>
            </w:pPr>
            <w:r w:rsidRPr="00692213">
              <w:rPr>
                <w:rFonts w:ascii="Arial" w:hAnsi="Arial" w:cs="Arial"/>
                <w:color w:val="auto"/>
                <w:sz w:val="20"/>
                <w:szCs w:val="20"/>
              </w:rPr>
              <w:t>0.2</w:t>
            </w:r>
          </w:p>
        </w:tc>
        <w:tc>
          <w:tcPr>
            <w:cnfStyle w:val="000010000000"/>
            <w:tcW w:w="1134" w:type="dxa"/>
          </w:tcPr>
          <w:p w:rsidR="004076A0" w:rsidRPr="00692213" w:rsidRDefault="004076A0" w:rsidP="00692213">
            <w:pPr>
              <w:pStyle w:val="ExampleSub"/>
              <w:keepNext w:val="0"/>
              <w:keepLines w:val="0"/>
              <w:ind w:left="0"/>
              <w:jc w:val="center"/>
              <w:outlineLvl w:val="0"/>
              <w:rPr>
                <w:rFonts w:ascii="Arial" w:hAnsi="Arial" w:cs="Arial"/>
                <w:color w:val="auto"/>
                <w:sz w:val="20"/>
                <w:szCs w:val="20"/>
              </w:rPr>
            </w:pPr>
            <w:r w:rsidRPr="00692213">
              <w:rPr>
                <w:rFonts w:ascii="Arial" w:hAnsi="Arial" w:cs="Arial"/>
                <w:color w:val="auto"/>
                <w:sz w:val="20"/>
                <w:szCs w:val="20"/>
              </w:rPr>
              <w:t>21.4</w:t>
            </w:r>
          </w:p>
        </w:tc>
        <w:tc>
          <w:tcPr>
            <w:cnfStyle w:val="000100000000"/>
            <w:tcW w:w="1134" w:type="dxa"/>
            <w:tcBorders>
              <w:left w:val="single" w:sz="4" w:space="0" w:color="4BACC6" w:themeColor="accent5"/>
            </w:tcBorders>
          </w:tcPr>
          <w:p w:rsidR="004076A0" w:rsidRPr="00692213" w:rsidRDefault="004076A0" w:rsidP="00692213">
            <w:pPr>
              <w:pStyle w:val="ExampleSub"/>
              <w:keepNext w:val="0"/>
              <w:keepLines w:val="0"/>
              <w:ind w:left="0"/>
              <w:jc w:val="center"/>
              <w:outlineLvl w:val="0"/>
              <w:rPr>
                <w:rFonts w:ascii="Arial" w:hAnsi="Arial" w:cs="Arial"/>
                <w:color w:val="auto"/>
                <w:sz w:val="20"/>
                <w:szCs w:val="20"/>
              </w:rPr>
            </w:pPr>
            <w:r w:rsidRPr="00692213">
              <w:rPr>
                <w:rFonts w:ascii="Arial" w:hAnsi="Arial" w:cs="Arial"/>
                <w:color w:val="auto"/>
                <w:sz w:val="20"/>
                <w:szCs w:val="20"/>
              </w:rPr>
              <w:t>27.4</w:t>
            </w:r>
          </w:p>
        </w:tc>
      </w:tr>
      <w:tr w:rsidR="004076A0" w:rsidRPr="00692213" w:rsidTr="004076A0">
        <w:tc>
          <w:tcPr>
            <w:cnfStyle w:val="001000000000"/>
            <w:tcW w:w="3969" w:type="dxa"/>
          </w:tcPr>
          <w:p w:rsidR="004076A0" w:rsidRPr="00692213" w:rsidRDefault="004076A0" w:rsidP="00CE6D72">
            <w:pPr>
              <w:pStyle w:val="ExampleSub"/>
              <w:keepNext w:val="0"/>
              <w:keepLines w:val="0"/>
              <w:ind w:left="0"/>
              <w:outlineLvl w:val="0"/>
              <w:rPr>
                <w:rFonts w:ascii="Arial" w:hAnsi="Arial" w:cs="Arial"/>
                <w:color w:val="auto"/>
                <w:sz w:val="20"/>
                <w:szCs w:val="20"/>
              </w:rPr>
            </w:pPr>
            <w:r w:rsidRPr="00692213">
              <w:rPr>
                <w:rFonts w:ascii="Arial" w:hAnsi="Arial" w:cs="Arial"/>
                <w:color w:val="auto"/>
                <w:sz w:val="20"/>
                <w:szCs w:val="20"/>
              </w:rPr>
              <w:t>Additions</w:t>
            </w:r>
          </w:p>
        </w:tc>
        <w:tc>
          <w:tcPr>
            <w:cnfStyle w:val="000010000000"/>
            <w:tcW w:w="993" w:type="dxa"/>
          </w:tcPr>
          <w:p w:rsidR="004076A0" w:rsidRPr="00692213" w:rsidRDefault="004076A0" w:rsidP="00CE6D72">
            <w:pPr>
              <w:pStyle w:val="ExampleSub"/>
              <w:keepNext w:val="0"/>
              <w:keepLines w:val="0"/>
              <w:ind w:left="0"/>
              <w:jc w:val="center"/>
              <w:outlineLvl w:val="0"/>
              <w:rPr>
                <w:rFonts w:ascii="Arial" w:hAnsi="Arial" w:cs="Arial"/>
                <w:b w:val="0"/>
                <w:bCs w:val="0"/>
                <w:color w:val="auto"/>
                <w:sz w:val="20"/>
                <w:szCs w:val="20"/>
              </w:rPr>
            </w:pPr>
            <w:r>
              <w:rPr>
                <w:rFonts w:ascii="Arial" w:hAnsi="Arial" w:cs="Arial"/>
                <w:b w:val="0"/>
                <w:bCs w:val="0"/>
                <w:color w:val="auto"/>
                <w:sz w:val="20"/>
                <w:szCs w:val="20"/>
              </w:rPr>
              <w:t>0</w:t>
            </w:r>
          </w:p>
        </w:tc>
        <w:tc>
          <w:tcPr>
            <w:tcW w:w="992" w:type="dxa"/>
          </w:tcPr>
          <w:p w:rsidR="004076A0" w:rsidRPr="00692213" w:rsidRDefault="004076A0" w:rsidP="00CE6D72">
            <w:pPr>
              <w:pStyle w:val="ExampleSub"/>
              <w:keepNext w:val="0"/>
              <w:keepLines w:val="0"/>
              <w:ind w:left="0"/>
              <w:jc w:val="center"/>
              <w:outlineLvl w:val="0"/>
              <w:cnfStyle w:val="000000000000"/>
              <w:rPr>
                <w:rFonts w:ascii="Arial" w:hAnsi="Arial" w:cs="Arial"/>
                <w:b w:val="0"/>
                <w:bCs w:val="0"/>
                <w:color w:val="auto"/>
                <w:sz w:val="20"/>
                <w:szCs w:val="20"/>
              </w:rPr>
            </w:pPr>
            <w:r>
              <w:rPr>
                <w:rFonts w:ascii="Arial" w:hAnsi="Arial" w:cs="Arial"/>
                <w:b w:val="0"/>
                <w:bCs w:val="0"/>
                <w:color w:val="auto"/>
                <w:sz w:val="20"/>
                <w:szCs w:val="20"/>
              </w:rPr>
              <w:t>0</w:t>
            </w:r>
          </w:p>
        </w:tc>
        <w:tc>
          <w:tcPr>
            <w:cnfStyle w:val="000010000000"/>
            <w:tcW w:w="1134" w:type="dxa"/>
          </w:tcPr>
          <w:p w:rsidR="004076A0" w:rsidRPr="00692213" w:rsidRDefault="004076A0" w:rsidP="00760C70">
            <w:pPr>
              <w:pStyle w:val="ExampleSub"/>
              <w:keepNext w:val="0"/>
              <w:keepLines w:val="0"/>
              <w:ind w:left="0"/>
              <w:jc w:val="center"/>
              <w:outlineLvl w:val="0"/>
              <w:rPr>
                <w:rFonts w:ascii="Arial" w:hAnsi="Arial" w:cs="Arial"/>
                <w:b w:val="0"/>
                <w:bCs w:val="0"/>
                <w:color w:val="auto"/>
                <w:sz w:val="20"/>
                <w:szCs w:val="20"/>
              </w:rPr>
            </w:pPr>
            <w:r>
              <w:rPr>
                <w:rFonts w:ascii="Arial" w:hAnsi="Arial" w:cs="Arial"/>
                <w:b w:val="0"/>
                <w:bCs w:val="0"/>
                <w:color w:val="auto"/>
                <w:sz w:val="20"/>
                <w:szCs w:val="20"/>
              </w:rPr>
              <w:t>0.1</w:t>
            </w:r>
          </w:p>
        </w:tc>
        <w:tc>
          <w:tcPr>
            <w:cnfStyle w:val="000100000000"/>
            <w:tcW w:w="1134" w:type="dxa"/>
            <w:tcBorders>
              <w:left w:val="single" w:sz="4" w:space="0" w:color="4BACC6" w:themeColor="accent5"/>
            </w:tcBorders>
          </w:tcPr>
          <w:p w:rsidR="004076A0" w:rsidRPr="00692213" w:rsidRDefault="004076A0" w:rsidP="00760C70">
            <w:pPr>
              <w:pStyle w:val="ExampleSub"/>
              <w:keepNext w:val="0"/>
              <w:keepLines w:val="0"/>
              <w:ind w:left="0"/>
              <w:jc w:val="center"/>
              <w:outlineLvl w:val="0"/>
              <w:rPr>
                <w:rFonts w:ascii="Arial" w:hAnsi="Arial" w:cs="Arial"/>
                <w:color w:val="auto"/>
                <w:sz w:val="20"/>
                <w:szCs w:val="20"/>
              </w:rPr>
            </w:pPr>
            <w:r>
              <w:rPr>
                <w:rFonts w:ascii="Arial" w:hAnsi="Arial" w:cs="Arial"/>
                <w:color w:val="auto"/>
                <w:sz w:val="20"/>
                <w:szCs w:val="20"/>
              </w:rPr>
              <w:t>0.1</w:t>
            </w:r>
          </w:p>
        </w:tc>
      </w:tr>
      <w:tr w:rsidR="004076A0" w:rsidRPr="00692213" w:rsidTr="004076A0">
        <w:trPr>
          <w:cnfStyle w:val="000000100000"/>
        </w:trPr>
        <w:tc>
          <w:tcPr>
            <w:cnfStyle w:val="001000000000"/>
            <w:tcW w:w="3969" w:type="dxa"/>
          </w:tcPr>
          <w:p w:rsidR="004076A0" w:rsidRPr="00692213" w:rsidRDefault="004076A0" w:rsidP="00861115">
            <w:pPr>
              <w:pStyle w:val="ExampleSub"/>
              <w:keepNext w:val="0"/>
              <w:keepLines w:val="0"/>
              <w:ind w:left="0"/>
              <w:outlineLvl w:val="0"/>
              <w:rPr>
                <w:rFonts w:ascii="Arial" w:hAnsi="Arial" w:cs="Arial"/>
                <w:color w:val="auto"/>
                <w:sz w:val="20"/>
                <w:szCs w:val="20"/>
              </w:rPr>
            </w:pPr>
            <w:r w:rsidRPr="00692213">
              <w:rPr>
                <w:rFonts w:ascii="Arial" w:hAnsi="Arial" w:cs="Arial"/>
                <w:color w:val="auto"/>
                <w:sz w:val="20"/>
                <w:szCs w:val="20"/>
              </w:rPr>
              <w:t>Revaluation increases/(decreases) recognised in the Revaluation Reserve</w:t>
            </w:r>
          </w:p>
        </w:tc>
        <w:tc>
          <w:tcPr>
            <w:cnfStyle w:val="000010000000"/>
            <w:tcW w:w="993" w:type="dxa"/>
          </w:tcPr>
          <w:p w:rsidR="004076A0" w:rsidRPr="00692213" w:rsidRDefault="004076A0" w:rsidP="00CE6D72">
            <w:pPr>
              <w:pStyle w:val="ExampleSub"/>
              <w:keepNext w:val="0"/>
              <w:keepLines w:val="0"/>
              <w:ind w:left="0"/>
              <w:jc w:val="center"/>
              <w:outlineLvl w:val="0"/>
              <w:rPr>
                <w:rFonts w:ascii="Arial" w:hAnsi="Arial" w:cs="Arial"/>
                <w:b w:val="0"/>
                <w:bCs w:val="0"/>
                <w:color w:val="auto"/>
                <w:sz w:val="20"/>
                <w:szCs w:val="20"/>
              </w:rPr>
            </w:pPr>
            <w:r>
              <w:rPr>
                <w:rFonts w:ascii="Arial" w:hAnsi="Arial" w:cs="Arial"/>
                <w:b w:val="0"/>
                <w:bCs w:val="0"/>
                <w:color w:val="auto"/>
                <w:sz w:val="20"/>
                <w:szCs w:val="20"/>
              </w:rPr>
              <w:t>0</w:t>
            </w:r>
          </w:p>
        </w:tc>
        <w:tc>
          <w:tcPr>
            <w:tcW w:w="992" w:type="dxa"/>
          </w:tcPr>
          <w:p w:rsidR="004076A0" w:rsidRPr="00692213" w:rsidRDefault="004076A0" w:rsidP="00CE6D72">
            <w:pPr>
              <w:pStyle w:val="ExampleSub"/>
              <w:keepNext w:val="0"/>
              <w:keepLines w:val="0"/>
              <w:ind w:left="0"/>
              <w:jc w:val="center"/>
              <w:outlineLvl w:val="0"/>
              <w:cnfStyle w:val="000000100000"/>
              <w:rPr>
                <w:rFonts w:ascii="Arial" w:hAnsi="Arial" w:cs="Arial"/>
                <w:b w:val="0"/>
                <w:bCs w:val="0"/>
                <w:color w:val="auto"/>
                <w:sz w:val="20"/>
                <w:szCs w:val="20"/>
              </w:rPr>
            </w:pPr>
            <w:r>
              <w:rPr>
                <w:rFonts w:ascii="Arial" w:hAnsi="Arial" w:cs="Arial"/>
                <w:b w:val="0"/>
                <w:bCs w:val="0"/>
                <w:color w:val="auto"/>
                <w:sz w:val="20"/>
                <w:szCs w:val="20"/>
              </w:rPr>
              <w:t>0</w:t>
            </w:r>
          </w:p>
        </w:tc>
        <w:tc>
          <w:tcPr>
            <w:cnfStyle w:val="000010000000"/>
            <w:tcW w:w="1134" w:type="dxa"/>
          </w:tcPr>
          <w:p w:rsidR="004076A0" w:rsidRPr="00692213" w:rsidRDefault="004076A0" w:rsidP="00F05ECF">
            <w:pPr>
              <w:pStyle w:val="ExampleSub"/>
              <w:keepNext w:val="0"/>
              <w:keepLines w:val="0"/>
              <w:ind w:left="0"/>
              <w:jc w:val="center"/>
              <w:outlineLvl w:val="0"/>
              <w:rPr>
                <w:rFonts w:ascii="Arial" w:hAnsi="Arial" w:cs="Arial"/>
                <w:b w:val="0"/>
                <w:bCs w:val="0"/>
                <w:color w:val="auto"/>
                <w:sz w:val="20"/>
                <w:szCs w:val="20"/>
              </w:rPr>
            </w:pPr>
            <w:r>
              <w:rPr>
                <w:rFonts w:ascii="Arial" w:hAnsi="Arial" w:cs="Arial"/>
                <w:b w:val="0"/>
                <w:bCs w:val="0"/>
                <w:color w:val="auto"/>
                <w:sz w:val="20"/>
                <w:szCs w:val="20"/>
              </w:rPr>
              <w:t>0.9</w:t>
            </w:r>
          </w:p>
        </w:tc>
        <w:tc>
          <w:tcPr>
            <w:cnfStyle w:val="000100000000"/>
            <w:tcW w:w="1134" w:type="dxa"/>
            <w:tcBorders>
              <w:left w:val="single" w:sz="4" w:space="0" w:color="4BACC6" w:themeColor="accent5"/>
            </w:tcBorders>
          </w:tcPr>
          <w:p w:rsidR="004076A0" w:rsidRPr="00692213" w:rsidRDefault="004076A0" w:rsidP="00760C70">
            <w:pPr>
              <w:pStyle w:val="ExampleSub"/>
              <w:keepNext w:val="0"/>
              <w:keepLines w:val="0"/>
              <w:ind w:left="0"/>
              <w:jc w:val="center"/>
              <w:outlineLvl w:val="0"/>
              <w:rPr>
                <w:rFonts w:ascii="Arial" w:hAnsi="Arial" w:cs="Arial"/>
                <w:color w:val="auto"/>
                <w:sz w:val="20"/>
                <w:szCs w:val="20"/>
              </w:rPr>
            </w:pPr>
            <w:r>
              <w:rPr>
                <w:rFonts w:ascii="Arial" w:hAnsi="Arial" w:cs="Arial"/>
                <w:color w:val="auto"/>
                <w:sz w:val="20"/>
                <w:szCs w:val="20"/>
              </w:rPr>
              <w:t>0.9</w:t>
            </w:r>
          </w:p>
        </w:tc>
      </w:tr>
      <w:tr w:rsidR="004076A0" w:rsidRPr="00692213" w:rsidTr="004076A0">
        <w:trPr>
          <w:cnfStyle w:val="010000000000"/>
        </w:trPr>
        <w:tc>
          <w:tcPr>
            <w:cnfStyle w:val="001000000001"/>
            <w:tcW w:w="3969" w:type="dxa"/>
            <w:tcBorders>
              <w:top w:val="single" w:sz="4" w:space="0" w:color="4BACC6" w:themeColor="accent5"/>
              <w:bottom w:val="single" w:sz="4" w:space="0" w:color="4BACC6" w:themeColor="accent5"/>
            </w:tcBorders>
          </w:tcPr>
          <w:p w:rsidR="004076A0" w:rsidRPr="00692213" w:rsidRDefault="004076A0" w:rsidP="00692213">
            <w:pPr>
              <w:pStyle w:val="ExampleSub"/>
              <w:keepNext w:val="0"/>
              <w:keepLines w:val="0"/>
              <w:ind w:left="0"/>
              <w:outlineLvl w:val="0"/>
              <w:rPr>
                <w:rFonts w:cs="Arial"/>
                <w:color w:val="auto"/>
              </w:rPr>
            </w:pPr>
            <w:r w:rsidRPr="00692213">
              <w:rPr>
                <w:rFonts w:ascii="Arial" w:hAnsi="Arial" w:cs="Arial"/>
                <w:color w:val="auto"/>
                <w:sz w:val="20"/>
                <w:szCs w:val="20"/>
              </w:rPr>
              <w:t>31st March 2016</w:t>
            </w:r>
          </w:p>
        </w:tc>
        <w:tc>
          <w:tcPr>
            <w:cnfStyle w:val="000010000000"/>
            <w:tcW w:w="993" w:type="dxa"/>
            <w:tcBorders>
              <w:top w:val="single" w:sz="4" w:space="0" w:color="4BACC6" w:themeColor="accent5"/>
              <w:bottom w:val="single" w:sz="4" w:space="0" w:color="4BACC6" w:themeColor="accent5"/>
            </w:tcBorders>
          </w:tcPr>
          <w:p w:rsidR="004076A0" w:rsidRPr="00692213" w:rsidRDefault="004076A0" w:rsidP="00760C70">
            <w:pPr>
              <w:pStyle w:val="ExampleSub"/>
              <w:keepNext w:val="0"/>
              <w:keepLines w:val="0"/>
              <w:ind w:left="0"/>
              <w:jc w:val="center"/>
              <w:outlineLvl w:val="0"/>
              <w:rPr>
                <w:rFonts w:ascii="Arial" w:hAnsi="Arial" w:cs="Arial"/>
                <w:color w:val="auto"/>
                <w:sz w:val="20"/>
                <w:szCs w:val="20"/>
              </w:rPr>
            </w:pPr>
            <w:r>
              <w:rPr>
                <w:rFonts w:ascii="Arial" w:hAnsi="Arial" w:cs="Arial"/>
                <w:color w:val="auto"/>
                <w:sz w:val="20"/>
                <w:szCs w:val="20"/>
              </w:rPr>
              <w:t>5.8</w:t>
            </w:r>
          </w:p>
        </w:tc>
        <w:tc>
          <w:tcPr>
            <w:tcW w:w="992" w:type="dxa"/>
            <w:tcBorders>
              <w:top w:val="single" w:sz="4" w:space="0" w:color="4BACC6" w:themeColor="accent5"/>
              <w:bottom w:val="single" w:sz="4" w:space="0" w:color="4BACC6" w:themeColor="accent5"/>
            </w:tcBorders>
          </w:tcPr>
          <w:p w:rsidR="004076A0" w:rsidRPr="00692213" w:rsidRDefault="004076A0" w:rsidP="00CE6D72">
            <w:pPr>
              <w:pStyle w:val="ExampleSub"/>
              <w:keepNext w:val="0"/>
              <w:keepLines w:val="0"/>
              <w:ind w:left="0"/>
              <w:jc w:val="center"/>
              <w:outlineLvl w:val="0"/>
              <w:cnfStyle w:val="010000000000"/>
              <w:rPr>
                <w:rFonts w:ascii="Arial" w:hAnsi="Arial" w:cs="Arial"/>
                <w:color w:val="auto"/>
                <w:sz w:val="20"/>
                <w:szCs w:val="20"/>
              </w:rPr>
            </w:pPr>
            <w:r>
              <w:rPr>
                <w:rFonts w:ascii="Arial" w:hAnsi="Arial" w:cs="Arial"/>
                <w:color w:val="auto"/>
                <w:sz w:val="20"/>
                <w:szCs w:val="20"/>
              </w:rPr>
              <w:t>0.2</w:t>
            </w:r>
          </w:p>
        </w:tc>
        <w:tc>
          <w:tcPr>
            <w:cnfStyle w:val="000010000000"/>
            <w:tcW w:w="1134" w:type="dxa"/>
            <w:tcBorders>
              <w:top w:val="single" w:sz="4" w:space="0" w:color="4BACC6" w:themeColor="accent5"/>
              <w:bottom w:val="single" w:sz="4" w:space="0" w:color="4BACC6" w:themeColor="accent5"/>
            </w:tcBorders>
          </w:tcPr>
          <w:p w:rsidR="004076A0" w:rsidRPr="00692213" w:rsidRDefault="004076A0" w:rsidP="00886864">
            <w:pPr>
              <w:pStyle w:val="ExampleSub"/>
              <w:keepNext w:val="0"/>
              <w:keepLines w:val="0"/>
              <w:ind w:left="0"/>
              <w:jc w:val="center"/>
              <w:outlineLvl w:val="0"/>
              <w:rPr>
                <w:rFonts w:ascii="Arial" w:hAnsi="Arial" w:cs="Arial"/>
                <w:color w:val="auto"/>
                <w:sz w:val="20"/>
                <w:szCs w:val="20"/>
              </w:rPr>
            </w:pPr>
            <w:r>
              <w:rPr>
                <w:rFonts w:ascii="Arial" w:hAnsi="Arial" w:cs="Arial"/>
                <w:color w:val="auto"/>
                <w:sz w:val="20"/>
                <w:szCs w:val="20"/>
              </w:rPr>
              <w:t>22.4</w:t>
            </w:r>
          </w:p>
        </w:tc>
        <w:tc>
          <w:tcPr>
            <w:cnfStyle w:val="000100000010"/>
            <w:tcW w:w="1134" w:type="dxa"/>
            <w:tcBorders>
              <w:top w:val="single" w:sz="4" w:space="0" w:color="4BACC6" w:themeColor="accent5"/>
              <w:left w:val="single" w:sz="4" w:space="0" w:color="4BACC6" w:themeColor="accent5"/>
              <w:bottom w:val="single" w:sz="4" w:space="0" w:color="4BACC6" w:themeColor="accent5"/>
            </w:tcBorders>
          </w:tcPr>
          <w:p w:rsidR="004076A0" w:rsidRPr="00692213" w:rsidRDefault="004076A0" w:rsidP="00443096">
            <w:pPr>
              <w:pStyle w:val="ExampleSub"/>
              <w:keepNext w:val="0"/>
              <w:keepLines w:val="0"/>
              <w:ind w:left="0"/>
              <w:jc w:val="center"/>
              <w:outlineLvl w:val="0"/>
              <w:rPr>
                <w:rFonts w:ascii="Arial" w:hAnsi="Arial" w:cs="Arial"/>
                <w:color w:val="auto"/>
                <w:sz w:val="20"/>
                <w:szCs w:val="20"/>
              </w:rPr>
            </w:pPr>
            <w:r>
              <w:rPr>
                <w:rFonts w:ascii="Arial" w:hAnsi="Arial" w:cs="Arial"/>
                <w:color w:val="auto"/>
                <w:sz w:val="20"/>
                <w:szCs w:val="20"/>
              </w:rPr>
              <w:t>28.4</w:t>
            </w:r>
          </w:p>
        </w:tc>
      </w:tr>
    </w:tbl>
    <w:p w:rsidR="00E51139" w:rsidRPr="00D1734A" w:rsidRDefault="00E51139" w:rsidP="003D08FD">
      <w:pPr>
        <w:pStyle w:val="ExampleSub"/>
        <w:keepNext w:val="0"/>
        <w:keepLines w:val="0"/>
        <w:ind w:left="0" w:firstLine="720"/>
        <w:outlineLvl w:val="0"/>
        <w:rPr>
          <w:rFonts w:ascii="Arial" w:hAnsi="Arial" w:cs="Arial"/>
          <w:b w:val="0"/>
          <w:bCs w:val="0"/>
          <w:color w:val="auto"/>
          <w:sz w:val="20"/>
          <w:szCs w:val="20"/>
          <w:u w:val="single"/>
        </w:rPr>
      </w:pPr>
      <w:r w:rsidRPr="00D1734A">
        <w:rPr>
          <w:rFonts w:ascii="Arial" w:hAnsi="Arial" w:cs="Arial"/>
          <w:b w:val="0"/>
          <w:bCs w:val="0"/>
          <w:color w:val="auto"/>
          <w:sz w:val="20"/>
          <w:szCs w:val="20"/>
          <w:u w:val="single"/>
        </w:rPr>
        <w:t>Fine Arts Collection</w:t>
      </w:r>
    </w:p>
    <w:p w:rsidR="00E51139" w:rsidRPr="00D1734A" w:rsidRDefault="00751F18" w:rsidP="003D08FD">
      <w:pPr>
        <w:pStyle w:val="ExampleSub"/>
        <w:keepNext w:val="0"/>
        <w:keepLines w:val="0"/>
        <w:ind w:left="720"/>
        <w:outlineLvl w:val="0"/>
        <w:rPr>
          <w:rFonts w:ascii="Arial" w:hAnsi="Arial" w:cs="Arial"/>
          <w:b w:val="0"/>
          <w:bCs w:val="0"/>
          <w:color w:val="auto"/>
          <w:sz w:val="20"/>
          <w:szCs w:val="20"/>
        </w:rPr>
      </w:pPr>
      <w:r w:rsidRPr="00D1734A">
        <w:rPr>
          <w:rFonts w:ascii="Arial" w:hAnsi="Arial" w:cs="Arial"/>
          <w:b w:val="0"/>
          <w:bCs w:val="0"/>
          <w:color w:val="auto"/>
          <w:sz w:val="20"/>
          <w:szCs w:val="20"/>
        </w:rPr>
        <w:t>I</w:t>
      </w:r>
      <w:r w:rsidR="00E51139" w:rsidRPr="00D1734A">
        <w:rPr>
          <w:rFonts w:ascii="Arial" w:hAnsi="Arial" w:cs="Arial"/>
          <w:b w:val="0"/>
          <w:bCs w:val="0"/>
          <w:color w:val="auto"/>
          <w:sz w:val="20"/>
          <w:szCs w:val="20"/>
        </w:rPr>
        <w:t>ncludes exhibits held at Torre Abbey</w:t>
      </w:r>
      <w:r w:rsidR="00A7697E" w:rsidRPr="00D1734A">
        <w:rPr>
          <w:rFonts w:ascii="Arial" w:hAnsi="Arial" w:cs="Arial"/>
          <w:b w:val="0"/>
          <w:bCs w:val="0"/>
          <w:color w:val="auto"/>
          <w:sz w:val="20"/>
          <w:szCs w:val="20"/>
        </w:rPr>
        <w:t>.</w:t>
      </w:r>
      <w:r w:rsidR="00E51139" w:rsidRPr="00D1734A">
        <w:rPr>
          <w:rFonts w:ascii="Arial" w:hAnsi="Arial" w:cs="Arial"/>
          <w:b w:val="0"/>
          <w:bCs w:val="0"/>
          <w:color w:val="auto"/>
          <w:sz w:val="20"/>
          <w:szCs w:val="20"/>
        </w:rPr>
        <w:t xml:space="preserve"> The valuation was undertaken by external valuers, Bearnes, in 2010. The collection includes William Holman Hunt’s “The Children’s Holiday” which has an insurance valuation of £1.2m. There are a large number of exhibits at Torre Abbey that are not included in the valuation due to their low item value. Further details of the exhibits included in this collection</w:t>
      </w:r>
      <w:r w:rsidR="003910CE" w:rsidRPr="00D1734A">
        <w:rPr>
          <w:rFonts w:ascii="Arial" w:hAnsi="Arial" w:cs="Arial"/>
          <w:b w:val="0"/>
          <w:bCs w:val="0"/>
          <w:color w:val="auto"/>
          <w:sz w:val="20"/>
          <w:szCs w:val="20"/>
        </w:rPr>
        <w:t xml:space="preserve"> and visiting information</w:t>
      </w:r>
      <w:r w:rsidR="00E51139" w:rsidRPr="00D1734A">
        <w:rPr>
          <w:rFonts w:ascii="Arial" w:hAnsi="Arial" w:cs="Arial"/>
          <w:b w:val="0"/>
          <w:bCs w:val="0"/>
          <w:color w:val="auto"/>
          <w:sz w:val="20"/>
          <w:szCs w:val="20"/>
        </w:rPr>
        <w:t xml:space="preserve"> are available on the council’s website at:-</w:t>
      </w:r>
    </w:p>
    <w:p w:rsidR="002A1AE6" w:rsidRPr="002A1AE6" w:rsidRDefault="00C555E7" w:rsidP="006C5669">
      <w:pPr>
        <w:pStyle w:val="ExampleSub"/>
        <w:keepNext w:val="0"/>
        <w:keepLines w:val="0"/>
        <w:ind w:left="720"/>
        <w:outlineLvl w:val="0"/>
        <w:rPr>
          <w:rStyle w:val="Hyperlink"/>
          <w:rFonts w:ascii="Arial" w:hAnsi="Arial" w:cs="Arial"/>
          <w:b w:val="0"/>
          <w:bCs w:val="0"/>
          <w:sz w:val="20"/>
          <w:szCs w:val="20"/>
        </w:rPr>
      </w:pPr>
      <w:hyperlink r:id="rId41" w:history="1">
        <w:r w:rsidR="002A1AE6" w:rsidRPr="002A1AE6">
          <w:rPr>
            <w:rStyle w:val="Hyperlink"/>
            <w:rFonts w:ascii="Arial" w:hAnsi="Arial" w:cs="Arial"/>
            <w:b w:val="0"/>
            <w:bCs w:val="0"/>
            <w:sz w:val="20"/>
            <w:szCs w:val="20"/>
          </w:rPr>
          <w:t>http://www.torre-abbey.org.uk/collections</w:t>
        </w:r>
      </w:hyperlink>
    </w:p>
    <w:p w:rsidR="00E51139" w:rsidRPr="00D1734A" w:rsidRDefault="00E51139" w:rsidP="006C5669">
      <w:pPr>
        <w:pStyle w:val="ExampleSub"/>
        <w:keepNext w:val="0"/>
        <w:keepLines w:val="0"/>
        <w:ind w:left="720"/>
        <w:outlineLvl w:val="0"/>
        <w:rPr>
          <w:rFonts w:ascii="Arial" w:hAnsi="Arial" w:cs="Arial"/>
          <w:b w:val="0"/>
          <w:color w:val="auto"/>
          <w:sz w:val="20"/>
          <w:szCs w:val="20"/>
        </w:rPr>
      </w:pPr>
      <w:r w:rsidRPr="00D1734A">
        <w:rPr>
          <w:rFonts w:ascii="Arial" w:hAnsi="Arial" w:cs="Arial"/>
          <w:b w:val="0"/>
          <w:color w:val="auto"/>
          <w:sz w:val="20"/>
          <w:szCs w:val="20"/>
        </w:rPr>
        <w:t>The Council’s ‘Acquisition and Disposal Policy for Torre Abbey’ is available on the council website:</w:t>
      </w:r>
    </w:p>
    <w:p w:rsidR="000F3D77" w:rsidRPr="00D1734A" w:rsidRDefault="00C555E7" w:rsidP="003D08FD">
      <w:pPr>
        <w:pStyle w:val="ExampleSub"/>
        <w:keepNext w:val="0"/>
        <w:keepLines w:val="0"/>
        <w:ind w:left="720"/>
        <w:outlineLvl w:val="0"/>
        <w:rPr>
          <w:rFonts w:ascii="Arial" w:hAnsi="Arial" w:cs="Arial"/>
          <w:b w:val="0"/>
          <w:bCs w:val="0"/>
          <w:color w:val="auto"/>
          <w:sz w:val="20"/>
          <w:szCs w:val="20"/>
        </w:rPr>
      </w:pPr>
      <w:hyperlink r:id="rId42" w:history="1">
        <w:r w:rsidR="0019306E" w:rsidRPr="0019306E">
          <w:rPr>
            <w:rStyle w:val="Hyperlink"/>
            <w:rFonts w:ascii="Arial" w:hAnsi="Arial" w:cs="Arial"/>
            <w:b w:val="0"/>
            <w:bCs w:val="0"/>
            <w:sz w:val="20"/>
            <w:szCs w:val="20"/>
          </w:rPr>
          <w:t>http://www.torbay.gov.uk/index/yourcouncil/financialservices/heritageassets.doc</w:t>
        </w:r>
      </w:hyperlink>
    </w:p>
    <w:p w:rsidR="00063B04" w:rsidRPr="00D1734A" w:rsidRDefault="00E51139" w:rsidP="003D08FD">
      <w:pPr>
        <w:pStyle w:val="ExampleSub"/>
        <w:keepNext w:val="0"/>
        <w:keepLines w:val="0"/>
        <w:ind w:left="720"/>
        <w:outlineLvl w:val="0"/>
        <w:rPr>
          <w:rFonts w:ascii="Arial" w:hAnsi="Arial" w:cs="Arial"/>
          <w:b w:val="0"/>
          <w:bCs w:val="0"/>
          <w:color w:val="auto"/>
          <w:sz w:val="20"/>
          <w:szCs w:val="20"/>
        </w:rPr>
      </w:pPr>
      <w:r w:rsidRPr="00D1734A">
        <w:rPr>
          <w:rFonts w:ascii="Arial" w:hAnsi="Arial" w:cs="Arial"/>
          <w:b w:val="0"/>
          <w:bCs w:val="0"/>
          <w:color w:val="auto"/>
          <w:sz w:val="20"/>
          <w:szCs w:val="20"/>
        </w:rPr>
        <w:t xml:space="preserve">The Council is in the process of transferring the information it holds on the Torre Abbey exhibits to a new museum database.  </w:t>
      </w:r>
    </w:p>
    <w:p w:rsidR="00E51139" w:rsidRPr="00D1734A" w:rsidRDefault="00E51139" w:rsidP="003D08FD">
      <w:pPr>
        <w:pStyle w:val="ExampleSub"/>
        <w:keepNext w:val="0"/>
        <w:keepLines w:val="0"/>
        <w:ind w:left="720"/>
        <w:outlineLvl w:val="0"/>
        <w:rPr>
          <w:rFonts w:ascii="Arial" w:hAnsi="Arial" w:cs="Arial"/>
          <w:b w:val="0"/>
          <w:bCs w:val="0"/>
          <w:color w:val="auto"/>
          <w:sz w:val="20"/>
          <w:szCs w:val="20"/>
        </w:rPr>
      </w:pPr>
      <w:r w:rsidRPr="00D1734A">
        <w:rPr>
          <w:rFonts w:ascii="Arial" w:hAnsi="Arial" w:cs="Arial"/>
          <w:b w:val="0"/>
          <w:bCs w:val="0"/>
          <w:color w:val="auto"/>
          <w:sz w:val="20"/>
          <w:szCs w:val="20"/>
        </w:rPr>
        <w:t>Also included in this classification is fine art from Oldway Mansion and Torquay Town Hall, which has a combined insurance valuation of £0.</w:t>
      </w:r>
      <w:r w:rsidR="00063B04" w:rsidRPr="00D1734A">
        <w:rPr>
          <w:rFonts w:ascii="Arial" w:hAnsi="Arial" w:cs="Arial"/>
          <w:b w:val="0"/>
          <w:bCs w:val="0"/>
          <w:color w:val="auto"/>
          <w:sz w:val="20"/>
          <w:szCs w:val="20"/>
        </w:rPr>
        <w:t>4</w:t>
      </w:r>
      <w:r w:rsidRPr="00D1734A">
        <w:rPr>
          <w:rFonts w:ascii="Arial" w:hAnsi="Arial" w:cs="Arial"/>
          <w:b w:val="0"/>
          <w:bCs w:val="0"/>
          <w:color w:val="auto"/>
          <w:sz w:val="20"/>
          <w:szCs w:val="20"/>
        </w:rPr>
        <w:t>m. This valuation was given by external valuers, Bearnes, in 2004.</w:t>
      </w:r>
    </w:p>
    <w:p w:rsidR="00E51139" w:rsidRPr="00D1734A" w:rsidRDefault="00E51139" w:rsidP="003D08FD">
      <w:pPr>
        <w:pStyle w:val="ExampleSub"/>
        <w:keepNext w:val="0"/>
        <w:keepLines w:val="0"/>
        <w:ind w:left="0" w:firstLine="720"/>
        <w:outlineLvl w:val="0"/>
        <w:rPr>
          <w:rFonts w:ascii="Arial" w:hAnsi="Arial" w:cs="Arial"/>
          <w:b w:val="0"/>
          <w:bCs w:val="0"/>
          <w:color w:val="auto"/>
          <w:sz w:val="20"/>
          <w:szCs w:val="20"/>
          <w:u w:val="single"/>
        </w:rPr>
      </w:pPr>
      <w:r w:rsidRPr="00D1734A">
        <w:rPr>
          <w:rFonts w:ascii="Arial" w:hAnsi="Arial" w:cs="Arial"/>
          <w:b w:val="0"/>
          <w:bCs w:val="0"/>
          <w:color w:val="auto"/>
          <w:sz w:val="20"/>
          <w:szCs w:val="20"/>
          <w:u w:val="single"/>
        </w:rPr>
        <w:t>Mayoral Regalia</w:t>
      </w:r>
    </w:p>
    <w:p w:rsidR="00E51139" w:rsidRPr="00D1734A" w:rsidRDefault="00E51139" w:rsidP="003D08FD">
      <w:pPr>
        <w:pStyle w:val="ExampleSub"/>
        <w:keepNext w:val="0"/>
        <w:keepLines w:val="0"/>
        <w:ind w:left="720"/>
        <w:outlineLvl w:val="0"/>
        <w:rPr>
          <w:rFonts w:ascii="Arial" w:hAnsi="Arial" w:cs="Arial"/>
          <w:b w:val="0"/>
          <w:bCs w:val="0"/>
          <w:color w:val="auto"/>
          <w:sz w:val="20"/>
          <w:szCs w:val="20"/>
        </w:rPr>
      </w:pPr>
      <w:r w:rsidRPr="00D1734A">
        <w:rPr>
          <w:rFonts w:ascii="Arial" w:hAnsi="Arial" w:cs="Arial"/>
          <w:b w:val="0"/>
          <w:bCs w:val="0"/>
          <w:color w:val="auto"/>
          <w:sz w:val="20"/>
          <w:szCs w:val="20"/>
        </w:rPr>
        <w:t>Included in this collection are Chains of Office, Badges, Maces and other silver items. The collection was last valued by external valuers, Fattorini, in 2005. Some items were revalued in 2010 and a general uplift to values was applied in 2011.</w:t>
      </w:r>
    </w:p>
    <w:p w:rsidR="00E51139" w:rsidRPr="00D1734A" w:rsidRDefault="00E51139" w:rsidP="003D08FD">
      <w:pPr>
        <w:pStyle w:val="ExampleSub"/>
        <w:keepNext w:val="0"/>
        <w:keepLines w:val="0"/>
        <w:ind w:left="0" w:firstLine="720"/>
        <w:outlineLvl w:val="0"/>
        <w:rPr>
          <w:rFonts w:ascii="Arial" w:hAnsi="Arial" w:cs="Arial"/>
          <w:b w:val="0"/>
          <w:bCs w:val="0"/>
          <w:color w:val="auto"/>
          <w:sz w:val="20"/>
          <w:szCs w:val="20"/>
          <w:u w:val="single"/>
        </w:rPr>
      </w:pPr>
      <w:r w:rsidRPr="00D1734A">
        <w:rPr>
          <w:rFonts w:ascii="Arial" w:hAnsi="Arial" w:cs="Arial"/>
          <w:b w:val="0"/>
          <w:bCs w:val="0"/>
          <w:color w:val="auto"/>
          <w:sz w:val="20"/>
          <w:szCs w:val="20"/>
          <w:u w:val="single"/>
        </w:rPr>
        <w:lastRenderedPageBreak/>
        <w:t>Heritage Property</w:t>
      </w:r>
    </w:p>
    <w:p w:rsidR="00446433" w:rsidRPr="00D1734A" w:rsidRDefault="00E51139" w:rsidP="00446433">
      <w:pPr>
        <w:pStyle w:val="ExampleSub"/>
        <w:keepNext w:val="0"/>
        <w:keepLines w:val="0"/>
        <w:ind w:left="720"/>
        <w:outlineLvl w:val="0"/>
        <w:rPr>
          <w:rFonts w:cs="Arial"/>
          <w:color w:val="auto"/>
          <w:sz w:val="20"/>
          <w:szCs w:val="20"/>
        </w:rPr>
      </w:pPr>
      <w:r w:rsidRPr="00D1734A">
        <w:rPr>
          <w:rFonts w:ascii="Arial" w:hAnsi="Arial" w:cs="Arial"/>
          <w:b w:val="0"/>
          <w:bCs w:val="0"/>
          <w:color w:val="auto"/>
          <w:sz w:val="20"/>
          <w:szCs w:val="20"/>
        </w:rPr>
        <w:t xml:space="preserve">Most of these assets are not insured so are held at historic cost, for example the D Day Embarkation </w:t>
      </w:r>
      <w:r w:rsidRPr="00225B59">
        <w:rPr>
          <w:rFonts w:ascii="Arial" w:hAnsi="Arial" w:cs="Arial"/>
          <w:b w:val="0"/>
          <w:bCs w:val="0"/>
          <w:color w:val="auto"/>
          <w:sz w:val="20"/>
          <w:szCs w:val="20"/>
        </w:rPr>
        <w:t>Ramps.  Of the property assets with an insurance valuation, Torre Abbey is the most significant being valued at £</w:t>
      </w:r>
      <w:r w:rsidR="00063B04" w:rsidRPr="00225B59">
        <w:rPr>
          <w:rFonts w:ascii="Arial" w:hAnsi="Arial" w:cs="Arial"/>
          <w:b w:val="0"/>
          <w:bCs w:val="0"/>
          <w:color w:val="auto"/>
          <w:sz w:val="20"/>
          <w:szCs w:val="20"/>
        </w:rPr>
        <w:t>1</w:t>
      </w:r>
      <w:r w:rsidR="00225B59" w:rsidRPr="00225B59">
        <w:rPr>
          <w:rFonts w:ascii="Arial" w:hAnsi="Arial" w:cs="Arial"/>
          <w:b w:val="0"/>
          <w:bCs w:val="0"/>
          <w:color w:val="auto"/>
          <w:sz w:val="20"/>
          <w:szCs w:val="20"/>
        </w:rPr>
        <w:t>8.4</w:t>
      </w:r>
      <w:r w:rsidRPr="00225B59">
        <w:rPr>
          <w:rFonts w:ascii="Arial" w:hAnsi="Arial" w:cs="Arial"/>
          <w:b w:val="0"/>
          <w:bCs w:val="0"/>
          <w:color w:val="auto"/>
          <w:sz w:val="20"/>
          <w:szCs w:val="20"/>
        </w:rPr>
        <w:t>m.</w:t>
      </w:r>
      <w:r w:rsidRPr="00692213">
        <w:rPr>
          <w:rFonts w:ascii="Arial" w:hAnsi="Arial" w:cs="Arial"/>
          <w:b w:val="0"/>
          <w:bCs w:val="0"/>
          <w:color w:val="548DD4" w:themeColor="text2" w:themeTint="99"/>
          <w:sz w:val="20"/>
          <w:szCs w:val="20"/>
        </w:rPr>
        <w:t xml:space="preserve"> </w:t>
      </w:r>
      <w:r w:rsidRPr="00D1734A">
        <w:rPr>
          <w:rFonts w:ascii="Arial" w:hAnsi="Arial" w:cs="Arial"/>
          <w:b w:val="0"/>
          <w:bCs w:val="0"/>
          <w:color w:val="auto"/>
          <w:sz w:val="20"/>
          <w:szCs w:val="20"/>
        </w:rPr>
        <w:t xml:space="preserve">The Council also has properties that although culturally and historically important, are being used for operational purposes. As this purpose is more relevant to users of the financial statements these assets have been classified under the heading ‘Property, Plant and Equipment’ on the balance sheet. For example these assets include Torquay Town Hall and Electric House which are used as office accommodation. </w:t>
      </w:r>
      <w:r w:rsidRPr="00D1734A">
        <w:rPr>
          <w:rFonts w:ascii="Arial" w:hAnsi="Arial" w:cs="Arial"/>
          <w:b w:val="0"/>
          <w:color w:val="auto"/>
          <w:sz w:val="20"/>
          <w:szCs w:val="20"/>
        </w:rPr>
        <w:t xml:space="preserve">The Council uses an external RICS qualified valuer to provide property reinstatement valuations for insurance </w:t>
      </w:r>
      <w:r w:rsidRPr="00D1734A">
        <w:rPr>
          <w:rFonts w:ascii="Arial" w:hAnsi="Arial" w:cs="Arial"/>
          <w:b w:val="0"/>
          <w:bCs w:val="0"/>
          <w:color w:val="auto"/>
          <w:sz w:val="20"/>
          <w:szCs w:val="20"/>
        </w:rPr>
        <w:t>purposes</w:t>
      </w:r>
      <w:r w:rsidR="00483A47" w:rsidRPr="00D1734A">
        <w:rPr>
          <w:rFonts w:ascii="Arial" w:hAnsi="Arial" w:cs="Arial"/>
          <w:b w:val="0"/>
          <w:bCs w:val="0"/>
          <w:color w:val="auto"/>
          <w:sz w:val="20"/>
          <w:szCs w:val="20"/>
        </w:rPr>
        <w:t xml:space="preserve">. </w:t>
      </w:r>
    </w:p>
    <w:p w:rsidR="007D73CE" w:rsidRDefault="007D73CE" w:rsidP="00875E2D">
      <w:pPr>
        <w:pStyle w:val="Subtitle"/>
        <w:ind w:left="567" w:hanging="567"/>
        <w:rPr>
          <w:b/>
          <w:color w:val="auto"/>
          <w:sz w:val="22"/>
          <w:szCs w:val="22"/>
        </w:rPr>
      </w:pPr>
    </w:p>
    <w:p w:rsidR="00E51139" w:rsidRPr="00692213" w:rsidRDefault="00E51139" w:rsidP="00875E2D">
      <w:pPr>
        <w:pStyle w:val="Subtitle"/>
        <w:ind w:left="567" w:hanging="567"/>
        <w:rPr>
          <w:b/>
          <w:color w:val="auto"/>
          <w:sz w:val="22"/>
          <w:szCs w:val="22"/>
        </w:rPr>
      </w:pPr>
      <w:r w:rsidRPr="00692213">
        <w:rPr>
          <w:b/>
          <w:color w:val="auto"/>
          <w:sz w:val="22"/>
          <w:szCs w:val="22"/>
        </w:rPr>
        <w:t>1</w:t>
      </w:r>
      <w:r w:rsidR="00FE0163" w:rsidRPr="00692213">
        <w:rPr>
          <w:b/>
          <w:color w:val="auto"/>
          <w:sz w:val="22"/>
          <w:szCs w:val="22"/>
        </w:rPr>
        <w:t>3</w:t>
      </w:r>
      <w:r w:rsidRPr="00692213">
        <w:rPr>
          <w:b/>
          <w:color w:val="auto"/>
          <w:sz w:val="22"/>
          <w:szCs w:val="22"/>
        </w:rPr>
        <w:t>.</w:t>
      </w:r>
      <w:r w:rsidRPr="00692213">
        <w:rPr>
          <w:b/>
          <w:color w:val="auto"/>
          <w:sz w:val="22"/>
          <w:szCs w:val="22"/>
        </w:rPr>
        <w:tab/>
        <w:t>Financial Instruments</w:t>
      </w:r>
      <w:r w:rsidR="00E709DF">
        <w:rPr>
          <w:b/>
          <w:color w:val="auto"/>
          <w:sz w:val="22"/>
          <w:szCs w:val="22"/>
        </w:rPr>
        <w:t xml:space="preserve"> </w:t>
      </w:r>
    </w:p>
    <w:p w:rsidR="00E51139" w:rsidRPr="00692213" w:rsidRDefault="00E51139" w:rsidP="003C5E34">
      <w:pPr>
        <w:pStyle w:val="CodeNotesExampleText"/>
        <w:widowControl w:val="0"/>
        <w:ind w:left="567"/>
        <w:rPr>
          <w:rFonts w:cs="Arial"/>
          <w:color w:val="auto"/>
          <w:sz w:val="20"/>
          <w:szCs w:val="20"/>
        </w:rPr>
      </w:pPr>
      <w:r w:rsidRPr="00692213">
        <w:rPr>
          <w:rFonts w:cs="Arial"/>
          <w:color w:val="auto"/>
          <w:sz w:val="20"/>
          <w:szCs w:val="20"/>
        </w:rPr>
        <w:t>The following categories of financial instrument are carried in the Balance Sheet:</w:t>
      </w:r>
    </w:p>
    <w:p w:rsidR="00443096" w:rsidRPr="00D42E0B" w:rsidRDefault="00443096" w:rsidP="003C5E34">
      <w:pPr>
        <w:pStyle w:val="CodeNotesExampleText"/>
        <w:widowControl w:val="0"/>
        <w:ind w:left="567"/>
        <w:rPr>
          <w:rFonts w:cs="Arial"/>
          <w:color w:val="548DD4" w:themeColor="text2" w:themeTint="99"/>
          <w:sz w:val="20"/>
          <w:szCs w:val="20"/>
        </w:rPr>
      </w:pPr>
    </w:p>
    <w:tbl>
      <w:tblPr>
        <w:tblStyle w:val="ListTable3-Accent51"/>
        <w:tblW w:w="8930" w:type="dxa"/>
        <w:tblInd w:w="534" w:type="dxa"/>
        <w:tblLayout w:type="fixed"/>
        <w:tblLook w:val="0000"/>
      </w:tblPr>
      <w:tblGrid>
        <w:gridCol w:w="992"/>
        <w:gridCol w:w="992"/>
        <w:gridCol w:w="4961"/>
        <w:gridCol w:w="993"/>
        <w:gridCol w:w="992"/>
      </w:tblGrid>
      <w:tr w:rsidR="00F2207D" w:rsidRPr="00692213" w:rsidTr="00586ABF">
        <w:trPr>
          <w:cnfStyle w:val="000000100000"/>
          <w:trHeight w:val="298"/>
        </w:trPr>
        <w:tc>
          <w:tcPr>
            <w:cnfStyle w:val="000010000000"/>
            <w:tcW w:w="1984" w:type="dxa"/>
            <w:gridSpan w:val="2"/>
            <w:shd w:val="clear" w:color="auto" w:fill="4BACC6" w:themeFill="accent5"/>
          </w:tcPr>
          <w:p w:rsidR="00F2207D" w:rsidRPr="00692213" w:rsidRDefault="00E76401" w:rsidP="00692213">
            <w:pPr>
              <w:pStyle w:val="TableRightBold"/>
              <w:spacing w:line="240" w:lineRule="auto"/>
              <w:jc w:val="center"/>
              <w:rPr>
                <w:rFonts w:ascii="Arial" w:hAnsi="Arial" w:cs="Arial"/>
                <w:color w:val="auto"/>
                <w:sz w:val="18"/>
                <w:szCs w:val="18"/>
              </w:rPr>
            </w:pPr>
            <w:r w:rsidRPr="00692213">
              <w:rPr>
                <w:rStyle w:val="Bold"/>
                <w:rFonts w:ascii="Arial" w:hAnsi="Arial" w:cs="Arial"/>
                <w:bCs w:val="0"/>
                <w:color w:val="auto"/>
                <w:sz w:val="18"/>
                <w:szCs w:val="18"/>
              </w:rPr>
              <w:t>31</w:t>
            </w:r>
            <w:r w:rsidRPr="00692213">
              <w:rPr>
                <w:rStyle w:val="Bold"/>
                <w:rFonts w:ascii="Arial" w:hAnsi="Arial" w:cs="Arial"/>
                <w:bCs w:val="0"/>
                <w:color w:val="auto"/>
                <w:sz w:val="18"/>
                <w:szCs w:val="18"/>
                <w:vertAlign w:val="superscript"/>
              </w:rPr>
              <w:t>st</w:t>
            </w:r>
            <w:r w:rsidRPr="00692213">
              <w:rPr>
                <w:rStyle w:val="Bold"/>
                <w:rFonts w:ascii="Arial" w:hAnsi="Arial" w:cs="Arial"/>
                <w:bCs w:val="0"/>
                <w:color w:val="auto"/>
                <w:sz w:val="18"/>
                <w:szCs w:val="18"/>
              </w:rPr>
              <w:t xml:space="preserve"> </w:t>
            </w:r>
            <w:r w:rsidR="00F2207D" w:rsidRPr="00692213">
              <w:rPr>
                <w:rStyle w:val="Bold"/>
                <w:rFonts w:ascii="Arial" w:hAnsi="Arial" w:cs="Arial"/>
                <w:bCs w:val="0"/>
                <w:color w:val="auto"/>
                <w:sz w:val="18"/>
                <w:szCs w:val="18"/>
              </w:rPr>
              <w:t xml:space="preserve"> March 201</w:t>
            </w:r>
            <w:r w:rsidR="00692213" w:rsidRPr="00692213">
              <w:rPr>
                <w:rStyle w:val="Bold"/>
                <w:rFonts w:ascii="Arial" w:hAnsi="Arial" w:cs="Arial"/>
                <w:bCs w:val="0"/>
                <w:color w:val="auto"/>
                <w:sz w:val="18"/>
                <w:szCs w:val="18"/>
              </w:rPr>
              <w:t>5</w:t>
            </w:r>
          </w:p>
        </w:tc>
        <w:tc>
          <w:tcPr>
            <w:tcW w:w="4961" w:type="dxa"/>
            <w:shd w:val="clear" w:color="auto" w:fill="4BACC6" w:themeFill="accent5"/>
          </w:tcPr>
          <w:p w:rsidR="00F2207D" w:rsidRPr="00692213" w:rsidRDefault="00F2207D" w:rsidP="00326781">
            <w:pPr>
              <w:pStyle w:val="NoParagraphStyle"/>
              <w:spacing w:line="240" w:lineRule="auto"/>
              <w:textAlignment w:val="auto"/>
              <w:cnfStyle w:val="000000100000"/>
              <w:rPr>
                <w:rFonts w:ascii="Arial" w:hAnsi="Arial" w:cs="Arial"/>
                <w:color w:val="auto"/>
                <w:sz w:val="18"/>
                <w:szCs w:val="18"/>
              </w:rPr>
            </w:pPr>
          </w:p>
        </w:tc>
        <w:tc>
          <w:tcPr>
            <w:cnfStyle w:val="000010000000"/>
            <w:tcW w:w="1985" w:type="dxa"/>
            <w:gridSpan w:val="2"/>
            <w:shd w:val="clear" w:color="auto" w:fill="4BACC6" w:themeFill="accent5"/>
          </w:tcPr>
          <w:p w:rsidR="00F2207D" w:rsidRPr="00692213" w:rsidRDefault="00E76401" w:rsidP="00692213">
            <w:pPr>
              <w:pStyle w:val="TableRightBold"/>
              <w:spacing w:line="240" w:lineRule="auto"/>
              <w:jc w:val="center"/>
              <w:rPr>
                <w:rFonts w:ascii="Arial" w:hAnsi="Arial" w:cs="Arial"/>
                <w:color w:val="auto"/>
                <w:sz w:val="18"/>
                <w:szCs w:val="18"/>
              </w:rPr>
            </w:pPr>
            <w:r w:rsidRPr="00692213">
              <w:rPr>
                <w:rFonts w:ascii="Arial" w:hAnsi="Arial" w:cs="Arial"/>
                <w:color w:val="auto"/>
                <w:sz w:val="18"/>
                <w:szCs w:val="18"/>
              </w:rPr>
              <w:t>31</w:t>
            </w:r>
            <w:r w:rsidRPr="00692213">
              <w:rPr>
                <w:rFonts w:ascii="Arial" w:hAnsi="Arial" w:cs="Arial"/>
                <w:color w:val="auto"/>
                <w:sz w:val="18"/>
                <w:szCs w:val="18"/>
                <w:vertAlign w:val="superscript"/>
              </w:rPr>
              <w:t>st</w:t>
            </w:r>
            <w:r w:rsidRPr="00692213">
              <w:rPr>
                <w:rFonts w:ascii="Arial" w:hAnsi="Arial" w:cs="Arial"/>
                <w:color w:val="auto"/>
                <w:sz w:val="18"/>
                <w:szCs w:val="18"/>
              </w:rPr>
              <w:t xml:space="preserve"> </w:t>
            </w:r>
            <w:r w:rsidR="00E84520" w:rsidRPr="00692213">
              <w:rPr>
                <w:rFonts w:ascii="Arial" w:hAnsi="Arial" w:cs="Arial"/>
                <w:color w:val="auto"/>
                <w:sz w:val="18"/>
                <w:szCs w:val="18"/>
              </w:rPr>
              <w:t>March 201</w:t>
            </w:r>
            <w:r w:rsidR="00692213" w:rsidRPr="00692213">
              <w:rPr>
                <w:rFonts w:ascii="Arial" w:hAnsi="Arial" w:cs="Arial"/>
                <w:color w:val="auto"/>
                <w:sz w:val="18"/>
                <w:szCs w:val="18"/>
              </w:rPr>
              <w:t>6</w:t>
            </w:r>
          </w:p>
        </w:tc>
      </w:tr>
      <w:tr w:rsidR="00AF26EB" w:rsidRPr="00692213" w:rsidTr="00586ABF">
        <w:trPr>
          <w:trHeight w:val="20"/>
        </w:trPr>
        <w:tc>
          <w:tcPr>
            <w:cnfStyle w:val="000010000000"/>
            <w:tcW w:w="992" w:type="dxa"/>
            <w:shd w:val="clear" w:color="auto" w:fill="4BACC6" w:themeFill="accent5"/>
          </w:tcPr>
          <w:p w:rsidR="00C7632F" w:rsidRPr="00692213" w:rsidRDefault="00C7632F" w:rsidP="001874CC">
            <w:pPr>
              <w:pStyle w:val="TableHeadBold"/>
              <w:jc w:val="center"/>
              <w:rPr>
                <w:rFonts w:ascii="Arial" w:hAnsi="Arial" w:cs="Arial"/>
                <w:b w:val="0"/>
                <w:color w:val="auto"/>
                <w:sz w:val="20"/>
                <w:szCs w:val="20"/>
              </w:rPr>
            </w:pPr>
            <w:r w:rsidRPr="00692213">
              <w:rPr>
                <w:rFonts w:ascii="Arial" w:hAnsi="Arial" w:cs="Arial"/>
                <w:b w:val="0"/>
                <w:color w:val="auto"/>
                <w:sz w:val="20"/>
                <w:szCs w:val="20"/>
              </w:rPr>
              <w:t>Long Term</w:t>
            </w:r>
          </w:p>
        </w:tc>
        <w:tc>
          <w:tcPr>
            <w:tcW w:w="992" w:type="dxa"/>
            <w:shd w:val="clear" w:color="auto" w:fill="4BACC6" w:themeFill="accent5"/>
          </w:tcPr>
          <w:p w:rsidR="00C7632F" w:rsidRPr="00692213" w:rsidRDefault="00C7632F" w:rsidP="001874CC">
            <w:pPr>
              <w:pStyle w:val="TableHeadBold"/>
              <w:cnfStyle w:val="000000000000"/>
              <w:rPr>
                <w:rFonts w:ascii="Arial" w:hAnsi="Arial" w:cs="Arial"/>
                <w:b w:val="0"/>
                <w:color w:val="auto"/>
                <w:sz w:val="20"/>
                <w:szCs w:val="20"/>
              </w:rPr>
            </w:pPr>
            <w:r w:rsidRPr="00692213">
              <w:rPr>
                <w:rFonts w:ascii="Arial" w:hAnsi="Arial" w:cs="Arial"/>
                <w:b w:val="0"/>
                <w:color w:val="auto"/>
                <w:sz w:val="20"/>
                <w:szCs w:val="20"/>
              </w:rPr>
              <w:t>Short Term</w:t>
            </w:r>
          </w:p>
        </w:tc>
        <w:tc>
          <w:tcPr>
            <w:cnfStyle w:val="000010000000"/>
            <w:tcW w:w="4961" w:type="dxa"/>
            <w:shd w:val="clear" w:color="auto" w:fill="4BACC6" w:themeFill="accent5"/>
          </w:tcPr>
          <w:p w:rsidR="00C7632F" w:rsidRPr="00692213" w:rsidRDefault="00C7632F" w:rsidP="001874CC">
            <w:pPr>
              <w:pStyle w:val="NoParagraphStyle"/>
              <w:spacing w:line="240" w:lineRule="auto"/>
              <w:textAlignment w:val="auto"/>
              <w:rPr>
                <w:rFonts w:ascii="Arial" w:hAnsi="Arial" w:cs="Arial"/>
                <w:color w:val="auto"/>
                <w:sz w:val="20"/>
                <w:szCs w:val="20"/>
              </w:rPr>
            </w:pPr>
          </w:p>
        </w:tc>
        <w:tc>
          <w:tcPr>
            <w:tcW w:w="993" w:type="dxa"/>
            <w:shd w:val="clear" w:color="auto" w:fill="4BACC6" w:themeFill="accent5"/>
          </w:tcPr>
          <w:p w:rsidR="00C7632F" w:rsidRPr="00692213" w:rsidRDefault="00C7632F" w:rsidP="001874CC">
            <w:pPr>
              <w:pStyle w:val="TableHeadBold"/>
              <w:jc w:val="center"/>
              <w:cnfStyle w:val="000000000000"/>
              <w:rPr>
                <w:rFonts w:ascii="Arial" w:hAnsi="Arial" w:cs="Arial"/>
                <w:color w:val="auto"/>
                <w:sz w:val="20"/>
                <w:szCs w:val="20"/>
              </w:rPr>
            </w:pPr>
            <w:r w:rsidRPr="00692213">
              <w:rPr>
                <w:rFonts w:ascii="Arial" w:hAnsi="Arial" w:cs="Arial"/>
                <w:color w:val="auto"/>
                <w:sz w:val="20"/>
                <w:szCs w:val="20"/>
              </w:rPr>
              <w:t>Long Term</w:t>
            </w:r>
          </w:p>
        </w:tc>
        <w:tc>
          <w:tcPr>
            <w:cnfStyle w:val="000010000000"/>
            <w:tcW w:w="992" w:type="dxa"/>
            <w:shd w:val="clear" w:color="auto" w:fill="4BACC6" w:themeFill="accent5"/>
          </w:tcPr>
          <w:p w:rsidR="00C7632F" w:rsidRPr="00692213" w:rsidRDefault="00C7632F" w:rsidP="001874CC">
            <w:pPr>
              <w:pStyle w:val="TableHeadBold"/>
              <w:jc w:val="center"/>
              <w:rPr>
                <w:rFonts w:ascii="Arial" w:hAnsi="Arial" w:cs="Arial"/>
                <w:color w:val="auto"/>
                <w:sz w:val="20"/>
                <w:szCs w:val="20"/>
              </w:rPr>
            </w:pPr>
            <w:r w:rsidRPr="00692213">
              <w:rPr>
                <w:rFonts w:ascii="Arial" w:hAnsi="Arial" w:cs="Arial"/>
                <w:color w:val="auto"/>
                <w:sz w:val="20"/>
                <w:szCs w:val="20"/>
              </w:rPr>
              <w:t>Short Term</w:t>
            </w:r>
          </w:p>
        </w:tc>
      </w:tr>
      <w:tr w:rsidR="00C7632F" w:rsidRPr="00692213" w:rsidTr="00586ABF">
        <w:trPr>
          <w:cnfStyle w:val="000000100000"/>
          <w:trHeight w:val="143"/>
        </w:trPr>
        <w:tc>
          <w:tcPr>
            <w:cnfStyle w:val="000010000000"/>
            <w:tcW w:w="992" w:type="dxa"/>
            <w:shd w:val="clear" w:color="auto" w:fill="4BACC6" w:themeFill="accent5"/>
          </w:tcPr>
          <w:p w:rsidR="00C7632F" w:rsidRPr="00692213" w:rsidRDefault="00AF26EB" w:rsidP="00AF26EB">
            <w:pPr>
              <w:pStyle w:val="TableRight"/>
              <w:spacing w:line="276" w:lineRule="auto"/>
              <w:jc w:val="center"/>
              <w:rPr>
                <w:rFonts w:ascii="Arial" w:hAnsi="Arial" w:cs="Arial"/>
                <w:color w:val="auto"/>
              </w:rPr>
            </w:pPr>
            <w:r w:rsidRPr="00692213">
              <w:rPr>
                <w:rFonts w:ascii="Arial" w:hAnsi="Arial" w:cs="Arial"/>
                <w:color w:val="auto"/>
              </w:rPr>
              <w:t>£m</w:t>
            </w:r>
          </w:p>
        </w:tc>
        <w:tc>
          <w:tcPr>
            <w:tcW w:w="992" w:type="dxa"/>
            <w:shd w:val="clear" w:color="auto" w:fill="4BACC6" w:themeFill="accent5"/>
          </w:tcPr>
          <w:p w:rsidR="00C7632F" w:rsidRPr="00692213" w:rsidRDefault="00AF26EB" w:rsidP="00AF26EB">
            <w:pPr>
              <w:pStyle w:val="TableRight"/>
              <w:spacing w:line="276" w:lineRule="auto"/>
              <w:jc w:val="center"/>
              <w:cnfStyle w:val="000000100000"/>
              <w:rPr>
                <w:rFonts w:ascii="Arial" w:hAnsi="Arial" w:cs="Arial"/>
                <w:color w:val="auto"/>
              </w:rPr>
            </w:pPr>
            <w:r w:rsidRPr="00692213">
              <w:rPr>
                <w:rFonts w:ascii="Arial" w:hAnsi="Arial" w:cs="Arial"/>
                <w:color w:val="auto"/>
              </w:rPr>
              <w:t>£m</w:t>
            </w:r>
          </w:p>
        </w:tc>
        <w:tc>
          <w:tcPr>
            <w:cnfStyle w:val="000010000000"/>
            <w:tcW w:w="4961" w:type="dxa"/>
            <w:shd w:val="clear" w:color="auto" w:fill="4BACC6" w:themeFill="accent5"/>
          </w:tcPr>
          <w:p w:rsidR="00C7632F" w:rsidRPr="00692213" w:rsidRDefault="00C7632F" w:rsidP="00AF26EB">
            <w:pPr>
              <w:pStyle w:val="TableText"/>
              <w:spacing w:line="276" w:lineRule="auto"/>
              <w:jc w:val="center"/>
              <w:rPr>
                <w:rFonts w:ascii="Arial" w:hAnsi="Arial" w:cs="Arial"/>
                <w:color w:val="auto"/>
              </w:rPr>
            </w:pPr>
          </w:p>
        </w:tc>
        <w:tc>
          <w:tcPr>
            <w:tcW w:w="993" w:type="dxa"/>
            <w:shd w:val="clear" w:color="auto" w:fill="4BACC6" w:themeFill="accent5"/>
          </w:tcPr>
          <w:p w:rsidR="00C7632F" w:rsidRPr="00692213" w:rsidRDefault="00AF26EB" w:rsidP="00AF26EB">
            <w:pPr>
              <w:pStyle w:val="TableRight"/>
              <w:spacing w:line="276" w:lineRule="auto"/>
              <w:jc w:val="center"/>
              <w:cnfStyle w:val="000000100000"/>
              <w:rPr>
                <w:rFonts w:ascii="Arial" w:hAnsi="Arial" w:cs="Arial"/>
                <w:color w:val="auto"/>
              </w:rPr>
            </w:pPr>
            <w:r w:rsidRPr="00692213">
              <w:rPr>
                <w:rFonts w:ascii="Arial" w:hAnsi="Arial" w:cs="Arial"/>
                <w:color w:val="auto"/>
              </w:rPr>
              <w:t>£m</w:t>
            </w:r>
          </w:p>
        </w:tc>
        <w:tc>
          <w:tcPr>
            <w:cnfStyle w:val="000010000000"/>
            <w:tcW w:w="992" w:type="dxa"/>
            <w:shd w:val="clear" w:color="auto" w:fill="4BACC6" w:themeFill="accent5"/>
          </w:tcPr>
          <w:p w:rsidR="00C7632F" w:rsidRPr="00692213" w:rsidRDefault="00AF26EB" w:rsidP="00AF26EB">
            <w:pPr>
              <w:pStyle w:val="TableRight"/>
              <w:spacing w:line="276" w:lineRule="auto"/>
              <w:jc w:val="center"/>
              <w:rPr>
                <w:rFonts w:ascii="Arial" w:hAnsi="Arial" w:cs="Arial"/>
                <w:color w:val="auto"/>
              </w:rPr>
            </w:pPr>
            <w:r w:rsidRPr="00692213">
              <w:rPr>
                <w:rFonts w:ascii="Arial" w:hAnsi="Arial" w:cs="Arial"/>
                <w:color w:val="auto"/>
              </w:rPr>
              <w:t>£m</w:t>
            </w:r>
          </w:p>
        </w:tc>
      </w:tr>
      <w:tr w:rsidR="00F2207D" w:rsidRPr="00692213" w:rsidTr="00586ABF">
        <w:trPr>
          <w:trHeight w:val="284"/>
        </w:trPr>
        <w:tc>
          <w:tcPr>
            <w:cnfStyle w:val="000010000000"/>
            <w:tcW w:w="992" w:type="dxa"/>
          </w:tcPr>
          <w:p w:rsidR="00F2207D" w:rsidRPr="00692213" w:rsidRDefault="00F2207D" w:rsidP="00326781">
            <w:pPr>
              <w:pStyle w:val="TableRight"/>
              <w:spacing w:line="276" w:lineRule="auto"/>
              <w:rPr>
                <w:rFonts w:ascii="Arial" w:hAnsi="Arial" w:cs="Arial"/>
                <w:color w:val="auto"/>
              </w:rPr>
            </w:pPr>
          </w:p>
        </w:tc>
        <w:tc>
          <w:tcPr>
            <w:tcW w:w="992" w:type="dxa"/>
          </w:tcPr>
          <w:p w:rsidR="00F2207D" w:rsidRPr="00692213" w:rsidRDefault="00F2207D" w:rsidP="00326781">
            <w:pPr>
              <w:pStyle w:val="TableRight"/>
              <w:spacing w:line="276" w:lineRule="auto"/>
              <w:cnfStyle w:val="000000000000"/>
              <w:rPr>
                <w:rFonts w:ascii="Arial" w:hAnsi="Arial" w:cs="Arial"/>
                <w:color w:val="auto"/>
              </w:rPr>
            </w:pPr>
          </w:p>
        </w:tc>
        <w:tc>
          <w:tcPr>
            <w:cnfStyle w:val="000010000000"/>
            <w:tcW w:w="4961" w:type="dxa"/>
          </w:tcPr>
          <w:p w:rsidR="00F2207D" w:rsidRPr="00692213" w:rsidRDefault="00F2207D" w:rsidP="00326781">
            <w:pPr>
              <w:pStyle w:val="TableText"/>
              <w:spacing w:line="276" w:lineRule="auto"/>
              <w:rPr>
                <w:rFonts w:ascii="Arial" w:hAnsi="Arial" w:cs="Arial"/>
                <w:b/>
                <w:color w:val="auto"/>
              </w:rPr>
            </w:pPr>
            <w:r w:rsidRPr="00692213">
              <w:rPr>
                <w:rFonts w:ascii="Arial" w:hAnsi="Arial" w:cs="Arial"/>
                <w:b/>
                <w:color w:val="auto"/>
              </w:rPr>
              <w:t>Investments</w:t>
            </w:r>
          </w:p>
        </w:tc>
        <w:tc>
          <w:tcPr>
            <w:tcW w:w="993" w:type="dxa"/>
          </w:tcPr>
          <w:p w:rsidR="00F2207D" w:rsidRPr="00692213" w:rsidRDefault="00F2207D" w:rsidP="00326781">
            <w:pPr>
              <w:pStyle w:val="TableRight"/>
              <w:spacing w:line="276" w:lineRule="auto"/>
              <w:cnfStyle w:val="000000000000"/>
              <w:rPr>
                <w:rFonts w:ascii="Arial" w:hAnsi="Arial" w:cs="Arial"/>
                <w:b/>
                <w:color w:val="auto"/>
              </w:rPr>
            </w:pPr>
          </w:p>
        </w:tc>
        <w:tc>
          <w:tcPr>
            <w:cnfStyle w:val="000010000000"/>
            <w:tcW w:w="992" w:type="dxa"/>
          </w:tcPr>
          <w:p w:rsidR="00F2207D" w:rsidRPr="00692213" w:rsidRDefault="00F2207D" w:rsidP="00326781">
            <w:pPr>
              <w:pStyle w:val="TableRight"/>
              <w:spacing w:line="276" w:lineRule="auto"/>
              <w:rPr>
                <w:rFonts w:ascii="Arial" w:hAnsi="Arial" w:cs="Arial"/>
                <w:b/>
                <w:color w:val="auto"/>
              </w:rPr>
            </w:pPr>
          </w:p>
        </w:tc>
      </w:tr>
      <w:tr w:rsidR="00692213" w:rsidRPr="00692213" w:rsidTr="00586ABF">
        <w:trPr>
          <w:cnfStyle w:val="000000100000"/>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15.0</w:t>
            </w:r>
          </w:p>
        </w:tc>
        <w:tc>
          <w:tcPr>
            <w:tcW w:w="992" w:type="dxa"/>
          </w:tcPr>
          <w:p w:rsidR="00692213" w:rsidRPr="00692213" w:rsidRDefault="00692213" w:rsidP="00692213">
            <w:pPr>
              <w:pStyle w:val="TableRight"/>
              <w:spacing w:line="276" w:lineRule="auto"/>
              <w:jc w:val="center"/>
              <w:cnfStyle w:val="000000100000"/>
              <w:rPr>
                <w:rFonts w:ascii="Arial" w:hAnsi="Arial" w:cs="Arial"/>
                <w:color w:val="auto"/>
              </w:rPr>
            </w:pPr>
            <w:r w:rsidRPr="00692213">
              <w:rPr>
                <w:rFonts w:ascii="Arial" w:hAnsi="Arial" w:cs="Arial"/>
                <w:color w:val="auto"/>
              </w:rPr>
              <w:t>24.2</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Loans and receivables</w:t>
            </w:r>
          </w:p>
        </w:tc>
        <w:tc>
          <w:tcPr>
            <w:tcW w:w="993" w:type="dxa"/>
          </w:tcPr>
          <w:p w:rsidR="00692213" w:rsidRPr="00692213" w:rsidRDefault="006D4387" w:rsidP="00326781">
            <w:pPr>
              <w:pStyle w:val="TableRight"/>
              <w:spacing w:line="276" w:lineRule="auto"/>
              <w:jc w:val="center"/>
              <w:cnfStyle w:val="000000100000"/>
              <w:rPr>
                <w:rFonts w:ascii="Arial" w:hAnsi="Arial" w:cs="Arial"/>
                <w:b/>
                <w:color w:val="auto"/>
              </w:rPr>
            </w:pPr>
            <w:r>
              <w:rPr>
                <w:rFonts w:ascii="Arial" w:hAnsi="Arial" w:cs="Arial"/>
                <w:b/>
                <w:color w:val="auto"/>
              </w:rPr>
              <w:t>7.1</w:t>
            </w:r>
          </w:p>
        </w:tc>
        <w:tc>
          <w:tcPr>
            <w:cnfStyle w:val="000010000000"/>
            <w:tcW w:w="992" w:type="dxa"/>
          </w:tcPr>
          <w:p w:rsidR="00692213" w:rsidRPr="00692213" w:rsidRDefault="006D4387" w:rsidP="00306F77">
            <w:pPr>
              <w:pStyle w:val="TableRight"/>
              <w:spacing w:line="276" w:lineRule="auto"/>
              <w:jc w:val="center"/>
              <w:rPr>
                <w:rFonts w:ascii="Arial" w:hAnsi="Arial" w:cs="Arial"/>
                <w:b/>
                <w:color w:val="auto"/>
              </w:rPr>
            </w:pPr>
            <w:r>
              <w:rPr>
                <w:rFonts w:ascii="Arial" w:hAnsi="Arial" w:cs="Arial"/>
                <w:b/>
                <w:color w:val="auto"/>
              </w:rPr>
              <w:t>2</w:t>
            </w:r>
            <w:r w:rsidR="00385472">
              <w:rPr>
                <w:rFonts w:ascii="Arial" w:hAnsi="Arial" w:cs="Arial"/>
                <w:b/>
                <w:color w:val="auto"/>
              </w:rPr>
              <w:t>8</w:t>
            </w:r>
            <w:r>
              <w:rPr>
                <w:rFonts w:ascii="Arial" w:hAnsi="Arial" w:cs="Arial"/>
                <w:b/>
                <w:color w:val="auto"/>
              </w:rPr>
              <w:t>.</w:t>
            </w:r>
            <w:r w:rsidR="00306F77">
              <w:rPr>
                <w:rFonts w:ascii="Arial" w:hAnsi="Arial" w:cs="Arial"/>
                <w:b/>
                <w:color w:val="auto"/>
              </w:rPr>
              <w:t>8</w:t>
            </w:r>
          </w:p>
        </w:tc>
      </w:tr>
      <w:tr w:rsidR="00692213" w:rsidRPr="00692213" w:rsidTr="00586ABF">
        <w:trPr>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1.1</w:t>
            </w:r>
          </w:p>
        </w:tc>
        <w:tc>
          <w:tcPr>
            <w:tcW w:w="992" w:type="dxa"/>
          </w:tcPr>
          <w:p w:rsidR="00692213" w:rsidRPr="00692213" w:rsidRDefault="00692213" w:rsidP="00692213">
            <w:pPr>
              <w:pStyle w:val="TableRight"/>
              <w:spacing w:line="276" w:lineRule="auto"/>
              <w:jc w:val="center"/>
              <w:cnfStyle w:val="000000000000"/>
              <w:rPr>
                <w:rFonts w:ascii="Arial" w:hAnsi="Arial" w:cs="Arial"/>
                <w:color w:val="auto"/>
              </w:rPr>
            </w:pPr>
            <w:r w:rsidRPr="00692213">
              <w:rPr>
                <w:rFonts w:ascii="Arial" w:hAnsi="Arial" w:cs="Arial"/>
                <w:color w:val="auto"/>
              </w:rPr>
              <w:t>0.1</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Available-for-sale financial assets</w:t>
            </w:r>
          </w:p>
        </w:tc>
        <w:tc>
          <w:tcPr>
            <w:tcW w:w="993" w:type="dxa"/>
          </w:tcPr>
          <w:p w:rsidR="00692213" w:rsidRPr="00692213" w:rsidRDefault="006D4387" w:rsidP="001A4F9A">
            <w:pPr>
              <w:pStyle w:val="TableRight"/>
              <w:spacing w:line="276" w:lineRule="auto"/>
              <w:jc w:val="center"/>
              <w:cnfStyle w:val="000000000000"/>
              <w:rPr>
                <w:rFonts w:ascii="Arial" w:hAnsi="Arial" w:cs="Arial"/>
                <w:b/>
                <w:color w:val="auto"/>
              </w:rPr>
            </w:pPr>
            <w:r>
              <w:rPr>
                <w:rFonts w:ascii="Arial" w:hAnsi="Arial" w:cs="Arial"/>
                <w:b/>
                <w:color w:val="auto"/>
              </w:rPr>
              <w:t>2.3</w:t>
            </w:r>
          </w:p>
        </w:tc>
        <w:tc>
          <w:tcPr>
            <w:cnfStyle w:val="000010000000"/>
            <w:tcW w:w="992" w:type="dxa"/>
          </w:tcPr>
          <w:p w:rsidR="00692213" w:rsidRPr="00692213" w:rsidRDefault="00385472" w:rsidP="00385472">
            <w:pPr>
              <w:pStyle w:val="TableRight"/>
              <w:spacing w:line="276" w:lineRule="auto"/>
              <w:jc w:val="center"/>
              <w:rPr>
                <w:rFonts w:ascii="Arial" w:hAnsi="Arial" w:cs="Arial"/>
                <w:b/>
                <w:color w:val="auto"/>
              </w:rPr>
            </w:pPr>
            <w:r>
              <w:rPr>
                <w:rFonts w:ascii="Arial" w:hAnsi="Arial" w:cs="Arial"/>
                <w:b/>
                <w:color w:val="auto"/>
              </w:rPr>
              <w:t>1.0</w:t>
            </w:r>
          </w:p>
        </w:tc>
      </w:tr>
      <w:tr w:rsidR="00692213" w:rsidRPr="00692213" w:rsidTr="00586ABF">
        <w:trPr>
          <w:cnfStyle w:val="000000100000"/>
          <w:trHeight w:val="436"/>
        </w:trPr>
        <w:tc>
          <w:tcPr>
            <w:cnfStyle w:val="000010000000"/>
            <w:tcW w:w="992" w:type="dxa"/>
          </w:tcPr>
          <w:p w:rsidR="00692213" w:rsidRPr="00692213" w:rsidRDefault="00692213" w:rsidP="00692213">
            <w:pPr>
              <w:pStyle w:val="TableRight"/>
              <w:spacing w:line="276" w:lineRule="auto"/>
              <w:ind w:left="0"/>
              <w:jc w:val="center"/>
              <w:rPr>
                <w:rFonts w:ascii="Arial" w:hAnsi="Arial" w:cs="Arial"/>
                <w:color w:val="auto"/>
              </w:rPr>
            </w:pPr>
            <w:r w:rsidRPr="00692213">
              <w:rPr>
                <w:rFonts w:ascii="Arial" w:hAnsi="Arial" w:cs="Arial"/>
                <w:color w:val="auto"/>
              </w:rPr>
              <w:t>0</w:t>
            </w:r>
          </w:p>
        </w:tc>
        <w:tc>
          <w:tcPr>
            <w:tcW w:w="992" w:type="dxa"/>
          </w:tcPr>
          <w:p w:rsidR="00692213" w:rsidRPr="00692213" w:rsidRDefault="00692213" w:rsidP="00692213">
            <w:pPr>
              <w:pStyle w:val="TableRight"/>
              <w:spacing w:line="276" w:lineRule="auto"/>
              <w:jc w:val="center"/>
              <w:cnfStyle w:val="000000100000"/>
              <w:rPr>
                <w:rFonts w:ascii="Arial" w:hAnsi="Arial" w:cs="Arial"/>
                <w:color w:val="auto"/>
              </w:rPr>
            </w:pPr>
            <w:r w:rsidRPr="00692213">
              <w:rPr>
                <w:rFonts w:ascii="Arial" w:hAnsi="Arial" w:cs="Arial"/>
                <w:color w:val="auto"/>
              </w:rPr>
              <w:t>30.0</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Financial assets at fair value through profit and loss</w:t>
            </w:r>
          </w:p>
        </w:tc>
        <w:tc>
          <w:tcPr>
            <w:tcW w:w="993" w:type="dxa"/>
          </w:tcPr>
          <w:p w:rsidR="00692213" w:rsidRPr="00692213" w:rsidRDefault="00C92B5C" w:rsidP="00326781">
            <w:pPr>
              <w:pStyle w:val="TableRight"/>
              <w:spacing w:line="276" w:lineRule="auto"/>
              <w:ind w:left="0"/>
              <w:jc w:val="center"/>
              <w:cnfStyle w:val="000000100000"/>
              <w:rPr>
                <w:rFonts w:ascii="Arial" w:hAnsi="Arial" w:cs="Arial"/>
                <w:b/>
                <w:color w:val="auto"/>
              </w:rPr>
            </w:pPr>
            <w:r>
              <w:rPr>
                <w:rFonts w:ascii="Arial" w:hAnsi="Arial" w:cs="Arial"/>
                <w:b/>
                <w:color w:val="auto"/>
              </w:rPr>
              <w:t>0</w:t>
            </w:r>
          </w:p>
        </w:tc>
        <w:tc>
          <w:tcPr>
            <w:cnfStyle w:val="000010000000"/>
            <w:tcW w:w="992" w:type="dxa"/>
          </w:tcPr>
          <w:p w:rsidR="00692213" w:rsidRPr="00692213" w:rsidRDefault="00C92B5C" w:rsidP="00326781">
            <w:pPr>
              <w:pStyle w:val="TableRight"/>
              <w:spacing w:line="276" w:lineRule="auto"/>
              <w:jc w:val="center"/>
              <w:rPr>
                <w:rFonts w:ascii="Arial" w:hAnsi="Arial" w:cs="Arial"/>
                <w:b/>
                <w:color w:val="auto"/>
              </w:rPr>
            </w:pPr>
            <w:r>
              <w:rPr>
                <w:rFonts w:ascii="Arial" w:hAnsi="Arial" w:cs="Arial"/>
                <w:b/>
                <w:color w:val="auto"/>
              </w:rPr>
              <w:t>18.1</w:t>
            </w:r>
          </w:p>
        </w:tc>
      </w:tr>
      <w:tr w:rsidR="00692213" w:rsidRPr="00692213" w:rsidTr="00586ABF">
        <w:trPr>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16.1</w:t>
            </w:r>
          </w:p>
        </w:tc>
        <w:tc>
          <w:tcPr>
            <w:tcW w:w="992" w:type="dxa"/>
          </w:tcPr>
          <w:p w:rsidR="00692213" w:rsidRPr="00692213" w:rsidRDefault="00692213" w:rsidP="00692213">
            <w:pPr>
              <w:pStyle w:val="TableRight"/>
              <w:spacing w:line="276" w:lineRule="auto"/>
              <w:jc w:val="center"/>
              <w:cnfStyle w:val="000000000000"/>
              <w:rPr>
                <w:rFonts w:ascii="Arial" w:hAnsi="Arial" w:cs="Arial"/>
                <w:color w:val="auto"/>
              </w:rPr>
            </w:pPr>
            <w:r w:rsidRPr="00692213">
              <w:rPr>
                <w:rFonts w:ascii="Arial" w:hAnsi="Arial" w:cs="Arial"/>
                <w:color w:val="auto"/>
              </w:rPr>
              <w:t>54.3</w:t>
            </w: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Total investments</w:t>
            </w:r>
          </w:p>
        </w:tc>
        <w:tc>
          <w:tcPr>
            <w:tcW w:w="993" w:type="dxa"/>
          </w:tcPr>
          <w:p w:rsidR="00692213" w:rsidRPr="00692213" w:rsidRDefault="00286F42" w:rsidP="001A4F9A">
            <w:pPr>
              <w:pStyle w:val="TableRight"/>
              <w:spacing w:line="276" w:lineRule="auto"/>
              <w:jc w:val="center"/>
              <w:cnfStyle w:val="000000000000"/>
              <w:rPr>
                <w:rFonts w:ascii="Arial" w:hAnsi="Arial" w:cs="Arial"/>
                <w:b/>
                <w:color w:val="auto"/>
              </w:rPr>
            </w:pPr>
            <w:r>
              <w:rPr>
                <w:rFonts w:ascii="Arial" w:hAnsi="Arial" w:cs="Arial"/>
                <w:b/>
                <w:color w:val="auto"/>
              </w:rPr>
              <w:t>9.4</w:t>
            </w:r>
          </w:p>
        </w:tc>
        <w:tc>
          <w:tcPr>
            <w:cnfStyle w:val="000010000000"/>
            <w:tcW w:w="992" w:type="dxa"/>
          </w:tcPr>
          <w:p w:rsidR="00692213" w:rsidRPr="00692213" w:rsidRDefault="00286F42" w:rsidP="00306F77">
            <w:pPr>
              <w:pStyle w:val="TableRight"/>
              <w:spacing w:line="276" w:lineRule="auto"/>
              <w:jc w:val="center"/>
              <w:rPr>
                <w:rFonts w:ascii="Arial" w:hAnsi="Arial" w:cs="Arial"/>
                <w:b/>
                <w:color w:val="auto"/>
              </w:rPr>
            </w:pPr>
            <w:r>
              <w:rPr>
                <w:rFonts w:ascii="Arial" w:hAnsi="Arial" w:cs="Arial"/>
                <w:b/>
                <w:color w:val="auto"/>
              </w:rPr>
              <w:t>47.</w:t>
            </w:r>
            <w:r w:rsidR="00306F77">
              <w:rPr>
                <w:rFonts w:ascii="Arial" w:hAnsi="Arial" w:cs="Arial"/>
                <w:b/>
                <w:color w:val="auto"/>
              </w:rPr>
              <w:t>9</w:t>
            </w:r>
          </w:p>
        </w:tc>
      </w:tr>
      <w:tr w:rsidR="00692213" w:rsidRPr="00692213" w:rsidTr="00586ABF">
        <w:trPr>
          <w:cnfStyle w:val="000000100000"/>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p>
        </w:tc>
        <w:tc>
          <w:tcPr>
            <w:tcW w:w="992" w:type="dxa"/>
          </w:tcPr>
          <w:p w:rsidR="00692213" w:rsidRPr="00692213" w:rsidRDefault="00692213" w:rsidP="00692213">
            <w:pPr>
              <w:pStyle w:val="TableRight"/>
              <w:spacing w:line="276" w:lineRule="auto"/>
              <w:jc w:val="center"/>
              <w:cnfStyle w:val="000000100000"/>
              <w:rPr>
                <w:rFonts w:ascii="Arial" w:hAnsi="Arial" w:cs="Arial"/>
                <w:color w:val="auto"/>
              </w:rPr>
            </w:pP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Cash &amp; Cash Equivalents</w:t>
            </w:r>
          </w:p>
        </w:tc>
        <w:tc>
          <w:tcPr>
            <w:tcW w:w="993" w:type="dxa"/>
          </w:tcPr>
          <w:p w:rsidR="00692213" w:rsidRPr="00692213" w:rsidRDefault="00692213" w:rsidP="00326781">
            <w:pPr>
              <w:pStyle w:val="TableRight"/>
              <w:spacing w:line="276" w:lineRule="auto"/>
              <w:jc w:val="center"/>
              <w:cnfStyle w:val="000000100000"/>
              <w:rPr>
                <w:rFonts w:ascii="Arial" w:hAnsi="Arial" w:cs="Arial"/>
                <w:b/>
                <w:color w:val="auto"/>
              </w:rPr>
            </w:pPr>
          </w:p>
        </w:tc>
        <w:tc>
          <w:tcPr>
            <w:cnfStyle w:val="000010000000"/>
            <w:tcW w:w="992" w:type="dxa"/>
          </w:tcPr>
          <w:p w:rsidR="00692213" w:rsidRPr="00692213" w:rsidRDefault="00692213" w:rsidP="00326781">
            <w:pPr>
              <w:pStyle w:val="TableRight"/>
              <w:spacing w:line="276" w:lineRule="auto"/>
              <w:jc w:val="center"/>
              <w:rPr>
                <w:rFonts w:ascii="Arial" w:hAnsi="Arial" w:cs="Arial"/>
                <w:b/>
                <w:color w:val="auto"/>
              </w:rPr>
            </w:pPr>
          </w:p>
        </w:tc>
      </w:tr>
      <w:tr w:rsidR="00692213" w:rsidRPr="00692213" w:rsidTr="00586ABF">
        <w:trPr>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0</w:t>
            </w:r>
          </w:p>
        </w:tc>
        <w:tc>
          <w:tcPr>
            <w:tcW w:w="992" w:type="dxa"/>
          </w:tcPr>
          <w:p w:rsidR="00692213" w:rsidRPr="00692213" w:rsidRDefault="00692213" w:rsidP="00692213">
            <w:pPr>
              <w:pStyle w:val="TableRight"/>
              <w:spacing w:line="276" w:lineRule="auto"/>
              <w:jc w:val="center"/>
              <w:cnfStyle w:val="000000000000"/>
              <w:rPr>
                <w:rFonts w:ascii="Arial" w:hAnsi="Arial" w:cs="Arial"/>
                <w:color w:val="auto"/>
              </w:rPr>
            </w:pPr>
            <w:r w:rsidRPr="00692213">
              <w:rPr>
                <w:rFonts w:ascii="Arial" w:hAnsi="Arial" w:cs="Arial"/>
                <w:color w:val="auto"/>
              </w:rPr>
              <w:t>0.6</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Cash in hand and Bank (net)</w:t>
            </w:r>
          </w:p>
        </w:tc>
        <w:tc>
          <w:tcPr>
            <w:tcW w:w="993" w:type="dxa"/>
          </w:tcPr>
          <w:p w:rsidR="00692213" w:rsidRPr="002C5FEA" w:rsidRDefault="00D41C96" w:rsidP="00326781">
            <w:pPr>
              <w:pStyle w:val="TableRight"/>
              <w:spacing w:line="276" w:lineRule="auto"/>
              <w:jc w:val="center"/>
              <w:cnfStyle w:val="000000000000"/>
              <w:rPr>
                <w:rFonts w:ascii="Arial" w:hAnsi="Arial" w:cs="Arial"/>
                <w:b/>
                <w:color w:val="auto"/>
              </w:rPr>
            </w:pPr>
            <w:r w:rsidRPr="002C5FEA">
              <w:rPr>
                <w:rFonts w:ascii="Arial" w:hAnsi="Arial" w:cs="Arial"/>
                <w:b/>
                <w:color w:val="auto"/>
              </w:rPr>
              <w:t>0</w:t>
            </w:r>
          </w:p>
        </w:tc>
        <w:tc>
          <w:tcPr>
            <w:cnfStyle w:val="000010000000"/>
            <w:tcW w:w="992" w:type="dxa"/>
          </w:tcPr>
          <w:p w:rsidR="00692213" w:rsidRPr="002C5FEA" w:rsidRDefault="00F914C3" w:rsidP="00F914C3">
            <w:pPr>
              <w:pStyle w:val="TableRight"/>
              <w:spacing w:line="276" w:lineRule="auto"/>
              <w:jc w:val="center"/>
              <w:rPr>
                <w:rFonts w:ascii="Arial" w:hAnsi="Arial" w:cs="Arial"/>
                <w:b/>
                <w:color w:val="auto"/>
              </w:rPr>
            </w:pPr>
            <w:r w:rsidRPr="002C5FEA">
              <w:rPr>
                <w:rFonts w:ascii="Arial" w:hAnsi="Arial" w:cs="Arial"/>
                <w:b/>
                <w:color w:val="auto"/>
              </w:rPr>
              <w:t>0.1</w:t>
            </w:r>
          </w:p>
        </w:tc>
      </w:tr>
      <w:tr w:rsidR="00692213" w:rsidRPr="00692213" w:rsidTr="00586ABF">
        <w:trPr>
          <w:cnfStyle w:val="000000100000"/>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0</w:t>
            </w:r>
          </w:p>
        </w:tc>
        <w:tc>
          <w:tcPr>
            <w:tcW w:w="992" w:type="dxa"/>
          </w:tcPr>
          <w:p w:rsidR="00692213" w:rsidRPr="00692213" w:rsidRDefault="00692213" w:rsidP="00692213">
            <w:pPr>
              <w:pStyle w:val="TableRight"/>
              <w:spacing w:line="276" w:lineRule="auto"/>
              <w:jc w:val="center"/>
              <w:cnfStyle w:val="000000100000"/>
              <w:rPr>
                <w:rFonts w:ascii="Arial" w:hAnsi="Arial" w:cs="Arial"/>
                <w:color w:val="auto"/>
              </w:rPr>
            </w:pPr>
            <w:r w:rsidRPr="00692213">
              <w:rPr>
                <w:rFonts w:ascii="Arial" w:hAnsi="Arial" w:cs="Arial"/>
                <w:color w:val="auto"/>
              </w:rPr>
              <w:t>0.6</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Loans and receivables</w:t>
            </w:r>
          </w:p>
        </w:tc>
        <w:tc>
          <w:tcPr>
            <w:tcW w:w="993" w:type="dxa"/>
          </w:tcPr>
          <w:p w:rsidR="00692213" w:rsidRPr="00692213" w:rsidRDefault="00D41C96" w:rsidP="00326781">
            <w:pPr>
              <w:pStyle w:val="TableRight"/>
              <w:spacing w:line="276" w:lineRule="auto"/>
              <w:jc w:val="center"/>
              <w:cnfStyle w:val="000000100000"/>
              <w:rPr>
                <w:rFonts w:ascii="Arial" w:hAnsi="Arial" w:cs="Arial"/>
                <w:b/>
                <w:color w:val="auto"/>
              </w:rPr>
            </w:pPr>
            <w:r>
              <w:rPr>
                <w:rFonts w:ascii="Arial" w:hAnsi="Arial" w:cs="Arial"/>
                <w:b/>
                <w:color w:val="auto"/>
              </w:rPr>
              <w:t>0</w:t>
            </w:r>
          </w:p>
        </w:tc>
        <w:tc>
          <w:tcPr>
            <w:cnfStyle w:val="000010000000"/>
            <w:tcW w:w="992" w:type="dxa"/>
          </w:tcPr>
          <w:p w:rsidR="00692213" w:rsidRPr="00692213" w:rsidRDefault="00D41C96" w:rsidP="00326781">
            <w:pPr>
              <w:pStyle w:val="TableRight"/>
              <w:spacing w:line="276" w:lineRule="auto"/>
              <w:jc w:val="center"/>
              <w:rPr>
                <w:rFonts w:ascii="Arial" w:hAnsi="Arial" w:cs="Arial"/>
                <w:b/>
                <w:color w:val="auto"/>
              </w:rPr>
            </w:pPr>
            <w:r>
              <w:rPr>
                <w:rFonts w:ascii="Arial" w:hAnsi="Arial" w:cs="Arial"/>
                <w:b/>
                <w:color w:val="auto"/>
              </w:rPr>
              <w:t>0.9</w:t>
            </w:r>
          </w:p>
        </w:tc>
      </w:tr>
      <w:tr w:rsidR="00692213" w:rsidRPr="00692213" w:rsidTr="00586ABF">
        <w:trPr>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0</w:t>
            </w:r>
          </w:p>
        </w:tc>
        <w:tc>
          <w:tcPr>
            <w:tcW w:w="992" w:type="dxa"/>
          </w:tcPr>
          <w:p w:rsidR="00692213" w:rsidRPr="00692213" w:rsidRDefault="00692213" w:rsidP="00692213">
            <w:pPr>
              <w:pStyle w:val="TableRight"/>
              <w:spacing w:line="276" w:lineRule="auto"/>
              <w:jc w:val="center"/>
              <w:cnfStyle w:val="000000000000"/>
              <w:rPr>
                <w:rFonts w:ascii="Arial" w:hAnsi="Arial" w:cs="Arial"/>
                <w:color w:val="auto"/>
              </w:rPr>
            </w:pPr>
            <w:r w:rsidRPr="00692213">
              <w:rPr>
                <w:rFonts w:ascii="Arial" w:hAnsi="Arial" w:cs="Arial"/>
                <w:color w:val="auto"/>
              </w:rPr>
              <w:t>1.2</w:t>
            </w: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 xml:space="preserve">Total Cash &amp; </w:t>
            </w:r>
            <w:r w:rsidR="001672B5">
              <w:rPr>
                <w:rFonts w:ascii="Arial" w:hAnsi="Arial" w:cs="Arial"/>
                <w:b/>
                <w:color w:val="auto"/>
              </w:rPr>
              <w:t xml:space="preserve">Cash </w:t>
            </w:r>
            <w:r w:rsidRPr="00692213">
              <w:rPr>
                <w:rFonts w:ascii="Arial" w:hAnsi="Arial" w:cs="Arial"/>
                <w:b/>
                <w:color w:val="auto"/>
              </w:rPr>
              <w:t>Equivalents</w:t>
            </w:r>
          </w:p>
        </w:tc>
        <w:tc>
          <w:tcPr>
            <w:tcW w:w="993" w:type="dxa"/>
          </w:tcPr>
          <w:p w:rsidR="00692213" w:rsidRPr="00692213" w:rsidRDefault="00D41C96" w:rsidP="00326781">
            <w:pPr>
              <w:pStyle w:val="TableRight"/>
              <w:spacing w:line="276" w:lineRule="auto"/>
              <w:jc w:val="center"/>
              <w:cnfStyle w:val="000000000000"/>
              <w:rPr>
                <w:rFonts w:ascii="Arial" w:hAnsi="Arial" w:cs="Arial"/>
                <w:b/>
                <w:color w:val="auto"/>
              </w:rPr>
            </w:pPr>
            <w:r>
              <w:rPr>
                <w:rFonts w:ascii="Arial" w:hAnsi="Arial" w:cs="Arial"/>
                <w:b/>
                <w:color w:val="auto"/>
              </w:rPr>
              <w:t>0</w:t>
            </w:r>
          </w:p>
        </w:tc>
        <w:tc>
          <w:tcPr>
            <w:cnfStyle w:val="000010000000"/>
            <w:tcW w:w="992" w:type="dxa"/>
          </w:tcPr>
          <w:p w:rsidR="00692213" w:rsidRPr="00692213" w:rsidRDefault="00D41C96" w:rsidP="00F914C3">
            <w:pPr>
              <w:pStyle w:val="TableRight"/>
              <w:spacing w:line="276" w:lineRule="auto"/>
              <w:jc w:val="center"/>
              <w:rPr>
                <w:rFonts w:ascii="Arial" w:hAnsi="Arial" w:cs="Arial"/>
                <w:b/>
                <w:color w:val="auto"/>
              </w:rPr>
            </w:pPr>
            <w:r>
              <w:rPr>
                <w:rFonts w:ascii="Arial" w:hAnsi="Arial" w:cs="Arial"/>
                <w:b/>
                <w:color w:val="auto"/>
              </w:rPr>
              <w:t>1.</w:t>
            </w:r>
            <w:r w:rsidR="00F914C3">
              <w:rPr>
                <w:rFonts w:ascii="Arial" w:hAnsi="Arial" w:cs="Arial"/>
                <w:b/>
                <w:color w:val="auto"/>
              </w:rPr>
              <w:t>0</w:t>
            </w:r>
          </w:p>
        </w:tc>
      </w:tr>
      <w:tr w:rsidR="00692213" w:rsidRPr="00692213" w:rsidTr="00586ABF">
        <w:trPr>
          <w:cnfStyle w:val="000000100000"/>
          <w:trHeight w:val="284"/>
        </w:trPr>
        <w:tc>
          <w:tcPr>
            <w:cnfStyle w:val="000010000000"/>
            <w:tcW w:w="992" w:type="dxa"/>
          </w:tcPr>
          <w:p w:rsidR="00692213" w:rsidRPr="00692213" w:rsidRDefault="00692213" w:rsidP="008060CD">
            <w:pPr>
              <w:pStyle w:val="TableRight"/>
              <w:spacing w:line="276" w:lineRule="auto"/>
              <w:jc w:val="center"/>
              <w:rPr>
                <w:rFonts w:ascii="Arial" w:hAnsi="Arial" w:cs="Arial"/>
                <w:color w:val="auto"/>
              </w:rPr>
            </w:pPr>
          </w:p>
        </w:tc>
        <w:tc>
          <w:tcPr>
            <w:tcW w:w="992" w:type="dxa"/>
          </w:tcPr>
          <w:p w:rsidR="00692213" w:rsidRPr="00692213" w:rsidRDefault="00692213" w:rsidP="008060CD">
            <w:pPr>
              <w:pStyle w:val="TableRight"/>
              <w:spacing w:line="276" w:lineRule="auto"/>
              <w:jc w:val="center"/>
              <w:cnfStyle w:val="000000100000"/>
              <w:rPr>
                <w:rFonts w:ascii="Arial" w:hAnsi="Arial" w:cs="Arial"/>
                <w:color w:val="auto"/>
              </w:rPr>
            </w:pP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 xml:space="preserve">Debtors </w:t>
            </w:r>
          </w:p>
        </w:tc>
        <w:tc>
          <w:tcPr>
            <w:tcW w:w="993" w:type="dxa"/>
          </w:tcPr>
          <w:p w:rsidR="00692213" w:rsidRPr="00692213" w:rsidRDefault="00692213" w:rsidP="00326781">
            <w:pPr>
              <w:pStyle w:val="TableRight"/>
              <w:spacing w:line="276" w:lineRule="auto"/>
              <w:jc w:val="center"/>
              <w:cnfStyle w:val="000000100000"/>
              <w:rPr>
                <w:rFonts w:ascii="Arial" w:hAnsi="Arial" w:cs="Arial"/>
                <w:b/>
                <w:color w:val="auto"/>
              </w:rPr>
            </w:pPr>
          </w:p>
        </w:tc>
        <w:tc>
          <w:tcPr>
            <w:cnfStyle w:val="000010000000"/>
            <w:tcW w:w="992" w:type="dxa"/>
          </w:tcPr>
          <w:p w:rsidR="00692213" w:rsidRPr="00692213" w:rsidRDefault="00692213" w:rsidP="00326781">
            <w:pPr>
              <w:pStyle w:val="TableRight"/>
              <w:spacing w:line="276" w:lineRule="auto"/>
              <w:jc w:val="center"/>
              <w:rPr>
                <w:rFonts w:ascii="Arial" w:hAnsi="Arial" w:cs="Arial"/>
                <w:b/>
                <w:color w:val="auto"/>
              </w:rPr>
            </w:pPr>
          </w:p>
        </w:tc>
      </w:tr>
      <w:tr w:rsidR="00692213" w:rsidRPr="00692213" w:rsidTr="00586ABF">
        <w:trPr>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3.1</w:t>
            </w:r>
          </w:p>
        </w:tc>
        <w:tc>
          <w:tcPr>
            <w:tcW w:w="992" w:type="dxa"/>
          </w:tcPr>
          <w:p w:rsidR="00692213" w:rsidRPr="00692213" w:rsidRDefault="00692213" w:rsidP="00692213">
            <w:pPr>
              <w:pStyle w:val="TableRight"/>
              <w:spacing w:line="276" w:lineRule="auto"/>
              <w:jc w:val="center"/>
              <w:cnfStyle w:val="000000000000"/>
              <w:rPr>
                <w:rFonts w:ascii="Arial" w:hAnsi="Arial" w:cs="Arial"/>
                <w:color w:val="auto"/>
              </w:rPr>
            </w:pPr>
            <w:r w:rsidRPr="00692213">
              <w:rPr>
                <w:rFonts w:ascii="Arial" w:hAnsi="Arial" w:cs="Arial"/>
                <w:color w:val="auto"/>
              </w:rPr>
              <w:t>14.4</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Financial assets carried at contract amounts</w:t>
            </w:r>
          </w:p>
        </w:tc>
        <w:tc>
          <w:tcPr>
            <w:tcW w:w="993" w:type="dxa"/>
          </w:tcPr>
          <w:p w:rsidR="00692213" w:rsidRPr="00692213" w:rsidRDefault="00711E22" w:rsidP="00D530E1">
            <w:pPr>
              <w:pStyle w:val="TableRight"/>
              <w:spacing w:line="276" w:lineRule="auto"/>
              <w:jc w:val="center"/>
              <w:cnfStyle w:val="000000000000"/>
              <w:rPr>
                <w:rFonts w:ascii="Arial" w:hAnsi="Arial" w:cs="Arial"/>
                <w:b/>
                <w:color w:val="auto"/>
              </w:rPr>
            </w:pPr>
            <w:r>
              <w:rPr>
                <w:rFonts w:ascii="Arial" w:hAnsi="Arial" w:cs="Arial"/>
                <w:b/>
                <w:color w:val="auto"/>
              </w:rPr>
              <w:t>6.1</w:t>
            </w:r>
          </w:p>
        </w:tc>
        <w:tc>
          <w:tcPr>
            <w:cnfStyle w:val="000010000000"/>
            <w:tcW w:w="992" w:type="dxa"/>
          </w:tcPr>
          <w:p w:rsidR="00692213" w:rsidRPr="00692213" w:rsidRDefault="00D41C96" w:rsidP="00711E22">
            <w:pPr>
              <w:pStyle w:val="TableRight"/>
              <w:spacing w:line="276" w:lineRule="auto"/>
              <w:jc w:val="center"/>
              <w:rPr>
                <w:rFonts w:ascii="Arial" w:hAnsi="Arial" w:cs="Arial"/>
                <w:b/>
                <w:color w:val="auto"/>
              </w:rPr>
            </w:pPr>
            <w:r w:rsidRPr="002C5FEA">
              <w:rPr>
                <w:rFonts w:ascii="Arial" w:hAnsi="Arial" w:cs="Arial"/>
                <w:b/>
                <w:color w:val="auto"/>
              </w:rPr>
              <w:t>1</w:t>
            </w:r>
            <w:r w:rsidR="002C5FEA" w:rsidRPr="002C5FEA">
              <w:rPr>
                <w:rFonts w:ascii="Arial" w:hAnsi="Arial" w:cs="Arial"/>
                <w:b/>
                <w:color w:val="auto"/>
              </w:rPr>
              <w:t>5.</w:t>
            </w:r>
            <w:r w:rsidR="00711E22">
              <w:rPr>
                <w:rFonts w:ascii="Arial" w:hAnsi="Arial" w:cs="Arial"/>
                <w:b/>
                <w:color w:val="auto"/>
              </w:rPr>
              <w:t>1</w:t>
            </w:r>
          </w:p>
        </w:tc>
      </w:tr>
      <w:tr w:rsidR="00692213" w:rsidRPr="00692213" w:rsidTr="00586ABF">
        <w:trPr>
          <w:cnfStyle w:val="000000100000"/>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3.1</w:t>
            </w:r>
          </w:p>
        </w:tc>
        <w:tc>
          <w:tcPr>
            <w:tcW w:w="992" w:type="dxa"/>
          </w:tcPr>
          <w:p w:rsidR="00692213" w:rsidRPr="00692213" w:rsidRDefault="00692213" w:rsidP="00692213">
            <w:pPr>
              <w:pStyle w:val="TableRight"/>
              <w:spacing w:line="276" w:lineRule="auto"/>
              <w:jc w:val="center"/>
              <w:cnfStyle w:val="000000100000"/>
              <w:rPr>
                <w:rFonts w:ascii="Arial" w:hAnsi="Arial" w:cs="Arial"/>
                <w:color w:val="auto"/>
              </w:rPr>
            </w:pPr>
            <w:r w:rsidRPr="00692213">
              <w:rPr>
                <w:rFonts w:ascii="Arial" w:hAnsi="Arial" w:cs="Arial"/>
                <w:color w:val="auto"/>
              </w:rPr>
              <w:t>14.4</w:t>
            </w: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Total Debtors</w:t>
            </w:r>
          </w:p>
        </w:tc>
        <w:tc>
          <w:tcPr>
            <w:tcW w:w="993" w:type="dxa"/>
          </w:tcPr>
          <w:p w:rsidR="00692213" w:rsidRPr="00692213" w:rsidRDefault="00711E22" w:rsidP="00D530E1">
            <w:pPr>
              <w:pStyle w:val="TableRight"/>
              <w:spacing w:line="276" w:lineRule="auto"/>
              <w:jc w:val="center"/>
              <w:cnfStyle w:val="000000100000"/>
              <w:rPr>
                <w:rFonts w:ascii="Arial" w:hAnsi="Arial" w:cs="Arial"/>
                <w:b/>
                <w:color w:val="auto"/>
              </w:rPr>
            </w:pPr>
            <w:r>
              <w:rPr>
                <w:rFonts w:ascii="Arial" w:hAnsi="Arial" w:cs="Arial"/>
                <w:b/>
                <w:color w:val="auto"/>
              </w:rPr>
              <w:t>6.1</w:t>
            </w:r>
          </w:p>
        </w:tc>
        <w:tc>
          <w:tcPr>
            <w:cnfStyle w:val="000010000000"/>
            <w:tcW w:w="992" w:type="dxa"/>
          </w:tcPr>
          <w:p w:rsidR="00692213" w:rsidRPr="00692213" w:rsidRDefault="00D41C96" w:rsidP="00711E22">
            <w:pPr>
              <w:pStyle w:val="TableRight"/>
              <w:spacing w:line="276" w:lineRule="auto"/>
              <w:jc w:val="center"/>
              <w:rPr>
                <w:rFonts w:ascii="Arial" w:hAnsi="Arial" w:cs="Arial"/>
                <w:b/>
                <w:color w:val="auto"/>
              </w:rPr>
            </w:pPr>
            <w:r>
              <w:rPr>
                <w:rFonts w:ascii="Arial" w:hAnsi="Arial" w:cs="Arial"/>
                <w:b/>
                <w:color w:val="auto"/>
              </w:rPr>
              <w:t>1</w:t>
            </w:r>
            <w:r w:rsidR="002C5FEA">
              <w:rPr>
                <w:rFonts w:ascii="Arial" w:hAnsi="Arial" w:cs="Arial"/>
                <w:b/>
                <w:color w:val="auto"/>
              </w:rPr>
              <w:t>5.</w:t>
            </w:r>
            <w:r w:rsidR="00711E22">
              <w:rPr>
                <w:rFonts w:ascii="Arial" w:hAnsi="Arial" w:cs="Arial"/>
                <w:b/>
                <w:color w:val="auto"/>
              </w:rPr>
              <w:t>1</w:t>
            </w:r>
          </w:p>
        </w:tc>
      </w:tr>
      <w:tr w:rsidR="00692213" w:rsidRPr="00692213" w:rsidTr="00586ABF">
        <w:trPr>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p>
        </w:tc>
        <w:tc>
          <w:tcPr>
            <w:tcW w:w="992" w:type="dxa"/>
          </w:tcPr>
          <w:p w:rsidR="00692213" w:rsidRPr="00692213" w:rsidRDefault="00692213" w:rsidP="00692213">
            <w:pPr>
              <w:pStyle w:val="TableRight"/>
              <w:spacing w:line="276" w:lineRule="auto"/>
              <w:jc w:val="center"/>
              <w:cnfStyle w:val="000000000000"/>
              <w:rPr>
                <w:rFonts w:ascii="Arial" w:hAnsi="Arial" w:cs="Arial"/>
                <w:color w:val="auto"/>
              </w:rPr>
            </w:pP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Borrowings/Liabilities</w:t>
            </w:r>
          </w:p>
        </w:tc>
        <w:tc>
          <w:tcPr>
            <w:tcW w:w="993" w:type="dxa"/>
          </w:tcPr>
          <w:p w:rsidR="00692213" w:rsidRPr="00692213" w:rsidRDefault="00692213" w:rsidP="00326781">
            <w:pPr>
              <w:pStyle w:val="TableRight"/>
              <w:spacing w:line="276" w:lineRule="auto"/>
              <w:jc w:val="center"/>
              <w:cnfStyle w:val="000000000000"/>
              <w:rPr>
                <w:rFonts w:ascii="Arial" w:hAnsi="Arial" w:cs="Arial"/>
                <w:b/>
                <w:color w:val="auto"/>
              </w:rPr>
            </w:pPr>
          </w:p>
        </w:tc>
        <w:tc>
          <w:tcPr>
            <w:cnfStyle w:val="000010000000"/>
            <w:tcW w:w="992" w:type="dxa"/>
          </w:tcPr>
          <w:p w:rsidR="00692213" w:rsidRPr="00692213" w:rsidRDefault="00692213" w:rsidP="00326781">
            <w:pPr>
              <w:pStyle w:val="TableRight"/>
              <w:spacing w:line="276" w:lineRule="auto"/>
              <w:jc w:val="center"/>
              <w:rPr>
                <w:rFonts w:ascii="Arial" w:hAnsi="Arial" w:cs="Arial"/>
                <w:b/>
                <w:color w:val="auto"/>
              </w:rPr>
            </w:pPr>
          </w:p>
        </w:tc>
      </w:tr>
      <w:tr w:rsidR="00692213" w:rsidRPr="00692213" w:rsidTr="00586ABF">
        <w:trPr>
          <w:cnfStyle w:val="000000100000"/>
          <w:trHeight w:val="284"/>
        </w:trPr>
        <w:tc>
          <w:tcPr>
            <w:cnfStyle w:val="000010000000"/>
            <w:tcW w:w="992" w:type="dxa"/>
          </w:tcPr>
          <w:p w:rsidR="00692213" w:rsidRPr="00692213" w:rsidRDefault="00692213" w:rsidP="00692213">
            <w:pPr>
              <w:pStyle w:val="TableRight"/>
              <w:tabs>
                <w:tab w:val="center" w:pos="317"/>
              </w:tabs>
              <w:spacing w:line="276" w:lineRule="auto"/>
              <w:jc w:val="center"/>
              <w:rPr>
                <w:rFonts w:ascii="Arial" w:hAnsi="Arial" w:cs="Arial"/>
                <w:color w:val="auto"/>
              </w:rPr>
            </w:pPr>
            <w:r w:rsidRPr="00692213">
              <w:rPr>
                <w:rFonts w:ascii="Arial" w:hAnsi="Arial" w:cs="Arial"/>
                <w:color w:val="auto"/>
              </w:rPr>
              <w:t>(138.3)</w:t>
            </w:r>
          </w:p>
        </w:tc>
        <w:tc>
          <w:tcPr>
            <w:tcW w:w="992" w:type="dxa"/>
          </w:tcPr>
          <w:p w:rsidR="00692213" w:rsidRPr="00692213" w:rsidRDefault="00692213" w:rsidP="00692213">
            <w:pPr>
              <w:pStyle w:val="TableRight"/>
              <w:spacing w:line="276" w:lineRule="auto"/>
              <w:jc w:val="center"/>
              <w:cnfStyle w:val="000000100000"/>
              <w:rPr>
                <w:rFonts w:ascii="Arial" w:hAnsi="Arial" w:cs="Arial"/>
                <w:color w:val="auto"/>
              </w:rPr>
            </w:pPr>
            <w:r w:rsidRPr="00692213">
              <w:rPr>
                <w:rFonts w:ascii="Arial" w:hAnsi="Arial" w:cs="Arial"/>
                <w:color w:val="auto"/>
              </w:rPr>
              <w:t>(1.3)</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Financial liabilities at amortised cost</w:t>
            </w:r>
          </w:p>
        </w:tc>
        <w:tc>
          <w:tcPr>
            <w:tcW w:w="993" w:type="dxa"/>
          </w:tcPr>
          <w:p w:rsidR="00692213" w:rsidRPr="00692213" w:rsidRDefault="00D41C96" w:rsidP="00ED3FE3">
            <w:pPr>
              <w:pStyle w:val="TableRight"/>
              <w:tabs>
                <w:tab w:val="center" w:pos="317"/>
              </w:tabs>
              <w:spacing w:line="276" w:lineRule="auto"/>
              <w:jc w:val="center"/>
              <w:cnfStyle w:val="000000100000"/>
              <w:rPr>
                <w:rFonts w:ascii="Arial" w:hAnsi="Arial" w:cs="Arial"/>
                <w:b/>
                <w:color w:val="auto"/>
              </w:rPr>
            </w:pPr>
            <w:r>
              <w:rPr>
                <w:rFonts w:ascii="Arial" w:hAnsi="Arial" w:cs="Arial"/>
                <w:b/>
                <w:color w:val="auto"/>
              </w:rPr>
              <w:t>(138.3)</w:t>
            </w:r>
          </w:p>
        </w:tc>
        <w:tc>
          <w:tcPr>
            <w:cnfStyle w:val="000010000000"/>
            <w:tcW w:w="992" w:type="dxa"/>
          </w:tcPr>
          <w:p w:rsidR="00692213" w:rsidRPr="00692213" w:rsidRDefault="00D41C96" w:rsidP="00326781">
            <w:pPr>
              <w:pStyle w:val="TableRight"/>
              <w:spacing w:line="276" w:lineRule="auto"/>
              <w:jc w:val="center"/>
              <w:rPr>
                <w:rFonts w:ascii="Arial" w:hAnsi="Arial" w:cs="Arial"/>
                <w:b/>
                <w:color w:val="auto"/>
              </w:rPr>
            </w:pPr>
            <w:r>
              <w:rPr>
                <w:rFonts w:ascii="Arial" w:hAnsi="Arial" w:cs="Arial"/>
                <w:b/>
                <w:color w:val="auto"/>
              </w:rPr>
              <w:t>(1.3)</w:t>
            </w:r>
          </w:p>
        </w:tc>
      </w:tr>
      <w:tr w:rsidR="00692213" w:rsidRPr="00692213" w:rsidTr="00586ABF">
        <w:trPr>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(138.3)</w:t>
            </w:r>
          </w:p>
        </w:tc>
        <w:tc>
          <w:tcPr>
            <w:tcW w:w="992" w:type="dxa"/>
          </w:tcPr>
          <w:p w:rsidR="00692213" w:rsidRPr="00692213" w:rsidRDefault="00692213" w:rsidP="00692213">
            <w:pPr>
              <w:pStyle w:val="TableRight"/>
              <w:spacing w:line="276" w:lineRule="auto"/>
              <w:jc w:val="center"/>
              <w:cnfStyle w:val="000000000000"/>
              <w:rPr>
                <w:rFonts w:ascii="Arial" w:hAnsi="Arial" w:cs="Arial"/>
                <w:color w:val="auto"/>
              </w:rPr>
            </w:pPr>
            <w:r w:rsidRPr="00692213">
              <w:rPr>
                <w:rFonts w:ascii="Arial" w:hAnsi="Arial" w:cs="Arial"/>
                <w:color w:val="auto"/>
              </w:rPr>
              <w:t>(1.3)</w:t>
            </w: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Total borrowings</w:t>
            </w:r>
          </w:p>
        </w:tc>
        <w:tc>
          <w:tcPr>
            <w:tcW w:w="993" w:type="dxa"/>
          </w:tcPr>
          <w:p w:rsidR="00692213" w:rsidRPr="00692213" w:rsidRDefault="00D41C96" w:rsidP="00326781">
            <w:pPr>
              <w:pStyle w:val="TableRight"/>
              <w:spacing w:line="276" w:lineRule="auto"/>
              <w:jc w:val="center"/>
              <w:cnfStyle w:val="000000000000"/>
              <w:rPr>
                <w:rFonts w:ascii="Arial" w:hAnsi="Arial" w:cs="Arial"/>
                <w:b/>
                <w:color w:val="auto"/>
              </w:rPr>
            </w:pPr>
            <w:r>
              <w:rPr>
                <w:rFonts w:ascii="Arial" w:hAnsi="Arial" w:cs="Arial"/>
                <w:b/>
                <w:color w:val="auto"/>
              </w:rPr>
              <w:t>(138.3)</w:t>
            </w:r>
          </w:p>
        </w:tc>
        <w:tc>
          <w:tcPr>
            <w:cnfStyle w:val="000010000000"/>
            <w:tcW w:w="992" w:type="dxa"/>
          </w:tcPr>
          <w:p w:rsidR="00692213" w:rsidRPr="00692213" w:rsidRDefault="00D41C96" w:rsidP="00326781">
            <w:pPr>
              <w:pStyle w:val="TableRight"/>
              <w:spacing w:line="276" w:lineRule="auto"/>
              <w:jc w:val="center"/>
              <w:rPr>
                <w:rFonts w:ascii="Arial" w:hAnsi="Arial" w:cs="Arial"/>
                <w:b/>
                <w:color w:val="auto"/>
              </w:rPr>
            </w:pPr>
            <w:r>
              <w:rPr>
                <w:rFonts w:ascii="Arial" w:hAnsi="Arial" w:cs="Arial"/>
                <w:b/>
                <w:color w:val="auto"/>
              </w:rPr>
              <w:t>(1.3)</w:t>
            </w:r>
          </w:p>
        </w:tc>
      </w:tr>
      <w:tr w:rsidR="00692213" w:rsidRPr="00692213" w:rsidTr="00586ABF">
        <w:trPr>
          <w:cnfStyle w:val="000000100000"/>
          <w:trHeight w:val="284"/>
        </w:trPr>
        <w:tc>
          <w:tcPr>
            <w:cnfStyle w:val="000010000000"/>
            <w:tcW w:w="992" w:type="dxa"/>
          </w:tcPr>
          <w:p w:rsidR="00692213" w:rsidRPr="00692213" w:rsidRDefault="00692213" w:rsidP="00692213">
            <w:pPr>
              <w:pStyle w:val="TableText"/>
              <w:spacing w:line="276" w:lineRule="auto"/>
              <w:jc w:val="center"/>
              <w:rPr>
                <w:rFonts w:ascii="Arial" w:hAnsi="Arial" w:cs="Arial"/>
                <w:color w:val="auto"/>
              </w:rPr>
            </w:pPr>
          </w:p>
        </w:tc>
        <w:tc>
          <w:tcPr>
            <w:tcW w:w="992" w:type="dxa"/>
          </w:tcPr>
          <w:p w:rsidR="00692213" w:rsidRPr="00692213" w:rsidRDefault="00692213" w:rsidP="00692213">
            <w:pPr>
              <w:pStyle w:val="TableText"/>
              <w:spacing w:line="276" w:lineRule="auto"/>
              <w:jc w:val="center"/>
              <w:cnfStyle w:val="000000100000"/>
              <w:rPr>
                <w:rFonts w:ascii="Arial" w:hAnsi="Arial" w:cs="Arial"/>
                <w:color w:val="auto"/>
              </w:rPr>
            </w:pP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Other Long Term Liabilities</w:t>
            </w:r>
          </w:p>
        </w:tc>
        <w:tc>
          <w:tcPr>
            <w:tcW w:w="993" w:type="dxa"/>
          </w:tcPr>
          <w:p w:rsidR="00692213" w:rsidRPr="00692213" w:rsidRDefault="00692213" w:rsidP="00326781">
            <w:pPr>
              <w:pStyle w:val="TableText"/>
              <w:spacing w:line="276" w:lineRule="auto"/>
              <w:jc w:val="center"/>
              <w:cnfStyle w:val="000000100000"/>
              <w:rPr>
                <w:rFonts w:ascii="Arial" w:hAnsi="Arial" w:cs="Arial"/>
                <w:b/>
                <w:color w:val="auto"/>
              </w:rPr>
            </w:pPr>
          </w:p>
        </w:tc>
        <w:tc>
          <w:tcPr>
            <w:cnfStyle w:val="000010000000"/>
            <w:tcW w:w="992" w:type="dxa"/>
          </w:tcPr>
          <w:p w:rsidR="00692213" w:rsidRPr="00692213" w:rsidRDefault="00692213" w:rsidP="00326781">
            <w:pPr>
              <w:pStyle w:val="TableText"/>
              <w:spacing w:line="276" w:lineRule="auto"/>
              <w:jc w:val="center"/>
              <w:rPr>
                <w:rFonts w:ascii="Arial" w:hAnsi="Arial" w:cs="Arial"/>
                <w:b/>
                <w:color w:val="auto"/>
              </w:rPr>
            </w:pPr>
          </w:p>
        </w:tc>
      </w:tr>
      <w:tr w:rsidR="00692213" w:rsidRPr="00692213" w:rsidTr="00586ABF">
        <w:trPr>
          <w:trHeight w:val="284"/>
        </w:trPr>
        <w:tc>
          <w:tcPr>
            <w:cnfStyle w:val="000010000000"/>
            <w:tcW w:w="992" w:type="dxa"/>
          </w:tcPr>
          <w:p w:rsidR="00692213" w:rsidRPr="00692213" w:rsidRDefault="00692213" w:rsidP="00692213">
            <w:pPr>
              <w:pStyle w:val="TableText"/>
              <w:spacing w:line="276" w:lineRule="auto"/>
              <w:jc w:val="center"/>
              <w:rPr>
                <w:rFonts w:ascii="Arial" w:hAnsi="Arial" w:cs="Arial"/>
                <w:color w:val="auto"/>
              </w:rPr>
            </w:pPr>
            <w:r w:rsidRPr="00692213">
              <w:rPr>
                <w:rFonts w:ascii="Arial" w:hAnsi="Arial" w:cs="Arial"/>
                <w:color w:val="auto"/>
              </w:rPr>
              <w:t xml:space="preserve"> (7.9)</w:t>
            </w:r>
          </w:p>
        </w:tc>
        <w:tc>
          <w:tcPr>
            <w:tcW w:w="992" w:type="dxa"/>
          </w:tcPr>
          <w:p w:rsidR="00692213" w:rsidRPr="00692213" w:rsidRDefault="00692213" w:rsidP="00692213">
            <w:pPr>
              <w:pStyle w:val="TableText"/>
              <w:spacing w:line="276" w:lineRule="auto"/>
              <w:jc w:val="center"/>
              <w:cnfStyle w:val="000000000000"/>
              <w:rPr>
                <w:rFonts w:ascii="Arial" w:hAnsi="Arial" w:cs="Arial"/>
                <w:color w:val="auto"/>
              </w:rPr>
            </w:pPr>
            <w:r w:rsidRPr="00692213">
              <w:rPr>
                <w:rFonts w:ascii="Arial" w:hAnsi="Arial" w:cs="Arial"/>
                <w:color w:val="auto"/>
              </w:rPr>
              <w:t>(0.5)</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PFI liability</w:t>
            </w:r>
          </w:p>
        </w:tc>
        <w:tc>
          <w:tcPr>
            <w:tcW w:w="993" w:type="dxa"/>
          </w:tcPr>
          <w:p w:rsidR="00692213" w:rsidRPr="00692213" w:rsidRDefault="00D41C96" w:rsidP="00326781">
            <w:pPr>
              <w:pStyle w:val="TableText"/>
              <w:spacing w:line="276" w:lineRule="auto"/>
              <w:jc w:val="center"/>
              <w:cnfStyle w:val="000000000000"/>
              <w:rPr>
                <w:rFonts w:ascii="Arial" w:hAnsi="Arial" w:cs="Arial"/>
                <w:b/>
                <w:color w:val="auto"/>
              </w:rPr>
            </w:pPr>
            <w:r>
              <w:rPr>
                <w:rFonts w:ascii="Arial" w:hAnsi="Arial" w:cs="Arial"/>
                <w:b/>
                <w:color w:val="auto"/>
              </w:rPr>
              <w:t>(19.6)</w:t>
            </w:r>
          </w:p>
        </w:tc>
        <w:tc>
          <w:tcPr>
            <w:cnfStyle w:val="000010000000"/>
            <w:tcW w:w="992" w:type="dxa"/>
          </w:tcPr>
          <w:p w:rsidR="00692213" w:rsidRPr="00692213" w:rsidRDefault="00D41C96" w:rsidP="00326781">
            <w:pPr>
              <w:pStyle w:val="TableText"/>
              <w:spacing w:line="276" w:lineRule="auto"/>
              <w:jc w:val="center"/>
              <w:rPr>
                <w:rFonts w:ascii="Arial" w:hAnsi="Arial" w:cs="Arial"/>
                <w:b/>
                <w:color w:val="auto"/>
              </w:rPr>
            </w:pPr>
            <w:r>
              <w:rPr>
                <w:rFonts w:ascii="Arial" w:hAnsi="Arial" w:cs="Arial"/>
                <w:b/>
                <w:color w:val="auto"/>
              </w:rPr>
              <w:t>(0.6)</w:t>
            </w:r>
          </w:p>
        </w:tc>
      </w:tr>
      <w:tr w:rsidR="00692213" w:rsidRPr="00692213" w:rsidTr="00586ABF">
        <w:trPr>
          <w:cnfStyle w:val="000000100000"/>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(1.0)</w:t>
            </w:r>
          </w:p>
        </w:tc>
        <w:tc>
          <w:tcPr>
            <w:tcW w:w="992" w:type="dxa"/>
          </w:tcPr>
          <w:p w:rsidR="00692213" w:rsidRPr="00692213" w:rsidRDefault="00692213" w:rsidP="00692213">
            <w:pPr>
              <w:pStyle w:val="TableRight"/>
              <w:spacing w:line="276" w:lineRule="auto"/>
              <w:jc w:val="center"/>
              <w:cnfStyle w:val="000000100000"/>
              <w:rPr>
                <w:rFonts w:ascii="Arial" w:hAnsi="Arial" w:cs="Arial"/>
                <w:color w:val="auto"/>
              </w:rPr>
            </w:pPr>
            <w:r w:rsidRPr="00692213">
              <w:rPr>
                <w:rFonts w:ascii="Arial" w:hAnsi="Arial" w:cs="Arial"/>
                <w:color w:val="auto"/>
              </w:rPr>
              <w:t>0</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Financial Guarantees</w:t>
            </w:r>
          </w:p>
        </w:tc>
        <w:tc>
          <w:tcPr>
            <w:tcW w:w="993" w:type="dxa"/>
          </w:tcPr>
          <w:p w:rsidR="00692213" w:rsidRPr="00692213" w:rsidRDefault="00D41C96" w:rsidP="00326781">
            <w:pPr>
              <w:pStyle w:val="TableRight"/>
              <w:spacing w:line="276" w:lineRule="auto"/>
              <w:jc w:val="center"/>
              <w:cnfStyle w:val="000000100000"/>
              <w:rPr>
                <w:rFonts w:ascii="Arial" w:hAnsi="Arial" w:cs="Arial"/>
                <w:b/>
                <w:color w:val="auto"/>
              </w:rPr>
            </w:pPr>
            <w:r>
              <w:rPr>
                <w:rFonts w:ascii="Arial" w:hAnsi="Arial" w:cs="Arial"/>
                <w:b/>
                <w:color w:val="auto"/>
              </w:rPr>
              <w:t>0</w:t>
            </w:r>
          </w:p>
        </w:tc>
        <w:tc>
          <w:tcPr>
            <w:cnfStyle w:val="000010000000"/>
            <w:tcW w:w="992" w:type="dxa"/>
          </w:tcPr>
          <w:p w:rsidR="00692213" w:rsidRPr="00692213" w:rsidRDefault="00D41C96" w:rsidP="00326781">
            <w:pPr>
              <w:pStyle w:val="TableRight"/>
              <w:spacing w:line="276" w:lineRule="auto"/>
              <w:jc w:val="center"/>
              <w:rPr>
                <w:rFonts w:ascii="Arial" w:hAnsi="Arial" w:cs="Arial"/>
                <w:b/>
                <w:color w:val="auto"/>
              </w:rPr>
            </w:pPr>
            <w:r>
              <w:rPr>
                <w:rFonts w:ascii="Arial" w:hAnsi="Arial" w:cs="Arial"/>
                <w:b/>
                <w:color w:val="auto"/>
              </w:rPr>
              <w:t>0</w:t>
            </w:r>
          </w:p>
        </w:tc>
      </w:tr>
      <w:tr w:rsidR="00692213" w:rsidRPr="00692213" w:rsidTr="00586ABF">
        <w:trPr>
          <w:trHeight w:val="284"/>
        </w:trPr>
        <w:tc>
          <w:tcPr>
            <w:cnfStyle w:val="000010000000"/>
            <w:tcW w:w="992" w:type="dxa"/>
          </w:tcPr>
          <w:p w:rsidR="00692213" w:rsidRPr="00692213" w:rsidRDefault="00692213" w:rsidP="00692213">
            <w:pPr>
              <w:pStyle w:val="TableText"/>
              <w:spacing w:line="276" w:lineRule="auto"/>
              <w:jc w:val="center"/>
              <w:rPr>
                <w:rFonts w:ascii="Arial" w:hAnsi="Arial" w:cs="Arial"/>
                <w:color w:val="auto"/>
              </w:rPr>
            </w:pPr>
            <w:r w:rsidRPr="00692213">
              <w:rPr>
                <w:rFonts w:ascii="Arial" w:hAnsi="Arial" w:cs="Arial"/>
                <w:color w:val="auto"/>
              </w:rPr>
              <w:t>(8.9)</w:t>
            </w:r>
          </w:p>
        </w:tc>
        <w:tc>
          <w:tcPr>
            <w:tcW w:w="992" w:type="dxa"/>
          </w:tcPr>
          <w:p w:rsidR="00692213" w:rsidRPr="00692213" w:rsidRDefault="00692213" w:rsidP="00692213">
            <w:pPr>
              <w:pStyle w:val="TableText"/>
              <w:spacing w:line="276" w:lineRule="auto"/>
              <w:jc w:val="center"/>
              <w:cnfStyle w:val="000000000000"/>
              <w:rPr>
                <w:rFonts w:ascii="Arial" w:hAnsi="Arial" w:cs="Arial"/>
                <w:color w:val="auto"/>
              </w:rPr>
            </w:pPr>
            <w:r w:rsidRPr="00692213">
              <w:rPr>
                <w:rFonts w:ascii="Arial" w:hAnsi="Arial" w:cs="Arial"/>
                <w:color w:val="auto"/>
              </w:rPr>
              <w:t>(0.5)</w:t>
            </w: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Total other long term liabilities</w:t>
            </w:r>
          </w:p>
        </w:tc>
        <w:tc>
          <w:tcPr>
            <w:tcW w:w="993" w:type="dxa"/>
          </w:tcPr>
          <w:p w:rsidR="00692213" w:rsidRPr="00692213" w:rsidRDefault="00D41C96" w:rsidP="00326781">
            <w:pPr>
              <w:pStyle w:val="TableText"/>
              <w:spacing w:line="276" w:lineRule="auto"/>
              <w:jc w:val="center"/>
              <w:cnfStyle w:val="000000000000"/>
              <w:rPr>
                <w:rFonts w:ascii="Arial" w:hAnsi="Arial" w:cs="Arial"/>
                <w:b/>
                <w:color w:val="auto"/>
              </w:rPr>
            </w:pPr>
            <w:r>
              <w:rPr>
                <w:rFonts w:ascii="Arial" w:hAnsi="Arial" w:cs="Arial"/>
                <w:b/>
                <w:color w:val="auto"/>
              </w:rPr>
              <w:t>(19.6)</w:t>
            </w:r>
          </w:p>
        </w:tc>
        <w:tc>
          <w:tcPr>
            <w:cnfStyle w:val="000010000000"/>
            <w:tcW w:w="992" w:type="dxa"/>
          </w:tcPr>
          <w:p w:rsidR="00692213" w:rsidRPr="00692213" w:rsidRDefault="00D41C96" w:rsidP="00326781">
            <w:pPr>
              <w:pStyle w:val="TableText"/>
              <w:spacing w:line="276" w:lineRule="auto"/>
              <w:jc w:val="center"/>
              <w:rPr>
                <w:rFonts w:ascii="Arial" w:hAnsi="Arial" w:cs="Arial"/>
                <w:b/>
                <w:color w:val="auto"/>
              </w:rPr>
            </w:pPr>
            <w:r>
              <w:rPr>
                <w:rFonts w:ascii="Arial" w:hAnsi="Arial" w:cs="Arial"/>
                <w:b/>
                <w:color w:val="auto"/>
              </w:rPr>
              <w:t>(0.6)</w:t>
            </w:r>
          </w:p>
        </w:tc>
      </w:tr>
      <w:tr w:rsidR="00692213" w:rsidRPr="00692213" w:rsidTr="00586ABF">
        <w:trPr>
          <w:cnfStyle w:val="000000100000"/>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p>
        </w:tc>
        <w:tc>
          <w:tcPr>
            <w:tcW w:w="992" w:type="dxa"/>
          </w:tcPr>
          <w:p w:rsidR="00692213" w:rsidRPr="00692213" w:rsidRDefault="00692213" w:rsidP="00692213">
            <w:pPr>
              <w:pStyle w:val="TableRight"/>
              <w:spacing w:line="276" w:lineRule="auto"/>
              <w:jc w:val="center"/>
              <w:cnfStyle w:val="000000100000"/>
              <w:rPr>
                <w:rFonts w:ascii="Arial" w:hAnsi="Arial" w:cs="Arial"/>
                <w:color w:val="auto"/>
              </w:rPr>
            </w:pP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Creditors (incl. receipts in advance)</w:t>
            </w:r>
          </w:p>
        </w:tc>
        <w:tc>
          <w:tcPr>
            <w:tcW w:w="993" w:type="dxa"/>
          </w:tcPr>
          <w:p w:rsidR="00692213" w:rsidRPr="00692213" w:rsidRDefault="00692213" w:rsidP="00326781">
            <w:pPr>
              <w:pStyle w:val="TableRight"/>
              <w:spacing w:line="276" w:lineRule="auto"/>
              <w:jc w:val="center"/>
              <w:cnfStyle w:val="000000100000"/>
              <w:rPr>
                <w:rFonts w:ascii="Arial" w:hAnsi="Arial" w:cs="Arial"/>
                <w:b/>
                <w:color w:val="auto"/>
              </w:rPr>
            </w:pPr>
          </w:p>
        </w:tc>
        <w:tc>
          <w:tcPr>
            <w:cnfStyle w:val="000010000000"/>
            <w:tcW w:w="992" w:type="dxa"/>
          </w:tcPr>
          <w:p w:rsidR="00692213" w:rsidRPr="00692213" w:rsidRDefault="00692213" w:rsidP="00326781">
            <w:pPr>
              <w:pStyle w:val="TableRight"/>
              <w:spacing w:line="276" w:lineRule="auto"/>
              <w:jc w:val="center"/>
              <w:rPr>
                <w:rFonts w:ascii="Arial" w:hAnsi="Arial" w:cs="Arial"/>
                <w:b/>
                <w:color w:val="auto"/>
              </w:rPr>
            </w:pPr>
          </w:p>
        </w:tc>
      </w:tr>
      <w:tr w:rsidR="00692213" w:rsidRPr="00692213" w:rsidTr="00586ABF">
        <w:trPr>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(3.6)</w:t>
            </w:r>
          </w:p>
        </w:tc>
        <w:tc>
          <w:tcPr>
            <w:tcW w:w="992" w:type="dxa"/>
          </w:tcPr>
          <w:p w:rsidR="00692213" w:rsidRPr="00692213" w:rsidRDefault="00692213" w:rsidP="00692213">
            <w:pPr>
              <w:pStyle w:val="TableRight"/>
              <w:spacing w:line="276" w:lineRule="auto"/>
              <w:jc w:val="center"/>
              <w:cnfStyle w:val="000000000000"/>
              <w:rPr>
                <w:rFonts w:ascii="Arial" w:hAnsi="Arial" w:cs="Arial"/>
                <w:color w:val="auto"/>
              </w:rPr>
            </w:pPr>
            <w:r w:rsidRPr="00692213">
              <w:rPr>
                <w:rFonts w:ascii="Arial" w:hAnsi="Arial" w:cs="Arial"/>
                <w:color w:val="auto"/>
              </w:rPr>
              <w:t>(25.4)</w:t>
            </w:r>
          </w:p>
        </w:tc>
        <w:tc>
          <w:tcPr>
            <w:cnfStyle w:val="000010000000"/>
            <w:tcW w:w="4961" w:type="dxa"/>
          </w:tcPr>
          <w:p w:rsidR="00692213" w:rsidRPr="00692213" w:rsidRDefault="00692213" w:rsidP="00326781">
            <w:pPr>
              <w:pStyle w:val="TableText"/>
              <w:spacing w:line="276" w:lineRule="auto"/>
              <w:rPr>
                <w:rFonts w:ascii="Arial" w:hAnsi="Arial" w:cs="Arial"/>
                <w:color w:val="auto"/>
              </w:rPr>
            </w:pPr>
            <w:r w:rsidRPr="00692213">
              <w:rPr>
                <w:rFonts w:ascii="Arial" w:hAnsi="Arial" w:cs="Arial"/>
                <w:color w:val="auto"/>
              </w:rPr>
              <w:t>Financial liabilities carried at contract amount</w:t>
            </w:r>
          </w:p>
        </w:tc>
        <w:tc>
          <w:tcPr>
            <w:tcW w:w="993" w:type="dxa"/>
          </w:tcPr>
          <w:p w:rsidR="00692213" w:rsidRPr="00692213" w:rsidRDefault="004254EA" w:rsidP="00EF7736">
            <w:pPr>
              <w:pStyle w:val="TableRight"/>
              <w:spacing w:line="276" w:lineRule="auto"/>
              <w:jc w:val="center"/>
              <w:cnfStyle w:val="000000000000"/>
              <w:rPr>
                <w:rFonts w:ascii="Arial" w:hAnsi="Arial" w:cs="Arial"/>
                <w:b/>
                <w:color w:val="auto"/>
              </w:rPr>
            </w:pPr>
            <w:r>
              <w:rPr>
                <w:rFonts w:ascii="Arial" w:hAnsi="Arial" w:cs="Arial"/>
                <w:b/>
                <w:color w:val="auto"/>
              </w:rPr>
              <w:t>(3.5)</w:t>
            </w:r>
          </w:p>
        </w:tc>
        <w:tc>
          <w:tcPr>
            <w:cnfStyle w:val="000010000000"/>
            <w:tcW w:w="992" w:type="dxa"/>
          </w:tcPr>
          <w:p w:rsidR="00692213" w:rsidRPr="00F351C0" w:rsidRDefault="004254EA" w:rsidP="00C03E7B">
            <w:pPr>
              <w:pStyle w:val="TableRight"/>
              <w:spacing w:line="276" w:lineRule="auto"/>
              <w:jc w:val="center"/>
              <w:rPr>
                <w:rFonts w:ascii="Arial" w:hAnsi="Arial" w:cs="Arial"/>
                <w:b/>
                <w:color w:val="auto"/>
                <w:highlight w:val="yellow"/>
              </w:rPr>
            </w:pPr>
            <w:r w:rsidRPr="002C5FEA">
              <w:rPr>
                <w:rFonts w:ascii="Arial" w:hAnsi="Arial" w:cs="Arial"/>
                <w:b/>
                <w:color w:val="auto"/>
              </w:rPr>
              <w:t>(2</w:t>
            </w:r>
            <w:r w:rsidR="002C5FEA" w:rsidRPr="002C5FEA">
              <w:rPr>
                <w:rFonts w:ascii="Arial" w:hAnsi="Arial" w:cs="Arial"/>
                <w:b/>
                <w:color w:val="auto"/>
              </w:rPr>
              <w:t>4.</w:t>
            </w:r>
            <w:r w:rsidR="00C03E7B">
              <w:rPr>
                <w:rFonts w:ascii="Arial" w:hAnsi="Arial" w:cs="Arial"/>
                <w:b/>
                <w:color w:val="auto"/>
              </w:rPr>
              <w:t>6</w:t>
            </w:r>
            <w:r w:rsidRPr="002C5FEA">
              <w:rPr>
                <w:rFonts w:ascii="Arial" w:hAnsi="Arial" w:cs="Arial"/>
                <w:b/>
                <w:color w:val="auto"/>
              </w:rPr>
              <w:t>)</w:t>
            </w:r>
          </w:p>
        </w:tc>
      </w:tr>
      <w:tr w:rsidR="00692213" w:rsidRPr="00692213" w:rsidTr="00586ABF">
        <w:trPr>
          <w:cnfStyle w:val="000000100000"/>
          <w:trHeight w:val="284"/>
        </w:trPr>
        <w:tc>
          <w:tcPr>
            <w:cnfStyle w:val="000010000000"/>
            <w:tcW w:w="992" w:type="dxa"/>
          </w:tcPr>
          <w:p w:rsidR="00692213" w:rsidRPr="00692213" w:rsidRDefault="00692213" w:rsidP="00692213">
            <w:pPr>
              <w:pStyle w:val="TableRight"/>
              <w:spacing w:line="276" w:lineRule="auto"/>
              <w:jc w:val="center"/>
              <w:rPr>
                <w:rFonts w:ascii="Arial" w:hAnsi="Arial" w:cs="Arial"/>
                <w:color w:val="auto"/>
              </w:rPr>
            </w:pPr>
            <w:r w:rsidRPr="00692213">
              <w:rPr>
                <w:rFonts w:ascii="Arial" w:hAnsi="Arial" w:cs="Arial"/>
                <w:color w:val="auto"/>
              </w:rPr>
              <w:t>(3.6)</w:t>
            </w:r>
          </w:p>
        </w:tc>
        <w:tc>
          <w:tcPr>
            <w:tcW w:w="992" w:type="dxa"/>
          </w:tcPr>
          <w:p w:rsidR="00692213" w:rsidRPr="00692213" w:rsidRDefault="00692213" w:rsidP="00692213">
            <w:pPr>
              <w:pStyle w:val="TableRight"/>
              <w:spacing w:line="276" w:lineRule="auto"/>
              <w:jc w:val="center"/>
              <w:cnfStyle w:val="000000100000"/>
              <w:rPr>
                <w:rFonts w:ascii="Arial" w:hAnsi="Arial" w:cs="Arial"/>
                <w:color w:val="auto"/>
              </w:rPr>
            </w:pPr>
            <w:r w:rsidRPr="00692213">
              <w:rPr>
                <w:rFonts w:ascii="Arial" w:hAnsi="Arial" w:cs="Arial"/>
                <w:color w:val="auto"/>
              </w:rPr>
              <w:t>(25.4)</w:t>
            </w: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Total Creditors</w:t>
            </w:r>
          </w:p>
        </w:tc>
        <w:tc>
          <w:tcPr>
            <w:tcW w:w="993" w:type="dxa"/>
          </w:tcPr>
          <w:p w:rsidR="00692213" w:rsidRPr="00692213" w:rsidRDefault="004254EA" w:rsidP="00EF7736">
            <w:pPr>
              <w:pStyle w:val="TableRight"/>
              <w:spacing w:line="276" w:lineRule="auto"/>
              <w:jc w:val="center"/>
              <w:cnfStyle w:val="000000100000"/>
              <w:rPr>
                <w:rFonts w:ascii="Arial" w:hAnsi="Arial" w:cs="Arial"/>
                <w:b/>
                <w:color w:val="auto"/>
              </w:rPr>
            </w:pPr>
            <w:r>
              <w:rPr>
                <w:rFonts w:ascii="Arial" w:hAnsi="Arial" w:cs="Arial"/>
                <w:b/>
                <w:color w:val="auto"/>
              </w:rPr>
              <w:t>(3.5)</w:t>
            </w:r>
          </w:p>
        </w:tc>
        <w:tc>
          <w:tcPr>
            <w:cnfStyle w:val="000010000000"/>
            <w:tcW w:w="992" w:type="dxa"/>
          </w:tcPr>
          <w:p w:rsidR="00692213" w:rsidRPr="00692213" w:rsidRDefault="004254EA" w:rsidP="00C03E7B">
            <w:pPr>
              <w:pStyle w:val="TableRight"/>
              <w:spacing w:line="276" w:lineRule="auto"/>
              <w:jc w:val="center"/>
              <w:rPr>
                <w:rFonts w:ascii="Arial" w:hAnsi="Arial" w:cs="Arial"/>
                <w:b/>
                <w:color w:val="auto"/>
              </w:rPr>
            </w:pPr>
            <w:r>
              <w:rPr>
                <w:rFonts w:ascii="Arial" w:hAnsi="Arial" w:cs="Arial"/>
                <w:b/>
                <w:color w:val="auto"/>
              </w:rPr>
              <w:t>(2</w:t>
            </w:r>
            <w:r w:rsidR="002C5FEA">
              <w:rPr>
                <w:rFonts w:ascii="Arial" w:hAnsi="Arial" w:cs="Arial"/>
                <w:b/>
                <w:color w:val="auto"/>
              </w:rPr>
              <w:t>4.</w:t>
            </w:r>
            <w:r w:rsidR="00C03E7B">
              <w:rPr>
                <w:rFonts w:ascii="Arial" w:hAnsi="Arial" w:cs="Arial"/>
                <w:b/>
                <w:color w:val="auto"/>
              </w:rPr>
              <w:t>6</w:t>
            </w:r>
            <w:r>
              <w:rPr>
                <w:rFonts w:ascii="Arial" w:hAnsi="Arial" w:cs="Arial"/>
                <w:b/>
                <w:color w:val="auto"/>
              </w:rPr>
              <w:t>)</w:t>
            </w:r>
          </w:p>
        </w:tc>
      </w:tr>
      <w:tr w:rsidR="00692213" w:rsidRPr="00692213" w:rsidTr="00586ABF">
        <w:trPr>
          <w:trHeight w:val="284"/>
        </w:trPr>
        <w:tc>
          <w:tcPr>
            <w:cnfStyle w:val="000010000000"/>
            <w:tcW w:w="992" w:type="dxa"/>
          </w:tcPr>
          <w:p w:rsidR="00692213" w:rsidRPr="00692213" w:rsidRDefault="00692213" w:rsidP="00692213">
            <w:pPr>
              <w:pStyle w:val="TableRight"/>
              <w:spacing w:line="276" w:lineRule="auto"/>
              <w:ind w:left="0"/>
              <w:jc w:val="center"/>
              <w:rPr>
                <w:rFonts w:ascii="Arial" w:hAnsi="Arial" w:cs="Arial"/>
                <w:color w:val="auto"/>
              </w:rPr>
            </w:pPr>
            <w:r w:rsidRPr="00692213">
              <w:rPr>
                <w:rFonts w:ascii="Arial" w:hAnsi="Arial" w:cs="Arial"/>
                <w:color w:val="auto"/>
              </w:rPr>
              <w:t>(131.6)</w:t>
            </w:r>
          </w:p>
        </w:tc>
        <w:tc>
          <w:tcPr>
            <w:tcW w:w="992" w:type="dxa"/>
          </w:tcPr>
          <w:p w:rsidR="00692213" w:rsidRPr="00692213" w:rsidRDefault="00692213" w:rsidP="00692213">
            <w:pPr>
              <w:pStyle w:val="TableRight"/>
              <w:spacing w:line="276" w:lineRule="auto"/>
              <w:ind w:left="0"/>
              <w:jc w:val="center"/>
              <w:cnfStyle w:val="000000000000"/>
              <w:rPr>
                <w:rFonts w:ascii="Arial" w:hAnsi="Arial" w:cs="Arial"/>
                <w:color w:val="auto"/>
              </w:rPr>
            </w:pPr>
            <w:r w:rsidRPr="00692213">
              <w:rPr>
                <w:rFonts w:ascii="Arial" w:hAnsi="Arial" w:cs="Arial"/>
                <w:color w:val="auto"/>
              </w:rPr>
              <w:t>42.7</w:t>
            </w:r>
          </w:p>
        </w:tc>
        <w:tc>
          <w:tcPr>
            <w:cnfStyle w:val="000010000000"/>
            <w:tcW w:w="4961" w:type="dxa"/>
          </w:tcPr>
          <w:p w:rsidR="00692213" w:rsidRPr="00692213" w:rsidRDefault="00692213" w:rsidP="00326781">
            <w:pPr>
              <w:pStyle w:val="TableText"/>
              <w:spacing w:line="276" w:lineRule="auto"/>
              <w:rPr>
                <w:rFonts w:ascii="Arial" w:hAnsi="Arial" w:cs="Arial"/>
                <w:b/>
                <w:color w:val="auto"/>
              </w:rPr>
            </w:pPr>
            <w:r w:rsidRPr="00692213">
              <w:rPr>
                <w:rFonts w:ascii="Arial" w:hAnsi="Arial" w:cs="Arial"/>
                <w:b/>
                <w:color w:val="auto"/>
              </w:rPr>
              <w:t>Total All Financial Instruments</w:t>
            </w:r>
          </w:p>
        </w:tc>
        <w:tc>
          <w:tcPr>
            <w:tcW w:w="993" w:type="dxa"/>
          </w:tcPr>
          <w:p w:rsidR="00692213" w:rsidRPr="00692213" w:rsidRDefault="00142263" w:rsidP="00711E22">
            <w:pPr>
              <w:pStyle w:val="TableRight"/>
              <w:spacing w:line="276" w:lineRule="auto"/>
              <w:ind w:left="0"/>
              <w:jc w:val="center"/>
              <w:cnfStyle w:val="000000000000"/>
              <w:rPr>
                <w:rFonts w:ascii="Arial" w:hAnsi="Arial" w:cs="Arial"/>
                <w:b/>
                <w:color w:val="auto"/>
              </w:rPr>
            </w:pPr>
            <w:r>
              <w:rPr>
                <w:rFonts w:ascii="Arial" w:hAnsi="Arial" w:cs="Arial"/>
                <w:b/>
                <w:color w:val="auto"/>
              </w:rPr>
              <w:t>(14</w:t>
            </w:r>
            <w:r w:rsidR="00711E22">
              <w:rPr>
                <w:rFonts w:ascii="Arial" w:hAnsi="Arial" w:cs="Arial"/>
                <w:b/>
                <w:color w:val="auto"/>
              </w:rPr>
              <w:t>5.9</w:t>
            </w:r>
            <w:r>
              <w:rPr>
                <w:rFonts w:ascii="Arial" w:hAnsi="Arial" w:cs="Arial"/>
                <w:b/>
                <w:color w:val="auto"/>
              </w:rPr>
              <w:t>)</w:t>
            </w:r>
          </w:p>
        </w:tc>
        <w:tc>
          <w:tcPr>
            <w:cnfStyle w:val="000010000000"/>
            <w:tcW w:w="992" w:type="dxa"/>
          </w:tcPr>
          <w:p w:rsidR="00692213" w:rsidRPr="00692213" w:rsidRDefault="00711E22" w:rsidP="00C03E7B">
            <w:pPr>
              <w:pStyle w:val="TableRight"/>
              <w:spacing w:line="276" w:lineRule="auto"/>
              <w:ind w:left="0"/>
              <w:jc w:val="center"/>
              <w:rPr>
                <w:rFonts w:ascii="Arial" w:hAnsi="Arial" w:cs="Arial"/>
                <w:b/>
                <w:color w:val="auto"/>
              </w:rPr>
            </w:pPr>
            <w:r>
              <w:rPr>
                <w:rFonts w:ascii="Arial" w:hAnsi="Arial" w:cs="Arial"/>
                <w:b/>
                <w:color w:val="auto"/>
              </w:rPr>
              <w:t>37.</w:t>
            </w:r>
            <w:r w:rsidR="00C03E7B">
              <w:rPr>
                <w:rFonts w:ascii="Arial" w:hAnsi="Arial" w:cs="Arial"/>
                <w:b/>
                <w:color w:val="auto"/>
              </w:rPr>
              <w:t>5</w:t>
            </w:r>
          </w:p>
        </w:tc>
      </w:tr>
    </w:tbl>
    <w:p w:rsidR="00D25D2C" w:rsidRDefault="00E51139" w:rsidP="001874CC">
      <w:pPr>
        <w:pStyle w:val="BodyTextIndent"/>
        <w:tabs>
          <w:tab w:val="left" w:pos="525"/>
        </w:tabs>
        <w:ind w:left="525" w:hanging="525"/>
        <w:rPr>
          <w:color w:val="auto"/>
          <w:sz w:val="20"/>
          <w:szCs w:val="20"/>
        </w:rPr>
      </w:pPr>
      <w:r w:rsidRPr="00D42E0B">
        <w:rPr>
          <w:color w:val="548DD4" w:themeColor="text2" w:themeTint="99"/>
          <w:sz w:val="20"/>
          <w:szCs w:val="20"/>
        </w:rPr>
        <w:lastRenderedPageBreak/>
        <w:tab/>
      </w:r>
      <w:r w:rsidRPr="00E873D0">
        <w:rPr>
          <w:color w:val="auto"/>
          <w:sz w:val="20"/>
          <w:szCs w:val="20"/>
        </w:rPr>
        <w:t>During the year the Council has not reclassified any financial instruments or pledged any financial assets as collateral for liabilities or contingent liabilities or has any loans payable including interest due in default. The main measurement bases used by the Council in preparing the treatment of Financial Instruments within its financial statement are as follows:</w:t>
      </w:r>
    </w:p>
    <w:p w:rsidR="00BD5FB3" w:rsidRPr="00E873D0" w:rsidRDefault="00BD5FB3" w:rsidP="001874CC">
      <w:pPr>
        <w:pStyle w:val="BodyTextIndent"/>
        <w:tabs>
          <w:tab w:val="left" w:pos="525"/>
        </w:tabs>
        <w:ind w:left="525" w:hanging="525"/>
        <w:rPr>
          <w:color w:val="auto"/>
          <w:sz w:val="20"/>
          <w:szCs w:val="20"/>
        </w:rPr>
      </w:pPr>
    </w:p>
    <w:tbl>
      <w:tblPr>
        <w:tblStyle w:val="ListTable3-Accent51"/>
        <w:tblW w:w="8647" w:type="dxa"/>
        <w:tblInd w:w="675" w:type="dxa"/>
        <w:tblLook w:val="01E0"/>
      </w:tblPr>
      <w:tblGrid>
        <w:gridCol w:w="2694"/>
        <w:gridCol w:w="3118"/>
        <w:gridCol w:w="2835"/>
      </w:tblGrid>
      <w:tr w:rsidR="00E51139" w:rsidRPr="00D42E0B" w:rsidTr="001874CC">
        <w:trPr>
          <w:cnfStyle w:val="100000000000"/>
          <w:tblHeader/>
        </w:trPr>
        <w:tc>
          <w:tcPr>
            <w:cnfStyle w:val="001000000100"/>
            <w:tcW w:w="2694" w:type="dxa"/>
          </w:tcPr>
          <w:p w:rsidR="00E51139" w:rsidRPr="00853594" w:rsidRDefault="00E51139" w:rsidP="00CE6D72">
            <w:pPr>
              <w:pStyle w:val="BodyTextIndent"/>
              <w:tabs>
                <w:tab w:val="left" w:pos="709"/>
              </w:tabs>
              <w:ind w:left="0"/>
              <w:jc w:val="center"/>
              <w:rPr>
                <w:b w:val="0"/>
                <w:color w:val="auto"/>
                <w:sz w:val="20"/>
                <w:szCs w:val="20"/>
              </w:rPr>
            </w:pPr>
            <w:r w:rsidRPr="00853594">
              <w:rPr>
                <w:b w:val="0"/>
                <w:color w:val="auto"/>
                <w:sz w:val="20"/>
                <w:szCs w:val="20"/>
              </w:rPr>
              <w:t>Financial Instrument</w:t>
            </w:r>
          </w:p>
        </w:tc>
        <w:tc>
          <w:tcPr>
            <w:cnfStyle w:val="000010000000"/>
            <w:tcW w:w="3118" w:type="dxa"/>
          </w:tcPr>
          <w:p w:rsidR="00E51139" w:rsidRPr="00853594" w:rsidRDefault="00E51139" w:rsidP="00CE6D72">
            <w:pPr>
              <w:pStyle w:val="BodyTextIndent"/>
              <w:tabs>
                <w:tab w:val="left" w:pos="709"/>
              </w:tabs>
              <w:ind w:left="0"/>
              <w:jc w:val="center"/>
              <w:rPr>
                <w:b w:val="0"/>
                <w:color w:val="auto"/>
                <w:sz w:val="20"/>
                <w:szCs w:val="20"/>
              </w:rPr>
            </w:pPr>
            <w:r w:rsidRPr="00853594">
              <w:rPr>
                <w:b w:val="0"/>
                <w:color w:val="auto"/>
                <w:sz w:val="20"/>
                <w:szCs w:val="20"/>
              </w:rPr>
              <w:t>Basis of measurement</w:t>
            </w:r>
          </w:p>
        </w:tc>
        <w:tc>
          <w:tcPr>
            <w:cnfStyle w:val="000100001000"/>
            <w:tcW w:w="2835" w:type="dxa"/>
          </w:tcPr>
          <w:p w:rsidR="00E51139" w:rsidRPr="00853594" w:rsidRDefault="00E51139" w:rsidP="00CE6D72">
            <w:pPr>
              <w:pStyle w:val="BodyTextIndent"/>
              <w:tabs>
                <w:tab w:val="left" w:pos="709"/>
              </w:tabs>
              <w:ind w:left="0"/>
              <w:jc w:val="center"/>
              <w:rPr>
                <w:b w:val="0"/>
                <w:color w:val="auto"/>
                <w:sz w:val="20"/>
                <w:szCs w:val="20"/>
              </w:rPr>
            </w:pPr>
            <w:r w:rsidRPr="00853594">
              <w:rPr>
                <w:b w:val="0"/>
                <w:color w:val="auto"/>
                <w:sz w:val="20"/>
                <w:szCs w:val="20"/>
              </w:rPr>
              <w:t>Note</w:t>
            </w:r>
          </w:p>
        </w:tc>
      </w:tr>
      <w:tr w:rsidR="00E51139" w:rsidRPr="00D42E0B" w:rsidTr="001874CC">
        <w:trPr>
          <w:cnfStyle w:val="000000100000"/>
        </w:trPr>
        <w:tc>
          <w:tcPr>
            <w:cnfStyle w:val="001000000000"/>
            <w:tcW w:w="2694"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Investments – fixed rate</w:t>
            </w:r>
          </w:p>
        </w:tc>
        <w:tc>
          <w:tcPr>
            <w:cnfStyle w:val="000010000000"/>
            <w:tcW w:w="3118" w:type="dxa"/>
          </w:tcPr>
          <w:p w:rsidR="00E51139" w:rsidRPr="00853594" w:rsidRDefault="00E51139" w:rsidP="00CE6D72">
            <w:pPr>
              <w:pStyle w:val="BodyTextIndent"/>
              <w:tabs>
                <w:tab w:val="left" w:pos="709"/>
              </w:tabs>
              <w:ind w:left="0"/>
              <w:rPr>
                <w:color w:val="auto"/>
                <w:sz w:val="20"/>
                <w:szCs w:val="20"/>
              </w:rPr>
            </w:pPr>
            <w:r w:rsidRPr="00853594">
              <w:rPr>
                <w:color w:val="auto"/>
                <w:sz w:val="20"/>
                <w:szCs w:val="20"/>
              </w:rPr>
              <w:t>Carrying value adjusted for interest owed at year end</w:t>
            </w:r>
          </w:p>
        </w:tc>
        <w:tc>
          <w:tcPr>
            <w:cnfStyle w:val="000100000000"/>
            <w:tcW w:w="2835"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Investment</w:t>
            </w:r>
            <w:r w:rsidR="00544848" w:rsidRPr="00853594">
              <w:rPr>
                <w:b w:val="0"/>
                <w:color w:val="auto"/>
                <w:sz w:val="20"/>
                <w:szCs w:val="20"/>
              </w:rPr>
              <w:t>s</w:t>
            </w:r>
            <w:r w:rsidRPr="00853594">
              <w:rPr>
                <w:b w:val="0"/>
                <w:color w:val="auto"/>
                <w:sz w:val="20"/>
                <w:szCs w:val="20"/>
              </w:rPr>
              <w:t xml:space="preserve"> have both fixed term and fixed interest rates</w:t>
            </w:r>
          </w:p>
        </w:tc>
      </w:tr>
      <w:tr w:rsidR="00E51139" w:rsidRPr="00D42E0B" w:rsidTr="001874CC">
        <w:tc>
          <w:tcPr>
            <w:cnfStyle w:val="001000000000"/>
            <w:tcW w:w="2694"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Investments – Money Market Funds</w:t>
            </w:r>
          </w:p>
          <w:p w:rsidR="00E51139" w:rsidRPr="00853594" w:rsidRDefault="00E51139" w:rsidP="00CE6D72">
            <w:pPr>
              <w:pStyle w:val="BodyTextIndent"/>
              <w:tabs>
                <w:tab w:val="left" w:pos="709"/>
              </w:tabs>
              <w:ind w:left="0"/>
              <w:rPr>
                <w:b w:val="0"/>
                <w:color w:val="auto"/>
                <w:sz w:val="20"/>
                <w:szCs w:val="20"/>
              </w:rPr>
            </w:pPr>
          </w:p>
        </w:tc>
        <w:tc>
          <w:tcPr>
            <w:cnfStyle w:val="000010000000"/>
            <w:tcW w:w="3118" w:type="dxa"/>
          </w:tcPr>
          <w:p w:rsidR="00E51139" w:rsidRPr="00853594" w:rsidRDefault="00E51139" w:rsidP="00CE6D72">
            <w:pPr>
              <w:pStyle w:val="BodyTextIndent"/>
              <w:tabs>
                <w:tab w:val="left" w:pos="709"/>
              </w:tabs>
              <w:ind w:left="0"/>
              <w:rPr>
                <w:color w:val="auto"/>
                <w:sz w:val="20"/>
                <w:szCs w:val="20"/>
              </w:rPr>
            </w:pPr>
            <w:r w:rsidRPr="00853594">
              <w:rPr>
                <w:color w:val="auto"/>
                <w:sz w:val="20"/>
                <w:szCs w:val="20"/>
              </w:rPr>
              <w:t xml:space="preserve">Increase in carrying value reflected in Balance Sheet and not recognised in Income &amp; Expenditure Account until realised </w:t>
            </w:r>
          </w:p>
        </w:tc>
        <w:tc>
          <w:tcPr>
            <w:cnfStyle w:val="000100000000"/>
            <w:tcW w:w="2835"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Minimal balances at year end as investment realised before year end. Interest rate determinable on 1</w:t>
            </w:r>
            <w:r w:rsidRPr="00853594">
              <w:rPr>
                <w:b w:val="0"/>
                <w:color w:val="auto"/>
                <w:sz w:val="20"/>
                <w:szCs w:val="20"/>
                <w:vertAlign w:val="superscript"/>
              </w:rPr>
              <w:t>st</w:t>
            </w:r>
            <w:r w:rsidRPr="00853594">
              <w:rPr>
                <w:b w:val="0"/>
                <w:color w:val="auto"/>
                <w:sz w:val="20"/>
                <w:szCs w:val="20"/>
              </w:rPr>
              <w:t xml:space="preserve"> April.</w:t>
            </w:r>
          </w:p>
        </w:tc>
      </w:tr>
      <w:tr w:rsidR="00E51139" w:rsidRPr="00D42E0B" w:rsidTr="001874CC">
        <w:trPr>
          <w:cnfStyle w:val="000000100000"/>
        </w:trPr>
        <w:tc>
          <w:tcPr>
            <w:cnfStyle w:val="001000000000"/>
            <w:tcW w:w="2694"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 xml:space="preserve">Investments – Fund Manager </w:t>
            </w:r>
          </w:p>
        </w:tc>
        <w:tc>
          <w:tcPr>
            <w:cnfStyle w:val="000010000000"/>
            <w:tcW w:w="3118" w:type="dxa"/>
          </w:tcPr>
          <w:p w:rsidR="00E51139" w:rsidRPr="00853594" w:rsidRDefault="00E51139" w:rsidP="00CE6D72">
            <w:pPr>
              <w:pStyle w:val="BodyTextIndent"/>
              <w:tabs>
                <w:tab w:val="left" w:pos="709"/>
              </w:tabs>
              <w:ind w:left="0"/>
              <w:rPr>
                <w:color w:val="auto"/>
                <w:sz w:val="20"/>
                <w:szCs w:val="20"/>
              </w:rPr>
            </w:pPr>
            <w:r w:rsidRPr="00853594">
              <w:rPr>
                <w:color w:val="auto"/>
                <w:sz w:val="20"/>
                <w:szCs w:val="20"/>
              </w:rPr>
              <w:t>Treated as a Financial Instrument at Fair Value through Profit and Loss as the fund is part of a portfolio of identified financial instruments that are managed together and for which there is evidence of a recent actual pattern of short-term profit taking.</w:t>
            </w:r>
          </w:p>
        </w:tc>
        <w:tc>
          <w:tcPr>
            <w:cnfStyle w:val="000100000000"/>
            <w:tcW w:w="2835"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Fund Man</w:t>
            </w:r>
            <w:r w:rsidR="00493CB8" w:rsidRPr="00853594">
              <w:rPr>
                <w:b w:val="0"/>
                <w:color w:val="auto"/>
                <w:sz w:val="20"/>
                <w:szCs w:val="20"/>
              </w:rPr>
              <w:t>a</w:t>
            </w:r>
            <w:r w:rsidRPr="00853594">
              <w:rPr>
                <w:b w:val="0"/>
                <w:color w:val="auto"/>
                <w:sz w:val="20"/>
                <w:szCs w:val="20"/>
              </w:rPr>
              <w:t>ger and Treasury Management advisor have confirmed that the carrying value of the fund at 31</w:t>
            </w:r>
            <w:r w:rsidRPr="00853594">
              <w:rPr>
                <w:b w:val="0"/>
                <w:color w:val="auto"/>
                <w:sz w:val="20"/>
                <w:szCs w:val="20"/>
                <w:vertAlign w:val="superscript"/>
              </w:rPr>
              <w:t>st</w:t>
            </w:r>
            <w:r w:rsidRPr="00853594">
              <w:rPr>
                <w:b w:val="0"/>
                <w:color w:val="auto"/>
                <w:sz w:val="20"/>
                <w:szCs w:val="20"/>
              </w:rPr>
              <w:t xml:space="preserve"> March is the fair value of the Fund.</w:t>
            </w:r>
          </w:p>
        </w:tc>
      </w:tr>
      <w:tr w:rsidR="00E51139" w:rsidRPr="00D42E0B" w:rsidTr="001874CC">
        <w:tc>
          <w:tcPr>
            <w:cnfStyle w:val="001000000000"/>
            <w:tcW w:w="2694"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Investments – Subsidiaries</w:t>
            </w:r>
          </w:p>
        </w:tc>
        <w:tc>
          <w:tcPr>
            <w:cnfStyle w:val="000010000000"/>
            <w:tcW w:w="3118" w:type="dxa"/>
          </w:tcPr>
          <w:p w:rsidR="00E51139" w:rsidRPr="00853594" w:rsidRDefault="00E51139" w:rsidP="00CE6D72">
            <w:pPr>
              <w:pStyle w:val="BodyTextIndent"/>
              <w:tabs>
                <w:tab w:val="left" w:pos="709"/>
              </w:tabs>
              <w:ind w:left="0"/>
              <w:rPr>
                <w:color w:val="auto"/>
                <w:sz w:val="20"/>
                <w:szCs w:val="20"/>
              </w:rPr>
            </w:pPr>
            <w:r w:rsidRPr="00853594">
              <w:rPr>
                <w:color w:val="auto"/>
                <w:sz w:val="20"/>
                <w:szCs w:val="20"/>
              </w:rPr>
              <w:t>Fair value of subsidiary is net equity of subsidiary unless negative where the fair value is nil.</w:t>
            </w:r>
          </w:p>
        </w:tc>
        <w:tc>
          <w:tcPr>
            <w:cnfStyle w:val="000100000000"/>
            <w:tcW w:w="2835"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Included Torbay Economic Development Company and English Riviera Tourism Company</w:t>
            </w:r>
          </w:p>
        </w:tc>
      </w:tr>
      <w:tr w:rsidR="00E51139" w:rsidRPr="00D42E0B" w:rsidTr="001874CC">
        <w:trPr>
          <w:cnfStyle w:val="000000100000"/>
        </w:trPr>
        <w:tc>
          <w:tcPr>
            <w:cnfStyle w:val="001000000000"/>
            <w:tcW w:w="2694"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Investments – Other</w:t>
            </w:r>
          </w:p>
        </w:tc>
        <w:tc>
          <w:tcPr>
            <w:cnfStyle w:val="000010000000"/>
            <w:tcW w:w="3118" w:type="dxa"/>
          </w:tcPr>
          <w:p w:rsidR="00E51139" w:rsidRPr="00853594" w:rsidRDefault="00E51139" w:rsidP="00CE6D72">
            <w:pPr>
              <w:pStyle w:val="BodyTextIndent"/>
              <w:tabs>
                <w:tab w:val="left" w:pos="709"/>
              </w:tabs>
              <w:ind w:left="0"/>
              <w:rPr>
                <w:color w:val="auto"/>
                <w:sz w:val="20"/>
                <w:szCs w:val="20"/>
              </w:rPr>
            </w:pPr>
            <w:r w:rsidRPr="00853594">
              <w:rPr>
                <w:color w:val="auto"/>
                <w:sz w:val="20"/>
                <w:szCs w:val="20"/>
              </w:rPr>
              <w:t>Held at carrying value on basis of materiality</w:t>
            </w:r>
          </w:p>
        </w:tc>
        <w:tc>
          <w:tcPr>
            <w:cnfStyle w:val="000100000000"/>
            <w:tcW w:w="2835" w:type="dxa"/>
          </w:tcPr>
          <w:p w:rsidR="00E51139" w:rsidRPr="00853594" w:rsidRDefault="00E51139" w:rsidP="00CE6D72">
            <w:pPr>
              <w:pStyle w:val="BodyTextIndent"/>
              <w:tabs>
                <w:tab w:val="left" w:pos="709"/>
              </w:tabs>
              <w:ind w:left="0"/>
              <w:rPr>
                <w:b w:val="0"/>
                <w:color w:val="auto"/>
                <w:sz w:val="20"/>
                <w:szCs w:val="20"/>
              </w:rPr>
            </w:pPr>
          </w:p>
        </w:tc>
      </w:tr>
      <w:tr w:rsidR="00E51139" w:rsidRPr="00D42E0B" w:rsidTr="001874CC">
        <w:tc>
          <w:tcPr>
            <w:cnfStyle w:val="001000000000"/>
            <w:tcW w:w="2694"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Contractual Debt/payables</w:t>
            </w:r>
          </w:p>
        </w:tc>
        <w:tc>
          <w:tcPr>
            <w:cnfStyle w:val="000010000000"/>
            <w:tcW w:w="3118" w:type="dxa"/>
          </w:tcPr>
          <w:p w:rsidR="00E51139" w:rsidRPr="00853594" w:rsidRDefault="00E51139" w:rsidP="00883E6E">
            <w:pPr>
              <w:pStyle w:val="BodyTextIndent"/>
              <w:tabs>
                <w:tab w:val="left" w:pos="709"/>
              </w:tabs>
              <w:ind w:left="0"/>
              <w:rPr>
                <w:color w:val="auto"/>
                <w:sz w:val="20"/>
                <w:szCs w:val="20"/>
              </w:rPr>
            </w:pPr>
            <w:r w:rsidRPr="00853594">
              <w:rPr>
                <w:color w:val="auto"/>
                <w:sz w:val="20"/>
                <w:szCs w:val="20"/>
              </w:rPr>
              <w:t>Held at invoiced or billed amount less an estimate of impairment for the uncollectability of that debt.</w:t>
            </w:r>
          </w:p>
        </w:tc>
        <w:tc>
          <w:tcPr>
            <w:cnfStyle w:val="000100000000"/>
            <w:tcW w:w="2835"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Excludes non contractual debt such as Council tax and NNDR</w:t>
            </w:r>
          </w:p>
        </w:tc>
      </w:tr>
      <w:tr w:rsidR="00E51139" w:rsidRPr="00D42E0B" w:rsidTr="001874CC">
        <w:trPr>
          <w:cnfStyle w:val="000000100000"/>
        </w:trPr>
        <w:tc>
          <w:tcPr>
            <w:cnfStyle w:val="001000000000"/>
            <w:tcW w:w="2694"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PWLB Debt</w:t>
            </w:r>
          </w:p>
        </w:tc>
        <w:tc>
          <w:tcPr>
            <w:cnfStyle w:val="000010000000"/>
            <w:tcW w:w="3118" w:type="dxa"/>
          </w:tcPr>
          <w:p w:rsidR="00E51139" w:rsidRPr="00853594" w:rsidRDefault="00E51139" w:rsidP="00CE6D72">
            <w:pPr>
              <w:pStyle w:val="BodyTextIndent"/>
              <w:tabs>
                <w:tab w:val="left" w:pos="709"/>
              </w:tabs>
              <w:ind w:left="0"/>
              <w:rPr>
                <w:color w:val="auto"/>
                <w:sz w:val="20"/>
                <w:szCs w:val="20"/>
              </w:rPr>
            </w:pPr>
            <w:r w:rsidRPr="00853594">
              <w:rPr>
                <w:color w:val="auto"/>
                <w:sz w:val="20"/>
                <w:szCs w:val="20"/>
              </w:rPr>
              <w:t>Carrying value adjusted for interest due at year end</w:t>
            </w:r>
          </w:p>
        </w:tc>
        <w:tc>
          <w:tcPr>
            <w:cnfStyle w:val="000100000000"/>
            <w:tcW w:w="2835" w:type="dxa"/>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Borrowing is both fixed term and fixed interest rates</w:t>
            </w:r>
          </w:p>
        </w:tc>
      </w:tr>
      <w:tr w:rsidR="00E51139" w:rsidRPr="00D42E0B" w:rsidTr="001874CC">
        <w:tc>
          <w:tcPr>
            <w:cnfStyle w:val="001000000000"/>
            <w:tcW w:w="2694" w:type="dxa"/>
            <w:tcBorders>
              <w:bottom w:val="single" w:sz="4" w:space="0" w:color="4BACC6" w:themeColor="accent5"/>
            </w:tcBorders>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LOBO Debt</w:t>
            </w:r>
          </w:p>
          <w:p w:rsidR="00E51139" w:rsidRPr="00853594" w:rsidRDefault="00E51139" w:rsidP="00CE6D72">
            <w:pPr>
              <w:pStyle w:val="BodyTextIndent"/>
              <w:tabs>
                <w:tab w:val="left" w:pos="709"/>
              </w:tabs>
              <w:ind w:left="0"/>
              <w:rPr>
                <w:b w:val="0"/>
                <w:color w:val="auto"/>
                <w:sz w:val="20"/>
                <w:szCs w:val="20"/>
              </w:rPr>
            </w:pPr>
          </w:p>
        </w:tc>
        <w:tc>
          <w:tcPr>
            <w:cnfStyle w:val="000010000000"/>
            <w:tcW w:w="3118" w:type="dxa"/>
            <w:tcBorders>
              <w:bottom w:val="single" w:sz="4" w:space="0" w:color="4BACC6" w:themeColor="accent5"/>
            </w:tcBorders>
          </w:tcPr>
          <w:p w:rsidR="00E51139" w:rsidRPr="00853594" w:rsidRDefault="00E51139" w:rsidP="00CE6D72">
            <w:pPr>
              <w:pStyle w:val="BodyTextIndent"/>
              <w:tabs>
                <w:tab w:val="left" w:pos="709"/>
              </w:tabs>
              <w:ind w:left="0"/>
              <w:rPr>
                <w:color w:val="auto"/>
                <w:sz w:val="20"/>
                <w:szCs w:val="20"/>
              </w:rPr>
            </w:pPr>
            <w:r w:rsidRPr="00853594">
              <w:rPr>
                <w:color w:val="auto"/>
                <w:sz w:val="20"/>
                <w:szCs w:val="20"/>
              </w:rPr>
              <w:t>Balance measured using the effective interest rate (if a stepped rate) or fixed rate (if a vanilla/flat rate) within the contract for the maximum life of the deal</w:t>
            </w:r>
          </w:p>
        </w:tc>
        <w:tc>
          <w:tcPr>
            <w:cnfStyle w:val="000100000000"/>
            <w:tcW w:w="2835" w:type="dxa"/>
            <w:tcBorders>
              <w:bottom w:val="single" w:sz="4" w:space="0" w:color="4BACC6" w:themeColor="accent5"/>
            </w:tcBorders>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Rate calculated over full term assuming the options within the contract are not exercised.</w:t>
            </w:r>
          </w:p>
        </w:tc>
      </w:tr>
      <w:tr w:rsidR="00E51139" w:rsidRPr="00D42E0B" w:rsidTr="001874CC">
        <w:trPr>
          <w:cnfStyle w:val="010000000000"/>
        </w:trPr>
        <w:tc>
          <w:tcPr>
            <w:cnfStyle w:val="001000000001"/>
            <w:tcW w:w="2694" w:type="dxa"/>
            <w:tcBorders>
              <w:top w:val="single" w:sz="4" w:space="0" w:color="4BACC6" w:themeColor="accent5"/>
              <w:bottom w:val="single" w:sz="4" w:space="0" w:color="4BACC6" w:themeColor="accent5"/>
            </w:tcBorders>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Financial Instruments under adverse economic conditions</w:t>
            </w:r>
          </w:p>
          <w:p w:rsidR="00E51139" w:rsidRPr="00853594" w:rsidRDefault="00E51139" w:rsidP="00CE6D72">
            <w:pPr>
              <w:pStyle w:val="BodyTextIndent"/>
              <w:tabs>
                <w:tab w:val="left" w:pos="709"/>
              </w:tabs>
              <w:ind w:left="0"/>
              <w:rPr>
                <w:b w:val="0"/>
                <w:color w:val="auto"/>
                <w:sz w:val="20"/>
                <w:szCs w:val="20"/>
              </w:rPr>
            </w:pPr>
          </w:p>
          <w:p w:rsidR="00E51139" w:rsidRPr="00853594" w:rsidRDefault="00E51139" w:rsidP="00CE6D72">
            <w:pPr>
              <w:pStyle w:val="BodyTextIndent"/>
              <w:tabs>
                <w:tab w:val="left" w:pos="709"/>
              </w:tabs>
              <w:ind w:left="0"/>
              <w:rPr>
                <w:b w:val="0"/>
                <w:color w:val="auto"/>
                <w:sz w:val="20"/>
                <w:szCs w:val="20"/>
              </w:rPr>
            </w:pPr>
          </w:p>
        </w:tc>
        <w:tc>
          <w:tcPr>
            <w:cnfStyle w:val="000010000000"/>
            <w:tcW w:w="3118" w:type="dxa"/>
            <w:tcBorders>
              <w:top w:val="single" w:sz="4" w:space="0" w:color="4BACC6" w:themeColor="accent5"/>
              <w:bottom w:val="single" w:sz="4" w:space="0" w:color="4BACC6" w:themeColor="accent5"/>
            </w:tcBorders>
          </w:tcPr>
          <w:p w:rsidR="00E51139" w:rsidRPr="00853594" w:rsidRDefault="00E51139" w:rsidP="00883E6E">
            <w:pPr>
              <w:pStyle w:val="BodyTextIndent"/>
              <w:tabs>
                <w:tab w:val="left" w:pos="709"/>
              </w:tabs>
              <w:ind w:left="0"/>
              <w:rPr>
                <w:b w:val="0"/>
                <w:color w:val="auto"/>
                <w:sz w:val="20"/>
                <w:szCs w:val="20"/>
              </w:rPr>
            </w:pPr>
            <w:r w:rsidRPr="00853594">
              <w:rPr>
                <w:b w:val="0"/>
                <w:color w:val="auto"/>
                <w:sz w:val="20"/>
                <w:szCs w:val="20"/>
              </w:rPr>
              <w:t>All financial instruments assessed for impairment from  economic conditions</w:t>
            </w:r>
          </w:p>
        </w:tc>
        <w:tc>
          <w:tcPr>
            <w:cnfStyle w:val="000100000010"/>
            <w:tcW w:w="2835" w:type="dxa"/>
            <w:tcBorders>
              <w:top w:val="single" w:sz="4" w:space="0" w:color="4BACC6" w:themeColor="accent5"/>
              <w:bottom w:val="single" w:sz="4" w:space="0" w:color="4BACC6" w:themeColor="accent5"/>
            </w:tcBorders>
          </w:tcPr>
          <w:p w:rsidR="00E51139" w:rsidRPr="00853594" w:rsidRDefault="00E51139" w:rsidP="00CE6D72">
            <w:pPr>
              <w:pStyle w:val="BodyTextIndent"/>
              <w:tabs>
                <w:tab w:val="left" w:pos="709"/>
              </w:tabs>
              <w:ind w:left="0"/>
              <w:rPr>
                <w:b w:val="0"/>
                <w:color w:val="auto"/>
                <w:sz w:val="20"/>
                <w:szCs w:val="20"/>
              </w:rPr>
            </w:pPr>
            <w:r w:rsidRPr="00853594">
              <w:rPr>
                <w:b w:val="0"/>
                <w:color w:val="auto"/>
                <w:sz w:val="20"/>
                <w:szCs w:val="20"/>
              </w:rPr>
              <w:t>As appropriate the impairment for contractual debt will be reviewed. The Council does not hold any investments which it has assessed to be subject to any impairment.</w:t>
            </w:r>
          </w:p>
        </w:tc>
      </w:tr>
    </w:tbl>
    <w:p w:rsidR="00BD5FB3" w:rsidRDefault="00BD5FB3" w:rsidP="00BE1822">
      <w:pPr>
        <w:pStyle w:val="BodyTextIndent"/>
        <w:ind w:left="567"/>
        <w:rPr>
          <w:color w:val="auto"/>
          <w:sz w:val="20"/>
          <w:szCs w:val="20"/>
        </w:rPr>
      </w:pPr>
    </w:p>
    <w:p w:rsidR="00E51139" w:rsidRPr="000D6E22" w:rsidRDefault="00E51139" w:rsidP="00BE1822">
      <w:pPr>
        <w:pStyle w:val="BodyTextIndent"/>
        <w:ind w:left="567"/>
        <w:rPr>
          <w:color w:val="auto"/>
          <w:sz w:val="20"/>
          <w:szCs w:val="20"/>
        </w:rPr>
      </w:pPr>
      <w:r w:rsidRPr="000D6E22">
        <w:rPr>
          <w:color w:val="auto"/>
          <w:sz w:val="20"/>
          <w:szCs w:val="20"/>
        </w:rPr>
        <w:t xml:space="preserve">The Council in compiling its accounts assessed all its financial instruments and there were a number that were not considered material to make adjustment to the carrying value of the asset or liability. </w:t>
      </w:r>
    </w:p>
    <w:p w:rsidR="001874CC" w:rsidRPr="00D42E0B" w:rsidRDefault="001874CC" w:rsidP="0000282A">
      <w:pPr>
        <w:pStyle w:val="CodeNotesExampleText"/>
        <w:widowControl w:val="0"/>
        <w:rPr>
          <w:rFonts w:cs="Arial"/>
          <w:color w:val="548DD4" w:themeColor="text2" w:themeTint="99"/>
          <w:sz w:val="20"/>
          <w:szCs w:val="20"/>
          <w:u w:val="single"/>
        </w:rPr>
        <w:sectPr w:rsidR="001874CC" w:rsidRPr="00D42E0B" w:rsidSect="001A3F09">
          <w:pgSz w:w="11906" w:h="16838" w:code="9"/>
          <w:pgMar w:top="1440" w:right="1440" w:bottom="1440" w:left="1440" w:header="544" w:footer="544" w:gutter="0"/>
          <w:cols w:space="708"/>
          <w:titlePg/>
          <w:docGrid w:linePitch="360"/>
        </w:sectPr>
      </w:pPr>
    </w:p>
    <w:p w:rsidR="00E51139" w:rsidRPr="00C16B45" w:rsidRDefault="00E51139" w:rsidP="00881598">
      <w:pPr>
        <w:pStyle w:val="CodeNotesExampleText"/>
        <w:widowControl w:val="0"/>
        <w:rPr>
          <w:rFonts w:cs="Arial"/>
          <w:b/>
          <w:color w:val="auto"/>
          <w:sz w:val="22"/>
          <w:szCs w:val="22"/>
        </w:rPr>
      </w:pPr>
      <w:r w:rsidRPr="00C16B45">
        <w:rPr>
          <w:rFonts w:cs="Arial"/>
          <w:b/>
          <w:color w:val="auto"/>
          <w:sz w:val="22"/>
          <w:szCs w:val="22"/>
        </w:rPr>
        <w:lastRenderedPageBreak/>
        <w:t>Income, Expense, Gains and Losses</w:t>
      </w:r>
    </w:p>
    <w:p w:rsidR="00E51139" w:rsidRPr="00D42E0B" w:rsidRDefault="00E51139" w:rsidP="003C5E34">
      <w:pPr>
        <w:pStyle w:val="CodeNotesExampleText"/>
        <w:widowControl w:val="0"/>
        <w:ind w:left="567"/>
        <w:rPr>
          <w:rFonts w:cs="Arial"/>
          <w:i/>
          <w:color w:val="548DD4" w:themeColor="text2" w:themeTint="99"/>
          <w:sz w:val="20"/>
          <w:szCs w:val="20"/>
        </w:rPr>
      </w:pPr>
    </w:p>
    <w:tbl>
      <w:tblPr>
        <w:tblStyle w:val="ListTable3-Accent51"/>
        <w:tblW w:w="14315" w:type="dxa"/>
        <w:tblLayout w:type="fixed"/>
        <w:tblLook w:val="0000"/>
      </w:tblPr>
      <w:tblGrid>
        <w:gridCol w:w="2235"/>
        <w:gridCol w:w="1559"/>
        <w:gridCol w:w="1276"/>
        <w:gridCol w:w="1984"/>
        <w:gridCol w:w="1276"/>
        <w:gridCol w:w="1701"/>
        <w:gridCol w:w="1417"/>
        <w:gridCol w:w="1701"/>
        <w:gridCol w:w="1166"/>
      </w:tblGrid>
      <w:tr w:rsidR="00E51139" w:rsidRPr="00C16B45" w:rsidTr="00F60EB5">
        <w:trPr>
          <w:cnfStyle w:val="000000100000"/>
          <w:trHeight w:val="28"/>
        </w:trPr>
        <w:tc>
          <w:tcPr>
            <w:cnfStyle w:val="000010000000"/>
            <w:tcW w:w="2235" w:type="dxa"/>
            <w:shd w:val="clear" w:color="auto" w:fill="4BACC6" w:themeFill="accent5"/>
          </w:tcPr>
          <w:p w:rsidR="00E51139" w:rsidRPr="00C16B45" w:rsidRDefault="00E51139" w:rsidP="003C5E34">
            <w:pPr>
              <w:pStyle w:val="NoParagraphStyle"/>
              <w:spacing w:line="240" w:lineRule="auto"/>
              <w:jc w:val="center"/>
              <w:textAlignment w:val="auto"/>
              <w:rPr>
                <w:rFonts w:ascii="Arial" w:hAnsi="Arial" w:cs="Arial"/>
                <w:color w:val="auto"/>
                <w:sz w:val="20"/>
                <w:szCs w:val="20"/>
              </w:rPr>
            </w:pPr>
          </w:p>
        </w:tc>
        <w:tc>
          <w:tcPr>
            <w:tcW w:w="6095" w:type="dxa"/>
            <w:gridSpan w:val="4"/>
            <w:shd w:val="clear" w:color="auto" w:fill="4BACC6" w:themeFill="accent5"/>
          </w:tcPr>
          <w:p w:rsidR="00E51139" w:rsidRPr="00C16B45" w:rsidRDefault="00E51139" w:rsidP="00CC3F5A">
            <w:pPr>
              <w:pStyle w:val="TableRightBold"/>
              <w:jc w:val="center"/>
              <w:cnfStyle w:val="000000100000"/>
              <w:rPr>
                <w:rStyle w:val="Bold"/>
                <w:rFonts w:ascii="Arial" w:hAnsi="Arial" w:cs="Arial"/>
                <w:bCs w:val="0"/>
                <w:color w:val="auto"/>
              </w:rPr>
            </w:pPr>
            <w:r w:rsidRPr="00C16B45">
              <w:rPr>
                <w:rStyle w:val="Bold"/>
                <w:rFonts w:ascii="Arial" w:hAnsi="Arial" w:cs="Arial"/>
                <w:bCs w:val="0"/>
                <w:color w:val="auto"/>
              </w:rPr>
              <w:t>201</w:t>
            </w:r>
            <w:r w:rsidR="00CC3F5A" w:rsidRPr="00C16B45">
              <w:rPr>
                <w:rStyle w:val="Bold"/>
                <w:rFonts w:ascii="Arial" w:hAnsi="Arial" w:cs="Arial"/>
                <w:bCs w:val="0"/>
                <w:color w:val="auto"/>
              </w:rPr>
              <w:t>4</w:t>
            </w:r>
            <w:r w:rsidR="002117F3" w:rsidRPr="00C16B45">
              <w:rPr>
                <w:rStyle w:val="Bold"/>
                <w:rFonts w:ascii="Arial" w:hAnsi="Arial" w:cs="Arial"/>
                <w:bCs w:val="0"/>
                <w:color w:val="auto"/>
              </w:rPr>
              <w:t>/1</w:t>
            </w:r>
            <w:r w:rsidR="00CC3F5A" w:rsidRPr="00C16B45">
              <w:rPr>
                <w:rStyle w:val="Bold"/>
                <w:rFonts w:ascii="Arial" w:hAnsi="Arial" w:cs="Arial"/>
                <w:bCs w:val="0"/>
                <w:color w:val="auto"/>
              </w:rPr>
              <w:t>5</w:t>
            </w:r>
          </w:p>
        </w:tc>
        <w:tc>
          <w:tcPr>
            <w:cnfStyle w:val="000010000000"/>
            <w:tcW w:w="5985" w:type="dxa"/>
            <w:gridSpan w:val="4"/>
            <w:shd w:val="clear" w:color="auto" w:fill="4BACC6" w:themeFill="accent5"/>
          </w:tcPr>
          <w:p w:rsidR="00E51139" w:rsidRPr="00C16B45" w:rsidRDefault="00E51139" w:rsidP="00CC3F5A">
            <w:pPr>
              <w:pStyle w:val="TableRightBold"/>
              <w:jc w:val="center"/>
              <w:rPr>
                <w:rStyle w:val="Bold"/>
                <w:rFonts w:ascii="Arial" w:hAnsi="Arial" w:cs="Arial"/>
                <w:b/>
                <w:bCs w:val="0"/>
                <w:color w:val="auto"/>
              </w:rPr>
            </w:pPr>
            <w:r w:rsidRPr="00C16B45">
              <w:rPr>
                <w:rStyle w:val="Bold"/>
                <w:rFonts w:ascii="Arial" w:hAnsi="Arial" w:cs="Arial"/>
                <w:b/>
                <w:bCs w:val="0"/>
                <w:color w:val="auto"/>
              </w:rPr>
              <w:t>201</w:t>
            </w:r>
            <w:r w:rsidR="00CC3F5A" w:rsidRPr="00C16B45">
              <w:rPr>
                <w:rStyle w:val="Bold"/>
                <w:rFonts w:ascii="Arial" w:hAnsi="Arial" w:cs="Arial"/>
                <w:b/>
                <w:bCs w:val="0"/>
                <w:color w:val="auto"/>
              </w:rPr>
              <w:t>5</w:t>
            </w:r>
            <w:r w:rsidR="002117F3" w:rsidRPr="00C16B45">
              <w:rPr>
                <w:rStyle w:val="Bold"/>
                <w:rFonts w:ascii="Arial" w:hAnsi="Arial" w:cs="Arial"/>
                <w:b/>
                <w:bCs w:val="0"/>
                <w:color w:val="auto"/>
              </w:rPr>
              <w:t>/1</w:t>
            </w:r>
            <w:r w:rsidR="00CC3F5A" w:rsidRPr="00C16B45">
              <w:rPr>
                <w:rStyle w:val="Bold"/>
                <w:rFonts w:ascii="Arial" w:hAnsi="Arial" w:cs="Arial"/>
                <w:b/>
                <w:bCs w:val="0"/>
                <w:color w:val="auto"/>
              </w:rPr>
              <w:t>6</w:t>
            </w:r>
          </w:p>
        </w:tc>
      </w:tr>
      <w:tr w:rsidR="00E51139" w:rsidRPr="00C16B45" w:rsidTr="00255061">
        <w:trPr>
          <w:trHeight w:val="60"/>
        </w:trPr>
        <w:tc>
          <w:tcPr>
            <w:cnfStyle w:val="000010000000"/>
            <w:tcW w:w="2235" w:type="dxa"/>
            <w:shd w:val="clear" w:color="auto" w:fill="4BACC6" w:themeFill="accent5"/>
          </w:tcPr>
          <w:p w:rsidR="00E51139" w:rsidRPr="00C16B45" w:rsidRDefault="00E51139" w:rsidP="003C5E34">
            <w:pPr>
              <w:pStyle w:val="NoParagraphStyle"/>
              <w:spacing w:line="240" w:lineRule="auto"/>
              <w:jc w:val="center"/>
              <w:textAlignment w:val="auto"/>
              <w:rPr>
                <w:rFonts w:ascii="Arial" w:hAnsi="Arial" w:cs="Arial"/>
                <w:color w:val="auto"/>
                <w:sz w:val="18"/>
                <w:szCs w:val="18"/>
              </w:rPr>
            </w:pPr>
          </w:p>
        </w:tc>
        <w:tc>
          <w:tcPr>
            <w:tcW w:w="1559" w:type="dxa"/>
            <w:shd w:val="clear" w:color="auto" w:fill="4BACC6" w:themeFill="accent5"/>
          </w:tcPr>
          <w:p w:rsidR="00E51139" w:rsidRPr="00C16B45" w:rsidRDefault="00E51139" w:rsidP="003C5E34">
            <w:pPr>
              <w:pStyle w:val="TableRightBold"/>
              <w:jc w:val="center"/>
              <w:cnfStyle w:val="000000000000"/>
              <w:rPr>
                <w:rStyle w:val="Bold"/>
                <w:rFonts w:ascii="Arial" w:hAnsi="Arial" w:cs="Arial"/>
                <w:bCs w:val="0"/>
                <w:color w:val="auto"/>
                <w:sz w:val="18"/>
                <w:szCs w:val="18"/>
              </w:rPr>
            </w:pPr>
            <w:r w:rsidRPr="00C16B45">
              <w:rPr>
                <w:rStyle w:val="Bold"/>
                <w:rFonts w:ascii="Arial" w:hAnsi="Arial" w:cs="Arial"/>
                <w:bCs w:val="0"/>
                <w:color w:val="auto"/>
                <w:sz w:val="18"/>
                <w:szCs w:val="18"/>
              </w:rPr>
              <w:t>Financial Liabilities</w:t>
            </w:r>
          </w:p>
        </w:tc>
        <w:tc>
          <w:tcPr>
            <w:cnfStyle w:val="000010000000"/>
            <w:tcW w:w="3260" w:type="dxa"/>
            <w:gridSpan w:val="2"/>
            <w:shd w:val="clear" w:color="auto" w:fill="4BACC6" w:themeFill="accent5"/>
          </w:tcPr>
          <w:p w:rsidR="00E51139" w:rsidRPr="00C16B45" w:rsidRDefault="00E51139" w:rsidP="003C5E34">
            <w:pPr>
              <w:pStyle w:val="TableRightBold"/>
              <w:jc w:val="center"/>
              <w:rPr>
                <w:rStyle w:val="Bold"/>
                <w:rFonts w:ascii="Arial" w:hAnsi="Arial" w:cs="Arial"/>
                <w:bCs w:val="0"/>
                <w:color w:val="auto"/>
                <w:sz w:val="18"/>
                <w:szCs w:val="18"/>
              </w:rPr>
            </w:pPr>
            <w:r w:rsidRPr="00C16B45">
              <w:rPr>
                <w:rStyle w:val="Bold"/>
                <w:rFonts w:ascii="Arial" w:hAnsi="Arial" w:cs="Arial"/>
                <w:bCs w:val="0"/>
                <w:color w:val="auto"/>
                <w:sz w:val="18"/>
                <w:szCs w:val="18"/>
              </w:rPr>
              <w:t>Financial Assets</w:t>
            </w:r>
          </w:p>
        </w:tc>
        <w:tc>
          <w:tcPr>
            <w:tcW w:w="1276" w:type="dxa"/>
            <w:shd w:val="clear" w:color="auto" w:fill="4BACC6" w:themeFill="accent5"/>
          </w:tcPr>
          <w:p w:rsidR="00E51139" w:rsidRPr="00C16B45" w:rsidRDefault="00E51139" w:rsidP="003C5E34">
            <w:pPr>
              <w:pStyle w:val="TableRightBold"/>
              <w:jc w:val="center"/>
              <w:cnfStyle w:val="000000000000"/>
              <w:rPr>
                <w:rStyle w:val="Bold"/>
                <w:rFonts w:ascii="Arial" w:hAnsi="Arial" w:cs="Arial"/>
                <w:b/>
                <w:bCs w:val="0"/>
                <w:color w:val="auto"/>
                <w:sz w:val="18"/>
                <w:szCs w:val="18"/>
              </w:rPr>
            </w:pPr>
          </w:p>
        </w:tc>
        <w:tc>
          <w:tcPr>
            <w:cnfStyle w:val="000010000000"/>
            <w:tcW w:w="1701" w:type="dxa"/>
            <w:shd w:val="clear" w:color="auto" w:fill="4BACC6" w:themeFill="accent5"/>
          </w:tcPr>
          <w:p w:rsidR="00E51139" w:rsidRPr="00C16B45" w:rsidRDefault="00E51139" w:rsidP="003C5E34">
            <w:pPr>
              <w:pStyle w:val="TableRightBold"/>
              <w:jc w:val="center"/>
              <w:rPr>
                <w:rStyle w:val="Bold"/>
                <w:rFonts w:ascii="Arial" w:hAnsi="Arial" w:cs="Arial"/>
                <w:b/>
                <w:bCs w:val="0"/>
                <w:color w:val="auto"/>
                <w:sz w:val="18"/>
                <w:szCs w:val="18"/>
              </w:rPr>
            </w:pPr>
            <w:r w:rsidRPr="00C16B45">
              <w:rPr>
                <w:rStyle w:val="Bold"/>
                <w:rFonts w:ascii="Arial" w:hAnsi="Arial" w:cs="Arial"/>
                <w:b/>
                <w:bCs w:val="0"/>
                <w:color w:val="auto"/>
                <w:sz w:val="18"/>
                <w:szCs w:val="18"/>
              </w:rPr>
              <w:t>Financial Liabilities</w:t>
            </w:r>
          </w:p>
        </w:tc>
        <w:tc>
          <w:tcPr>
            <w:tcW w:w="3118" w:type="dxa"/>
            <w:gridSpan w:val="2"/>
            <w:shd w:val="clear" w:color="auto" w:fill="4BACC6" w:themeFill="accent5"/>
          </w:tcPr>
          <w:p w:rsidR="00E51139" w:rsidRPr="00C16B45" w:rsidRDefault="00E51139" w:rsidP="003C5E34">
            <w:pPr>
              <w:pStyle w:val="TableRightBold"/>
              <w:jc w:val="center"/>
              <w:cnfStyle w:val="000000000000"/>
              <w:rPr>
                <w:rStyle w:val="Bold"/>
                <w:rFonts w:ascii="Arial" w:hAnsi="Arial" w:cs="Arial"/>
                <w:b/>
                <w:bCs w:val="0"/>
                <w:color w:val="auto"/>
                <w:sz w:val="18"/>
                <w:szCs w:val="18"/>
              </w:rPr>
            </w:pPr>
            <w:r w:rsidRPr="00C16B45">
              <w:rPr>
                <w:rStyle w:val="Bold"/>
                <w:rFonts w:ascii="Arial" w:hAnsi="Arial" w:cs="Arial"/>
                <w:b/>
                <w:bCs w:val="0"/>
                <w:color w:val="auto"/>
                <w:sz w:val="18"/>
                <w:szCs w:val="18"/>
              </w:rPr>
              <w:t>Financial Assets</w:t>
            </w:r>
          </w:p>
        </w:tc>
        <w:tc>
          <w:tcPr>
            <w:cnfStyle w:val="000010000000"/>
            <w:tcW w:w="1166" w:type="dxa"/>
            <w:shd w:val="clear" w:color="auto" w:fill="4BACC6" w:themeFill="accent5"/>
          </w:tcPr>
          <w:p w:rsidR="00E51139" w:rsidRPr="00C16B45" w:rsidRDefault="00E51139" w:rsidP="003C5E34">
            <w:pPr>
              <w:pStyle w:val="TableRightBold"/>
              <w:jc w:val="center"/>
              <w:rPr>
                <w:rStyle w:val="Bold"/>
                <w:rFonts w:ascii="Arial" w:hAnsi="Arial" w:cs="Arial"/>
                <w:b/>
                <w:bCs w:val="0"/>
                <w:color w:val="auto"/>
                <w:sz w:val="18"/>
                <w:szCs w:val="18"/>
              </w:rPr>
            </w:pPr>
          </w:p>
        </w:tc>
      </w:tr>
      <w:tr w:rsidR="00E51139" w:rsidRPr="00C16B45" w:rsidTr="00255061">
        <w:trPr>
          <w:cnfStyle w:val="000000100000"/>
          <w:trHeight w:val="60"/>
        </w:trPr>
        <w:tc>
          <w:tcPr>
            <w:cnfStyle w:val="000010000000"/>
            <w:tcW w:w="2235" w:type="dxa"/>
            <w:shd w:val="clear" w:color="auto" w:fill="4BACC6" w:themeFill="accent5"/>
          </w:tcPr>
          <w:p w:rsidR="00E51139" w:rsidRPr="00C16B45" w:rsidRDefault="00E51139" w:rsidP="003C5E34">
            <w:pPr>
              <w:pStyle w:val="NoParagraphStyle"/>
              <w:spacing w:line="240" w:lineRule="auto"/>
              <w:jc w:val="center"/>
              <w:textAlignment w:val="auto"/>
              <w:rPr>
                <w:rFonts w:ascii="Arial" w:hAnsi="Arial" w:cs="Arial"/>
                <w:color w:val="auto"/>
                <w:sz w:val="18"/>
                <w:szCs w:val="18"/>
              </w:rPr>
            </w:pPr>
          </w:p>
        </w:tc>
        <w:tc>
          <w:tcPr>
            <w:tcW w:w="1559" w:type="dxa"/>
            <w:shd w:val="clear" w:color="auto" w:fill="4BACC6" w:themeFill="accent5"/>
          </w:tcPr>
          <w:p w:rsidR="00E51139" w:rsidRPr="00C16B45" w:rsidRDefault="00E51139" w:rsidP="00F60EB5">
            <w:pPr>
              <w:pStyle w:val="TableRightBold"/>
              <w:jc w:val="center"/>
              <w:cnfStyle w:val="000000100000"/>
              <w:rPr>
                <w:rFonts w:ascii="Arial" w:hAnsi="Arial" w:cs="Arial"/>
                <w:color w:val="auto"/>
                <w:sz w:val="16"/>
                <w:szCs w:val="16"/>
              </w:rPr>
            </w:pPr>
            <w:r w:rsidRPr="00C16B45">
              <w:rPr>
                <w:rStyle w:val="Bold"/>
                <w:rFonts w:ascii="Arial" w:hAnsi="Arial" w:cs="Arial"/>
                <w:bCs w:val="0"/>
                <w:color w:val="auto"/>
                <w:sz w:val="16"/>
                <w:szCs w:val="16"/>
              </w:rPr>
              <w:t>Liabilities measured at amortised cost</w:t>
            </w:r>
          </w:p>
        </w:tc>
        <w:tc>
          <w:tcPr>
            <w:cnfStyle w:val="000010000000"/>
            <w:tcW w:w="1276" w:type="dxa"/>
            <w:shd w:val="clear" w:color="auto" w:fill="4BACC6" w:themeFill="accent5"/>
          </w:tcPr>
          <w:p w:rsidR="00E51139" w:rsidRPr="00C16B45" w:rsidRDefault="00E51139" w:rsidP="00F60EB5">
            <w:pPr>
              <w:pStyle w:val="TableRightBold"/>
              <w:jc w:val="center"/>
              <w:rPr>
                <w:rFonts w:ascii="Arial" w:hAnsi="Arial" w:cs="Arial"/>
                <w:color w:val="auto"/>
                <w:sz w:val="16"/>
                <w:szCs w:val="16"/>
              </w:rPr>
            </w:pPr>
            <w:r w:rsidRPr="00C16B45">
              <w:rPr>
                <w:rStyle w:val="Bold"/>
                <w:rFonts w:ascii="Arial" w:hAnsi="Arial" w:cs="Arial"/>
                <w:bCs w:val="0"/>
                <w:color w:val="auto"/>
                <w:sz w:val="16"/>
                <w:szCs w:val="16"/>
              </w:rPr>
              <w:t xml:space="preserve">Loans and receivables </w:t>
            </w:r>
            <w:r w:rsidRPr="00C16B45">
              <w:rPr>
                <w:rStyle w:val="Bold"/>
                <w:rFonts w:ascii="Arial" w:hAnsi="Arial" w:cs="Arial"/>
                <w:bCs w:val="0"/>
                <w:color w:val="auto"/>
                <w:sz w:val="16"/>
                <w:szCs w:val="16"/>
              </w:rPr>
              <w:br/>
            </w:r>
          </w:p>
        </w:tc>
        <w:tc>
          <w:tcPr>
            <w:tcW w:w="1984" w:type="dxa"/>
            <w:shd w:val="clear" w:color="auto" w:fill="4BACC6" w:themeFill="accent5"/>
          </w:tcPr>
          <w:p w:rsidR="00E51139" w:rsidRPr="00C16B45" w:rsidRDefault="00E51139" w:rsidP="003C5E34">
            <w:pPr>
              <w:pStyle w:val="TableRightBold"/>
              <w:jc w:val="center"/>
              <w:cnfStyle w:val="000000100000"/>
              <w:rPr>
                <w:rStyle w:val="Bold"/>
                <w:rFonts w:ascii="Arial" w:hAnsi="Arial" w:cs="Arial"/>
                <w:bCs w:val="0"/>
                <w:color w:val="auto"/>
                <w:sz w:val="16"/>
                <w:szCs w:val="16"/>
              </w:rPr>
            </w:pPr>
            <w:r w:rsidRPr="00C16B45">
              <w:rPr>
                <w:rStyle w:val="Bold"/>
                <w:rFonts w:ascii="Arial" w:hAnsi="Arial" w:cs="Arial"/>
                <w:bCs w:val="0"/>
                <w:color w:val="auto"/>
                <w:sz w:val="16"/>
                <w:szCs w:val="16"/>
              </w:rPr>
              <w:t>Assets and Liabilities at Fair Value through Profit and Loss</w:t>
            </w:r>
          </w:p>
          <w:p w:rsidR="00E51139" w:rsidRPr="00C16B45" w:rsidRDefault="00E51139" w:rsidP="003C5E34">
            <w:pPr>
              <w:pStyle w:val="TableRightBold"/>
              <w:jc w:val="center"/>
              <w:cnfStyle w:val="000000100000"/>
              <w:rPr>
                <w:rStyle w:val="Bold"/>
                <w:rFonts w:ascii="Arial" w:hAnsi="Arial" w:cs="Arial"/>
                <w:bCs w:val="0"/>
                <w:color w:val="auto"/>
                <w:sz w:val="16"/>
                <w:szCs w:val="16"/>
              </w:rPr>
            </w:pPr>
          </w:p>
        </w:tc>
        <w:tc>
          <w:tcPr>
            <w:cnfStyle w:val="000010000000"/>
            <w:tcW w:w="1276" w:type="dxa"/>
            <w:shd w:val="clear" w:color="auto" w:fill="4BACC6" w:themeFill="accent5"/>
          </w:tcPr>
          <w:p w:rsidR="00E51139" w:rsidRPr="00C16B45" w:rsidRDefault="00E51139" w:rsidP="00F60EB5">
            <w:pPr>
              <w:pStyle w:val="TableRightBold"/>
              <w:jc w:val="center"/>
              <w:rPr>
                <w:rFonts w:ascii="Arial" w:hAnsi="Arial" w:cs="Arial"/>
                <w:color w:val="auto"/>
                <w:sz w:val="16"/>
                <w:szCs w:val="16"/>
              </w:rPr>
            </w:pPr>
            <w:r w:rsidRPr="00C16B45">
              <w:rPr>
                <w:rStyle w:val="Bold"/>
                <w:rFonts w:ascii="Arial" w:hAnsi="Arial" w:cs="Arial"/>
                <w:bCs w:val="0"/>
                <w:color w:val="auto"/>
                <w:sz w:val="16"/>
                <w:szCs w:val="16"/>
              </w:rPr>
              <w:t>Total</w:t>
            </w:r>
            <w:r w:rsidRPr="00C16B45">
              <w:rPr>
                <w:rStyle w:val="Bold"/>
                <w:rFonts w:ascii="Arial" w:hAnsi="Arial" w:cs="Arial"/>
                <w:bCs w:val="0"/>
                <w:color w:val="auto"/>
                <w:sz w:val="16"/>
                <w:szCs w:val="16"/>
              </w:rPr>
              <w:br/>
            </w:r>
          </w:p>
        </w:tc>
        <w:tc>
          <w:tcPr>
            <w:tcW w:w="1701" w:type="dxa"/>
            <w:shd w:val="clear" w:color="auto" w:fill="4BACC6" w:themeFill="accent5"/>
          </w:tcPr>
          <w:p w:rsidR="00E51139" w:rsidRPr="00C16B45" w:rsidRDefault="00E51139" w:rsidP="00F60EB5">
            <w:pPr>
              <w:pStyle w:val="TableRightBold"/>
              <w:jc w:val="center"/>
              <w:cnfStyle w:val="000000100000"/>
              <w:rPr>
                <w:rFonts w:ascii="Arial" w:hAnsi="Arial" w:cs="Arial"/>
                <w:color w:val="auto"/>
                <w:sz w:val="16"/>
                <w:szCs w:val="16"/>
              </w:rPr>
            </w:pPr>
            <w:r w:rsidRPr="00C16B45">
              <w:rPr>
                <w:rStyle w:val="Bold"/>
                <w:rFonts w:ascii="Arial" w:hAnsi="Arial" w:cs="Arial"/>
                <w:bCs w:val="0"/>
                <w:color w:val="auto"/>
                <w:sz w:val="16"/>
                <w:szCs w:val="16"/>
              </w:rPr>
              <w:t>Liabilities measured at amortised cost</w:t>
            </w:r>
            <w:r w:rsidRPr="00C16B45">
              <w:rPr>
                <w:rStyle w:val="Bold"/>
                <w:rFonts w:ascii="Arial" w:hAnsi="Arial" w:cs="Arial"/>
                <w:bCs w:val="0"/>
                <w:color w:val="auto"/>
                <w:sz w:val="16"/>
                <w:szCs w:val="16"/>
              </w:rPr>
              <w:br/>
            </w:r>
          </w:p>
        </w:tc>
        <w:tc>
          <w:tcPr>
            <w:cnfStyle w:val="000010000000"/>
            <w:tcW w:w="1417" w:type="dxa"/>
            <w:shd w:val="clear" w:color="auto" w:fill="4BACC6" w:themeFill="accent5"/>
          </w:tcPr>
          <w:p w:rsidR="00E51139" w:rsidRPr="00C16B45" w:rsidRDefault="00E51139" w:rsidP="00F60EB5">
            <w:pPr>
              <w:pStyle w:val="TableRightBold"/>
              <w:jc w:val="center"/>
              <w:rPr>
                <w:rFonts w:ascii="Arial" w:hAnsi="Arial" w:cs="Arial"/>
                <w:color w:val="auto"/>
                <w:sz w:val="16"/>
                <w:szCs w:val="16"/>
              </w:rPr>
            </w:pPr>
            <w:r w:rsidRPr="00C16B45">
              <w:rPr>
                <w:rStyle w:val="Bold"/>
                <w:rFonts w:ascii="Arial" w:hAnsi="Arial" w:cs="Arial"/>
                <w:bCs w:val="0"/>
                <w:color w:val="auto"/>
                <w:sz w:val="16"/>
                <w:szCs w:val="16"/>
              </w:rPr>
              <w:t xml:space="preserve">Loans and receivables </w:t>
            </w:r>
            <w:r w:rsidRPr="00C16B45">
              <w:rPr>
                <w:rStyle w:val="Bold"/>
                <w:rFonts w:ascii="Arial" w:hAnsi="Arial" w:cs="Arial"/>
                <w:bCs w:val="0"/>
                <w:color w:val="auto"/>
                <w:sz w:val="16"/>
                <w:szCs w:val="16"/>
              </w:rPr>
              <w:br/>
            </w:r>
          </w:p>
        </w:tc>
        <w:tc>
          <w:tcPr>
            <w:tcW w:w="1701" w:type="dxa"/>
            <w:shd w:val="clear" w:color="auto" w:fill="4BACC6" w:themeFill="accent5"/>
          </w:tcPr>
          <w:p w:rsidR="00E51139" w:rsidRPr="00C16B45" w:rsidRDefault="00E51139" w:rsidP="00F60EB5">
            <w:pPr>
              <w:pStyle w:val="TableRightBold"/>
              <w:jc w:val="center"/>
              <w:cnfStyle w:val="000000100000"/>
              <w:rPr>
                <w:rStyle w:val="Bold"/>
                <w:rFonts w:ascii="Arial" w:hAnsi="Arial" w:cs="Arial"/>
                <w:bCs w:val="0"/>
                <w:color w:val="auto"/>
                <w:sz w:val="16"/>
                <w:szCs w:val="16"/>
              </w:rPr>
            </w:pPr>
            <w:r w:rsidRPr="00C16B45">
              <w:rPr>
                <w:rStyle w:val="Bold"/>
                <w:rFonts w:ascii="Arial" w:hAnsi="Arial" w:cs="Arial"/>
                <w:bCs w:val="0"/>
                <w:color w:val="auto"/>
                <w:sz w:val="16"/>
                <w:szCs w:val="16"/>
              </w:rPr>
              <w:t>Assets and Liabilities at Fair Value through Profit and Loss</w:t>
            </w:r>
          </w:p>
        </w:tc>
        <w:tc>
          <w:tcPr>
            <w:cnfStyle w:val="000010000000"/>
            <w:tcW w:w="1166" w:type="dxa"/>
            <w:shd w:val="clear" w:color="auto" w:fill="4BACC6" w:themeFill="accent5"/>
          </w:tcPr>
          <w:p w:rsidR="00E51139" w:rsidRPr="00C16B45" w:rsidRDefault="00E51139" w:rsidP="00F60EB5">
            <w:pPr>
              <w:pStyle w:val="TableRightBold"/>
              <w:jc w:val="center"/>
              <w:rPr>
                <w:rFonts w:ascii="Arial" w:hAnsi="Arial" w:cs="Arial"/>
                <w:b w:val="0"/>
                <w:color w:val="auto"/>
                <w:sz w:val="16"/>
                <w:szCs w:val="16"/>
              </w:rPr>
            </w:pPr>
            <w:r w:rsidRPr="00C16B45">
              <w:rPr>
                <w:rStyle w:val="Bold"/>
                <w:rFonts w:ascii="Arial" w:hAnsi="Arial" w:cs="Arial"/>
                <w:b/>
                <w:bCs w:val="0"/>
                <w:color w:val="auto"/>
                <w:sz w:val="16"/>
                <w:szCs w:val="16"/>
              </w:rPr>
              <w:t>Total</w:t>
            </w:r>
            <w:r w:rsidRPr="00C16B45">
              <w:rPr>
                <w:rStyle w:val="Bold"/>
                <w:rFonts w:ascii="Arial" w:hAnsi="Arial" w:cs="Arial"/>
                <w:b/>
                <w:bCs w:val="0"/>
                <w:color w:val="auto"/>
                <w:sz w:val="16"/>
                <w:szCs w:val="16"/>
              </w:rPr>
              <w:br/>
            </w:r>
          </w:p>
        </w:tc>
      </w:tr>
      <w:tr w:rsidR="00F60EB5" w:rsidRPr="00C16B45" w:rsidTr="00255061">
        <w:trPr>
          <w:trHeight w:val="60"/>
        </w:trPr>
        <w:tc>
          <w:tcPr>
            <w:cnfStyle w:val="000010000000"/>
            <w:tcW w:w="2235" w:type="dxa"/>
            <w:shd w:val="clear" w:color="auto" w:fill="4BACC6" w:themeFill="accent5"/>
          </w:tcPr>
          <w:p w:rsidR="00F60EB5" w:rsidRPr="00C16B45" w:rsidRDefault="00F60EB5" w:rsidP="003C5E34">
            <w:pPr>
              <w:pStyle w:val="TableText"/>
              <w:rPr>
                <w:rFonts w:ascii="Arial" w:hAnsi="Arial" w:cs="Arial"/>
                <w:color w:val="auto"/>
                <w:sz w:val="18"/>
                <w:szCs w:val="18"/>
                <w:lang w:val="en-US"/>
              </w:rPr>
            </w:pPr>
          </w:p>
        </w:tc>
        <w:tc>
          <w:tcPr>
            <w:tcW w:w="1559" w:type="dxa"/>
            <w:shd w:val="clear" w:color="auto" w:fill="4BACC6" w:themeFill="accent5"/>
          </w:tcPr>
          <w:p w:rsidR="00F60EB5" w:rsidRPr="00C16B45" w:rsidRDefault="00F60EB5" w:rsidP="008060CD">
            <w:pPr>
              <w:pStyle w:val="TableRight"/>
              <w:jc w:val="center"/>
              <w:cnfStyle w:val="000000000000"/>
              <w:rPr>
                <w:rFonts w:ascii="Arial" w:hAnsi="Arial" w:cs="Arial"/>
                <w:color w:val="auto"/>
              </w:rPr>
            </w:pPr>
            <w:r w:rsidRPr="00C16B45">
              <w:rPr>
                <w:rFonts w:ascii="Arial" w:hAnsi="Arial" w:cs="Arial"/>
                <w:color w:val="auto"/>
              </w:rPr>
              <w:t>£m</w:t>
            </w:r>
          </w:p>
        </w:tc>
        <w:tc>
          <w:tcPr>
            <w:cnfStyle w:val="000010000000"/>
            <w:tcW w:w="1276" w:type="dxa"/>
            <w:shd w:val="clear" w:color="auto" w:fill="4BACC6" w:themeFill="accent5"/>
          </w:tcPr>
          <w:p w:rsidR="00F60EB5" w:rsidRPr="00C16B45" w:rsidRDefault="00F60EB5" w:rsidP="008060CD">
            <w:pPr>
              <w:pStyle w:val="TableRight"/>
              <w:jc w:val="center"/>
              <w:rPr>
                <w:rFonts w:ascii="Arial" w:hAnsi="Arial" w:cs="Arial"/>
                <w:color w:val="auto"/>
              </w:rPr>
            </w:pPr>
            <w:r w:rsidRPr="00C16B45">
              <w:rPr>
                <w:rFonts w:ascii="Arial" w:hAnsi="Arial" w:cs="Arial"/>
                <w:color w:val="auto"/>
              </w:rPr>
              <w:t>£m</w:t>
            </w:r>
          </w:p>
        </w:tc>
        <w:tc>
          <w:tcPr>
            <w:tcW w:w="1984" w:type="dxa"/>
            <w:shd w:val="clear" w:color="auto" w:fill="4BACC6" w:themeFill="accent5"/>
          </w:tcPr>
          <w:p w:rsidR="00F60EB5" w:rsidRPr="00C16B45" w:rsidRDefault="00F60EB5" w:rsidP="008060CD">
            <w:pPr>
              <w:pStyle w:val="TableRight"/>
              <w:jc w:val="center"/>
              <w:cnfStyle w:val="000000000000"/>
              <w:rPr>
                <w:rFonts w:ascii="Arial" w:hAnsi="Arial" w:cs="Arial"/>
                <w:color w:val="auto"/>
              </w:rPr>
            </w:pPr>
            <w:r w:rsidRPr="00C16B45">
              <w:rPr>
                <w:rFonts w:ascii="Arial" w:hAnsi="Arial" w:cs="Arial"/>
                <w:color w:val="auto"/>
              </w:rPr>
              <w:t>£m</w:t>
            </w:r>
          </w:p>
        </w:tc>
        <w:tc>
          <w:tcPr>
            <w:cnfStyle w:val="000010000000"/>
            <w:tcW w:w="1276" w:type="dxa"/>
            <w:shd w:val="clear" w:color="auto" w:fill="4BACC6" w:themeFill="accent5"/>
          </w:tcPr>
          <w:p w:rsidR="00F60EB5" w:rsidRPr="00C16B45" w:rsidRDefault="00F60EB5" w:rsidP="008060CD">
            <w:pPr>
              <w:pStyle w:val="TableRight"/>
              <w:jc w:val="center"/>
              <w:rPr>
                <w:rFonts w:ascii="Arial" w:hAnsi="Arial" w:cs="Arial"/>
                <w:color w:val="auto"/>
              </w:rPr>
            </w:pPr>
            <w:r w:rsidRPr="00C16B45">
              <w:rPr>
                <w:rFonts w:ascii="Arial" w:hAnsi="Arial" w:cs="Arial"/>
                <w:color w:val="auto"/>
              </w:rPr>
              <w:t>£m</w:t>
            </w:r>
          </w:p>
        </w:tc>
        <w:tc>
          <w:tcPr>
            <w:tcW w:w="1701" w:type="dxa"/>
            <w:shd w:val="clear" w:color="auto" w:fill="4BACC6" w:themeFill="accent5"/>
          </w:tcPr>
          <w:p w:rsidR="00F60EB5" w:rsidRPr="00C16B45" w:rsidRDefault="00F60EB5" w:rsidP="00071133">
            <w:pPr>
              <w:pStyle w:val="TableRight"/>
              <w:jc w:val="center"/>
              <w:cnfStyle w:val="000000000000"/>
              <w:rPr>
                <w:rFonts w:ascii="Arial" w:hAnsi="Arial" w:cs="Arial"/>
                <w:color w:val="auto"/>
              </w:rPr>
            </w:pPr>
            <w:r w:rsidRPr="00C16B45">
              <w:rPr>
                <w:rFonts w:ascii="Arial" w:hAnsi="Arial" w:cs="Arial"/>
                <w:color w:val="auto"/>
              </w:rPr>
              <w:t>£m</w:t>
            </w:r>
          </w:p>
        </w:tc>
        <w:tc>
          <w:tcPr>
            <w:cnfStyle w:val="000010000000"/>
            <w:tcW w:w="1417" w:type="dxa"/>
            <w:shd w:val="clear" w:color="auto" w:fill="4BACC6" w:themeFill="accent5"/>
          </w:tcPr>
          <w:p w:rsidR="00F60EB5" w:rsidRPr="00C16B45" w:rsidRDefault="00F60EB5" w:rsidP="007E4746">
            <w:pPr>
              <w:pStyle w:val="TableRight"/>
              <w:jc w:val="center"/>
              <w:rPr>
                <w:rFonts w:ascii="Arial" w:hAnsi="Arial" w:cs="Arial"/>
                <w:color w:val="auto"/>
              </w:rPr>
            </w:pPr>
            <w:r w:rsidRPr="00C16B45">
              <w:rPr>
                <w:rFonts w:ascii="Arial" w:hAnsi="Arial" w:cs="Arial"/>
                <w:color w:val="auto"/>
              </w:rPr>
              <w:t>£m</w:t>
            </w:r>
          </w:p>
        </w:tc>
        <w:tc>
          <w:tcPr>
            <w:tcW w:w="1701" w:type="dxa"/>
            <w:shd w:val="clear" w:color="auto" w:fill="4BACC6" w:themeFill="accent5"/>
          </w:tcPr>
          <w:p w:rsidR="00F60EB5" w:rsidRPr="00C16B45" w:rsidRDefault="00F60EB5" w:rsidP="007E4746">
            <w:pPr>
              <w:pStyle w:val="TableRight"/>
              <w:jc w:val="center"/>
              <w:cnfStyle w:val="000000000000"/>
              <w:rPr>
                <w:rFonts w:ascii="Arial" w:hAnsi="Arial" w:cs="Arial"/>
                <w:color w:val="auto"/>
              </w:rPr>
            </w:pPr>
            <w:r w:rsidRPr="00C16B45">
              <w:rPr>
                <w:rFonts w:ascii="Arial" w:hAnsi="Arial" w:cs="Arial"/>
                <w:color w:val="auto"/>
              </w:rPr>
              <w:t>£m</w:t>
            </w:r>
          </w:p>
        </w:tc>
        <w:tc>
          <w:tcPr>
            <w:cnfStyle w:val="000010000000"/>
            <w:tcW w:w="1166" w:type="dxa"/>
            <w:shd w:val="clear" w:color="auto" w:fill="4BACC6" w:themeFill="accent5"/>
          </w:tcPr>
          <w:p w:rsidR="00F60EB5" w:rsidRPr="00C16B45" w:rsidRDefault="00F60EB5" w:rsidP="00071133">
            <w:pPr>
              <w:pStyle w:val="TableRight"/>
              <w:jc w:val="center"/>
              <w:rPr>
                <w:rFonts w:ascii="Arial" w:hAnsi="Arial" w:cs="Arial"/>
                <w:color w:val="auto"/>
              </w:rPr>
            </w:pPr>
            <w:r w:rsidRPr="00C16B45">
              <w:rPr>
                <w:rFonts w:ascii="Arial" w:hAnsi="Arial" w:cs="Arial"/>
                <w:color w:val="auto"/>
              </w:rPr>
              <w:t>£m</w:t>
            </w:r>
          </w:p>
        </w:tc>
      </w:tr>
      <w:tr w:rsidR="00692213" w:rsidRPr="00C16B45" w:rsidTr="00255061">
        <w:trPr>
          <w:cnfStyle w:val="000000100000"/>
          <w:trHeight w:val="60"/>
        </w:trPr>
        <w:tc>
          <w:tcPr>
            <w:cnfStyle w:val="000010000000"/>
            <w:tcW w:w="2235" w:type="dxa"/>
            <w:vAlign w:val="center"/>
          </w:tcPr>
          <w:p w:rsidR="00692213" w:rsidRPr="00C16B45" w:rsidRDefault="00692213" w:rsidP="00AE29C3">
            <w:pPr>
              <w:pStyle w:val="TableText"/>
              <w:rPr>
                <w:rFonts w:ascii="Arial" w:hAnsi="Arial" w:cs="Arial"/>
                <w:color w:val="auto"/>
                <w:sz w:val="18"/>
                <w:szCs w:val="18"/>
              </w:rPr>
            </w:pPr>
            <w:r w:rsidRPr="00C16B45">
              <w:rPr>
                <w:rFonts w:ascii="Arial" w:hAnsi="Arial" w:cs="Arial"/>
                <w:color w:val="auto"/>
                <w:sz w:val="18"/>
                <w:szCs w:val="18"/>
                <w:lang w:val="en-US"/>
              </w:rPr>
              <w:t>Interest expense</w:t>
            </w:r>
          </w:p>
        </w:tc>
        <w:tc>
          <w:tcPr>
            <w:tcW w:w="1559" w:type="dxa"/>
            <w:vAlign w:val="center"/>
          </w:tcPr>
          <w:p w:rsidR="00692213" w:rsidRPr="00C16B45" w:rsidRDefault="00692213" w:rsidP="00692213">
            <w:pPr>
              <w:pStyle w:val="TableRight"/>
              <w:jc w:val="center"/>
              <w:cnfStyle w:val="000000100000"/>
              <w:rPr>
                <w:rFonts w:ascii="Arial" w:hAnsi="Arial" w:cs="Arial"/>
                <w:color w:val="auto"/>
              </w:rPr>
            </w:pPr>
            <w:r w:rsidRPr="00C16B45">
              <w:rPr>
                <w:rFonts w:ascii="Arial" w:hAnsi="Arial" w:cs="Arial"/>
                <w:color w:val="auto"/>
              </w:rPr>
              <w:t>4.8</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w:t>
            </w:r>
          </w:p>
        </w:tc>
        <w:tc>
          <w:tcPr>
            <w:tcW w:w="1984" w:type="dxa"/>
            <w:vAlign w:val="center"/>
          </w:tcPr>
          <w:p w:rsidR="00692213" w:rsidRPr="00C16B45" w:rsidRDefault="00692213" w:rsidP="00692213">
            <w:pPr>
              <w:pStyle w:val="TableRight"/>
              <w:jc w:val="center"/>
              <w:cnfStyle w:val="000000100000"/>
              <w:rPr>
                <w:rFonts w:ascii="Arial" w:hAnsi="Arial" w:cs="Arial"/>
                <w:color w:val="auto"/>
              </w:rPr>
            </w:pPr>
            <w:r w:rsidRPr="00C16B45">
              <w:rPr>
                <w:rFonts w:ascii="Arial" w:hAnsi="Arial" w:cs="Arial"/>
                <w:color w:val="auto"/>
              </w:rPr>
              <w:t>-</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4.8</w:t>
            </w:r>
          </w:p>
        </w:tc>
        <w:tc>
          <w:tcPr>
            <w:tcW w:w="1701" w:type="dxa"/>
            <w:vAlign w:val="center"/>
          </w:tcPr>
          <w:p w:rsidR="00692213" w:rsidRPr="00C16B45" w:rsidRDefault="00AD4405" w:rsidP="00AE29C3">
            <w:pPr>
              <w:pStyle w:val="TableRight"/>
              <w:jc w:val="center"/>
              <w:cnfStyle w:val="000000100000"/>
              <w:rPr>
                <w:rFonts w:ascii="Arial" w:hAnsi="Arial" w:cs="Arial"/>
                <w:b/>
                <w:color w:val="auto"/>
              </w:rPr>
            </w:pPr>
            <w:r>
              <w:rPr>
                <w:rFonts w:ascii="Arial" w:hAnsi="Arial" w:cs="Arial"/>
                <w:b/>
                <w:color w:val="auto"/>
              </w:rPr>
              <w:t>4.8</w:t>
            </w:r>
          </w:p>
        </w:tc>
        <w:tc>
          <w:tcPr>
            <w:cnfStyle w:val="000010000000"/>
            <w:tcW w:w="1417"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w:t>
            </w:r>
          </w:p>
        </w:tc>
        <w:tc>
          <w:tcPr>
            <w:tcW w:w="1701" w:type="dxa"/>
            <w:vAlign w:val="center"/>
          </w:tcPr>
          <w:p w:rsidR="00692213" w:rsidRPr="00C16B45" w:rsidRDefault="00AD4405" w:rsidP="00AE29C3">
            <w:pPr>
              <w:pStyle w:val="TableRight"/>
              <w:jc w:val="center"/>
              <w:cnfStyle w:val="000000100000"/>
              <w:rPr>
                <w:rFonts w:ascii="Arial" w:hAnsi="Arial" w:cs="Arial"/>
                <w:b/>
                <w:color w:val="auto"/>
              </w:rPr>
            </w:pPr>
            <w:r>
              <w:rPr>
                <w:rFonts w:ascii="Arial" w:hAnsi="Arial" w:cs="Arial"/>
                <w:b/>
                <w:color w:val="auto"/>
              </w:rPr>
              <w:t>-</w:t>
            </w:r>
          </w:p>
        </w:tc>
        <w:tc>
          <w:tcPr>
            <w:cnfStyle w:val="000010000000"/>
            <w:tcW w:w="1166"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4.8</w:t>
            </w:r>
          </w:p>
        </w:tc>
      </w:tr>
      <w:tr w:rsidR="00692213" w:rsidRPr="00C16B45" w:rsidTr="00255061">
        <w:trPr>
          <w:trHeight w:val="60"/>
        </w:trPr>
        <w:tc>
          <w:tcPr>
            <w:cnfStyle w:val="000010000000"/>
            <w:tcW w:w="2235" w:type="dxa"/>
            <w:vAlign w:val="center"/>
          </w:tcPr>
          <w:p w:rsidR="00692213" w:rsidRPr="00C16B45" w:rsidRDefault="00692213" w:rsidP="00AE29C3">
            <w:pPr>
              <w:pStyle w:val="TableText"/>
              <w:rPr>
                <w:rFonts w:ascii="Arial" w:hAnsi="Arial" w:cs="Arial"/>
                <w:color w:val="auto"/>
                <w:sz w:val="18"/>
                <w:szCs w:val="18"/>
                <w:lang w:val="en-US"/>
              </w:rPr>
            </w:pPr>
            <w:r w:rsidRPr="00C16B45">
              <w:rPr>
                <w:rFonts w:ascii="Arial" w:hAnsi="Arial" w:cs="Arial"/>
                <w:color w:val="auto"/>
                <w:sz w:val="18"/>
                <w:szCs w:val="18"/>
                <w:lang w:val="en-US"/>
              </w:rPr>
              <w:t>Reductions in fair  value re interest due</w:t>
            </w:r>
          </w:p>
        </w:tc>
        <w:tc>
          <w:tcPr>
            <w:tcW w:w="1559" w:type="dxa"/>
            <w:vAlign w:val="center"/>
          </w:tcPr>
          <w:p w:rsidR="00692213" w:rsidRPr="00C16B45" w:rsidRDefault="00692213" w:rsidP="00692213">
            <w:pPr>
              <w:pStyle w:val="TableRight"/>
              <w:jc w:val="center"/>
              <w:cnfStyle w:val="000000000000"/>
              <w:rPr>
                <w:rFonts w:ascii="Arial" w:hAnsi="Arial" w:cs="Arial"/>
                <w:color w:val="auto"/>
              </w:rPr>
            </w:pPr>
            <w:r w:rsidRPr="00C16B45">
              <w:rPr>
                <w:rFonts w:ascii="Arial" w:hAnsi="Arial" w:cs="Arial"/>
                <w:color w:val="auto"/>
              </w:rPr>
              <w:t>1.3</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w:t>
            </w:r>
          </w:p>
        </w:tc>
        <w:tc>
          <w:tcPr>
            <w:tcW w:w="1984" w:type="dxa"/>
            <w:vAlign w:val="center"/>
          </w:tcPr>
          <w:p w:rsidR="00692213" w:rsidRPr="00C16B45" w:rsidRDefault="00692213" w:rsidP="00692213">
            <w:pPr>
              <w:pStyle w:val="TableRight"/>
              <w:jc w:val="center"/>
              <w:cnfStyle w:val="000000000000"/>
              <w:rPr>
                <w:rFonts w:ascii="Arial" w:hAnsi="Arial" w:cs="Arial"/>
                <w:color w:val="auto"/>
              </w:rPr>
            </w:pPr>
            <w:r w:rsidRPr="00C16B45">
              <w:rPr>
                <w:rFonts w:ascii="Arial" w:hAnsi="Arial" w:cs="Arial"/>
                <w:color w:val="auto"/>
              </w:rPr>
              <w:t>-</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1.3</w:t>
            </w:r>
          </w:p>
        </w:tc>
        <w:tc>
          <w:tcPr>
            <w:tcW w:w="1701" w:type="dxa"/>
            <w:vAlign w:val="center"/>
          </w:tcPr>
          <w:p w:rsidR="00692213" w:rsidRPr="00C16B45" w:rsidRDefault="00AD4405" w:rsidP="00AE29C3">
            <w:pPr>
              <w:pStyle w:val="TableRight"/>
              <w:jc w:val="center"/>
              <w:cnfStyle w:val="000000000000"/>
              <w:rPr>
                <w:rFonts w:ascii="Arial" w:hAnsi="Arial" w:cs="Arial"/>
                <w:b/>
                <w:color w:val="auto"/>
              </w:rPr>
            </w:pPr>
            <w:r>
              <w:rPr>
                <w:rFonts w:ascii="Arial" w:hAnsi="Arial" w:cs="Arial"/>
                <w:b/>
                <w:color w:val="auto"/>
              </w:rPr>
              <w:t>1.3</w:t>
            </w:r>
          </w:p>
        </w:tc>
        <w:tc>
          <w:tcPr>
            <w:cnfStyle w:val="000010000000"/>
            <w:tcW w:w="1417"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w:t>
            </w:r>
          </w:p>
        </w:tc>
        <w:tc>
          <w:tcPr>
            <w:tcW w:w="1701" w:type="dxa"/>
            <w:vAlign w:val="center"/>
          </w:tcPr>
          <w:p w:rsidR="00692213" w:rsidRPr="00C16B45" w:rsidRDefault="00AD4405" w:rsidP="00AE29C3">
            <w:pPr>
              <w:pStyle w:val="TableRight"/>
              <w:jc w:val="center"/>
              <w:cnfStyle w:val="000000000000"/>
              <w:rPr>
                <w:rFonts w:ascii="Arial" w:hAnsi="Arial" w:cs="Arial"/>
                <w:b/>
                <w:color w:val="auto"/>
              </w:rPr>
            </w:pPr>
            <w:r>
              <w:rPr>
                <w:rFonts w:ascii="Arial" w:hAnsi="Arial" w:cs="Arial"/>
                <w:b/>
                <w:color w:val="auto"/>
              </w:rPr>
              <w:t>-</w:t>
            </w:r>
          </w:p>
        </w:tc>
        <w:tc>
          <w:tcPr>
            <w:cnfStyle w:val="000010000000"/>
            <w:tcW w:w="1166"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1.3</w:t>
            </w:r>
          </w:p>
        </w:tc>
      </w:tr>
      <w:tr w:rsidR="00692213" w:rsidRPr="00C16B45" w:rsidTr="00255061">
        <w:trPr>
          <w:cnfStyle w:val="000000100000"/>
          <w:trHeight w:val="60"/>
        </w:trPr>
        <w:tc>
          <w:tcPr>
            <w:cnfStyle w:val="000010000000"/>
            <w:tcW w:w="2235" w:type="dxa"/>
            <w:vAlign w:val="center"/>
          </w:tcPr>
          <w:p w:rsidR="00692213" w:rsidRPr="00C16B45" w:rsidRDefault="00692213" w:rsidP="00AE29C3">
            <w:pPr>
              <w:pStyle w:val="TableTextBold"/>
              <w:rPr>
                <w:rFonts w:ascii="Arial" w:hAnsi="Arial" w:cs="Arial"/>
                <w:color w:val="auto"/>
                <w:sz w:val="18"/>
                <w:szCs w:val="18"/>
              </w:rPr>
            </w:pPr>
            <w:r w:rsidRPr="00C16B45">
              <w:rPr>
                <w:rFonts w:ascii="Arial" w:hAnsi="Arial" w:cs="Arial"/>
                <w:color w:val="auto"/>
                <w:sz w:val="18"/>
                <w:szCs w:val="18"/>
              </w:rPr>
              <w:t>Total expense in Surplus or Deficit on the Provision of Services</w:t>
            </w:r>
          </w:p>
        </w:tc>
        <w:tc>
          <w:tcPr>
            <w:tcW w:w="1559" w:type="dxa"/>
            <w:vAlign w:val="center"/>
          </w:tcPr>
          <w:p w:rsidR="00692213" w:rsidRPr="00C16B45" w:rsidRDefault="00692213" w:rsidP="00692213">
            <w:pPr>
              <w:pStyle w:val="TableRight"/>
              <w:jc w:val="center"/>
              <w:cnfStyle w:val="000000100000"/>
              <w:rPr>
                <w:rFonts w:ascii="Arial" w:hAnsi="Arial" w:cs="Arial"/>
                <w:color w:val="auto"/>
              </w:rPr>
            </w:pPr>
            <w:r w:rsidRPr="00C16B45">
              <w:rPr>
                <w:rFonts w:ascii="Arial" w:hAnsi="Arial" w:cs="Arial"/>
                <w:color w:val="auto"/>
              </w:rPr>
              <w:t>6.1</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w:t>
            </w:r>
          </w:p>
        </w:tc>
        <w:tc>
          <w:tcPr>
            <w:tcW w:w="1984" w:type="dxa"/>
            <w:vAlign w:val="center"/>
          </w:tcPr>
          <w:p w:rsidR="00692213" w:rsidRPr="00C16B45" w:rsidRDefault="00692213" w:rsidP="00692213">
            <w:pPr>
              <w:pStyle w:val="TableRight"/>
              <w:jc w:val="center"/>
              <w:cnfStyle w:val="000000100000"/>
              <w:rPr>
                <w:rFonts w:ascii="Arial" w:hAnsi="Arial" w:cs="Arial"/>
                <w:color w:val="auto"/>
              </w:rPr>
            </w:pPr>
            <w:r w:rsidRPr="00C16B45">
              <w:rPr>
                <w:rFonts w:ascii="Arial" w:hAnsi="Arial" w:cs="Arial"/>
                <w:color w:val="auto"/>
              </w:rPr>
              <w:t>-</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6.1</w:t>
            </w:r>
          </w:p>
        </w:tc>
        <w:tc>
          <w:tcPr>
            <w:tcW w:w="1701" w:type="dxa"/>
            <w:vAlign w:val="center"/>
          </w:tcPr>
          <w:p w:rsidR="00692213" w:rsidRPr="00C16B45" w:rsidRDefault="00AD4405" w:rsidP="00AE29C3">
            <w:pPr>
              <w:pStyle w:val="TableRight"/>
              <w:jc w:val="center"/>
              <w:cnfStyle w:val="000000100000"/>
              <w:rPr>
                <w:rFonts w:ascii="Arial" w:hAnsi="Arial" w:cs="Arial"/>
                <w:b/>
                <w:color w:val="auto"/>
              </w:rPr>
            </w:pPr>
            <w:r>
              <w:rPr>
                <w:rFonts w:ascii="Arial" w:hAnsi="Arial" w:cs="Arial"/>
                <w:b/>
                <w:color w:val="auto"/>
              </w:rPr>
              <w:t>6.1</w:t>
            </w:r>
          </w:p>
        </w:tc>
        <w:tc>
          <w:tcPr>
            <w:cnfStyle w:val="000010000000"/>
            <w:tcW w:w="1417"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w:t>
            </w:r>
          </w:p>
        </w:tc>
        <w:tc>
          <w:tcPr>
            <w:tcW w:w="1701" w:type="dxa"/>
            <w:vAlign w:val="center"/>
          </w:tcPr>
          <w:p w:rsidR="00692213" w:rsidRPr="00C16B45" w:rsidRDefault="00AD4405" w:rsidP="00AE29C3">
            <w:pPr>
              <w:pStyle w:val="TableRight"/>
              <w:jc w:val="center"/>
              <w:cnfStyle w:val="000000100000"/>
              <w:rPr>
                <w:rFonts w:ascii="Arial" w:hAnsi="Arial" w:cs="Arial"/>
                <w:b/>
                <w:color w:val="auto"/>
              </w:rPr>
            </w:pPr>
            <w:r>
              <w:rPr>
                <w:rFonts w:ascii="Arial" w:hAnsi="Arial" w:cs="Arial"/>
                <w:b/>
                <w:color w:val="auto"/>
              </w:rPr>
              <w:t>-</w:t>
            </w:r>
          </w:p>
        </w:tc>
        <w:tc>
          <w:tcPr>
            <w:cnfStyle w:val="000010000000"/>
            <w:tcW w:w="1166"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6.1</w:t>
            </w:r>
          </w:p>
        </w:tc>
      </w:tr>
      <w:tr w:rsidR="00692213" w:rsidRPr="00C16B45" w:rsidTr="00255061">
        <w:trPr>
          <w:trHeight w:val="60"/>
        </w:trPr>
        <w:tc>
          <w:tcPr>
            <w:cnfStyle w:val="000010000000"/>
            <w:tcW w:w="2235" w:type="dxa"/>
            <w:vAlign w:val="center"/>
          </w:tcPr>
          <w:p w:rsidR="00692213" w:rsidRPr="00C16B45" w:rsidRDefault="00692213" w:rsidP="00AE29C3">
            <w:pPr>
              <w:pStyle w:val="TableText"/>
              <w:rPr>
                <w:rFonts w:ascii="Arial" w:hAnsi="Arial" w:cs="Arial"/>
                <w:color w:val="auto"/>
                <w:sz w:val="18"/>
                <w:szCs w:val="18"/>
              </w:rPr>
            </w:pPr>
            <w:r w:rsidRPr="00C16B45">
              <w:rPr>
                <w:rFonts w:ascii="Arial" w:hAnsi="Arial" w:cs="Arial"/>
                <w:color w:val="auto"/>
                <w:sz w:val="18"/>
                <w:szCs w:val="18"/>
                <w:lang w:val="en-US"/>
              </w:rPr>
              <w:t>Interest income</w:t>
            </w:r>
          </w:p>
        </w:tc>
        <w:tc>
          <w:tcPr>
            <w:tcW w:w="1559" w:type="dxa"/>
            <w:vAlign w:val="center"/>
          </w:tcPr>
          <w:p w:rsidR="00692213" w:rsidRPr="00C16B45" w:rsidRDefault="00692213" w:rsidP="00692213">
            <w:pPr>
              <w:pStyle w:val="TableRight"/>
              <w:jc w:val="center"/>
              <w:cnfStyle w:val="000000000000"/>
              <w:rPr>
                <w:rFonts w:ascii="Arial" w:hAnsi="Arial" w:cs="Arial"/>
                <w:color w:val="auto"/>
              </w:rPr>
            </w:pPr>
            <w:r w:rsidRPr="00C16B45">
              <w:rPr>
                <w:rFonts w:ascii="Arial" w:hAnsi="Arial" w:cs="Arial"/>
                <w:color w:val="auto"/>
              </w:rPr>
              <w:t>-</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(0.3)</w:t>
            </w:r>
          </w:p>
        </w:tc>
        <w:tc>
          <w:tcPr>
            <w:tcW w:w="1984" w:type="dxa"/>
            <w:vAlign w:val="center"/>
          </w:tcPr>
          <w:p w:rsidR="00692213" w:rsidRPr="00C16B45" w:rsidRDefault="00692213" w:rsidP="00692213">
            <w:pPr>
              <w:pStyle w:val="TableRight"/>
              <w:jc w:val="center"/>
              <w:cnfStyle w:val="000000000000"/>
              <w:rPr>
                <w:rFonts w:ascii="Arial" w:hAnsi="Arial" w:cs="Arial"/>
                <w:color w:val="auto"/>
              </w:rPr>
            </w:pPr>
            <w:r w:rsidRPr="00C16B45">
              <w:rPr>
                <w:rFonts w:ascii="Arial" w:hAnsi="Arial" w:cs="Arial"/>
                <w:color w:val="auto"/>
              </w:rPr>
              <w:t>-</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(0.3)</w:t>
            </w:r>
          </w:p>
        </w:tc>
        <w:tc>
          <w:tcPr>
            <w:tcW w:w="1701" w:type="dxa"/>
            <w:vAlign w:val="center"/>
          </w:tcPr>
          <w:p w:rsidR="00692213" w:rsidRPr="00C16B45" w:rsidRDefault="00AD4405" w:rsidP="00AE29C3">
            <w:pPr>
              <w:pStyle w:val="TableRight"/>
              <w:jc w:val="center"/>
              <w:cnfStyle w:val="000000000000"/>
              <w:rPr>
                <w:rFonts w:ascii="Arial" w:hAnsi="Arial" w:cs="Arial"/>
                <w:b/>
                <w:color w:val="auto"/>
              </w:rPr>
            </w:pPr>
            <w:r>
              <w:rPr>
                <w:rFonts w:ascii="Arial" w:hAnsi="Arial" w:cs="Arial"/>
                <w:b/>
                <w:color w:val="auto"/>
              </w:rPr>
              <w:t>-</w:t>
            </w:r>
          </w:p>
        </w:tc>
        <w:tc>
          <w:tcPr>
            <w:cnfStyle w:val="000010000000"/>
            <w:tcW w:w="1417" w:type="dxa"/>
            <w:vAlign w:val="center"/>
          </w:tcPr>
          <w:p w:rsidR="00692213" w:rsidRPr="00C16B45" w:rsidRDefault="00AD4405" w:rsidP="00AD4405">
            <w:pPr>
              <w:pStyle w:val="TableRight"/>
              <w:jc w:val="center"/>
              <w:rPr>
                <w:rFonts w:ascii="Arial" w:hAnsi="Arial" w:cs="Arial"/>
                <w:b/>
                <w:color w:val="auto"/>
              </w:rPr>
            </w:pPr>
            <w:r>
              <w:rPr>
                <w:rFonts w:ascii="Arial" w:hAnsi="Arial" w:cs="Arial"/>
                <w:b/>
                <w:color w:val="auto"/>
              </w:rPr>
              <w:t>(0.3)</w:t>
            </w:r>
          </w:p>
        </w:tc>
        <w:tc>
          <w:tcPr>
            <w:tcW w:w="1701" w:type="dxa"/>
            <w:vAlign w:val="center"/>
          </w:tcPr>
          <w:p w:rsidR="00692213" w:rsidRPr="00C16B45" w:rsidRDefault="00AD4405" w:rsidP="00AD4405">
            <w:pPr>
              <w:pStyle w:val="TableRight"/>
              <w:jc w:val="center"/>
              <w:cnfStyle w:val="000000000000"/>
              <w:rPr>
                <w:rFonts w:ascii="Arial" w:hAnsi="Arial" w:cs="Arial"/>
                <w:b/>
                <w:color w:val="auto"/>
              </w:rPr>
            </w:pPr>
            <w:r>
              <w:rPr>
                <w:rFonts w:ascii="Arial" w:hAnsi="Arial" w:cs="Arial"/>
                <w:b/>
                <w:color w:val="auto"/>
              </w:rPr>
              <w:t>0</w:t>
            </w:r>
          </w:p>
        </w:tc>
        <w:tc>
          <w:tcPr>
            <w:cnfStyle w:val="000010000000"/>
            <w:tcW w:w="1166"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(0.3)</w:t>
            </w:r>
          </w:p>
        </w:tc>
      </w:tr>
      <w:tr w:rsidR="00692213" w:rsidRPr="00C16B45" w:rsidTr="00255061">
        <w:trPr>
          <w:cnfStyle w:val="000000100000"/>
          <w:trHeight w:val="60"/>
        </w:trPr>
        <w:tc>
          <w:tcPr>
            <w:cnfStyle w:val="000010000000"/>
            <w:tcW w:w="2235" w:type="dxa"/>
            <w:vAlign w:val="center"/>
          </w:tcPr>
          <w:p w:rsidR="00692213" w:rsidRPr="00C16B45" w:rsidRDefault="00692213" w:rsidP="00AE29C3">
            <w:pPr>
              <w:pStyle w:val="TableText"/>
              <w:rPr>
                <w:rFonts w:ascii="Arial" w:hAnsi="Arial" w:cs="Arial"/>
                <w:color w:val="auto"/>
                <w:sz w:val="18"/>
                <w:szCs w:val="18"/>
                <w:lang w:val="en-US"/>
              </w:rPr>
            </w:pPr>
            <w:r w:rsidRPr="00C16B45">
              <w:rPr>
                <w:rFonts w:ascii="Arial" w:hAnsi="Arial" w:cs="Arial"/>
                <w:color w:val="auto"/>
                <w:sz w:val="18"/>
                <w:szCs w:val="18"/>
                <w:lang w:val="en-US"/>
              </w:rPr>
              <w:t>Increases in fair  value</w:t>
            </w:r>
          </w:p>
        </w:tc>
        <w:tc>
          <w:tcPr>
            <w:tcW w:w="1559" w:type="dxa"/>
            <w:vAlign w:val="center"/>
          </w:tcPr>
          <w:p w:rsidR="00692213" w:rsidRPr="00C16B45" w:rsidRDefault="00692213" w:rsidP="00692213">
            <w:pPr>
              <w:pStyle w:val="TableRight"/>
              <w:jc w:val="center"/>
              <w:cnfStyle w:val="000000100000"/>
              <w:rPr>
                <w:rFonts w:ascii="Arial" w:hAnsi="Arial" w:cs="Arial"/>
                <w:color w:val="auto"/>
              </w:rPr>
            </w:pPr>
            <w:r w:rsidRPr="00C16B45">
              <w:rPr>
                <w:rFonts w:ascii="Arial" w:hAnsi="Arial" w:cs="Arial"/>
                <w:color w:val="auto"/>
              </w:rPr>
              <w:t>-</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(0.2)</w:t>
            </w:r>
          </w:p>
        </w:tc>
        <w:tc>
          <w:tcPr>
            <w:tcW w:w="1984" w:type="dxa"/>
            <w:vAlign w:val="center"/>
          </w:tcPr>
          <w:p w:rsidR="00692213" w:rsidRPr="00C16B45" w:rsidRDefault="00692213" w:rsidP="00692213">
            <w:pPr>
              <w:pStyle w:val="TableRight"/>
              <w:jc w:val="center"/>
              <w:cnfStyle w:val="000000100000"/>
              <w:rPr>
                <w:rFonts w:ascii="Arial" w:hAnsi="Arial" w:cs="Arial"/>
                <w:color w:val="auto"/>
              </w:rPr>
            </w:pPr>
            <w:r w:rsidRPr="00C16B45">
              <w:rPr>
                <w:rFonts w:ascii="Arial" w:hAnsi="Arial" w:cs="Arial"/>
                <w:color w:val="auto"/>
              </w:rPr>
              <w:t>(0.3)</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(0.5)</w:t>
            </w:r>
          </w:p>
        </w:tc>
        <w:tc>
          <w:tcPr>
            <w:tcW w:w="1701" w:type="dxa"/>
            <w:vAlign w:val="center"/>
          </w:tcPr>
          <w:p w:rsidR="00692213" w:rsidRPr="00C16B45" w:rsidRDefault="00AD4405" w:rsidP="00AE29C3">
            <w:pPr>
              <w:pStyle w:val="TableRight"/>
              <w:jc w:val="center"/>
              <w:cnfStyle w:val="000000100000"/>
              <w:rPr>
                <w:rFonts w:ascii="Arial" w:hAnsi="Arial" w:cs="Arial"/>
                <w:b/>
                <w:color w:val="auto"/>
              </w:rPr>
            </w:pPr>
            <w:r>
              <w:rPr>
                <w:rFonts w:ascii="Arial" w:hAnsi="Arial" w:cs="Arial"/>
                <w:b/>
                <w:color w:val="auto"/>
              </w:rPr>
              <w:t>-</w:t>
            </w:r>
          </w:p>
        </w:tc>
        <w:tc>
          <w:tcPr>
            <w:cnfStyle w:val="000010000000"/>
            <w:tcW w:w="1417"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(0.2)</w:t>
            </w:r>
          </w:p>
        </w:tc>
        <w:tc>
          <w:tcPr>
            <w:tcW w:w="1701" w:type="dxa"/>
            <w:vAlign w:val="center"/>
          </w:tcPr>
          <w:p w:rsidR="00692213" w:rsidRPr="00C16B45" w:rsidRDefault="00AD4405" w:rsidP="00AE29C3">
            <w:pPr>
              <w:pStyle w:val="TableRight"/>
              <w:jc w:val="center"/>
              <w:cnfStyle w:val="000000100000"/>
              <w:rPr>
                <w:rFonts w:ascii="Arial" w:hAnsi="Arial" w:cs="Arial"/>
                <w:b/>
                <w:color w:val="auto"/>
              </w:rPr>
            </w:pPr>
            <w:r>
              <w:rPr>
                <w:rFonts w:ascii="Arial" w:hAnsi="Arial" w:cs="Arial"/>
                <w:b/>
                <w:color w:val="auto"/>
              </w:rPr>
              <w:t>(0.2)</w:t>
            </w:r>
          </w:p>
        </w:tc>
        <w:tc>
          <w:tcPr>
            <w:cnfStyle w:val="000010000000"/>
            <w:tcW w:w="1166" w:type="dxa"/>
            <w:vAlign w:val="center"/>
          </w:tcPr>
          <w:p w:rsidR="00692213" w:rsidRPr="00C16B45" w:rsidRDefault="00AD4405" w:rsidP="0016221E">
            <w:pPr>
              <w:pStyle w:val="TableRight"/>
              <w:jc w:val="center"/>
              <w:rPr>
                <w:rFonts w:ascii="Arial" w:hAnsi="Arial" w:cs="Arial"/>
                <w:b/>
                <w:color w:val="auto"/>
              </w:rPr>
            </w:pPr>
            <w:r>
              <w:rPr>
                <w:rFonts w:ascii="Arial" w:hAnsi="Arial" w:cs="Arial"/>
                <w:b/>
                <w:color w:val="auto"/>
              </w:rPr>
              <w:t>(0.</w:t>
            </w:r>
            <w:r w:rsidR="0016221E">
              <w:rPr>
                <w:rFonts w:ascii="Arial" w:hAnsi="Arial" w:cs="Arial"/>
                <w:b/>
                <w:color w:val="auto"/>
              </w:rPr>
              <w:t>4</w:t>
            </w:r>
            <w:r>
              <w:rPr>
                <w:rFonts w:ascii="Arial" w:hAnsi="Arial" w:cs="Arial"/>
                <w:b/>
                <w:color w:val="auto"/>
              </w:rPr>
              <w:t>)</w:t>
            </w:r>
          </w:p>
        </w:tc>
      </w:tr>
      <w:tr w:rsidR="00692213" w:rsidRPr="00C16B45" w:rsidTr="00255061">
        <w:trPr>
          <w:trHeight w:val="60"/>
        </w:trPr>
        <w:tc>
          <w:tcPr>
            <w:cnfStyle w:val="000010000000"/>
            <w:tcW w:w="2235" w:type="dxa"/>
            <w:vAlign w:val="center"/>
          </w:tcPr>
          <w:p w:rsidR="00692213" w:rsidRPr="00C16B45" w:rsidRDefault="00692213" w:rsidP="00AE29C3">
            <w:pPr>
              <w:pStyle w:val="TableTextBold"/>
              <w:rPr>
                <w:rFonts w:ascii="Arial" w:hAnsi="Arial" w:cs="Arial"/>
                <w:color w:val="auto"/>
                <w:sz w:val="18"/>
                <w:szCs w:val="18"/>
              </w:rPr>
            </w:pPr>
            <w:r w:rsidRPr="00C16B45">
              <w:rPr>
                <w:rFonts w:ascii="Arial" w:hAnsi="Arial" w:cs="Arial"/>
                <w:color w:val="auto"/>
                <w:sz w:val="18"/>
                <w:szCs w:val="18"/>
              </w:rPr>
              <w:t>Total income in Surplus or Deficit on the Provision of Services</w:t>
            </w:r>
          </w:p>
        </w:tc>
        <w:tc>
          <w:tcPr>
            <w:tcW w:w="1559" w:type="dxa"/>
            <w:vAlign w:val="center"/>
          </w:tcPr>
          <w:p w:rsidR="00692213" w:rsidRPr="00C16B45" w:rsidRDefault="00692213" w:rsidP="00692213">
            <w:pPr>
              <w:pStyle w:val="TableRight"/>
              <w:jc w:val="center"/>
              <w:cnfStyle w:val="000000000000"/>
              <w:rPr>
                <w:rFonts w:ascii="Arial" w:hAnsi="Arial" w:cs="Arial"/>
                <w:color w:val="auto"/>
              </w:rPr>
            </w:pPr>
            <w:r w:rsidRPr="00C16B45">
              <w:rPr>
                <w:rFonts w:ascii="Arial" w:hAnsi="Arial" w:cs="Arial"/>
                <w:color w:val="auto"/>
              </w:rPr>
              <w:t>-</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(0.5)</w:t>
            </w:r>
          </w:p>
        </w:tc>
        <w:tc>
          <w:tcPr>
            <w:tcW w:w="1984" w:type="dxa"/>
            <w:vAlign w:val="center"/>
          </w:tcPr>
          <w:p w:rsidR="00692213" w:rsidRPr="00C16B45" w:rsidRDefault="00692213" w:rsidP="00692213">
            <w:pPr>
              <w:pStyle w:val="TableRight"/>
              <w:jc w:val="center"/>
              <w:cnfStyle w:val="000000000000"/>
              <w:rPr>
                <w:rFonts w:ascii="Arial" w:hAnsi="Arial" w:cs="Arial"/>
                <w:color w:val="auto"/>
              </w:rPr>
            </w:pPr>
            <w:r w:rsidRPr="00C16B45">
              <w:rPr>
                <w:rFonts w:ascii="Arial" w:hAnsi="Arial" w:cs="Arial"/>
                <w:color w:val="auto"/>
              </w:rPr>
              <w:t>(0.3)</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(0.8)</w:t>
            </w:r>
          </w:p>
        </w:tc>
        <w:tc>
          <w:tcPr>
            <w:tcW w:w="1701" w:type="dxa"/>
            <w:vAlign w:val="center"/>
          </w:tcPr>
          <w:p w:rsidR="00692213" w:rsidRPr="00C16B45" w:rsidRDefault="00AD4405" w:rsidP="00AE29C3">
            <w:pPr>
              <w:pStyle w:val="TableRight"/>
              <w:jc w:val="center"/>
              <w:cnfStyle w:val="000000000000"/>
              <w:rPr>
                <w:rFonts w:ascii="Arial" w:hAnsi="Arial" w:cs="Arial"/>
                <w:b/>
                <w:color w:val="auto"/>
              </w:rPr>
            </w:pPr>
            <w:r>
              <w:rPr>
                <w:rFonts w:ascii="Arial" w:hAnsi="Arial" w:cs="Arial"/>
                <w:b/>
                <w:color w:val="auto"/>
              </w:rPr>
              <w:t>-</w:t>
            </w:r>
          </w:p>
        </w:tc>
        <w:tc>
          <w:tcPr>
            <w:cnfStyle w:val="000010000000"/>
            <w:tcW w:w="1417"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(0.5)</w:t>
            </w:r>
          </w:p>
        </w:tc>
        <w:tc>
          <w:tcPr>
            <w:tcW w:w="1701" w:type="dxa"/>
            <w:vAlign w:val="center"/>
          </w:tcPr>
          <w:p w:rsidR="00692213" w:rsidRPr="00C16B45" w:rsidRDefault="00AD4405" w:rsidP="00AE29C3">
            <w:pPr>
              <w:pStyle w:val="TableRight"/>
              <w:jc w:val="center"/>
              <w:cnfStyle w:val="000000000000"/>
              <w:rPr>
                <w:rFonts w:ascii="Arial" w:hAnsi="Arial" w:cs="Arial"/>
                <w:b/>
                <w:color w:val="auto"/>
              </w:rPr>
            </w:pPr>
            <w:r>
              <w:rPr>
                <w:rFonts w:ascii="Arial" w:hAnsi="Arial" w:cs="Arial"/>
                <w:b/>
                <w:color w:val="auto"/>
              </w:rPr>
              <w:t>(0.2)</w:t>
            </w:r>
          </w:p>
        </w:tc>
        <w:tc>
          <w:tcPr>
            <w:cnfStyle w:val="000010000000"/>
            <w:tcW w:w="1166" w:type="dxa"/>
            <w:vAlign w:val="center"/>
          </w:tcPr>
          <w:p w:rsidR="00692213" w:rsidRPr="00C16B45" w:rsidRDefault="00AD4405" w:rsidP="008718ED">
            <w:pPr>
              <w:pStyle w:val="TableRight"/>
              <w:jc w:val="center"/>
              <w:rPr>
                <w:rFonts w:ascii="Arial" w:hAnsi="Arial" w:cs="Arial"/>
                <w:b/>
                <w:color w:val="auto"/>
              </w:rPr>
            </w:pPr>
            <w:r>
              <w:rPr>
                <w:rFonts w:ascii="Arial" w:hAnsi="Arial" w:cs="Arial"/>
                <w:b/>
                <w:color w:val="auto"/>
              </w:rPr>
              <w:t>(0.7)</w:t>
            </w:r>
          </w:p>
        </w:tc>
      </w:tr>
      <w:tr w:rsidR="00692213" w:rsidRPr="00C16B45" w:rsidTr="00255061">
        <w:trPr>
          <w:cnfStyle w:val="000000100000"/>
          <w:trHeight w:val="60"/>
        </w:trPr>
        <w:tc>
          <w:tcPr>
            <w:cnfStyle w:val="000010000000"/>
            <w:tcW w:w="2235" w:type="dxa"/>
            <w:vAlign w:val="center"/>
          </w:tcPr>
          <w:p w:rsidR="00692213" w:rsidRPr="00C16B45" w:rsidRDefault="00692213" w:rsidP="00AE29C3">
            <w:pPr>
              <w:pStyle w:val="TableTextBold"/>
              <w:rPr>
                <w:rFonts w:ascii="Arial" w:hAnsi="Arial" w:cs="Arial"/>
                <w:color w:val="auto"/>
                <w:sz w:val="18"/>
                <w:szCs w:val="18"/>
              </w:rPr>
            </w:pPr>
            <w:r w:rsidRPr="00C16B45">
              <w:rPr>
                <w:rFonts w:ascii="Arial" w:hAnsi="Arial" w:cs="Arial"/>
                <w:color w:val="auto"/>
                <w:sz w:val="18"/>
                <w:szCs w:val="18"/>
              </w:rPr>
              <w:t>Net gain/(loss) for the year</w:t>
            </w:r>
          </w:p>
        </w:tc>
        <w:tc>
          <w:tcPr>
            <w:tcW w:w="1559" w:type="dxa"/>
            <w:vAlign w:val="center"/>
          </w:tcPr>
          <w:p w:rsidR="00692213" w:rsidRPr="00C16B45" w:rsidRDefault="00692213" w:rsidP="00692213">
            <w:pPr>
              <w:pStyle w:val="TableRight"/>
              <w:jc w:val="center"/>
              <w:cnfStyle w:val="000000100000"/>
              <w:rPr>
                <w:rFonts w:ascii="Arial" w:hAnsi="Arial" w:cs="Arial"/>
                <w:color w:val="auto"/>
              </w:rPr>
            </w:pPr>
            <w:r w:rsidRPr="00C16B45">
              <w:rPr>
                <w:rFonts w:ascii="Arial" w:hAnsi="Arial" w:cs="Arial"/>
                <w:color w:val="auto"/>
              </w:rPr>
              <w:t>6.1</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(0.5)</w:t>
            </w:r>
          </w:p>
        </w:tc>
        <w:tc>
          <w:tcPr>
            <w:tcW w:w="1984" w:type="dxa"/>
            <w:vAlign w:val="center"/>
          </w:tcPr>
          <w:p w:rsidR="00692213" w:rsidRPr="00C16B45" w:rsidRDefault="00692213" w:rsidP="00692213">
            <w:pPr>
              <w:pStyle w:val="TableRight"/>
              <w:jc w:val="center"/>
              <w:cnfStyle w:val="000000100000"/>
              <w:rPr>
                <w:rFonts w:ascii="Arial" w:hAnsi="Arial" w:cs="Arial"/>
                <w:color w:val="auto"/>
              </w:rPr>
            </w:pPr>
            <w:r w:rsidRPr="00C16B45">
              <w:rPr>
                <w:rFonts w:ascii="Arial" w:hAnsi="Arial" w:cs="Arial"/>
                <w:color w:val="auto"/>
              </w:rPr>
              <w:t>(0.3)</w:t>
            </w:r>
          </w:p>
        </w:tc>
        <w:tc>
          <w:tcPr>
            <w:cnfStyle w:val="000010000000"/>
            <w:tcW w:w="1276" w:type="dxa"/>
            <w:vAlign w:val="center"/>
          </w:tcPr>
          <w:p w:rsidR="00692213" w:rsidRPr="00C16B45" w:rsidRDefault="00692213" w:rsidP="00692213">
            <w:pPr>
              <w:pStyle w:val="TableRight"/>
              <w:jc w:val="center"/>
              <w:rPr>
                <w:rFonts w:ascii="Arial" w:hAnsi="Arial" w:cs="Arial"/>
                <w:color w:val="auto"/>
              </w:rPr>
            </w:pPr>
            <w:r w:rsidRPr="00C16B45">
              <w:rPr>
                <w:rFonts w:ascii="Arial" w:hAnsi="Arial" w:cs="Arial"/>
                <w:color w:val="auto"/>
              </w:rPr>
              <w:t>5.3</w:t>
            </w:r>
          </w:p>
        </w:tc>
        <w:tc>
          <w:tcPr>
            <w:tcW w:w="1701" w:type="dxa"/>
            <w:vAlign w:val="center"/>
          </w:tcPr>
          <w:p w:rsidR="00692213" w:rsidRPr="00C16B45" w:rsidRDefault="00AD4405" w:rsidP="00AE29C3">
            <w:pPr>
              <w:pStyle w:val="TableRight"/>
              <w:jc w:val="center"/>
              <w:cnfStyle w:val="000000100000"/>
              <w:rPr>
                <w:rFonts w:ascii="Arial" w:hAnsi="Arial" w:cs="Arial"/>
                <w:b/>
                <w:color w:val="auto"/>
              </w:rPr>
            </w:pPr>
            <w:r>
              <w:rPr>
                <w:rFonts w:ascii="Arial" w:hAnsi="Arial" w:cs="Arial"/>
                <w:b/>
                <w:color w:val="auto"/>
              </w:rPr>
              <w:t>6.1</w:t>
            </w:r>
          </w:p>
        </w:tc>
        <w:tc>
          <w:tcPr>
            <w:cnfStyle w:val="000010000000"/>
            <w:tcW w:w="1417"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(0.5)</w:t>
            </w:r>
          </w:p>
        </w:tc>
        <w:tc>
          <w:tcPr>
            <w:tcW w:w="1701" w:type="dxa"/>
            <w:vAlign w:val="center"/>
          </w:tcPr>
          <w:p w:rsidR="00692213" w:rsidRPr="00C16B45" w:rsidRDefault="00AD4405" w:rsidP="00AE29C3">
            <w:pPr>
              <w:pStyle w:val="TableRight"/>
              <w:jc w:val="center"/>
              <w:cnfStyle w:val="000000100000"/>
              <w:rPr>
                <w:rFonts w:ascii="Arial" w:hAnsi="Arial" w:cs="Arial"/>
                <w:b/>
                <w:color w:val="auto"/>
              </w:rPr>
            </w:pPr>
            <w:r>
              <w:rPr>
                <w:rFonts w:ascii="Arial" w:hAnsi="Arial" w:cs="Arial"/>
                <w:b/>
                <w:color w:val="auto"/>
              </w:rPr>
              <w:t>(0.2)</w:t>
            </w:r>
          </w:p>
        </w:tc>
        <w:tc>
          <w:tcPr>
            <w:cnfStyle w:val="000010000000"/>
            <w:tcW w:w="1166" w:type="dxa"/>
            <w:vAlign w:val="center"/>
          </w:tcPr>
          <w:p w:rsidR="00692213" w:rsidRPr="00C16B45" w:rsidRDefault="00AD4405" w:rsidP="00AE29C3">
            <w:pPr>
              <w:pStyle w:val="TableRight"/>
              <w:jc w:val="center"/>
              <w:rPr>
                <w:rFonts w:ascii="Arial" w:hAnsi="Arial" w:cs="Arial"/>
                <w:b/>
                <w:color w:val="auto"/>
              </w:rPr>
            </w:pPr>
            <w:r>
              <w:rPr>
                <w:rFonts w:ascii="Arial" w:hAnsi="Arial" w:cs="Arial"/>
                <w:b/>
                <w:color w:val="auto"/>
              </w:rPr>
              <w:t>5.4</w:t>
            </w:r>
          </w:p>
        </w:tc>
      </w:tr>
    </w:tbl>
    <w:p w:rsidR="00E51139" w:rsidRPr="00D42E0B" w:rsidRDefault="00E51139" w:rsidP="003C5E34">
      <w:pPr>
        <w:pStyle w:val="CodeNotesExampleText"/>
        <w:widowControl w:val="0"/>
        <w:ind w:left="567"/>
        <w:outlineLvl w:val="0"/>
        <w:rPr>
          <w:rFonts w:cs="Arial"/>
          <w:color w:val="548DD4" w:themeColor="text2" w:themeTint="99"/>
          <w:sz w:val="20"/>
          <w:szCs w:val="20"/>
          <w:u w:val="single"/>
        </w:rPr>
      </w:pPr>
    </w:p>
    <w:p w:rsidR="00F73A30" w:rsidRPr="00D42E0B" w:rsidRDefault="00F73A30" w:rsidP="003C5E34">
      <w:pPr>
        <w:pStyle w:val="CodeNotesExampleText"/>
        <w:widowControl w:val="0"/>
        <w:ind w:left="567"/>
        <w:outlineLvl w:val="0"/>
        <w:rPr>
          <w:rFonts w:cs="Arial"/>
          <w:color w:val="548DD4" w:themeColor="text2" w:themeTint="99"/>
          <w:sz w:val="20"/>
          <w:szCs w:val="20"/>
          <w:u w:val="single"/>
        </w:rPr>
      </w:pPr>
    </w:p>
    <w:p w:rsidR="00F73A30" w:rsidRPr="00D42E0B" w:rsidRDefault="00F73A30" w:rsidP="003C5E34">
      <w:pPr>
        <w:pStyle w:val="CodeNotesExampleText"/>
        <w:widowControl w:val="0"/>
        <w:ind w:left="567"/>
        <w:outlineLvl w:val="0"/>
        <w:rPr>
          <w:rFonts w:cs="Arial"/>
          <w:color w:val="548DD4" w:themeColor="text2" w:themeTint="99"/>
          <w:sz w:val="20"/>
          <w:szCs w:val="20"/>
          <w:u w:val="single"/>
        </w:rPr>
        <w:sectPr w:rsidR="00F73A30" w:rsidRPr="00D42E0B" w:rsidSect="001A3F09">
          <w:pgSz w:w="16838" w:h="11906" w:orient="landscape" w:code="9"/>
          <w:pgMar w:top="1440" w:right="1440" w:bottom="1440" w:left="1440" w:header="544" w:footer="544" w:gutter="0"/>
          <w:cols w:space="708"/>
          <w:titlePg/>
          <w:docGrid w:linePitch="360"/>
        </w:sectPr>
      </w:pPr>
    </w:p>
    <w:p w:rsidR="00E51139" w:rsidRPr="00E166DB" w:rsidRDefault="00E51139" w:rsidP="00F73A30">
      <w:pPr>
        <w:pStyle w:val="CodeNotesExampleText"/>
        <w:widowControl w:val="0"/>
        <w:ind w:firstLine="567"/>
        <w:outlineLvl w:val="0"/>
        <w:rPr>
          <w:rFonts w:cs="Arial"/>
          <w:b/>
          <w:color w:val="auto"/>
          <w:sz w:val="20"/>
          <w:szCs w:val="20"/>
        </w:rPr>
      </w:pPr>
      <w:r w:rsidRPr="00E166DB">
        <w:rPr>
          <w:rFonts w:cs="Arial"/>
          <w:b/>
          <w:color w:val="auto"/>
          <w:sz w:val="20"/>
          <w:szCs w:val="20"/>
        </w:rPr>
        <w:lastRenderedPageBreak/>
        <w:t>Fair Values of Assets and Liabilities</w:t>
      </w:r>
    </w:p>
    <w:p w:rsidR="00E51139" w:rsidRPr="00E166DB" w:rsidRDefault="00E51139" w:rsidP="003C5E34">
      <w:pPr>
        <w:pStyle w:val="CodeNotesExampleText"/>
        <w:widowControl w:val="0"/>
        <w:ind w:left="567"/>
        <w:outlineLvl w:val="0"/>
        <w:rPr>
          <w:rFonts w:cs="Arial"/>
          <w:i/>
          <w:color w:val="auto"/>
          <w:sz w:val="20"/>
          <w:szCs w:val="20"/>
        </w:rPr>
      </w:pPr>
    </w:p>
    <w:p w:rsidR="00E51139" w:rsidRPr="00E166DB" w:rsidRDefault="00E51139" w:rsidP="00F73A30">
      <w:pPr>
        <w:widowControl w:val="0"/>
        <w:ind w:left="567"/>
        <w:rPr>
          <w:rFonts w:cs="Arial"/>
          <w:color w:val="auto"/>
          <w:sz w:val="20"/>
          <w:szCs w:val="20"/>
        </w:rPr>
      </w:pPr>
      <w:r w:rsidRPr="00E166DB">
        <w:rPr>
          <w:rFonts w:cs="Arial"/>
          <w:color w:val="auto"/>
          <w:sz w:val="20"/>
          <w:szCs w:val="20"/>
        </w:rPr>
        <w:t xml:space="preserve">Financial liabilities, financial assets represented by loans and receivables and long-term debtors and creditors are carried in the </w:t>
      </w:r>
      <w:r w:rsidR="00F73A30" w:rsidRPr="00E166DB">
        <w:rPr>
          <w:rFonts w:cs="Arial"/>
          <w:color w:val="auto"/>
          <w:sz w:val="20"/>
          <w:szCs w:val="20"/>
        </w:rPr>
        <w:t>b</w:t>
      </w:r>
      <w:r w:rsidRPr="00E166DB">
        <w:rPr>
          <w:rFonts w:cs="Arial"/>
          <w:color w:val="auto"/>
          <w:sz w:val="20"/>
          <w:szCs w:val="20"/>
        </w:rPr>
        <w:t xml:space="preserve">alance </w:t>
      </w:r>
      <w:r w:rsidR="00F73A30" w:rsidRPr="00E166DB">
        <w:rPr>
          <w:rFonts w:cs="Arial"/>
          <w:color w:val="auto"/>
          <w:sz w:val="20"/>
          <w:szCs w:val="20"/>
        </w:rPr>
        <w:t>s</w:t>
      </w:r>
      <w:r w:rsidRPr="00E166DB">
        <w:rPr>
          <w:rFonts w:cs="Arial"/>
          <w:color w:val="auto"/>
          <w:sz w:val="20"/>
          <w:szCs w:val="20"/>
        </w:rPr>
        <w:t>heet at amortised cost.  Their fair value can be</w:t>
      </w:r>
      <w:r w:rsidRPr="00E166DB">
        <w:rPr>
          <w:rFonts w:cs="Arial"/>
          <w:b/>
          <w:i/>
          <w:color w:val="auto"/>
          <w:sz w:val="20"/>
          <w:szCs w:val="20"/>
        </w:rPr>
        <w:t xml:space="preserve"> </w:t>
      </w:r>
      <w:r w:rsidRPr="00E166DB">
        <w:rPr>
          <w:rFonts w:cs="Arial"/>
          <w:color w:val="auto"/>
          <w:sz w:val="20"/>
          <w:szCs w:val="20"/>
        </w:rPr>
        <w:t>assessed by calculating the present value of the cash flows that will take place over the rem</w:t>
      </w:r>
      <w:r w:rsidR="003B0D2B" w:rsidRPr="00E166DB">
        <w:rPr>
          <w:rFonts w:cs="Arial"/>
          <w:color w:val="auto"/>
          <w:sz w:val="20"/>
          <w:szCs w:val="20"/>
        </w:rPr>
        <w:t>aining term of the instruments.</w:t>
      </w:r>
    </w:p>
    <w:p w:rsidR="00E51139" w:rsidRPr="00D04B38" w:rsidRDefault="007E33E1" w:rsidP="00F73A30">
      <w:pPr>
        <w:pStyle w:val="BodyTextIndent"/>
        <w:tabs>
          <w:tab w:val="left" w:pos="525"/>
        </w:tabs>
        <w:ind w:left="567"/>
        <w:rPr>
          <w:color w:val="auto"/>
          <w:sz w:val="20"/>
          <w:szCs w:val="20"/>
        </w:rPr>
      </w:pPr>
      <w:r w:rsidRPr="00D04B38">
        <w:rPr>
          <w:color w:val="auto"/>
          <w:sz w:val="20"/>
          <w:szCs w:val="20"/>
        </w:rPr>
        <w:t xml:space="preserve">For PWLB debt the fair value has been assessed by using PWLB discount rates </w:t>
      </w:r>
      <w:r>
        <w:rPr>
          <w:color w:val="auto"/>
          <w:sz w:val="20"/>
          <w:szCs w:val="20"/>
        </w:rPr>
        <w:t>(certainty rate) for</w:t>
      </w:r>
      <w:r w:rsidRPr="00D04B38">
        <w:rPr>
          <w:color w:val="auto"/>
          <w:sz w:val="20"/>
          <w:szCs w:val="20"/>
        </w:rPr>
        <w:t xml:space="preserve"> new loans as at 31</w:t>
      </w:r>
      <w:r w:rsidRPr="00D04B38">
        <w:rPr>
          <w:color w:val="auto"/>
          <w:sz w:val="20"/>
          <w:szCs w:val="20"/>
          <w:vertAlign w:val="superscript"/>
        </w:rPr>
        <w:t>st</w:t>
      </w:r>
      <w:r w:rsidRPr="00D04B38">
        <w:rPr>
          <w:color w:val="auto"/>
          <w:sz w:val="20"/>
          <w:szCs w:val="20"/>
        </w:rPr>
        <w:t xml:space="preserve"> March 2016, and then matched, as appropriate, to the duration on an existing maturity. </w:t>
      </w:r>
      <w:r w:rsidR="00E51139" w:rsidRPr="00D04B38">
        <w:rPr>
          <w:color w:val="auto"/>
          <w:sz w:val="20"/>
          <w:szCs w:val="20"/>
        </w:rPr>
        <w:t>No early repaymen</w:t>
      </w:r>
      <w:r w:rsidR="00A03B34" w:rsidRPr="00D04B38">
        <w:rPr>
          <w:color w:val="auto"/>
          <w:sz w:val="20"/>
          <w:szCs w:val="20"/>
        </w:rPr>
        <w:t xml:space="preserve">t or impairment is recognised.  </w:t>
      </w:r>
      <w:r w:rsidR="00E51139" w:rsidRPr="00D04B38">
        <w:rPr>
          <w:color w:val="auto"/>
          <w:sz w:val="20"/>
          <w:szCs w:val="20"/>
        </w:rPr>
        <w:t>For LOBO debt the fair value has been assessed by using a discount rate for LOBOs of similar length and structure with a comparable lender as at 31</w:t>
      </w:r>
      <w:r w:rsidR="00E51139" w:rsidRPr="00D04B38">
        <w:rPr>
          <w:color w:val="auto"/>
          <w:sz w:val="20"/>
          <w:szCs w:val="20"/>
          <w:vertAlign w:val="superscript"/>
        </w:rPr>
        <w:t>st</w:t>
      </w:r>
      <w:r w:rsidR="00E51139" w:rsidRPr="00D04B38">
        <w:rPr>
          <w:color w:val="auto"/>
          <w:sz w:val="20"/>
          <w:szCs w:val="20"/>
        </w:rPr>
        <w:t xml:space="preserve"> March 201</w:t>
      </w:r>
      <w:r w:rsidR="00CC3F5A" w:rsidRPr="00D04B38">
        <w:rPr>
          <w:color w:val="auto"/>
          <w:sz w:val="20"/>
          <w:szCs w:val="20"/>
        </w:rPr>
        <w:t>6</w:t>
      </w:r>
      <w:r w:rsidR="00E51139" w:rsidRPr="00D04B38">
        <w:rPr>
          <w:color w:val="auto"/>
          <w:sz w:val="20"/>
          <w:szCs w:val="20"/>
        </w:rPr>
        <w:t>.</w:t>
      </w:r>
    </w:p>
    <w:p w:rsidR="00E51139" w:rsidRDefault="00E51139" w:rsidP="00F73A30">
      <w:pPr>
        <w:pStyle w:val="BodyTextIndent"/>
        <w:tabs>
          <w:tab w:val="left" w:pos="709"/>
        </w:tabs>
        <w:ind w:left="567"/>
        <w:rPr>
          <w:color w:val="auto"/>
          <w:sz w:val="20"/>
          <w:szCs w:val="20"/>
        </w:rPr>
      </w:pPr>
      <w:r w:rsidRPr="00D04B38">
        <w:rPr>
          <w:color w:val="auto"/>
          <w:sz w:val="20"/>
          <w:szCs w:val="20"/>
        </w:rPr>
        <w:t xml:space="preserve">For Investments, such as fixed term deposits where the rate is fixed, the fair value has been assessed by using </w:t>
      </w:r>
      <w:r w:rsidR="00D04B38" w:rsidRPr="00D04B38">
        <w:rPr>
          <w:color w:val="auto"/>
          <w:sz w:val="20"/>
          <w:szCs w:val="20"/>
        </w:rPr>
        <w:t xml:space="preserve">prevailing benchmark market rates for comparable </w:t>
      </w:r>
      <w:r w:rsidR="007E33E1" w:rsidRPr="00D04B38">
        <w:rPr>
          <w:color w:val="auto"/>
          <w:sz w:val="20"/>
          <w:szCs w:val="20"/>
        </w:rPr>
        <w:t>investments for</w:t>
      </w:r>
      <w:r w:rsidRPr="00D04B38">
        <w:rPr>
          <w:color w:val="auto"/>
          <w:sz w:val="20"/>
          <w:szCs w:val="20"/>
        </w:rPr>
        <w:t xml:space="preserve"> deposits of similar length with a comparable lender as at 31</w:t>
      </w:r>
      <w:r w:rsidRPr="00D04B38">
        <w:rPr>
          <w:color w:val="auto"/>
          <w:sz w:val="20"/>
          <w:szCs w:val="20"/>
          <w:vertAlign w:val="superscript"/>
        </w:rPr>
        <w:t>st</w:t>
      </w:r>
      <w:r w:rsidRPr="00D04B38">
        <w:rPr>
          <w:color w:val="auto"/>
          <w:sz w:val="20"/>
          <w:szCs w:val="20"/>
        </w:rPr>
        <w:t xml:space="preserve"> March 201</w:t>
      </w:r>
      <w:r w:rsidR="00D04B38" w:rsidRPr="00D04B38">
        <w:rPr>
          <w:color w:val="auto"/>
          <w:sz w:val="20"/>
          <w:szCs w:val="20"/>
        </w:rPr>
        <w:t>6</w:t>
      </w:r>
      <w:r w:rsidRPr="00D04B38">
        <w:rPr>
          <w:color w:val="auto"/>
          <w:sz w:val="20"/>
          <w:szCs w:val="20"/>
        </w:rPr>
        <w:t>. For investments held in higher earning “cash” accounts the fair value is assumed to be the same as the nominal value of the deposit.</w:t>
      </w:r>
    </w:p>
    <w:p w:rsidR="00D04B38" w:rsidRDefault="00D04B38" w:rsidP="00F73A30">
      <w:pPr>
        <w:pStyle w:val="BodyTextIndent"/>
        <w:tabs>
          <w:tab w:val="left" w:pos="709"/>
        </w:tabs>
        <w:ind w:left="567"/>
        <w:rPr>
          <w:color w:val="auto"/>
          <w:sz w:val="20"/>
          <w:szCs w:val="20"/>
        </w:rPr>
      </w:pPr>
      <w:r>
        <w:rPr>
          <w:color w:val="auto"/>
          <w:sz w:val="20"/>
          <w:szCs w:val="20"/>
        </w:rPr>
        <w:t>For both fair values, under the requirements</w:t>
      </w:r>
      <w:r w:rsidR="00A96E26">
        <w:rPr>
          <w:color w:val="auto"/>
          <w:sz w:val="20"/>
          <w:szCs w:val="20"/>
        </w:rPr>
        <w:t xml:space="preserve"> </w:t>
      </w:r>
      <w:r>
        <w:rPr>
          <w:color w:val="auto"/>
          <w:sz w:val="20"/>
          <w:szCs w:val="20"/>
        </w:rPr>
        <w:t xml:space="preserve">of IFRS13, these values are based on Level Two inputs, </w:t>
      </w:r>
      <w:r w:rsidR="007E33E1">
        <w:rPr>
          <w:color w:val="auto"/>
          <w:sz w:val="20"/>
          <w:szCs w:val="20"/>
        </w:rPr>
        <w:t>i.e.</w:t>
      </w:r>
      <w:r>
        <w:rPr>
          <w:color w:val="auto"/>
          <w:sz w:val="20"/>
          <w:szCs w:val="20"/>
        </w:rPr>
        <w:t xml:space="preserve"> inputs other than quoted prices that are </w:t>
      </w:r>
      <w:r w:rsidR="007E33E1">
        <w:rPr>
          <w:color w:val="auto"/>
          <w:sz w:val="20"/>
          <w:szCs w:val="20"/>
        </w:rPr>
        <w:t>observable</w:t>
      </w:r>
      <w:r>
        <w:rPr>
          <w:color w:val="auto"/>
          <w:sz w:val="20"/>
          <w:szCs w:val="20"/>
        </w:rPr>
        <w:t>.</w:t>
      </w:r>
    </w:p>
    <w:p w:rsidR="00E51139" w:rsidRPr="00BE05F4" w:rsidRDefault="00E51139" w:rsidP="00F73A30">
      <w:pPr>
        <w:pStyle w:val="BodyTextIndent"/>
        <w:widowControl w:val="0"/>
        <w:adjustRightInd w:val="0"/>
        <w:ind w:left="567"/>
        <w:jc w:val="both"/>
        <w:textAlignment w:val="baseline"/>
        <w:rPr>
          <w:color w:val="auto"/>
        </w:rPr>
      </w:pPr>
      <w:r w:rsidRPr="00BE05F4">
        <w:rPr>
          <w:color w:val="auto"/>
          <w:sz w:val="20"/>
          <w:szCs w:val="20"/>
        </w:rPr>
        <w:t>The fair value of debtors and creditors is taken to be the invoiced or billed amount. The table below shows the fair values of assets and liabilities where the fair value is different to the value shown in the Council balance sheet – the “carrying value”:</w:t>
      </w:r>
    </w:p>
    <w:tbl>
      <w:tblPr>
        <w:tblStyle w:val="ListTable3-Accent51"/>
        <w:tblpPr w:leftFromText="180" w:rightFromText="180" w:vertAnchor="text" w:horzAnchor="margin" w:tblpXSpec="center" w:tblpY="287"/>
        <w:tblW w:w="0" w:type="auto"/>
        <w:tblLayout w:type="fixed"/>
        <w:tblLook w:val="0000"/>
      </w:tblPr>
      <w:tblGrid>
        <w:gridCol w:w="2476"/>
        <w:gridCol w:w="1376"/>
        <w:gridCol w:w="1376"/>
        <w:gridCol w:w="1101"/>
        <w:gridCol w:w="1625"/>
      </w:tblGrid>
      <w:tr w:rsidR="00F73A30" w:rsidRPr="00C16B45" w:rsidTr="00CC3F5A">
        <w:trPr>
          <w:cnfStyle w:val="000000100000"/>
          <w:trHeight w:val="60"/>
        </w:trPr>
        <w:tc>
          <w:tcPr>
            <w:cnfStyle w:val="000010000000"/>
            <w:tcW w:w="2476" w:type="dxa"/>
            <w:shd w:val="clear" w:color="auto" w:fill="4BACC6" w:themeFill="accent5"/>
          </w:tcPr>
          <w:p w:rsidR="00F73A30" w:rsidRPr="00C16B45" w:rsidRDefault="00F73A30" w:rsidP="00F73A30">
            <w:pPr>
              <w:widowControl w:val="0"/>
              <w:spacing w:after="0"/>
              <w:ind w:left="567"/>
              <w:rPr>
                <w:rFonts w:cs="Arial"/>
                <w:b/>
                <w:color w:val="auto"/>
                <w:sz w:val="20"/>
                <w:szCs w:val="20"/>
              </w:rPr>
            </w:pPr>
          </w:p>
        </w:tc>
        <w:tc>
          <w:tcPr>
            <w:tcW w:w="2752" w:type="dxa"/>
            <w:gridSpan w:val="2"/>
            <w:shd w:val="clear" w:color="auto" w:fill="4BACC6" w:themeFill="accent5"/>
          </w:tcPr>
          <w:p w:rsidR="00F73A30" w:rsidRPr="00C16B45" w:rsidRDefault="00F73A30" w:rsidP="00CC3F5A">
            <w:pPr>
              <w:widowControl w:val="0"/>
              <w:spacing w:after="0"/>
              <w:ind w:left="567"/>
              <w:cnfStyle w:val="000000100000"/>
              <w:rPr>
                <w:rFonts w:cs="Arial"/>
                <w:color w:val="auto"/>
                <w:sz w:val="20"/>
                <w:szCs w:val="20"/>
              </w:rPr>
            </w:pPr>
            <w:r w:rsidRPr="00C16B45">
              <w:rPr>
                <w:rFonts w:cs="Arial"/>
                <w:color w:val="auto"/>
                <w:sz w:val="20"/>
                <w:szCs w:val="20"/>
              </w:rPr>
              <w:t>31 March 201</w:t>
            </w:r>
            <w:r w:rsidR="00CC3F5A" w:rsidRPr="00C16B45">
              <w:rPr>
                <w:rFonts w:cs="Arial"/>
                <w:color w:val="auto"/>
                <w:sz w:val="20"/>
                <w:szCs w:val="20"/>
              </w:rPr>
              <w:t>5</w:t>
            </w:r>
          </w:p>
        </w:tc>
        <w:tc>
          <w:tcPr>
            <w:cnfStyle w:val="000010000000"/>
            <w:tcW w:w="2726" w:type="dxa"/>
            <w:gridSpan w:val="2"/>
            <w:shd w:val="clear" w:color="auto" w:fill="4BACC6" w:themeFill="accent5"/>
          </w:tcPr>
          <w:p w:rsidR="00F73A30" w:rsidRPr="00C16B45" w:rsidRDefault="00CC3F5A" w:rsidP="00F73A30">
            <w:pPr>
              <w:widowControl w:val="0"/>
              <w:spacing w:after="0"/>
              <w:rPr>
                <w:rFonts w:cs="Arial"/>
                <w:b/>
                <w:color w:val="auto"/>
                <w:sz w:val="20"/>
                <w:szCs w:val="20"/>
              </w:rPr>
            </w:pPr>
            <w:r w:rsidRPr="00C16B45">
              <w:rPr>
                <w:rFonts w:cs="Arial"/>
                <w:b/>
                <w:color w:val="auto"/>
                <w:sz w:val="20"/>
                <w:szCs w:val="20"/>
              </w:rPr>
              <w:t xml:space="preserve">       31 March 2016</w:t>
            </w:r>
          </w:p>
        </w:tc>
      </w:tr>
      <w:tr w:rsidR="00F73A30" w:rsidRPr="00C16B45" w:rsidTr="00CC3F5A">
        <w:trPr>
          <w:trHeight w:val="748"/>
        </w:trPr>
        <w:tc>
          <w:tcPr>
            <w:cnfStyle w:val="000010000000"/>
            <w:tcW w:w="2476" w:type="dxa"/>
            <w:shd w:val="clear" w:color="auto" w:fill="4BACC6" w:themeFill="accent5"/>
          </w:tcPr>
          <w:p w:rsidR="00F73A30" w:rsidRPr="00C16B45" w:rsidRDefault="00F73A30" w:rsidP="00F73A30">
            <w:pPr>
              <w:widowControl w:val="0"/>
              <w:spacing w:after="0"/>
              <w:ind w:left="567"/>
              <w:rPr>
                <w:rFonts w:cs="Arial"/>
                <w:b/>
                <w:color w:val="auto"/>
                <w:sz w:val="20"/>
                <w:szCs w:val="20"/>
              </w:rPr>
            </w:pPr>
          </w:p>
        </w:tc>
        <w:tc>
          <w:tcPr>
            <w:tcW w:w="1376" w:type="dxa"/>
            <w:shd w:val="clear" w:color="auto" w:fill="4BACC6" w:themeFill="accent5"/>
          </w:tcPr>
          <w:p w:rsidR="00F73A30" w:rsidRPr="00C16B45" w:rsidRDefault="00F73A30" w:rsidP="00F73A30">
            <w:pPr>
              <w:widowControl w:val="0"/>
              <w:spacing w:after="0"/>
              <w:jc w:val="center"/>
              <w:cnfStyle w:val="000000000000"/>
              <w:rPr>
                <w:rFonts w:cs="Arial"/>
                <w:color w:val="auto"/>
                <w:sz w:val="20"/>
                <w:szCs w:val="20"/>
              </w:rPr>
            </w:pPr>
            <w:r w:rsidRPr="00C16B45">
              <w:rPr>
                <w:rFonts w:cs="Arial"/>
                <w:color w:val="auto"/>
                <w:sz w:val="20"/>
                <w:szCs w:val="20"/>
              </w:rPr>
              <w:t xml:space="preserve">Carrying </w:t>
            </w:r>
            <w:r w:rsidRPr="00C16B45">
              <w:rPr>
                <w:rFonts w:cs="Arial"/>
                <w:color w:val="auto"/>
                <w:sz w:val="20"/>
                <w:szCs w:val="20"/>
              </w:rPr>
              <w:br/>
              <w:t>amount</w:t>
            </w:r>
            <w:r w:rsidRPr="00C16B45">
              <w:rPr>
                <w:rFonts w:cs="Arial"/>
                <w:color w:val="auto"/>
                <w:sz w:val="20"/>
                <w:szCs w:val="20"/>
              </w:rPr>
              <w:br/>
              <w:t>£m</w:t>
            </w:r>
          </w:p>
        </w:tc>
        <w:tc>
          <w:tcPr>
            <w:cnfStyle w:val="000010000000"/>
            <w:tcW w:w="1376" w:type="dxa"/>
            <w:shd w:val="clear" w:color="auto" w:fill="4BACC6" w:themeFill="accent5"/>
          </w:tcPr>
          <w:p w:rsidR="00F73A30" w:rsidRPr="00C16B45" w:rsidRDefault="00F73A30" w:rsidP="00F73A30">
            <w:pPr>
              <w:widowControl w:val="0"/>
              <w:spacing w:after="0"/>
              <w:jc w:val="center"/>
              <w:rPr>
                <w:rFonts w:cs="Arial"/>
                <w:color w:val="auto"/>
                <w:sz w:val="20"/>
                <w:szCs w:val="20"/>
              </w:rPr>
            </w:pPr>
            <w:r w:rsidRPr="00C16B45">
              <w:rPr>
                <w:rFonts w:cs="Arial"/>
                <w:color w:val="auto"/>
                <w:sz w:val="20"/>
                <w:szCs w:val="20"/>
              </w:rPr>
              <w:t xml:space="preserve">Fair </w:t>
            </w:r>
            <w:r w:rsidRPr="00C16B45">
              <w:rPr>
                <w:rFonts w:cs="Arial"/>
                <w:color w:val="auto"/>
                <w:sz w:val="20"/>
                <w:szCs w:val="20"/>
              </w:rPr>
              <w:br/>
              <w:t>value</w:t>
            </w:r>
            <w:r w:rsidRPr="00C16B45">
              <w:rPr>
                <w:rFonts w:cs="Arial"/>
                <w:color w:val="auto"/>
                <w:sz w:val="20"/>
                <w:szCs w:val="20"/>
              </w:rPr>
              <w:br/>
              <w:t>£m</w:t>
            </w:r>
          </w:p>
        </w:tc>
        <w:tc>
          <w:tcPr>
            <w:tcW w:w="1101" w:type="dxa"/>
            <w:shd w:val="clear" w:color="auto" w:fill="4BACC6" w:themeFill="accent5"/>
          </w:tcPr>
          <w:p w:rsidR="00F73A30" w:rsidRPr="00C16B45" w:rsidRDefault="00F73A30" w:rsidP="00F73A30">
            <w:pPr>
              <w:widowControl w:val="0"/>
              <w:spacing w:after="0"/>
              <w:jc w:val="center"/>
              <w:cnfStyle w:val="000000000000"/>
              <w:rPr>
                <w:rFonts w:cs="Arial"/>
                <w:b/>
                <w:color w:val="auto"/>
                <w:sz w:val="20"/>
                <w:szCs w:val="20"/>
              </w:rPr>
            </w:pPr>
            <w:r w:rsidRPr="00C16B45">
              <w:rPr>
                <w:rFonts w:cs="Arial"/>
                <w:b/>
                <w:color w:val="auto"/>
                <w:sz w:val="20"/>
                <w:szCs w:val="20"/>
              </w:rPr>
              <w:t>Carrying amount</w:t>
            </w:r>
            <w:r w:rsidRPr="00C16B45">
              <w:rPr>
                <w:rFonts w:cs="Arial"/>
                <w:b/>
                <w:color w:val="auto"/>
                <w:sz w:val="20"/>
                <w:szCs w:val="20"/>
              </w:rPr>
              <w:br/>
            </w:r>
            <w:r w:rsidRPr="00C16B45">
              <w:rPr>
                <w:rFonts w:cs="Arial"/>
                <w:color w:val="auto"/>
                <w:sz w:val="20"/>
                <w:szCs w:val="20"/>
              </w:rPr>
              <w:t>£m</w:t>
            </w:r>
          </w:p>
        </w:tc>
        <w:tc>
          <w:tcPr>
            <w:cnfStyle w:val="000010000000"/>
            <w:tcW w:w="1625" w:type="dxa"/>
            <w:shd w:val="clear" w:color="auto" w:fill="4BACC6" w:themeFill="accent5"/>
          </w:tcPr>
          <w:p w:rsidR="00F73A30" w:rsidRPr="00C16B45" w:rsidRDefault="00F73A30" w:rsidP="00F73A30">
            <w:pPr>
              <w:widowControl w:val="0"/>
              <w:spacing w:after="0"/>
              <w:jc w:val="center"/>
              <w:rPr>
                <w:rFonts w:cs="Arial"/>
                <w:b/>
                <w:color w:val="auto"/>
                <w:sz w:val="20"/>
                <w:szCs w:val="20"/>
              </w:rPr>
            </w:pPr>
            <w:r w:rsidRPr="00C16B45">
              <w:rPr>
                <w:rFonts w:cs="Arial"/>
                <w:b/>
                <w:color w:val="auto"/>
                <w:sz w:val="20"/>
                <w:szCs w:val="20"/>
              </w:rPr>
              <w:t xml:space="preserve">Fair </w:t>
            </w:r>
            <w:r w:rsidRPr="00C16B45">
              <w:rPr>
                <w:rFonts w:cs="Arial"/>
                <w:b/>
                <w:color w:val="auto"/>
                <w:sz w:val="20"/>
                <w:szCs w:val="20"/>
              </w:rPr>
              <w:br/>
              <w:t>value</w:t>
            </w:r>
            <w:r w:rsidRPr="00C16B45">
              <w:rPr>
                <w:rFonts w:cs="Arial"/>
                <w:b/>
                <w:color w:val="auto"/>
                <w:sz w:val="20"/>
                <w:szCs w:val="20"/>
              </w:rPr>
              <w:br/>
            </w:r>
            <w:r w:rsidRPr="00C16B45">
              <w:rPr>
                <w:rFonts w:cs="Arial"/>
                <w:color w:val="auto"/>
                <w:sz w:val="20"/>
                <w:szCs w:val="20"/>
              </w:rPr>
              <w:t>£m</w:t>
            </w:r>
          </w:p>
        </w:tc>
      </w:tr>
      <w:tr w:rsidR="00F73A30" w:rsidRPr="00C16B45" w:rsidTr="00CC3F5A">
        <w:trPr>
          <w:cnfStyle w:val="000000100000"/>
          <w:trHeight w:val="60"/>
        </w:trPr>
        <w:tc>
          <w:tcPr>
            <w:cnfStyle w:val="000010000000"/>
            <w:tcW w:w="2476" w:type="dxa"/>
          </w:tcPr>
          <w:p w:rsidR="00F73A30" w:rsidRPr="00C16B45" w:rsidRDefault="00F73A30" w:rsidP="00F73A30">
            <w:pPr>
              <w:widowControl w:val="0"/>
              <w:spacing w:after="0"/>
              <w:jc w:val="both"/>
              <w:rPr>
                <w:rFonts w:cs="Arial"/>
                <w:color w:val="auto"/>
                <w:sz w:val="20"/>
                <w:szCs w:val="20"/>
              </w:rPr>
            </w:pPr>
            <w:r w:rsidRPr="00C16B45">
              <w:rPr>
                <w:rFonts w:cs="Arial"/>
                <w:color w:val="auto"/>
                <w:sz w:val="20"/>
                <w:szCs w:val="20"/>
              </w:rPr>
              <w:t>Financial Assets:</w:t>
            </w:r>
          </w:p>
        </w:tc>
        <w:tc>
          <w:tcPr>
            <w:tcW w:w="1376" w:type="dxa"/>
          </w:tcPr>
          <w:p w:rsidR="00F73A30" w:rsidRPr="00C16B45" w:rsidRDefault="00F73A30" w:rsidP="00F73A30">
            <w:pPr>
              <w:widowControl w:val="0"/>
              <w:spacing w:after="0"/>
              <w:ind w:left="567"/>
              <w:jc w:val="center"/>
              <w:cnfStyle w:val="000000100000"/>
              <w:rPr>
                <w:rFonts w:cs="Arial"/>
                <w:color w:val="auto"/>
                <w:sz w:val="20"/>
                <w:szCs w:val="20"/>
              </w:rPr>
            </w:pPr>
          </w:p>
        </w:tc>
        <w:tc>
          <w:tcPr>
            <w:cnfStyle w:val="000010000000"/>
            <w:tcW w:w="1376" w:type="dxa"/>
          </w:tcPr>
          <w:p w:rsidR="00F73A30" w:rsidRPr="00C16B45" w:rsidRDefault="00F73A30" w:rsidP="00F73A30">
            <w:pPr>
              <w:widowControl w:val="0"/>
              <w:spacing w:after="0"/>
              <w:ind w:left="567"/>
              <w:jc w:val="center"/>
              <w:rPr>
                <w:rFonts w:cs="Arial"/>
                <w:color w:val="auto"/>
                <w:sz w:val="20"/>
                <w:szCs w:val="20"/>
              </w:rPr>
            </w:pPr>
          </w:p>
        </w:tc>
        <w:tc>
          <w:tcPr>
            <w:tcW w:w="1101" w:type="dxa"/>
          </w:tcPr>
          <w:p w:rsidR="00F73A30" w:rsidRPr="00C16B45" w:rsidRDefault="00F73A30" w:rsidP="00F73A30">
            <w:pPr>
              <w:widowControl w:val="0"/>
              <w:spacing w:after="0"/>
              <w:ind w:left="567"/>
              <w:jc w:val="center"/>
              <w:cnfStyle w:val="000000100000"/>
              <w:rPr>
                <w:rFonts w:cs="Arial"/>
                <w:b/>
                <w:color w:val="auto"/>
                <w:sz w:val="20"/>
                <w:szCs w:val="20"/>
              </w:rPr>
            </w:pPr>
          </w:p>
        </w:tc>
        <w:tc>
          <w:tcPr>
            <w:cnfStyle w:val="000010000000"/>
            <w:tcW w:w="1625" w:type="dxa"/>
          </w:tcPr>
          <w:p w:rsidR="00F73A30" w:rsidRPr="00C16B45" w:rsidRDefault="00F73A30" w:rsidP="00F73A30">
            <w:pPr>
              <w:widowControl w:val="0"/>
              <w:spacing w:after="0"/>
              <w:ind w:left="567"/>
              <w:jc w:val="center"/>
              <w:rPr>
                <w:rFonts w:cs="Arial"/>
                <w:b/>
                <w:color w:val="auto"/>
                <w:sz w:val="20"/>
                <w:szCs w:val="20"/>
              </w:rPr>
            </w:pPr>
          </w:p>
        </w:tc>
      </w:tr>
      <w:tr w:rsidR="00F73A30" w:rsidRPr="00C16B45" w:rsidTr="00CC3F5A">
        <w:trPr>
          <w:trHeight w:val="60"/>
        </w:trPr>
        <w:tc>
          <w:tcPr>
            <w:cnfStyle w:val="000010000000"/>
            <w:tcW w:w="2476" w:type="dxa"/>
          </w:tcPr>
          <w:p w:rsidR="00F73A30" w:rsidRPr="00C16B45" w:rsidRDefault="00F73A30" w:rsidP="00F73A30">
            <w:pPr>
              <w:widowControl w:val="0"/>
              <w:spacing w:after="0"/>
              <w:jc w:val="both"/>
              <w:rPr>
                <w:rFonts w:cs="Arial"/>
                <w:color w:val="auto"/>
                <w:sz w:val="20"/>
                <w:szCs w:val="20"/>
              </w:rPr>
            </w:pPr>
            <w:r w:rsidRPr="00C16B45">
              <w:rPr>
                <w:rFonts w:cs="Arial"/>
                <w:color w:val="auto"/>
                <w:sz w:val="20"/>
                <w:szCs w:val="20"/>
              </w:rPr>
              <w:t>Loans and Receivables:</w:t>
            </w:r>
          </w:p>
        </w:tc>
        <w:tc>
          <w:tcPr>
            <w:tcW w:w="1376" w:type="dxa"/>
          </w:tcPr>
          <w:p w:rsidR="00F73A30" w:rsidRPr="00C16B45" w:rsidRDefault="00F73A30" w:rsidP="00F73A30">
            <w:pPr>
              <w:widowControl w:val="0"/>
              <w:spacing w:after="0"/>
              <w:ind w:left="567"/>
              <w:jc w:val="center"/>
              <w:cnfStyle w:val="000000000000"/>
              <w:rPr>
                <w:rFonts w:cs="Arial"/>
                <w:color w:val="auto"/>
                <w:sz w:val="20"/>
                <w:szCs w:val="20"/>
              </w:rPr>
            </w:pPr>
          </w:p>
        </w:tc>
        <w:tc>
          <w:tcPr>
            <w:cnfStyle w:val="000010000000"/>
            <w:tcW w:w="1376" w:type="dxa"/>
          </w:tcPr>
          <w:p w:rsidR="00F73A30" w:rsidRPr="00C16B45" w:rsidRDefault="00F73A30" w:rsidP="00F73A30">
            <w:pPr>
              <w:widowControl w:val="0"/>
              <w:spacing w:after="0"/>
              <w:ind w:left="567"/>
              <w:jc w:val="center"/>
              <w:rPr>
                <w:rFonts w:cs="Arial"/>
                <w:color w:val="auto"/>
                <w:sz w:val="20"/>
                <w:szCs w:val="20"/>
              </w:rPr>
            </w:pPr>
          </w:p>
        </w:tc>
        <w:tc>
          <w:tcPr>
            <w:tcW w:w="1101" w:type="dxa"/>
          </w:tcPr>
          <w:p w:rsidR="00F73A30" w:rsidRPr="00C16B45" w:rsidRDefault="00F73A30" w:rsidP="00F73A30">
            <w:pPr>
              <w:widowControl w:val="0"/>
              <w:spacing w:after="0"/>
              <w:ind w:left="567"/>
              <w:jc w:val="center"/>
              <w:cnfStyle w:val="000000000000"/>
              <w:rPr>
                <w:rFonts w:cs="Arial"/>
                <w:b/>
                <w:color w:val="auto"/>
                <w:sz w:val="20"/>
                <w:szCs w:val="20"/>
              </w:rPr>
            </w:pPr>
          </w:p>
        </w:tc>
        <w:tc>
          <w:tcPr>
            <w:cnfStyle w:val="000010000000"/>
            <w:tcW w:w="1625" w:type="dxa"/>
          </w:tcPr>
          <w:p w:rsidR="00F73A30" w:rsidRPr="00C16B45" w:rsidRDefault="00F73A30" w:rsidP="00F73A30">
            <w:pPr>
              <w:widowControl w:val="0"/>
              <w:spacing w:after="0"/>
              <w:ind w:left="567"/>
              <w:jc w:val="center"/>
              <w:rPr>
                <w:rFonts w:cs="Arial"/>
                <w:b/>
                <w:color w:val="auto"/>
                <w:sz w:val="20"/>
                <w:szCs w:val="20"/>
              </w:rPr>
            </w:pPr>
          </w:p>
        </w:tc>
      </w:tr>
      <w:tr w:rsidR="00CC3F5A" w:rsidRPr="00C16B45" w:rsidTr="00CC3F5A">
        <w:trPr>
          <w:cnfStyle w:val="000000100000"/>
          <w:trHeight w:val="60"/>
        </w:trPr>
        <w:tc>
          <w:tcPr>
            <w:cnfStyle w:val="000010000000"/>
            <w:tcW w:w="2476" w:type="dxa"/>
          </w:tcPr>
          <w:p w:rsidR="00CC3F5A" w:rsidRPr="00C16B45" w:rsidRDefault="00CC3F5A" w:rsidP="00CC3F5A">
            <w:pPr>
              <w:widowControl w:val="0"/>
              <w:spacing w:after="0"/>
              <w:jc w:val="both"/>
              <w:rPr>
                <w:rFonts w:cs="Arial"/>
                <w:color w:val="auto"/>
                <w:sz w:val="20"/>
                <w:szCs w:val="20"/>
              </w:rPr>
            </w:pPr>
            <w:r w:rsidRPr="00C16B45">
              <w:rPr>
                <w:rFonts w:cs="Arial"/>
                <w:color w:val="auto"/>
                <w:sz w:val="20"/>
                <w:szCs w:val="20"/>
              </w:rPr>
              <w:t xml:space="preserve">- Short Term </w:t>
            </w:r>
            <w:r w:rsidR="00494A7B">
              <w:rPr>
                <w:rFonts w:cs="Arial"/>
                <w:color w:val="auto"/>
                <w:sz w:val="20"/>
                <w:szCs w:val="20"/>
              </w:rPr>
              <w:t>Investments</w:t>
            </w:r>
          </w:p>
        </w:tc>
        <w:tc>
          <w:tcPr>
            <w:tcW w:w="1376" w:type="dxa"/>
          </w:tcPr>
          <w:p w:rsidR="00CC3F5A" w:rsidRPr="00C16B45" w:rsidRDefault="00CC3F5A" w:rsidP="00CC3F5A">
            <w:pPr>
              <w:widowControl w:val="0"/>
              <w:spacing w:after="0"/>
              <w:jc w:val="center"/>
              <w:cnfStyle w:val="000000100000"/>
              <w:rPr>
                <w:rFonts w:cs="Arial"/>
                <w:color w:val="auto"/>
                <w:sz w:val="20"/>
                <w:szCs w:val="20"/>
              </w:rPr>
            </w:pPr>
            <w:r w:rsidRPr="00C16B45">
              <w:rPr>
                <w:rFonts w:cs="Arial"/>
                <w:color w:val="auto"/>
                <w:sz w:val="20"/>
                <w:szCs w:val="20"/>
              </w:rPr>
              <w:t>24.3</w:t>
            </w:r>
          </w:p>
        </w:tc>
        <w:tc>
          <w:tcPr>
            <w:cnfStyle w:val="000010000000"/>
            <w:tcW w:w="1376" w:type="dxa"/>
          </w:tcPr>
          <w:p w:rsidR="00CC3F5A" w:rsidRPr="00C16B45" w:rsidRDefault="00CC3F5A" w:rsidP="00CC3F5A">
            <w:pPr>
              <w:widowControl w:val="0"/>
              <w:spacing w:after="0"/>
              <w:jc w:val="center"/>
              <w:rPr>
                <w:rFonts w:cs="Arial"/>
                <w:color w:val="auto"/>
                <w:sz w:val="20"/>
                <w:szCs w:val="20"/>
              </w:rPr>
            </w:pPr>
            <w:r w:rsidRPr="00C16B45">
              <w:rPr>
                <w:rFonts w:cs="Arial"/>
                <w:color w:val="auto"/>
                <w:sz w:val="20"/>
                <w:szCs w:val="20"/>
              </w:rPr>
              <w:t>24.5</w:t>
            </w:r>
          </w:p>
        </w:tc>
        <w:tc>
          <w:tcPr>
            <w:tcW w:w="1101" w:type="dxa"/>
          </w:tcPr>
          <w:p w:rsidR="00CC3F5A" w:rsidRPr="00C16B45" w:rsidRDefault="004372F7" w:rsidP="00FA3843">
            <w:pPr>
              <w:widowControl w:val="0"/>
              <w:spacing w:after="0"/>
              <w:jc w:val="center"/>
              <w:cnfStyle w:val="000000100000"/>
              <w:rPr>
                <w:rFonts w:cs="Arial"/>
                <w:b/>
                <w:color w:val="auto"/>
                <w:sz w:val="20"/>
                <w:szCs w:val="20"/>
              </w:rPr>
            </w:pPr>
            <w:r>
              <w:rPr>
                <w:rFonts w:cs="Arial"/>
                <w:b/>
                <w:color w:val="auto"/>
                <w:sz w:val="20"/>
                <w:szCs w:val="20"/>
              </w:rPr>
              <w:t>2</w:t>
            </w:r>
            <w:r w:rsidR="00FA3843">
              <w:rPr>
                <w:rFonts w:cs="Arial"/>
                <w:b/>
                <w:color w:val="auto"/>
                <w:sz w:val="20"/>
                <w:szCs w:val="20"/>
              </w:rPr>
              <w:t>9.7</w:t>
            </w:r>
          </w:p>
        </w:tc>
        <w:tc>
          <w:tcPr>
            <w:cnfStyle w:val="000010000000"/>
            <w:tcW w:w="1625" w:type="dxa"/>
          </w:tcPr>
          <w:p w:rsidR="00CC3F5A" w:rsidRPr="00C16B45" w:rsidRDefault="004372F7" w:rsidP="00CC3F5A">
            <w:pPr>
              <w:widowControl w:val="0"/>
              <w:spacing w:after="0"/>
              <w:jc w:val="center"/>
              <w:rPr>
                <w:rFonts w:cs="Arial"/>
                <w:b/>
                <w:color w:val="auto"/>
                <w:sz w:val="20"/>
                <w:szCs w:val="20"/>
              </w:rPr>
            </w:pPr>
            <w:r>
              <w:rPr>
                <w:rFonts w:cs="Arial"/>
                <w:b/>
                <w:color w:val="auto"/>
                <w:sz w:val="20"/>
                <w:szCs w:val="20"/>
              </w:rPr>
              <w:t>29.8</w:t>
            </w:r>
          </w:p>
        </w:tc>
      </w:tr>
      <w:tr w:rsidR="00CC3F5A" w:rsidRPr="00C16B45" w:rsidTr="00CC3F5A">
        <w:trPr>
          <w:trHeight w:val="60"/>
        </w:trPr>
        <w:tc>
          <w:tcPr>
            <w:cnfStyle w:val="000010000000"/>
            <w:tcW w:w="2476" w:type="dxa"/>
          </w:tcPr>
          <w:p w:rsidR="00CC3F5A" w:rsidRPr="00C16B45" w:rsidRDefault="00CC3F5A" w:rsidP="00CC3F5A">
            <w:pPr>
              <w:widowControl w:val="0"/>
              <w:spacing w:after="0"/>
              <w:jc w:val="both"/>
              <w:rPr>
                <w:rFonts w:cs="Arial"/>
                <w:color w:val="auto"/>
                <w:sz w:val="20"/>
                <w:szCs w:val="20"/>
              </w:rPr>
            </w:pPr>
            <w:r w:rsidRPr="00C16B45">
              <w:rPr>
                <w:rFonts w:cs="Arial"/>
                <w:color w:val="auto"/>
                <w:sz w:val="20"/>
                <w:szCs w:val="20"/>
              </w:rPr>
              <w:t xml:space="preserve">- Long Term </w:t>
            </w:r>
            <w:r w:rsidR="00494A7B">
              <w:rPr>
                <w:rFonts w:cs="Arial"/>
                <w:color w:val="auto"/>
                <w:sz w:val="20"/>
                <w:szCs w:val="20"/>
              </w:rPr>
              <w:t>Investments</w:t>
            </w:r>
          </w:p>
        </w:tc>
        <w:tc>
          <w:tcPr>
            <w:tcW w:w="1376" w:type="dxa"/>
          </w:tcPr>
          <w:p w:rsidR="00CC3F5A" w:rsidRPr="00C16B45" w:rsidRDefault="00CC3F5A" w:rsidP="00CC3F5A">
            <w:pPr>
              <w:widowControl w:val="0"/>
              <w:spacing w:after="0"/>
              <w:jc w:val="center"/>
              <w:cnfStyle w:val="000000000000"/>
              <w:rPr>
                <w:rFonts w:cs="Arial"/>
                <w:color w:val="auto"/>
                <w:sz w:val="20"/>
                <w:szCs w:val="20"/>
              </w:rPr>
            </w:pPr>
            <w:r w:rsidRPr="00C16B45">
              <w:rPr>
                <w:rFonts w:cs="Arial"/>
                <w:color w:val="auto"/>
                <w:sz w:val="20"/>
                <w:szCs w:val="20"/>
              </w:rPr>
              <w:t>15.0</w:t>
            </w:r>
          </w:p>
        </w:tc>
        <w:tc>
          <w:tcPr>
            <w:cnfStyle w:val="000010000000"/>
            <w:tcW w:w="1376" w:type="dxa"/>
          </w:tcPr>
          <w:p w:rsidR="00CC3F5A" w:rsidRPr="00C16B45" w:rsidRDefault="00CC3F5A" w:rsidP="00CC3F5A">
            <w:pPr>
              <w:widowControl w:val="0"/>
              <w:spacing w:after="0"/>
              <w:jc w:val="center"/>
              <w:rPr>
                <w:rFonts w:cs="Arial"/>
                <w:color w:val="auto"/>
                <w:sz w:val="20"/>
                <w:szCs w:val="20"/>
              </w:rPr>
            </w:pPr>
            <w:r w:rsidRPr="00C16B45">
              <w:rPr>
                <w:rFonts w:cs="Arial"/>
                <w:color w:val="auto"/>
                <w:sz w:val="20"/>
                <w:szCs w:val="20"/>
              </w:rPr>
              <w:t>15.8</w:t>
            </w:r>
          </w:p>
        </w:tc>
        <w:tc>
          <w:tcPr>
            <w:tcW w:w="1101" w:type="dxa"/>
          </w:tcPr>
          <w:p w:rsidR="00CC3F5A" w:rsidRPr="00C16B45" w:rsidRDefault="004372F7" w:rsidP="00CC3F5A">
            <w:pPr>
              <w:widowControl w:val="0"/>
              <w:spacing w:after="0"/>
              <w:jc w:val="center"/>
              <w:cnfStyle w:val="000000000000"/>
              <w:rPr>
                <w:rFonts w:cs="Arial"/>
                <w:b/>
                <w:color w:val="auto"/>
                <w:sz w:val="20"/>
                <w:szCs w:val="20"/>
              </w:rPr>
            </w:pPr>
            <w:r>
              <w:rPr>
                <w:rFonts w:cs="Arial"/>
                <w:b/>
                <w:color w:val="auto"/>
                <w:sz w:val="20"/>
                <w:szCs w:val="20"/>
              </w:rPr>
              <w:t>7.0</w:t>
            </w:r>
          </w:p>
        </w:tc>
        <w:tc>
          <w:tcPr>
            <w:cnfStyle w:val="000010000000"/>
            <w:tcW w:w="1625" w:type="dxa"/>
          </w:tcPr>
          <w:p w:rsidR="00CC3F5A" w:rsidRPr="00C16B45" w:rsidRDefault="004372F7" w:rsidP="00CC3F5A">
            <w:pPr>
              <w:widowControl w:val="0"/>
              <w:spacing w:after="0"/>
              <w:jc w:val="center"/>
              <w:rPr>
                <w:rFonts w:cs="Arial"/>
                <w:b/>
                <w:color w:val="auto"/>
                <w:sz w:val="20"/>
                <w:szCs w:val="20"/>
              </w:rPr>
            </w:pPr>
            <w:r>
              <w:rPr>
                <w:rFonts w:cs="Arial"/>
                <w:b/>
                <w:color w:val="auto"/>
                <w:sz w:val="20"/>
                <w:szCs w:val="20"/>
              </w:rPr>
              <w:t>7.1</w:t>
            </w:r>
          </w:p>
        </w:tc>
      </w:tr>
      <w:tr w:rsidR="00CC3F5A" w:rsidRPr="00C16B45" w:rsidTr="00CC3F5A">
        <w:trPr>
          <w:cnfStyle w:val="000000100000"/>
          <w:trHeight w:val="60"/>
        </w:trPr>
        <w:tc>
          <w:tcPr>
            <w:cnfStyle w:val="000010000000"/>
            <w:tcW w:w="2476" w:type="dxa"/>
          </w:tcPr>
          <w:p w:rsidR="00CC3F5A" w:rsidRPr="00C16B45" w:rsidRDefault="00CC3F5A" w:rsidP="00CC3F5A">
            <w:pPr>
              <w:widowControl w:val="0"/>
              <w:spacing w:after="0"/>
              <w:rPr>
                <w:rFonts w:cs="Arial"/>
                <w:color w:val="auto"/>
                <w:sz w:val="20"/>
                <w:szCs w:val="20"/>
              </w:rPr>
            </w:pPr>
            <w:r w:rsidRPr="00C16B45">
              <w:rPr>
                <w:rFonts w:cs="Arial"/>
                <w:color w:val="auto"/>
                <w:sz w:val="20"/>
                <w:szCs w:val="20"/>
              </w:rPr>
              <w:t>Financial Liabilities:</w:t>
            </w:r>
          </w:p>
        </w:tc>
        <w:tc>
          <w:tcPr>
            <w:tcW w:w="1376" w:type="dxa"/>
          </w:tcPr>
          <w:p w:rsidR="00CC3F5A" w:rsidRPr="00C16B45" w:rsidRDefault="00CC3F5A" w:rsidP="00CC3F5A">
            <w:pPr>
              <w:widowControl w:val="0"/>
              <w:spacing w:after="0"/>
              <w:jc w:val="center"/>
              <w:cnfStyle w:val="000000100000"/>
              <w:rPr>
                <w:rFonts w:cs="Arial"/>
                <w:color w:val="auto"/>
                <w:sz w:val="20"/>
                <w:szCs w:val="20"/>
              </w:rPr>
            </w:pPr>
          </w:p>
        </w:tc>
        <w:tc>
          <w:tcPr>
            <w:cnfStyle w:val="000010000000"/>
            <w:tcW w:w="1376" w:type="dxa"/>
          </w:tcPr>
          <w:p w:rsidR="00CC3F5A" w:rsidRPr="00C16B45" w:rsidRDefault="00CC3F5A" w:rsidP="00CC3F5A">
            <w:pPr>
              <w:widowControl w:val="0"/>
              <w:spacing w:after="0"/>
              <w:jc w:val="center"/>
              <w:rPr>
                <w:rFonts w:cs="Arial"/>
                <w:color w:val="auto"/>
                <w:sz w:val="20"/>
                <w:szCs w:val="20"/>
              </w:rPr>
            </w:pPr>
          </w:p>
        </w:tc>
        <w:tc>
          <w:tcPr>
            <w:tcW w:w="1101" w:type="dxa"/>
          </w:tcPr>
          <w:p w:rsidR="00CC3F5A" w:rsidRPr="00C16B45" w:rsidRDefault="00CC3F5A" w:rsidP="00CC3F5A">
            <w:pPr>
              <w:widowControl w:val="0"/>
              <w:spacing w:after="0"/>
              <w:jc w:val="center"/>
              <w:cnfStyle w:val="000000100000"/>
              <w:rPr>
                <w:rFonts w:cs="Arial"/>
                <w:b/>
                <w:color w:val="auto"/>
                <w:sz w:val="20"/>
                <w:szCs w:val="20"/>
              </w:rPr>
            </w:pPr>
          </w:p>
        </w:tc>
        <w:tc>
          <w:tcPr>
            <w:cnfStyle w:val="000010000000"/>
            <w:tcW w:w="1625" w:type="dxa"/>
          </w:tcPr>
          <w:p w:rsidR="00CC3F5A" w:rsidRPr="00C16B45" w:rsidRDefault="00CC3F5A" w:rsidP="00CC3F5A">
            <w:pPr>
              <w:widowControl w:val="0"/>
              <w:spacing w:after="0"/>
              <w:jc w:val="center"/>
              <w:rPr>
                <w:rFonts w:cs="Arial"/>
                <w:b/>
                <w:color w:val="auto"/>
                <w:sz w:val="20"/>
                <w:szCs w:val="20"/>
              </w:rPr>
            </w:pPr>
          </w:p>
        </w:tc>
      </w:tr>
      <w:tr w:rsidR="00CC3F5A" w:rsidRPr="00C16B45" w:rsidTr="00CC3F5A">
        <w:trPr>
          <w:trHeight w:val="60"/>
        </w:trPr>
        <w:tc>
          <w:tcPr>
            <w:cnfStyle w:val="000010000000"/>
            <w:tcW w:w="2476" w:type="dxa"/>
          </w:tcPr>
          <w:p w:rsidR="00CC3F5A" w:rsidRPr="00C16B45" w:rsidRDefault="00CC3F5A" w:rsidP="00CC3F5A">
            <w:pPr>
              <w:widowControl w:val="0"/>
              <w:spacing w:after="0"/>
              <w:rPr>
                <w:rFonts w:cs="Arial"/>
                <w:color w:val="auto"/>
                <w:sz w:val="20"/>
                <w:szCs w:val="20"/>
              </w:rPr>
            </w:pPr>
            <w:r w:rsidRPr="00C16B45">
              <w:rPr>
                <w:rFonts w:cs="Arial"/>
                <w:color w:val="auto"/>
                <w:sz w:val="20"/>
                <w:szCs w:val="20"/>
              </w:rPr>
              <w:t>Borrowing</w:t>
            </w:r>
          </w:p>
        </w:tc>
        <w:tc>
          <w:tcPr>
            <w:tcW w:w="1376" w:type="dxa"/>
          </w:tcPr>
          <w:p w:rsidR="00CC3F5A" w:rsidRPr="00C16B45" w:rsidRDefault="00CC3F5A" w:rsidP="00CC3F5A">
            <w:pPr>
              <w:widowControl w:val="0"/>
              <w:spacing w:after="0"/>
              <w:jc w:val="center"/>
              <w:cnfStyle w:val="000000000000"/>
              <w:rPr>
                <w:rFonts w:cs="Arial"/>
                <w:color w:val="auto"/>
                <w:sz w:val="20"/>
                <w:szCs w:val="20"/>
              </w:rPr>
            </w:pPr>
            <w:r w:rsidRPr="00C16B45">
              <w:rPr>
                <w:rFonts w:cs="Arial"/>
                <w:color w:val="auto"/>
                <w:sz w:val="20"/>
                <w:szCs w:val="20"/>
              </w:rPr>
              <w:t>(139.6)</w:t>
            </w:r>
          </w:p>
        </w:tc>
        <w:tc>
          <w:tcPr>
            <w:cnfStyle w:val="000010000000"/>
            <w:tcW w:w="1376" w:type="dxa"/>
          </w:tcPr>
          <w:p w:rsidR="00CC3F5A" w:rsidRPr="00C16B45" w:rsidRDefault="00CC3F5A" w:rsidP="00CC3F5A">
            <w:pPr>
              <w:widowControl w:val="0"/>
              <w:spacing w:after="0"/>
              <w:jc w:val="center"/>
              <w:rPr>
                <w:rFonts w:cs="Arial"/>
                <w:color w:val="auto"/>
                <w:sz w:val="20"/>
                <w:szCs w:val="20"/>
              </w:rPr>
            </w:pPr>
            <w:r w:rsidRPr="00C16B45">
              <w:rPr>
                <w:rFonts w:cs="Arial"/>
                <w:color w:val="auto"/>
                <w:sz w:val="20"/>
                <w:szCs w:val="20"/>
              </w:rPr>
              <w:t>(171.8)</w:t>
            </w:r>
          </w:p>
        </w:tc>
        <w:tc>
          <w:tcPr>
            <w:tcW w:w="1101" w:type="dxa"/>
          </w:tcPr>
          <w:p w:rsidR="00CC3F5A" w:rsidRPr="00C16B45" w:rsidRDefault="004372F7" w:rsidP="00FA3843">
            <w:pPr>
              <w:widowControl w:val="0"/>
              <w:spacing w:after="0"/>
              <w:jc w:val="center"/>
              <w:cnfStyle w:val="000000000000"/>
              <w:rPr>
                <w:rFonts w:cs="Arial"/>
                <w:b/>
                <w:color w:val="auto"/>
                <w:sz w:val="20"/>
                <w:szCs w:val="20"/>
              </w:rPr>
            </w:pPr>
            <w:r>
              <w:rPr>
                <w:rFonts w:cs="Arial"/>
                <w:b/>
                <w:color w:val="auto"/>
                <w:sz w:val="20"/>
                <w:szCs w:val="20"/>
              </w:rPr>
              <w:t>(139.</w:t>
            </w:r>
            <w:r w:rsidR="00FA3843">
              <w:rPr>
                <w:rFonts w:cs="Arial"/>
                <w:b/>
                <w:color w:val="auto"/>
                <w:sz w:val="20"/>
                <w:szCs w:val="20"/>
              </w:rPr>
              <w:t>6</w:t>
            </w:r>
            <w:r>
              <w:rPr>
                <w:rFonts w:cs="Arial"/>
                <w:b/>
                <w:color w:val="auto"/>
                <w:sz w:val="20"/>
                <w:szCs w:val="20"/>
              </w:rPr>
              <w:t>)</w:t>
            </w:r>
          </w:p>
        </w:tc>
        <w:tc>
          <w:tcPr>
            <w:cnfStyle w:val="000010000000"/>
            <w:tcW w:w="1625" w:type="dxa"/>
          </w:tcPr>
          <w:p w:rsidR="00CC3F5A" w:rsidRPr="00C16B45" w:rsidRDefault="004372F7" w:rsidP="00CC3F5A">
            <w:pPr>
              <w:widowControl w:val="0"/>
              <w:spacing w:after="0"/>
              <w:jc w:val="center"/>
              <w:rPr>
                <w:rFonts w:cs="Arial"/>
                <w:b/>
                <w:color w:val="auto"/>
                <w:sz w:val="20"/>
                <w:szCs w:val="20"/>
              </w:rPr>
            </w:pPr>
            <w:r>
              <w:rPr>
                <w:rFonts w:cs="Arial"/>
                <w:b/>
                <w:color w:val="auto"/>
                <w:sz w:val="20"/>
                <w:szCs w:val="20"/>
              </w:rPr>
              <w:t>(172.9)</w:t>
            </w:r>
          </w:p>
        </w:tc>
      </w:tr>
    </w:tbl>
    <w:p w:rsidR="00474640" w:rsidRPr="00D42E0B" w:rsidRDefault="00474640" w:rsidP="00BE1822">
      <w:pPr>
        <w:widowControl w:val="0"/>
        <w:ind w:left="567"/>
        <w:rPr>
          <w:rFonts w:cs="Arial"/>
          <w:color w:val="548DD4" w:themeColor="text2" w:themeTint="99"/>
          <w:sz w:val="20"/>
          <w:szCs w:val="20"/>
        </w:rPr>
      </w:pPr>
    </w:p>
    <w:p w:rsidR="00E51139" w:rsidRPr="00C66975" w:rsidRDefault="00E51139" w:rsidP="006E0C58">
      <w:pPr>
        <w:pStyle w:val="BodyTextIndent"/>
        <w:tabs>
          <w:tab w:val="left" w:pos="0"/>
        </w:tabs>
        <w:ind w:left="567"/>
        <w:rPr>
          <w:color w:val="auto"/>
          <w:sz w:val="20"/>
          <w:szCs w:val="20"/>
        </w:rPr>
      </w:pPr>
      <w:r w:rsidRPr="00C66975">
        <w:rPr>
          <w:color w:val="auto"/>
          <w:sz w:val="20"/>
          <w:szCs w:val="20"/>
        </w:rPr>
        <w:t xml:space="preserve">The fair value of the loans and receivables (investments) is higher than the carrying </w:t>
      </w:r>
      <w:r w:rsidR="00182E8D" w:rsidRPr="00C66975">
        <w:rPr>
          <w:color w:val="auto"/>
          <w:sz w:val="20"/>
          <w:szCs w:val="20"/>
        </w:rPr>
        <w:t>a</w:t>
      </w:r>
      <w:r w:rsidRPr="00C66975">
        <w:rPr>
          <w:color w:val="auto"/>
          <w:sz w:val="20"/>
          <w:szCs w:val="20"/>
        </w:rPr>
        <w:t xml:space="preserve">mount because the Council’s portfolio of investments includes a number of fixed rate investments </w:t>
      </w:r>
      <w:r w:rsidR="0067231E" w:rsidRPr="00C66975">
        <w:rPr>
          <w:color w:val="auto"/>
          <w:sz w:val="20"/>
          <w:szCs w:val="20"/>
        </w:rPr>
        <w:t>w</w:t>
      </w:r>
      <w:r w:rsidRPr="00C66975">
        <w:rPr>
          <w:color w:val="auto"/>
          <w:sz w:val="20"/>
          <w:szCs w:val="20"/>
        </w:rPr>
        <w:t>here the interest rate receivable is higher than the prevailing market rates at the Balance Sheet date.  This shows a notional future gain (based on economic conditions at 31 March 201</w:t>
      </w:r>
      <w:r w:rsidR="00CC3F5A" w:rsidRPr="00C66975">
        <w:rPr>
          <w:color w:val="auto"/>
          <w:sz w:val="20"/>
          <w:szCs w:val="20"/>
        </w:rPr>
        <w:t>6</w:t>
      </w:r>
      <w:r w:rsidRPr="00C66975">
        <w:rPr>
          <w:color w:val="auto"/>
          <w:sz w:val="20"/>
          <w:szCs w:val="20"/>
        </w:rPr>
        <w:t xml:space="preserve">) arising from a commitment to be paid interest by lenders above current market rates. </w:t>
      </w:r>
      <w:r w:rsidR="003A4DE5" w:rsidRPr="00C66975">
        <w:rPr>
          <w:color w:val="auto"/>
          <w:sz w:val="20"/>
          <w:szCs w:val="20"/>
        </w:rPr>
        <w:t>As</w:t>
      </w:r>
      <w:r w:rsidRPr="00C66975">
        <w:rPr>
          <w:color w:val="auto"/>
          <w:sz w:val="20"/>
          <w:szCs w:val="20"/>
        </w:rPr>
        <w:t xml:space="preserve"> at 31st March </w:t>
      </w:r>
      <w:r w:rsidR="003A4DE5" w:rsidRPr="00C66975">
        <w:rPr>
          <w:color w:val="auto"/>
          <w:sz w:val="20"/>
          <w:szCs w:val="20"/>
        </w:rPr>
        <w:t xml:space="preserve">there is a </w:t>
      </w:r>
      <w:r w:rsidRPr="00C66975">
        <w:rPr>
          <w:color w:val="auto"/>
          <w:sz w:val="20"/>
          <w:szCs w:val="20"/>
        </w:rPr>
        <w:t>flat profile for interest rates in the short term there</w:t>
      </w:r>
      <w:r w:rsidR="003A4DE5" w:rsidRPr="00C66975">
        <w:rPr>
          <w:color w:val="auto"/>
          <w:sz w:val="20"/>
          <w:szCs w:val="20"/>
        </w:rPr>
        <w:t xml:space="preserve">fore there </w:t>
      </w:r>
      <w:r w:rsidRPr="00C66975">
        <w:rPr>
          <w:color w:val="auto"/>
          <w:sz w:val="20"/>
          <w:szCs w:val="20"/>
        </w:rPr>
        <w:t>is very little difference between the carrying amount and the fair value</w:t>
      </w:r>
      <w:r w:rsidR="003A4DE5" w:rsidRPr="00C66975">
        <w:rPr>
          <w:color w:val="auto"/>
          <w:sz w:val="20"/>
          <w:szCs w:val="20"/>
        </w:rPr>
        <w:t xml:space="preserve"> of short term loans</w:t>
      </w:r>
      <w:r w:rsidRPr="00C66975">
        <w:rPr>
          <w:color w:val="auto"/>
          <w:sz w:val="20"/>
          <w:szCs w:val="20"/>
        </w:rPr>
        <w:t>.</w:t>
      </w:r>
    </w:p>
    <w:p w:rsidR="00E51139" w:rsidRPr="00C66975" w:rsidRDefault="00E51139" w:rsidP="00E97043">
      <w:pPr>
        <w:pStyle w:val="BodyTextIndent"/>
        <w:tabs>
          <w:tab w:val="left" w:pos="0"/>
        </w:tabs>
        <w:ind w:left="567"/>
        <w:rPr>
          <w:color w:val="auto"/>
          <w:sz w:val="20"/>
          <w:szCs w:val="20"/>
        </w:rPr>
      </w:pPr>
      <w:r w:rsidRPr="00C66975">
        <w:rPr>
          <w:color w:val="auto"/>
          <w:sz w:val="20"/>
          <w:szCs w:val="20"/>
        </w:rPr>
        <w:t xml:space="preserve">The fair value of the liabilities (borrowing) is higher than the carrying amount because the Council’s portfolio of loans includes a number of fixed rates where the interest rate payable is higher than the rates available for similar loans at the balance sheet date for the term remaining. The commitment to pay interest above current market rates increases the amount the Council would have to pay if the lender requested or agreed to early repayment of the loans. </w:t>
      </w:r>
    </w:p>
    <w:p w:rsidR="00E51139" w:rsidRPr="00D42E0B" w:rsidRDefault="00E51139" w:rsidP="00E97043">
      <w:pPr>
        <w:pStyle w:val="BodyTextIndent"/>
        <w:tabs>
          <w:tab w:val="left" w:pos="0"/>
        </w:tabs>
        <w:ind w:left="567"/>
        <w:rPr>
          <w:color w:val="548DD4" w:themeColor="text2" w:themeTint="99"/>
          <w:sz w:val="20"/>
          <w:szCs w:val="20"/>
        </w:rPr>
      </w:pPr>
      <w:r w:rsidRPr="003404A4">
        <w:rPr>
          <w:color w:val="auto"/>
          <w:sz w:val="20"/>
          <w:szCs w:val="20"/>
        </w:rPr>
        <w:t>It should be noted that the PWLB also provided a fair value of the Council’s PWLB debt as at 31</w:t>
      </w:r>
      <w:r w:rsidRPr="003404A4">
        <w:rPr>
          <w:color w:val="auto"/>
          <w:sz w:val="20"/>
          <w:szCs w:val="20"/>
          <w:vertAlign w:val="superscript"/>
        </w:rPr>
        <w:t>st</w:t>
      </w:r>
      <w:r w:rsidRPr="003404A4">
        <w:rPr>
          <w:color w:val="auto"/>
          <w:sz w:val="20"/>
          <w:szCs w:val="20"/>
        </w:rPr>
        <w:t xml:space="preserve"> March 201</w:t>
      </w:r>
      <w:r w:rsidR="00CC3F5A" w:rsidRPr="003404A4">
        <w:rPr>
          <w:color w:val="auto"/>
          <w:sz w:val="20"/>
          <w:szCs w:val="20"/>
        </w:rPr>
        <w:t>6</w:t>
      </w:r>
      <w:r w:rsidRPr="003404A4">
        <w:rPr>
          <w:color w:val="auto"/>
          <w:sz w:val="20"/>
          <w:szCs w:val="20"/>
        </w:rPr>
        <w:t xml:space="preserve"> of £</w:t>
      </w:r>
      <w:r w:rsidR="00FB55B3" w:rsidRPr="003404A4">
        <w:rPr>
          <w:color w:val="auto"/>
          <w:sz w:val="20"/>
          <w:szCs w:val="20"/>
        </w:rPr>
        <w:t>1</w:t>
      </w:r>
      <w:r w:rsidR="004004FE" w:rsidRPr="003404A4">
        <w:rPr>
          <w:color w:val="auto"/>
          <w:sz w:val="20"/>
          <w:szCs w:val="20"/>
        </w:rPr>
        <w:t>8</w:t>
      </w:r>
      <w:r w:rsidR="003404A4" w:rsidRPr="003404A4">
        <w:rPr>
          <w:color w:val="auto"/>
          <w:sz w:val="20"/>
          <w:szCs w:val="20"/>
        </w:rPr>
        <w:t>4</w:t>
      </w:r>
      <w:r w:rsidR="004004FE" w:rsidRPr="003404A4">
        <w:rPr>
          <w:color w:val="auto"/>
          <w:sz w:val="20"/>
          <w:szCs w:val="20"/>
        </w:rPr>
        <w:t>.</w:t>
      </w:r>
      <w:r w:rsidR="003404A4" w:rsidRPr="003404A4">
        <w:rPr>
          <w:color w:val="auto"/>
          <w:sz w:val="20"/>
          <w:szCs w:val="20"/>
        </w:rPr>
        <w:t>1</w:t>
      </w:r>
      <w:r w:rsidR="00FB55B3" w:rsidRPr="003404A4">
        <w:rPr>
          <w:color w:val="auto"/>
          <w:sz w:val="20"/>
          <w:szCs w:val="20"/>
        </w:rPr>
        <w:t>m</w:t>
      </w:r>
      <w:r w:rsidR="004004FE" w:rsidRPr="003404A4">
        <w:rPr>
          <w:color w:val="auto"/>
          <w:sz w:val="20"/>
          <w:szCs w:val="20"/>
        </w:rPr>
        <w:t xml:space="preserve"> (£1</w:t>
      </w:r>
      <w:r w:rsidR="00CC3F5A" w:rsidRPr="003404A4">
        <w:rPr>
          <w:color w:val="auto"/>
          <w:sz w:val="20"/>
          <w:szCs w:val="20"/>
        </w:rPr>
        <w:t>83</w:t>
      </w:r>
      <w:r w:rsidR="004004FE" w:rsidRPr="003404A4">
        <w:rPr>
          <w:color w:val="auto"/>
          <w:sz w:val="20"/>
          <w:szCs w:val="20"/>
        </w:rPr>
        <w:t>.</w:t>
      </w:r>
      <w:r w:rsidR="00CC3F5A" w:rsidRPr="003404A4">
        <w:rPr>
          <w:color w:val="auto"/>
          <w:sz w:val="20"/>
          <w:szCs w:val="20"/>
        </w:rPr>
        <w:t>4</w:t>
      </w:r>
      <w:r w:rsidR="004004FE" w:rsidRPr="003404A4">
        <w:rPr>
          <w:color w:val="auto"/>
          <w:sz w:val="20"/>
          <w:szCs w:val="20"/>
        </w:rPr>
        <w:t>m 1</w:t>
      </w:r>
      <w:r w:rsidR="00CC3F5A" w:rsidRPr="00090F98">
        <w:rPr>
          <w:color w:val="auto"/>
          <w:sz w:val="20"/>
          <w:szCs w:val="20"/>
        </w:rPr>
        <w:t>4</w:t>
      </w:r>
      <w:r w:rsidR="004004FE" w:rsidRPr="00090F98">
        <w:rPr>
          <w:color w:val="auto"/>
          <w:sz w:val="20"/>
          <w:szCs w:val="20"/>
        </w:rPr>
        <w:t>/1</w:t>
      </w:r>
      <w:r w:rsidR="00CC3F5A" w:rsidRPr="00090F98">
        <w:rPr>
          <w:color w:val="auto"/>
          <w:sz w:val="20"/>
          <w:szCs w:val="20"/>
        </w:rPr>
        <w:t>5</w:t>
      </w:r>
      <w:r w:rsidR="004004FE" w:rsidRPr="00090F98">
        <w:rPr>
          <w:color w:val="auto"/>
          <w:sz w:val="20"/>
          <w:szCs w:val="20"/>
        </w:rPr>
        <w:t>)</w:t>
      </w:r>
      <w:r w:rsidRPr="00090F98">
        <w:rPr>
          <w:color w:val="auto"/>
          <w:sz w:val="20"/>
          <w:szCs w:val="20"/>
        </w:rPr>
        <w:t xml:space="preserve">. This is higher than the fair value PWLB amount of </w:t>
      </w:r>
      <w:r w:rsidR="00AC256D" w:rsidRPr="00090F98">
        <w:rPr>
          <w:color w:val="auto"/>
          <w:sz w:val="20"/>
          <w:szCs w:val="20"/>
        </w:rPr>
        <w:t>£15</w:t>
      </w:r>
      <w:r w:rsidR="00090F98" w:rsidRPr="00090F98">
        <w:rPr>
          <w:color w:val="auto"/>
          <w:sz w:val="20"/>
          <w:szCs w:val="20"/>
        </w:rPr>
        <w:t>9.2</w:t>
      </w:r>
      <w:r w:rsidR="00AC256D" w:rsidRPr="00090F98">
        <w:rPr>
          <w:color w:val="auto"/>
          <w:sz w:val="20"/>
          <w:szCs w:val="20"/>
        </w:rPr>
        <w:t>m (</w:t>
      </w:r>
      <w:r w:rsidRPr="00090F98">
        <w:rPr>
          <w:color w:val="auto"/>
          <w:sz w:val="20"/>
          <w:szCs w:val="20"/>
        </w:rPr>
        <w:t>£</w:t>
      </w:r>
      <w:r w:rsidR="008F1208" w:rsidRPr="00090F98">
        <w:rPr>
          <w:color w:val="auto"/>
          <w:sz w:val="20"/>
          <w:szCs w:val="20"/>
        </w:rPr>
        <w:t>1</w:t>
      </w:r>
      <w:r w:rsidR="00CC3F5A" w:rsidRPr="00090F98">
        <w:rPr>
          <w:color w:val="auto"/>
          <w:sz w:val="20"/>
          <w:szCs w:val="20"/>
        </w:rPr>
        <w:t>58</w:t>
      </w:r>
      <w:r w:rsidR="008F1208" w:rsidRPr="00090F98">
        <w:rPr>
          <w:color w:val="auto"/>
          <w:sz w:val="20"/>
          <w:szCs w:val="20"/>
        </w:rPr>
        <w:t>.</w:t>
      </w:r>
      <w:r w:rsidR="00CC3F5A" w:rsidRPr="00090F98">
        <w:rPr>
          <w:color w:val="auto"/>
          <w:sz w:val="20"/>
          <w:szCs w:val="20"/>
        </w:rPr>
        <w:t>2</w:t>
      </w:r>
      <w:r w:rsidRPr="00090F98">
        <w:rPr>
          <w:color w:val="auto"/>
          <w:sz w:val="20"/>
          <w:szCs w:val="20"/>
        </w:rPr>
        <w:t xml:space="preserve">m </w:t>
      </w:r>
      <w:r w:rsidR="00AC256D" w:rsidRPr="00090F98">
        <w:rPr>
          <w:color w:val="auto"/>
          <w:sz w:val="20"/>
          <w:szCs w:val="20"/>
        </w:rPr>
        <w:t>1</w:t>
      </w:r>
      <w:r w:rsidR="00CC3F5A" w:rsidRPr="00090F98">
        <w:rPr>
          <w:color w:val="auto"/>
          <w:sz w:val="20"/>
          <w:szCs w:val="20"/>
        </w:rPr>
        <w:t>4</w:t>
      </w:r>
      <w:r w:rsidR="00AC256D" w:rsidRPr="00090F98">
        <w:rPr>
          <w:color w:val="auto"/>
          <w:sz w:val="20"/>
          <w:szCs w:val="20"/>
        </w:rPr>
        <w:t>/1</w:t>
      </w:r>
      <w:r w:rsidR="00CC3F5A" w:rsidRPr="00090F98">
        <w:rPr>
          <w:color w:val="auto"/>
          <w:sz w:val="20"/>
          <w:szCs w:val="20"/>
        </w:rPr>
        <w:t>5</w:t>
      </w:r>
      <w:r w:rsidR="00AC256D" w:rsidRPr="00090F98">
        <w:rPr>
          <w:color w:val="auto"/>
          <w:sz w:val="20"/>
          <w:szCs w:val="20"/>
        </w:rPr>
        <w:t xml:space="preserve">) </w:t>
      </w:r>
      <w:r w:rsidRPr="00090F98">
        <w:rPr>
          <w:color w:val="auto"/>
          <w:sz w:val="20"/>
          <w:szCs w:val="20"/>
        </w:rPr>
        <w:t>as the PWLB has used their “premature redemption rate of interest” to calculate fair value. This rate is a more punitive rate than current rates that only applies</w:t>
      </w:r>
      <w:r w:rsidR="00401764" w:rsidRPr="00090F98">
        <w:rPr>
          <w:color w:val="auto"/>
          <w:sz w:val="20"/>
          <w:szCs w:val="20"/>
        </w:rPr>
        <w:t xml:space="preserve"> if a Council repays debt early.</w:t>
      </w:r>
    </w:p>
    <w:p w:rsidR="00D35D27" w:rsidRDefault="0021260C" w:rsidP="00D35D27">
      <w:pPr>
        <w:pStyle w:val="BodyTextIndent"/>
        <w:tabs>
          <w:tab w:val="left" w:pos="709"/>
        </w:tabs>
        <w:ind w:left="567"/>
        <w:rPr>
          <w:color w:val="auto"/>
          <w:sz w:val="20"/>
          <w:szCs w:val="20"/>
        </w:rPr>
      </w:pPr>
      <w:r w:rsidRPr="00974BDC">
        <w:rPr>
          <w:color w:val="auto"/>
          <w:sz w:val="20"/>
          <w:szCs w:val="20"/>
        </w:rPr>
        <w:lastRenderedPageBreak/>
        <w:t>The Council has a liability for the remaining 1</w:t>
      </w:r>
      <w:r w:rsidR="00974BDC" w:rsidRPr="00974BDC">
        <w:rPr>
          <w:color w:val="auto"/>
          <w:sz w:val="20"/>
          <w:szCs w:val="20"/>
        </w:rPr>
        <w:t>1</w:t>
      </w:r>
      <w:r w:rsidRPr="00974BDC">
        <w:rPr>
          <w:color w:val="auto"/>
          <w:sz w:val="20"/>
          <w:szCs w:val="20"/>
        </w:rPr>
        <w:t xml:space="preserve">.5 years on its 25 year School PFI contract for </w:t>
      </w:r>
      <w:r w:rsidRPr="00D35D27">
        <w:rPr>
          <w:color w:val="auto"/>
          <w:sz w:val="20"/>
          <w:szCs w:val="20"/>
        </w:rPr>
        <w:t xml:space="preserve">the construction element. </w:t>
      </w:r>
      <w:r w:rsidR="00D35D27" w:rsidRPr="00D35D27">
        <w:rPr>
          <w:color w:val="auto"/>
          <w:sz w:val="20"/>
          <w:szCs w:val="20"/>
        </w:rPr>
        <w:t>T</w:t>
      </w:r>
      <w:r w:rsidRPr="00D35D27">
        <w:rPr>
          <w:color w:val="auto"/>
          <w:sz w:val="20"/>
          <w:szCs w:val="20"/>
        </w:rPr>
        <w:t xml:space="preserve">he fair value of the liability </w:t>
      </w:r>
      <w:r w:rsidR="00D35D27" w:rsidRPr="00D35D27">
        <w:rPr>
          <w:color w:val="auto"/>
          <w:sz w:val="20"/>
          <w:szCs w:val="20"/>
        </w:rPr>
        <w:t>as at 31/3/16 of £10.3m has be</w:t>
      </w:r>
      <w:r w:rsidR="00140820">
        <w:rPr>
          <w:color w:val="auto"/>
          <w:sz w:val="20"/>
          <w:szCs w:val="20"/>
        </w:rPr>
        <w:t>e</w:t>
      </w:r>
      <w:r w:rsidR="00D35D27" w:rsidRPr="00D35D27">
        <w:rPr>
          <w:color w:val="auto"/>
          <w:sz w:val="20"/>
          <w:szCs w:val="20"/>
        </w:rPr>
        <w:t>n assessed using Level</w:t>
      </w:r>
      <w:r w:rsidR="00D35D27">
        <w:rPr>
          <w:color w:val="auto"/>
          <w:sz w:val="20"/>
          <w:szCs w:val="20"/>
        </w:rPr>
        <w:t xml:space="preserve"> Two inputs</w:t>
      </w:r>
      <w:r w:rsidR="006318A8">
        <w:rPr>
          <w:color w:val="auto"/>
          <w:sz w:val="20"/>
          <w:szCs w:val="20"/>
        </w:rPr>
        <w:t xml:space="preserve"> using a PWLB annuity discount rate</w:t>
      </w:r>
      <w:r w:rsidR="00D35D27">
        <w:rPr>
          <w:color w:val="auto"/>
          <w:sz w:val="20"/>
          <w:szCs w:val="20"/>
        </w:rPr>
        <w:t xml:space="preserve">, </w:t>
      </w:r>
      <w:r w:rsidR="007E33E1">
        <w:rPr>
          <w:color w:val="auto"/>
          <w:sz w:val="20"/>
          <w:szCs w:val="20"/>
        </w:rPr>
        <w:t>i.e.</w:t>
      </w:r>
      <w:r w:rsidR="00D35D27">
        <w:rPr>
          <w:color w:val="auto"/>
          <w:sz w:val="20"/>
          <w:szCs w:val="20"/>
        </w:rPr>
        <w:t xml:space="preserve"> </w:t>
      </w:r>
      <w:r w:rsidR="006318A8">
        <w:rPr>
          <w:color w:val="auto"/>
          <w:sz w:val="20"/>
          <w:szCs w:val="20"/>
        </w:rPr>
        <w:t xml:space="preserve">an </w:t>
      </w:r>
      <w:r w:rsidR="00D35D27">
        <w:rPr>
          <w:color w:val="auto"/>
          <w:sz w:val="20"/>
          <w:szCs w:val="20"/>
        </w:rPr>
        <w:t xml:space="preserve">input other than quoted prices that are </w:t>
      </w:r>
      <w:r w:rsidR="007E33E1">
        <w:rPr>
          <w:color w:val="auto"/>
          <w:sz w:val="20"/>
          <w:szCs w:val="20"/>
        </w:rPr>
        <w:t>observable</w:t>
      </w:r>
      <w:r w:rsidR="00D35D27">
        <w:rPr>
          <w:color w:val="auto"/>
          <w:sz w:val="20"/>
          <w:szCs w:val="20"/>
        </w:rPr>
        <w:t>.</w:t>
      </w:r>
    </w:p>
    <w:p w:rsidR="00974BDC" w:rsidRPr="00974BDC" w:rsidRDefault="00974BDC" w:rsidP="00974BDC">
      <w:pPr>
        <w:pStyle w:val="BodyTextIndent"/>
        <w:tabs>
          <w:tab w:val="left" w:pos="0"/>
        </w:tabs>
        <w:ind w:left="567"/>
        <w:rPr>
          <w:color w:val="0070C0"/>
          <w:sz w:val="20"/>
          <w:szCs w:val="20"/>
        </w:rPr>
      </w:pPr>
      <w:r w:rsidRPr="00D74C64">
        <w:rPr>
          <w:color w:val="auto"/>
          <w:sz w:val="20"/>
          <w:szCs w:val="20"/>
        </w:rPr>
        <w:t>The Council has a liability for the remaining 23.5 years on its 25 year Energy From Waste PFI contract for the construction element.</w:t>
      </w:r>
      <w:r w:rsidRPr="00974BDC">
        <w:rPr>
          <w:color w:val="0070C0"/>
          <w:sz w:val="20"/>
          <w:szCs w:val="20"/>
        </w:rPr>
        <w:t xml:space="preserve"> </w:t>
      </w:r>
      <w:r w:rsidR="00133BD7" w:rsidRPr="00D35D27">
        <w:rPr>
          <w:color w:val="auto"/>
          <w:sz w:val="20"/>
          <w:szCs w:val="20"/>
        </w:rPr>
        <w:t>The fair value of the liability as at 31/3/16 of £</w:t>
      </w:r>
      <w:r w:rsidR="00133BD7">
        <w:rPr>
          <w:color w:val="auto"/>
          <w:sz w:val="20"/>
          <w:szCs w:val="20"/>
        </w:rPr>
        <w:t>2</w:t>
      </w:r>
      <w:r w:rsidR="00BE11EE">
        <w:rPr>
          <w:color w:val="auto"/>
          <w:sz w:val="20"/>
          <w:szCs w:val="20"/>
        </w:rPr>
        <w:t>6.1</w:t>
      </w:r>
      <w:r w:rsidR="00133BD7" w:rsidRPr="00D35D27">
        <w:rPr>
          <w:color w:val="auto"/>
          <w:sz w:val="20"/>
          <w:szCs w:val="20"/>
        </w:rPr>
        <w:t>m has be</w:t>
      </w:r>
      <w:r w:rsidR="00133BD7">
        <w:rPr>
          <w:color w:val="auto"/>
          <w:sz w:val="20"/>
          <w:szCs w:val="20"/>
        </w:rPr>
        <w:t>e</w:t>
      </w:r>
      <w:r w:rsidR="00133BD7" w:rsidRPr="00D35D27">
        <w:rPr>
          <w:color w:val="auto"/>
          <w:sz w:val="20"/>
          <w:szCs w:val="20"/>
        </w:rPr>
        <w:t>n assessed using Level</w:t>
      </w:r>
      <w:r w:rsidR="00133BD7">
        <w:rPr>
          <w:color w:val="auto"/>
          <w:sz w:val="20"/>
          <w:szCs w:val="20"/>
        </w:rPr>
        <w:t xml:space="preserve"> Two inputs using a PWLB annuity discount rate, </w:t>
      </w:r>
      <w:r w:rsidR="007E33E1">
        <w:rPr>
          <w:color w:val="auto"/>
          <w:sz w:val="20"/>
          <w:szCs w:val="20"/>
        </w:rPr>
        <w:t>i.e.</w:t>
      </w:r>
      <w:r w:rsidR="00133BD7">
        <w:rPr>
          <w:color w:val="auto"/>
          <w:sz w:val="20"/>
          <w:szCs w:val="20"/>
        </w:rPr>
        <w:t xml:space="preserve"> an input other than quoted prices that are </w:t>
      </w:r>
      <w:r w:rsidR="007E33E1">
        <w:rPr>
          <w:color w:val="auto"/>
          <w:sz w:val="20"/>
          <w:szCs w:val="20"/>
        </w:rPr>
        <w:t>observable</w:t>
      </w:r>
      <w:r w:rsidR="00133BD7">
        <w:rPr>
          <w:color w:val="auto"/>
          <w:sz w:val="20"/>
          <w:szCs w:val="20"/>
        </w:rPr>
        <w:t>.</w:t>
      </w:r>
    </w:p>
    <w:p w:rsidR="00974BDC" w:rsidRPr="00974BDC" w:rsidRDefault="00974BDC" w:rsidP="004C1441">
      <w:pPr>
        <w:pStyle w:val="BodyTextIndent"/>
        <w:tabs>
          <w:tab w:val="left" w:pos="0"/>
        </w:tabs>
        <w:ind w:left="567"/>
        <w:rPr>
          <w:color w:val="auto"/>
          <w:sz w:val="20"/>
          <w:szCs w:val="20"/>
        </w:rPr>
      </w:pPr>
    </w:p>
    <w:p w:rsidR="00E51139" w:rsidRPr="008172B1" w:rsidRDefault="00066F17" w:rsidP="00F60EB5">
      <w:pPr>
        <w:pStyle w:val="Subtitle"/>
        <w:ind w:left="567" w:hanging="567"/>
        <w:rPr>
          <w:b/>
          <w:color w:val="auto"/>
          <w:sz w:val="22"/>
          <w:szCs w:val="22"/>
        </w:rPr>
      </w:pPr>
      <w:r w:rsidRPr="008172B1">
        <w:rPr>
          <w:b/>
          <w:color w:val="auto"/>
          <w:sz w:val="22"/>
          <w:szCs w:val="22"/>
        </w:rPr>
        <w:t>14.</w:t>
      </w:r>
      <w:r w:rsidRPr="008172B1">
        <w:rPr>
          <w:b/>
          <w:color w:val="auto"/>
          <w:sz w:val="22"/>
          <w:szCs w:val="22"/>
        </w:rPr>
        <w:tab/>
      </w:r>
      <w:r w:rsidR="00F60EB5" w:rsidRPr="008172B1">
        <w:rPr>
          <w:b/>
          <w:color w:val="auto"/>
          <w:sz w:val="22"/>
          <w:szCs w:val="22"/>
        </w:rPr>
        <w:t>Nature and Extent of Risks Arising from Financial Instruments</w:t>
      </w:r>
    </w:p>
    <w:p w:rsidR="00E51139" w:rsidRPr="008172B1" w:rsidRDefault="00E51139" w:rsidP="00061621">
      <w:pPr>
        <w:pStyle w:val="BodyTextIndent"/>
        <w:ind w:left="567"/>
        <w:rPr>
          <w:color w:val="auto"/>
          <w:sz w:val="20"/>
          <w:szCs w:val="20"/>
        </w:rPr>
      </w:pPr>
      <w:r w:rsidRPr="008172B1">
        <w:rPr>
          <w:color w:val="auto"/>
          <w:sz w:val="20"/>
          <w:szCs w:val="20"/>
        </w:rPr>
        <w:t>The Council’s activities expose it to a variety of financial risks:</w:t>
      </w:r>
    </w:p>
    <w:p w:rsidR="00E51139" w:rsidRPr="008172B1" w:rsidRDefault="00E51139" w:rsidP="003E10DE">
      <w:pPr>
        <w:pStyle w:val="BodyTextIndent"/>
        <w:widowControl w:val="0"/>
        <w:numPr>
          <w:ilvl w:val="2"/>
          <w:numId w:val="17"/>
        </w:numPr>
        <w:tabs>
          <w:tab w:val="clear" w:pos="2505"/>
          <w:tab w:val="num" w:pos="1418"/>
        </w:tabs>
        <w:adjustRightInd w:val="0"/>
        <w:spacing w:after="0" w:line="360" w:lineRule="atLeast"/>
        <w:ind w:left="1418" w:hanging="284"/>
        <w:jc w:val="both"/>
        <w:textAlignment w:val="baseline"/>
        <w:rPr>
          <w:color w:val="auto"/>
          <w:sz w:val="20"/>
          <w:szCs w:val="20"/>
        </w:rPr>
      </w:pPr>
      <w:r w:rsidRPr="008172B1">
        <w:rPr>
          <w:color w:val="auto"/>
          <w:sz w:val="20"/>
          <w:szCs w:val="20"/>
        </w:rPr>
        <w:t>credit risk – the possibility that other parties might fail to pay amounts due to the Council</w:t>
      </w:r>
    </w:p>
    <w:p w:rsidR="00E51139" w:rsidRPr="008172B1" w:rsidRDefault="00E51139" w:rsidP="003E10DE">
      <w:pPr>
        <w:pStyle w:val="BodyTextIndent"/>
        <w:widowControl w:val="0"/>
        <w:numPr>
          <w:ilvl w:val="1"/>
          <w:numId w:val="17"/>
        </w:numPr>
        <w:tabs>
          <w:tab w:val="clear" w:pos="1785"/>
          <w:tab w:val="num" w:pos="1418"/>
        </w:tabs>
        <w:adjustRightInd w:val="0"/>
        <w:spacing w:after="0" w:line="360" w:lineRule="atLeast"/>
        <w:ind w:left="1418" w:hanging="284"/>
        <w:jc w:val="both"/>
        <w:textAlignment w:val="baseline"/>
        <w:rPr>
          <w:color w:val="auto"/>
          <w:sz w:val="20"/>
          <w:szCs w:val="20"/>
        </w:rPr>
      </w:pPr>
      <w:r w:rsidRPr="008172B1">
        <w:rPr>
          <w:color w:val="auto"/>
          <w:sz w:val="20"/>
          <w:szCs w:val="20"/>
        </w:rPr>
        <w:t>liquidity risk – the possibility that the Council might not have funds available to meet its commitments to make payments</w:t>
      </w:r>
    </w:p>
    <w:p w:rsidR="00E51139" w:rsidRPr="008172B1" w:rsidRDefault="00E51139" w:rsidP="003E10DE">
      <w:pPr>
        <w:pStyle w:val="BodyTextIndent"/>
        <w:widowControl w:val="0"/>
        <w:numPr>
          <w:ilvl w:val="1"/>
          <w:numId w:val="17"/>
        </w:numPr>
        <w:tabs>
          <w:tab w:val="clear" w:pos="1785"/>
          <w:tab w:val="num" w:pos="1418"/>
        </w:tabs>
        <w:adjustRightInd w:val="0"/>
        <w:spacing w:after="0" w:line="360" w:lineRule="atLeast"/>
        <w:ind w:left="1418" w:hanging="284"/>
        <w:jc w:val="both"/>
        <w:textAlignment w:val="baseline"/>
        <w:rPr>
          <w:color w:val="auto"/>
          <w:sz w:val="20"/>
          <w:szCs w:val="20"/>
        </w:rPr>
      </w:pPr>
      <w:r w:rsidRPr="008172B1">
        <w:rPr>
          <w:color w:val="auto"/>
          <w:sz w:val="20"/>
          <w:szCs w:val="20"/>
        </w:rPr>
        <w:t>market risk – the possibility that financial loss might arise for the Council as a result of changes in such measures as interest rates and stock movements</w:t>
      </w:r>
    </w:p>
    <w:p w:rsidR="00E51139" w:rsidRPr="008172B1" w:rsidRDefault="00E51139" w:rsidP="00AD6C46">
      <w:pPr>
        <w:pStyle w:val="BodyTextIndent"/>
        <w:tabs>
          <w:tab w:val="left" w:pos="709"/>
        </w:tabs>
        <w:rPr>
          <w:color w:val="auto"/>
          <w:sz w:val="20"/>
          <w:szCs w:val="20"/>
        </w:rPr>
      </w:pPr>
    </w:p>
    <w:p w:rsidR="00E51139" w:rsidRPr="008172B1" w:rsidRDefault="00E51139" w:rsidP="00061621">
      <w:pPr>
        <w:pStyle w:val="BodyTextIndent"/>
        <w:tabs>
          <w:tab w:val="left" w:pos="0"/>
        </w:tabs>
        <w:ind w:left="567"/>
        <w:rPr>
          <w:color w:val="auto"/>
          <w:sz w:val="20"/>
          <w:szCs w:val="20"/>
        </w:rPr>
      </w:pPr>
      <w:r w:rsidRPr="008172B1">
        <w:rPr>
          <w:color w:val="auto"/>
          <w:sz w:val="20"/>
          <w:szCs w:val="20"/>
        </w:rPr>
        <w:t>The Council’s overall risk management programme (as outlined in its Treasury Management Strategy) focuses on the unpredictability of financial markets and seeks to minimise potential adverse effects on the resources available to fund services. Risk management is carried out by the Council’s treasury team, under policies and practices approved by full Council in March 2010</w:t>
      </w:r>
      <w:r w:rsidR="00A005B1" w:rsidRPr="008172B1">
        <w:rPr>
          <w:color w:val="auto"/>
          <w:sz w:val="20"/>
          <w:szCs w:val="20"/>
        </w:rPr>
        <w:t xml:space="preserve"> and updated as required in the annual Treasury Management Strategy</w:t>
      </w:r>
      <w:r w:rsidRPr="008172B1">
        <w:rPr>
          <w:color w:val="auto"/>
          <w:sz w:val="20"/>
          <w:szCs w:val="20"/>
        </w:rPr>
        <w:t>. The Council provides written principles for overall risk management, as well as written policies covering specific areas, such as interest rate risk, credit risk and the investment of surplus cash. The Council’s treasury team also, as required, make in year adjustments in the event of changing circumstances such as economic pressures impacting on rates or changes to investment counterparty lists.</w:t>
      </w:r>
    </w:p>
    <w:p w:rsidR="00E51139" w:rsidRPr="001A276C" w:rsidRDefault="00E51139" w:rsidP="00061621">
      <w:pPr>
        <w:pStyle w:val="BodyTextIndent"/>
        <w:tabs>
          <w:tab w:val="left" w:pos="709"/>
        </w:tabs>
        <w:ind w:left="567"/>
        <w:rPr>
          <w:b/>
          <w:color w:val="auto"/>
          <w:sz w:val="20"/>
          <w:szCs w:val="20"/>
        </w:rPr>
      </w:pPr>
      <w:r w:rsidRPr="001A276C">
        <w:rPr>
          <w:b/>
          <w:color w:val="auto"/>
          <w:sz w:val="20"/>
          <w:szCs w:val="20"/>
        </w:rPr>
        <w:t>Credit Risk</w:t>
      </w:r>
    </w:p>
    <w:p w:rsidR="00E51139" w:rsidRPr="001A276C" w:rsidRDefault="00E51139" w:rsidP="00061621">
      <w:pPr>
        <w:ind w:left="567"/>
        <w:rPr>
          <w:color w:val="auto"/>
          <w:sz w:val="20"/>
          <w:szCs w:val="20"/>
          <w:lang w:val="en-US"/>
        </w:rPr>
      </w:pPr>
      <w:r w:rsidRPr="001A276C">
        <w:rPr>
          <w:rFonts w:cs="Arial"/>
          <w:color w:val="auto"/>
          <w:sz w:val="20"/>
          <w:szCs w:val="20"/>
        </w:rPr>
        <w:t>Credit risk arises from deposits with banks and financial institutions, as well as credit exposure to the Council’s customers. Deposits are not made with banks and financial institutions unless they have a sufficiently high credit rating, as designated by independent credit rating agencies, or other strong measure of security such as a central government guarantee with a minimum sovereign rating of “AAA”/”AA</w:t>
      </w:r>
      <w:r w:rsidR="003324EC" w:rsidRPr="001A276C">
        <w:rPr>
          <w:rFonts w:cs="Arial"/>
          <w:color w:val="auto"/>
          <w:sz w:val="20"/>
          <w:szCs w:val="20"/>
        </w:rPr>
        <w:t>+”</w:t>
      </w:r>
      <w:r w:rsidRPr="001A276C">
        <w:rPr>
          <w:rFonts w:cs="Arial"/>
          <w:color w:val="auto"/>
          <w:sz w:val="20"/>
          <w:szCs w:val="20"/>
        </w:rPr>
        <w:t>. The system of counterparty selection includes a sophisticated modelling approach which combines credit ratings, credit watches, credit outlooks and credit default swaps (CDS) spreads in a weighted scoring system for which the end product is a series of colour code bands which indicate the value and durational limits for each counterparty. The Council’s fund manager also complie</w:t>
      </w:r>
      <w:r w:rsidR="003426EF" w:rsidRPr="001A276C">
        <w:rPr>
          <w:rFonts w:cs="Arial"/>
          <w:color w:val="auto"/>
          <w:sz w:val="20"/>
          <w:szCs w:val="20"/>
        </w:rPr>
        <w:t>d</w:t>
      </w:r>
      <w:r w:rsidRPr="001A276C">
        <w:rPr>
          <w:rFonts w:cs="Arial"/>
          <w:color w:val="auto"/>
          <w:sz w:val="20"/>
          <w:szCs w:val="20"/>
        </w:rPr>
        <w:t xml:space="preserve"> with </w:t>
      </w:r>
      <w:r w:rsidR="004C7C2F" w:rsidRPr="001A276C">
        <w:rPr>
          <w:rFonts w:cs="Arial"/>
          <w:color w:val="auto"/>
          <w:sz w:val="20"/>
          <w:szCs w:val="20"/>
        </w:rPr>
        <w:t xml:space="preserve">the Council’s </w:t>
      </w:r>
      <w:r w:rsidRPr="001A276C">
        <w:rPr>
          <w:rFonts w:cs="Arial"/>
          <w:color w:val="auto"/>
          <w:sz w:val="20"/>
          <w:szCs w:val="20"/>
        </w:rPr>
        <w:t>list of approved institutions with appropriate maximum holdings.</w:t>
      </w:r>
    </w:p>
    <w:p w:rsidR="00516589" w:rsidRPr="009A3A9C" w:rsidRDefault="009A3A9C" w:rsidP="00100BBC">
      <w:pPr>
        <w:pStyle w:val="BodyTextIndent"/>
        <w:tabs>
          <w:tab w:val="left" w:pos="0"/>
        </w:tabs>
        <w:spacing w:line="240" w:lineRule="auto"/>
        <w:ind w:left="567"/>
        <w:rPr>
          <w:color w:val="auto"/>
          <w:sz w:val="20"/>
          <w:szCs w:val="20"/>
        </w:rPr>
      </w:pPr>
      <w:r w:rsidRPr="009A3A9C">
        <w:rPr>
          <w:color w:val="auto"/>
          <w:sz w:val="20"/>
          <w:szCs w:val="20"/>
        </w:rPr>
        <w:t xml:space="preserve">The </w:t>
      </w:r>
      <w:r w:rsidR="007E33E1" w:rsidRPr="009A3A9C">
        <w:rPr>
          <w:color w:val="auto"/>
          <w:sz w:val="20"/>
          <w:szCs w:val="20"/>
        </w:rPr>
        <w:t>Council’s</w:t>
      </w:r>
      <w:r w:rsidRPr="009A3A9C">
        <w:rPr>
          <w:color w:val="auto"/>
          <w:sz w:val="20"/>
          <w:szCs w:val="20"/>
        </w:rPr>
        <w:t xml:space="preserve"> investment in th</w:t>
      </w:r>
      <w:r w:rsidR="00516589" w:rsidRPr="009A3A9C">
        <w:rPr>
          <w:color w:val="auto"/>
          <w:sz w:val="20"/>
          <w:szCs w:val="20"/>
        </w:rPr>
        <w:t>e Fundi</w:t>
      </w:r>
      <w:r w:rsidRPr="009A3A9C">
        <w:rPr>
          <w:color w:val="auto"/>
          <w:sz w:val="20"/>
          <w:szCs w:val="20"/>
        </w:rPr>
        <w:t>ng</w:t>
      </w:r>
      <w:r w:rsidR="00516589" w:rsidRPr="009A3A9C">
        <w:rPr>
          <w:color w:val="auto"/>
          <w:sz w:val="20"/>
          <w:szCs w:val="20"/>
        </w:rPr>
        <w:t xml:space="preserve"> Circle</w:t>
      </w:r>
      <w:r w:rsidR="00E24395">
        <w:rPr>
          <w:color w:val="auto"/>
          <w:sz w:val="20"/>
          <w:szCs w:val="20"/>
        </w:rPr>
        <w:t xml:space="preserve"> (£0.1m) </w:t>
      </w:r>
      <w:r w:rsidRPr="009A3A9C">
        <w:rPr>
          <w:color w:val="auto"/>
          <w:sz w:val="20"/>
          <w:szCs w:val="20"/>
        </w:rPr>
        <w:t xml:space="preserve">is limited to individual loans to applicants with a credit score (as assessed by </w:t>
      </w:r>
      <w:r w:rsidR="007E33E1" w:rsidRPr="009A3A9C">
        <w:rPr>
          <w:color w:val="auto"/>
          <w:sz w:val="20"/>
          <w:szCs w:val="20"/>
        </w:rPr>
        <w:t>Funding</w:t>
      </w:r>
      <w:r w:rsidRPr="009A3A9C">
        <w:rPr>
          <w:color w:val="auto"/>
          <w:sz w:val="20"/>
          <w:szCs w:val="20"/>
        </w:rPr>
        <w:t xml:space="preserve"> Circle) of A+, A and B the three highest categor</w:t>
      </w:r>
      <w:r>
        <w:rPr>
          <w:color w:val="auto"/>
          <w:sz w:val="20"/>
          <w:szCs w:val="20"/>
        </w:rPr>
        <w:t>i</w:t>
      </w:r>
      <w:r w:rsidRPr="009A3A9C">
        <w:rPr>
          <w:color w:val="auto"/>
          <w:sz w:val="20"/>
          <w:szCs w:val="20"/>
        </w:rPr>
        <w:t>es of credit</w:t>
      </w:r>
      <w:r>
        <w:rPr>
          <w:color w:val="auto"/>
          <w:sz w:val="20"/>
          <w:szCs w:val="20"/>
        </w:rPr>
        <w:t xml:space="preserve"> combined with a maximum loan to any applicant of £1,000</w:t>
      </w:r>
      <w:r w:rsidRPr="009A3A9C">
        <w:rPr>
          <w:color w:val="auto"/>
          <w:sz w:val="20"/>
          <w:szCs w:val="20"/>
        </w:rPr>
        <w:t>.</w:t>
      </w:r>
    </w:p>
    <w:p w:rsidR="00C62B8D" w:rsidRPr="001A276C" w:rsidRDefault="00E51139" w:rsidP="00100BBC">
      <w:pPr>
        <w:pStyle w:val="BodyTextIndent"/>
        <w:tabs>
          <w:tab w:val="left" w:pos="0"/>
        </w:tabs>
        <w:spacing w:line="240" w:lineRule="auto"/>
        <w:ind w:left="567"/>
        <w:rPr>
          <w:color w:val="auto"/>
          <w:sz w:val="20"/>
          <w:szCs w:val="20"/>
        </w:rPr>
      </w:pPr>
      <w:r w:rsidRPr="001A276C">
        <w:rPr>
          <w:color w:val="auto"/>
          <w:sz w:val="20"/>
          <w:szCs w:val="20"/>
        </w:rPr>
        <w:t xml:space="preserve">The following analysis summarises the Council’s potential maximum exposure to credit risk, based on experience of default and uncollectability, adjusted to reflect current market conditions.  </w:t>
      </w:r>
    </w:p>
    <w:p w:rsidR="00100BBC" w:rsidRPr="00D42E0B" w:rsidRDefault="00100BBC" w:rsidP="00100BBC">
      <w:pPr>
        <w:pStyle w:val="BodyTextIndent"/>
        <w:tabs>
          <w:tab w:val="left" w:pos="0"/>
        </w:tabs>
        <w:spacing w:line="240" w:lineRule="auto"/>
        <w:ind w:left="567"/>
        <w:rPr>
          <w:color w:val="548DD4" w:themeColor="text2" w:themeTint="99"/>
          <w:sz w:val="20"/>
          <w:szCs w:val="20"/>
        </w:rPr>
      </w:pPr>
    </w:p>
    <w:tbl>
      <w:tblPr>
        <w:tblStyle w:val="ListTable3-Accent51"/>
        <w:tblW w:w="7797" w:type="dxa"/>
        <w:tblInd w:w="675" w:type="dxa"/>
        <w:tblLayout w:type="fixed"/>
        <w:tblLook w:val="01E0"/>
      </w:tblPr>
      <w:tblGrid>
        <w:gridCol w:w="2835"/>
        <w:gridCol w:w="993"/>
        <w:gridCol w:w="1275"/>
        <w:gridCol w:w="1276"/>
        <w:gridCol w:w="1418"/>
      </w:tblGrid>
      <w:tr w:rsidR="00652B7D" w:rsidRPr="00CC3F5A" w:rsidTr="00652B7D">
        <w:trPr>
          <w:cnfStyle w:val="100000000000"/>
          <w:trHeight w:val="1054"/>
          <w:tblHeader/>
        </w:trPr>
        <w:tc>
          <w:tcPr>
            <w:cnfStyle w:val="001000000100"/>
            <w:tcW w:w="2835" w:type="dxa"/>
          </w:tcPr>
          <w:p w:rsidR="00E51139" w:rsidRPr="00CC3F5A" w:rsidRDefault="00486BDA" w:rsidP="00CC3F5A">
            <w:pPr>
              <w:pStyle w:val="BodyTextIndent"/>
              <w:tabs>
                <w:tab w:val="left" w:pos="709"/>
              </w:tabs>
              <w:ind w:left="0"/>
              <w:rPr>
                <w:color w:val="auto"/>
                <w:sz w:val="22"/>
                <w:szCs w:val="22"/>
              </w:rPr>
            </w:pPr>
            <w:r w:rsidRPr="00CC3F5A">
              <w:rPr>
                <w:color w:val="auto"/>
                <w:sz w:val="22"/>
                <w:szCs w:val="22"/>
              </w:rPr>
              <w:lastRenderedPageBreak/>
              <w:t>201</w:t>
            </w:r>
            <w:r w:rsidR="00CC3F5A" w:rsidRPr="00CC3F5A">
              <w:rPr>
                <w:color w:val="auto"/>
                <w:sz w:val="22"/>
                <w:szCs w:val="22"/>
              </w:rPr>
              <w:t>5</w:t>
            </w:r>
            <w:r w:rsidRPr="00CC3F5A">
              <w:rPr>
                <w:color w:val="auto"/>
                <w:sz w:val="22"/>
                <w:szCs w:val="22"/>
              </w:rPr>
              <w:t>/1</w:t>
            </w:r>
            <w:r w:rsidR="00CC3F5A" w:rsidRPr="00CC3F5A">
              <w:rPr>
                <w:color w:val="auto"/>
                <w:sz w:val="22"/>
                <w:szCs w:val="22"/>
              </w:rPr>
              <w:t>6</w:t>
            </w:r>
          </w:p>
        </w:tc>
        <w:tc>
          <w:tcPr>
            <w:cnfStyle w:val="000010000000"/>
            <w:tcW w:w="993" w:type="dxa"/>
          </w:tcPr>
          <w:p w:rsidR="00E51139" w:rsidRPr="00CC3F5A" w:rsidRDefault="00061621" w:rsidP="00CC3F5A">
            <w:pPr>
              <w:pStyle w:val="BodyTextIndent"/>
              <w:tabs>
                <w:tab w:val="left" w:pos="709"/>
              </w:tabs>
              <w:ind w:left="0"/>
              <w:jc w:val="center"/>
              <w:rPr>
                <w:b w:val="0"/>
                <w:color w:val="auto"/>
                <w:sz w:val="18"/>
                <w:szCs w:val="18"/>
              </w:rPr>
            </w:pPr>
            <w:r w:rsidRPr="00CC3F5A">
              <w:rPr>
                <w:b w:val="0"/>
                <w:color w:val="auto"/>
                <w:sz w:val="18"/>
                <w:szCs w:val="18"/>
              </w:rPr>
              <w:t xml:space="preserve">Value as </w:t>
            </w:r>
            <w:r w:rsidR="00E51139" w:rsidRPr="00CC3F5A">
              <w:rPr>
                <w:b w:val="0"/>
                <w:color w:val="auto"/>
                <w:sz w:val="18"/>
                <w:szCs w:val="18"/>
              </w:rPr>
              <w:t xml:space="preserve">at </w:t>
            </w:r>
            <w:r w:rsidRPr="00CC3F5A">
              <w:rPr>
                <w:b w:val="0"/>
                <w:color w:val="auto"/>
                <w:sz w:val="18"/>
                <w:szCs w:val="18"/>
              </w:rPr>
              <w:t>31st March 201</w:t>
            </w:r>
            <w:r w:rsidR="00CC3F5A" w:rsidRPr="00CC3F5A">
              <w:rPr>
                <w:b w:val="0"/>
                <w:color w:val="auto"/>
                <w:sz w:val="18"/>
                <w:szCs w:val="18"/>
              </w:rPr>
              <w:t>6</w:t>
            </w:r>
          </w:p>
        </w:tc>
        <w:tc>
          <w:tcPr>
            <w:tcW w:w="1275" w:type="dxa"/>
          </w:tcPr>
          <w:p w:rsidR="00E51139" w:rsidRPr="00CC3F5A" w:rsidRDefault="00E51139" w:rsidP="00061621">
            <w:pPr>
              <w:pStyle w:val="BodyTextIndent"/>
              <w:tabs>
                <w:tab w:val="left" w:pos="709"/>
              </w:tabs>
              <w:ind w:left="0"/>
              <w:jc w:val="center"/>
              <w:cnfStyle w:val="100000000000"/>
              <w:rPr>
                <w:b w:val="0"/>
                <w:color w:val="auto"/>
                <w:sz w:val="18"/>
                <w:szCs w:val="18"/>
              </w:rPr>
            </w:pPr>
            <w:r w:rsidRPr="00CC3F5A">
              <w:rPr>
                <w:b w:val="0"/>
                <w:color w:val="auto"/>
                <w:sz w:val="18"/>
                <w:szCs w:val="18"/>
              </w:rPr>
              <w:t>Historical experience of default</w:t>
            </w:r>
          </w:p>
        </w:tc>
        <w:tc>
          <w:tcPr>
            <w:cnfStyle w:val="000010000000"/>
            <w:tcW w:w="1276" w:type="dxa"/>
          </w:tcPr>
          <w:p w:rsidR="001A40C7" w:rsidRPr="00CC3F5A" w:rsidRDefault="00E51139" w:rsidP="00CC3F5A">
            <w:pPr>
              <w:pStyle w:val="BodyTextIndent"/>
              <w:tabs>
                <w:tab w:val="left" w:pos="709"/>
              </w:tabs>
              <w:ind w:left="0"/>
              <w:jc w:val="center"/>
              <w:rPr>
                <w:b w:val="0"/>
                <w:color w:val="auto"/>
                <w:sz w:val="18"/>
                <w:szCs w:val="18"/>
              </w:rPr>
            </w:pPr>
            <w:r w:rsidRPr="00CC3F5A">
              <w:rPr>
                <w:b w:val="0"/>
                <w:color w:val="auto"/>
                <w:sz w:val="18"/>
                <w:szCs w:val="18"/>
              </w:rPr>
              <w:t xml:space="preserve">Historical experience adjusted for market conditions </w:t>
            </w:r>
            <w:r w:rsidR="00486BDA" w:rsidRPr="00CC3F5A">
              <w:rPr>
                <w:b w:val="0"/>
                <w:color w:val="auto"/>
                <w:sz w:val="18"/>
                <w:szCs w:val="18"/>
              </w:rPr>
              <w:t xml:space="preserve">as </w:t>
            </w:r>
            <w:r w:rsidRPr="00CC3F5A">
              <w:rPr>
                <w:b w:val="0"/>
                <w:color w:val="auto"/>
                <w:sz w:val="18"/>
                <w:szCs w:val="18"/>
              </w:rPr>
              <w:t xml:space="preserve">at </w:t>
            </w:r>
            <w:r w:rsidR="00486BDA" w:rsidRPr="00CC3F5A">
              <w:rPr>
                <w:b w:val="0"/>
                <w:color w:val="auto"/>
                <w:sz w:val="18"/>
                <w:szCs w:val="18"/>
              </w:rPr>
              <w:t>31</w:t>
            </w:r>
            <w:r w:rsidR="00486BDA" w:rsidRPr="00CC3F5A">
              <w:rPr>
                <w:b w:val="0"/>
                <w:color w:val="auto"/>
                <w:sz w:val="18"/>
                <w:szCs w:val="18"/>
                <w:vertAlign w:val="superscript"/>
              </w:rPr>
              <w:t>st</w:t>
            </w:r>
            <w:r w:rsidR="00486BDA" w:rsidRPr="00CC3F5A">
              <w:rPr>
                <w:b w:val="0"/>
                <w:color w:val="auto"/>
                <w:sz w:val="18"/>
                <w:szCs w:val="18"/>
              </w:rPr>
              <w:t xml:space="preserve"> March 201</w:t>
            </w:r>
            <w:r w:rsidR="00CC3F5A" w:rsidRPr="00CC3F5A">
              <w:rPr>
                <w:b w:val="0"/>
                <w:color w:val="auto"/>
                <w:sz w:val="18"/>
                <w:szCs w:val="18"/>
              </w:rPr>
              <w:t>6</w:t>
            </w:r>
          </w:p>
        </w:tc>
        <w:tc>
          <w:tcPr>
            <w:cnfStyle w:val="000100001000"/>
            <w:tcW w:w="1418" w:type="dxa"/>
          </w:tcPr>
          <w:p w:rsidR="00E51139" w:rsidRPr="00CC3F5A" w:rsidRDefault="00E51139" w:rsidP="00CC3F5A">
            <w:pPr>
              <w:pStyle w:val="BodyTextIndent"/>
              <w:tabs>
                <w:tab w:val="left" w:pos="709"/>
              </w:tabs>
              <w:ind w:left="0"/>
              <w:jc w:val="center"/>
              <w:rPr>
                <w:b w:val="0"/>
                <w:color w:val="auto"/>
                <w:sz w:val="18"/>
                <w:szCs w:val="18"/>
              </w:rPr>
            </w:pPr>
            <w:r w:rsidRPr="00CC3F5A">
              <w:rPr>
                <w:b w:val="0"/>
                <w:color w:val="auto"/>
                <w:sz w:val="18"/>
                <w:szCs w:val="18"/>
              </w:rPr>
              <w:t xml:space="preserve">Estimated maximum exposure to default and uncollectability at </w:t>
            </w:r>
            <w:r w:rsidR="00486BDA" w:rsidRPr="00CC3F5A">
              <w:rPr>
                <w:b w:val="0"/>
                <w:color w:val="auto"/>
                <w:sz w:val="18"/>
                <w:szCs w:val="18"/>
              </w:rPr>
              <w:t>31</w:t>
            </w:r>
            <w:r w:rsidR="00486BDA" w:rsidRPr="00CC3F5A">
              <w:rPr>
                <w:b w:val="0"/>
                <w:color w:val="auto"/>
                <w:sz w:val="18"/>
                <w:szCs w:val="18"/>
                <w:vertAlign w:val="superscript"/>
              </w:rPr>
              <w:t>st</w:t>
            </w:r>
            <w:r w:rsidR="00486BDA" w:rsidRPr="00CC3F5A">
              <w:rPr>
                <w:b w:val="0"/>
                <w:color w:val="auto"/>
                <w:sz w:val="18"/>
                <w:szCs w:val="18"/>
              </w:rPr>
              <w:t xml:space="preserve"> March 201</w:t>
            </w:r>
            <w:r w:rsidR="00CC3F5A" w:rsidRPr="00CC3F5A">
              <w:rPr>
                <w:b w:val="0"/>
                <w:color w:val="auto"/>
                <w:sz w:val="18"/>
                <w:szCs w:val="18"/>
              </w:rPr>
              <w:t>6</w:t>
            </w:r>
          </w:p>
        </w:tc>
      </w:tr>
      <w:tr w:rsidR="00652B7D" w:rsidRPr="00CC3F5A" w:rsidTr="00652B7D">
        <w:trPr>
          <w:cnfStyle w:val="000000100000"/>
          <w:trHeight w:val="358"/>
        </w:trPr>
        <w:tc>
          <w:tcPr>
            <w:cnfStyle w:val="001000000000"/>
            <w:tcW w:w="2835" w:type="dxa"/>
            <w:shd w:val="clear" w:color="auto" w:fill="4BACC6" w:themeFill="accent5"/>
          </w:tcPr>
          <w:p w:rsidR="00061621" w:rsidRPr="00CC3F5A" w:rsidRDefault="00061621" w:rsidP="00CE6D72">
            <w:pPr>
              <w:pStyle w:val="BodyTextIndent"/>
              <w:tabs>
                <w:tab w:val="left" w:pos="709"/>
              </w:tabs>
              <w:ind w:left="0"/>
              <w:rPr>
                <w:b w:val="0"/>
                <w:color w:val="auto"/>
                <w:sz w:val="20"/>
                <w:szCs w:val="20"/>
              </w:rPr>
            </w:pPr>
          </w:p>
        </w:tc>
        <w:tc>
          <w:tcPr>
            <w:cnfStyle w:val="000010000000"/>
            <w:tcW w:w="993" w:type="dxa"/>
            <w:shd w:val="clear" w:color="auto" w:fill="4BACC6" w:themeFill="accent5"/>
          </w:tcPr>
          <w:p w:rsidR="00061621" w:rsidRPr="00CC3F5A" w:rsidRDefault="00061621" w:rsidP="00680507">
            <w:pPr>
              <w:pStyle w:val="BodyTextIndent"/>
              <w:tabs>
                <w:tab w:val="left" w:pos="709"/>
              </w:tabs>
              <w:ind w:left="0"/>
              <w:jc w:val="center"/>
              <w:rPr>
                <w:color w:val="auto"/>
                <w:sz w:val="20"/>
                <w:szCs w:val="20"/>
              </w:rPr>
            </w:pPr>
            <w:r w:rsidRPr="00CC3F5A">
              <w:rPr>
                <w:color w:val="auto"/>
                <w:sz w:val="20"/>
                <w:szCs w:val="20"/>
              </w:rPr>
              <w:t>£m</w:t>
            </w:r>
          </w:p>
        </w:tc>
        <w:tc>
          <w:tcPr>
            <w:tcW w:w="1275" w:type="dxa"/>
            <w:shd w:val="clear" w:color="auto" w:fill="4BACC6" w:themeFill="accent5"/>
          </w:tcPr>
          <w:p w:rsidR="00061621" w:rsidRPr="00CC3F5A" w:rsidRDefault="00061621" w:rsidP="00CE6D72">
            <w:pPr>
              <w:pStyle w:val="BodyTextIndent"/>
              <w:tabs>
                <w:tab w:val="left" w:pos="709"/>
              </w:tabs>
              <w:ind w:left="0"/>
              <w:jc w:val="center"/>
              <w:cnfStyle w:val="000000100000"/>
              <w:rPr>
                <w:color w:val="auto"/>
                <w:sz w:val="20"/>
                <w:szCs w:val="20"/>
              </w:rPr>
            </w:pPr>
            <w:r w:rsidRPr="00CC3F5A">
              <w:rPr>
                <w:color w:val="auto"/>
                <w:sz w:val="20"/>
                <w:szCs w:val="20"/>
              </w:rPr>
              <w:t>%</w:t>
            </w:r>
          </w:p>
        </w:tc>
        <w:tc>
          <w:tcPr>
            <w:cnfStyle w:val="000010000000"/>
            <w:tcW w:w="1276" w:type="dxa"/>
            <w:shd w:val="clear" w:color="auto" w:fill="4BACC6" w:themeFill="accent5"/>
          </w:tcPr>
          <w:p w:rsidR="00061621" w:rsidRPr="00CC3F5A" w:rsidRDefault="00061621" w:rsidP="00CE6D72">
            <w:pPr>
              <w:pStyle w:val="BodyTextIndent"/>
              <w:tabs>
                <w:tab w:val="left" w:pos="709"/>
              </w:tabs>
              <w:ind w:left="0"/>
              <w:jc w:val="center"/>
              <w:rPr>
                <w:color w:val="auto"/>
                <w:sz w:val="20"/>
                <w:szCs w:val="20"/>
              </w:rPr>
            </w:pPr>
            <w:r w:rsidRPr="00CC3F5A">
              <w:rPr>
                <w:color w:val="auto"/>
                <w:sz w:val="20"/>
                <w:szCs w:val="20"/>
              </w:rPr>
              <w:t>%</w:t>
            </w:r>
          </w:p>
        </w:tc>
        <w:tc>
          <w:tcPr>
            <w:cnfStyle w:val="000100000000"/>
            <w:tcW w:w="1418" w:type="dxa"/>
            <w:shd w:val="clear" w:color="auto" w:fill="4BACC6" w:themeFill="accent5"/>
          </w:tcPr>
          <w:p w:rsidR="00061621" w:rsidRPr="00CC3F5A" w:rsidRDefault="00061621" w:rsidP="00CE6D72">
            <w:pPr>
              <w:pStyle w:val="BodyTextIndent"/>
              <w:tabs>
                <w:tab w:val="left" w:pos="709"/>
              </w:tabs>
              <w:ind w:left="0"/>
              <w:jc w:val="center"/>
              <w:rPr>
                <w:b w:val="0"/>
                <w:color w:val="auto"/>
                <w:sz w:val="20"/>
                <w:szCs w:val="20"/>
              </w:rPr>
            </w:pPr>
            <w:r w:rsidRPr="00CC3F5A">
              <w:rPr>
                <w:b w:val="0"/>
                <w:color w:val="auto"/>
                <w:sz w:val="20"/>
                <w:szCs w:val="20"/>
              </w:rPr>
              <w:t>£m</w:t>
            </w:r>
          </w:p>
        </w:tc>
      </w:tr>
      <w:tr w:rsidR="00652B7D" w:rsidRPr="00CC3F5A" w:rsidTr="00652B7D">
        <w:trPr>
          <w:trHeight w:val="597"/>
        </w:trPr>
        <w:tc>
          <w:tcPr>
            <w:cnfStyle w:val="001000000000"/>
            <w:tcW w:w="2835" w:type="dxa"/>
            <w:tcBorders>
              <w:bottom w:val="single" w:sz="4" w:space="0" w:color="4BACC6" w:themeColor="accent5"/>
            </w:tcBorders>
            <w:vAlign w:val="center"/>
          </w:tcPr>
          <w:p w:rsidR="00E51139" w:rsidRPr="00CC3F5A" w:rsidRDefault="00E51139" w:rsidP="008832F2">
            <w:pPr>
              <w:pStyle w:val="BodyTextIndent"/>
              <w:tabs>
                <w:tab w:val="left" w:pos="709"/>
              </w:tabs>
              <w:ind w:left="0"/>
              <w:rPr>
                <w:b w:val="0"/>
                <w:color w:val="auto"/>
                <w:sz w:val="20"/>
                <w:szCs w:val="20"/>
              </w:rPr>
            </w:pPr>
            <w:r w:rsidRPr="00CC3F5A">
              <w:rPr>
                <w:b w:val="0"/>
                <w:color w:val="auto"/>
                <w:sz w:val="20"/>
                <w:szCs w:val="20"/>
              </w:rPr>
              <w:t>Deposits with banks and other financial institutions</w:t>
            </w:r>
          </w:p>
        </w:tc>
        <w:tc>
          <w:tcPr>
            <w:cnfStyle w:val="000010000000"/>
            <w:tcW w:w="993" w:type="dxa"/>
            <w:tcBorders>
              <w:bottom w:val="single" w:sz="4" w:space="0" w:color="4BACC6" w:themeColor="accent5"/>
            </w:tcBorders>
            <w:vAlign w:val="center"/>
          </w:tcPr>
          <w:p w:rsidR="00E51139" w:rsidRPr="00CC3F5A" w:rsidRDefault="002E688B" w:rsidP="008832F2">
            <w:pPr>
              <w:pStyle w:val="BodyTextIndent"/>
              <w:tabs>
                <w:tab w:val="left" w:pos="709"/>
              </w:tabs>
              <w:ind w:left="0"/>
              <w:jc w:val="center"/>
              <w:rPr>
                <w:color w:val="auto"/>
                <w:sz w:val="20"/>
                <w:szCs w:val="20"/>
              </w:rPr>
            </w:pPr>
            <w:r>
              <w:rPr>
                <w:color w:val="auto"/>
                <w:sz w:val="20"/>
                <w:szCs w:val="20"/>
              </w:rPr>
              <w:t>3</w:t>
            </w:r>
            <w:r w:rsidR="00926B2E">
              <w:rPr>
                <w:color w:val="auto"/>
                <w:sz w:val="20"/>
                <w:szCs w:val="20"/>
              </w:rPr>
              <w:t>6.6</w:t>
            </w:r>
          </w:p>
        </w:tc>
        <w:tc>
          <w:tcPr>
            <w:tcW w:w="1275" w:type="dxa"/>
            <w:tcBorders>
              <w:bottom w:val="single" w:sz="4" w:space="0" w:color="4BACC6" w:themeColor="accent5"/>
            </w:tcBorders>
            <w:vAlign w:val="center"/>
          </w:tcPr>
          <w:p w:rsidR="00E51139" w:rsidRPr="002E688B" w:rsidRDefault="002E688B" w:rsidP="008832F2">
            <w:pPr>
              <w:pStyle w:val="BodyTextIndent"/>
              <w:tabs>
                <w:tab w:val="left" w:pos="709"/>
              </w:tabs>
              <w:ind w:left="0"/>
              <w:jc w:val="center"/>
              <w:cnfStyle w:val="000000000000"/>
              <w:rPr>
                <w:color w:val="auto"/>
                <w:sz w:val="20"/>
                <w:szCs w:val="20"/>
              </w:rPr>
            </w:pPr>
            <w:r w:rsidRPr="002E688B">
              <w:rPr>
                <w:color w:val="auto"/>
                <w:sz w:val="20"/>
                <w:szCs w:val="20"/>
              </w:rPr>
              <w:t>0%</w:t>
            </w:r>
          </w:p>
        </w:tc>
        <w:tc>
          <w:tcPr>
            <w:cnfStyle w:val="000010000000"/>
            <w:tcW w:w="1276" w:type="dxa"/>
            <w:tcBorders>
              <w:bottom w:val="single" w:sz="4" w:space="0" w:color="4BACC6" w:themeColor="accent5"/>
            </w:tcBorders>
            <w:vAlign w:val="center"/>
          </w:tcPr>
          <w:p w:rsidR="00E51139" w:rsidRPr="002E688B" w:rsidRDefault="002E688B" w:rsidP="008832F2">
            <w:pPr>
              <w:pStyle w:val="BodyTextIndent"/>
              <w:tabs>
                <w:tab w:val="left" w:pos="709"/>
              </w:tabs>
              <w:ind w:left="0"/>
              <w:jc w:val="center"/>
              <w:rPr>
                <w:color w:val="auto"/>
                <w:sz w:val="20"/>
                <w:szCs w:val="20"/>
              </w:rPr>
            </w:pPr>
            <w:r w:rsidRPr="002E688B">
              <w:rPr>
                <w:color w:val="auto"/>
                <w:sz w:val="20"/>
                <w:szCs w:val="20"/>
              </w:rPr>
              <w:t>0%</w:t>
            </w:r>
          </w:p>
        </w:tc>
        <w:tc>
          <w:tcPr>
            <w:cnfStyle w:val="000100000000"/>
            <w:tcW w:w="1418" w:type="dxa"/>
            <w:tcBorders>
              <w:bottom w:val="single" w:sz="4" w:space="0" w:color="4BACC6" w:themeColor="accent5"/>
            </w:tcBorders>
            <w:vAlign w:val="center"/>
          </w:tcPr>
          <w:p w:rsidR="00E51139" w:rsidRPr="002E688B" w:rsidRDefault="002E688B" w:rsidP="008832F2">
            <w:pPr>
              <w:pStyle w:val="BodyTextIndent"/>
              <w:tabs>
                <w:tab w:val="left" w:pos="709"/>
              </w:tabs>
              <w:ind w:left="0"/>
              <w:jc w:val="center"/>
              <w:rPr>
                <w:b w:val="0"/>
                <w:color w:val="auto"/>
                <w:sz w:val="20"/>
                <w:szCs w:val="20"/>
              </w:rPr>
            </w:pPr>
            <w:r w:rsidRPr="002E688B">
              <w:rPr>
                <w:b w:val="0"/>
                <w:color w:val="auto"/>
                <w:sz w:val="20"/>
                <w:szCs w:val="20"/>
              </w:rPr>
              <w:t>0</w:t>
            </w:r>
          </w:p>
        </w:tc>
      </w:tr>
      <w:tr w:rsidR="00652B7D" w:rsidRPr="00CC3F5A" w:rsidTr="00652B7D">
        <w:trPr>
          <w:cnfStyle w:val="000000100000"/>
          <w:trHeight w:val="606"/>
        </w:trPr>
        <w:tc>
          <w:tcPr>
            <w:cnfStyle w:val="001000000000"/>
            <w:tcW w:w="2835" w:type="dxa"/>
            <w:vAlign w:val="center"/>
          </w:tcPr>
          <w:p w:rsidR="00E51139" w:rsidRPr="00CC3F5A" w:rsidRDefault="00E51139" w:rsidP="008832F2">
            <w:pPr>
              <w:pStyle w:val="BodyTextIndent"/>
              <w:tabs>
                <w:tab w:val="left" w:pos="709"/>
              </w:tabs>
              <w:ind w:left="0"/>
              <w:rPr>
                <w:b w:val="0"/>
                <w:color w:val="auto"/>
                <w:sz w:val="20"/>
                <w:szCs w:val="20"/>
              </w:rPr>
            </w:pPr>
            <w:r w:rsidRPr="00CC3F5A">
              <w:rPr>
                <w:b w:val="0"/>
                <w:color w:val="auto"/>
                <w:sz w:val="20"/>
                <w:szCs w:val="20"/>
              </w:rPr>
              <w:t xml:space="preserve">Deposits held by </w:t>
            </w:r>
            <w:r w:rsidR="00486BDA" w:rsidRPr="00CC3F5A">
              <w:rPr>
                <w:b w:val="0"/>
                <w:color w:val="auto"/>
                <w:sz w:val="20"/>
                <w:szCs w:val="20"/>
              </w:rPr>
              <w:t>F</w:t>
            </w:r>
            <w:r w:rsidRPr="00CC3F5A">
              <w:rPr>
                <w:b w:val="0"/>
                <w:color w:val="auto"/>
                <w:sz w:val="20"/>
                <w:szCs w:val="20"/>
              </w:rPr>
              <w:t xml:space="preserve">und </w:t>
            </w:r>
            <w:r w:rsidR="00486BDA" w:rsidRPr="00CC3F5A">
              <w:rPr>
                <w:b w:val="0"/>
                <w:color w:val="auto"/>
                <w:sz w:val="20"/>
                <w:szCs w:val="20"/>
              </w:rPr>
              <w:t>M</w:t>
            </w:r>
            <w:r w:rsidRPr="00CC3F5A">
              <w:rPr>
                <w:b w:val="0"/>
                <w:color w:val="auto"/>
                <w:sz w:val="20"/>
                <w:szCs w:val="20"/>
              </w:rPr>
              <w:t xml:space="preserve">anager </w:t>
            </w:r>
          </w:p>
        </w:tc>
        <w:tc>
          <w:tcPr>
            <w:cnfStyle w:val="000010000000"/>
            <w:tcW w:w="993" w:type="dxa"/>
            <w:vAlign w:val="center"/>
          </w:tcPr>
          <w:p w:rsidR="00E51139" w:rsidRPr="00CC3F5A" w:rsidRDefault="00F43D42" w:rsidP="008832F2">
            <w:pPr>
              <w:pStyle w:val="BodyTextIndent"/>
              <w:tabs>
                <w:tab w:val="left" w:pos="709"/>
              </w:tabs>
              <w:ind w:left="0"/>
              <w:jc w:val="center"/>
              <w:rPr>
                <w:color w:val="auto"/>
                <w:sz w:val="20"/>
                <w:szCs w:val="20"/>
              </w:rPr>
            </w:pPr>
            <w:r>
              <w:rPr>
                <w:color w:val="auto"/>
                <w:sz w:val="20"/>
                <w:szCs w:val="20"/>
              </w:rPr>
              <w:t>18.0</w:t>
            </w:r>
          </w:p>
        </w:tc>
        <w:tc>
          <w:tcPr>
            <w:tcW w:w="1275" w:type="dxa"/>
            <w:vAlign w:val="center"/>
          </w:tcPr>
          <w:p w:rsidR="00E51139" w:rsidRPr="002E688B" w:rsidRDefault="00F43D42" w:rsidP="008832F2">
            <w:pPr>
              <w:pStyle w:val="BodyTextIndent"/>
              <w:tabs>
                <w:tab w:val="left" w:pos="709"/>
              </w:tabs>
              <w:ind w:left="0"/>
              <w:jc w:val="center"/>
              <w:cnfStyle w:val="000000100000"/>
              <w:rPr>
                <w:color w:val="auto"/>
                <w:sz w:val="20"/>
                <w:szCs w:val="20"/>
              </w:rPr>
            </w:pPr>
            <w:r w:rsidRPr="002E688B">
              <w:rPr>
                <w:color w:val="auto"/>
                <w:sz w:val="20"/>
                <w:szCs w:val="20"/>
              </w:rPr>
              <w:t>0%</w:t>
            </w:r>
          </w:p>
        </w:tc>
        <w:tc>
          <w:tcPr>
            <w:cnfStyle w:val="000010000000"/>
            <w:tcW w:w="1276" w:type="dxa"/>
            <w:vAlign w:val="center"/>
          </w:tcPr>
          <w:p w:rsidR="00E51139" w:rsidRPr="002E688B" w:rsidRDefault="00F43D42" w:rsidP="008832F2">
            <w:pPr>
              <w:pStyle w:val="BodyTextIndent"/>
              <w:tabs>
                <w:tab w:val="left" w:pos="709"/>
              </w:tabs>
              <w:ind w:left="0"/>
              <w:jc w:val="center"/>
              <w:rPr>
                <w:color w:val="auto"/>
                <w:sz w:val="20"/>
                <w:szCs w:val="20"/>
              </w:rPr>
            </w:pPr>
            <w:r w:rsidRPr="002E688B">
              <w:rPr>
                <w:color w:val="auto"/>
                <w:sz w:val="20"/>
                <w:szCs w:val="20"/>
              </w:rPr>
              <w:t>0%</w:t>
            </w:r>
          </w:p>
        </w:tc>
        <w:tc>
          <w:tcPr>
            <w:cnfStyle w:val="000100000000"/>
            <w:tcW w:w="1418" w:type="dxa"/>
            <w:vAlign w:val="center"/>
          </w:tcPr>
          <w:p w:rsidR="00E51139" w:rsidRPr="002E688B" w:rsidRDefault="00F43D42" w:rsidP="002E688B">
            <w:pPr>
              <w:pStyle w:val="BodyTextIndent"/>
              <w:tabs>
                <w:tab w:val="left" w:pos="709"/>
              </w:tabs>
              <w:ind w:left="0"/>
              <w:jc w:val="center"/>
              <w:rPr>
                <w:b w:val="0"/>
                <w:color w:val="auto"/>
                <w:sz w:val="20"/>
                <w:szCs w:val="20"/>
              </w:rPr>
            </w:pPr>
            <w:r w:rsidRPr="002E688B">
              <w:rPr>
                <w:b w:val="0"/>
                <w:color w:val="auto"/>
                <w:sz w:val="20"/>
                <w:szCs w:val="20"/>
              </w:rPr>
              <w:t>0</w:t>
            </w:r>
          </w:p>
        </w:tc>
      </w:tr>
      <w:tr w:rsidR="00652B7D" w:rsidRPr="00CC3F5A" w:rsidTr="00652B7D">
        <w:trPr>
          <w:cnfStyle w:val="010000000000"/>
          <w:trHeight w:val="606"/>
        </w:trPr>
        <w:tc>
          <w:tcPr>
            <w:cnfStyle w:val="001000000001"/>
            <w:tcW w:w="2835" w:type="dxa"/>
            <w:tcBorders>
              <w:top w:val="single" w:sz="4" w:space="0" w:color="4BACC6" w:themeColor="accent5"/>
              <w:bottom w:val="single" w:sz="4" w:space="0" w:color="4BACC6" w:themeColor="accent5"/>
            </w:tcBorders>
            <w:vAlign w:val="center"/>
          </w:tcPr>
          <w:p w:rsidR="00E51139" w:rsidRPr="00CC3F5A" w:rsidRDefault="00486BDA" w:rsidP="008832F2">
            <w:pPr>
              <w:pStyle w:val="BodyTextIndent"/>
              <w:tabs>
                <w:tab w:val="left" w:pos="709"/>
              </w:tabs>
              <w:ind w:left="0"/>
              <w:rPr>
                <w:b w:val="0"/>
                <w:color w:val="auto"/>
                <w:sz w:val="20"/>
                <w:szCs w:val="20"/>
              </w:rPr>
            </w:pPr>
            <w:r w:rsidRPr="00CC3F5A">
              <w:rPr>
                <w:b w:val="0"/>
                <w:color w:val="auto"/>
                <w:sz w:val="20"/>
                <w:szCs w:val="20"/>
              </w:rPr>
              <w:t>Trade and other Receivables (</w:t>
            </w:r>
            <w:r w:rsidR="00E51139" w:rsidRPr="00CC3F5A">
              <w:rPr>
                <w:b w:val="0"/>
                <w:color w:val="auto"/>
                <w:sz w:val="20"/>
                <w:szCs w:val="20"/>
              </w:rPr>
              <w:t xml:space="preserve">Sundry </w:t>
            </w:r>
            <w:r w:rsidR="00387CBD">
              <w:rPr>
                <w:b w:val="0"/>
                <w:color w:val="auto"/>
                <w:sz w:val="20"/>
                <w:szCs w:val="20"/>
              </w:rPr>
              <w:t xml:space="preserve">&amp; Harbour </w:t>
            </w:r>
            <w:r w:rsidR="00E51139" w:rsidRPr="00CC3F5A">
              <w:rPr>
                <w:b w:val="0"/>
                <w:color w:val="auto"/>
                <w:sz w:val="20"/>
                <w:szCs w:val="20"/>
              </w:rPr>
              <w:t>Debt</w:t>
            </w:r>
            <w:r w:rsidRPr="00CC3F5A">
              <w:rPr>
                <w:b w:val="0"/>
                <w:color w:val="auto"/>
                <w:sz w:val="20"/>
                <w:szCs w:val="20"/>
              </w:rPr>
              <w:t>)</w:t>
            </w:r>
          </w:p>
        </w:tc>
        <w:tc>
          <w:tcPr>
            <w:cnfStyle w:val="000010000000"/>
            <w:tcW w:w="993" w:type="dxa"/>
            <w:tcBorders>
              <w:top w:val="single" w:sz="4" w:space="0" w:color="4BACC6" w:themeColor="accent5"/>
              <w:bottom w:val="single" w:sz="4" w:space="0" w:color="4BACC6" w:themeColor="accent5"/>
            </w:tcBorders>
            <w:vAlign w:val="center"/>
          </w:tcPr>
          <w:p w:rsidR="00E51139" w:rsidRPr="00F43D42" w:rsidRDefault="00066B3C" w:rsidP="008832F2">
            <w:pPr>
              <w:pStyle w:val="BodyTextIndent"/>
              <w:tabs>
                <w:tab w:val="left" w:pos="709"/>
              </w:tabs>
              <w:ind w:left="0"/>
              <w:jc w:val="center"/>
              <w:rPr>
                <w:b w:val="0"/>
                <w:color w:val="auto"/>
                <w:sz w:val="20"/>
                <w:szCs w:val="20"/>
              </w:rPr>
            </w:pPr>
            <w:r w:rsidRPr="00F43D42">
              <w:rPr>
                <w:b w:val="0"/>
                <w:color w:val="auto"/>
                <w:sz w:val="20"/>
                <w:szCs w:val="20"/>
              </w:rPr>
              <w:t>4.2</w:t>
            </w:r>
          </w:p>
        </w:tc>
        <w:tc>
          <w:tcPr>
            <w:tcW w:w="1275" w:type="dxa"/>
            <w:tcBorders>
              <w:top w:val="single" w:sz="4" w:space="0" w:color="4BACC6" w:themeColor="accent5"/>
              <w:bottom w:val="single" w:sz="4" w:space="0" w:color="4BACC6" w:themeColor="accent5"/>
            </w:tcBorders>
            <w:vAlign w:val="center"/>
          </w:tcPr>
          <w:p w:rsidR="00E51139" w:rsidRPr="00F43D42" w:rsidRDefault="00066B3C" w:rsidP="008832F2">
            <w:pPr>
              <w:pStyle w:val="BodyTextIndent"/>
              <w:tabs>
                <w:tab w:val="left" w:pos="709"/>
              </w:tabs>
              <w:ind w:left="0"/>
              <w:jc w:val="center"/>
              <w:cnfStyle w:val="010000000000"/>
              <w:rPr>
                <w:b w:val="0"/>
                <w:color w:val="auto"/>
                <w:sz w:val="20"/>
                <w:szCs w:val="20"/>
              </w:rPr>
            </w:pPr>
            <w:r w:rsidRPr="00F43D42">
              <w:rPr>
                <w:b w:val="0"/>
                <w:color w:val="auto"/>
                <w:sz w:val="20"/>
                <w:szCs w:val="20"/>
              </w:rPr>
              <w:t>4%</w:t>
            </w:r>
          </w:p>
        </w:tc>
        <w:tc>
          <w:tcPr>
            <w:cnfStyle w:val="000010000000"/>
            <w:tcW w:w="1276" w:type="dxa"/>
            <w:tcBorders>
              <w:top w:val="single" w:sz="4" w:space="0" w:color="4BACC6" w:themeColor="accent5"/>
              <w:bottom w:val="single" w:sz="4" w:space="0" w:color="4BACC6" w:themeColor="accent5"/>
            </w:tcBorders>
            <w:vAlign w:val="center"/>
          </w:tcPr>
          <w:p w:rsidR="00E51139" w:rsidRPr="00F43D42" w:rsidRDefault="00066B3C" w:rsidP="008832F2">
            <w:pPr>
              <w:pStyle w:val="BodyTextIndent"/>
              <w:tabs>
                <w:tab w:val="left" w:pos="709"/>
              </w:tabs>
              <w:ind w:left="0"/>
              <w:jc w:val="center"/>
              <w:rPr>
                <w:b w:val="0"/>
                <w:color w:val="auto"/>
                <w:sz w:val="20"/>
                <w:szCs w:val="20"/>
              </w:rPr>
            </w:pPr>
            <w:r w:rsidRPr="00F43D42">
              <w:rPr>
                <w:b w:val="0"/>
                <w:color w:val="auto"/>
                <w:sz w:val="20"/>
                <w:szCs w:val="20"/>
              </w:rPr>
              <w:t>1%</w:t>
            </w:r>
          </w:p>
        </w:tc>
        <w:tc>
          <w:tcPr>
            <w:cnfStyle w:val="000100000010"/>
            <w:tcW w:w="1418" w:type="dxa"/>
            <w:tcBorders>
              <w:top w:val="single" w:sz="4" w:space="0" w:color="4BACC6" w:themeColor="accent5"/>
              <w:bottom w:val="single" w:sz="4" w:space="0" w:color="4BACC6" w:themeColor="accent5"/>
            </w:tcBorders>
            <w:vAlign w:val="center"/>
          </w:tcPr>
          <w:p w:rsidR="00E51139" w:rsidRPr="00F43D42" w:rsidRDefault="00066B3C" w:rsidP="008832F2">
            <w:pPr>
              <w:pStyle w:val="BodyTextIndent"/>
              <w:tabs>
                <w:tab w:val="left" w:pos="709"/>
              </w:tabs>
              <w:ind w:left="0"/>
              <w:jc w:val="center"/>
              <w:rPr>
                <w:b w:val="0"/>
                <w:color w:val="auto"/>
                <w:sz w:val="20"/>
                <w:szCs w:val="20"/>
              </w:rPr>
            </w:pPr>
            <w:r w:rsidRPr="00F43D42">
              <w:rPr>
                <w:b w:val="0"/>
                <w:color w:val="auto"/>
                <w:sz w:val="20"/>
                <w:szCs w:val="20"/>
              </w:rPr>
              <w:t>0.1</w:t>
            </w:r>
          </w:p>
        </w:tc>
      </w:tr>
    </w:tbl>
    <w:p w:rsidR="00387CBD" w:rsidRDefault="00387CBD" w:rsidP="004C1441">
      <w:pPr>
        <w:pStyle w:val="BodyTextIndent"/>
        <w:tabs>
          <w:tab w:val="left" w:pos="567"/>
        </w:tabs>
        <w:ind w:left="567"/>
        <w:rPr>
          <w:color w:val="auto"/>
          <w:sz w:val="20"/>
          <w:szCs w:val="20"/>
        </w:rPr>
      </w:pPr>
    </w:p>
    <w:p w:rsidR="00716C4F" w:rsidRPr="00D42E0B" w:rsidRDefault="00E51139" w:rsidP="004C1441">
      <w:pPr>
        <w:pStyle w:val="BodyTextIndent"/>
        <w:tabs>
          <w:tab w:val="left" w:pos="567"/>
        </w:tabs>
        <w:ind w:left="567"/>
        <w:rPr>
          <w:color w:val="548DD4" w:themeColor="text2" w:themeTint="99"/>
          <w:sz w:val="20"/>
          <w:szCs w:val="20"/>
        </w:rPr>
      </w:pPr>
      <w:r w:rsidRPr="00C16B45">
        <w:rPr>
          <w:color w:val="auto"/>
          <w:sz w:val="20"/>
          <w:szCs w:val="20"/>
        </w:rPr>
        <w:t xml:space="preserve">The Council does not generally allow credit to customers. </w:t>
      </w:r>
      <w:r w:rsidR="0055612A" w:rsidRPr="00C16B45">
        <w:rPr>
          <w:color w:val="auto"/>
          <w:sz w:val="20"/>
          <w:szCs w:val="20"/>
        </w:rPr>
        <w:t xml:space="preserve">Within the </w:t>
      </w:r>
      <w:r w:rsidRPr="00C16B45">
        <w:rPr>
          <w:color w:val="auto"/>
          <w:sz w:val="20"/>
          <w:szCs w:val="20"/>
        </w:rPr>
        <w:t xml:space="preserve">Council’s sundry debt </w:t>
      </w:r>
      <w:r w:rsidR="0055612A" w:rsidRPr="00C16B45">
        <w:rPr>
          <w:color w:val="auto"/>
          <w:sz w:val="20"/>
          <w:szCs w:val="20"/>
        </w:rPr>
        <w:t xml:space="preserve">total </w:t>
      </w:r>
      <w:r w:rsidR="0055612A" w:rsidRPr="00323FE3">
        <w:rPr>
          <w:color w:val="auto"/>
          <w:sz w:val="20"/>
          <w:szCs w:val="20"/>
        </w:rPr>
        <w:t xml:space="preserve">of </w:t>
      </w:r>
      <w:r w:rsidRPr="00323FE3">
        <w:rPr>
          <w:color w:val="auto"/>
          <w:sz w:val="20"/>
          <w:szCs w:val="20"/>
        </w:rPr>
        <w:t>£</w:t>
      </w:r>
      <w:r w:rsidR="00066B3C" w:rsidRPr="00323FE3">
        <w:rPr>
          <w:color w:val="auto"/>
          <w:sz w:val="20"/>
          <w:szCs w:val="20"/>
        </w:rPr>
        <w:t>4.2</w:t>
      </w:r>
      <w:r w:rsidR="0055612A" w:rsidRPr="00323FE3">
        <w:rPr>
          <w:color w:val="auto"/>
          <w:sz w:val="20"/>
          <w:szCs w:val="20"/>
        </w:rPr>
        <w:t>m</w:t>
      </w:r>
      <w:r w:rsidR="00D5605D" w:rsidRPr="00323FE3">
        <w:rPr>
          <w:color w:val="auto"/>
          <w:sz w:val="20"/>
          <w:szCs w:val="20"/>
        </w:rPr>
        <w:t xml:space="preserve"> (£</w:t>
      </w:r>
      <w:r w:rsidR="00CC3F5A" w:rsidRPr="00323FE3">
        <w:rPr>
          <w:color w:val="auto"/>
          <w:sz w:val="20"/>
          <w:szCs w:val="20"/>
        </w:rPr>
        <w:t>3.9</w:t>
      </w:r>
      <w:r w:rsidR="00D5605D" w:rsidRPr="00323FE3">
        <w:rPr>
          <w:color w:val="auto"/>
          <w:sz w:val="20"/>
          <w:szCs w:val="20"/>
        </w:rPr>
        <w:t>m 1</w:t>
      </w:r>
      <w:r w:rsidR="00CC3F5A" w:rsidRPr="00323FE3">
        <w:rPr>
          <w:color w:val="auto"/>
          <w:sz w:val="20"/>
          <w:szCs w:val="20"/>
        </w:rPr>
        <w:t>4</w:t>
      </w:r>
      <w:r w:rsidR="00D5605D" w:rsidRPr="00323FE3">
        <w:rPr>
          <w:color w:val="auto"/>
          <w:sz w:val="20"/>
          <w:szCs w:val="20"/>
        </w:rPr>
        <w:t>/1</w:t>
      </w:r>
      <w:r w:rsidR="00CC3F5A" w:rsidRPr="00323FE3">
        <w:rPr>
          <w:color w:val="auto"/>
          <w:sz w:val="20"/>
          <w:szCs w:val="20"/>
        </w:rPr>
        <w:t>5</w:t>
      </w:r>
      <w:r w:rsidR="00D5605D" w:rsidRPr="00323FE3">
        <w:rPr>
          <w:color w:val="auto"/>
          <w:sz w:val="20"/>
          <w:szCs w:val="20"/>
        </w:rPr>
        <w:t>)</w:t>
      </w:r>
      <w:r w:rsidR="0055612A" w:rsidRPr="00323FE3">
        <w:rPr>
          <w:color w:val="auto"/>
          <w:sz w:val="20"/>
          <w:szCs w:val="20"/>
        </w:rPr>
        <w:t>,</w:t>
      </w:r>
      <w:r w:rsidRPr="00323FE3">
        <w:rPr>
          <w:color w:val="auto"/>
          <w:sz w:val="20"/>
          <w:szCs w:val="20"/>
        </w:rPr>
        <w:t xml:space="preserve"> </w:t>
      </w:r>
      <w:r w:rsidR="00D5605D" w:rsidRPr="00323FE3">
        <w:rPr>
          <w:color w:val="auto"/>
          <w:sz w:val="20"/>
          <w:szCs w:val="20"/>
        </w:rPr>
        <w:t>£</w:t>
      </w:r>
      <w:r w:rsidR="00323FE3" w:rsidRPr="00323FE3">
        <w:rPr>
          <w:color w:val="auto"/>
          <w:sz w:val="20"/>
          <w:szCs w:val="20"/>
        </w:rPr>
        <w:t>0.9</w:t>
      </w:r>
      <w:r w:rsidR="00D5605D" w:rsidRPr="00323FE3">
        <w:rPr>
          <w:color w:val="auto"/>
          <w:sz w:val="20"/>
          <w:szCs w:val="20"/>
        </w:rPr>
        <w:t>m (</w:t>
      </w:r>
      <w:r w:rsidRPr="00323FE3">
        <w:rPr>
          <w:color w:val="auto"/>
          <w:sz w:val="20"/>
          <w:szCs w:val="20"/>
        </w:rPr>
        <w:t>£</w:t>
      </w:r>
      <w:r w:rsidR="00CC3F5A" w:rsidRPr="00323FE3">
        <w:rPr>
          <w:color w:val="auto"/>
          <w:sz w:val="20"/>
          <w:szCs w:val="20"/>
        </w:rPr>
        <w:t>1.0</w:t>
      </w:r>
      <w:r w:rsidR="00FB55B3" w:rsidRPr="00323FE3">
        <w:rPr>
          <w:color w:val="auto"/>
          <w:sz w:val="20"/>
          <w:szCs w:val="20"/>
        </w:rPr>
        <w:t xml:space="preserve">m </w:t>
      </w:r>
      <w:r w:rsidR="00D5605D" w:rsidRPr="00323FE3">
        <w:rPr>
          <w:color w:val="auto"/>
          <w:sz w:val="20"/>
          <w:szCs w:val="20"/>
        </w:rPr>
        <w:t>1</w:t>
      </w:r>
      <w:r w:rsidR="00CC3F5A" w:rsidRPr="00323FE3">
        <w:rPr>
          <w:color w:val="auto"/>
          <w:sz w:val="20"/>
          <w:szCs w:val="20"/>
        </w:rPr>
        <w:t>4</w:t>
      </w:r>
      <w:r w:rsidR="00D5605D" w:rsidRPr="00323FE3">
        <w:rPr>
          <w:color w:val="auto"/>
          <w:sz w:val="20"/>
          <w:szCs w:val="20"/>
        </w:rPr>
        <w:t>/1</w:t>
      </w:r>
      <w:r w:rsidR="00CC3F5A" w:rsidRPr="00323FE3">
        <w:rPr>
          <w:color w:val="auto"/>
          <w:sz w:val="20"/>
          <w:szCs w:val="20"/>
        </w:rPr>
        <w:t>5</w:t>
      </w:r>
      <w:r w:rsidR="00D5605D" w:rsidRPr="00323FE3">
        <w:rPr>
          <w:color w:val="auto"/>
          <w:sz w:val="20"/>
          <w:szCs w:val="20"/>
        </w:rPr>
        <w:t xml:space="preserve">) </w:t>
      </w:r>
      <w:r w:rsidRPr="00323FE3">
        <w:rPr>
          <w:color w:val="auto"/>
          <w:sz w:val="20"/>
          <w:szCs w:val="20"/>
        </w:rPr>
        <w:t>is over three months due for payment. The past due amount can be analysed by age as follows:</w:t>
      </w:r>
    </w:p>
    <w:p w:rsidR="00E50806" w:rsidRPr="00D42E0B" w:rsidRDefault="00E50806" w:rsidP="0054285C">
      <w:pPr>
        <w:pStyle w:val="BodyTextIndent"/>
        <w:tabs>
          <w:tab w:val="left" w:pos="0"/>
        </w:tabs>
        <w:ind w:left="567"/>
        <w:rPr>
          <w:color w:val="548DD4" w:themeColor="text2" w:themeTint="99"/>
          <w:sz w:val="20"/>
          <w:szCs w:val="20"/>
        </w:rPr>
      </w:pPr>
    </w:p>
    <w:tbl>
      <w:tblPr>
        <w:tblStyle w:val="ListTable3-Accent51"/>
        <w:tblW w:w="7797" w:type="dxa"/>
        <w:tblInd w:w="675" w:type="dxa"/>
        <w:tblLook w:val="01E0"/>
      </w:tblPr>
      <w:tblGrid>
        <w:gridCol w:w="2127"/>
        <w:gridCol w:w="4110"/>
        <w:gridCol w:w="1560"/>
      </w:tblGrid>
      <w:tr w:rsidR="00E51139" w:rsidRPr="00CC3F5A" w:rsidTr="00EA44EC">
        <w:trPr>
          <w:cnfStyle w:val="100000000000"/>
        </w:trPr>
        <w:tc>
          <w:tcPr>
            <w:cnfStyle w:val="001000000100"/>
            <w:tcW w:w="2127" w:type="dxa"/>
          </w:tcPr>
          <w:p w:rsidR="00E51139" w:rsidRPr="00CC3F5A" w:rsidRDefault="00E51139" w:rsidP="00E50806">
            <w:pPr>
              <w:pStyle w:val="BodyTextIndent"/>
              <w:tabs>
                <w:tab w:val="left" w:pos="709"/>
              </w:tabs>
              <w:ind w:left="0"/>
              <w:jc w:val="center"/>
              <w:rPr>
                <w:b w:val="0"/>
                <w:color w:val="auto"/>
                <w:sz w:val="20"/>
                <w:szCs w:val="20"/>
              </w:rPr>
            </w:pPr>
            <w:r w:rsidRPr="00CC3F5A">
              <w:rPr>
                <w:b w:val="0"/>
                <w:color w:val="auto"/>
                <w:sz w:val="20"/>
                <w:szCs w:val="20"/>
              </w:rPr>
              <w:t>31</w:t>
            </w:r>
            <w:r w:rsidR="0054285C" w:rsidRPr="00CC3F5A">
              <w:rPr>
                <w:b w:val="0"/>
                <w:color w:val="auto"/>
                <w:sz w:val="20"/>
                <w:szCs w:val="20"/>
                <w:vertAlign w:val="superscript"/>
              </w:rPr>
              <w:t>st</w:t>
            </w:r>
            <w:r w:rsidR="0054285C" w:rsidRPr="00CC3F5A">
              <w:rPr>
                <w:b w:val="0"/>
                <w:color w:val="auto"/>
                <w:sz w:val="20"/>
                <w:szCs w:val="20"/>
              </w:rPr>
              <w:t xml:space="preserve"> March 20</w:t>
            </w:r>
            <w:r w:rsidRPr="00CC3F5A">
              <w:rPr>
                <w:b w:val="0"/>
                <w:color w:val="auto"/>
                <w:sz w:val="20"/>
                <w:szCs w:val="20"/>
              </w:rPr>
              <w:t>1</w:t>
            </w:r>
            <w:r w:rsidR="00CC3F5A" w:rsidRPr="00CC3F5A">
              <w:rPr>
                <w:b w:val="0"/>
                <w:color w:val="auto"/>
                <w:sz w:val="20"/>
                <w:szCs w:val="20"/>
              </w:rPr>
              <w:t>5</w:t>
            </w:r>
          </w:p>
        </w:tc>
        <w:tc>
          <w:tcPr>
            <w:cnfStyle w:val="000010000000"/>
            <w:tcW w:w="4110" w:type="dxa"/>
          </w:tcPr>
          <w:p w:rsidR="00E51139" w:rsidRPr="00CC3F5A" w:rsidRDefault="00E51139" w:rsidP="00E50806">
            <w:pPr>
              <w:pStyle w:val="BodyTextIndent"/>
              <w:tabs>
                <w:tab w:val="left" w:pos="709"/>
              </w:tabs>
              <w:ind w:left="0"/>
              <w:jc w:val="center"/>
              <w:rPr>
                <w:color w:val="auto"/>
                <w:sz w:val="20"/>
                <w:szCs w:val="20"/>
              </w:rPr>
            </w:pPr>
          </w:p>
        </w:tc>
        <w:tc>
          <w:tcPr>
            <w:cnfStyle w:val="000100001000"/>
            <w:tcW w:w="1560" w:type="dxa"/>
          </w:tcPr>
          <w:p w:rsidR="00E51139" w:rsidRPr="00CC3F5A" w:rsidRDefault="0054285C" w:rsidP="00E50806">
            <w:pPr>
              <w:pStyle w:val="BodyTextIndent"/>
              <w:tabs>
                <w:tab w:val="left" w:pos="709"/>
              </w:tabs>
              <w:ind w:left="0"/>
              <w:jc w:val="center"/>
              <w:rPr>
                <w:color w:val="auto"/>
                <w:sz w:val="20"/>
                <w:szCs w:val="20"/>
              </w:rPr>
            </w:pPr>
            <w:r w:rsidRPr="00CC3F5A">
              <w:rPr>
                <w:color w:val="auto"/>
                <w:sz w:val="20"/>
                <w:szCs w:val="20"/>
              </w:rPr>
              <w:t>31</w:t>
            </w:r>
            <w:r w:rsidRPr="00CC3F5A">
              <w:rPr>
                <w:color w:val="auto"/>
                <w:sz w:val="20"/>
                <w:szCs w:val="20"/>
                <w:vertAlign w:val="superscript"/>
              </w:rPr>
              <w:t>st</w:t>
            </w:r>
            <w:r w:rsidRPr="00CC3F5A">
              <w:rPr>
                <w:color w:val="auto"/>
                <w:sz w:val="20"/>
                <w:szCs w:val="20"/>
              </w:rPr>
              <w:t xml:space="preserve"> March 201</w:t>
            </w:r>
            <w:r w:rsidR="00CC3F5A" w:rsidRPr="00CC3F5A">
              <w:rPr>
                <w:color w:val="auto"/>
                <w:sz w:val="20"/>
                <w:szCs w:val="20"/>
              </w:rPr>
              <w:t>6</w:t>
            </w:r>
          </w:p>
        </w:tc>
      </w:tr>
      <w:tr w:rsidR="00E51139" w:rsidRPr="00CC3F5A" w:rsidTr="00EA44EC">
        <w:trPr>
          <w:cnfStyle w:val="000000100000"/>
        </w:trPr>
        <w:tc>
          <w:tcPr>
            <w:cnfStyle w:val="001000000000"/>
            <w:tcW w:w="2127" w:type="dxa"/>
            <w:shd w:val="clear" w:color="auto" w:fill="4BACC6" w:themeFill="accent5"/>
          </w:tcPr>
          <w:p w:rsidR="00E51139" w:rsidRPr="00CC3F5A" w:rsidRDefault="00E51139" w:rsidP="00E50806">
            <w:pPr>
              <w:pStyle w:val="BodyTextIndent"/>
              <w:tabs>
                <w:tab w:val="left" w:pos="709"/>
              </w:tabs>
              <w:ind w:left="0"/>
              <w:jc w:val="center"/>
              <w:rPr>
                <w:b w:val="0"/>
                <w:color w:val="auto"/>
                <w:sz w:val="20"/>
                <w:szCs w:val="20"/>
              </w:rPr>
            </w:pPr>
            <w:r w:rsidRPr="00CC3F5A">
              <w:rPr>
                <w:b w:val="0"/>
                <w:color w:val="auto"/>
                <w:sz w:val="20"/>
                <w:szCs w:val="20"/>
              </w:rPr>
              <w:t>£m</w:t>
            </w:r>
          </w:p>
        </w:tc>
        <w:tc>
          <w:tcPr>
            <w:cnfStyle w:val="000010000000"/>
            <w:tcW w:w="4110" w:type="dxa"/>
            <w:shd w:val="clear" w:color="auto" w:fill="4BACC6" w:themeFill="accent5"/>
          </w:tcPr>
          <w:p w:rsidR="00E51139" w:rsidRPr="00CC3F5A" w:rsidRDefault="00E51139" w:rsidP="00E50806">
            <w:pPr>
              <w:pStyle w:val="BodyTextIndent"/>
              <w:tabs>
                <w:tab w:val="left" w:pos="709"/>
              </w:tabs>
              <w:ind w:left="0"/>
              <w:jc w:val="center"/>
              <w:rPr>
                <w:color w:val="auto"/>
                <w:sz w:val="20"/>
                <w:szCs w:val="20"/>
              </w:rPr>
            </w:pPr>
          </w:p>
        </w:tc>
        <w:tc>
          <w:tcPr>
            <w:cnfStyle w:val="000100000000"/>
            <w:tcW w:w="1560" w:type="dxa"/>
            <w:shd w:val="clear" w:color="auto" w:fill="4BACC6" w:themeFill="accent5"/>
          </w:tcPr>
          <w:p w:rsidR="00E51139" w:rsidRPr="00CC3F5A" w:rsidRDefault="00E51139" w:rsidP="00E50806">
            <w:pPr>
              <w:pStyle w:val="BodyTextIndent"/>
              <w:tabs>
                <w:tab w:val="left" w:pos="709"/>
              </w:tabs>
              <w:ind w:left="0"/>
              <w:jc w:val="center"/>
              <w:rPr>
                <w:b w:val="0"/>
                <w:color w:val="auto"/>
                <w:sz w:val="20"/>
                <w:szCs w:val="20"/>
              </w:rPr>
            </w:pPr>
            <w:r w:rsidRPr="00CC3F5A">
              <w:rPr>
                <w:b w:val="0"/>
                <w:color w:val="auto"/>
                <w:sz w:val="20"/>
                <w:szCs w:val="20"/>
              </w:rPr>
              <w:t>£m</w:t>
            </w:r>
          </w:p>
        </w:tc>
      </w:tr>
      <w:tr w:rsidR="00CC3F5A" w:rsidRPr="00CC3F5A" w:rsidTr="00EA44EC">
        <w:tc>
          <w:tcPr>
            <w:cnfStyle w:val="001000000000"/>
            <w:tcW w:w="2127" w:type="dxa"/>
            <w:vAlign w:val="center"/>
          </w:tcPr>
          <w:p w:rsidR="00CC3F5A" w:rsidRPr="00CC3F5A" w:rsidRDefault="00CC3F5A" w:rsidP="00CC3F5A">
            <w:pPr>
              <w:pStyle w:val="BodyTextIndent"/>
              <w:tabs>
                <w:tab w:val="left" w:pos="709"/>
              </w:tabs>
              <w:ind w:left="0"/>
              <w:jc w:val="center"/>
              <w:rPr>
                <w:b w:val="0"/>
                <w:color w:val="auto"/>
                <w:sz w:val="20"/>
                <w:szCs w:val="20"/>
              </w:rPr>
            </w:pPr>
            <w:r w:rsidRPr="00CC3F5A">
              <w:rPr>
                <w:b w:val="0"/>
                <w:color w:val="auto"/>
                <w:sz w:val="20"/>
                <w:szCs w:val="20"/>
              </w:rPr>
              <w:t>2.9</w:t>
            </w:r>
          </w:p>
        </w:tc>
        <w:tc>
          <w:tcPr>
            <w:cnfStyle w:val="000010000000"/>
            <w:tcW w:w="4110" w:type="dxa"/>
            <w:vAlign w:val="center"/>
          </w:tcPr>
          <w:p w:rsidR="00CC3F5A" w:rsidRPr="00CC3F5A" w:rsidRDefault="00CC3F5A" w:rsidP="00E50806">
            <w:pPr>
              <w:pStyle w:val="BodyTextIndent"/>
              <w:tabs>
                <w:tab w:val="left" w:pos="709"/>
              </w:tabs>
              <w:ind w:left="0"/>
              <w:rPr>
                <w:color w:val="auto"/>
                <w:sz w:val="20"/>
                <w:szCs w:val="20"/>
              </w:rPr>
            </w:pPr>
            <w:r w:rsidRPr="00CC3F5A">
              <w:rPr>
                <w:color w:val="auto"/>
                <w:sz w:val="20"/>
                <w:szCs w:val="20"/>
              </w:rPr>
              <w:t>Less than 3 months</w:t>
            </w:r>
          </w:p>
        </w:tc>
        <w:tc>
          <w:tcPr>
            <w:cnfStyle w:val="000100000000"/>
            <w:tcW w:w="1560" w:type="dxa"/>
            <w:vAlign w:val="center"/>
          </w:tcPr>
          <w:p w:rsidR="00CC3F5A" w:rsidRPr="00CC3F5A" w:rsidRDefault="00323FE3" w:rsidP="00E50806">
            <w:pPr>
              <w:pStyle w:val="BodyTextIndent"/>
              <w:tabs>
                <w:tab w:val="left" w:pos="709"/>
              </w:tabs>
              <w:ind w:left="0"/>
              <w:jc w:val="center"/>
              <w:rPr>
                <w:color w:val="auto"/>
                <w:sz w:val="20"/>
                <w:szCs w:val="20"/>
              </w:rPr>
            </w:pPr>
            <w:r>
              <w:rPr>
                <w:color w:val="auto"/>
                <w:sz w:val="20"/>
                <w:szCs w:val="20"/>
              </w:rPr>
              <w:t>3.3</w:t>
            </w:r>
          </w:p>
        </w:tc>
      </w:tr>
      <w:tr w:rsidR="00CC3F5A" w:rsidRPr="00CC3F5A" w:rsidTr="00EA44EC">
        <w:trPr>
          <w:cnfStyle w:val="000000100000"/>
        </w:trPr>
        <w:tc>
          <w:tcPr>
            <w:cnfStyle w:val="001000000000"/>
            <w:tcW w:w="2127" w:type="dxa"/>
            <w:vAlign w:val="center"/>
          </w:tcPr>
          <w:p w:rsidR="00CC3F5A" w:rsidRPr="00CC3F5A" w:rsidRDefault="00CC3F5A" w:rsidP="00CC3F5A">
            <w:pPr>
              <w:pStyle w:val="BodyTextIndent"/>
              <w:tabs>
                <w:tab w:val="left" w:pos="709"/>
              </w:tabs>
              <w:ind w:left="0"/>
              <w:jc w:val="center"/>
              <w:rPr>
                <w:b w:val="0"/>
                <w:color w:val="auto"/>
                <w:sz w:val="20"/>
                <w:szCs w:val="20"/>
              </w:rPr>
            </w:pPr>
            <w:r w:rsidRPr="00CC3F5A">
              <w:rPr>
                <w:b w:val="0"/>
                <w:color w:val="auto"/>
                <w:sz w:val="20"/>
                <w:szCs w:val="20"/>
              </w:rPr>
              <w:t>0.5</w:t>
            </w:r>
          </w:p>
        </w:tc>
        <w:tc>
          <w:tcPr>
            <w:cnfStyle w:val="000010000000"/>
            <w:tcW w:w="4110" w:type="dxa"/>
            <w:vAlign w:val="center"/>
          </w:tcPr>
          <w:p w:rsidR="00CC3F5A" w:rsidRPr="00CC3F5A" w:rsidRDefault="00CC3F5A" w:rsidP="00E50806">
            <w:pPr>
              <w:pStyle w:val="BodyTextIndent"/>
              <w:tabs>
                <w:tab w:val="left" w:pos="709"/>
              </w:tabs>
              <w:ind w:left="0"/>
              <w:rPr>
                <w:color w:val="auto"/>
                <w:sz w:val="20"/>
                <w:szCs w:val="20"/>
              </w:rPr>
            </w:pPr>
            <w:r w:rsidRPr="00CC3F5A">
              <w:rPr>
                <w:color w:val="auto"/>
                <w:sz w:val="20"/>
                <w:szCs w:val="20"/>
              </w:rPr>
              <w:t>Three months to one year</w:t>
            </w:r>
          </w:p>
        </w:tc>
        <w:tc>
          <w:tcPr>
            <w:cnfStyle w:val="000100000000"/>
            <w:tcW w:w="1560" w:type="dxa"/>
            <w:vAlign w:val="center"/>
          </w:tcPr>
          <w:p w:rsidR="00CC3F5A" w:rsidRPr="00CC3F5A" w:rsidRDefault="00323FE3" w:rsidP="00E50806">
            <w:pPr>
              <w:pStyle w:val="BodyTextIndent"/>
              <w:tabs>
                <w:tab w:val="left" w:pos="709"/>
              </w:tabs>
              <w:ind w:left="0"/>
              <w:jc w:val="center"/>
              <w:rPr>
                <w:color w:val="auto"/>
                <w:sz w:val="20"/>
                <w:szCs w:val="20"/>
              </w:rPr>
            </w:pPr>
            <w:r>
              <w:rPr>
                <w:color w:val="auto"/>
                <w:sz w:val="20"/>
                <w:szCs w:val="20"/>
              </w:rPr>
              <w:t>0.4</w:t>
            </w:r>
          </w:p>
        </w:tc>
      </w:tr>
      <w:tr w:rsidR="00CC3F5A" w:rsidRPr="00CC3F5A" w:rsidTr="00EA44EC">
        <w:tc>
          <w:tcPr>
            <w:cnfStyle w:val="001000000000"/>
            <w:tcW w:w="2127" w:type="dxa"/>
            <w:tcBorders>
              <w:top w:val="single" w:sz="4" w:space="0" w:color="4BACC6" w:themeColor="accent5"/>
              <w:bottom w:val="single" w:sz="4" w:space="0" w:color="4BACC6" w:themeColor="accent5"/>
            </w:tcBorders>
            <w:vAlign w:val="center"/>
          </w:tcPr>
          <w:p w:rsidR="00CC3F5A" w:rsidRPr="00CC3F5A" w:rsidRDefault="00CC3F5A" w:rsidP="00CC3F5A">
            <w:pPr>
              <w:pStyle w:val="BodyTextIndent"/>
              <w:tabs>
                <w:tab w:val="left" w:pos="709"/>
              </w:tabs>
              <w:ind w:left="0"/>
              <w:jc w:val="center"/>
              <w:rPr>
                <w:b w:val="0"/>
                <w:color w:val="auto"/>
                <w:sz w:val="20"/>
                <w:szCs w:val="20"/>
              </w:rPr>
            </w:pPr>
            <w:r w:rsidRPr="00CC3F5A">
              <w:rPr>
                <w:b w:val="0"/>
                <w:color w:val="auto"/>
                <w:sz w:val="20"/>
                <w:szCs w:val="20"/>
              </w:rPr>
              <w:t>0.5</w:t>
            </w:r>
          </w:p>
        </w:tc>
        <w:tc>
          <w:tcPr>
            <w:cnfStyle w:val="000010000000"/>
            <w:tcW w:w="4110" w:type="dxa"/>
            <w:tcBorders>
              <w:top w:val="single" w:sz="4" w:space="0" w:color="4BACC6" w:themeColor="accent5"/>
              <w:bottom w:val="single" w:sz="4" w:space="0" w:color="4BACC6" w:themeColor="accent5"/>
            </w:tcBorders>
            <w:vAlign w:val="center"/>
          </w:tcPr>
          <w:p w:rsidR="00CC3F5A" w:rsidRPr="00CC3F5A" w:rsidRDefault="00CC3F5A" w:rsidP="00E50806">
            <w:pPr>
              <w:pStyle w:val="BodyTextIndent"/>
              <w:tabs>
                <w:tab w:val="left" w:pos="709"/>
              </w:tabs>
              <w:ind w:left="0"/>
              <w:rPr>
                <w:color w:val="auto"/>
                <w:sz w:val="20"/>
                <w:szCs w:val="20"/>
              </w:rPr>
            </w:pPr>
            <w:r w:rsidRPr="00CC3F5A">
              <w:rPr>
                <w:color w:val="auto"/>
                <w:sz w:val="20"/>
                <w:szCs w:val="20"/>
              </w:rPr>
              <w:t>More than one year</w:t>
            </w:r>
          </w:p>
        </w:tc>
        <w:tc>
          <w:tcPr>
            <w:cnfStyle w:val="000100000000"/>
            <w:tcW w:w="1560" w:type="dxa"/>
            <w:tcBorders>
              <w:top w:val="single" w:sz="4" w:space="0" w:color="4BACC6" w:themeColor="accent5"/>
              <w:bottom w:val="single" w:sz="4" w:space="0" w:color="4BACC6" w:themeColor="accent5"/>
            </w:tcBorders>
            <w:vAlign w:val="center"/>
          </w:tcPr>
          <w:p w:rsidR="00CC3F5A" w:rsidRPr="00CC3F5A" w:rsidRDefault="00323FE3" w:rsidP="00E50806">
            <w:pPr>
              <w:pStyle w:val="BodyTextIndent"/>
              <w:tabs>
                <w:tab w:val="left" w:pos="709"/>
              </w:tabs>
              <w:ind w:left="0"/>
              <w:jc w:val="center"/>
              <w:rPr>
                <w:color w:val="auto"/>
                <w:sz w:val="20"/>
                <w:szCs w:val="20"/>
              </w:rPr>
            </w:pPr>
            <w:r>
              <w:rPr>
                <w:color w:val="auto"/>
                <w:sz w:val="20"/>
                <w:szCs w:val="20"/>
              </w:rPr>
              <w:t>0.5</w:t>
            </w:r>
          </w:p>
        </w:tc>
      </w:tr>
      <w:tr w:rsidR="00CC3F5A" w:rsidRPr="00CC3F5A" w:rsidTr="00EA44EC">
        <w:trPr>
          <w:cnfStyle w:val="010000000000"/>
        </w:trPr>
        <w:tc>
          <w:tcPr>
            <w:cnfStyle w:val="001000000001"/>
            <w:tcW w:w="2127" w:type="dxa"/>
            <w:tcBorders>
              <w:top w:val="single" w:sz="4" w:space="0" w:color="4BACC6" w:themeColor="accent5"/>
              <w:bottom w:val="single" w:sz="4" w:space="0" w:color="4BACC6" w:themeColor="accent5"/>
            </w:tcBorders>
            <w:vAlign w:val="center"/>
          </w:tcPr>
          <w:p w:rsidR="00CC3F5A" w:rsidRPr="00CC3F5A" w:rsidRDefault="00CC3F5A" w:rsidP="00CC3F5A">
            <w:pPr>
              <w:pStyle w:val="BodyTextIndent"/>
              <w:tabs>
                <w:tab w:val="left" w:pos="709"/>
              </w:tabs>
              <w:ind w:left="0"/>
              <w:jc w:val="center"/>
              <w:rPr>
                <w:b w:val="0"/>
                <w:color w:val="auto"/>
                <w:sz w:val="20"/>
                <w:szCs w:val="20"/>
              </w:rPr>
            </w:pPr>
            <w:r w:rsidRPr="00CC3F5A">
              <w:rPr>
                <w:b w:val="0"/>
                <w:color w:val="auto"/>
                <w:sz w:val="20"/>
                <w:szCs w:val="20"/>
              </w:rPr>
              <w:t>3.9</w:t>
            </w:r>
          </w:p>
        </w:tc>
        <w:tc>
          <w:tcPr>
            <w:cnfStyle w:val="000010000000"/>
            <w:tcW w:w="4110" w:type="dxa"/>
            <w:tcBorders>
              <w:top w:val="single" w:sz="4" w:space="0" w:color="4BACC6" w:themeColor="accent5"/>
              <w:bottom w:val="single" w:sz="4" w:space="0" w:color="4BACC6" w:themeColor="accent5"/>
            </w:tcBorders>
            <w:vAlign w:val="center"/>
          </w:tcPr>
          <w:p w:rsidR="00CC3F5A" w:rsidRPr="00CC3F5A" w:rsidRDefault="00CC3F5A" w:rsidP="00E50806">
            <w:pPr>
              <w:pStyle w:val="BodyTextIndent"/>
              <w:tabs>
                <w:tab w:val="left" w:pos="709"/>
              </w:tabs>
              <w:ind w:left="0"/>
              <w:rPr>
                <w:b w:val="0"/>
                <w:color w:val="auto"/>
                <w:sz w:val="20"/>
                <w:szCs w:val="20"/>
              </w:rPr>
            </w:pPr>
            <w:r w:rsidRPr="00CC3F5A">
              <w:rPr>
                <w:b w:val="0"/>
                <w:color w:val="auto"/>
                <w:sz w:val="20"/>
                <w:szCs w:val="20"/>
              </w:rPr>
              <w:t>Total</w:t>
            </w:r>
          </w:p>
        </w:tc>
        <w:tc>
          <w:tcPr>
            <w:cnfStyle w:val="000100000010"/>
            <w:tcW w:w="1560" w:type="dxa"/>
            <w:tcBorders>
              <w:top w:val="single" w:sz="4" w:space="0" w:color="4BACC6" w:themeColor="accent5"/>
              <w:bottom w:val="single" w:sz="4" w:space="0" w:color="4BACC6" w:themeColor="accent5"/>
            </w:tcBorders>
            <w:vAlign w:val="center"/>
          </w:tcPr>
          <w:p w:rsidR="00CC3F5A" w:rsidRPr="00CC3F5A" w:rsidRDefault="00323FE3" w:rsidP="00E50806">
            <w:pPr>
              <w:pStyle w:val="BodyTextIndent"/>
              <w:tabs>
                <w:tab w:val="left" w:pos="709"/>
              </w:tabs>
              <w:ind w:left="0"/>
              <w:jc w:val="center"/>
              <w:rPr>
                <w:color w:val="auto"/>
                <w:sz w:val="20"/>
                <w:szCs w:val="20"/>
              </w:rPr>
            </w:pPr>
            <w:r>
              <w:rPr>
                <w:color w:val="auto"/>
                <w:sz w:val="20"/>
                <w:szCs w:val="20"/>
              </w:rPr>
              <w:t>4.2</w:t>
            </w:r>
          </w:p>
        </w:tc>
      </w:tr>
    </w:tbl>
    <w:p w:rsidR="00E51139" w:rsidRPr="00D42E0B" w:rsidRDefault="00E51139" w:rsidP="00AD6C46">
      <w:pPr>
        <w:pStyle w:val="BodyTextIndent"/>
        <w:tabs>
          <w:tab w:val="left" w:pos="709"/>
        </w:tabs>
        <w:ind w:left="0"/>
        <w:rPr>
          <w:b/>
          <w:color w:val="548DD4" w:themeColor="text2" w:themeTint="99"/>
          <w:sz w:val="20"/>
          <w:szCs w:val="20"/>
        </w:rPr>
      </w:pPr>
    </w:p>
    <w:p w:rsidR="00E51139" w:rsidRPr="00D42E0B" w:rsidRDefault="00E51139" w:rsidP="0054285C">
      <w:pPr>
        <w:pStyle w:val="BodyTextIndent"/>
        <w:tabs>
          <w:tab w:val="left" w:pos="567"/>
        </w:tabs>
        <w:ind w:left="567"/>
        <w:rPr>
          <w:color w:val="548DD4" w:themeColor="text2" w:themeTint="99"/>
          <w:sz w:val="20"/>
          <w:szCs w:val="20"/>
        </w:rPr>
      </w:pPr>
      <w:r w:rsidRPr="001C4F92">
        <w:rPr>
          <w:color w:val="auto"/>
          <w:sz w:val="20"/>
          <w:szCs w:val="20"/>
        </w:rPr>
        <w:t xml:space="preserve">At year end the level of impairment for </w:t>
      </w:r>
      <w:r w:rsidR="003426EF" w:rsidRPr="001C4F92">
        <w:rPr>
          <w:color w:val="auto"/>
          <w:sz w:val="20"/>
          <w:szCs w:val="20"/>
        </w:rPr>
        <w:t xml:space="preserve">all </w:t>
      </w:r>
      <w:r w:rsidRPr="001C4F92">
        <w:rPr>
          <w:color w:val="auto"/>
          <w:sz w:val="20"/>
          <w:szCs w:val="20"/>
        </w:rPr>
        <w:t xml:space="preserve">Council debt is assessed and reflected in the value of the impairment disclosed in the debtors </w:t>
      </w:r>
      <w:r w:rsidRPr="0088326E">
        <w:rPr>
          <w:color w:val="auto"/>
          <w:sz w:val="20"/>
          <w:szCs w:val="20"/>
        </w:rPr>
        <w:t xml:space="preserve">note (note </w:t>
      </w:r>
      <w:r w:rsidR="00211D11" w:rsidRPr="0088326E">
        <w:rPr>
          <w:color w:val="auto"/>
          <w:sz w:val="20"/>
          <w:szCs w:val="20"/>
        </w:rPr>
        <w:t>16</w:t>
      </w:r>
      <w:r w:rsidRPr="0088326E">
        <w:rPr>
          <w:color w:val="auto"/>
          <w:sz w:val="20"/>
          <w:szCs w:val="20"/>
        </w:rPr>
        <w:t>).</w:t>
      </w:r>
    </w:p>
    <w:p w:rsidR="00E51139" w:rsidRPr="0035151A" w:rsidRDefault="00E51139" w:rsidP="0054285C">
      <w:pPr>
        <w:pStyle w:val="BodyTextIndent"/>
        <w:tabs>
          <w:tab w:val="left" w:pos="567"/>
        </w:tabs>
        <w:ind w:left="567"/>
        <w:rPr>
          <w:b/>
          <w:color w:val="auto"/>
          <w:sz w:val="20"/>
          <w:szCs w:val="20"/>
        </w:rPr>
      </w:pPr>
      <w:r w:rsidRPr="0035151A">
        <w:rPr>
          <w:b/>
          <w:color w:val="auto"/>
          <w:sz w:val="20"/>
          <w:szCs w:val="20"/>
        </w:rPr>
        <w:t>Liquidity Risk</w:t>
      </w:r>
    </w:p>
    <w:p w:rsidR="00E51139" w:rsidRPr="0035151A" w:rsidRDefault="00E51139" w:rsidP="0054285C">
      <w:pPr>
        <w:pStyle w:val="BodyTextIndent"/>
        <w:tabs>
          <w:tab w:val="left" w:pos="0"/>
          <w:tab w:val="left" w:pos="567"/>
        </w:tabs>
        <w:ind w:left="567"/>
        <w:rPr>
          <w:color w:val="auto"/>
          <w:sz w:val="20"/>
          <w:szCs w:val="20"/>
        </w:rPr>
      </w:pPr>
      <w:r w:rsidRPr="0035151A">
        <w:rPr>
          <w:color w:val="auto"/>
          <w:sz w:val="20"/>
          <w:szCs w:val="20"/>
        </w:rPr>
        <w:t>As the Council has ready access to borrowings from the Public Works Loans Board and a short term overdraft facility, there is no significant risk that it will be unable to raise finance to meet its commitments under financial instruments. Instead there is a risk that the Council will be bound to replenish a proportion of its borrowings at a time of unfavourable interest rates. The Council’s treasury team aim to ensure that the Council’s borrowing portfolio is spread over a range of maturities by a combination of careful planning of new loans taken out and, (where it is economic to do so), rescheduling debt.</w:t>
      </w:r>
    </w:p>
    <w:p w:rsidR="006E667C" w:rsidRDefault="00E51139" w:rsidP="00403BA0">
      <w:pPr>
        <w:pStyle w:val="BodyTextIndent"/>
        <w:tabs>
          <w:tab w:val="left" w:pos="0"/>
          <w:tab w:val="left" w:pos="567"/>
        </w:tabs>
        <w:ind w:left="567"/>
        <w:rPr>
          <w:color w:val="auto"/>
          <w:sz w:val="20"/>
          <w:szCs w:val="20"/>
        </w:rPr>
      </w:pPr>
      <w:r w:rsidRPr="0035151A">
        <w:rPr>
          <w:color w:val="auto"/>
          <w:sz w:val="20"/>
          <w:szCs w:val="20"/>
        </w:rPr>
        <w:t>The maturity analysis of fixed rate borrowing at fair value is as follows:</w:t>
      </w:r>
    </w:p>
    <w:p w:rsidR="0088326E" w:rsidRDefault="0088326E" w:rsidP="00403BA0">
      <w:pPr>
        <w:pStyle w:val="BodyTextIndent"/>
        <w:tabs>
          <w:tab w:val="left" w:pos="0"/>
          <w:tab w:val="left" w:pos="567"/>
        </w:tabs>
        <w:ind w:left="567"/>
        <w:rPr>
          <w:color w:val="auto"/>
          <w:sz w:val="20"/>
          <w:szCs w:val="20"/>
        </w:rPr>
      </w:pPr>
    </w:p>
    <w:p w:rsidR="0088326E" w:rsidRDefault="0088326E" w:rsidP="00403BA0">
      <w:pPr>
        <w:pStyle w:val="BodyTextIndent"/>
        <w:tabs>
          <w:tab w:val="left" w:pos="0"/>
          <w:tab w:val="left" w:pos="567"/>
        </w:tabs>
        <w:ind w:left="567"/>
        <w:rPr>
          <w:color w:val="auto"/>
          <w:sz w:val="20"/>
          <w:szCs w:val="20"/>
        </w:rPr>
      </w:pPr>
    </w:p>
    <w:p w:rsidR="0088326E" w:rsidRDefault="0088326E" w:rsidP="00403BA0">
      <w:pPr>
        <w:pStyle w:val="BodyTextIndent"/>
        <w:tabs>
          <w:tab w:val="left" w:pos="0"/>
          <w:tab w:val="left" w:pos="567"/>
        </w:tabs>
        <w:ind w:left="567"/>
        <w:rPr>
          <w:color w:val="auto"/>
          <w:sz w:val="20"/>
          <w:szCs w:val="20"/>
        </w:rPr>
      </w:pPr>
    </w:p>
    <w:p w:rsidR="0088326E" w:rsidRDefault="0088326E" w:rsidP="00403BA0">
      <w:pPr>
        <w:pStyle w:val="BodyTextIndent"/>
        <w:tabs>
          <w:tab w:val="left" w:pos="0"/>
          <w:tab w:val="left" w:pos="567"/>
        </w:tabs>
        <w:ind w:left="567"/>
        <w:rPr>
          <w:color w:val="auto"/>
          <w:sz w:val="20"/>
          <w:szCs w:val="20"/>
        </w:rPr>
      </w:pPr>
    </w:p>
    <w:p w:rsidR="0088326E" w:rsidRPr="0035151A" w:rsidRDefault="0088326E" w:rsidP="00403BA0">
      <w:pPr>
        <w:pStyle w:val="BodyTextIndent"/>
        <w:tabs>
          <w:tab w:val="left" w:pos="0"/>
          <w:tab w:val="left" w:pos="567"/>
        </w:tabs>
        <w:ind w:left="567"/>
        <w:rPr>
          <w:color w:val="auto"/>
          <w:sz w:val="20"/>
          <w:szCs w:val="20"/>
        </w:rPr>
      </w:pPr>
    </w:p>
    <w:p w:rsidR="00E51139" w:rsidRPr="00D42E0B" w:rsidRDefault="00E51139" w:rsidP="00AD6C46">
      <w:pPr>
        <w:pStyle w:val="BodyTextIndent"/>
        <w:tabs>
          <w:tab w:val="left" w:pos="0"/>
        </w:tabs>
        <w:ind w:left="0"/>
        <w:rPr>
          <w:color w:val="548DD4" w:themeColor="text2" w:themeTint="99"/>
          <w:sz w:val="20"/>
          <w:szCs w:val="20"/>
        </w:rPr>
      </w:pPr>
    </w:p>
    <w:tbl>
      <w:tblPr>
        <w:tblStyle w:val="ListTable3-Accent51"/>
        <w:tblW w:w="8821" w:type="dxa"/>
        <w:tblInd w:w="643" w:type="dxa"/>
        <w:tblLook w:val="01E0"/>
      </w:tblPr>
      <w:tblGrid>
        <w:gridCol w:w="2017"/>
        <w:gridCol w:w="4536"/>
        <w:gridCol w:w="2268"/>
      </w:tblGrid>
      <w:tr w:rsidR="00E51139" w:rsidRPr="00CC3F5A" w:rsidTr="004C1441">
        <w:trPr>
          <w:cnfStyle w:val="100000000000"/>
        </w:trPr>
        <w:tc>
          <w:tcPr>
            <w:cnfStyle w:val="001000000100"/>
            <w:tcW w:w="2017" w:type="dxa"/>
          </w:tcPr>
          <w:p w:rsidR="00E51139" w:rsidRDefault="0054285C" w:rsidP="00CE6D72">
            <w:pPr>
              <w:pStyle w:val="BodyTextIndent"/>
              <w:tabs>
                <w:tab w:val="left" w:pos="709"/>
              </w:tabs>
              <w:ind w:left="0"/>
              <w:jc w:val="center"/>
              <w:rPr>
                <w:b w:val="0"/>
                <w:color w:val="auto"/>
                <w:sz w:val="20"/>
                <w:szCs w:val="20"/>
              </w:rPr>
            </w:pPr>
            <w:r w:rsidRPr="00CC3F5A">
              <w:rPr>
                <w:b w:val="0"/>
                <w:color w:val="auto"/>
                <w:sz w:val="20"/>
                <w:szCs w:val="20"/>
              </w:rPr>
              <w:lastRenderedPageBreak/>
              <w:t>31</w:t>
            </w:r>
            <w:r w:rsidRPr="00CC3F5A">
              <w:rPr>
                <w:b w:val="0"/>
                <w:color w:val="auto"/>
                <w:sz w:val="20"/>
                <w:szCs w:val="20"/>
                <w:vertAlign w:val="superscript"/>
              </w:rPr>
              <w:t>st</w:t>
            </w:r>
            <w:r w:rsidRPr="00CC3F5A">
              <w:rPr>
                <w:b w:val="0"/>
                <w:color w:val="auto"/>
                <w:sz w:val="20"/>
                <w:szCs w:val="20"/>
              </w:rPr>
              <w:t xml:space="preserve"> March 201</w:t>
            </w:r>
            <w:r w:rsidR="00CC3F5A" w:rsidRPr="00CC3F5A">
              <w:rPr>
                <w:b w:val="0"/>
                <w:color w:val="auto"/>
                <w:sz w:val="20"/>
                <w:szCs w:val="20"/>
              </w:rPr>
              <w:t>5</w:t>
            </w:r>
          </w:p>
          <w:p w:rsidR="00F82E5E" w:rsidRPr="00CC3F5A" w:rsidRDefault="00F82E5E" w:rsidP="00CE6D72">
            <w:pPr>
              <w:pStyle w:val="BodyTextIndent"/>
              <w:tabs>
                <w:tab w:val="left" w:pos="709"/>
              </w:tabs>
              <w:ind w:left="0"/>
              <w:jc w:val="center"/>
              <w:rPr>
                <w:color w:val="auto"/>
                <w:sz w:val="20"/>
                <w:szCs w:val="20"/>
              </w:rPr>
            </w:pPr>
            <w:r>
              <w:rPr>
                <w:b w:val="0"/>
                <w:color w:val="auto"/>
                <w:sz w:val="20"/>
                <w:szCs w:val="20"/>
              </w:rPr>
              <w:t>Re-stated</w:t>
            </w:r>
          </w:p>
        </w:tc>
        <w:tc>
          <w:tcPr>
            <w:cnfStyle w:val="000010000000"/>
            <w:tcW w:w="4536" w:type="dxa"/>
          </w:tcPr>
          <w:p w:rsidR="00E51139" w:rsidRPr="00CC3F5A" w:rsidRDefault="00E51139" w:rsidP="00CE6D72">
            <w:pPr>
              <w:pStyle w:val="BodyTextIndent"/>
              <w:tabs>
                <w:tab w:val="left" w:pos="709"/>
              </w:tabs>
              <w:ind w:left="0"/>
              <w:rPr>
                <w:color w:val="auto"/>
                <w:sz w:val="20"/>
                <w:szCs w:val="20"/>
              </w:rPr>
            </w:pPr>
          </w:p>
        </w:tc>
        <w:tc>
          <w:tcPr>
            <w:cnfStyle w:val="000100001000"/>
            <w:tcW w:w="2268" w:type="dxa"/>
          </w:tcPr>
          <w:p w:rsidR="00E51139" w:rsidRPr="00CC3F5A" w:rsidRDefault="0054285C" w:rsidP="00CE6D72">
            <w:pPr>
              <w:pStyle w:val="BodyTextIndent"/>
              <w:tabs>
                <w:tab w:val="left" w:pos="709"/>
              </w:tabs>
              <w:ind w:left="0"/>
              <w:jc w:val="center"/>
              <w:rPr>
                <w:color w:val="auto"/>
                <w:sz w:val="20"/>
                <w:szCs w:val="20"/>
              </w:rPr>
            </w:pPr>
            <w:r w:rsidRPr="00CC3F5A">
              <w:rPr>
                <w:color w:val="auto"/>
                <w:sz w:val="20"/>
                <w:szCs w:val="20"/>
              </w:rPr>
              <w:t>31</w:t>
            </w:r>
            <w:r w:rsidRPr="00CC3F5A">
              <w:rPr>
                <w:color w:val="auto"/>
                <w:sz w:val="20"/>
                <w:szCs w:val="20"/>
                <w:vertAlign w:val="superscript"/>
              </w:rPr>
              <w:t>st</w:t>
            </w:r>
            <w:r w:rsidRPr="00CC3F5A">
              <w:rPr>
                <w:color w:val="auto"/>
                <w:sz w:val="20"/>
                <w:szCs w:val="20"/>
              </w:rPr>
              <w:t xml:space="preserve"> March 201</w:t>
            </w:r>
            <w:r w:rsidR="00CC3F5A" w:rsidRPr="00CC3F5A">
              <w:rPr>
                <w:color w:val="auto"/>
                <w:sz w:val="20"/>
                <w:szCs w:val="20"/>
              </w:rPr>
              <w:t>6</w:t>
            </w:r>
          </w:p>
        </w:tc>
      </w:tr>
      <w:tr w:rsidR="00E51139" w:rsidRPr="00CC3F5A" w:rsidTr="004C1441">
        <w:trPr>
          <w:cnfStyle w:val="000000100000"/>
          <w:trHeight w:val="440"/>
        </w:trPr>
        <w:tc>
          <w:tcPr>
            <w:cnfStyle w:val="001000000000"/>
            <w:tcW w:w="2017" w:type="dxa"/>
            <w:shd w:val="clear" w:color="auto" w:fill="4BACC6" w:themeFill="accent5"/>
          </w:tcPr>
          <w:p w:rsidR="00E51139" w:rsidRPr="00CC3F5A" w:rsidRDefault="0054285C" w:rsidP="008060CD">
            <w:pPr>
              <w:pStyle w:val="BodyTextIndent"/>
              <w:tabs>
                <w:tab w:val="left" w:pos="709"/>
              </w:tabs>
              <w:ind w:left="0"/>
              <w:jc w:val="center"/>
              <w:rPr>
                <w:b w:val="0"/>
                <w:color w:val="auto"/>
                <w:sz w:val="20"/>
                <w:szCs w:val="20"/>
              </w:rPr>
            </w:pPr>
            <w:r w:rsidRPr="00CC3F5A">
              <w:rPr>
                <w:b w:val="0"/>
                <w:color w:val="auto"/>
                <w:sz w:val="20"/>
                <w:szCs w:val="20"/>
              </w:rPr>
              <w:t>£m</w:t>
            </w:r>
          </w:p>
        </w:tc>
        <w:tc>
          <w:tcPr>
            <w:cnfStyle w:val="000010000000"/>
            <w:tcW w:w="4536" w:type="dxa"/>
            <w:shd w:val="clear" w:color="auto" w:fill="4BACC6" w:themeFill="accent5"/>
          </w:tcPr>
          <w:p w:rsidR="00E51139" w:rsidRPr="00CC3F5A" w:rsidRDefault="00E51139" w:rsidP="00CE6D72">
            <w:pPr>
              <w:pStyle w:val="BodyTextIndent"/>
              <w:tabs>
                <w:tab w:val="left" w:pos="709"/>
              </w:tabs>
              <w:ind w:left="0"/>
              <w:rPr>
                <w:color w:val="auto"/>
                <w:sz w:val="20"/>
                <w:szCs w:val="20"/>
              </w:rPr>
            </w:pPr>
          </w:p>
        </w:tc>
        <w:tc>
          <w:tcPr>
            <w:cnfStyle w:val="000100000000"/>
            <w:tcW w:w="2268" w:type="dxa"/>
            <w:shd w:val="clear" w:color="auto" w:fill="4BACC6" w:themeFill="accent5"/>
          </w:tcPr>
          <w:p w:rsidR="00E51139" w:rsidRPr="00CC3F5A" w:rsidRDefault="0054285C" w:rsidP="008060CD">
            <w:pPr>
              <w:pStyle w:val="BodyTextIndent"/>
              <w:tabs>
                <w:tab w:val="left" w:pos="709"/>
              </w:tabs>
              <w:ind w:left="0"/>
              <w:jc w:val="center"/>
              <w:rPr>
                <w:color w:val="auto"/>
                <w:sz w:val="20"/>
                <w:szCs w:val="20"/>
              </w:rPr>
            </w:pPr>
            <w:r w:rsidRPr="00CC3F5A">
              <w:rPr>
                <w:color w:val="auto"/>
                <w:sz w:val="20"/>
                <w:szCs w:val="20"/>
              </w:rPr>
              <w:t>£m</w:t>
            </w:r>
          </w:p>
        </w:tc>
      </w:tr>
      <w:tr w:rsidR="00CC3F5A" w:rsidRPr="00CC3F5A" w:rsidTr="004C1441">
        <w:tc>
          <w:tcPr>
            <w:cnfStyle w:val="001000000000"/>
            <w:tcW w:w="2017" w:type="dxa"/>
            <w:vAlign w:val="center"/>
          </w:tcPr>
          <w:p w:rsidR="00CC3F5A" w:rsidRPr="00CC3F5A" w:rsidRDefault="00CC3F5A" w:rsidP="00CC3F5A">
            <w:pPr>
              <w:pStyle w:val="BodyTextIndent"/>
              <w:tabs>
                <w:tab w:val="left" w:pos="709"/>
              </w:tabs>
              <w:ind w:left="0"/>
              <w:jc w:val="center"/>
              <w:rPr>
                <w:b w:val="0"/>
                <w:color w:val="auto"/>
                <w:sz w:val="20"/>
                <w:szCs w:val="20"/>
              </w:rPr>
            </w:pPr>
            <w:r w:rsidRPr="00CC3F5A">
              <w:rPr>
                <w:b w:val="0"/>
                <w:color w:val="auto"/>
                <w:sz w:val="20"/>
                <w:szCs w:val="20"/>
              </w:rPr>
              <w:t>1.3</w:t>
            </w:r>
          </w:p>
        </w:tc>
        <w:tc>
          <w:tcPr>
            <w:cnfStyle w:val="000010000000"/>
            <w:tcW w:w="4536" w:type="dxa"/>
            <w:vAlign w:val="center"/>
          </w:tcPr>
          <w:p w:rsidR="00CC3F5A" w:rsidRPr="00CC3F5A" w:rsidRDefault="00CC3F5A" w:rsidP="008832F2">
            <w:pPr>
              <w:pStyle w:val="BodyTextIndent"/>
              <w:tabs>
                <w:tab w:val="left" w:pos="709"/>
              </w:tabs>
              <w:ind w:left="0"/>
              <w:rPr>
                <w:color w:val="auto"/>
                <w:sz w:val="20"/>
                <w:szCs w:val="20"/>
              </w:rPr>
            </w:pPr>
            <w:r w:rsidRPr="00CC3F5A">
              <w:rPr>
                <w:color w:val="auto"/>
                <w:sz w:val="20"/>
                <w:szCs w:val="20"/>
              </w:rPr>
              <w:t>Less than one year</w:t>
            </w:r>
          </w:p>
        </w:tc>
        <w:tc>
          <w:tcPr>
            <w:cnfStyle w:val="000100000000"/>
            <w:tcW w:w="2268" w:type="dxa"/>
            <w:vAlign w:val="center"/>
          </w:tcPr>
          <w:p w:rsidR="00CC3F5A" w:rsidRPr="00CC3F5A" w:rsidRDefault="00A40A41" w:rsidP="008832F2">
            <w:pPr>
              <w:pStyle w:val="BodyTextIndent"/>
              <w:tabs>
                <w:tab w:val="left" w:pos="709"/>
              </w:tabs>
              <w:ind w:left="0"/>
              <w:jc w:val="center"/>
              <w:rPr>
                <w:color w:val="auto"/>
                <w:sz w:val="20"/>
                <w:szCs w:val="20"/>
              </w:rPr>
            </w:pPr>
            <w:r>
              <w:rPr>
                <w:color w:val="auto"/>
                <w:sz w:val="20"/>
                <w:szCs w:val="20"/>
              </w:rPr>
              <w:t>1.3</w:t>
            </w:r>
          </w:p>
        </w:tc>
      </w:tr>
      <w:tr w:rsidR="00CC3F5A" w:rsidRPr="00CC3F5A" w:rsidTr="004C1441">
        <w:trPr>
          <w:cnfStyle w:val="000000100000"/>
        </w:trPr>
        <w:tc>
          <w:tcPr>
            <w:cnfStyle w:val="001000000000"/>
            <w:tcW w:w="2017" w:type="dxa"/>
            <w:vAlign w:val="center"/>
          </w:tcPr>
          <w:p w:rsidR="00CC3F5A" w:rsidRPr="00CC3F5A" w:rsidRDefault="00CC3F5A" w:rsidP="00CC3F5A">
            <w:pPr>
              <w:pStyle w:val="BodyTextIndent"/>
              <w:tabs>
                <w:tab w:val="left" w:pos="709"/>
              </w:tabs>
              <w:ind w:left="0"/>
              <w:jc w:val="center"/>
              <w:rPr>
                <w:b w:val="0"/>
                <w:color w:val="auto"/>
                <w:sz w:val="20"/>
                <w:szCs w:val="20"/>
              </w:rPr>
            </w:pPr>
            <w:r w:rsidRPr="00CC3F5A">
              <w:rPr>
                <w:b w:val="0"/>
                <w:color w:val="auto"/>
                <w:sz w:val="20"/>
                <w:szCs w:val="20"/>
              </w:rPr>
              <w:t>0</w:t>
            </w:r>
          </w:p>
        </w:tc>
        <w:tc>
          <w:tcPr>
            <w:cnfStyle w:val="000010000000"/>
            <w:tcW w:w="4536" w:type="dxa"/>
            <w:vAlign w:val="center"/>
          </w:tcPr>
          <w:p w:rsidR="00CC3F5A" w:rsidRPr="00CC3F5A" w:rsidRDefault="00CC3F5A" w:rsidP="008832F2">
            <w:pPr>
              <w:pStyle w:val="BodyTextIndent"/>
              <w:tabs>
                <w:tab w:val="left" w:pos="709"/>
              </w:tabs>
              <w:ind w:left="0"/>
              <w:rPr>
                <w:color w:val="auto"/>
                <w:sz w:val="20"/>
                <w:szCs w:val="20"/>
              </w:rPr>
            </w:pPr>
            <w:r w:rsidRPr="00CC3F5A">
              <w:rPr>
                <w:color w:val="auto"/>
                <w:sz w:val="20"/>
                <w:szCs w:val="20"/>
              </w:rPr>
              <w:t>Between one and two years</w:t>
            </w:r>
          </w:p>
        </w:tc>
        <w:tc>
          <w:tcPr>
            <w:cnfStyle w:val="000100000000"/>
            <w:tcW w:w="2268" w:type="dxa"/>
            <w:vAlign w:val="center"/>
          </w:tcPr>
          <w:p w:rsidR="00A40A41" w:rsidRPr="00CC3F5A" w:rsidRDefault="00A40A41" w:rsidP="00F82E5E">
            <w:pPr>
              <w:pStyle w:val="BodyTextIndent"/>
              <w:tabs>
                <w:tab w:val="left" w:pos="709"/>
              </w:tabs>
              <w:ind w:left="0"/>
              <w:jc w:val="center"/>
              <w:rPr>
                <w:color w:val="auto"/>
                <w:sz w:val="20"/>
                <w:szCs w:val="20"/>
              </w:rPr>
            </w:pPr>
            <w:r>
              <w:rPr>
                <w:color w:val="auto"/>
                <w:sz w:val="20"/>
                <w:szCs w:val="20"/>
              </w:rPr>
              <w:t>4.0</w:t>
            </w:r>
          </w:p>
        </w:tc>
      </w:tr>
      <w:tr w:rsidR="00CC3F5A" w:rsidRPr="00CC3F5A" w:rsidTr="004C1441">
        <w:tc>
          <w:tcPr>
            <w:cnfStyle w:val="001000000000"/>
            <w:tcW w:w="2017" w:type="dxa"/>
            <w:vAlign w:val="center"/>
          </w:tcPr>
          <w:p w:rsidR="00CC3F5A" w:rsidRPr="00CC3F5A" w:rsidRDefault="00F82E5E" w:rsidP="00CC3F5A">
            <w:pPr>
              <w:pStyle w:val="BodyTextIndent"/>
              <w:tabs>
                <w:tab w:val="left" w:pos="709"/>
              </w:tabs>
              <w:ind w:left="0"/>
              <w:jc w:val="center"/>
              <w:rPr>
                <w:b w:val="0"/>
                <w:color w:val="auto"/>
                <w:sz w:val="20"/>
                <w:szCs w:val="20"/>
              </w:rPr>
            </w:pPr>
            <w:r>
              <w:rPr>
                <w:b w:val="0"/>
                <w:color w:val="auto"/>
                <w:sz w:val="20"/>
                <w:szCs w:val="20"/>
              </w:rPr>
              <w:t>6</w:t>
            </w:r>
            <w:r w:rsidR="00CC3F5A" w:rsidRPr="00CC3F5A">
              <w:rPr>
                <w:b w:val="0"/>
                <w:color w:val="auto"/>
                <w:sz w:val="20"/>
                <w:szCs w:val="20"/>
              </w:rPr>
              <w:t>.0</w:t>
            </w:r>
          </w:p>
        </w:tc>
        <w:tc>
          <w:tcPr>
            <w:cnfStyle w:val="000010000000"/>
            <w:tcW w:w="4536" w:type="dxa"/>
            <w:vAlign w:val="center"/>
          </w:tcPr>
          <w:p w:rsidR="00CC3F5A" w:rsidRPr="00CC3F5A" w:rsidRDefault="00CC3F5A" w:rsidP="008832F2">
            <w:pPr>
              <w:pStyle w:val="BodyTextIndent"/>
              <w:tabs>
                <w:tab w:val="left" w:pos="709"/>
              </w:tabs>
              <w:ind w:left="0"/>
              <w:rPr>
                <w:color w:val="auto"/>
                <w:sz w:val="20"/>
                <w:szCs w:val="20"/>
              </w:rPr>
            </w:pPr>
            <w:r w:rsidRPr="00CC3F5A">
              <w:rPr>
                <w:color w:val="auto"/>
                <w:sz w:val="20"/>
                <w:szCs w:val="20"/>
              </w:rPr>
              <w:t>Between two and five years</w:t>
            </w:r>
          </w:p>
        </w:tc>
        <w:tc>
          <w:tcPr>
            <w:cnfStyle w:val="000100000000"/>
            <w:tcW w:w="2268" w:type="dxa"/>
            <w:vAlign w:val="center"/>
          </w:tcPr>
          <w:p w:rsidR="00CC3F5A" w:rsidRPr="00CC3F5A" w:rsidRDefault="00A40A41" w:rsidP="008832F2">
            <w:pPr>
              <w:pStyle w:val="BodyTextIndent"/>
              <w:tabs>
                <w:tab w:val="left" w:pos="709"/>
              </w:tabs>
              <w:ind w:left="0"/>
              <w:jc w:val="center"/>
              <w:rPr>
                <w:color w:val="auto"/>
                <w:sz w:val="20"/>
                <w:szCs w:val="20"/>
              </w:rPr>
            </w:pPr>
            <w:r>
              <w:rPr>
                <w:color w:val="auto"/>
                <w:sz w:val="20"/>
                <w:szCs w:val="20"/>
              </w:rPr>
              <w:t>5.0</w:t>
            </w:r>
          </w:p>
        </w:tc>
      </w:tr>
      <w:tr w:rsidR="00CC3F5A" w:rsidRPr="00CC3F5A" w:rsidTr="004C1441">
        <w:trPr>
          <w:cnfStyle w:val="000000100000"/>
        </w:trPr>
        <w:tc>
          <w:tcPr>
            <w:cnfStyle w:val="001000000000"/>
            <w:tcW w:w="2017" w:type="dxa"/>
            <w:vAlign w:val="center"/>
          </w:tcPr>
          <w:p w:rsidR="00CC3F5A" w:rsidRPr="00CC3F5A" w:rsidRDefault="00CC3F5A" w:rsidP="00CC3F5A">
            <w:pPr>
              <w:pStyle w:val="BodyTextIndent"/>
              <w:tabs>
                <w:tab w:val="left" w:pos="709"/>
              </w:tabs>
              <w:ind w:left="0"/>
              <w:jc w:val="center"/>
              <w:rPr>
                <w:b w:val="0"/>
                <w:color w:val="auto"/>
                <w:sz w:val="20"/>
                <w:szCs w:val="20"/>
              </w:rPr>
            </w:pPr>
            <w:r w:rsidRPr="00CC3F5A">
              <w:rPr>
                <w:b w:val="0"/>
                <w:color w:val="auto"/>
                <w:sz w:val="20"/>
                <w:szCs w:val="20"/>
              </w:rPr>
              <w:t>13.0</w:t>
            </w:r>
          </w:p>
        </w:tc>
        <w:tc>
          <w:tcPr>
            <w:cnfStyle w:val="000010000000"/>
            <w:tcW w:w="4536" w:type="dxa"/>
            <w:vAlign w:val="center"/>
          </w:tcPr>
          <w:p w:rsidR="00CC3F5A" w:rsidRPr="00CC3F5A" w:rsidRDefault="00CC3F5A" w:rsidP="008832F2">
            <w:pPr>
              <w:pStyle w:val="BodyTextIndent"/>
              <w:tabs>
                <w:tab w:val="left" w:pos="709"/>
              </w:tabs>
              <w:ind w:left="0"/>
              <w:rPr>
                <w:color w:val="auto"/>
                <w:sz w:val="20"/>
                <w:szCs w:val="20"/>
              </w:rPr>
            </w:pPr>
            <w:r w:rsidRPr="00CC3F5A">
              <w:rPr>
                <w:color w:val="auto"/>
                <w:sz w:val="20"/>
                <w:szCs w:val="20"/>
              </w:rPr>
              <w:t>Between five and ten years</w:t>
            </w:r>
          </w:p>
        </w:tc>
        <w:tc>
          <w:tcPr>
            <w:cnfStyle w:val="000100000000"/>
            <w:tcW w:w="2268" w:type="dxa"/>
            <w:vAlign w:val="center"/>
          </w:tcPr>
          <w:p w:rsidR="00CC3F5A" w:rsidRPr="00CC3F5A" w:rsidRDefault="00A40A41" w:rsidP="008832F2">
            <w:pPr>
              <w:pStyle w:val="BodyTextIndent"/>
              <w:tabs>
                <w:tab w:val="left" w:pos="709"/>
              </w:tabs>
              <w:ind w:left="0"/>
              <w:jc w:val="center"/>
              <w:rPr>
                <w:color w:val="auto"/>
                <w:sz w:val="20"/>
                <w:szCs w:val="20"/>
              </w:rPr>
            </w:pPr>
            <w:r>
              <w:rPr>
                <w:color w:val="auto"/>
                <w:sz w:val="20"/>
                <w:szCs w:val="20"/>
              </w:rPr>
              <w:t>15.0</w:t>
            </w:r>
          </w:p>
        </w:tc>
      </w:tr>
      <w:tr w:rsidR="00CC3F5A" w:rsidRPr="00CC3F5A" w:rsidTr="004C1441">
        <w:tc>
          <w:tcPr>
            <w:cnfStyle w:val="001000000000"/>
            <w:tcW w:w="2017" w:type="dxa"/>
            <w:vAlign w:val="center"/>
          </w:tcPr>
          <w:p w:rsidR="00CC3F5A" w:rsidRPr="00CC3F5A" w:rsidRDefault="00F82E5E" w:rsidP="00CC3F5A">
            <w:pPr>
              <w:pStyle w:val="BodyTextIndent"/>
              <w:tabs>
                <w:tab w:val="left" w:pos="709"/>
              </w:tabs>
              <w:ind w:left="0"/>
              <w:jc w:val="center"/>
              <w:rPr>
                <w:b w:val="0"/>
                <w:color w:val="auto"/>
                <w:sz w:val="20"/>
                <w:szCs w:val="20"/>
              </w:rPr>
            </w:pPr>
            <w:r>
              <w:rPr>
                <w:b w:val="0"/>
                <w:color w:val="auto"/>
                <w:sz w:val="20"/>
                <w:szCs w:val="20"/>
              </w:rPr>
              <w:t>26</w:t>
            </w:r>
            <w:r w:rsidR="00CC3F5A" w:rsidRPr="00CC3F5A">
              <w:rPr>
                <w:b w:val="0"/>
                <w:color w:val="auto"/>
                <w:sz w:val="20"/>
                <w:szCs w:val="20"/>
              </w:rPr>
              <w:t>.1</w:t>
            </w:r>
          </w:p>
        </w:tc>
        <w:tc>
          <w:tcPr>
            <w:cnfStyle w:val="000010000000"/>
            <w:tcW w:w="4536" w:type="dxa"/>
            <w:vAlign w:val="center"/>
          </w:tcPr>
          <w:p w:rsidR="00CC3F5A" w:rsidRPr="00CC3F5A" w:rsidRDefault="00CC3F5A" w:rsidP="008832F2">
            <w:pPr>
              <w:pStyle w:val="BodyTextIndent"/>
              <w:tabs>
                <w:tab w:val="left" w:pos="709"/>
              </w:tabs>
              <w:ind w:left="0"/>
              <w:rPr>
                <w:color w:val="auto"/>
                <w:sz w:val="20"/>
                <w:szCs w:val="20"/>
              </w:rPr>
            </w:pPr>
            <w:r w:rsidRPr="00CC3F5A">
              <w:rPr>
                <w:color w:val="auto"/>
                <w:sz w:val="20"/>
                <w:szCs w:val="20"/>
              </w:rPr>
              <w:t>Between ten and twenty years</w:t>
            </w:r>
          </w:p>
        </w:tc>
        <w:tc>
          <w:tcPr>
            <w:cnfStyle w:val="000100000000"/>
            <w:tcW w:w="2268" w:type="dxa"/>
            <w:vAlign w:val="center"/>
          </w:tcPr>
          <w:p w:rsidR="00CC3F5A" w:rsidRPr="00CC3F5A" w:rsidRDefault="00A40A41" w:rsidP="008832F2">
            <w:pPr>
              <w:pStyle w:val="BodyTextIndent"/>
              <w:tabs>
                <w:tab w:val="left" w:pos="709"/>
              </w:tabs>
              <w:ind w:left="0"/>
              <w:jc w:val="center"/>
              <w:rPr>
                <w:color w:val="auto"/>
                <w:sz w:val="20"/>
                <w:szCs w:val="20"/>
              </w:rPr>
            </w:pPr>
            <w:r>
              <w:rPr>
                <w:color w:val="auto"/>
                <w:sz w:val="20"/>
                <w:szCs w:val="20"/>
              </w:rPr>
              <w:t>21.4</w:t>
            </w:r>
          </w:p>
        </w:tc>
      </w:tr>
      <w:tr w:rsidR="00CC3F5A" w:rsidRPr="00CC3F5A" w:rsidTr="004C1441">
        <w:trPr>
          <w:cnfStyle w:val="000000100000"/>
        </w:trPr>
        <w:tc>
          <w:tcPr>
            <w:cnfStyle w:val="001000000000"/>
            <w:tcW w:w="2017" w:type="dxa"/>
            <w:vAlign w:val="center"/>
          </w:tcPr>
          <w:p w:rsidR="00CC3F5A" w:rsidRPr="00CC3F5A" w:rsidRDefault="00F82E5E" w:rsidP="00CC3F5A">
            <w:pPr>
              <w:pStyle w:val="BodyTextIndent"/>
              <w:tabs>
                <w:tab w:val="left" w:pos="709"/>
              </w:tabs>
              <w:ind w:left="0"/>
              <w:jc w:val="center"/>
              <w:rPr>
                <w:b w:val="0"/>
                <w:color w:val="auto"/>
                <w:sz w:val="20"/>
                <w:szCs w:val="20"/>
              </w:rPr>
            </w:pPr>
            <w:r>
              <w:rPr>
                <w:b w:val="0"/>
                <w:color w:val="auto"/>
                <w:sz w:val="20"/>
                <w:szCs w:val="20"/>
              </w:rPr>
              <w:t>35</w:t>
            </w:r>
            <w:r w:rsidR="00CC3F5A" w:rsidRPr="00CC3F5A">
              <w:rPr>
                <w:b w:val="0"/>
                <w:color w:val="auto"/>
                <w:sz w:val="20"/>
                <w:szCs w:val="20"/>
              </w:rPr>
              <w:t>.</w:t>
            </w:r>
            <w:r>
              <w:rPr>
                <w:b w:val="0"/>
                <w:color w:val="auto"/>
                <w:sz w:val="20"/>
                <w:szCs w:val="20"/>
              </w:rPr>
              <w:t>4</w:t>
            </w:r>
          </w:p>
        </w:tc>
        <w:tc>
          <w:tcPr>
            <w:cnfStyle w:val="000010000000"/>
            <w:tcW w:w="4536" w:type="dxa"/>
            <w:vAlign w:val="center"/>
          </w:tcPr>
          <w:p w:rsidR="00CC3F5A" w:rsidRPr="00CC3F5A" w:rsidRDefault="00CC3F5A" w:rsidP="008832F2">
            <w:pPr>
              <w:pStyle w:val="BodyTextIndent"/>
              <w:tabs>
                <w:tab w:val="left" w:pos="709"/>
              </w:tabs>
              <w:ind w:left="0"/>
              <w:rPr>
                <w:color w:val="auto"/>
                <w:sz w:val="20"/>
                <w:szCs w:val="20"/>
              </w:rPr>
            </w:pPr>
            <w:r w:rsidRPr="00CC3F5A">
              <w:rPr>
                <w:color w:val="auto"/>
                <w:sz w:val="20"/>
                <w:szCs w:val="20"/>
              </w:rPr>
              <w:t>Between twenty and thirty years</w:t>
            </w:r>
          </w:p>
        </w:tc>
        <w:tc>
          <w:tcPr>
            <w:cnfStyle w:val="000100000000"/>
            <w:tcW w:w="2268" w:type="dxa"/>
            <w:vAlign w:val="center"/>
          </w:tcPr>
          <w:p w:rsidR="00CC3F5A" w:rsidRPr="00CC3F5A" w:rsidRDefault="00A40A41" w:rsidP="008832F2">
            <w:pPr>
              <w:pStyle w:val="BodyTextIndent"/>
              <w:tabs>
                <w:tab w:val="left" w:pos="709"/>
              </w:tabs>
              <w:ind w:left="0"/>
              <w:jc w:val="center"/>
              <w:rPr>
                <w:color w:val="auto"/>
                <w:sz w:val="20"/>
                <w:szCs w:val="20"/>
              </w:rPr>
            </w:pPr>
            <w:r>
              <w:rPr>
                <w:color w:val="auto"/>
                <w:sz w:val="20"/>
                <w:szCs w:val="20"/>
              </w:rPr>
              <w:t>38.1</w:t>
            </w:r>
          </w:p>
        </w:tc>
      </w:tr>
      <w:tr w:rsidR="00CC3F5A" w:rsidRPr="00CC3F5A" w:rsidTr="004C1441">
        <w:tc>
          <w:tcPr>
            <w:cnfStyle w:val="001000000000"/>
            <w:tcW w:w="2017" w:type="dxa"/>
            <w:tcBorders>
              <w:top w:val="single" w:sz="4" w:space="0" w:color="4BACC6" w:themeColor="accent5"/>
              <w:bottom w:val="single" w:sz="4" w:space="0" w:color="4BACC6" w:themeColor="accent5"/>
            </w:tcBorders>
            <w:vAlign w:val="center"/>
          </w:tcPr>
          <w:p w:rsidR="00CC3F5A" w:rsidRPr="00CC3F5A" w:rsidRDefault="00CC3F5A" w:rsidP="00F82E5E">
            <w:pPr>
              <w:pStyle w:val="BodyTextIndent"/>
              <w:tabs>
                <w:tab w:val="left" w:pos="709"/>
              </w:tabs>
              <w:ind w:left="0"/>
              <w:jc w:val="center"/>
              <w:rPr>
                <w:b w:val="0"/>
                <w:color w:val="auto"/>
                <w:sz w:val="20"/>
                <w:szCs w:val="20"/>
              </w:rPr>
            </w:pPr>
            <w:r w:rsidRPr="00CC3F5A">
              <w:rPr>
                <w:b w:val="0"/>
                <w:color w:val="auto"/>
                <w:sz w:val="20"/>
                <w:szCs w:val="20"/>
              </w:rPr>
              <w:t>5</w:t>
            </w:r>
            <w:r w:rsidR="00F82E5E">
              <w:rPr>
                <w:b w:val="0"/>
                <w:color w:val="auto"/>
                <w:sz w:val="20"/>
                <w:szCs w:val="20"/>
              </w:rPr>
              <w:t>7</w:t>
            </w:r>
            <w:r w:rsidRPr="00CC3F5A">
              <w:rPr>
                <w:b w:val="0"/>
                <w:color w:val="auto"/>
                <w:sz w:val="20"/>
                <w:szCs w:val="20"/>
              </w:rPr>
              <w:t>.</w:t>
            </w:r>
            <w:r w:rsidR="0035151A">
              <w:rPr>
                <w:b w:val="0"/>
                <w:color w:val="auto"/>
                <w:sz w:val="20"/>
                <w:szCs w:val="20"/>
              </w:rPr>
              <w:t>8</w:t>
            </w:r>
          </w:p>
        </w:tc>
        <w:tc>
          <w:tcPr>
            <w:cnfStyle w:val="000010000000"/>
            <w:tcW w:w="4536" w:type="dxa"/>
            <w:tcBorders>
              <w:top w:val="single" w:sz="4" w:space="0" w:color="4BACC6" w:themeColor="accent5"/>
              <w:bottom w:val="single" w:sz="4" w:space="0" w:color="4BACC6" w:themeColor="accent5"/>
            </w:tcBorders>
            <w:vAlign w:val="center"/>
          </w:tcPr>
          <w:p w:rsidR="00CC3F5A" w:rsidRPr="00CC3F5A" w:rsidRDefault="00CC3F5A" w:rsidP="008832F2">
            <w:pPr>
              <w:pStyle w:val="BodyTextIndent"/>
              <w:tabs>
                <w:tab w:val="left" w:pos="709"/>
              </w:tabs>
              <w:ind w:left="0"/>
              <w:rPr>
                <w:color w:val="auto"/>
                <w:sz w:val="20"/>
                <w:szCs w:val="20"/>
              </w:rPr>
            </w:pPr>
            <w:r w:rsidRPr="00CC3F5A">
              <w:rPr>
                <w:color w:val="auto"/>
                <w:sz w:val="20"/>
                <w:szCs w:val="20"/>
              </w:rPr>
              <w:t>Above thirty years</w:t>
            </w:r>
          </w:p>
        </w:tc>
        <w:tc>
          <w:tcPr>
            <w:cnfStyle w:val="000100000000"/>
            <w:tcW w:w="2268" w:type="dxa"/>
            <w:tcBorders>
              <w:top w:val="single" w:sz="4" w:space="0" w:color="4BACC6" w:themeColor="accent5"/>
              <w:bottom w:val="single" w:sz="4" w:space="0" w:color="4BACC6" w:themeColor="accent5"/>
            </w:tcBorders>
            <w:vAlign w:val="center"/>
          </w:tcPr>
          <w:p w:rsidR="00CC3F5A" w:rsidRPr="00CC3F5A" w:rsidRDefault="00A40A41" w:rsidP="001C5989">
            <w:pPr>
              <w:pStyle w:val="BodyTextIndent"/>
              <w:tabs>
                <w:tab w:val="left" w:pos="709"/>
              </w:tabs>
              <w:ind w:left="0"/>
              <w:jc w:val="center"/>
              <w:rPr>
                <w:color w:val="auto"/>
                <w:sz w:val="20"/>
                <w:szCs w:val="20"/>
              </w:rPr>
            </w:pPr>
            <w:r>
              <w:rPr>
                <w:color w:val="auto"/>
                <w:sz w:val="20"/>
                <w:szCs w:val="20"/>
              </w:rPr>
              <w:t>54.</w:t>
            </w:r>
            <w:r w:rsidR="001C5989">
              <w:rPr>
                <w:color w:val="auto"/>
                <w:sz w:val="20"/>
                <w:szCs w:val="20"/>
              </w:rPr>
              <w:t>8</w:t>
            </w:r>
          </w:p>
        </w:tc>
      </w:tr>
      <w:tr w:rsidR="00CC3F5A" w:rsidRPr="00CC3F5A" w:rsidTr="004C1441">
        <w:trPr>
          <w:cnfStyle w:val="010000000000"/>
        </w:trPr>
        <w:tc>
          <w:tcPr>
            <w:cnfStyle w:val="001000000001"/>
            <w:tcW w:w="2017" w:type="dxa"/>
            <w:tcBorders>
              <w:top w:val="single" w:sz="4" w:space="0" w:color="4BACC6" w:themeColor="accent5"/>
              <w:bottom w:val="single" w:sz="4" w:space="0" w:color="4BACC6" w:themeColor="accent5"/>
            </w:tcBorders>
            <w:vAlign w:val="center"/>
          </w:tcPr>
          <w:p w:rsidR="00CC3F5A" w:rsidRPr="00CC3F5A" w:rsidRDefault="00CC3F5A" w:rsidP="00CC3F5A">
            <w:pPr>
              <w:pStyle w:val="BodyTextIndent"/>
              <w:tabs>
                <w:tab w:val="left" w:pos="709"/>
              </w:tabs>
              <w:ind w:left="0"/>
              <w:jc w:val="center"/>
              <w:rPr>
                <w:b w:val="0"/>
                <w:color w:val="auto"/>
                <w:sz w:val="20"/>
                <w:szCs w:val="20"/>
              </w:rPr>
            </w:pPr>
            <w:r w:rsidRPr="00CC3F5A">
              <w:rPr>
                <w:b w:val="0"/>
                <w:color w:val="auto"/>
                <w:sz w:val="20"/>
                <w:szCs w:val="20"/>
              </w:rPr>
              <w:t>139.6</w:t>
            </w:r>
          </w:p>
        </w:tc>
        <w:tc>
          <w:tcPr>
            <w:cnfStyle w:val="000010000000"/>
            <w:tcW w:w="4536" w:type="dxa"/>
            <w:tcBorders>
              <w:top w:val="single" w:sz="4" w:space="0" w:color="4BACC6" w:themeColor="accent5"/>
              <w:bottom w:val="single" w:sz="4" w:space="0" w:color="4BACC6" w:themeColor="accent5"/>
            </w:tcBorders>
            <w:vAlign w:val="center"/>
          </w:tcPr>
          <w:p w:rsidR="00CC3F5A" w:rsidRPr="00CC3F5A" w:rsidRDefault="00CC3F5A" w:rsidP="008832F2">
            <w:pPr>
              <w:pStyle w:val="BodyTextIndent"/>
              <w:tabs>
                <w:tab w:val="left" w:pos="709"/>
              </w:tabs>
              <w:ind w:left="0"/>
              <w:rPr>
                <w:color w:val="auto"/>
                <w:sz w:val="20"/>
                <w:szCs w:val="20"/>
              </w:rPr>
            </w:pPr>
            <w:r w:rsidRPr="00CC3F5A">
              <w:rPr>
                <w:color w:val="auto"/>
                <w:sz w:val="20"/>
                <w:szCs w:val="20"/>
              </w:rPr>
              <w:t>Total</w:t>
            </w:r>
          </w:p>
        </w:tc>
        <w:tc>
          <w:tcPr>
            <w:cnfStyle w:val="000100000010"/>
            <w:tcW w:w="2268" w:type="dxa"/>
            <w:tcBorders>
              <w:top w:val="single" w:sz="4" w:space="0" w:color="4BACC6" w:themeColor="accent5"/>
              <w:bottom w:val="single" w:sz="4" w:space="0" w:color="4BACC6" w:themeColor="accent5"/>
            </w:tcBorders>
            <w:vAlign w:val="center"/>
          </w:tcPr>
          <w:p w:rsidR="00CC3F5A" w:rsidRPr="00CC3F5A" w:rsidRDefault="00A40A41" w:rsidP="001C5989">
            <w:pPr>
              <w:pStyle w:val="BodyTextIndent"/>
              <w:tabs>
                <w:tab w:val="left" w:pos="709"/>
              </w:tabs>
              <w:ind w:left="0"/>
              <w:jc w:val="center"/>
              <w:rPr>
                <w:color w:val="auto"/>
                <w:sz w:val="20"/>
                <w:szCs w:val="20"/>
              </w:rPr>
            </w:pPr>
            <w:r>
              <w:rPr>
                <w:color w:val="auto"/>
                <w:sz w:val="20"/>
                <w:szCs w:val="20"/>
              </w:rPr>
              <w:t>139.</w:t>
            </w:r>
            <w:r w:rsidR="001C5989">
              <w:rPr>
                <w:color w:val="auto"/>
                <w:sz w:val="20"/>
                <w:szCs w:val="20"/>
              </w:rPr>
              <w:t>6</w:t>
            </w:r>
          </w:p>
        </w:tc>
      </w:tr>
    </w:tbl>
    <w:p w:rsidR="00E51139" w:rsidRPr="00D42E0B" w:rsidRDefault="00E51139" w:rsidP="00AD6C46">
      <w:pPr>
        <w:pStyle w:val="BodyTextIndent"/>
        <w:tabs>
          <w:tab w:val="left" w:pos="0"/>
        </w:tabs>
        <w:ind w:left="0"/>
        <w:rPr>
          <w:color w:val="548DD4" w:themeColor="text2" w:themeTint="99"/>
          <w:sz w:val="20"/>
          <w:szCs w:val="20"/>
        </w:rPr>
      </w:pPr>
    </w:p>
    <w:p w:rsidR="00E51139" w:rsidRPr="001C5989" w:rsidRDefault="00E51139" w:rsidP="00614653">
      <w:pPr>
        <w:pStyle w:val="BodyTextIndent"/>
        <w:tabs>
          <w:tab w:val="left" w:pos="0"/>
        </w:tabs>
        <w:ind w:left="567"/>
        <w:rPr>
          <w:color w:val="auto"/>
          <w:sz w:val="20"/>
          <w:szCs w:val="20"/>
        </w:rPr>
      </w:pPr>
      <w:r w:rsidRPr="001C5989">
        <w:rPr>
          <w:color w:val="auto"/>
          <w:sz w:val="20"/>
          <w:szCs w:val="20"/>
        </w:rPr>
        <w:t>The Council monitors and manages its cash flow on a daily basis to ensure it has, at all times, short term liquidity to meet payables and other liabilities.</w:t>
      </w:r>
    </w:p>
    <w:p w:rsidR="00E51139" w:rsidRPr="001C5989" w:rsidRDefault="00E51139" w:rsidP="00614653">
      <w:pPr>
        <w:pStyle w:val="BodyTextIndent"/>
        <w:tabs>
          <w:tab w:val="left" w:pos="567"/>
        </w:tabs>
        <w:ind w:left="567"/>
        <w:rPr>
          <w:b/>
          <w:color w:val="auto"/>
          <w:sz w:val="20"/>
          <w:szCs w:val="20"/>
        </w:rPr>
      </w:pPr>
      <w:r w:rsidRPr="001C5989">
        <w:rPr>
          <w:b/>
          <w:color w:val="auto"/>
          <w:sz w:val="20"/>
          <w:szCs w:val="20"/>
        </w:rPr>
        <w:t>Market Risk</w:t>
      </w:r>
    </w:p>
    <w:p w:rsidR="00A03B34" w:rsidRPr="001C5989" w:rsidRDefault="00E51139" w:rsidP="009F6115">
      <w:pPr>
        <w:pStyle w:val="BodyTextIndent"/>
        <w:tabs>
          <w:tab w:val="left" w:pos="0"/>
        </w:tabs>
        <w:ind w:left="567"/>
        <w:rPr>
          <w:color w:val="auto"/>
          <w:sz w:val="20"/>
          <w:szCs w:val="20"/>
        </w:rPr>
      </w:pPr>
      <w:r w:rsidRPr="001C5989">
        <w:rPr>
          <w:color w:val="auto"/>
          <w:sz w:val="20"/>
          <w:szCs w:val="20"/>
        </w:rPr>
        <w:t>There are three market related risks the Council is aware of: Interest Rate Risk, Price Risk and Foreign Exchange Risk. Further detail of each risk is outlined below:</w:t>
      </w:r>
    </w:p>
    <w:p w:rsidR="00E51139" w:rsidRPr="001C5989" w:rsidRDefault="00E51139" w:rsidP="009F6115">
      <w:pPr>
        <w:pStyle w:val="BodyTextIndent"/>
        <w:tabs>
          <w:tab w:val="left" w:pos="567"/>
        </w:tabs>
        <w:ind w:left="567"/>
        <w:rPr>
          <w:b/>
          <w:color w:val="auto"/>
          <w:sz w:val="20"/>
          <w:szCs w:val="20"/>
        </w:rPr>
      </w:pPr>
      <w:r w:rsidRPr="001C5989">
        <w:rPr>
          <w:b/>
          <w:color w:val="auto"/>
          <w:sz w:val="20"/>
          <w:szCs w:val="20"/>
        </w:rPr>
        <w:t>Interest Rate Risk</w:t>
      </w:r>
    </w:p>
    <w:p w:rsidR="00E51139" w:rsidRPr="001C5989" w:rsidRDefault="00E51139" w:rsidP="009F6115">
      <w:pPr>
        <w:pStyle w:val="BodyTextIndent"/>
        <w:tabs>
          <w:tab w:val="left" w:pos="0"/>
        </w:tabs>
        <w:ind w:left="567"/>
        <w:rPr>
          <w:color w:val="auto"/>
          <w:sz w:val="20"/>
          <w:szCs w:val="20"/>
        </w:rPr>
      </w:pPr>
      <w:r w:rsidRPr="001C5989">
        <w:rPr>
          <w:color w:val="auto"/>
          <w:sz w:val="20"/>
          <w:szCs w:val="20"/>
        </w:rPr>
        <w:t>The Council is exposed to risk in terms of its exposure to interest rate movements on its borrowing and investments. Movements in interest rates have a complex impact on the Council. For example a rise in interest rates would have the following effects:</w:t>
      </w:r>
    </w:p>
    <w:p w:rsidR="00E51139" w:rsidRPr="001C5989" w:rsidRDefault="00E51139" w:rsidP="003E10DE">
      <w:pPr>
        <w:pStyle w:val="BodyTextIndent"/>
        <w:widowControl w:val="0"/>
        <w:numPr>
          <w:ilvl w:val="2"/>
          <w:numId w:val="17"/>
        </w:numPr>
        <w:tabs>
          <w:tab w:val="clear" w:pos="2505"/>
          <w:tab w:val="num" w:pos="851"/>
          <w:tab w:val="num" w:pos="1418"/>
        </w:tabs>
        <w:adjustRightInd w:val="0"/>
        <w:spacing w:after="0" w:line="360" w:lineRule="atLeast"/>
        <w:ind w:left="1418" w:hanging="284"/>
        <w:jc w:val="both"/>
        <w:textAlignment w:val="baseline"/>
        <w:rPr>
          <w:color w:val="auto"/>
          <w:sz w:val="20"/>
          <w:szCs w:val="20"/>
        </w:rPr>
      </w:pPr>
      <w:r w:rsidRPr="001C5989">
        <w:rPr>
          <w:color w:val="auto"/>
          <w:sz w:val="20"/>
          <w:szCs w:val="20"/>
        </w:rPr>
        <w:t>borrowings at variable rates – the interest expenses charged to the Comprehensive Income and Expenditure will rise</w:t>
      </w:r>
    </w:p>
    <w:p w:rsidR="00E51139" w:rsidRPr="001C5989" w:rsidRDefault="00E51139" w:rsidP="003E10DE">
      <w:pPr>
        <w:pStyle w:val="BodyTextIndent"/>
        <w:widowControl w:val="0"/>
        <w:numPr>
          <w:ilvl w:val="2"/>
          <w:numId w:val="17"/>
        </w:numPr>
        <w:tabs>
          <w:tab w:val="clear" w:pos="2505"/>
          <w:tab w:val="num" w:pos="851"/>
          <w:tab w:val="num" w:pos="1418"/>
        </w:tabs>
        <w:adjustRightInd w:val="0"/>
        <w:spacing w:after="0" w:line="360" w:lineRule="atLeast"/>
        <w:ind w:left="1418" w:hanging="284"/>
        <w:jc w:val="both"/>
        <w:textAlignment w:val="baseline"/>
        <w:rPr>
          <w:color w:val="auto"/>
          <w:sz w:val="20"/>
          <w:szCs w:val="20"/>
        </w:rPr>
      </w:pPr>
      <w:r w:rsidRPr="001C5989">
        <w:rPr>
          <w:color w:val="auto"/>
          <w:sz w:val="20"/>
          <w:szCs w:val="20"/>
        </w:rPr>
        <w:t>borrowings at fixed rates  - the fair value of the liabilities borrowings will rise</w:t>
      </w:r>
    </w:p>
    <w:p w:rsidR="00E51139" w:rsidRPr="001C5989" w:rsidRDefault="00E51139" w:rsidP="003E10DE">
      <w:pPr>
        <w:pStyle w:val="BodyTextIndent"/>
        <w:widowControl w:val="0"/>
        <w:numPr>
          <w:ilvl w:val="2"/>
          <w:numId w:val="17"/>
        </w:numPr>
        <w:tabs>
          <w:tab w:val="clear" w:pos="2505"/>
          <w:tab w:val="num" w:pos="851"/>
          <w:tab w:val="num" w:pos="1418"/>
        </w:tabs>
        <w:adjustRightInd w:val="0"/>
        <w:spacing w:after="0" w:line="360" w:lineRule="atLeast"/>
        <w:ind w:left="1418" w:hanging="284"/>
        <w:jc w:val="both"/>
        <w:textAlignment w:val="baseline"/>
        <w:rPr>
          <w:color w:val="auto"/>
          <w:sz w:val="20"/>
          <w:szCs w:val="20"/>
        </w:rPr>
      </w:pPr>
      <w:r w:rsidRPr="001C5989">
        <w:rPr>
          <w:color w:val="auto"/>
          <w:sz w:val="20"/>
          <w:szCs w:val="20"/>
        </w:rPr>
        <w:t>investments at variable rates – the interest income credited to the Comprehensive Income and Expenditure will rise</w:t>
      </w:r>
    </w:p>
    <w:p w:rsidR="00E51139" w:rsidRPr="001C5989" w:rsidRDefault="00E51139" w:rsidP="003E10DE">
      <w:pPr>
        <w:pStyle w:val="BodyTextIndent"/>
        <w:widowControl w:val="0"/>
        <w:numPr>
          <w:ilvl w:val="2"/>
          <w:numId w:val="17"/>
        </w:numPr>
        <w:tabs>
          <w:tab w:val="clear" w:pos="2505"/>
          <w:tab w:val="num" w:pos="851"/>
          <w:tab w:val="num" w:pos="1418"/>
        </w:tabs>
        <w:adjustRightInd w:val="0"/>
        <w:spacing w:after="0" w:line="360" w:lineRule="atLeast"/>
        <w:ind w:left="1418" w:hanging="284"/>
        <w:jc w:val="both"/>
        <w:textAlignment w:val="baseline"/>
        <w:rPr>
          <w:color w:val="auto"/>
          <w:sz w:val="20"/>
          <w:szCs w:val="20"/>
        </w:rPr>
      </w:pPr>
      <w:r w:rsidRPr="001C5989">
        <w:rPr>
          <w:color w:val="auto"/>
          <w:sz w:val="20"/>
          <w:szCs w:val="20"/>
        </w:rPr>
        <w:t xml:space="preserve">investments at fixed rates - the fair value of the assets will fall </w:t>
      </w:r>
    </w:p>
    <w:p w:rsidR="00E51139" w:rsidRPr="00D42E0B" w:rsidRDefault="00E51139" w:rsidP="009F6115">
      <w:pPr>
        <w:pStyle w:val="BodyTextIndent"/>
        <w:tabs>
          <w:tab w:val="left" w:pos="0"/>
        </w:tabs>
        <w:ind w:left="567"/>
        <w:rPr>
          <w:color w:val="548DD4" w:themeColor="text2" w:themeTint="99"/>
          <w:sz w:val="20"/>
          <w:szCs w:val="20"/>
        </w:rPr>
      </w:pPr>
      <w:r w:rsidRPr="00D42E0B">
        <w:rPr>
          <w:color w:val="548DD4" w:themeColor="text2" w:themeTint="99"/>
          <w:sz w:val="20"/>
          <w:szCs w:val="20"/>
        </w:rPr>
        <w:t xml:space="preserve"> </w:t>
      </w:r>
    </w:p>
    <w:p w:rsidR="00E51139" w:rsidRPr="001C5989" w:rsidRDefault="00E51139" w:rsidP="009F6115">
      <w:pPr>
        <w:pStyle w:val="BodyTextIndent"/>
        <w:tabs>
          <w:tab w:val="left" w:pos="709"/>
        </w:tabs>
        <w:ind w:left="567"/>
        <w:rPr>
          <w:color w:val="auto"/>
          <w:sz w:val="20"/>
          <w:szCs w:val="20"/>
        </w:rPr>
      </w:pPr>
      <w:r w:rsidRPr="001C5989">
        <w:rPr>
          <w:color w:val="auto"/>
          <w:sz w:val="20"/>
          <w:szCs w:val="20"/>
        </w:rPr>
        <w:t>Where the Council has borrow</w:t>
      </w:r>
      <w:r w:rsidR="003426EF" w:rsidRPr="001C5989">
        <w:rPr>
          <w:color w:val="auto"/>
          <w:sz w:val="20"/>
          <w:szCs w:val="20"/>
        </w:rPr>
        <w:t>ed</w:t>
      </w:r>
      <w:r w:rsidRPr="001C5989">
        <w:rPr>
          <w:color w:val="auto"/>
          <w:sz w:val="20"/>
          <w:szCs w:val="20"/>
        </w:rPr>
        <w:t xml:space="preserve"> on a fixed rate basis there will be no variation between the carrying value and fair value, so nominal gains and losses on fixed rate borrowings would not impact on the Income and Expenditure account or Movement in Reserves Statement (MIRS). However any changes in interest payable and receivable on variable rate borrowings and investments will be posted to the Income and Expenditure and effect the general Fund Balance. </w:t>
      </w:r>
    </w:p>
    <w:p w:rsidR="00E51139" w:rsidRPr="001C5989" w:rsidRDefault="00E51139" w:rsidP="009F6115">
      <w:pPr>
        <w:pStyle w:val="BodyTextIndent"/>
        <w:tabs>
          <w:tab w:val="left" w:pos="709"/>
        </w:tabs>
        <w:ind w:left="567"/>
        <w:rPr>
          <w:color w:val="auto"/>
          <w:sz w:val="20"/>
          <w:szCs w:val="20"/>
        </w:rPr>
      </w:pPr>
      <w:r w:rsidRPr="001C5989">
        <w:rPr>
          <w:color w:val="auto"/>
          <w:sz w:val="20"/>
          <w:szCs w:val="20"/>
        </w:rPr>
        <w:t>The Council has a number of strategies for managing interest rate risk. Its policy is to limit its exposure to variable rate loans. As at 31</w:t>
      </w:r>
      <w:r w:rsidRPr="001C5989">
        <w:rPr>
          <w:color w:val="auto"/>
          <w:sz w:val="20"/>
          <w:szCs w:val="20"/>
          <w:vertAlign w:val="superscript"/>
        </w:rPr>
        <w:t>st</w:t>
      </w:r>
      <w:r w:rsidRPr="001C5989">
        <w:rPr>
          <w:color w:val="auto"/>
          <w:sz w:val="20"/>
          <w:szCs w:val="20"/>
        </w:rPr>
        <w:t xml:space="preserve"> March 201</w:t>
      </w:r>
      <w:r w:rsidR="00CC3F5A" w:rsidRPr="001C5989">
        <w:rPr>
          <w:color w:val="auto"/>
          <w:sz w:val="20"/>
          <w:szCs w:val="20"/>
        </w:rPr>
        <w:t>6</w:t>
      </w:r>
      <w:r w:rsidRPr="001C5989">
        <w:rPr>
          <w:color w:val="auto"/>
          <w:sz w:val="20"/>
          <w:szCs w:val="20"/>
        </w:rPr>
        <w:t xml:space="preserve"> the Council </w:t>
      </w:r>
      <w:r w:rsidR="007912C7" w:rsidRPr="001C5989">
        <w:rPr>
          <w:color w:val="auto"/>
          <w:sz w:val="20"/>
          <w:szCs w:val="20"/>
        </w:rPr>
        <w:t>didn’</w:t>
      </w:r>
      <w:r w:rsidR="000212CA" w:rsidRPr="001C5989">
        <w:rPr>
          <w:color w:val="auto"/>
          <w:sz w:val="20"/>
          <w:szCs w:val="20"/>
        </w:rPr>
        <w:t>t</w:t>
      </w:r>
      <w:r w:rsidR="007912C7" w:rsidRPr="001C5989">
        <w:rPr>
          <w:color w:val="auto"/>
          <w:sz w:val="20"/>
          <w:szCs w:val="20"/>
        </w:rPr>
        <w:t xml:space="preserve"> have any PWLB </w:t>
      </w:r>
      <w:r w:rsidRPr="001C5989">
        <w:rPr>
          <w:color w:val="auto"/>
          <w:sz w:val="20"/>
          <w:szCs w:val="20"/>
        </w:rPr>
        <w:t xml:space="preserve">borrowing at variable interest rates </w:t>
      </w:r>
      <w:r w:rsidR="00365143">
        <w:rPr>
          <w:color w:val="auto"/>
          <w:sz w:val="20"/>
          <w:szCs w:val="20"/>
        </w:rPr>
        <w:t xml:space="preserve">however the Council does have </w:t>
      </w:r>
      <w:r w:rsidRPr="001C5989">
        <w:rPr>
          <w:color w:val="auto"/>
          <w:sz w:val="20"/>
          <w:szCs w:val="20"/>
        </w:rPr>
        <w:t>£</w:t>
      </w:r>
      <w:r w:rsidR="009F5274" w:rsidRPr="001C5989">
        <w:rPr>
          <w:color w:val="auto"/>
          <w:sz w:val="20"/>
          <w:szCs w:val="20"/>
        </w:rPr>
        <w:t>10m</w:t>
      </w:r>
      <w:r w:rsidRPr="001C5989">
        <w:rPr>
          <w:color w:val="auto"/>
          <w:sz w:val="20"/>
          <w:szCs w:val="20"/>
        </w:rPr>
        <w:t xml:space="preserve"> </w:t>
      </w:r>
      <w:r w:rsidR="00032333" w:rsidRPr="001C5989">
        <w:rPr>
          <w:color w:val="auto"/>
          <w:sz w:val="20"/>
          <w:szCs w:val="20"/>
        </w:rPr>
        <w:t>i</w:t>
      </w:r>
      <w:r w:rsidRPr="001C5989">
        <w:rPr>
          <w:color w:val="auto"/>
          <w:sz w:val="20"/>
          <w:szCs w:val="20"/>
        </w:rPr>
        <w:t xml:space="preserve">n market loans (LOBO) where in future years the rates could vary. </w:t>
      </w:r>
    </w:p>
    <w:p w:rsidR="00E51139" w:rsidRPr="001C5989" w:rsidRDefault="00E51139" w:rsidP="009F6115">
      <w:pPr>
        <w:pStyle w:val="BodyTextIndent"/>
        <w:tabs>
          <w:tab w:val="left" w:pos="567"/>
        </w:tabs>
        <w:ind w:left="567"/>
        <w:rPr>
          <w:color w:val="auto"/>
          <w:sz w:val="20"/>
          <w:szCs w:val="20"/>
        </w:rPr>
      </w:pPr>
      <w:r w:rsidRPr="001C5989">
        <w:rPr>
          <w:color w:val="auto"/>
          <w:sz w:val="20"/>
          <w:szCs w:val="20"/>
        </w:rPr>
        <w:t xml:space="preserve">The Council’s treasury management team has an active strategy for assessing interest rate exposure that supports the setting of the annual budget and which is used to proactively manage the Council’s investments and borrowings during a year. </w:t>
      </w:r>
    </w:p>
    <w:p w:rsidR="00E51139" w:rsidRPr="00903F4B" w:rsidRDefault="00E51139" w:rsidP="009F6115">
      <w:pPr>
        <w:pStyle w:val="BodyTextIndent"/>
        <w:tabs>
          <w:tab w:val="left" w:pos="709"/>
        </w:tabs>
        <w:ind w:left="567"/>
        <w:rPr>
          <w:color w:val="auto"/>
          <w:sz w:val="20"/>
          <w:szCs w:val="20"/>
        </w:rPr>
      </w:pPr>
      <w:r w:rsidRPr="00903F4B">
        <w:rPr>
          <w:color w:val="auto"/>
          <w:sz w:val="20"/>
          <w:szCs w:val="20"/>
        </w:rPr>
        <w:t>If on the 31</w:t>
      </w:r>
      <w:r w:rsidRPr="00903F4B">
        <w:rPr>
          <w:color w:val="auto"/>
          <w:sz w:val="20"/>
          <w:szCs w:val="20"/>
          <w:vertAlign w:val="superscript"/>
        </w:rPr>
        <w:t>st</w:t>
      </w:r>
      <w:r w:rsidRPr="00903F4B">
        <w:rPr>
          <w:color w:val="auto"/>
          <w:sz w:val="20"/>
          <w:szCs w:val="20"/>
        </w:rPr>
        <w:t xml:space="preserve"> March 201</w:t>
      </w:r>
      <w:r w:rsidR="00CC3F5A" w:rsidRPr="00903F4B">
        <w:rPr>
          <w:color w:val="auto"/>
          <w:sz w:val="20"/>
          <w:szCs w:val="20"/>
        </w:rPr>
        <w:t>6</w:t>
      </w:r>
      <w:r w:rsidRPr="00903F4B">
        <w:rPr>
          <w:color w:val="auto"/>
          <w:sz w:val="20"/>
          <w:szCs w:val="20"/>
        </w:rPr>
        <w:t xml:space="preserve"> the interest rates are 1% higher than the actual interest rates the financial impact would be:</w:t>
      </w:r>
    </w:p>
    <w:p w:rsidR="00E51139" w:rsidRPr="00903F4B" w:rsidRDefault="00E51139" w:rsidP="009F6115">
      <w:pPr>
        <w:pStyle w:val="BodyTextIndent"/>
        <w:tabs>
          <w:tab w:val="left" w:pos="567"/>
        </w:tabs>
        <w:ind w:left="567"/>
        <w:rPr>
          <w:color w:val="auto"/>
          <w:sz w:val="20"/>
          <w:szCs w:val="20"/>
        </w:rPr>
      </w:pPr>
      <w:r w:rsidRPr="00903F4B">
        <w:rPr>
          <w:color w:val="auto"/>
          <w:sz w:val="20"/>
          <w:szCs w:val="20"/>
        </w:rPr>
        <w:t>a) Borrowing:</w:t>
      </w:r>
    </w:p>
    <w:p w:rsidR="00E51139" w:rsidRPr="00903F4B" w:rsidRDefault="00E51139" w:rsidP="009F6115">
      <w:pPr>
        <w:pStyle w:val="BodyTextIndent"/>
        <w:tabs>
          <w:tab w:val="left" w:pos="567"/>
        </w:tabs>
        <w:ind w:left="567"/>
        <w:rPr>
          <w:color w:val="auto"/>
          <w:sz w:val="20"/>
          <w:szCs w:val="20"/>
        </w:rPr>
      </w:pPr>
      <w:r w:rsidRPr="00903F4B">
        <w:rPr>
          <w:color w:val="auto"/>
          <w:sz w:val="20"/>
          <w:szCs w:val="20"/>
        </w:rPr>
        <w:lastRenderedPageBreak/>
        <w:t>The Council had no variable rate borrowing as at 31st March 201</w:t>
      </w:r>
      <w:r w:rsidR="00CC3F5A" w:rsidRPr="00903F4B">
        <w:rPr>
          <w:color w:val="auto"/>
          <w:sz w:val="20"/>
          <w:szCs w:val="20"/>
        </w:rPr>
        <w:t>6</w:t>
      </w:r>
      <w:r w:rsidRPr="00903F4B">
        <w:rPr>
          <w:color w:val="auto"/>
          <w:sz w:val="20"/>
          <w:szCs w:val="20"/>
        </w:rPr>
        <w:t xml:space="preserve"> so there would be no impact. </w:t>
      </w:r>
    </w:p>
    <w:p w:rsidR="00E51139" w:rsidRPr="001C5989" w:rsidRDefault="00E51139" w:rsidP="009F6115">
      <w:pPr>
        <w:pStyle w:val="BodyTextIndent"/>
        <w:tabs>
          <w:tab w:val="left" w:pos="567"/>
        </w:tabs>
        <w:ind w:left="567"/>
        <w:rPr>
          <w:color w:val="auto"/>
          <w:sz w:val="20"/>
          <w:szCs w:val="20"/>
        </w:rPr>
      </w:pPr>
      <w:r w:rsidRPr="001C5989">
        <w:rPr>
          <w:color w:val="auto"/>
          <w:sz w:val="20"/>
          <w:szCs w:val="20"/>
        </w:rPr>
        <w:t>b) Investments</w:t>
      </w:r>
      <w:r w:rsidR="00930218" w:rsidRPr="001C5989">
        <w:rPr>
          <w:color w:val="auto"/>
          <w:sz w:val="20"/>
          <w:szCs w:val="20"/>
        </w:rPr>
        <w:t>:</w:t>
      </w:r>
    </w:p>
    <w:p w:rsidR="00E51139" w:rsidRPr="001C5989" w:rsidRDefault="00E51139" w:rsidP="009F6115">
      <w:pPr>
        <w:pStyle w:val="BodyTextIndent"/>
        <w:tabs>
          <w:tab w:val="left" w:pos="567"/>
        </w:tabs>
        <w:ind w:left="567"/>
        <w:rPr>
          <w:color w:val="auto"/>
          <w:sz w:val="20"/>
          <w:szCs w:val="20"/>
        </w:rPr>
      </w:pPr>
      <w:r w:rsidRPr="001C5989">
        <w:rPr>
          <w:color w:val="auto"/>
          <w:sz w:val="20"/>
          <w:szCs w:val="20"/>
        </w:rPr>
        <w:t>It is reasonable to assume that the Council’s investments in “cash” accounts, money market funds and the fund manger should increase by the change in interest rates. If the Council’s investment in these instruments were maintained at the level as at 31st March 201</w:t>
      </w:r>
      <w:r w:rsidR="00CC3F5A" w:rsidRPr="001C5989">
        <w:rPr>
          <w:color w:val="auto"/>
          <w:sz w:val="20"/>
          <w:szCs w:val="20"/>
        </w:rPr>
        <w:t>6</w:t>
      </w:r>
      <w:r w:rsidR="00C06681" w:rsidRPr="001C5989">
        <w:rPr>
          <w:color w:val="auto"/>
          <w:sz w:val="20"/>
          <w:szCs w:val="20"/>
        </w:rPr>
        <w:t xml:space="preserve"> </w:t>
      </w:r>
      <w:r w:rsidRPr="001C5989">
        <w:rPr>
          <w:color w:val="auto"/>
          <w:sz w:val="20"/>
          <w:szCs w:val="20"/>
        </w:rPr>
        <w:t>for a full</w:t>
      </w:r>
      <w:r w:rsidRPr="00D42E0B">
        <w:rPr>
          <w:color w:val="548DD4" w:themeColor="text2" w:themeTint="99"/>
          <w:sz w:val="20"/>
          <w:szCs w:val="20"/>
        </w:rPr>
        <w:t xml:space="preserve"> </w:t>
      </w:r>
      <w:r w:rsidRPr="001C5989">
        <w:rPr>
          <w:color w:val="auto"/>
          <w:sz w:val="20"/>
          <w:szCs w:val="20"/>
        </w:rPr>
        <w:t>financial year, this would generate an additional £</w:t>
      </w:r>
      <w:r w:rsidR="005E7033" w:rsidRPr="001C5989">
        <w:rPr>
          <w:color w:val="auto"/>
          <w:sz w:val="20"/>
          <w:szCs w:val="20"/>
        </w:rPr>
        <w:t>0.</w:t>
      </w:r>
      <w:r w:rsidR="001C5989" w:rsidRPr="001C5989">
        <w:rPr>
          <w:color w:val="auto"/>
          <w:sz w:val="20"/>
          <w:szCs w:val="20"/>
        </w:rPr>
        <w:t>5</w:t>
      </w:r>
      <w:r w:rsidRPr="001C5989">
        <w:rPr>
          <w:color w:val="auto"/>
          <w:sz w:val="20"/>
          <w:szCs w:val="20"/>
        </w:rPr>
        <w:t xml:space="preserve">m over a year. It should be noted that if the interest rate increase was forecast it is likely the profile of fixed rate deposits would have been invested on that basis. </w:t>
      </w:r>
    </w:p>
    <w:p w:rsidR="00E51139" w:rsidRPr="001C5989" w:rsidRDefault="00E51139" w:rsidP="009F6115">
      <w:pPr>
        <w:pStyle w:val="BodyTextIndent"/>
        <w:tabs>
          <w:tab w:val="left" w:pos="567"/>
        </w:tabs>
        <w:ind w:left="567"/>
        <w:rPr>
          <w:color w:val="auto"/>
          <w:sz w:val="20"/>
          <w:szCs w:val="20"/>
        </w:rPr>
      </w:pPr>
      <w:r w:rsidRPr="001C5989">
        <w:rPr>
          <w:color w:val="auto"/>
          <w:sz w:val="20"/>
          <w:szCs w:val="20"/>
        </w:rPr>
        <w:t xml:space="preserve">The impact of a 1% fall in interest rates would be as above but with the movements being reversed. </w:t>
      </w:r>
    </w:p>
    <w:p w:rsidR="00E51139" w:rsidRPr="001A276C" w:rsidRDefault="00E51139" w:rsidP="009F6115">
      <w:pPr>
        <w:pStyle w:val="BodyTextIndent"/>
        <w:tabs>
          <w:tab w:val="left" w:pos="567"/>
        </w:tabs>
        <w:ind w:left="567"/>
        <w:rPr>
          <w:b/>
          <w:color w:val="auto"/>
          <w:sz w:val="20"/>
          <w:szCs w:val="20"/>
        </w:rPr>
      </w:pPr>
      <w:r w:rsidRPr="001A276C">
        <w:rPr>
          <w:b/>
          <w:color w:val="auto"/>
          <w:sz w:val="20"/>
          <w:szCs w:val="20"/>
        </w:rPr>
        <w:t>Price Risk</w:t>
      </w:r>
    </w:p>
    <w:p w:rsidR="00E51139" w:rsidRPr="001A276C" w:rsidRDefault="00E51139" w:rsidP="009F6115">
      <w:pPr>
        <w:pStyle w:val="BodyTextIndent"/>
        <w:tabs>
          <w:tab w:val="left" w:pos="709"/>
        </w:tabs>
        <w:ind w:left="567"/>
        <w:rPr>
          <w:color w:val="auto"/>
          <w:sz w:val="20"/>
          <w:szCs w:val="20"/>
        </w:rPr>
      </w:pPr>
      <w:r w:rsidRPr="001A276C">
        <w:rPr>
          <w:color w:val="auto"/>
          <w:sz w:val="20"/>
          <w:szCs w:val="20"/>
        </w:rPr>
        <w:t xml:space="preserve">The Council does not generally invest in equity shares. The Council does have an equity interest in a number of companies </w:t>
      </w:r>
      <w:r w:rsidR="001C1FC9" w:rsidRPr="001A276C">
        <w:rPr>
          <w:color w:val="auto"/>
          <w:sz w:val="20"/>
          <w:szCs w:val="20"/>
        </w:rPr>
        <w:t xml:space="preserve">as part of service </w:t>
      </w:r>
      <w:r w:rsidR="001C1FC9" w:rsidRPr="0088326E">
        <w:rPr>
          <w:color w:val="auto"/>
          <w:sz w:val="20"/>
          <w:szCs w:val="20"/>
        </w:rPr>
        <w:t xml:space="preserve">delivery </w:t>
      </w:r>
      <w:r w:rsidRPr="0088326E">
        <w:rPr>
          <w:color w:val="auto"/>
          <w:sz w:val="20"/>
          <w:szCs w:val="20"/>
        </w:rPr>
        <w:t xml:space="preserve">(see note </w:t>
      </w:r>
      <w:r w:rsidR="00350313" w:rsidRPr="0088326E">
        <w:rPr>
          <w:color w:val="auto"/>
          <w:sz w:val="20"/>
          <w:szCs w:val="20"/>
        </w:rPr>
        <w:t>3</w:t>
      </w:r>
      <w:r w:rsidR="00E23A66" w:rsidRPr="0088326E">
        <w:rPr>
          <w:color w:val="auto"/>
          <w:sz w:val="20"/>
          <w:szCs w:val="20"/>
        </w:rPr>
        <w:t>1</w:t>
      </w:r>
      <w:r w:rsidRPr="0088326E">
        <w:rPr>
          <w:color w:val="auto"/>
          <w:sz w:val="20"/>
          <w:szCs w:val="20"/>
        </w:rPr>
        <w:t>).</w:t>
      </w:r>
      <w:r w:rsidRPr="001A276C">
        <w:rPr>
          <w:color w:val="auto"/>
          <w:sz w:val="20"/>
          <w:szCs w:val="20"/>
        </w:rPr>
        <w:t xml:space="preserve"> Of these, only the </w:t>
      </w:r>
      <w:r w:rsidR="001A276C" w:rsidRPr="001A276C">
        <w:rPr>
          <w:color w:val="auto"/>
          <w:sz w:val="20"/>
          <w:szCs w:val="20"/>
        </w:rPr>
        <w:t xml:space="preserve">Council’s minority </w:t>
      </w:r>
      <w:r w:rsidRPr="001A276C">
        <w:rPr>
          <w:color w:val="auto"/>
          <w:sz w:val="20"/>
          <w:szCs w:val="20"/>
        </w:rPr>
        <w:t xml:space="preserve">share holding in TOR2 could lead to a realised share of profits. </w:t>
      </w:r>
    </w:p>
    <w:p w:rsidR="00E51139" w:rsidRPr="001C5989" w:rsidRDefault="00E51139" w:rsidP="009F6115">
      <w:pPr>
        <w:pStyle w:val="BodyTextIndent"/>
        <w:tabs>
          <w:tab w:val="left" w:pos="567"/>
        </w:tabs>
        <w:ind w:left="567"/>
        <w:rPr>
          <w:b/>
          <w:color w:val="auto"/>
          <w:sz w:val="20"/>
          <w:szCs w:val="20"/>
        </w:rPr>
      </w:pPr>
      <w:r w:rsidRPr="001C5989">
        <w:rPr>
          <w:b/>
          <w:color w:val="auto"/>
          <w:sz w:val="20"/>
          <w:szCs w:val="20"/>
        </w:rPr>
        <w:t>Foreign Exchange Risk</w:t>
      </w:r>
    </w:p>
    <w:p w:rsidR="00E51139" w:rsidRPr="001C5989" w:rsidRDefault="00E51139" w:rsidP="009F6115">
      <w:pPr>
        <w:pStyle w:val="BodyTextIndent"/>
        <w:tabs>
          <w:tab w:val="left" w:pos="567"/>
        </w:tabs>
        <w:ind w:left="567"/>
        <w:rPr>
          <w:color w:val="auto"/>
          <w:sz w:val="20"/>
          <w:szCs w:val="20"/>
        </w:rPr>
      </w:pPr>
      <w:r w:rsidRPr="001C5989">
        <w:rPr>
          <w:color w:val="auto"/>
          <w:sz w:val="20"/>
          <w:szCs w:val="20"/>
        </w:rPr>
        <w:t>The Council has no financial assets or liabilities denominated in foreign currencies (except for an occasional non sterling creditor payment) and thus have no exposure to loss arising from movements in exchange rates.</w:t>
      </w:r>
    </w:p>
    <w:p w:rsidR="005C6E43" w:rsidRPr="00D42E0B" w:rsidRDefault="005C6E43" w:rsidP="009F6115">
      <w:pPr>
        <w:pStyle w:val="BodyTextIndent"/>
        <w:tabs>
          <w:tab w:val="left" w:pos="567"/>
        </w:tabs>
        <w:ind w:left="567"/>
        <w:rPr>
          <w:color w:val="548DD4" w:themeColor="text2" w:themeTint="99"/>
          <w:sz w:val="20"/>
          <w:szCs w:val="20"/>
        </w:rPr>
      </w:pPr>
    </w:p>
    <w:p w:rsidR="00E51139" w:rsidRPr="00C16B45" w:rsidRDefault="00E51139" w:rsidP="009F6115">
      <w:pPr>
        <w:pStyle w:val="Subtitle"/>
        <w:ind w:left="567" w:hanging="567"/>
        <w:rPr>
          <w:b/>
          <w:color w:val="auto"/>
          <w:sz w:val="22"/>
          <w:szCs w:val="22"/>
        </w:rPr>
      </w:pPr>
      <w:r w:rsidRPr="00C16B45">
        <w:rPr>
          <w:b/>
          <w:color w:val="auto"/>
          <w:sz w:val="22"/>
          <w:szCs w:val="22"/>
        </w:rPr>
        <w:t>1</w:t>
      </w:r>
      <w:r w:rsidR="00FE0163" w:rsidRPr="00C16B45">
        <w:rPr>
          <w:b/>
          <w:color w:val="auto"/>
          <w:sz w:val="22"/>
          <w:szCs w:val="22"/>
        </w:rPr>
        <w:t>5</w:t>
      </w:r>
      <w:r w:rsidR="009F6115" w:rsidRPr="00C16B45">
        <w:rPr>
          <w:b/>
          <w:color w:val="auto"/>
          <w:sz w:val="22"/>
          <w:szCs w:val="22"/>
        </w:rPr>
        <w:t>.</w:t>
      </w:r>
      <w:r w:rsidRPr="00C16B45">
        <w:rPr>
          <w:b/>
          <w:color w:val="auto"/>
          <w:sz w:val="22"/>
          <w:szCs w:val="22"/>
        </w:rPr>
        <w:tab/>
        <w:t>Investments</w:t>
      </w:r>
    </w:p>
    <w:p w:rsidR="00E51139" w:rsidRPr="00C16B45" w:rsidRDefault="00E51139" w:rsidP="009F6115">
      <w:pPr>
        <w:pStyle w:val="BodyTextIndent"/>
        <w:tabs>
          <w:tab w:val="left" w:pos="567"/>
        </w:tabs>
        <w:ind w:left="567"/>
        <w:rPr>
          <w:b/>
          <w:color w:val="auto"/>
          <w:sz w:val="20"/>
          <w:szCs w:val="20"/>
        </w:rPr>
      </w:pPr>
      <w:r w:rsidRPr="00C16B45">
        <w:rPr>
          <w:b/>
          <w:color w:val="auto"/>
          <w:sz w:val="20"/>
          <w:szCs w:val="20"/>
        </w:rPr>
        <w:t>Long Term Investments</w:t>
      </w:r>
    </w:p>
    <w:p w:rsidR="00E51139" w:rsidRPr="00C16B45" w:rsidRDefault="00E51139" w:rsidP="009F6115">
      <w:pPr>
        <w:pStyle w:val="BodyTextIndent"/>
        <w:tabs>
          <w:tab w:val="left" w:pos="567"/>
        </w:tabs>
        <w:ind w:left="567"/>
        <w:rPr>
          <w:color w:val="auto"/>
          <w:sz w:val="20"/>
          <w:szCs w:val="20"/>
        </w:rPr>
      </w:pPr>
      <w:r w:rsidRPr="00C16B45">
        <w:rPr>
          <w:color w:val="auto"/>
          <w:sz w:val="20"/>
          <w:szCs w:val="20"/>
        </w:rPr>
        <w:t>Long term investments comprise any cash investments the Council has made with a maturity in excess on one year</w:t>
      </w:r>
      <w:r w:rsidR="006F3234">
        <w:rPr>
          <w:color w:val="auto"/>
          <w:sz w:val="20"/>
          <w:szCs w:val="20"/>
        </w:rPr>
        <w:t xml:space="preserve">, an investment in </w:t>
      </w:r>
      <w:r w:rsidR="00E03DDB">
        <w:rPr>
          <w:color w:val="auto"/>
          <w:sz w:val="20"/>
          <w:szCs w:val="20"/>
        </w:rPr>
        <w:t xml:space="preserve">the </w:t>
      </w:r>
      <w:r w:rsidR="00BC7944">
        <w:rPr>
          <w:color w:val="auto"/>
          <w:sz w:val="20"/>
          <w:szCs w:val="20"/>
        </w:rPr>
        <w:t>F</w:t>
      </w:r>
      <w:r w:rsidR="006F3234">
        <w:rPr>
          <w:color w:val="auto"/>
          <w:sz w:val="20"/>
          <w:szCs w:val="20"/>
        </w:rPr>
        <w:t xml:space="preserve">unding </w:t>
      </w:r>
      <w:r w:rsidR="00BC7944">
        <w:rPr>
          <w:color w:val="auto"/>
          <w:sz w:val="20"/>
          <w:szCs w:val="20"/>
        </w:rPr>
        <w:t>C</w:t>
      </w:r>
      <w:r w:rsidR="006F3234">
        <w:rPr>
          <w:color w:val="auto"/>
          <w:sz w:val="20"/>
          <w:szCs w:val="20"/>
        </w:rPr>
        <w:t>ircle</w:t>
      </w:r>
      <w:r w:rsidRPr="00C16B45">
        <w:rPr>
          <w:color w:val="auto"/>
          <w:sz w:val="20"/>
          <w:szCs w:val="20"/>
        </w:rPr>
        <w:t xml:space="preserve"> and the fair value of its investments in its subsidiaries.</w:t>
      </w:r>
    </w:p>
    <w:tbl>
      <w:tblPr>
        <w:tblStyle w:val="ListTable3-Accent51"/>
        <w:tblpPr w:leftFromText="180" w:rightFromText="180" w:vertAnchor="text" w:horzAnchor="margin" w:tblpXSpec="right" w:tblpY="153"/>
        <w:tblW w:w="8330" w:type="dxa"/>
        <w:tblLayout w:type="fixed"/>
        <w:tblLook w:val="0000"/>
      </w:tblPr>
      <w:tblGrid>
        <w:gridCol w:w="1101"/>
        <w:gridCol w:w="992"/>
        <w:gridCol w:w="2551"/>
        <w:gridCol w:w="1276"/>
        <w:gridCol w:w="1276"/>
        <w:gridCol w:w="1134"/>
      </w:tblGrid>
      <w:tr w:rsidR="00FA3843" w:rsidRPr="00026B55" w:rsidTr="008817F4">
        <w:trPr>
          <w:cnfStyle w:val="000000100000"/>
          <w:trHeight w:val="274"/>
        </w:trPr>
        <w:tc>
          <w:tcPr>
            <w:cnfStyle w:val="000010000000"/>
            <w:tcW w:w="2093" w:type="dxa"/>
            <w:gridSpan w:val="2"/>
            <w:shd w:val="clear" w:color="auto" w:fill="4BACC6" w:themeFill="accent5"/>
          </w:tcPr>
          <w:p w:rsidR="00FA3843" w:rsidRPr="00026B55" w:rsidRDefault="00FA3843" w:rsidP="00026B55">
            <w:pPr>
              <w:pStyle w:val="TableRightBold"/>
              <w:ind w:right="142"/>
              <w:jc w:val="center"/>
              <w:rPr>
                <w:rFonts w:ascii="Arial" w:hAnsi="Arial" w:cs="Arial"/>
                <w:b w:val="0"/>
                <w:color w:val="auto"/>
              </w:rPr>
            </w:pPr>
            <w:r w:rsidRPr="00026B55">
              <w:rPr>
                <w:rStyle w:val="Bold"/>
                <w:rFonts w:ascii="Arial" w:hAnsi="Arial" w:cs="Arial"/>
                <w:color w:val="auto"/>
              </w:rPr>
              <w:t>2014/15</w:t>
            </w:r>
          </w:p>
        </w:tc>
        <w:tc>
          <w:tcPr>
            <w:tcW w:w="2551" w:type="dxa"/>
            <w:shd w:val="clear" w:color="auto" w:fill="4BACC6" w:themeFill="accent5"/>
          </w:tcPr>
          <w:p w:rsidR="00FA3843" w:rsidRPr="00026B55" w:rsidRDefault="00FA3843" w:rsidP="009F6115">
            <w:pPr>
              <w:pStyle w:val="TableText"/>
              <w:jc w:val="center"/>
              <w:cnfStyle w:val="000000100000"/>
              <w:rPr>
                <w:rFonts w:ascii="Arial" w:hAnsi="Arial" w:cs="Arial"/>
                <w:color w:val="auto"/>
              </w:rPr>
            </w:pPr>
          </w:p>
        </w:tc>
        <w:tc>
          <w:tcPr>
            <w:cnfStyle w:val="000010000000"/>
            <w:tcW w:w="3686" w:type="dxa"/>
            <w:gridSpan w:val="3"/>
            <w:shd w:val="clear" w:color="auto" w:fill="4BACC6" w:themeFill="accent5"/>
          </w:tcPr>
          <w:p w:rsidR="00FA3843" w:rsidRPr="00026B55" w:rsidRDefault="00FA3843" w:rsidP="00026B55">
            <w:pPr>
              <w:pStyle w:val="TableRightBold"/>
              <w:ind w:right="142"/>
              <w:jc w:val="center"/>
              <w:rPr>
                <w:rStyle w:val="Bold"/>
                <w:rFonts w:ascii="Arial" w:hAnsi="Arial" w:cs="Arial"/>
                <w:b/>
                <w:color w:val="auto"/>
              </w:rPr>
            </w:pPr>
            <w:r w:rsidRPr="00026B55">
              <w:rPr>
                <w:rStyle w:val="Bold"/>
                <w:rFonts w:ascii="Arial" w:hAnsi="Arial" w:cs="Arial"/>
                <w:b/>
                <w:color w:val="auto"/>
              </w:rPr>
              <w:t>2015/16</w:t>
            </w:r>
          </w:p>
        </w:tc>
      </w:tr>
      <w:tr w:rsidR="003B280B" w:rsidRPr="00026B55" w:rsidTr="003B280B">
        <w:trPr>
          <w:trHeight w:val="60"/>
        </w:trPr>
        <w:tc>
          <w:tcPr>
            <w:cnfStyle w:val="000010000000"/>
            <w:tcW w:w="1101" w:type="dxa"/>
            <w:shd w:val="clear" w:color="auto" w:fill="4BACC6" w:themeFill="accent5"/>
          </w:tcPr>
          <w:p w:rsidR="003B280B" w:rsidRPr="00026B55" w:rsidRDefault="003B280B" w:rsidP="009F6115">
            <w:pPr>
              <w:pStyle w:val="TableRight"/>
              <w:ind w:left="0" w:right="142"/>
              <w:jc w:val="center"/>
              <w:rPr>
                <w:rFonts w:ascii="Arial" w:hAnsi="Arial" w:cs="Arial"/>
                <w:color w:val="auto"/>
              </w:rPr>
            </w:pPr>
            <w:r w:rsidRPr="00026B55">
              <w:rPr>
                <w:rFonts w:ascii="Arial" w:hAnsi="Arial" w:cs="Arial"/>
                <w:color w:val="auto"/>
              </w:rPr>
              <w:t>Subsid</w:t>
            </w:r>
            <w:r>
              <w:rPr>
                <w:rFonts w:ascii="Arial" w:hAnsi="Arial" w:cs="Arial"/>
                <w:color w:val="auto"/>
              </w:rPr>
              <w:t>-</w:t>
            </w:r>
            <w:r w:rsidRPr="00026B55">
              <w:rPr>
                <w:rFonts w:ascii="Arial" w:hAnsi="Arial" w:cs="Arial"/>
                <w:color w:val="auto"/>
              </w:rPr>
              <w:t>iary</w:t>
            </w:r>
          </w:p>
        </w:tc>
        <w:tc>
          <w:tcPr>
            <w:tcW w:w="992" w:type="dxa"/>
            <w:shd w:val="clear" w:color="auto" w:fill="4BACC6" w:themeFill="accent5"/>
          </w:tcPr>
          <w:p w:rsidR="003B280B" w:rsidRPr="00026B55" w:rsidRDefault="003B280B" w:rsidP="009F6115">
            <w:pPr>
              <w:pStyle w:val="TableRight"/>
              <w:ind w:left="0" w:right="142"/>
              <w:jc w:val="center"/>
              <w:cnfStyle w:val="000000000000"/>
              <w:rPr>
                <w:rFonts w:ascii="Arial" w:hAnsi="Arial" w:cs="Arial"/>
                <w:color w:val="auto"/>
              </w:rPr>
            </w:pPr>
            <w:r w:rsidRPr="00026B55">
              <w:rPr>
                <w:rFonts w:ascii="Arial" w:hAnsi="Arial" w:cs="Arial"/>
                <w:color w:val="auto"/>
              </w:rPr>
              <w:t xml:space="preserve">Money </w:t>
            </w:r>
          </w:p>
          <w:p w:rsidR="003B280B" w:rsidRPr="00026B55" w:rsidRDefault="003B280B" w:rsidP="009F6115">
            <w:pPr>
              <w:pStyle w:val="TableRight"/>
              <w:ind w:left="0" w:right="142"/>
              <w:jc w:val="center"/>
              <w:cnfStyle w:val="000000000000"/>
              <w:rPr>
                <w:rFonts w:ascii="Arial" w:hAnsi="Arial" w:cs="Arial"/>
                <w:color w:val="auto"/>
              </w:rPr>
            </w:pPr>
            <w:r w:rsidRPr="00026B55">
              <w:rPr>
                <w:rFonts w:ascii="Arial" w:hAnsi="Arial" w:cs="Arial"/>
                <w:color w:val="auto"/>
              </w:rPr>
              <w:t>Market</w:t>
            </w:r>
          </w:p>
        </w:tc>
        <w:tc>
          <w:tcPr>
            <w:cnfStyle w:val="000010000000"/>
            <w:tcW w:w="2551" w:type="dxa"/>
            <w:shd w:val="clear" w:color="auto" w:fill="4BACC6" w:themeFill="accent5"/>
          </w:tcPr>
          <w:p w:rsidR="003B280B" w:rsidRPr="00026B55" w:rsidRDefault="003B280B" w:rsidP="009F6115">
            <w:pPr>
              <w:pStyle w:val="TableText"/>
              <w:ind w:left="0"/>
              <w:rPr>
                <w:rFonts w:ascii="Arial" w:hAnsi="Arial" w:cs="Arial"/>
                <w:color w:val="auto"/>
              </w:rPr>
            </w:pPr>
          </w:p>
        </w:tc>
        <w:tc>
          <w:tcPr>
            <w:tcW w:w="1276" w:type="dxa"/>
            <w:shd w:val="clear" w:color="auto" w:fill="4BACC6" w:themeFill="accent5"/>
          </w:tcPr>
          <w:p w:rsidR="003B280B" w:rsidRPr="00026B55" w:rsidRDefault="003B280B" w:rsidP="009F6115">
            <w:pPr>
              <w:pStyle w:val="TableRight"/>
              <w:ind w:left="0" w:right="142"/>
              <w:jc w:val="center"/>
              <w:cnfStyle w:val="000000000000"/>
              <w:rPr>
                <w:rFonts w:ascii="Arial" w:hAnsi="Arial" w:cs="Arial"/>
                <w:b/>
                <w:color w:val="auto"/>
              </w:rPr>
            </w:pPr>
            <w:r w:rsidRPr="00026B55">
              <w:rPr>
                <w:rFonts w:ascii="Arial" w:hAnsi="Arial" w:cs="Arial"/>
                <w:b/>
                <w:color w:val="auto"/>
              </w:rPr>
              <w:t>Subsid</w:t>
            </w:r>
            <w:r>
              <w:rPr>
                <w:rFonts w:ascii="Arial" w:hAnsi="Arial" w:cs="Arial"/>
                <w:b/>
                <w:color w:val="auto"/>
              </w:rPr>
              <w:t>-</w:t>
            </w:r>
            <w:r w:rsidRPr="00026B55">
              <w:rPr>
                <w:rFonts w:ascii="Arial" w:hAnsi="Arial" w:cs="Arial"/>
                <w:b/>
                <w:color w:val="auto"/>
              </w:rPr>
              <w:t>iary</w:t>
            </w:r>
          </w:p>
        </w:tc>
        <w:tc>
          <w:tcPr>
            <w:cnfStyle w:val="000010000000"/>
            <w:tcW w:w="1276" w:type="dxa"/>
            <w:shd w:val="clear" w:color="auto" w:fill="4BACC6" w:themeFill="accent5"/>
          </w:tcPr>
          <w:p w:rsidR="003B280B" w:rsidRPr="00026B55" w:rsidRDefault="003B280B" w:rsidP="009F6115">
            <w:pPr>
              <w:pStyle w:val="TableRight"/>
              <w:ind w:left="0" w:right="142"/>
              <w:jc w:val="center"/>
              <w:rPr>
                <w:rFonts w:ascii="Arial" w:hAnsi="Arial" w:cs="Arial"/>
                <w:b/>
                <w:color w:val="auto"/>
              </w:rPr>
            </w:pPr>
            <w:r w:rsidRPr="00026B55">
              <w:rPr>
                <w:rFonts w:ascii="Arial" w:hAnsi="Arial" w:cs="Arial"/>
                <w:b/>
                <w:color w:val="auto"/>
              </w:rPr>
              <w:t>Money Market</w:t>
            </w:r>
          </w:p>
        </w:tc>
        <w:tc>
          <w:tcPr>
            <w:tcW w:w="1134" w:type="dxa"/>
            <w:shd w:val="clear" w:color="auto" w:fill="4BACC6" w:themeFill="accent5"/>
          </w:tcPr>
          <w:p w:rsidR="003B280B" w:rsidRPr="00026B55" w:rsidRDefault="003B280B" w:rsidP="009F6115">
            <w:pPr>
              <w:pStyle w:val="TableRight"/>
              <w:ind w:left="0" w:right="142"/>
              <w:jc w:val="center"/>
              <w:cnfStyle w:val="000000000000"/>
              <w:rPr>
                <w:rFonts w:ascii="Arial" w:hAnsi="Arial" w:cs="Arial"/>
                <w:b/>
                <w:color w:val="auto"/>
              </w:rPr>
            </w:pPr>
            <w:r>
              <w:rPr>
                <w:rFonts w:ascii="Arial" w:hAnsi="Arial" w:cs="Arial"/>
                <w:b/>
                <w:color w:val="auto"/>
              </w:rPr>
              <w:t>Other</w:t>
            </w:r>
          </w:p>
        </w:tc>
      </w:tr>
      <w:tr w:rsidR="003B280B" w:rsidRPr="00026B55" w:rsidTr="003B280B">
        <w:trPr>
          <w:cnfStyle w:val="000000100000"/>
          <w:trHeight w:val="232"/>
        </w:trPr>
        <w:tc>
          <w:tcPr>
            <w:cnfStyle w:val="000010000000"/>
            <w:tcW w:w="1101" w:type="dxa"/>
            <w:shd w:val="clear" w:color="auto" w:fill="4BACC6" w:themeFill="accent5"/>
            <w:vAlign w:val="center"/>
          </w:tcPr>
          <w:p w:rsidR="003B280B" w:rsidRPr="00026B55" w:rsidRDefault="003B280B" w:rsidP="008832F2">
            <w:pPr>
              <w:pStyle w:val="TableRight"/>
              <w:ind w:right="142"/>
              <w:jc w:val="center"/>
              <w:rPr>
                <w:rFonts w:ascii="Arial" w:hAnsi="Arial" w:cs="Arial"/>
                <w:color w:val="auto"/>
              </w:rPr>
            </w:pPr>
            <w:r w:rsidRPr="00026B55">
              <w:rPr>
                <w:rFonts w:ascii="Arial" w:hAnsi="Arial" w:cs="Arial"/>
                <w:color w:val="auto"/>
              </w:rPr>
              <w:t>£m</w:t>
            </w:r>
          </w:p>
        </w:tc>
        <w:tc>
          <w:tcPr>
            <w:tcW w:w="992" w:type="dxa"/>
            <w:shd w:val="clear" w:color="auto" w:fill="4BACC6" w:themeFill="accent5"/>
            <w:vAlign w:val="center"/>
          </w:tcPr>
          <w:p w:rsidR="003B280B" w:rsidRPr="00026B55" w:rsidRDefault="003B280B" w:rsidP="008832F2">
            <w:pPr>
              <w:pStyle w:val="TableRight"/>
              <w:ind w:right="142"/>
              <w:jc w:val="center"/>
              <w:cnfStyle w:val="000000100000"/>
              <w:rPr>
                <w:rFonts w:ascii="Arial" w:hAnsi="Arial" w:cs="Arial"/>
                <w:color w:val="auto"/>
              </w:rPr>
            </w:pPr>
            <w:r w:rsidRPr="00026B55">
              <w:rPr>
                <w:rFonts w:ascii="Arial" w:hAnsi="Arial" w:cs="Arial"/>
                <w:color w:val="auto"/>
              </w:rPr>
              <w:t>£m</w:t>
            </w:r>
          </w:p>
        </w:tc>
        <w:tc>
          <w:tcPr>
            <w:cnfStyle w:val="000010000000"/>
            <w:tcW w:w="2551" w:type="dxa"/>
            <w:shd w:val="clear" w:color="auto" w:fill="4BACC6" w:themeFill="accent5"/>
            <w:vAlign w:val="center"/>
          </w:tcPr>
          <w:p w:rsidR="003B280B" w:rsidRPr="00026B55" w:rsidRDefault="003B280B" w:rsidP="008832F2">
            <w:pPr>
              <w:pStyle w:val="TableText"/>
              <w:ind w:left="0"/>
              <w:rPr>
                <w:rFonts w:ascii="Arial" w:hAnsi="Arial" w:cs="Arial"/>
                <w:color w:val="auto"/>
              </w:rPr>
            </w:pPr>
          </w:p>
        </w:tc>
        <w:tc>
          <w:tcPr>
            <w:tcW w:w="1276" w:type="dxa"/>
            <w:shd w:val="clear" w:color="auto" w:fill="4BACC6" w:themeFill="accent5"/>
            <w:vAlign w:val="center"/>
          </w:tcPr>
          <w:p w:rsidR="003B280B" w:rsidRPr="00026B55" w:rsidRDefault="003B280B" w:rsidP="008832F2">
            <w:pPr>
              <w:pStyle w:val="TableRight"/>
              <w:ind w:right="142"/>
              <w:jc w:val="center"/>
              <w:cnfStyle w:val="000000100000"/>
              <w:rPr>
                <w:rFonts w:ascii="Arial" w:hAnsi="Arial" w:cs="Arial"/>
                <w:color w:val="auto"/>
              </w:rPr>
            </w:pPr>
            <w:r w:rsidRPr="00026B55">
              <w:rPr>
                <w:rFonts w:ascii="Arial" w:hAnsi="Arial" w:cs="Arial"/>
                <w:color w:val="auto"/>
              </w:rPr>
              <w:t>£m</w:t>
            </w:r>
          </w:p>
        </w:tc>
        <w:tc>
          <w:tcPr>
            <w:cnfStyle w:val="000010000000"/>
            <w:tcW w:w="1276" w:type="dxa"/>
            <w:shd w:val="clear" w:color="auto" w:fill="4BACC6" w:themeFill="accent5"/>
            <w:vAlign w:val="center"/>
          </w:tcPr>
          <w:p w:rsidR="003B280B" w:rsidRPr="00026B55" w:rsidRDefault="003B280B" w:rsidP="008832F2">
            <w:pPr>
              <w:pStyle w:val="TableRight"/>
              <w:ind w:right="142"/>
              <w:jc w:val="center"/>
              <w:rPr>
                <w:rFonts w:ascii="Arial" w:hAnsi="Arial" w:cs="Arial"/>
                <w:color w:val="auto"/>
              </w:rPr>
            </w:pPr>
            <w:r w:rsidRPr="00026B55">
              <w:rPr>
                <w:rFonts w:ascii="Arial" w:hAnsi="Arial" w:cs="Arial"/>
                <w:color w:val="auto"/>
              </w:rPr>
              <w:t>£m</w:t>
            </w:r>
          </w:p>
        </w:tc>
        <w:tc>
          <w:tcPr>
            <w:tcW w:w="1134" w:type="dxa"/>
            <w:shd w:val="clear" w:color="auto" w:fill="4BACC6" w:themeFill="accent5"/>
          </w:tcPr>
          <w:p w:rsidR="003B280B" w:rsidRPr="00026B55" w:rsidRDefault="003B280B" w:rsidP="008832F2">
            <w:pPr>
              <w:pStyle w:val="TableRight"/>
              <w:ind w:right="142"/>
              <w:jc w:val="center"/>
              <w:cnfStyle w:val="000000100000"/>
              <w:rPr>
                <w:rFonts w:ascii="Arial" w:hAnsi="Arial" w:cs="Arial"/>
                <w:color w:val="auto"/>
              </w:rPr>
            </w:pPr>
            <w:r>
              <w:rPr>
                <w:rFonts w:ascii="Arial" w:hAnsi="Arial" w:cs="Arial"/>
                <w:color w:val="auto"/>
              </w:rPr>
              <w:t>£m</w:t>
            </w:r>
          </w:p>
        </w:tc>
      </w:tr>
      <w:tr w:rsidR="003B280B" w:rsidRPr="00026B55" w:rsidTr="003B280B">
        <w:trPr>
          <w:trHeight w:val="457"/>
        </w:trPr>
        <w:tc>
          <w:tcPr>
            <w:cnfStyle w:val="000010000000"/>
            <w:tcW w:w="1101" w:type="dxa"/>
            <w:vAlign w:val="center"/>
          </w:tcPr>
          <w:p w:rsidR="003B280B" w:rsidRPr="00026B55" w:rsidRDefault="003B280B" w:rsidP="00026B55">
            <w:pPr>
              <w:pStyle w:val="TableRight"/>
              <w:ind w:right="142"/>
              <w:jc w:val="center"/>
              <w:rPr>
                <w:rFonts w:ascii="Arial" w:hAnsi="Arial" w:cs="Arial"/>
                <w:color w:val="auto"/>
              </w:rPr>
            </w:pPr>
            <w:r w:rsidRPr="00026B55">
              <w:rPr>
                <w:rFonts w:ascii="Arial" w:hAnsi="Arial" w:cs="Arial"/>
                <w:color w:val="auto"/>
              </w:rPr>
              <w:t>2.6</w:t>
            </w:r>
          </w:p>
        </w:tc>
        <w:tc>
          <w:tcPr>
            <w:tcW w:w="992" w:type="dxa"/>
            <w:vAlign w:val="center"/>
          </w:tcPr>
          <w:p w:rsidR="003B280B" w:rsidRPr="00026B55" w:rsidRDefault="003B280B" w:rsidP="00026B55">
            <w:pPr>
              <w:pStyle w:val="TableRight"/>
              <w:ind w:right="142"/>
              <w:jc w:val="center"/>
              <w:cnfStyle w:val="000000000000"/>
              <w:rPr>
                <w:rFonts w:ascii="Arial" w:hAnsi="Arial" w:cs="Arial"/>
                <w:color w:val="auto"/>
              </w:rPr>
            </w:pPr>
            <w:r w:rsidRPr="00026B55">
              <w:rPr>
                <w:rFonts w:ascii="Arial" w:hAnsi="Arial" w:cs="Arial"/>
                <w:color w:val="auto"/>
              </w:rPr>
              <w:t>0</w:t>
            </w:r>
          </w:p>
        </w:tc>
        <w:tc>
          <w:tcPr>
            <w:cnfStyle w:val="000010000000"/>
            <w:tcW w:w="2551" w:type="dxa"/>
            <w:vAlign w:val="center"/>
          </w:tcPr>
          <w:p w:rsidR="003B280B" w:rsidRPr="00026B55" w:rsidRDefault="003B280B" w:rsidP="00026B55">
            <w:pPr>
              <w:pStyle w:val="TableText"/>
              <w:ind w:left="0"/>
              <w:rPr>
                <w:rFonts w:ascii="Arial" w:hAnsi="Arial" w:cs="Arial"/>
                <w:b/>
                <w:color w:val="auto"/>
              </w:rPr>
            </w:pPr>
            <w:r w:rsidRPr="00026B55">
              <w:rPr>
                <w:rFonts w:ascii="Arial" w:hAnsi="Arial" w:cs="Arial"/>
                <w:b/>
                <w:color w:val="auto"/>
              </w:rPr>
              <w:t>Balance at start of year:</w:t>
            </w:r>
          </w:p>
        </w:tc>
        <w:tc>
          <w:tcPr>
            <w:tcW w:w="1276" w:type="dxa"/>
            <w:vAlign w:val="center"/>
          </w:tcPr>
          <w:p w:rsidR="003B280B" w:rsidRPr="00026B55" w:rsidRDefault="003B280B" w:rsidP="00026B55">
            <w:pPr>
              <w:pStyle w:val="TableRight"/>
              <w:ind w:right="142"/>
              <w:jc w:val="center"/>
              <w:cnfStyle w:val="000000000000"/>
              <w:rPr>
                <w:rFonts w:ascii="Arial" w:hAnsi="Arial" w:cs="Arial"/>
                <w:b/>
                <w:color w:val="auto"/>
              </w:rPr>
            </w:pPr>
            <w:r>
              <w:rPr>
                <w:rFonts w:ascii="Arial" w:hAnsi="Arial" w:cs="Arial"/>
                <w:b/>
                <w:color w:val="auto"/>
              </w:rPr>
              <w:t>1.1</w:t>
            </w:r>
          </w:p>
        </w:tc>
        <w:tc>
          <w:tcPr>
            <w:cnfStyle w:val="000010000000"/>
            <w:tcW w:w="1276" w:type="dxa"/>
            <w:vAlign w:val="center"/>
          </w:tcPr>
          <w:p w:rsidR="003B280B" w:rsidRPr="00026B55" w:rsidRDefault="003B280B" w:rsidP="00026B55">
            <w:pPr>
              <w:pStyle w:val="TableRight"/>
              <w:ind w:right="142"/>
              <w:jc w:val="center"/>
              <w:rPr>
                <w:rFonts w:ascii="Arial" w:hAnsi="Arial" w:cs="Arial"/>
                <w:b/>
                <w:color w:val="auto"/>
              </w:rPr>
            </w:pPr>
            <w:r>
              <w:rPr>
                <w:rFonts w:ascii="Arial" w:hAnsi="Arial" w:cs="Arial"/>
                <w:b/>
                <w:color w:val="auto"/>
              </w:rPr>
              <w:t>15.0</w:t>
            </w:r>
          </w:p>
        </w:tc>
        <w:tc>
          <w:tcPr>
            <w:tcW w:w="1134" w:type="dxa"/>
          </w:tcPr>
          <w:p w:rsidR="003B280B" w:rsidRDefault="003B280B" w:rsidP="00026B55">
            <w:pPr>
              <w:pStyle w:val="TableRight"/>
              <w:ind w:right="142"/>
              <w:jc w:val="center"/>
              <w:cnfStyle w:val="000000000000"/>
              <w:rPr>
                <w:rFonts w:ascii="Arial" w:hAnsi="Arial" w:cs="Arial"/>
                <w:b/>
                <w:color w:val="auto"/>
              </w:rPr>
            </w:pPr>
            <w:r>
              <w:rPr>
                <w:rFonts w:ascii="Arial" w:hAnsi="Arial" w:cs="Arial"/>
                <w:b/>
                <w:color w:val="auto"/>
              </w:rPr>
              <w:t>0</w:t>
            </w:r>
          </w:p>
        </w:tc>
      </w:tr>
      <w:tr w:rsidR="003B280B" w:rsidRPr="00026B55" w:rsidTr="003B280B">
        <w:trPr>
          <w:cnfStyle w:val="000000100000"/>
          <w:trHeight w:val="60"/>
        </w:trPr>
        <w:tc>
          <w:tcPr>
            <w:cnfStyle w:val="000010000000"/>
            <w:tcW w:w="1101" w:type="dxa"/>
            <w:vAlign w:val="center"/>
          </w:tcPr>
          <w:p w:rsidR="003B280B" w:rsidRPr="00026B55" w:rsidRDefault="003B280B" w:rsidP="00026B55">
            <w:pPr>
              <w:pStyle w:val="TableRight"/>
              <w:ind w:right="142"/>
              <w:jc w:val="center"/>
              <w:rPr>
                <w:rFonts w:ascii="Arial" w:hAnsi="Arial" w:cs="Arial"/>
                <w:color w:val="auto"/>
              </w:rPr>
            </w:pPr>
            <w:r w:rsidRPr="00026B55">
              <w:rPr>
                <w:rFonts w:ascii="Arial" w:hAnsi="Arial" w:cs="Arial"/>
                <w:color w:val="auto"/>
              </w:rPr>
              <w:t>-</w:t>
            </w:r>
          </w:p>
        </w:tc>
        <w:tc>
          <w:tcPr>
            <w:tcW w:w="992" w:type="dxa"/>
            <w:vAlign w:val="center"/>
          </w:tcPr>
          <w:p w:rsidR="003B280B" w:rsidRPr="00026B55" w:rsidRDefault="003B280B" w:rsidP="00026B55">
            <w:pPr>
              <w:pStyle w:val="TableRight"/>
              <w:ind w:right="142"/>
              <w:jc w:val="center"/>
              <w:cnfStyle w:val="000000100000"/>
              <w:rPr>
                <w:rFonts w:ascii="Arial" w:hAnsi="Arial" w:cs="Arial"/>
                <w:color w:val="auto"/>
              </w:rPr>
            </w:pPr>
            <w:r w:rsidRPr="00026B55">
              <w:rPr>
                <w:rFonts w:ascii="Arial" w:hAnsi="Arial" w:cs="Arial"/>
                <w:color w:val="auto"/>
              </w:rPr>
              <w:t>15.0</w:t>
            </w:r>
          </w:p>
        </w:tc>
        <w:tc>
          <w:tcPr>
            <w:cnfStyle w:val="000010000000"/>
            <w:tcW w:w="2551" w:type="dxa"/>
            <w:vAlign w:val="center"/>
          </w:tcPr>
          <w:p w:rsidR="003B280B" w:rsidRPr="00026B55" w:rsidRDefault="003B280B" w:rsidP="00026B55">
            <w:pPr>
              <w:pStyle w:val="TableText"/>
              <w:ind w:left="0"/>
              <w:rPr>
                <w:rFonts w:ascii="Arial" w:hAnsi="Arial" w:cs="Arial"/>
                <w:color w:val="auto"/>
              </w:rPr>
            </w:pPr>
            <w:r w:rsidRPr="00026B55">
              <w:rPr>
                <w:rFonts w:ascii="Arial" w:hAnsi="Arial" w:cs="Arial"/>
                <w:color w:val="auto"/>
              </w:rPr>
              <w:t>Change in Investment in  year</w:t>
            </w:r>
          </w:p>
        </w:tc>
        <w:tc>
          <w:tcPr>
            <w:tcW w:w="1276" w:type="dxa"/>
            <w:vAlign w:val="center"/>
          </w:tcPr>
          <w:p w:rsidR="003B280B" w:rsidRPr="00026B55" w:rsidRDefault="003B280B" w:rsidP="00026B55">
            <w:pPr>
              <w:pStyle w:val="TableRight"/>
              <w:ind w:right="142"/>
              <w:jc w:val="center"/>
              <w:cnfStyle w:val="000000100000"/>
              <w:rPr>
                <w:rFonts w:ascii="Arial" w:hAnsi="Arial" w:cs="Arial"/>
                <w:b/>
                <w:color w:val="auto"/>
              </w:rPr>
            </w:pPr>
            <w:r>
              <w:rPr>
                <w:rFonts w:ascii="Arial" w:hAnsi="Arial" w:cs="Arial"/>
                <w:b/>
                <w:color w:val="auto"/>
              </w:rPr>
              <w:t>-</w:t>
            </w:r>
          </w:p>
        </w:tc>
        <w:tc>
          <w:tcPr>
            <w:cnfStyle w:val="000010000000"/>
            <w:tcW w:w="1276" w:type="dxa"/>
            <w:vAlign w:val="center"/>
          </w:tcPr>
          <w:p w:rsidR="003B280B" w:rsidRPr="00026B55" w:rsidRDefault="003B280B" w:rsidP="00E13240">
            <w:pPr>
              <w:pStyle w:val="TableRight"/>
              <w:ind w:right="142"/>
              <w:jc w:val="center"/>
              <w:rPr>
                <w:rFonts w:ascii="Arial" w:hAnsi="Arial" w:cs="Arial"/>
                <w:b/>
                <w:color w:val="auto"/>
              </w:rPr>
            </w:pPr>
            <w:r>
              <w:rPr>
                <w:rFonts w:ascii="Arial" w:hAnsi="Arial" w:cs="Arial"/>
                <w:b/>
                <w:color w:val="auto"/>
              </w:rPr>
              <w:t>(8.0)</w:t>
            </w:r>
          </w:p>
        </w:tc>
        <w:tc>
          <w:tcPr>
            <w:tcW w:w="1134" w:type="dxa"/>
            <w:vAlign w:val="center"/>
          </w:tcPr>
          <w:p w:rsidR="003B280B" w:rsidRDefault="003B280B" w:rsidP="003B280B">
            <w:pPr>
              <w:pStyle w:val="TableRight"/>
              <w:ind w:right="142"/>
              <w:jc w:val="center"/>
              <w:cnfStyle w:val="000000100000"/>
              <w:rPr>
                <w:rFonts w:ascii="Arial" w:hAnsi="Arial" w:cs="Arial"/>
                <w:b/>
                <w:color w:val="auto"/>
              </w:rPr>
            </w:pPr>
            <w:r>
              <w:rPr>
                <w:rFonts w:ascii="Arial" w:hAnsi="Arial" w:cs="Arial"/>
                <w:b/>
                <w:color w:val="auto"/>
              </w:rPr>
              <w:t>0.1</w:t>
            </w:r>
          </w:p>
        </w:tc>
      </w:tr>
      <w:tr w:rsidR="003B280B" w:rsidRPr="00026B55" w:rsidTr="003B280B">
        <w:trPr>
          <w:trHeight w:val="60"/>
        </w:trPr>
        <w:tc>
          <w:tcPr>
            <w:cnfStyle w:val="000010000000"/>
            <w:tcW w:w="1101" w:type="dxa"/>
            <w:vAlign w:val="center"/>
          </w:tcPr>
          <w:p w:rsidR="003B280B" w:rsidRPr="00026B55" w:rsidRDefault="003B280B" w:rsidP="00026B55">
            <w:pPr>
              <w:pStyle w:val="TableRight"/>
              <w:ind w:right="142"/>
              <w:jc w:val="center"/>
              <w:rPr>
                <w:rFonts w:ascii="Arial" w:hAnsi="Arial" w:cs="Arial"/>
                <w:color w:val="auto"/>
              </w:rPr>
            </w:pPr>
            <w:r w:rsidRPr="00026B55">
              <w:rPr>
                <w:rFonts w:ascii="Arial" w:hAnsi="Arial" w:cs="Arial"/>
                <w:color w:val="auto"/>
              </w:rPr>
              <w:t>(1.5)</w:t>
            </w:r>
          </w:p>
        </w:tc>
        <w:tc>
          <w:tcPr>
            <w:tcW w:w="992" w:type="dxa"/>
            <w:vAlign w:val="center"/>
          </w:tcPr>
          <w:p w:rsidR="003B280B" w:rsidRPr="00026B55" w:rsidRDefault="003B280B" w:rsidP="00026B55">
            <w:pPr>
              <w:pStyle w:val="TableRight"/>
              <w:ind w:right="142"/>
              <w:jc w:val="center"/>
              <w:cnfStyle w:val="000000000000"/>
              <w:rPr>
                <w:rFonts w:ascii="Arial" w:hAnsi="Arial" w:cs="Arial"/>
                <w:color w:val="auto"/>
              </w:rPr>
            </w:pPr>
            <w:r w:rsidRPr="00026B55">
              <w:rPr>
                <w:rFonts w:ascii="Arial" w:hAnsi="Arial" w:cs="Arial"/>
                <w:color w:val="auto"/>
              </w:rPr>
              <w:t>-</w:t>
            </w:r>
          </w:p>
        </w:tc>
        <w:tc>
          <w:tcPr>
            <w:cnfStyle w:val="000010000000"/>
            <w:tcW w:w="2551" w:type="dxa"/>
            <w:vAlign w:val="center"/>
          </w:tcPr>
          <w:p w:rsidR="003B280B" w:rsidRPr="00026B55" w:rsidRDefault="003B280B" w:rsidP="00026B55">
            <w:pPr>
              <w:pStyle w:val="TableText"/>
              <w:ind w:left="0"/>
              <w:rPr>
                <w:rFonts w:ascii="Arial" w:hAnsi="Arial" w:cs="Arial"/>
                <w:color w:val="auto"/>
              </w:rPr>
            </w:pPr>
            <w:r w:rsidRPr="00026B55">
              <w:rPr>
                <w:rFonts w:ascii="Arial" w:hAnsi="Arial" w:cs="Arial"/>
                <w:color w:val="auto"/>
              </w:rPr>
              <w:t>Change in fair value of Company</w:t>
            </w:r>
          </w:p>
        </w:tc>
        <w:tc>
          <w:tcPr>
            <w:tcW w:w="1276" w:type="dxa"/>
            <w:vAlign w:val="center"/>
          </w:tcPr>
          <w:p w:rsidR="003B280B" w:rsidRPr="00026B55" w:rsidRDefault="00804D09" w:rsidP="00026B55">
            <w:pPr>
              <w:pStyle w:val="TableRight"/>
              <w:ind w:right="142"/>
              <w:jc w:val="center"/>
              <w:cnfStyle w:val="000000000000"/>
              <w:rPr>
                <w:rFonts w:ascii="Arial" w:hAnsi="Arial" w:cs="Arial"/>
                <w:b/>
                <w:color w:val="auto"/>
              </w:rPr>
            </w:pPr>
            <w:r>
              <w:rPr>
                <w:rFonts w:ascii="Arial" w:hAnsi="Arial" w:cs="Arial"/>
                <w:b/>
                <w:color w:val="auto"/>
              </w:rPr>
              <w:t>1.2</w:t>
            </w:r>
          </w:p>
        </w:tc>
        <w:tc>
          <w:tcPr>
            <w:cnfStyle w:val="000010000000"/>
            <w:tcW w:w="1276" w:type="dxa"/>
            <w:vAlign w:val="center"/>
          </w:tcPr>
          <w:p w:rsidR="003B280B" w:rsidRPr="00026B55" w:rsidRDefault="003B280B" w:rsidP="00026B55">
            <w:pPr>
              <w:pStyle w:val="TableRight"/>
              <w:ind w:right="142"/>
              <w:jc w:val="center"/>
              <w:rPr>
                <w:rFonts w:ascii="Arial" w:hAnsi="Arial" w:cs="Arial"/>
                <w:b/>
                <w:color w:val="auto"/>
              </w:rPr>
            </w:pPr>
            <w:r>
              <w:rPr>
                <w:rFonts w:ascii="Arial" w:hAnsi="Arial" w:cs="Arial"/>
                <w:b/>
                <w:color w:val="auto"/>
              </w:rPr>
              <w:t>-</w:t>
            </w:r>
          </w:p>
        </w:tc>
        <w:tc>
          <w:tcPr>
            <w:tcW w:w="1134" w:type="dxa"/>
            <w:vAlign w:val="center"/>
          </w:tcPr>
          <w:p w:rsidR="003B280B" w:rsidRDefault="003B280B" w:rsidP="003B280B">
            <w:pPr>
              <w:pStyle w:val="TableRight"/>
              <w:ind w:right="142"/>
              <w:jc w:val="center"/>
              <w:cnfStyle w:val="000000000000"/>
              <w:rPr>
                <w:rFonts w:ascii="Arial" w:hAnsi="Arial" w:cs="Arial"/>
                <w:b/>
                <w:color w:val="auto"/>
              </w:rPr>
            </w:pPr>
            <w:r>
              <w:rPr>
                <w:rFonts w:ascii="Arial" w:hAnsi="Arial" w:cs="Arial"/>
                <w:b/>
                <w:color w:val="auto"/>
              </w:rPr>
              <w:t>-</w:t>
            </w:r>
          </w:p>
        </w:tc>
      </w:tr>
      <w:tr w:rsidR="003B280B" w:rsidRPr="00026B55" w:rsidTr="003B280B">
        <w:trPr>
          <w:cnfStyle w:val="000000100000"/>
          <w:trHeight w:val="60"/>
        </w:trPr>
        <w:tc>
          <w:tcPr>
            <w:cnfStyle w:val="000010000000"/>
            <w:tcW w:w="1101" w:type="dxa"/>
            <w:vAlign w:val="center"/>
          </w:tcPr>
          <w:p w:rsidR="003B280B" w:rsidRPr="00026B55" w:rsidRDefault="003B280B" w:rsidP="00026B55">
            <w:pPr>
              <w:pStyle w:val="TableRight"/>
              <w:ind w:right="142"/>
              <w:jc w:val="center"/>
              <w:rPr>
                <w:rFonts w:ascii="Arial" w:hAnsi="Arial" w:cs="Arial"/>
                <w:color w:val="auto"/>
              </w:rPr>
            </w:pPr>
            <w:r w:rsidRPr="00026B55">
              <w:rPr>
                <w:rFonts w:ascii="Arial" w:hAnsi="Arial" w:cs="Arial"/>
                <w:color w:val="auto"/>
              </w:rPr>
              <w:t>1.1</w:t>
            </w:r>
          </w:p>
        </w:tc>
        <w:tc>
          <w:tcPr>
            <w:tcW w:w="992" w:type="dxa"/>
            <w:vAlign w:val="center"/>
          </w:tcPr>
          <w:p w:rsidR="003B280B" w:rsidRPr="00026B55" w:rsidRDefault="003B280B" w:rsidP="00026B55">
            <w:pPr>
              <w:pStyle w:val="TableRight"/>
              <w:ind w:right="142"/>
              <w:jc w:val="center"/>
              <w:cnfStyle w:val="000000100000"/>
              <w:rPr>
                <w:rFonts w:ascii="Arial" w:hAnsi="Arial" w:cs="Arial"/>
                <w:color w:val="auto"/>
              </w:rPr>
            </w:pPr>
            <w:r w:rsidRPr="00026B55">
              <w:rPr>
                <w:rFonts w:ascii="Arial" w:hAnsi="Arial" w:cs="Arial"/>
                <w:color w:val="auto"/>
              </w:rPr>
              <w:t>15.0</w:t>
            </w:r>
          </w:p>
        </w:tc>
        <w:tc>
          <w:tcPr>
            <w:cnfStyle w:val="000010000000"/>
            <w:tcW w:w="2551" w:type="dxa"/>
            <w:vAlign w:val="center"/>
          </w:tcPr>
          <w:p w:rsidR="003B280B" w:rsidRPr="00026B55" w:rsidRDefault="003B280B" w:rsidP="00026B55">
            <w:pPr>
              <w:pStyle w:val="TableText"/>
              <w:rPr>
                <w:rFonts w:ascii="Arial" w:hAnsi="Arial" w:cs="Arial"/>
                <w:b/>
                <w:color w:val="auto"/>
              </w:rPr>
            </w:pPr>
            <w:r w:rsidRPr="00026B55">
              <w:rPr>
                <w:rFonts w:ascii="Arial" w:hAnsi="Arial" w:cs="Arial"/>
                <w:b/>
                <w:color w:val="auto"/>
              </w:rPr>
              <w:t>Fair Value as at 31</w:t>
            </w:r>
            <w:r w:rsidRPr="00026B55">
              <w:rPr>
                <w:rFonts w:ascii="Arial" w:hAnsi="Arial" w:cs="Arial"/>
                <w:b/>
                <w:color w:val="auto"/>
                <w:vertAlign w:val="superscript"/>
              </w:rPr>
              <w:t>st</w:t>
            </w:r>
            <w:r w:rsidRPr="00026B55">
              <w:rPr>
                <w:rFonts w:ascii="Arial" w:hAnsi="Arial" w:cs="Arial"/>
                <w:b/>
                <w:color w:val="auto"/>
              </w:rPr>
              <w:t xml:space="preserve"> March</w:t>
            </w:r>
          </w:p>
        </w:tc>
        <w:tc>
          <w:tcPr>
            <w:tcW w:w="1276" w:type="dxa"/>
            <w:vAlign w:val="center"/>
          </w:tcPr>
          <w:p w:rsidR="003B280B" w:rsidRPr="00026B55" w:rsidRDefault="00804D09" w:rsidP="00804D09">
            <w:pPr>
              <w:pStyle w:val="TableRight"/>
              <w:ind w:right="142"/>
              <w:jc w:val="center"/>
              <w:cnfStyle w:val="000000100000"/>
              <w:rPr>
                <w:rFonts w:ascii="Arial" w:hAnsi="Arial" w:cs="Arial"/>
                <w:b/>
                <w:color w:val="auto"/>
              </w:rPr>
            </w:pPr>
            <w:r w:rsidRPr="00804D09">
              <w:rPr>
                <w:rFonts w:ascii="Arial" w:hAnsi="Arial" w:cs="Arial"/>
                <w:b/>
                <w:color w:val="auto"/>
              </w:rPr>
              <w:t>2.3</w:t>
            </w:r>
          </w:p>
        </w:tc>
        <w:tc>
          <w:tcPr>
            <w:cnfStyle w:val="000010000000"/>
            <w:tcW w:w="1276" w:type="dxa"/>
            <w:vAlign w:val="center"/>
          </w:tcPr>
          <w:p w:rsidR="003B280B" w:rsidRPr="00026B55" w:rsidRDefault="003B280B" w:rsidP="00026B55">
            <w:pPr>
              <w:pStyle w:val="TableRight"/>
              <w:ind w:right="142"/>
              <w:jc w:val="center"/>
              <w:rPr>
                <w:rFonts w:ascii="Arial" w:hAnsi="Arial" w:cs="Arial"/>
                <w:b/>
                <w:color w:val="auto"/>
              </w:rPr>
            </w:pPr>
            <w:r>
              <w:rPr>
                <w:rFonts w:ascii="Arial" w:hAnsi="Arial" w:cs="Arial"/>
                <w:b/>
                <w:color w:val="auto"/>
              </w:rPr>
              <w:t>7.0</w:t>
            </w:r>
          </w:p>
        </w:tc>
        <w:tc>
          <w:tcPr>
            <w:tcW w:w="1134" w:type="dxa"/>
            <w:vAlign w:val="center"/>
          </w:tcPr>
          <w:p w:rsidR="003B280B" w:rsidRDefault="003B280B" w:rsidP="003B280B">
            <w:pPr>
              <w:pStyle w:val="TableRight"/>
              <w:ind w:right="142"/>
              <w:jc w:val="center"/>
              <w:cnfStyle w:val="000000100000"/>
              <w:rPr>
                <w:rFonts w:ascii="Arial" w:hAnsi="Arial" w:cs="Arial"/>
                <w:b/>
                <w:color w:val="auto"/>
              </w:rPr>
            </w:pPr>
            <w:r>
              <w:rPr>
                <w:rFonts w:ascii="Arial" w:hAnsi="Arial" w:cs="Arial"/>
                <w:b/>
                <w:color w:val="auto"/>
              </w:rPr>
              <w:t>0.1</w:t>
            </w:r>
          </w:p>
        </w:tc>
      </w:tr>
    </w:tbl>
    <w:p w:rsidR="00716C4F" w:rsidRPr="00D42E0B" w:rsidRDefault="00716C4F" w:rsidP="006F03C1">
      <w:pPr>
        <w:pStyle w:val="BodyTextIndent"/>
        <w:tabs>
          <w:tab w:val="left" w:pos="0"/>
          <w:tab w:val="left" w:pos="709"/>
        </w:tabs>
        <w:ind w:left="709"/>
        <w:rPr>
          <w:color w:val="548DD4" w:themeColor="text2" w:themeTint="99"/>
          <w:sz w:val="20"/>
          <w:szCs w:val="20"/>
        </w:rPr>
      </w:pPr>
    </w:p>
    <w:p w:rsidR="00E51139" w:rsidRPr="00D42E0B" w:rsidRDefault="00E51139" w:rsidP="006F03C1">
      <w:pPr>
        <w:pStyle w:val="BodyTextIndent"/>
        <w:tabs>
          <w:tab w:val="left" w:pos="0"/>
          <w:tab w:val="left" w:pos="709"/>
        </w:tabs>
        <w:ind w:left="709"/>
        <w:rPr>
          <w:color w:val="548DD4" w:themeColor="text2" w:themeTint="99"/>
          <w:sz w:val="20"/>
          <w:szCs w:val="20"/>
        </w:rPr>
      </w:pPr>
    </w:p>
    <w:p w:rsidR="00A03B34" w:rsidRPr="00D42E0B" w:rsidRDefault="00E51139" w:rsidP="00D5376F">
      <w:pPr>
        <w:pStyle w:val="BodyTextIndent"/>
        <w:tabs>
          <w:tab w:val="left" w:pos="0"/>
          <w:tab w:val="left" w:pos="709"/>
        </w:tabs>
        <w:ind w:left="709"/>
        <w:rPr>
          <w:color w:val="548DD4" w:themeColor="text2" w:themeTint="99"/>
          <w:sz w:val="20"/>
          <w:szCs w:val="20"/>
        </w:rPr>
      </w:pPr>
      <w:r w:rsidRPr="00D42E0B">
        <w:rPr>
          <w:color w:val="548DD4" w:themeColor="text2" w:themeTint="99"/>
          <w:sz w:val="20"/>
          <w:szCs w:val="20"/>
        </w:rPr>
        <w:tab/>
      </w:r>
    </w:p>
    <w:p w:rsidR="002B7CA0" w:rsidRPr="00D42E0B" w:rsidRDefault="002B7CA0" w:rsidP="00D5376F">
      <w:pPr>
        <w:pStyle w:val="BodyTextIndent"/>
        <w:tabs>
          <w:tab w:val="left" w:pos="0"/>
          <w:tab w:val="left" w:pos="709"/>
        </w:tabs>
        <w:ind w:left="709"/>
        <w:rPr>
          <w:snapToGrid w:val="0"/>
          <w:color w:val="548DD4" w:themeColor="text2" w:themeTint="99"/>
          <w:sz w:val="20"/>
          <w:szCs w:val="20"/>
          <w:u w:val="single"/>
        </w:rPr>
      </w:pPr>
    </w:p>
    <w:p w:rsidR="002B7CA0" w:rsidRPr="00D42E0B" w:rsidRDefault="002B7CA0" w:rsidP="00D5376F">
      <w:pPr>
        <w:pStyle w:val="BodyTextIndent"/>
        <w:tabs>
          <w:tab w:val="left" w:pos="0"/>
          <w:tab w:val="left" w:pos="709"/>
        </w:tabs>
        <w:ind w:left="709"/>
        <w:rPr>
          <w:snapToGrid w:val="0"/>
          <w:color w:val="548DD4" w:themeColor="text2" w:themeTint="99"/>
          <w:sz w:val="20"/>
          <w:szCs w:val="20"/>
          <w:u w:val="single"/>
        </w:rPr>
      </w:pPr>
    </w:p>
    <w:p w:rsidR="002B7CA0" w:rsidRPr="00D42E0B" w:rsidRDefault="002B7CA0" w:rsidP="00D5376F">
      <w:pPr>
        <w:pStyle w:val="BodyTextIndent"/>
        <w:tabs>
          <w:tab w:val="left" w:pos="0"/>
          <w:tab w:val="left" w:pos="709"/>
        </w:tabs>
        <w:ind w:left="709"/>
        <w:rPr>
          <w:snapToGrid w:val="0"/>
          <w:color w:val="548DD4" w:themeColor="text2" w:themeTint="99"/>
          <w:sz w:val="20"/>
          <w:szCs w:val="20"/>
          <w:u w:val="single"/>
        </w:rPr>
      </w:pPr>
    </w:p>
    <w:p w:rsidR="002B7CA0" w:rsidRPr="00D42E0B" w:rsidRDefault="002B7CA0" w:rsidP="00D5376F">
      <w:pPr>
        <w:pStyle w:val="BodyTextIndent"/>
        <w:tabs>
          <w:tab w:val="left" w:pos="0"/>
          <w:tab w:val="left" w:pos="709"/>
        </w:tabs>
        <w:ind w:left="709"/>
        <w:rPr>
          <w:snapToGrid w:val="0"/>
          <w:color w:val="548DD4" w:themeColor="text2" w:themeTint="99"/>
          <w:sz w:val="20"/>
          <w:szCs w:val="20"/>
          <w:u w:val="single"/>
        </w:rPr>
      </w:pPr>
    </w:p>
    <w:p w:rsidR="002B7CA0" w:rsidRPr="00D42E0B" w:rsidRDefault="002B7CA0" w:rsidP="00D5376F">
      <w:pPr>
        <w:pStyle w:val="BodyTextIndent"/>
        <w:tabs>
          <w:tab w:val="left" w:pos="0"/>
          <w:tab w:val="left" w:pos="709"/>
        </w:tabs>
        <w:ind w:left="709"/>
        <w:rPr>
          <w:snapToGrid w:val="0"/>
          <w:color w:val="548DD4" w:themeColor="text2" w:themeTint="99"/>
          <w:sz w:val="20"/>
          <w:szCs w:val="20"/>
          <w:u w:val="single"/>
        </w:rPr>
      </w:pPr>
    </w:p>
    <w:p w:rsidR="002B7CA0" w:rsidRPr="00D42E0B" w:rsidRDefault="002B7CA0" w:rsidP="00875EAB">
      <w:pPr>
        <w:pStyle w:val="BodyTextIndent"/>
        <w:tabs>
          <w:tab w:val="left" w:pos="0"/>
          <w:tab w:val="left" w:pos="709"/>
        </w:tabs>
        <w:ind w:left="0"/>
        <w:rPr>
          <w:snapToGrid w:val="0"/>
          <w:color w:val="548DD4" w:themeColor="text2" w:themeTint="99"/>
          <w:sz w:val="20"/>
          <w:szCs w:val="20"/>
          <w:u w:val="single"/>
        </w:rPr>
      </w:pPr>
    </w:p>
    <w:p w:rsidR="003B280B" w:rsidRDefault="003B280B" w:rsidP="00875EAB">
      <w:pPr>
        <w:pStyle w:val="BodyTextIndent"/>
        <w:tabs>
          <w:tab w:val="left" w:pos="567"/>
        </w:tabs>
        <w:ind w:left="567"/>
        <w:rPr>
          <w:b/>
          <w:color w:val="548DD4" w:themeColor="text2" w:themeTint="99"/>
          <w:sz w:val="20"/>
          <w:szCs w:val="20"/>
        </w:rPr>
      </w:pPr>
    </w:p>
    <w:p w:rsidR="003B280B" w:rsidRDefault="003B280B" w:rsidP="00875EAB">
      <w:pPr>
        <w:pStyle w:val="BodyTextIndent"/>
        <w:tabs>
          <w:tab w:val="left" w:pos="567"/>
        </w:tabs>
        <w:ind w:left="567"/>
        <w:rPr>
          <w:b/>
          <w:color w:val="548DD4" w:themeColor="text2" w:themeTint="99"/>
          <w:sz w:val="20"/>
          <w:szCs w:val="20"/>
        </w:rPr>
      </w:pPr>
    </w:p>
    <w:p w:rsidR="003B280B" w:rsidRDefault="003B280B" w:rsidP="00875EAB">
      <w:pPr>
        <w:pStyle w:val="BodyTextIndent"/>
        <w:tabs>
          <w:tab w:val="left" w:pos="567"/>
        </w:tabs>
        <w:ind w:left="567"/>
        <w:rPr>
          <w:b/>
          <w:color w:val="548DD4" w:themeColor="text2" w:themeTint="99"/>
          <w:sz w:val="20"/>
          <w:szCs w:val="20"/>
        </w:rPr>
      </w:pPr>
    </w:p>
    <w:p w:rsidR="00E51139" w:rsidRPr="00F67149" w:rsidRDefault="00E51139" w:rsidP="00875EAB">
      <w:pPr>
        <w:pStyle w:val="BodyTextIndent"/>
        <w:tabs>
          <w:tab w:val="left" w:pos="567"/>
        </w:tabs>
        <w:ind w:left="567"/>
        <w:rPr>
          <w:b/>
          <w:color w:val="auto"/>
          <w:sz w:val="20"/>
          <w:szCs w:val="20"/>
        </w:rPr>
      </w:pPr>
      <w:r w:rsidRPr="00F67149">
        <w:rPr>
          <w:b/>
          <w:color w:val="auto"/>
          <w:sz w:val="20"/>
          <w:szCs w:val="20"/>
        </w:rPr>
        <w:t>Short Term Investments</w:t>
      </w:r>
    </w:p>
    <w:p w:rsidR="00875EAB" w:rsidRDefault="00E51139" w:rsidP="00403BA0">
      <w:pPr>
        <w:pStyle w:val="BodyTextIndent"/>
        <w:tabs>
          <w:tab w:val="left" w:pos="567"/>
        </w:tabs>
        <w:ind w:left="567"/>
        <w:rPr>
          <w:color w:val="auto"/>
          <w:sz w:val="20"/>
          <w:szCs w:val="20"/>
        </w:rPr>
      </w:pPr>
      <w:r w:rsidRPr="00F67149">
        <w:rPr>
          <w:color w:val="auto"/>
          <w:sz w:val="20"/>
          <w:szCs w:val="20"/>
        </w:rPr>
        <w:t>Temporary investments are short term investments with a maturity less than one year that are held for investment purposes not short term cash flow liquidity. As at 31</w:t>
      </w:r>
      <w:r w:rsidRPr="00F67149">
        <w:rPr>
          <w:color w:val="auto"/>
          <w:sz w:val="20"/>
          <w:szCs w:val="20"/>
          <w:vertAlign w:val="superscript"/>
        </w:rPr>
        <w:t>st</w:t>
      </w:r>
      <w:r w:rsidRPr="00F67149">
        <w:rPr>
          <w:color w:val="auto"/>
          <w:sz w:val="20"/>
          <w:szCs w:val="20"/>
        </w:rPr>
        <w:t xml:space="preserve"> March 201</w:t>
      </w:r>
      <w:r w:rsidR="00026B55" w:rsidRPr="00F67149">
        <w:rPr>
          <w:color w:val="auto"/>
          <w:sz w:val="20"/>
          <w:szCs w:val="20"/>
        </w:rPr>
        <w:t>6</w:t>
      </w:r>
      <w:r w:rsidRPr="00F67149">
        <w:rPr>
          <w:color w:val="auto"/>
          <w:sz w:val="20"/>
          <w:szCs w:val="20"/>
        </w:rPr>
        <w:t xml:space="preserve"> the Council held £</w:t>
      </w:r>
      <w:r w:rsidR="00F67149" w:rsidRPr="00F67149">
        <w:rPr>
          <w:color w:val="auto"/>
          <w:sz w:val="20"/>
          <w:szCs w:val="20"/>
        </w:rPr>
        <w:t>46.6</w:t>
      </w:r>
      <w:r w:rsidR="00FB55B3" w:rsidRPr="00F67149">
        <w:rPr>
          <w:color w:val="auto"/>
          <w:sz w:val="20"/>
          <w:szCs w:val="20"/>
        </w:rPr>
        <w:t xml:space="preserve">m </w:t>
      </w:r>
      <w:r w:rsidRPr="00F67149">
        <w:rPr>
          <w:color w:val="auto"/>
          <w:sz w:val="20"/>
          <w:szCs w:val="20"/>
        </w:rPr>
        <w:t>(</w:t>
      </w:r>
      <w:r w:rsidR="00743183" w:rsidRPr="00F67149">
        <w:rPr>
          <w:color w:val="auto"/>
          <w:sz w:val="20"/>
          <w:szCs w:val="20"/>
        </w:rPr>
        <w:t>201</w:t>
      </w:r>
      <w:r w:rsidR="00026B55" w:rsidRPr="00F67149">
        <w:rPr>
          <w:color w:val="auto"/>
          <w:sz w:val="20"/>
          <w:szCs w:val="20"/>
        </w:rPr>
        <w:t>4</w:t>
      </w:r>
      <w:r w:rsidR="00743183" w:rsidRPr="00F67149">
        <w:rPr>
          <w:color w:val="auto"/>
          <w:sz w:val="20"/>
          <w:szCs w:val="20"/>
        </w:rPr>
        <w:t>/1</w:t>
      </w:r>
      <w:r w:rsidR="00026B55" w:rsidRPr="00F67149">
        <w:rPr>
          <w:color w:val="auto"/>
          <w:sz w:val="20"/>
          <w:szCs w:val="20"/>
        </w:rPr>
        <w:t>5</w:t>
      </w:r>
      <w:r w:rsidR="00743183" w:rsidRPr="00F67149">
        <w:rPr>
          <w:color w:val="auto"/>
          <w:sz w:val="20"/>
          <w:szCs w:val="20"/>
        </w:rPr>
        <w:t xml:space="preserve"> £</w:t>
      </w:r>
      <w:r w:rsidR="00026B55" w:rsidRPr="00F67149">
        <w:rPr>
          <w:color w:val="auto"/>
          <w:sz w:val="20"/>
          <w:szCs w:val="20"/>
        </w:rPr>
        <w:t>54.1</w:t>
      </w:r>
      <w:r w:rsidRPr="00F67149">
        <w:rPr>
          <w:color w:val="auto"/>
          <w:sz w:val="20"/>
          <w:szCs w:val="20"/>
        </w:rPr>
        <w:t>m) of short-term (money market) investments (principal only), of which £</w:t>
      </w:r>
      <w:r w:rsidR="00F67149" w:rsidRPr="00F67149">
        <w:rPr>
          <w:color w:val="auto"/>
          <w:sz w:val="20"/>
          <w:szCs w:val="20"/>
        </w:rPr>
        <w:t>18</w:t>
      </w:r>
      <w:r w:rsidR="00867A2B" w:rsidRPr="00F67149">
        <w:rPr>
          <w:color w:val="auto"/>
          <w:sz w:val="20"/>
          <w:szCs w:val="20"/>
        </w:rPr>
        <w:t>.</w:t>
      </w:r>
      <w:r w:rsidR="0007249D" w:rsidRPr="00F67149">
        <w:rPr>
          <w:color w:val="auto"/>
          <w:sz w:val="20"/>
          <w:szCs w:val="20"/>
        </w:rPr>
        <w:t>0</w:t>
      </w:r>
      <w:r w:rsidR="00FB55B3" w:rsidRPr="00F67149">
        <w:rPr>
          <w:color w:val="auto"/>
          <w:sz w:val="20"/>
          <w:szCs w:val="20"/>
        </w:rPr>
        <w:t>m</w:t>
      </w:r>
      <w:r w:rsidRPr="00F67149">
        <w:rPr>
          <w:color w:val="auto"/>
          <w:sz w:val="20"/>
          <w:szCs w:val="20"/>
        </w:rPr>
        <w:t xml:space="preserve"> (201</w:t>
      </w:r>
      <w:r w:rsidR="00026B55" w:rsidRPr="00F67149">
        <w:rPr>
          <w:color w:val="auto"/>
          <w:sz w:val="20"/>
          <w:szCs w:val="20"/>
        </w:rPr>
        <w:t>4</w:t>
      </w:r>
      <w:r w:rsidR="00743183" w:rsidRPr="00F67149">
        <w:rPr>
          <w:color w:val="auto"/>
          <w:sz w:val="20"/>
          <w:szCs w:val="20"/>
        </w:rPr>
        <w:t>/1</w:t>
      </w:r>
      <w:r w:rsidR="00026B55" w:rsidRPr="00F67149">
        <w:rPr>
          <w:color w:val="auto"/>
          <w:sz w:val="20"/>
          <w:szCs w:val="20"/>
        </w:rPr>
        <w:t>5</w:t>
      </w:r>
      <w:r w:rsidRPr="00F67149">
        <w:rPr>
          <w:color w:val="auto"/>
          <w:sz w:val="20"/>
          <w:szCs w:val="20"/>
        </w:rPr>
        <w:t xml:space="preserve"> £</w:t>
      </w:r>
      <w:r w:rsidR="0007249D" w:rsidRPr="00F67149">
        <w:rPr>
          <w:color w:val="auto"/>
          <w:sz w:val="20"/>
          <w:szCs w:val="20"/>
        </w:rPr>
        <w:t>30.</w:t>
      </w:r>
      <w:r w:rsidR="00026B55" w:rsidRPr="00F67149">
        <w:rPr>
          <w:color w:val="auto"/>
          <w:sz w:val="20"/>
          <w:szCs w:val="20"/>
        </w:rPr>
        <w:t>0</w:t>
      </w:r>
      <w:r w:rsidR="00743183" w:rsidRPr="00F67149">
        <w:rPr>
          <w:color w:val="auto"/>
          <w:sz w:val="20"/>
          <w:szCs w:val="20"/>
        </w:rPr>
        <w:t>m</w:t>
      </w:r>
      <w:r w:rsidRPr="00F67149">
        <w:rPr>
          <w:color w:val="auto"/>
          <w:sz w:val="20"/>
          <w:szCs w:val="20"/>
        </w:rPr>
        <w:t xml:space="preserve">) is held by the Council’s fund manager </w:t>
      </w:r>
      <w:r w:rsidR="00C75868" w:rsidRPr="00F67149">
        <w:rPr>
          <w:color w:val="auto"/>
          <w:sz w:val="20"/>
          <w:szCs w:val="20"/>
        </w:rPr>
        <w:t>Aberdeen Asset Manag</w:t>
      </w:r>
      <w:r w:rsidR="009F5274" w:rsidRPr="00F67149">
        <w:rPr>
          <w:color w:val="auto"/>
          <w:sz w:val="20"/>
          <w:szCs w:val="20"/>
        </w:rPr>
        <w:t>e</w:t>
      </w:r>
      <w:r w:rsidR="00C75868" w:rsidRPr="00F67149">
        <w:rPr>
          <w:color w:val="auto"/>
          <w:sz w:val="20"/>
          <w:szCs w:val="20"/>
        </w:rPr>
        <w:t>ment).</w:t>
      </w:r>
    </w:p>
    <w:p w:rsidR="000464F8" w:rsidRPr="00F67149" w:rsidRDefault="000464F8" w:rsidP="00403BA0">
      <w:pPr>
        <w:pStyle w:val="BodyTextIndent"/>
        <w:tabs>
          <w:tab w:val="left" w:pos="567"/>
        </w:tabs>
        <w:ind w:left="567"/>
        <w:rPr>
          <w:color w:val="auto"/>
          <w:sz w:val="20"/>
          <w:szCs w:val="20"/>
        </w:rPr>
      </w:pPr>
    </w:p>
    <w:tbl>
      <w:tblPr>
        <w:tblStyle w:val="ListTable3-Accent51"/>
        <w:tblW w:w="8613" w:type="dxa"/>
        <w:tblInd w:w="675" w:type="dxa"/>
        <w:tblLayout w:type="fixed"/>
        <w:tblLook w:val="0000"/>
      </w:tblPr>
      <w:tblGrid>
        <w:gridCol w:w="2127"/>
        <w:gridCol w:w="4110"/>
        <w:gridCol w:w="2376"/>
      </w:tblGrid>
      <w:tr w:rsidR="00E51139" w:rsidRPr="00026B55" w:rsidTr="0036203D">
        <w:trPr>
          <w:tblHeader/>
        </w:trPr>
        <w:tc>
          <w:tcPr>
            <w:cnfStyle w:val="000010000000"/>
            <w:tcW w:w="2127" w:type="dxa"/>
            <w:shd w:val="clear" w:color="auto" w:fill="4BACC6" w:themeFill="accent5"/>
          </w:tcPr>
          <w:p w:rsidR="00E51139" w:rsidRPr="00026B55" w:rsidRDefault="00E51139" w:rsidP="0036203D">
            <w:pPr>
              <w:pStyle w:val="BodyTextIndent"/>
              <w:tabs>
                <w:tab w:val="left" w:pos="709"/>
              </w:tabs>
              <w:ind w:left="0"/>
              <w:jc w:val="center"/>
              <w:rPr>
                <w:color w:val="auto"/>
                <w:sz w:val="20"/>
                <w:szCs w:val="20"/>
              </w:rPr>
            </w:pPr>
            <w:r w:rsidRPr="00026B55">
              <w:rPr>
                <w:color w:val="auto"/>
                <w:sz w:val="20"/>
                <w:szCs w:val="20"/>
              </w:rPr>
              <w:lastRenderedPageBreak/>
              <w:t>Total</w:t>
            </w:r>
            <w:r w:rsidR="005C6E43" w:rsidRPr="00026B55">
              <w:rPr>
                <w:color w:val="auto"/>
                <w:sz w:val="20"/>
                <w:szCs w:val="20"/>
              </w:rPr>
              <w:t xml:space="preserve"> </w:t>
            </w:r>
            <w:r w:rsidRPr="00026B55">
              <w:rPr>
                <w:color w:val="auto"/>
                <w:sz w:val="20"/>
                <w:szCs w:val="20"/>
              </w:rPr>
              <w:t xml:space="preserve">Invested  </w:t>
            </w:r>
          </w:p>
          <w:p w:rsidR="00E51139" w:rsidRPr="00026B55" w:rsidRDefault="00E51139" w:rsidP="0036203D">
            <w:pPr>
              <w:pStyle w:val="BodyTextIndent"/>
              <w:tabs>
                <w:tab w:val="left" w:pos="709"/>
              </w:tabs>
              <w:ind w:left="0"/>
              <w:jc w:val="center"/>
              <w:rPr>
                <w:color w:val="auto"/>
                <w:sz w:val="20"/>
                <w:szCs w:val="20"/>
              </w:rPr>
            </w:pPr>
            <w:r w:rsidRPr="00026B55">
              <w:rPr>
                <w:color w:val="auto"/>
                <w:sz w:val="20"/>
                <w:szCs w:val="20"/>
              </w:rPr>
              <w:t>31st March 201</w:t>
            </w:r>
            <w:r w:rsidR="00026B55" w:rsidRPr="00026B55">
              <w:rPr>
                <w:color w:val="auto"/>
                <w:sz w:val="20"/>
                <w:szCs w:val="20"/>
              </w:rPr>
              <w:t>5</w:t>
            </w:r>
          </w:p>
          <w:p w:rsidR="00E51139" w:rsidRPr="00026B55" w:rsidRDefault="00E51139" w:rsidP="0036203D">
            <w:pPr>
              <w:pStyle w:val="BodyTextIndent"/>
              <w:tabs>
                <w:tab w:val="left" w:pos="709"/>
              </w:tabs>
              <w:ind w:left="0"/>
              <w:jc w:val="center"/>
              <w:rPr>
                <w:color w:val="auto"/>
                <w:sz w:val="20"/>
                <w:szCs w:val="20"/>
              </w:rPr>
            </w:pPr>
            <w:r w:rsidRPr="00026B55">
              <w:rPr>
                <w:color w:val="auto"/>
                <w:sz w:val="20"/>
                <w:szCs w:val="20"/>
              </w:rPr>
              <w:t>£ m</w:t>
            </w:r>
          </w:p>
        </w:tc>
        <w:tc>
          <w:tcPr>
            <w:tcW w:w="4110" w:type="dxa"/>
            <w:shd w:val="clear" w:color="auto" w:fill="4BACC6" w:themeFill="accent5"/>
          </w:tcPr>
          <w:p w:rsidR="00E51139" w:rsidRPr="00026B55" w:rsidRDefault="00E51139" w:rsidP="0036203D">
            <w:pPr>
              <w:pStyle w:val="BodyTextIndent"/>
              <w:tabs>
                <w:tab w:val="left" w:pos="709"/>
              </w:tabs>
              <w:ind w:left="0"/>
              <w:cnfStyle w:val="000000000000"/>
              <w:rPr>
                <w:b/>
                <w:color w:val="auto"/>
                <w:sz w:val="20"/>
                <w:szCs w:val="20"/>
              </w:rPr>
            </w:pPr>
          </w:p>
        </w:tc>
        <w:tc>
          <w:tcPr>
            <w:cnfStyle w:val="000010000000"/>
            <w:tcW w:w="2376" w:type="dxa"/>
            <w:shd w:val="clear" w:color="auto" w:fill="4BACC6" w:themeFill="accent5"/>
          </w:tcPr>
          <w:p w:rsidR="00E51139" w:rsidRPr="00026B55" w:rsidRDefault="00E51139" w:rsidP="0036203D">
            <w:pPr>
              <w:pStyle w:val="BodyTextIndent"/>
              <w:tabs>
                <w:tab w:val="left" w:pos="709"/>
              </w:tabs>
              <w:ind w:left="0"/>
              <w:jc w:val="center"/>
              <w:rPr>
                <w:b/>
                <w:color w:val="auto"/>
                <w:sz w:val="20"/>
                <w:szCs w:val="20"/>
              </w:rPr>
            </w:pPr>
            <w:r w:rsidRPr="00026B55">
              <w:rPr>
                <w:b/>
                <w:color w:val="auto"/>
                <w:sz w:val="20"/>
                <w:szCs w:val="20"/>
              </w:rPr>
              <w:t>Total</w:t>
            </w:r>
            <w:r w:rsidR="005C6E43" w:rsidRPr="00026B55">
              <w:rPr>
                <w:b/>
                <w:color w:val="auto"/>
                <w:sz w:val="20"/>
                <w:szCs w:val="20"/>
              </w:rPr>
              <w:t xml:space="preserve"> </w:t>
            </w:r>
            <w:r w:rsidRPr="00026B55">
              <w:rPr>
                <w:b/>
                <w:color w:val="auto"/>
                <w:sz w:val="20"/>
                <w:szCs w:val="20"/>
              </w:rPr>
              <w:t>Invested</w:t>
            </w:r>
          </w:p>
          <w:p w:rsidR="00E51139" w:rsidRPr="00026B55" w:rsidRDefault="00E51139" w:rsidP="0036203D">
            <w:pPr>
              <w:pStyle w:val="BodyTextIndent"/>
              <w:tabs>
                <w:tab w:val="left" w:pos="709"/>
              </w:tabs>
              <w:ind w:left="0"/>
              <w:jc w:val="center"/>
              <w:rPr>
                <w:b/>
                <w:color w:val="auto"/>
                <w:sz w:val="20"/>
                <w:szCs w:val="20"/>
              </w:rPr>
            </w:pPr>
            <w:r w:rsidRPr="00026B55">
              <w:rPr>
                <w:b/>
                <w:color w:val="auto"/>
                <w:sz w:val="20"/>
                <w:szCs w:val="20"/>
              </w:rPr>
              <w:t>31st March 201</w:t>
            </w:r>
            <w:r w:rsidR="00026B55" w:rsidRPr="00026B55">
              <w:rPr>
                <w:b/>
                <w:color w:val="auto"/>
                <w:sz w:val="20"/>
                <w:szCs w:val="20"/>
              </w:rPr>
              <w:t>6</w:t>
            </w:r>
          </w:p>
          <w:p w:rsidR="00E51139" w:rsidRPr="00026B55" w:rsidRDefault="00E51139" w:rsidP="0036203D">
            <w:pPr>
              <w:pStyle w:val="BodyTextIndent"/>
              <w:tabs>
                <w:tab w:val="left" w:pos="709"/>
              </w:tabs>
              <w:ind w:left="0"/>
              <w:jc w:val="center"/>
              <w:rPr>
                <w:color w:val="auto"/>
                <w:sz w:val="20"/>
                <w:szCs w:val="20"/>
              </w:rPr>
            </w:pPr>
            <w:r w:rsidRPr="00026B55">
              <w:rPr>
                <w:color w:val="auto"/>
                <w:sz w:val="20"/>
                <w:szCs w:val="20"/>
              </w:rPr>
              <w:t>£ m</w:t>
            </w:r>
          </w:p>
        </w:tc>
      </w:tr>
      <w:tr w:rsidR="00E51139" w:rsidRPr="00026B55" w:rsidTr="0036203D">
        <w:trPr>
          <w:cnfStyle w:val="000000100000"/>
        </w:trPr>
        <w:tc>
          <w:tcPr>
            <w:cnfStyle w:val="000010000000"/>
            <w:tcW w:w="2127" w:type="dxa"/>
            <w:vAlign w:val="center"/>
          </w:tcPr>
          <w:p w:rsidR="00E51139" w:rsidRPr="00026B55" w:rsidRDefault="00E51139" w:rsidP="0036203D">
            <w:pPr>
              <w:pStyle w:val="BodyTextIndent"/>
              <w:tabs>
                <w:tab w:val="left" w:pos="709"/>
              </w:tabs>
              <w:ind w:left="0"/>
              <w:jc w:val="center"/>
              <w:rPr>
                <w:b/>
                <w:color w:val="auto"/>
                <w:sz w:val="20"/>
                <w:szCs w:val="20"/>
              </w:rPr>
            </w:pPr>
          </w:p>
        </w:tc>
        <w:tc>
          <w:tcPr>
            <w:tcW w:w="4110" w:type="dxa"/>
            <w:vAlign w:val="center"/>
          </w:tcPr>
          <w:p w:rsidR="00E51139" w:rsidRPr="00026B55" w:rsidRDefault="00E51139" w:rsidP="0036203D">
            <w:pPr>
              <w:pStyle w:val="BodyTextIndent"/>
              <w:tabs>
                <w:tab w:val="left" w:pos="709"/>
              </w:tabs>
              <w:ind w:left="0"/>
              <w:cnfStyle w:val="000000100000"/>
              <w:rPr>
                <w:color w:val="auto"/>
                <w:sz w:val="20"/>
                <w:szCs w:val="20"/>
              </w:rPr>
            </w:pPr>
            <w:r w:rsidRPr="00026B55">
              <w:rPr>
                <w:color w:val="auto"/>
                <w:sz w:val="20"/>
                <w:szCs w:val="20"/>
              </w:rPr>
              <w:t xml:space="preserve">Short Term Investments </w:t>
            </w:r>
            <w:r w:rsidR="00875EAB" w:rsidRPr="00026B55">
              <w:rPr>
                <w:color w:val="auto"/>
                <w:sz w:val="20"/>
                <w:szCs w:val="20"/>
              </w:rPr>
              <w:t>(</w:t>
            </w:r>
            <w:r w:rsidRPr="00026B55">
              <w:rPr>
                <w:color w:val="auto"/>
                <w:sz w:val="20"/>
                <w:szCs w:val="20"/>
              </w:rPr>
              <w:t>less than 1 year</w:t>
            </w:r>
            <w:r w:rsidR="00875EAB" w:rsidRPr="00026B55">
              <w:rPr>
                <w:color w:val="auto"/>
                <w:sz w:val="20"/>
                <w:szCs w:val="20"/>
              </w:rPr>
              <w:t>)</w:t>
            </w:r>
          </w:p>
        </w:tc>
        <w:tc>
          <w:tcPr>
            <w:cnfStyle w:val="000010000000"/>
            <w:tcW w:w="2376" w:type="dxa"/>
            <w:vAlign w:val="center"/>
          </w:tcPr>
          <w:p w:rsidR="00E51139" w:rsidRPr="00026B55" w:rsidRDefault="00E51139" w:rsidP="0036203D">
            <w:pPr>
              <w:pStyle w:val="BodyTextIndent"/>
              <w:tabs>
                <w:tab w:val="left" w:pos="709"/>
              </w:tabs>
              <w:ind w:left="0"/>
              <w:jc w:val="center"/>
              <w:rPr>
                <w:b/>
                <w:color w:val="auto"/>
                <w:sz w:val="20"/>
                <w:szCs w:val="20"/>
              </w:rPr>
            </w:pPr>
          </w:p>
        </w:tc>
      </w:tr>
      <w:tr w:rsidR="00026B55" w:rsidRPr="00026B55" w:rsidTr="0036203D">
        <w:tc>
          <w:tcPr>
            <w:cnfStyle w:val="000010000000"/>
            <w:tcW w:w="2127" w:type="dxa"/>
            <w:vAlign w:val="center"/>
          </w:tcPr>
          <w:p w:rsidR="00026B55" w:rsidRPr="00026B55" w:rsidRDefault="00026B55" w:rsidP="00026B55">
            <w:pPr>
              <w:pStyle w:val="BodyTextIndent"/>
              <w:tabs>
                <w:tab w:val="left" w:pos="709"/>
              </w:tabs>
              <w:ind w:left="0"/>
              <w:jc w:val="center"/>
              <w:rPr>
                <w:b/>
                <w:color w:val="auto"/>
                <w:sz w:val="20"/>
                <w:szCs w:val="20"/>
              </w:rPr>
            </w:pPr>
            <w:r w:rsidRPr="00026B55">
              <w:rPr>
                <w:b/>
                <w:color w:val="auto"/>
                <w:sz w:val="20"/>
                <w:szCs w:val="20"/>
              </w:rPr>
              <w:t>16.0</w:t>
            </w:r>
          </w:p>
        </w:tc>
        <w:tc>
          <w:tcPr>
            <w:tcW w:w="4110" w:type="dxa"/>
            <w:vAlign w:val="center"/>
          </w:tcPr>
          <w:p w:rsidR="00026B55" w:rsidRPr="00026B55" w:rsidRDefault="00026B55" w:rsidP="0036203D">
            <w:pPr>
              <w:pStyle w:val="BodyTextIndent"/>
              <w:tabs>
                <w:tab w:val="left" w:pos="709"/>
              </w:tabs>
              <w:ind w:left="0"/>
              <w:cnfStyle w:val="000000000000"/>
              <w:rPr>
                <w:color w:val="auto"/>
                <w:sz w:val="20"/>
                <w:szCs w:val="20"/>
              </w:rPr>
            </w:pPr>
            <w:r w:rsidRPr="00026B55">
              <w:rPr>
                <w:color w:val="auto"/>
                <w:sz w:val="20"/>
                <w:szCs w:val="20"/>
              </w:rPr>
              <w:t>Deposits: fixed term &amp; structured</w:t>
            </w:r>
          </w:p>
        </w:tc>
        <w:tc>
          <w:tcPr>
            <w:cnfStyle w:val="000010000000"/>
            <w:tcW w:w="2376" w:type="dxa"/>
            <w:vAlign w:val="center"/>
          </w:tcPr>
          <w:p w:rsidR="00026B55" w:rsidRPr="00026B55" w:rsidRDefault="00F67149" w:rsidP="00926FBE">
            <w:pPr>
              <w:pStyle w:val="BodyTextIndent"/>
              <w:tabs>
                <w:tab w:val="left" w:pos="709"/>
              </w:tabs>
              <w:ind w:left="0"/>
              <w:jc w:val="center"/>
              <w:rPr>
                <w:b/>
                <w:color w:val="auto"/>
                <w:sz w:val="20"/>
                <w:szCs w:val="20"/>
              </w:rPr>
            </w:pPr>
            <w:r>
              <w:rPr>
                <w:b/>
                <w:color w:val="auto"/>
                <w:sz w:val="20"/>
                <w:szCs w:val="20"/>
              </w:rPr>
              <w:t>26.0</w:t>
            </w:r>
          </w:p>
        </w:tc>
      </w:tr>
      <w:tr w:rsidR="00026B55" w:rsidRPr="00026B55" w:rsidTr="0036203D">
        <w:trPr>
          <w:cnfStyle w:val="000000100000"/>
        </w:trPr>
        <w:tc>
          <w:tcPr>
            <w:cnfStyle w:val="000010000000"/>
            <w:tcW w:w="2127" w:type="dxa"/>
            <w:vAlign w:val="center"/>
          </w:tcPr>
          <w:p w:rsidR="00026B55" w:rsidRPr="00026B55" w:rsidRDefault="00026B55" w:rsidP="00026B55">
            <w:pPr>
              <w:pStyle w:val="BodyTextIndent"/>
              <w:tabs>
                <w:tab w:val="left" w:pos="709"/>
              </w:tabs>
              <w:ind w:left="0"/>
              <w:jc w:val="center"/>
              <w:rPr>
                <w:b/>
                <w:color w:val="auto"/>
                <w:sz w:val="20"/>
                <w:szCs w:val="20"/>
              </w:rPr>
            </w:pPr>
            <w:r w:rsidRPr="00026B55">
              <w:rPr>
                <w:b/>
                <w:color w:val="auto"/>
                <w:sz w:val="20"/>
                <w:szCs w:val="20"/>
              </w:rPr>
              <w:t>8.1</w:t>
            </w:r>
          </w:p>
        </w:tc>
        <w:tc>
          <w:tcPr>
            <w:tcW w:w="4110" w:type="dxa"/>
            <w:vAlign w:val="center"/>
          </w:tcPr>
          <w:p w:rsidR="00026B55" w:rsidRPr="00026B55" w:rsidRDefault="00026B55" w:rsidP="0036203D">
            <w:pPr>
              <w:pStyle w:val="BodyTextIndent"/>
              <w:tabs>
                <w:tab w:val="left" w:pos="709"/>
              </w:tabs>
              <w:ind w:left="0"/>
              <w:cnfStyle w:val="000000100000"/>
              <w:rPr>
                <w:color w:val="auto"/>
                <w:sz w:val="20"/>
                <w:szCs w:val="20"/>
              </w:rPr>
            </w:pPr>
            <w:r w:rsidRPr="00026B55">
              <w:rPr>
                <w:color w:val="auto"/>
                <w:sz w:val="20"/>
                <w:szCs w:val="20"/>
              </w:rPr>
              <w:t>Notice\Call Accounts</w:t>
            </w:r>
          </w:p>
        </w:tc>
        <w:tc>
          <w:tcPr>
            <w:cnfStyle w:val="000010000000"/>
            <w:tcW w:w="2376" w:type="dxa"/>
            <w:vAlign w:val="center"/>
          </w:tcPr>
          <w:p w:rsidR="00026B55" w:rsidRPr="00026B55" w:rsidRDefault="00B67D5E" w:rsidP="00926FBE">
            <w:pPr>
              <w:pStyle w:val="BodyTextIndent"/>
              <w:tabs>
                <w:tab w:val="left" w:pos="709"/>
              </w:tabs>
              <w:ind w:left="0"/>
              <w:jc w:val="center"/>
              <w:rPr>
                <w:b/>
                <w:color w:val="auto"/>
                <w:sz w:val="20"/>
                <w:szCs w:val="20"/>
              </w:rPr>
            </w:pPr>
            <w:r>
              <w:rPr>
                <w:b/>
                <w:color w:val="auto"/>
                <w:sz w:val="20"/>
                <w:szCs w:val="20"/>
              </w:rPr>
              <w:t>3.5</w:t>
            </w:r>
          </w:p>
        </w:tc>
      </w:tr>
      <w:tr w:rsidR="00026B55" w:rsidRPr="00026B55" w:rsidTr="0036203D">
        <w:tc>
          <w:tcPr>
            <w:cnfStyle w:val="000010000000"/>
            <w:tcW w:w="2127" w:type="dxa"/>
            <w:vAlign w:val="center"/>
          </w:tcPr>
          <w:p w:rsidR="00026B55" w:rsidRPr="00026B55" w:rsidRDefault="00026B55" w:rsidP="00026B55">
            <w:pPr>
              <w:pStyle w:val="BodyTextIndent"/>
              <w:tabs>
                <w:tab w:val="left" w:pos="709"/>
              </w:tabs>
              <w:ind w:left="0"/>
              <w:jc w:val="center"/>
              <w:rPr>
                <w:b/>
                <w:color w:val="auto"/>
                <w:sz w:val="20"/>
                <w:szCs w:val="20"/>
              </w:rPr>
            </w:pPr>
            <w:r w:rsidRPr="00026B55">
              <w:rPr>
                <w:b/>
                <w:color w:val="auto"/>
                <w:sz w:val="20"/>
                <w:szCs w:val="20"/>
              </w:rPr>
              <w:t>30.0</w:t>
            </w:r>
          </w:p>
        </w:tc>
        <w:tc>
          <w:tcPr>
            <w:tcW w:w="4110" w:type="dxa"/>
            <w:vAlign w:val="center"/>
          </w:tcPr>
          <w:p w:rsidR="00026B55" w:rsidRPr="00026B55" w:rsidRDefault="00026B55" w:rsidP="0036203D">
            <w:pPr>
              <w:pStyle w:val="BodyTextIndent"/>
              <w:tabs>
                <w:tab w:val="left" w:pos="709"/>
              </w:tabs>
              <w:ind w:left="0"/>
              <w:cnfStyle w:val="000000000000"/>
              <w:rPr>
                <w:color w:val="auto"/>
                <w:sz w:val="20"/>
                <w:szCs w:val="20"/>
              </w:rPr>
            </w:pPr>
            <w:r w:rsidRPr="00026B55">
              <w:rPr>
                <w:color w:val="auto"/>
                <w:sz w:val="20"/>
                <w:szCs w:val="20"/>
              </w:rPr>
              <w:t>Fund Manager *</w:t>
            </w:r>
          </w:p>
        </w:tc>
        <w:tc>
          <w:tcPr>
            <w:cnfStyle w:val="000010000000"/>
            <w:tcW w:w="2376" w:type="dxa"/>
            <w:vAlign w:val="center"/>
          </w:tcPr>
          <w:p w:rsidR="00026B55" w:rsidRPr="00026B55" w:rsidRDefault="00F67149" w:rsidP="0036203D">
            <w:pPr>
              <w:pStyle w:val="BodyTextIndent"/>
              <w:tabs>
                <w:tab w:val="left" w:pos="709"/>
              </w:tabs>
              <w:ind w:left="0"/>
              <w:jc w:val="center"/>
              <w:rPr>
                <w:b/>
                <w:color w:val="auto"/>
                <w:sz w:val="20"/>
                <w:szCs w:val="20"/>
              </w:rPr>
            </w:pPr>
            <w:r>
              <w:rPr>
                <w:b/>
                <w:color w:val="auto"/>
                <w:sz w:val="20"/>
                <w:szCs w:val="20"/>
              </w:rPr>
              <w:t>18.0</w:t>
            </w:r>
          </w:p>
        </w:tc>
      </w:tr>
      <w:tr w:rsidR="00026B55" w:rsidRPr="00026B55" w:rsidTr="0036203D">
        <w:trPr>
          <w:cnfStyle w:val="000000100000"/>
        </w:trPr>
        <w:tc>
          <w:tcPr>
            <w:cnfStyle w:val="000010000000"/>
            <w:tcW w:w="2127" w:type="dxa"/>
            <w:vAlign w:val="center"/>
          </w:tcPr>
          <w:p w:rsidR="00026B55" w:rsidRPr="00026B55" w:rsidRDefault="00026B55" w:rsidP="00026B55">
            <w:pPr>
              <w:pStyle w:val="BodyTextIndent"/>
              <w:tabs>
                <w:tab w:val="left" w:pos="709"/>
              </w:tabs>
              <w:ind w:left="0"/>
              <w:jc w:val="center"/>
              <w:rPr>
                <w:b/>
                <w:color w:val="auto"/>
                <w:sz w:val="20"/>
                <w:szCs w:val="20"/>
              </w:rPr>
            </w:pPr>
            <w:r w:rsidRPr="00026B55">
              <w:rPr>
                <w:b/>
                <w:color w:val="auto"/>
                <w:sz w:val="20"/>
                <w:szCs w:val="20"/>
              </w:rPr>
              <w:t>54.1</w:t>
            </w:r>
          </w:p>
        </w:tc>
        <w:tc>
          <w:tcPr>
            <w:tcW w:w="4110" w:type="dxa"/>
            <w:vAlign w:val="center"/>
          </w:tcPr>
          <w:p w:rsidR="00026B55" w:rsidRPr="00026B55" w:rsidRDefault="00026B55" w:rsidP="00022620">
            <w:pPr>
              <w:pStyle w:val="BodyTextIndent"/>
              <w:tabs>
                <w:tab w:val="left" w:pos="709"/>
              </w:tabs>
              <w:ind w:left="0"/>
              <w:cnfStyle w:val="000000100000"/>
              <w:rPr>
                <w:b/>
                <w:color w:val="auto"/>
                <w:sz w:val="20"/>
                <w:szCs w:val="20"/>
              </w:rPr>
            </w:pPr>
            <w:r w:rsidRPr="00026B55">
              <w:rPr>
                <w:b/>
                <w:color w:val="auto"/>
                <w:sz w:val="20"/>
                <w:szCs w:val="20"/>
              </w:rPr>
              <w:t xml:space="preserve">Total </w:t>
            </w:r>
            <w:r w:rsidR="00022620">
              <w:rPr>
                <w:b/>
                <w:color w:val="auto"/>
                <w:sz w:val="20"/>
                <w:szCs w:val="20"/>
              </w:rPr>
              <w:t xml:space="preserve">Short Term </w:t>
            </w:r>
            <w:r w:rsidRPr="00026B55">
              <w:rPr>
                <w:b/>
                <w:color w:val="auto"/>
                <w:sz w:val="20"/>
                <w:szCs w:val="20"/>
              </w:rPr>
              <w:t>Investments</w:t>
            </w:r>
          </w:p>
        </w:tc>
        <w:tc>
          <w:tcPr>
            <w:cnfStyle w:val="000010000000"/>
            <w:tcW w:w="2376" w:type="dxa"/>
            <w:vAlign w:val="center"/>
          </w:tcPr>
          <w:p w:rsidR="00026B55" w:rsidRPr="00026B55" w:rsidRDefault="00F67149" w:rsidP="0036203D">
            <w:pPr>
              <w:pStyle w:val="BodyTextIndent"/>
              <w:tabs>
                <w:tab w:val="left" w:pos="709"/>
              </w:tabs>
              <w:ind w:left="0"/>
              <w:jc w:val="center"/>
              <w:rPr>
                <w:b/>
                <w:color w:val="auto"/>
                <w:sz w:val="20"/>
                <w:szCs w:val="20"/>
              </w:rPr>
            </w:pPr>
            <w:r>
              <w:rPr>
                <w:b/>
                <w:color w:val="auto"/>
                <w:sz w:val="20"/>
                <w:szCs w:val="20"/>
              </w:rPr>
              <w:t>4</w:t>
            </w:r>
            <w:r w:rsidR="00B67D5E">
              <w:rPr>
                <w:b/>
                <w:color w:val="auto"/>
                <w:sz w:val="20"/>
                <w:szCs w:val="20"/>
              </w:rPr>
              <w:t>7.5</w:t>
            </w:r>
          </w:p>
        </w:tc>
      </w:tr>
      <w:tr w:rsidR="00026B55" w:rsidRPr="00026B55" w:rsidTr="0036203D">
        <w:trPr>
          <w:trHeight w:val="463"/>
        </w:trPr>
        <w:tc>
          <w:tcPr>
            <w:cnfStyle w:val="000010000000"/>
            <w:tcW w:w="2127" w:type="dxa"/>
            <w:vAlign w:val="center"/>
          </w:tcPr>
          <w:p w:rsidR="00026B55" w:rsidRPr="00026B55" w:rsidRDefault="00026B55" w:rsidP="00026B55">
            <w:pPr>
              <w:pStyle w:val="BodyTextIndent"/>
              <w:tabs>
                <w:tab w:val="left" w:pos="709"/>
              </w:tabs>
              <w:ind w:left="0"/>
              <w:jc w:val="center"/>
              <w:rPr>
                <w:i/>
                <w:color w:val="auto"/>
                <w:sz w:val="20"/>
                <w:szCs w:val="20"/>
              </w:rPr>
            </w:pPr>
            <w:r w:rsidRPr="00026B55">
              <w:rPr>
                <w:i/>
                <w:color w:val="auto"/>
                <w:sz w:val="20"/>
                <w:szCs w:val="20"/>
              </w:rPr>
              <w:t>54.3</w:t>
            </w:r>
          </w:p>
        </w:tc>
        <w:tc>
          <w:tcPr>
            <w:tcW w:w="4110" w:type="dxa"/>
            <w:vAlign w:val="center"/>
          </w:tcPr>
          <w:p w:rsidR="00026B55" w:rsidRPr="00026B55" w:rsidRDefault="00026B55" w:rsidP="0036203D">
            <w:pPr>
              <w:pStyle w:val="BodyTextIndent"/>
              <w:tabs>
                <w:tab w:val="left" w:pos="709"/>
              </w:tabs>
              <w:ind w:left="0"/>
              <w:cnfStyle w:val="000000000000"/>
              <w:rPr>
                <w:i/>
                <w:color w:val="auto"/>
                <w:sz w:val="20"/>
                <w:szCs w:val="20"/>
              </w:rPr>
            </w:pPr>
            <w:r w:rsidRPr="00026B55">
              <w:rPr>
                <w:i/>
                <w:color w:val="auto"/>
                <w:sz w:val="20"/>
                <w:szCs w:val="20"/>
              </w:rPr>
              <w:t>Fair Value as at 31</w:t>
            </w:r>
            <w:r w:rsidRPr="00026B55">
              <w:rPr>
                <w:i/>
                <w:color w:val="auto"/>
                <w:sz w:val="20"/>
                <w:szCs w:val="20"/>
                <w:vertAlign w:val="superscript"/>
              </w:rPr>
              <w:t>st</w:t>
            </w:r>
            <w:r w:rsidRPr="00026B55">
              <w:rPr>
                <w:i/>
                <w:color w:val="auto"/>
                <w:sz w:val="20"/>
                <w:szCs w:val="20"/>
              </w:rPr>
              <w:t xml:space="preserve"> March - including interest due</w:t>
            </w:r>
          </w:p>
        </w:tc>
        <w:tc>
          <w:tcPr>
            <w:cnfStyle w:val="000010000000"/>
            <w:tcW w:w="2376" w:type="dxa"/>
            <w:vAlign w:val="center"/>
          </w:tcPr>
          <w:p w:rsidR="00026B55" w:rsidRPr="00026B55" w:rsidRDefault="00F67149" w:rsidP="0036203D">
            <w:pPr>
              <w:pStyle w:val="BodyTextIndent"/>
              <w:tabs>
                <w:tab w:val="left" w:pos="709"/>
              </w:tabs>
              <w:ind w:left="0"/>
              <w:jc w:val="center"/>
              <w:rPr>
                <w:i/>
                <w:color w:val="auto"/>
                <w:sz w:val="20"/>
                <w:szCs w:val="20"/>
              </w:rPr>
            </w:pPr>
            <w:r>
              <w:rPr>
                <w:i/>
                <w:color w:val="auto"/>
                <w:sz w:val="20"/>
                <w:szCs w:val="20"/>
              </w:rPr>
              <w:t>47.</w:t>
            </w:r>
            <w:r w:rsidR="00C03E7B">
              <w:rPr>
                <w:i/>
                <w:color w:val="auto"/>
                <w:sz w:val="20"/>
                <w:szCs w:val="20"/>
              </w:rPr>
              <w:t>9</w:t>
            </w:r>
          </w:p>
        </w:tc>
      </w:tr>
    </w:tbl>
    <w:p w:rsidR="003D1EA9" w:rsidRPr="00D42E0B" w:rsidRDefault="003D1EA9" w:rsidP="003D1EA9">
      <w:pPr>
        <w:pStyle w:val="BodyTextIndent"/>
        <w:ind w:left="0"/>
        <w:rPr>
          <w:rFonts w:cs="Arial"/>
          <w:bCs/>
          <w:color w:val="548DD4" w:themeColor="text2" w:themeTint="99"/>
          <w:sz w:val="20"/>
          <w:szCs w:val="20"/>
        </w:rPr>
      </w:pPr>
    </w:p>
    <w:p w:rsidR="00D56952" w:rsidRPr="00F67149" w:rsidRDefault="00E51139" w:rsidP="003D1EA9">
      <w:pPr>
        <w:pStyle w:val="BodyTextIndent"/>
        <w:ind w:left="567"/>
        <w:rPr>
          <w:rFonts w:cs="Arial"/>
          <w:bCs/>
          <w:color w:val="auto"/>
          <w:sz w:val="20"/>
          <w:szCs w:val="20"/>
        </w:rPr>
      </w:pPr>
      <w:r w:rsidRPr="00F67149">
        <w:rPr>
          <w:rFonts w:cs="Arial"/>
          <w:bCs/>
          <w:color w:val="auto"/>
          <w:sz w:val="20"/>
          <w:szCs w:val="20"/>
        </w:rPr>
        <w:t xml:space="preserve">Note * - The Council has designated its holding with </w:t>
      </w:r>
      <w:r w:rsidR="00061D71" w:rsidRPr="00F67149">
        <w:rPr>
          <w:rFonts w:cs="Arial"/>
          <w:bCs/>
          <w:color w:val="auto"/>
          <w:sz w:val="20"/>
          <w:szCs w:val="20"/>
        </w:rPr>
        <w:t>Aberdeen Asset Management a</w:t>
      </w:r>
      <w:r w:rsidRPr="00F67149">
        <w:rPr>
          <w:rFonts w:cs="Arial"/>
          <w:bCs/>
          <w:color w:val="auto"/>
          <w:sz w:val="20"/>
          <w:szCs w:val="20"/>
        </w:rPr>
        <w:t>t Fair Value through Profit and Loss as, in substance, the Council’s holding is part of a portfolio of identified financial instruments that are managed together and there is evidence of short term profit makin</w:t>
      </w:r>
      <w:r w:rsidR="00875EAB" w:rsidRPr="00F67149">
        <w:rPr>
          <w:rFonts w:cs="Arial"/>
          <w:bCs/>
          <w:color w:val="auto"/>
          <w:sz w:val="20"/>
          <w:szCs w:val="20"/>
        </w:rPr>
        <w:t>g</w:t>
      </w:r>
      <w:r w:rsidR="00D77783" w:rsidRPr="00F67149">
        <w:rPr>
          <w:rFonts w:cs="Arial"/>
          <w:bCs/>
          <w:color w:val="auto"/>
          <w:sz w:val="20"/>
          <w:szCs w:val="20"/>
        </w:rPr>
        <w:t>.</w:t>
      </w:r>
    </w:p>
    <w:p w:rsidR="00E51139" w:rsidRPr="00221CE5" w:rsidRDefault="007E33E1" w:rsidP="005C6E43">
      <w:pPr>
        <w:pStyle w:val="Subtitle"/>
        <w:ind w:left="567" w:hanging="567"/>
        <w:rPr>
          <w:b/>
          <w:color w:val="auto"/>
          <w:sz w:val="22"/>
          <w:szCs w:val="22"/>
        </w:rPr>
      </w:pPr>
      <w:r w:rsidRPr="00221CE5">
        <w:rPr>
          <w:b/>
          <w:color w:val="auto"/>
          <w:sz w:val="22"/>
          <w:szCs w:val="22"/>
        </w:rPr>
        <w:t>16.</w:t>
      </w:r>
      <w:r w:rsidRPr="00221CE5">
        <w:rPr>
          <w:b/>
          <w:color w:val="auto"/>
          <w:sz w:val="22"/>
          <w:szCs w:val="22"/>
        </w:rPr>
        <w:tab/>
      </w:r>
      <w:r w:rsidR="00E51139" w:rsidRPr="00221CE5">
        <w:rPr>
          <w:b/>
          <w:color w:val="auto"/>
          <w:sz w:val="22"/>
          <w:szCs w:val="22"/>
        </w:rPr>
        <w:t>Debtors</w:t>
      </w:r>
    </w:p>
    <w:p w:rsidR="00E51139" w:rsidRPr="00221CE5" w:rsidRDefault="00E51139" w:rsidP="005C6E43">
      <w:pPr>
        <w:ind w:left="567"/>
        <w:rPr>
          <w:rFonts w:cs="Arial"/>
          <w:bCs/>
          <w:color w:val="auto"/>
          <w:sz w:val="20"/>
          <w:szCs w:val="20"/>
        </w:rPr>
      </w:pPr>
      <w:r w:rsidRPr="00221CE5">
        <w:rPr>
          <w:rFonts w:cs="Arial"/>
          <w:bCs/>
          <w:color w:val="auto"/>
          <w:sz w:val="20"/>
          <w:szCs w:val="20"/>
        </w:rPr>
        <w:t>Debtors represent monies owed to the Council and include deposits and payments in advance.</w:t>
      </w:r>
    </w:p>
    <w:p w:rsidR="00725001" w:rsidRPr="00C16B45" w:rsidRDefault="00725001" w:rsidP="00725001">
      <w:pPr>
        <w:spacing w:line="240" w:lineRule="auto"/>
        <w:ind w:left="567"/>
        <w:rPr>
          <w:rFonts w:cs="Arial"/>
          <w:b/>
          <w:bCs/>
          <w:color w:val="auto"/>
          <w:sz w:val="20"/>
          <w:szCs w:val="20"/>
        </w:rPr>
      </w:pPr>
      <w:r>
        <w:rPr>
          <w:rFonts w:cs="Arial"/>
          <w:b/>
          <w:bCs/>
          <w:color w:val="auto"/>
          <w:sz w:val="20"/>
          <w:szCs w:val="20"/>
        </w:rPr>
        <w:t xml:space="preserve">Long Term </w:t>
      </w:r>
      <w:r w:rsidR="007E33E1">
        <w:rPr>
          <w:rFonts w:cs="Arial"/>
          <w:b/>
          <w:bCs/>
          <w:color w:val="auto"/>
          <w:sz w:val="20"/>
          <w:szCs w:val="20"/>
        </w:rPr>
        <w:t>Debtors</w:t>
      </w:r>
      <w:r w:rsidRPr="00C16B45">
        <w:rPr>
          <w:rFonts w:cs="Arial"/>
          <w:b/>
          <w:bCs/>
          <w:color w:val="auto"/>
          <w:sz w:val="20"/>
          <w:szCs w:val="20"/>
        </w:rPr>
        <w:t xml:space="preserve"> (due </w:t>
      </w:r>
      <w:r>
        <w:rPr>
          <w:rFonts w:cs="Arial"/>
          <w:b/>
          <w:bCs/>
          <w:color w:val="auto"/>
          <w:sz w:val="20"/>
          <w:szCs w:val="20"/>
        </w:rPr>
        <w:t>over</w:t>
      </w:r>
      <w:r w:rsidRPr="00C16B45">
        <w:rPr>
          <w:rFonts w:cs="Arial"/>
          <w:b/>
          <w:bCs/>
          <w:color w:val="auto"/>
          <w:sz w:val="20"/>
          <w:szCs w:val="20"/>
        </w:rPr>
        <w:t xml:space="preserve"> one year) </w:t>
      </w:r>
    </w:p>
    <w:tbl>
      <w:tblPr>
        <w:tblStyle w:val="ListTable3-Accent51"/>
        <w:tblW w:w="7938" w:type="dxa"/>
        <w:tblInd w:w="675" w:type="dxa"/>
        <w:tblLayout w:type="fixed"/>
        <w:tblLook w:val="0000"/>
      </w:tblPr>
      <w:tblGrid>
        <w:gridCol w:w="1985"/>
        <w:gridCol w:w="3969"/>
        <w:gridCol w:w="1984"/>
      </w:tblGrid>
      <w:tr w:rsidR="00725001" w:rsidRPr="00026B55" w:rsidTr="00F80DFF">
        <w:trPr>
          <w:cnfStyle w:val="000000100000"/>
          <w:trHeight w:val="60"/>
        </w:trPr>
        <w:tc>
          <w:tcPr>
            <w:cnfStyle w:val="000010000000"/>
            <w:tcW w:w="1985" w:type="dxa"/>
            <w:shd w:val="clear" w:color="auto" w:fill="4BACC6" w:themeFill="accent5"/>
          </w:tcPr>
          <w:p w:rsidR="00725001" w:rsidRPr="00106776" w:rsidRDefault="00725001" w:rsidP="00F80DFF">
            <w:pPr>
              <w:pStyle w:val="TableRightBold"/>
              <w:ind w:right="142"/>
              <w:jc w:val="center"/>
              <w:rPr>
                <w:rStyle w:val="Bold"/>
                <w:rFonts w:ascii="Arial" w:hAnsi="Arial" w:cs="Arial"/>
                <w:b/>
                <w:bCs w:val="0"/>
                <w:color w:val="auto"/>
              </w:rPr>
            </w:pPr>
            <w:r w:rsidRPr="00106776">
              <w:rPr>
                <w:rStyle w:val="Bold"/>
                <w:rFonts w:ascii="Arial" w:hAnsi="Arial" w:cs="Arial"/>
                <w:b/>
                <w:bCs w:val="0"/>
                <w:color w:val="auto"/>
              </w:rPr>
              <w:t>31 March 2015</w:t>
            </w:r>
          </w:p>
          <w:p w:rsidR="00725001" w:rsidRPr="00106776" w:rsidRDefault="00725001" w:rsidP="00F80DFF">
            <w:pPr>
              <w:pStyle w:val="TableRightBold"/>
              <w:ind w:right="142"/>
              <w:jc w:val="center"/>
              <w:rPr>
                <w:rStyle w:val="Bold"/>
                <w:rFonts w:ascii="Arial" w:hAnsi="Arial" w:cs="Arial"/>
                <w:b/>
                <w:bCs w:val="0"/>
                <w:color w:val="auto"/>
              </w:rPr>
            </w:pPr>
            <w:r w:rsidRPr="00106776">
              <w:rPr>
                <w:rStyle w:val="Bold"/>
                <w:rFonts w:ascii="Arial" w:hAnsi="Arial" w:cs="Arial"/>
                <w:b/>
                <w:bCs w:val="0"/>
                <w:color w:val="auto"/>
              </w:rPr>
              <w:t>£m</w:t>
            </w:r>
          </w:p>
        </w:tc>
        <w:tc>
          <w:tcPr>
            <w:tcW w:w="3969" w:type="dxa"/>
            <w:shd w:val="clear" w:color="auto" w:fill="4BACC6" w:themeFill="accent5"/>
          </w:tcPr>
          <w:p w:rsidR="00725001" w:rsidRPr="00106776" w:rsidRDefault="00725001" w:rsidP="00F80DFF">
            <w:pPr>
              <w:pStyle w:val="TableText"/>
              <w:jc w:val="center"/>
              <w:cnfStyle w:val="000000100000"/>
              <w:rPr>
                <w:rFonts w:ascii="Arial" w:hAnsi="Arial" w:cs="Arial"/>
                <w:color w:val="auto"/>
              </w:rPr>
            </w:pPr>
          </w:p>
        </w:tc>
        <w:tc>
          <w:tcPr>
            <w:cnfStyle w:val="000010000000"/>
            <w:tcW w:w="1984" w:type="dxa"/>
            <w:shd w:val="clear" w:color="auto" w:fill="4BACC6" w:themeFill="accent5"/>
          </w:tcPr>
          <w:p w:rsidR="00725001" w:rsidRPr="00106776" w:rsidRDefault="00725001" w:rsidP="00F80DFF">
            <w:pPr>
              <w:pStyle w:val="TableRightBold"/>
              <w:ind w:right="142"/>
              <w:jc w:val="center"/>
              <w:rPr>
                <w:rStyle w:val="Bold"/>
                <w:rFonts w:ascii="Arial" w:hAnsi="Arial" w:cs="Arial"/>
                <w:b/>
                <w:bCs w:val="0"/>
                <w:color w:val="auto"/>
              </w:rPr>
            </w:pPr>
            <w:r w:rsidRPr="00106776">
              <w:rPr>
                <w:rStyle w:val="Bold"/>
                <w:rFonts w:ascii="Arial" w:hAnsi="Arial" w:cs="Arial"/>
                <w:b/>
                <w:bCs w:val="0"/>
                <w:color w:val="auto"/>
              </w:rPr>
              <w:t>31 March 2016</w:t>
            </w:r>
          </w:p>
          <w:p w:rsidR="00725001" w:rsidRPr="00106776" w:rsidRDefault="00725001" w:rsidP="00F80DFF">
            <w:pPr>
              <w:pStyle w:val="TableRightBold"/>
              <w:ind w:right="142"/>
              <w:jc w:val="center"/>
              <w:rPr>
                <w:rStyle w:val="Bold"/>
                <w:rFonts w:ascii="Arial" w:hAnsi="Arial" w:cs="Arial"/>
                <w:color w:val="auto"/>
              </w:rPr>
            </w:pPr>
            <w:r w:rsidRPr="00106776">
              <w:rPr>
                <w:rStyle w:val="Bold"/>
                <w:rFonts w:ascii="Arial" w:hAnsi="Arial" w:cs="Arial"/>
                <w:b/>
                <w:bCs w:val="0"/>
                <w:color w:val="auto"/>
              </w:rPr>
              <w:t>£m</w:t>
            </w:r>
          </w:p>
        </w:tc>
      </w:tr>
      <w:tr w:rsidR="00725001" w:rsidRPr="00026B55" w:rsidTr="00F80DFF">
        <w:trPr>
          <w:trHeight w:val="60"/>
        </w:trPr>
        <w:tc>
          <w:tcPr>
            <w:cnfStyle w:val="000010000000"/>
            <w:tcW w:w="1985" w:type="dxa"/>
          </w:tcPr>
          <w:p w:rsidR="00725001" w:rsidRPr="00106776" w:rsidRDefault="00106776" w:rsidP="00F80DFF">
            <w:pPr>
              <w:pStyle w:val="TableRightBold"/>
              <w:ind w:right="142"/>
              <w:jc w:val="center"/>
              <w:rPr>
                <w:rStyle w:val="Bold"/>
                <w:rFonts w:ascii="Arial" w:hAnsi="Arial" w:cs="Arial"/>
                <w:color w:val="auto"/>
              </w:rPr>
            </w:pPr>
            <w:r w:rsidRPr="00106776">
              <w:rPr>
                <w:rStyle w:val="Bold"/>
                <w:rFonts w:ascii="Arial" w:hAnsi="Arial" w:cs="Arial"/>
                <w:color w:val="auto"/>
              </w:rPr>
              <w:t>0.2</w:t>
            </w:r>
          </w:p>
        </w:tc>
        <w:tc>
          <w:tcPr>
            <w:tcW w:w="3969" w:type="dxa"/>
          </w:tcPr>
          <w:p w:rsidR="00725001" w:rsidRPr="00106776" w:rsidRDefault="00106776" w:rsidP="00F80DFF">
            <w:pPr>
              <w:pStyle w:val="TableText"/>
              <w:ind w:left="66"/>
              <w:cnfStyle w:val="000000000000"/>
              <w:rPr>
                <w:rFonts w:ascii="Arial" w:hAnsi="Arial" w:cs="Arial"/>
                <w:color w:val="auto"/>
              </w:rPr>
            </w:pPr>
            <w:r w:rsidRPr="00106776">
              <w:rPr>
                <w:rFonts w:ascii="Arial" w:hAnsi="Arial" w:cs="Arial"/>
                <w:color w:val="auto"/>
              </w:rPr>
              <w:t>Loans</w:t>
            </w:r>
            <w:r w:rsidR="00A20120">
              <w:rPr>
                <w:rFonts w:ascii="Arial" w:hAnsi="Arial" w:cs="Arial"/>
                <w:color w:val="auto"/>
              </w:rPr>
              <w:t xml:space="preserve"> (see note 33)</w:t>
            </w:r>
          </w:p>
        </w:tc>
        <w:tc>
          <w:tcPr>
            <w:cnfStyle w:val="000010000000"/>
            <w:tcW w:w="1984" w:type="dxa"/>
          </w:tcPr>
          <w:p w:rsidR="00725001" w:rsidRPr="00106776" w:rsidRDefault="00106776" w:rsidP="00F80DFF">
            <w:pPr>
              <w:pStyle w:val="TableRightBold"/>
              <w:ind w:right="142"/>
              <w:jc w:val="center"/>
              <w:rPr>
                <w:rStyle w:val="Bold"/>
                <w:rFonts w:ascii="Arial" w:hAnsi="Arial" w:cs="Arial"/>
                <w:b/>
                <w:color w:val="auto"/>
              </w:rPr>
            </w:pPr>
            <w:r w:rsidRPr="00106776">
              <w:rPr>
                <w:rStyle w:val="Bold"/>
                <w:rFonts w:ascii="Arial" w:hAnsi="Arial" w:cs="Arial"/>
                <w:b/>
                <w:color w:val="auto"/>
              </w:rPr>
              <w:t>2.0</w:t>
            </w:r>
          </w:p>
        </w:tc>
      </w:tr>
      <w:tr w:rsidR="00725001" w:rsidRPr="00026B55" w:rsidTr="00F80DFF">
        <w:trPr>
          <w:cnfStyle w:val="000000100000"/>
          <w:trHeight w:val="60"/>
        </w:trPr>
        <w:tc>
          <w:tcPr>
            <w:cnfStyle w:val="000010000000"/>
            <w:tcW w:w="1985" w:type="dxa"/>
          </w:tcPr>
          <w:p w:rsidR="00725001" w:rsidRPr="00106776" w:rsidRDefault="00106776" w:rsidP="00F80DFF">
            <w:pPr>
              <w:pStyle w:val="TableRightBold"/>
              <w:ind w:right="142"/>
              <w:jc w:val="center"/>
              <w:rPr>
                <w:rStyle w:val="Bold"/>
                <w:rFonts w:ascii="Arial" w:hAnsi="Arial" w:cs="Arial"/>
                <w:color w:val="auto"/>
              </w:rPr>
            </w:pPr>
            <w:r w:rsidRPr="00106776">
              <w:rPr>
                <w:rStyle w:val="Bold"/>
                <w:rFonts w:ascii="Arial" w:hAnsi="Arial" w:cs="Arial"/>
                <w:color w:val="auto"/>
              </w:rPr>
              <w:t>0.1</w:t>
            </w:r>
          </w:p>
        </w:tc>
        <w:tc>
          <w:tcPr>
            <w:tcW w:w="3969" w:type="dxa"/>
          </w:tcPr>
          <w:p w:rsidR="00725001" w:rsidRPr="00106776" w:rsidRDefault="00106776" w:rsidP="00F80DFF">
            <w:pPr>
              <w:pStyle w:val="TableText"/>
              <w:ind w:left="66"/>
              <w:cnfStyle w:val="000000100000"/>
              <w:rPr>
                <w:rFonts w:ascii="Arial" w:hAnsi="Arial" w:cs="Arial"/>
                <w:color w:val="auto"/>
              </w:rPr>
            </w:pPr>
            <w:r w:rsidRPr="00106776">
              <w:rPr>
                <w:rFonts w:ascii="Arial" w:hAnsi="Arial" w:cs="Arial"/>
                <w:color w:val="auto"/>
              </w:rPr>
              <w:t>Social Services – Client Debt</w:t>
            </w:r>
            <w:r w:rsidR="003E4978">
              <w:rPr>
                <w:rFonts w:ascii="Arial" w:hAnsi="Arial" w:cs="Arial"/>
                <w:color w:val="auto"/>
              </w:rPr>
              <w:t xml:space="preserve"> </w:t>
            </w:r>
          </w:p>
        </w:tc>
        <w:tc>
          <w:tcPr>
            <w:cnfStyle w:val="000010000000"/>
            <w:tcW w:w="1984" w:type="dxa"/>
          </w:tcPr>
          <w:p w:rsidR="00725001" w:rsidRPr="00106776" w:rsidRDefault="00106776" w:rsidP="00D81DF1">
            <w:pPr>
              <w:pStyle w:val="TableRightBold"/>
              <w:ind w:right="142"/>
              <w:jc w:val="center"/>
              <w:rPr>
                <w:rStyle w:val="Bold"/>
                <w:rFonts w:ascii="Arial" w:hAnsi="Arial" w:cs="Arial"/>
                <w:b/>
                <w:color w:val="auto"/>
              </w:rPr>
            </w:pPr>
            <w:r w:rsidRPr="00106776">
              <w:rPr>
                <w:rStyle w:val="Bold"/>
                <w:rFonts w:ascii="Arial" w:hAnsi="Arial" w:cs="Arial"/>
                <w:b/>
                <w:color w:val="auto"/>
              </w:rPr>
              <w:t>1.</w:t>
            </w:r>
            <w:r w:rsidR="00D81DF1">
              <w:rPr>
                <w:rStyle w:val="Bold"/>
                <w:rFonts w:ascii="Arial" w:hAnsi="Arial" w:cs="Arial"/>
                <w:b/>
                <w:color w:val="auto"/>
              </w:rPr>
              <w:t>4</w:t>
            </w:r>
          </w:p>
        </w:tc>
      </w:tr>
      <w:tr w:rsidR="003E4978" w:rsidRPr="00026B55" w:rsidTr="00F80DFF">
        <w:trPr>
          <w:trHeight w:val="60"/>
        </w:trPr>
        <w:tc>
          <w:tcPr>
            <w:cnfStyle w:val="000010000000"/>
            <w:tcW w:w="1985" w:type="dxa"/>
          </w:tcPr>
          <w:p w:rsidR="003E4978" w:rsidRPr="00106776" w:rsidRDefault="003E4978" w:rsidP="00F80DFF">
            <w:pPr>
              <w:pStyle w:val="TableRightBold"/>
              <w:ind w:right="142"/>
              <w:jc w:val="center"/>
              <w:rPr>
                <w:rStyle w:val="Bold"/>
                <w:rFonts w:ascii="Arial" w:hAnsi="Arial" w:cs="Arial"/>
                <w:color w:val="auto"/>
              </w:rPr>
            </w:pPr>
            <w:r>
              <w:rPr>
                <w:rStyle w:val="Bold"/>
                <w:rFonts w:ascii="Arial" w:hAnsi="Arial" w:cs="Arial"/>
                <w:color w:val="auto"/>
              </w:rPr>
              <w:t>0</w:t>
            </w:r>
          </w:p>
        </w:tc>
        <w:tc>
          <w:tcPr>
            <w:tcW w:w="3969" w:type="dxa"/>
          </w:tcPr>
          <w:p w:rsidR="003E4978" w:rsidRPr="00106776" w:rsidRDefault="003E4978" w:rsidP="00F80DFF">
            <w:pPr>
              <w:pStyle w:val="TableText"/>
              <w:ind w:left="66"/>
              <w:cnfStyle w:val="000000000000"/>
              <w:rPr>
                <w:rFonts w:ascii="Arial" w:hAnsi="Arial" w:cs="Arial"/>
                <w:color w:val="auto"/>
              </w:rPr>
            </w:pPr>
            <w:r>
              <w:rPr>
                <w:rFonts w:ascii="Arial" w:hAnsi="Arial" w:cs="Arial"/>
                <w:color w:val="auto"/>
              </w:rPr>
              <w:t>Impairment re Client Debt</w:t>
            </w:r>
          </w:p>
        </w:tc>
        <w:tc>
          <w:tcPr>
            <w:cnfStyle w:val="000010000000"/>
            <w:tcW w:w="1984" w:type="dxa"/>
          </w:tcPr>
          <w:p w:rsidR="003E4978" w:rsidRPr="00106776" w:rsidRDefault="003E4978" w:rsidP="0093216D">
            <w:pPr>
              <w:pStyle w:val="TableRightBold"/>
              <w:ind w:right="142"/>
              <w:jc w:val="center"/>
              <w:rPr>
                <w:rStyle w:val="Bold"/>
                <w:rFonts w:ascii="Arial" w:hAnsi="Arial" w:cs="Arial"/>
                <w:b/>
                <w:color w:val="auto"/>
              </w:rPr>
            </w:pPr>
            <w:r>
              <w:rPr>
                <w:rStyle w:val="Bold"/>
                <w:rFonts w:ascii="Arial" w:hAnsi="Arial" w:cs="Arial"/>
                <w:b/>
                <w:color w:val="auto"/>
              </w:rPr>
              <w:t>(0.</w:t>
            </w:r>
            <w:r w:rsidR="0093216D">
              <w:rPr>
                <w:rStyle w:val="Bold"/>
                <w:rFonts w:ascii="Arial" w:hAnsi="Arial" w:cs="Arial"/>
                <w:b/>
                <w:color w:val="auto"/>
              </w:rPr>
              <w:t>1</w:t>
            </w:r>
            <w:r>
              <w:rPr>
                <w:rStyle w:val="Bold"/>
                <w:rFonts w:ascii="Arial" w:hAnsi="Arial" w:cs="Arial"/>
                <w:b/>
                <w:color w:val="auto"/>
              </w:rPr>
              <w:t>)</w:t>
            </w:r>
          </w:p>
        </w:tc>
      </w:tr>
      <w:tr w:rsidR="00725001" w:rsidRPr="00026B55" w:rsidTr="00F80DFF">
        <w:trPr>
          <w:cnfStyle w:val="000000100000"/>
          <w:trHeight w:val="60"/>
        </w:trPr>
        <w:tc>
          <w:tcPr>
            <w:cnfStyle w:val="000010000000"/>
            <w:tcW w:w="1985" w:type="dxa"/>
          </w:tcPr>
          <w:p w:rsidR="00725001" w:rsidRPr="00106776" w:rsidRDefault="00106776" w:rsidP="00F80DFF">
            <w:pPr>
              <w:pStyle w:val="TableRightBold"/>
              <w:ind w:right="142"/>
              <w:jc w:val="center"/>
              <w:rPr>
                <w:rStyle w:val="Bold"/>
                <w:rFonts w:ascii="Arial" w:hAnsi="Arial" w:cs="Arial"/>
                <w:color w:val="auto"/>
              </w:rPr>
            </w:pPr>
            <w:r w:rsidRPr="00106776">
              <w:rPr>
                <w:rStyle w:val="Bold"/>
                <w:rFonts w:ascii="Arial" w:hAnsi="Arial" w:cs="Arial"/>
                <w:color w:val="auto"/>
              </w:rPr>
              <w:t>2.7</w:t>
            </w:r>
          </w:p>
        </w:tc>
        <w:tc>
          <w:tcPr>
            <w:tcW w:w="3969" w:type="dxa"/>
          </w:tcPr>
          <w:p w:rsidR="00725001" w:rsidRPr="00106776" w:rsidRDefault="00106776" w:rsidP="00F80DFF">
            <w:pPr>
              <w:pStyle w:val="TableText"/>
              <w:ind w:left="66"/>
              <w:cnfStyle w:val="000000100000"/>
              <w:rPr>
                <w:rFonts w:ascii="Arial" w:hAnsi="Arial" w:cs="Arial"/>
                <w:color w:val="auto"/>
              </w:rPr>
            </w:pPr>
            <w:r w:rsidRPr="00106776">
              <w:rPr>
                <w:rFonts w:ascii="Arial" w:hAnsi="Arial" w:cs="Arial"/>
                <w:color w:val="auto"/>
              </w:rPr>
              <w:t xml:space="preserve">Asset Related (capital </w:t>
            </w:r>
            <w:r w:rsidR="007E33E1" w:rsidRPr="00106776">
              <w:rPr>
                <w:rFonts w:ascii="Arial" w:hAnsi="Arial" w:cs="Arial"/>
                <w:color w:val="auto"/>
              </w:rPr>
              <w:t>accounting</w:t>
            </w:r>
            <w:r w:rsidRPr="00106776">
              <w:rPr>
                <w:rFonts w:ascii="Arial" w:hAnsi="Arial" w:cs="Arial"/>
                <w:color w:val="auto"/>
              </w:rPr>
              <w:t>)</w:t>
            </w:r>
          </w:p>
        </w:tc>
        <w:tc>
          <w:tcPr>
            <w:cnfStyle w:val="000010000000"/>
            <w:tcW w:w="1984" w:type="dxa"/>
          </w:tcPr>
          <w:p w:rsidR="00725001" w:rsidRPr="00106776" w:rsidRDefault="00106776" w:rsidP="00F80DFF">
            <w:pPr>
              <w:pStyle w:val="TableRightBold"/>
              <w:ind w:right="142"/>
              <w:jc w:val="center"/>
              <w:rPr>
                <w:rStyle w:val="Bold"/>
                <w:rFonts w:ascii="Arial" w:hAnsi="Arial" w:cs="Arial"/>
                <w:b/>
                <w:color w:val="auto"/>
              </w:rPr>
            </w:pPr>
            <w:r w:rsidRPr="00106776">
              <w:rPr>
                <w:rStyle w:val="Bold"/>
                <w:rFonts w:ascii="Arial" w:hAnsi="Arial" w:cs="Arial"/>
                <w:b/>
                <w:color w:val="auto"/>
              </w:rPr>
              <w:t>2.8</w:t>
            </w:r>
          </w:p>
        </w:tc>
      </w:tr>
      <w:tr w:rsidR="00725001" w:rsidRPr="00026B55" w:rsidTr="00F80DFF">
        <w:trPr>
          <w:trHeight w:val="60"/>
        </w:trPr>
        <w:tc>
          <w:tcPr>
            <w:cnfStyle w:val="000010000000"/>
            <w:tcW w:w="1985" w:type="dxa"/>
          </w:tcPr>
          <w:p w:rsidR="00725001" w:rsidRPr="00106776" w:rsidRDefault="00106776" w:rsidP="00F80DFF">
            <w:pPr>
              <w:pStyle w:val="TableRightBold"/>
              <w:ind w:right="142"/>
              <w:jc w:val="center"/>
              <w:rPr>
                <w:rStyle w:val="Bold"/>
                <w:rFonts w:ascii="Arial" w:hAnsi="Arial" w:cs="Arial"/>
                <w:color w:val="auto"/>
              </w:rPr>
            </w:pPr>
            <w:r w:rsidRPr="00106776">
              <w:rPr>
                <w:rStyle w:val="Bold"/>
                <w:rFonts w:ascii="Arial" w:hAnsi="Arial" w:cs="Arial"/>
                <w:color w:val="auto"/>
              </w:rPr>
              <w:t>3.0</w:t>
            </w:r>
          </w:p>
        </w:tc>
        <w:tc>
          <w:tcPr>
            <w:tcW w:w="3969" w:type="dxa"/>
          </w:tcPr>
          <w:p w:rsidR="00725001" w:rsidRPr="00106776" w:rsidRDefault="00725001" w:rsidP="00F80DFF">
            <w:pPr>
              <w:pStyle w:val="TableText"/>
              <w:ind w:left="66"/>
              <w:cnfStyle w:val="000000000000"/>
              <w:rPr>
                <w:rFonts w:ascii="Arial" w:hAnsi="Arial" w:cs="Arial"/>
                <w:b/>
                <w:color w:val="auto"/>
              </w:rPr>
            </w:pPr>
            <w:r w:rsidRPr="00106776">
              <w:rPr>
                <w:rFonts w:ascii="Arial" w:hAnsi="Arial" w:cs="Arial"/>
                <w:b/>
                <w:color w:val="auto"/>
              </w:rPr>
              <w:t>Total</w:t>
            </w:r>
          </w:p>
        </w:tc>
        <w:tc>
          <w:tcPr>
            <w:cnfStyle w:val="000010000000"/>
            <w:tcW w:w="1984" w:type="dxa"/>
          </w:tcPr>
          <w:p w:rsidR="00725001" w:rsidRPr="00106776" w:rsidRDefault="0093216D" w:rsidP="0093216D">
            <w:pPr>
              <w:pStyle w:val="TableRightBold"/>
              <w:ind w:right="142"/>
              <w:jc w:val="center"/>
              <w:rPr>
                <w:rStyle w:val="Bold"/>
                <w:rFonts w:ascii="Arial" w:hAnsi="Arial" w:cs="Arial"/>
                <w:b/>
                <w:color w:val="auto"/>
              </w:rPr>
            </w:pPr>
            <w:r>
              <w:rPr>
                <w:rStyle w:val="Bold"/>
                <w:rFonts w:ascii="Arial" w:hAnsi="Arial" w:cs="Arial"/>
                <w:b/>
                <w:color w:val="auto"/>
              </w:rPr>
              <w:t>6</w:t>
            </w:r>
            <w:r w:rsidR="003E4978">
              <w:rPr>
                <w:rStyle w:val="Bold"/>
                <w:rFonts w:ascii="Arial" w:hAnsi="Arial" w:cs="Arial"/>
                <w:b/>
                <w:color w:val="auto"/>
              </w:rPr>
              <w:t>.</w:t>
            </w:r>
            <w:r>
              <w:rPr>
                <w:rStyle w:val="Bold"/>
                <w:rFonts w:ascii="Arial" w:hAnsi="Arial" w:cs="Arial"/>
                <w:b/>
                <w:color w:val="auto"/>
              </w:rPr>
              <w:t>1</w:t>
            </w:r>
          </w:p>
        </w:tc>
      </w:tr>
    </w:tbl>
    <w:p w:rsidR="00725001" w:rsidRDefault="00725001" w:rsidP="005C6E43">
      <w:pPr>
        <w:ind w:left="567"/>
        <w:rPr>
          <w:rFonts w:cs="Arial"/>
          <w:bCs/>
          <w:color w:val="548DD4" w:themeColor="text2" w:themeTint="99"/>
          <w:sz w:val="20"/>
          <w:szCs w:val="20"/>
        </w:rPr>
      </w:pPr>
    </w:p>
    <w:p w:rsidR="00FE47DF" w:rsidRPr="00D42E0B" w:rsidRDefault="00E51139" w:rsidP="00AB1648">
      <w:pPr>
        <w:ind w:left="567"/>
        <w:rPr>
          <w:rFonts w:cs="Arial"/>
          <w:b/>
          <w:bCs/>
          <w:color w:val="548DD4" w:themeColor="text2" w:themeTint="99"/>
          <w:sz w:val="20"/>
          <w:szCs w:val="20"/>
        </w:rPr>
      </w:pPr>
      <w:r w:rsidRPr="00495123">
        <w:rPr>
          <w:rFonts w:cs="Arial"/>
          <w:b/>
          <w:bCs/>
          <w:color w:val="auto"/>
          <w:sz w:val="20"/>
          <w:szCs w:val="20"/>
        </w:rPr>
        <w:t>Current Debtors (Due within one year including payments in advance)</w:t>
      </w:r>
    </w:p>
    <w:tbl>
      <w:tblPr>
        <w:tblStyle w:val="ListTable3-Accent51"/>
        <w:tblW w:w="7895" w:type="dxa"/>
        <w:tblInd w:w="718" w:type="dxa"/>
        <w:tblBorders>
          <w:insideH w:val="single" w:sz="4" w:space="0" w:color="4BACC6" w:themeColor="accent5"/>
          <w:insideV w:val="single" w:sz="4" w:space="0" w:color="4BACC6" w:themeColor="accent5"/>
        </w:tblBorders>
        <w:tblLayout w:type="fixed"/>
        <w:tblLook w:val="0000"/>
      </w:tblPr>
      <w:tblGrid>
        <w:gridCol w:w="1942"/>
        <w:gridCol w:w="3967"/>
        <w:gridCol w:w="1986"/>
      </w:tblGrid>
      <w:tr w:rsidR="00E51139" w:rsidRPr="00026B55" w:rsidTr="00AB1648">
        <w:trPr>
          <w:trHeight w:val="60"/>
          <w:tblHeader/>
        </w:trPr>
        <w:tc>
          <w:tcPr>
            <w:cnfStyle w:val="000010000000"/>
            <w:tcW w:w="1942" w:type="dxa"/>
            <w:tcBorders>
              <w:left w:val="none" w:sz="0" w:space="0" w:color="auto"/>
              <w:right w:val="none" w:sz="0" w:space="0" w:color="auto"/>
            </w:tcBorders>
            <w:shd w:val="clear" w:color="auto" w:fill="4BACC6" w:themeFill="accent5"/>
          </w:tcPr>
          <w:p w:rsidR="00E51139" w:rsidRPr="00026B55" w:rsidRDefault="00AA4FF1" w:rsidP="00AA4FF1">
            <w:pPr>
              <w:pStyle w:val="TableRightBold"/>
              <w:ind w:right="142"/>
              <w:jc w:val="center"/>
              <w:rPr>
                <w:rStyle w:val="Bold"/>
                <w:rFonts w:ascii="Arial" w:hAnsi="Arial" w:cs="Arial"/>
                <w:bCs w:val="0"/>
                <w:color w:val="auto"/>
              </w:rPr>
            </w:pPr>
            <w:r w:rsidRPr="00026B55">
              <w:rPr>
                <w:rStyle w:val="Bold"/>
                <w:rFonts w:ascii="Arial" w:hAnsi="Arial" w:cs="Arial"/>
                <w:bCs w:val="0"/>
                <w:color w:val="auto"/>
              </w:rPr>
              <w:t>31</w:t>
            </w:r>
            <w:r w:rsidRPr="00026B55">
              <w:rPr>
                <w:rStyle w:val="Bold"/>
                <w:rFonts w:ascii="Arial" w:hAnsi="Arial" w:cs="Arial"/>
                <w:bCs w:val="0"/>
                <w:color w:val="auto"/>
                <w:vertAlign w:val="superscript"/>
              </w:rPr>
              <w:t>st</w:t>
            </w:r>
            <w:r w:rsidRPr="00026B55">
              <w:rPr>
                <w:rStyle w:val="Bold"/>
                <w:rFonts w:ascii="Arial" w:hAnsi="Arial" w:cs="Arial"/>
                <w:bCs w:val="0"/>
                <w:color w:val="auto"/>
              </w:rPr>
              <w:t xml:space="preserve"> </w:t>
            </w:r>
            <w:r w:rsidR="00E51139" w:rsidRPr="00026B55">
              <w:rPr>
                <w:rStyle w:val="Bold"/>
                <w:rFonts w:ascii="Arial" w:hAnsi="Arial" w:cs="Arial"/>
                <w:bCs w:val="0"/>
                <w:color w:val="auto"/>
              </w:rPr>
              <w:t>March 201</w:t>
            </w:r>
            <w:r w:rsidR="00026B55" w:rsidRPr="00026B55">
              <w:rPr>
                <w:rStyle w:val="Bold"/>
                <w:rFonts w:ascii="Arial" w:hAnsi="Arial" w:cs="Arial"/>
                <w:bCs w:val="0"/>
                <w:color w:val="auto"/>
              </w:rPr>
              <w:t>5</w:t>
            </w:r>
          </w:p>
        </w:tc>
        <w:tc>
          <w:tcPr>
            <w:tcW w:w="3967" w:type="dxa"/>
            <w:shd w:val="clear" w:color="auto" w:fill="4BACC6" w:themeFill="accent5"/>
          </w:tcPr>
          <w:p w:rsidR="00E51139" w:rsidRPr="00026B55" w:rsidRDefault="00E51139" w:rsidP="003C5E34">
            <w:pPr>
              <w:pStyle w:val="TableText"/>
              <w:jc w:val="center"/>
              <w:cnfStyle w:val="000000000000"/>
              <w:rPr>
                <w:rFonts w:ascii="Arial" w:hAnsi="Arial" w:cs="Arial"/>
                <w:color w:val="auto"/>
              </w:rPr>
            </w:pPr>
          </w:p>
        </w:tc>
        <w:tc>
          <w:tcPr>
            <w:cnfStyle w:val="000010000000"/>
            <w:tcW w:w="1986" w:type="dxa"/>
            <w:tcBorders>
              <w:left w:val="none" w:sz="0" w:space="0" w:color="auto"/>
              <w:right w:val="none" w:sz="0" w:space="0" w:color="auto"/>
            </w:tcBorders>
            <w:shd w:val="clear" w:color="auto" w:fill="4BACC6" w:themeFill="accent5"/>
          </w:tcPr>
          <w:p w:rsidR="00E51139" w:rsidRPr="00026B55" w:rsidRDefault="00E51139" w:rsidP="00026B55">
            <w:pPr>
              <w:pStyle w:val="TableRightBold"/>
              <w:ind w:right="142"/>
              <w:jc w:val="center"/>
              <w:rPr>
                <w:rStyle w:val="Bold"/>
                <w:rFonts w:ascii="Arial" w:hAnsi="Arial" w:cs="Arial"/>
                <w:b/>
                <w:bCs w:val="0"/>
                <w:color w:val="auto"/>
              </w:rPr>
            </w:pPr>
            <w:r w:rsidRPr="00026B55">
              <w:rPr>
                <w:rStyle w:val="Bold"/>
                <w:rFonts w:ascii="Arial" w:hAnsi="Arial" w:cs="Arial"/>
                <w:b/>
                <w:bCs w:val="0"/>
                <w:color w:val="auto"/>
              </w:rPr>
              <w:t>3</w:t>
            </w:r>
            <w:r w:rsidR="00AA4FF1" w:rsidRPr="00026B55">
              <w:rPr>
                <w:rStyle w:val="Bold"/>
                <w:rFonts w:ascii="Arial" w:hAnsi="Arial" w:cs="Arial"/>
                <w:b/>
                <w:bCs w:val="0"/>
                <w:color w:val="auto"/>
              </w:rPr>
              <w:t>1</w:t>
            </w:r>
            <w:r w:rsidR="00AA4FF1" w:rsidRPr="00026B55">
              <w:rPr>
                <w:rStyle w:val="Bold"/>
                <w:rFonts w:ascii="Arial" w:hAnsi="Arial" w:cs="Arial"/>
                <w:b/>
                <w:bCs w:val="0"/>
                <w:color w:val="auto"/>
                <w:vertAlign w:val="superscript"/>
              </w:rPr>
              <w:t>st</w:t>
            </w:r>
            <w:r w:rsidR="00AA4FF1" w:rsidRPr="00026B55">
              <w:rPr>
                <w:rStyle w:val="Bold"/>
                <w:rFonts w:ascii="Arial" w:hAnsi="Arial" w:cs="Arial"/>
                <w:b/>
                <w:bCs w:val="0"/>
                <w:color w:val="auto"/>
              </w:rPr>
              <w:t xml:space="preserve"> </w:t>
            </w:r>
            <w:r w:rsidRPr="00026B55">
              <w:rPr>
                <w:rStyle w:val="Bold"/>
                <w:rFonts w:ascii="Arial" w:hAnsi="Arial" w:cs="Arial"/>
                <w:b/>
                <w:bCs w:val="0"/>
                <w:color w:val="auto"/>
              </w:rPr>
              <w:t>March 201</w:t>
            </w:r>
            <w:r w:rsidR="00026B55" w:rsidRPr="00026B55">
              <w:rPr>
                <w:rStyle w:val="Bold"/>
                <w:rFonts w:ascii="Arial" w:hAnsi="Arial" w:cs="Arial"/>
                <w:b/>
                <w:bCs w:val="0"/>
                <w:color w:val="auto"/>
              </w:rPr>
              <w:t>6</w:t>
            </w:r>
          </w:p>
        </w:tc>
      </w:tr>
      <w:tr w:rsidR="00AA4FF1" w:rsidRPr="00026B55" w:rsidTr="00AB1648">
        <w:trPr>
          <w:cnfStyle w:val="000000100000"/>
          <w:trHeight w:hRule="exact" w:val="397"/>
        </w:trPr>
        <w:tc>
          <w:tcPr>
            <w:cnfStyle w:val="000010000000"/>
            <w:tcW w:w="1942" w:type="dxa"/>
            <w:tcBorders>
              <w:top w:val="none" w:sz="0" w:space="0" w:color="auto"/>
              <w:left w:val="none" w:sz="0" w:space="0" w:color="auto"/>
              <w:bottom w:val="none" w:sz="0" w:space="0" w:color="auto"/>
              <w:right w:val="none" w:sz="0" w:space="0" w:color="auto"/>
            </w:tcBorders>
            <w:shd w:val="clear" w:color="auto" w:fill="4BACC6" w:themeFill="accent5"/>
          </w:tcPr>
          <w:p w:rsidR="00AA4FF1" w:rsidRPr="00026B55" w:rsidRDefault="00AA4FF1" w:rsidP="008060CD">
            <w:pPr>
              <w:pStyle w:val="TableRightBold"/>
              <w:ind w:right="142"/>
              <w:jc w:val="center"/>
              <w:rPr>
                <w:rStyle w:val="Bold"/>
                <w:rFonts w:ascii="Arial" w:hAnsi="Arial" w:cs="Arial"/>
                <w:color w:val="auto"/>
              </w:rPr>
            </w:pPr>
            <w:r w:rsidRPr="00026B55">
              <w:rPr>
                <w:rStyle w:val="Bold"/>
                <w:rFonts w:ascii="Arial" w:hAnsi="Arial" w:cs="Arial"/>
                <w:color w:val="auto"/>
              </w:rPr>
              <w:t>£m</w:t>
            </w:r>
          </w:p>
        </w:tc>
        <w:tc>
          <w:tcPr>
            <w:tcW w:w="3967" w:type="dxa"/>
            <w:tcBorders>
              <w:top w:val="none" w:sz="0" w:space="0" w:color="auto"/>
              <w:bottom w:val="none" w:sz="0" w:space="0" w:color="auto"/>
            </w:tcBorders>
            <w:shd w:val="clear" w:color="auto" w:fill="4BACC6" w:themeFill="accent5"/>
          </w:tcPr>
          <w:p w:rsidR="00AA4FF1" w:rsidRPr="00026B55" w:rsidRDefault="00AA4FF1" w:rsidP="003C5E34">
            <w:pPr>
              <w:pStyle w:val="TableText"/>
              <w:ind w:left="66"/>
              <w:cnfStyle w:val="000000100000"/>
              <w:rPr>
                <w:rFonts w:ascii="Arial" w:hAnsi="Arial" w:cs="Arial"/>
                <w:color w:val="auto"/>
              </w:rPr>
            </w:pPr>
          </w:p>
        </w:tc>
        <w:tc>
          <w:tcPr>
            <w:cnfStyle w:val="000010000000"/>
            <w:tcW w:w="1986" w:type="dxa"/>
            <w:tcBorders>
              <w:top w:val="none" w:sz="0" w:space="0" w:color="auto"/>
              <w:left w:val="none" w:sz="0" w:space="0" w:color="auto"/>
              <w:bottom w:val="none" w:sz="0" w:space="0" w:color="auto"/>
              <w:right w:val="none" w:sz="0" w:space="0" w:color="auto"/>
            </w:tcBorders>
            <w:shd w:val="clear" w:color="auto" w:fill="4BACC6" w:themeFill="accent5"/>
          </w:tcPr>
          <w:p w:rsidR="00AA4FF1" w:rsidRPr="00026B55" w:rsidRDefault="00AA4FF1" w:rsidP="007C2CE3">
            <w:pPr>
              <w:pStyle w:val="TableRightBold"/>
              <w:ind w:right="142"/>
              <w:jc w:val="center"/>
              <w:rPr>
                <w:rStyle w:val="Bold"/>
                <w:rFonts w:ascii="Arial" w:hAnsi="Arial" w:cs="Arial"/>
                <w:color w:val="auto"/>
              </w:rPr>
            </w:pPr>
            <w:r w:rsidRPr="00026B55">
              <w:rPr>
                <w:rStyle w:val="Bold"/>
                <w:rFonts w:ascii="Arial" w:hAnsi="Arial" w:cs="Arial"/>
                <w:color w:val="auto"/>
              </w:rPr>
              <w:t>£m</w:t>
            </w:r>
          </w:p>
        </w:tc>
      </w:tr>
      <w:tr w:rsidR="00026B55" w:rsidRPr="00026B55" w:rsidTr="00AB1648">
        <w:trPr>
          <w:trHeight w:hRule="exact" w:val="397"/>
        </w:trPr>
        <w:tc>
          <w:tcPr>
            <w:cnfStyle w:val="000010000000"/>
            <w:tcW w:w="1942" w:type="dxa"/>
            <w:tcBorders>
              <w:left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4.1</w:t>
            </w:r>
          </w:p>
        </w:tc>
        <w:tc>
          <w:tcPr>
            <w:tcW w:w="3967" w:type="dxa"/>
          </w:tcPr>
          <w:p w:rsidR="00026B55" w:rsidRPr="00026B55" w:rsidRDefault="00026B55" w:rsidP="003C5E34">
            <w:pPr>
              <w:pStyle w:val="TableText"/>
              <w:ind w:left="66"/>
              <w:cnfStyle w:val="000000000000"/>
              <w:rPr>
                <w:rFonts w:ascii="Arial" w:hAnsi="Arial" w:cs="Arial"/>
                <w:color w:val="auto"/>
              </w:rPr>
            </w:pPr>
            <w:r w:rsidRPr="00026B55">
              <w:rPr>
                <w:rFonts w:ascii="Arial" w:hAnsi="Arial" w:cs="Arial"/>
                <w:color w:val="auto"/>
              </w:rPr>
              <w:t>Central government bodies (WGA)</w:t>
            </w:r>
          </w:p>
        </w:tc>
        <w:tc>
          <w:tcPr>
            <w:cnfStyle w:val="000010000000"/>
            <w:tcW w:w="1986" w:type="dxa"/>
            <w:tcBorders>
              <w:left w:val="none" w:sz="0" w:space="0" w:color="auto"/>
              <w:right w:val="none" w:sz="0" w:space="0" w:color="auto"/>
            </w:tcBorders>
          </w:tcPr>
          <w:p w:rsidR="00026B55" w:rsidRPr="00026B55" w:rsidRDefault="00495123" w:rsidP="007C2CE3">
            <w:pPr>
              <w:pStyle w:val="TableRightBold"/>
              <w:ind w:right="142"/>
              <w:jc w:val="center"/>
              <w:rPr>
                <w:rStyle w:val="Bold"/>
                <w:rFonts w:ascii="Arial" w:hAnsi="Arial" w:cs="Arial"/>
                <w:b/>
                <w:color w:val="auto"/>
              </w:rPr>
            </w:pPr>
            <w:r>
              <w:rPr>
                <w:rStyle w:val="Bold"/>
                <w:rFonts w:ascii="Arial" w:hAnsi="Arial" w:cs="Arial"/>
                <w:b/>
                <w:color w:val="auto"/>
              </w:rPr>
              <w:t>3.9</w:t>
            </w:r>
          </w:p>
        </w:tc>
      </w:tr>
      <w:tr w:rsidR="00026B55" w:rsidRPr="00026B55" w:rsidTr="00AB1648">
        <w:trPr>
          <w:cnfStyle w:val="000000100000"/>
          <w:trHeight w:hRule="exact" w:val="397"/>
        </w:trPr>
        <w:tc>
          <w:tcPr>
            <w:cnfStyle w:val="000010000000"/>
            <w:tcW w:w="1942" w:type="dxa"/>
            <w:tcBorders>
              <w:top w:val="none" w:sz="0" w:space="0" w:color="auto"/>
              <w:left w:val="none" w:sz="0" w:space="0" w:color="auto"/>
              <w:bottom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2.2</w:t>
            </w:r>
          </w:p>
        </w:tc>
        <w:tc>
          <w:tcPr>
            <w:tcW w:w="3967" w:type="dxa"/>
            <w:tcBorders>
              <w:top w:val="none" w:sz="0" w:space="0" w:color="auto"/>
              <w:bottom w:val="none" w:sz="0" w:space="0" w:color="auto"/>
            </w:tcBorders>
          </w:tcPr>
          <w:p w:rsidR="00026B55" w:rsidRPr="00026B55" w:rsidRDefault="00026B55" w:rsidP="003C5E34">
            <w:pPr>
              <w:pStyle w:val="TableText"/>
              <w:ind w:left="66"/>
              <w:cnfStyle w:val="000000100000"/>
              <w:rPr>
                <w:rFonts w:ascii="Arial" w:hAnsi="Arial" w:cs="Arial"/>
                <w:color w:val="auto"/>
              </w:rPr>
            </w:pPr>
            <w:r w:rsidRPr="00026B55">
              <w:rPr>
                <w:rFonts w:ascii="Arial" w:hAnsi="Arial" w:cs="Arial"/>
                <w:color w:val="auto"/>
              </w:rPr>
              <w:t>Other local authorities and public bodies</w:t>
            </w:r>
          </w:p>
        </w:tc>
        <w:tc>
          <w:tcPr>
            <w:cnfStyle w:val="000010000000"/>
            <w:tcW w:w="1986" w:type="dxa"/>
            <w:tcBorders>
              <w:top w:val="none" w:sz="0" w:space="0" w:color="auto"/>
              <w:left w:val="none" w:sz="0" w:space="0" w:color="auto"/>
              <w:bottom w:val="none" w:sz="0" w:space="0" w:color="auto"/>
              <w:right w:val="none" w:sz="0" w:space="0" w:color="auto"/>
            </w:tcBorders>
          </w:tcPr>
          <w:p w:rsidR="00026B55" w:rsidRPr="00026B55" w:rsidRDefault="00495123" w:rsidP="006E290F">
            <w:pPr>
              <w:pStyle w:val="TableRightBold"/>
              <w:ind w:right="142"/>
              <w:jc w:val="center"/>
              <w:rPr>
                <w:rStyle w:val="Bold"/>
                <w:rFonts w:ascii="Arial" w:hAnsi="Arial" w:cs="Arial"/>
                <w:b/>
                <w:color w:val="auto"/>
              </w:rPr>
            </w:pPr>
            <w:r>
              <w:rPr>
                <w:rStyle w:val="Bold"/>
                <w:rFonts w:ascii="Arial" w:hAnsi="Arial" w:cs="Arial"/>
                <w:b/>
                <w:color w:val="auto"/>
              </w:rPr>
              <w:t>4.1</w:t>
            </w:r>
          </w:p>
        </w:tc>
      </w:tr>
      <w:tr w:rsidR="00026B55" w:rsidRPr="00026B55" w:rsidTr="00AB1648">
        <w:trPr>
          <w:trHeight w:hRule="exact" w:val="397"/>
        </w:trPr>
        <w:tc>
          <w:tcPr>
            <w:cnfStyle w:val="000010000000"/>
            <w:tcW w:w="1942" w:type="dxa"/>
            <w:tcBorders>
              <w:left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0.8</w:t>
            </w:r>
          </w:p>
        </w:tc>
        <w:tc>
          <w:tcPr>
            <w:tcW w:w="3967" w:type="dxa"/>
          </w:tcPr>
          <w:p w:rsidR="00026B55" w:rsidRPr="00026B55" w:rsidRDefault="00026B55" w:rsidP="003C5E34">
            <w:pPr>
              <w:pStyle w:val="TableText"/>
              <w:ind w:left="66"/>
              <w:cnfStyle w:val="000000000000"/>
              <w:rPr>
                <w:rFonts w:ascii="Arial" w:hAnsi="Arial" w:cs="Arial"/>
                <w:color w:val="auto"/>
              </w:rPr>
            </w:pPr>
            <w:r w:rsidRPr="00026B55">
              <w:rPr>
                <w:rFonts w:ascii="Arial" w:hAnsi="Arial" w:cs="Arial"/>
                <w:color w:val="auto"/>
              </w:rPr>
              <w:t>NHS bodies</w:t>
            </w:r>
          </w:p>
        </w:tc>
        <w:tc>
          <w:tcPr>
            <w:cnfStyle w:val="000010000000"/>
            <w:tcW w:w="1986" w:type="dxa"/>
            <w:tcBorders>
              <w:left w:val="none" w:sz="0" w:space="0" w:color="auto"/>
              <w:right w:val="none" w:sz="0" w:space="0" w:color="auto"/>
            </w:tcBorders>
          </w:tcPr>
          <w:p w:rsidR="00026B55" w:rsidRPr="00026B55" w:rsidRDefault="00495123" w:rsidP="006E290F">
            <w:pPr>
              <w:pStyle w:val="TableRightBold"/>
              <w:ind w:right="142"/>
              <w:jc w:val="center"/>
              <w:rPr>
                <w:rStyle w:val="Bold"/>
                <w:rFonts w:ascii="Arial" w:hAnsi="Arial" w:cs="Arial"/>
                <w:b/>
                <w:color w:val="auto"/>
              </w:rPr>
            </w:pPr>
            <w:r>
              <w:rPr>
                <w:rStyle w:val="Bold"/>
                <w:rFonts w:ascii="Arial" w:hAnsi="Arial" w:cs="Arial"/>
                <w:b/>
                <w:color w:val="auto"/>
              </w:rPr>
              <w:t>0.3</w:t>
            </w:r>
          </w:p>
        </w:tc>
      </w:tr>
      <w:tr w:rsidR="00026B55" w:rsidRPr="00026B55" w:rsidTr="00AB1648">
        <w:trPr>
          <w:cnfStyle w:val="000000100000"/>
          <w:trHeight w:hRule="exact" w:val="397"/>
        </w:trPr>
        <w:tc>
          <w:tcPr>
            <w:cnfStyle w:val="000010000000"/>
            <w:tcW w:w="1942" w:type="dxa"/>
            <w:tcBorders>
              <w:top w:val="none" w:sz="0" w:space="0" w:color="auto"/>
              <w:left w:val="none" w:sz="0" w:space="0" w:color="auto"/>
              <w:bottom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5.3</w:t>
            </w:r>
          </w:p>
        </w:tc>
        <w:tc>
          <w:tcPr>
            <w:tcW w:w="3967" w:type="dxa"/>
            <w:tcBorders>
              <w:top w:val="none" w:sz="0" w:space="0" w:color="auto"/>
              <w:bottom w:val="none" w:sz="0" w:space="0" w:color="auto"/>
            </w:tcBorders>
          </w:tcPr>
          <w:p w:rsidR="00026B55" w:rsidRPr="00026B55" w:rsidRDefault="00026B55" w:rsidP="003C5E34">
            <w:pPr>
              <w:pStyle w:val="TableText"/>
              <w:ind w:left="66"/>
              <w:cnfStyle w:val="000000100000"/>
              <w:rPr>
                <w:rFonts w:ascii="Arial" w:hAnsi="Arial" w:cs="Arial"/>
                <w:color w:val="auto"/>
              </w:rPr>
            </w:pPr>
            <w:r w:rsidRPr="00026B55">
              <w:rPr>
                <w:rFonts w:ascii="Arial" w:hAnsi="Arial" w:cs="Arial"/>
                <w:color w:val="auto"/>
              </w:rPr>
              <w:t xml:space="preserve">Council Tax (inc. liability orders) </w:t>
            </w:r>
          </w:p>
        </w:tc>
        <w:tc>
          <w:tcPr>
            <w:cnfStyle w:val="000010000000"/>
            <w:tcW w:w="1986" w:type="dxa"/>
            <w:tcBorders>
              <w:top w:val="none" w:sz="0" w:space="0" w:color="auto"/>
              <w:left w:val="none" w:sz="0" w:space="0" w:color="auto"/>
              <w:bottom w:val="none" w:sz="0" w:space="0" w:color="auto"/>
              <w:right w:val="none" w:sz="0" w:space="0" w:color="auto"/>
            </w:tcBorders>
          </w:tcPr>
          <w:p w:rsidR="00026B55" w:rsidRPr="00026B55" w:rsidRDefault="00495123" w:rsidP="006E290F">
            <w:pPr>
              <w:pStyle w:val="TableRightBold"/>
              <w:ind w:right="142"/>
              <w:jc w:val="center"/>
              <w:rPr>
                <w:rStyle w:val="Bold"/>
                <w:rFonts w:ascii="Arial" w:hAnsi="Arial" w:cs="Arial"/>
                <w:b/>
                <w:color w:val="auto"/>
              </w:rPr>
            </w:pPr>
            <w:r>
              <w:rPr>
                <w:rStyle w:val="Bold"/>
                <w:rFonts w:ascii="Arial" w:hAnsi="Arial" w:cs="Arial"/>
                <w:b/>
                <w:color w:val="auto"/>
              </w:rPr>
              <w:t>5.8</w:t>
            </w:r>
          </w:p>
        </w:tc>
      </w:tr>
      <w:tr w:rsidR="00026B55" w:rsidRPr="00026B55" w:rsidTr="00AB1648">
        <w:trPr>
          <w:trHeight w:hRule="exact" w:val="397"/>
        </w:trPr>
        <w:tc>
          <w:tcPr>
            <w:cnfStyle w:val="000010000000"/>
            <w:tcW w:w="1942" w:type="dxa"/>
            <w:tcBorders>
              <w:left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0.9</w:t>
            </w:r>
          </w:p>
        </w:tc>
        <w:tc>
          <w:tcPr>
            <w:tcW w:w="3967" w:type="dxa"/>
          </w:tcPr>
          <w:p w:rsidR="00026B55" w:rsidRPr="00026B55" w:rsidRDefault="00026B55" w:rsidP="003C5E34">
            <w:pPr>
              <w:pStyle w:val="TableText"/>
              <w:ind w:left="66"/>
              <w:cnfStyle w:val="000000000000"/>
              <w:rPr>
                <w:rFonts w:ascii="Arial" w:hAnsi="Arial" w:cs="Arial"/>
                <w:color w:val="auto"/>
              </w:rPr>
            </w:pPr>
            <w:r w:rsidRPr="00026B55">
              <w:rPr>
                <w:rFonts w:ascii="Arial" w:hAnsi="Arial" w:cs="Arial"/>
                <w:color w:val="auto"/>
              </w:rPr>
              <w:t>NNDR (inc liability orders)</w:t>
            </w:r>
          </w:p>
          <w:p w:rsidR="00026B55" w:rsidRPr="00026B55" w:rsidRDefault="00026B55" w:rsidP="003C5E34">
            <w:pPr>
              <w:pStyle w:val="TableText"/>
              <w:ind w:left="66"/>
              <w:cnfStyle w:val="000000000000"/>
              <w:rPr>
                <w:rFonts w:ascii="Arial" w:hAnsi="Arial" w:cs="Arial"/>
                <w:color w:val="auto"/>
              </w:rPr>
            </w:pPr>
          </w:p>
        </w:tc>
        <w:tc>
          <w:tcPr>
            <w:cnfStyle w:val="000010000000"/>
            <w:tcW w:w="1986" w:type="dxa"/>
            <w:tcBorders>
              <w:left w:val="none" w:sz="0" w:space="0" w:color="auto"/>
              <w:right w:val="none" w:sz="0" w:space="0" w:color="auto"/>
            </w:tcBorders>
          </w:tcPr>
          <w:p w:rsidR="00026B55" w:rsidRPr="00026B55" w:rsidRDefault="00495123" w:rsidP="006E290F">
            <w:pPr>
              <w:pStyle w:val="TableRightBold"/>
              <w:ind w:right="142"/>
              <w:jc w:val="center"/>
              <w:rPr>
                <w:rStyle w:val="Bold"/>
                <w:rFonts w:ascii="Arial" w:hAnsi="Arial" w:cs="Arial"/>
                <w:b/>
                <w:color w:val="auto"/>
              </w:rPr>
            </w:pPr>
            <w:r>
              <w:rPr>
                <w:rStyle w:val="Bold"/>
                <w:rFonts w:ascii="Arial" w:hAnsi="Arial" w:cs="Arial"/>
                <w:b/>
                <w:color w:val="auto"/>
              </w:rPr>
              <w:t>0.9</w:t>
            </w:r>
          </w:p>
        </w:tc>
      </w:tr>
      <w:tr w:rsidR="00026B55" w:rsidRPr="00026B55" w:rsidTr="00AB1648">
        <w:trPr>
          <w:cnfStyle w:val="000000100000"/>
          <w:trHeight w:hRule="exact" w:val="397"/>
        </w:trPr>
        <w:tc>
          <w:tcPr>
            <w:cnfStyle w:val="000010000000"/>
            <w:tcW w:w="1942" w:type="dxa"/>
            <w:tcBorders>
              <w:top w:val="none" w:sz="0" w:space="0" w:color="auto"/>
              <w:left w:val="none" w:sz="0" w:space="0" w:color="auto"/>
              <w:bottom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3.5</w:t>
            </w:r>
          </w:p>
        </w:tc>
        <w:tc>
          <w:tcPr>
            <w:tcW w:w="3967" w:type="dxa"/>
            <w:tcBorders>
              <w:top w:val="none" w:sz="0" w:space="0" w:color="auto"/>
              <w:bottom w:val="none" w:sz="0" w:space="0" w:color="auto"/>
            </w:tcBorders>
          </w:tcPr>
          <w:p w:rsidR="00026B55" w:rsidRPr="00026B55" w:rsidRDefault="00026B55" w:rsidP="003C5E34">
            <w:pPr>
              <w:pStyle w:val="TableText"/>
              <w:ind w:left="66"/>
              <w:cnfStyle w:val="000000100000"/>
              <w:rPr>
                <w:rFonts w:ascii="Arial" w:hAnsi="Arial" w:cs="Arial"/>
                <w:color w:val="auto"/>
              </w:rPr>
            </w:pPr>
            <w:r w:rsidRPr="00026B55">
              <w:rPr>
                <w:rFonts w:ascii="Arial" w:hAnsi="Arial" w:cs="Arial"/>
                <w:color w:val="auto"/>
              </w:rPr>
              <w:t xml:space="preserve">Housing Benefit </w:t>
            </w:r>
          </w:p>
        </w:tc>
        <w:tc>
          <w:tcPr>
            <w:cnfStyle w:val="000010000000"/>
            <w:tcW w:w="1986" w:type="dxa"/>
            <w:tcBorders>
              <w:top w:val="none" w:sz="0" w:space="0" w:color="auto"/>
              <w:left w:val="none" w:sz="0" w:space="0" w:color="auto"/>
              <w:bottom w:val="none" w:sz="0" w:space="0" w:color="auto"/>
              <w:right w:val="none" w:sz="0" w:space="0" w:color="auto"/>
            </w:tcBorders>
          </w:tcPr>
          <w:p w:rsidR="00026B55" w:rsidRPr="00026B55" w:rsidRDefault="00495123" w:rsidP="006E290F">
            <w:pPr>
              <w:pStyle w:val="TableRightBold"/>
              <w:ind w:right="142"/>
              <w:jc w:val="center"/>
              <w:rPr>
                <w:rStyle w:val="Bold"/>
                <w:rFonts w:ascii="Arial" w:hAnsi="Arial" w:cs="Arial"/>
                <w:b/>
                <w:color w:val="auto"/>
              </w:rPr>
            </w:pPr>
            <w:r>
              <w:rPr>
                <w:rStyle w:val="Bold"/>
                <w:rFonts w:ascii="Arial" w:hAnsi="Arial" w:cs="Arial"/>
                <w:b/>
                <w:color w:val="auto"/>
              </w:rPr>
              <w:t>3.8</w:t>
            </w:r>
          </w:p>
        </w:tc>
      </w:tr>
      <w:tr w:rsidR="00026B55" w:rsidRPr="00026B55" w:rsidTr="00AB1648">
        <w:trPr>
          <w:trHeight w:hRule="exact" w:val="397"/>
        </w:trPr>
        <w:tc>
          <w:tcPr>
            <w:cnfStyle w:val="000010000000"/>
            <w:tcW w:w="1942" w:type="dxa"/>
            <w:tcBorders>
              <w:left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8.1</w:t>
            </w:r>
          </w:p>
        </w:tc>
        <w:tc>
          <w:tcPr>
            <w:tcW w:w="3967" w:type="dxa"/>
          </w:tcPr>
          <w:p w:rsidR="00026B55" w:rsidRPr="00026B55" w:rsidRDefault="00026B55" w:rsidP="003C5E34">
            <w:pPr>
              <w:pStyle w:val="TableText"/>
              <w:ind w:left="66"/>
              <w:cnfStyle w:val="000000000000"/>
              <w:rPr>
                <w:rFonts w:ascii="Arial" w:hAnsi="Arial" w:cs="Arial"/>
                <w:color w:val="auto"/>
              </w:rPr>
            </w:pPr>
            <w:r w:rsidRPr="00026B55">
              <w:rPr>
                <w:rFonts w:ascii="Arial" w:hAnsi="Arial" w:cs="Arial"/>
                <w:color w:val="auto"/>
              </w:rPr>
              <w:t>Other entities and individuals</w:t>
            </w:r>
          </w:p>
        </w:tc>
        <w:tc>
          <w:tcPr>
            <w:cnfStyle w:val="000010000000"/>
            <w:tcW w:w="1986" w:type="dxa"/>
            <w:tcBorders>
              <w:left w:val="none" w:sz="0" w:space="0" w:color="auto"/>
              <w:right w:val="none" w:sz="0" w:space="0" w:color="auto"/>
            </w:tcBorders>
          </w:tcPr>
          <w:p w:rsidR="00026B55" w:rsidRPr="00026B55" w:rsidRDefault="00495123" w:rsidP="007C2CE3">
            <w:pPr>
              <w:pStyle w:val="TableRightBold"/>
              <w:ind w:right="142"/>
              <w:jc w:val="center"/>
              <w:rPr>
                <w:rStyle w:val="Bold"/>
                <w:rFonts w:ascii="Arial" w:hAnsi="Arial" w:cs="Arial"/>
                <w:b/>
                <w:color w:val="auto"/>
              </w:rPr>
            </w:pPr>
            <w:r>
              <w:rPr>
                <w:rStyle w:val="Bold"/>
                <w:rFonts w:ascii="Arial" w:hAnsi="Arial" w:cs="Arial"/>
                <w:b/>
                <w:color w:val="auto"/>
              </w:rPr>
              <w:t>8.3</w:t>
            </w:r>
          </w:p>
        </w:tc>
      </w:tr>
      <w:tr w:rsidR="00026B55" w:rsidRPr="00026B55" w:rsidTr="00AB1648">
        <w:trPr>
          <w:cnfStyle w:val="000000100000"/>
          <w:trHeight w:hRule="exact" w:val="397"/>
        </w:trPr>
        <w:tc>
          <w:tcPr>
            <w:cnfStyle w:val="000010000000"/>
            <w:tcW w:w="1942" w:type="dxa"/>
            <w:tcBorders>
              <w:top w:val="none" w:sz="0" w:space="0" w:color="auto"/>
              <w:left w:val="none" w:sz="0" w:space="0" w:color="auto"/>
              <w:bottom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24.9</w:t>
            </w:r>
          </w:p>
        </w:tc>
        <w:tc>
          <w:tcPr>
            <w:tcW w:w="3967" w:type="dxa"/>
            <w:tcBorders>
              <w:top w:val="none" w:sz="0" w:space="0" w:color="auto"/>
              <w:bottom w:val="none" w:sz="0" w:space="0" w:color="auto"/>
            </w:tcBorders>
          </w:tcPr>
          <w:p w:rsidR="00026B55" w:rsidRPr="00026B55" w:rsidRDefault="00026B55" w:rsidP="003C5E34">
            <w:pPr>
              <w:pStyle w:val="TableText"/>
              <w:ind w:left="66"/>
              <w:cnfStyle w:val="000000100000"/>
              <w:rPr>
                <w:rFonts w:ascii="Arial" w:hAnsi="Arial" w:cs="Arial"/>
                <w:b/>
                <w:color w:val="auto"/>
              </w:rPr>
            </w:pPr>
            <w:r w:rsidRPr="00026B55">
              <w:rPr>
                <w:rFonts w:ascii="Arial" w:hAnsi="Arial" w:cs="Arial"/>
                <w:b/>
                <w:color w:val="auto"/>
              </w:rPr>
              <w:t>Sub Total</w:t>
            </w:r>
          </w:p>
        </w:tc>
        <w:tc>
          <w:tcPr>
            <w:cnfStyle w:val="000010000000"/>
            <w:tcW w:w="1986" w:type="dxa"/>
            <w:tcBorders>
              <w:top w:val="none" w:sz="0" w:space="0" w:color="auto"/>
              <w:left w:val="none" w:sz="0" w:space="0" w:color="auto"/>
              <w:bottom w:val="none" w:sz="0" w:space="0" w:color="auto"/>
              <w:right w:val="none" w:sz="0" w:space="0" w:color="auto"/>
            </w:tcBorders>
          </w:tcPr>
          <w:p w:rsidR="00026B55" w:rsidRPr="00026B55" w:rsidRDefault="00495123" w:rsidP="003D5B4B">
            <w:pPr>
              <w:pStyle w:val="TableRightBold"/>
              <w:ind w:right="142"/>
              <w:jc w:val="center"/>
              <w:rPr>
                <w:rStyle w:val="Bold"/>
                <w:rFonts w:ascii="Arial" w:hAnsi="Arial" w:cs="Arial"/>
                <w:b/>
                <w:color w:val="auto"/>
              </w:rPr>
            </w:pPr>
            <w:r>
              <w:rPr>
                <w:rStyle w:val="Bold"/>
                <w:rFonts w:ascii="Arial" w:hAnsi="Arial" w:cs="Arial"/>
                <w:b/>
                <w:color w:val="auto"/>
              </w:rPr>
              <w:t>27.1</w:t>
            </w:r>
          </w:p>
        </w:tc>
      </w:tr>
      <w:tr w:rsidR="00026B55" w:rsidRPr="00026B55" w:rsidTr="00AB1648">
        <w:trPr>
          <w:trHeight w:hRule="exact" w:val="397"/>
        </w:trPr>
        <w:tc>
          <w:tcPr>
            <w:cnfStyle w:val="000010000000"/>
            <w:tcW w:w="1942" w:type="dxa"/>
            <w:tcBorders>
              <w:left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lastRenderedPageBreak/>
              <w:t>(7.4)</w:t>
            </w:r>
          </w:p>
        </w:tc>
        <w:tc>
          <w:tcPr>
            <w:tcW w:w="3967" w:type="dxa"/>
          </w:tcPr>
          <w:p w:rsidR="00026B55" w:rsidRPr="00026B55" w:rsidRDefault="00026B55" w:rsidP="003C5E34">
            <w:pPr>
              <w:pStyle w:val="TableText"/>
              <w:ind w:left="66"/>
              <w:cnfStyle w:val="000000000000"/>
              <w:rPr>
                <w:rFonts w:ascii="Arial" w:hAnsi="Arial" w:cs="Arial"/>
                <w:color w:val="auto"/>
              </w:rPr>
            </w:pPr>
            <w:r w:rsidRPr="00026B55">
              <w:rPr>
                <w:rFonts w:ascii="Arial" w:hAnsi="Arial" w:cs="Arial"/>
                <w:color w:val="auto"/>
              </w:rPr>
              <w:t>Impairment (uncollectibility of debt)</w:t>
            </w:r>
          </w:p>
        </w:tc>
        <w:tc>
          <w:tcPr>
            <w:cnfStyle w:val="000010000000"/>
            <w:tcW w:w="1986" w:type="dxa"/>
            <w:tcBorders>
              <w:left w:val="none" w:sz="0" w:space="0" w:color="auto"/>
              <w:right w:val="none" w:sz="0" w:space="0" w:color="auto"/>
            </w:tcBorders>
          </w:tcPr>
          <w:p w:rsidR="00026B55" w:rsidRPr="00026B55" w:rsidRDefault="00495123" w:rsidP="0093216D">
            <w:pPr>
              <w:pStyle w:val="TableRightBold"/>
              <w:ind w:right="142"/>
              <w:jc w:val="center"/>
              <w:rPr>
                <w:rStyle w:val="Bold"/>
                <w:rFonts w:ascii="Arial" w:hAnsi="Arial" w:cs="Arial"/>
                <w:b/>
                <w:color w:val="auto"/>
              </w:rPr>
            </w:pPr>
            <w:r>
              <w:rPr>
                <w:rStyle w:val="Bold"/>
                <w:rFonts w:ascii="Arial" w:hAnsi="Arial" w:cs="Arial"/>
                <w:b/>
                <w:color w:val="auto"/>
              </w:rPr>
              <w:t>(</w:t>
            </w:r>
            <w:r w:rsidR="0093216D">
              <w:rPr>
                <w:rStyle w:val="Bold"/>
                <w:rFonts w:ascii="Arial" w:hAnsi="Arial" w:cs="Arial"/>
                <w:b/>
                <w:color w:val="auto"/>
              </w:rPr>
              <w:t>9.0</w:t>
            </w:r>
            <w:r>
              <w:rPr>
                <w:rStyle w:val="Bold"/>
                <w:rFonts w:ascii="Arial" w:hAnsi="Arial" w:cs="Arial"/>
                <w:b/>
                <w:color w:val="auto"/>
              </w:rPr>
              <w:t>)</w:t>
            </w:r>
          </w:p>
        </w:tc>
      </w:tr>
      <w:tr w:rsidR="00026B55" w:rsidRPr="00026B55" w:rsidTr="00495123">
        <w:trPr>
          <w:cnfStyle w:val="000000100000"/>
          <w:trHeight w:hRule="exact" w:val="397"/>
        </w:trPr>
        <w:tc>
          <w:tcPr>
            <w:cnfStyle w:val="000010000000"/>
            <w:tcW w:w="1942" w:type="dxa"/>
            <w:tcBorders>
              <w:top w:val="none" w:sz="0" w:space="0" w:color="auto"/>
              <w:left w:val="none" w:sz="0" w:space="0" w:color="auto"/>
              <w:bottom w:val="none" w:sz="0" w:space="0" w:color="auto"/>
              <w:right w:val="none" w:sz="0" w:space="0" w:color="auto"/>
            </w:tcBorders>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17.5</w:t>
            </w:r>
          </w:p>
        </w:tc>
        <w:tc>
          <w:tcPr>
            <w:tcW w:w="3967" w:type="dxa"/>
            <w:tcBorders>
              <w:top w:val="none" w:sz="0" w:space="0" w:color="auto"/>
              <w:bottom w:val="none" w:sz="0" w:space="0" w:color="auto"/>
            </w:tcBorders>
          </w:tcPr>
          <w:p w:rsidR="00026B55" w:rsidRPr="00026B55" w:rsidRDefault="00026B55" w:rsidP="003C5E34">
            <w:pPr>
              <w:pStyle w:val="TableText"/>
              <w:ind w:left="66"/>
              <w:cnfStyle w:val="000000100000"/>
              <w:rPr>
                <w:rFonts w:ascii="Arial" w:hAnsi="Arial" w:cs="Arial"/>
                <w:b/>
                <w:color w:val="auto"/>
              </w:rPr>
            </w:pPr>
            <w:r w:rsidRPr="00026B55">
              <w:rPr>
                <w:rFonts w:ascii="Arial" w:hAnsi="Arial" w:cs="Arial"/>
                <w:b/>
                <w:color w:val="auto"/>
              </w:rPr>
              <w:t>Total</w:t>
            </w:r>
          </w:p>
        </w:tc>
        <w:tc>
          <w:tcPr>
            <w:cnfStyle w:val="000010000000"/>
            <w:tcW w:w="1986" w:type="dxa"/>
            <w:tcBorders>
              <w:top w:val="none" w:sz="0" w:space="0" w:color="auto"/>
              <w:left w:val="none" w:sz="0" w:space="0" w:color="auto"/>
              <w:bottom w:val="none" w:sz="0" w:space="0" w:color="auto"/>
              <w:right w:val="none" w:sz="0" w:space="0" w:color="auto"/>
            </w:tcBorders>
            <w:shd w:val="clear" w:color="auto" w:fill="auto"/>
          </w:tcPr>
          <w:p w:rsidR="00026B55" w:rsidRPr="00026B55" w:rsidRDefault="00432B37" w:rsidP="0093216D">
            <w:pPr>
              <w:pStyle w:val="TableRightBold"/>
              <w:ind w:right="142"/>
              <w:jc w:val="center"/>
              <w:rPr>
                <w:rStyle w:val="Bold"/>
                <w:rFonts w:ascii="Arial" w:hAnsi="Arial" w:cs="Arial"/>
                <w:b/>
                <w:color w:val="auto"/>
              </w:rPr>
            </w:pPr>
            <w:r w:rsidRPr="00495123">
              <w:rPr>
                <w:rStyle w:val="Bold"/>
                <w:rFonts w:ascii="Arial" w:hAnsi="Arial" w:cs="Arial"/>
                <w:b/>
                <w:color w:val="auto"/>
              </w:rPr>
              <w:t>1</w:t>
            </w:r>
            <w:r w:rsidR="00495123" w:rsidRPr="00495123">
              <w:rPr>
                <w:rStyle w:val="Bold"/>
                <w:rFonts w:ascii="Arial" w:hAnsi="Arial" w:cs="Arial"/>
                <w:b/>
                <w:color w:val="auto"/>
              </w:rPr>
              <w:t>8.</w:t>
            </w:r>
            <w:r w:rsidR="0093216D">
              <w:rPr>
                <w:rStyle w:val="Bold"/>
                <w:rFonts w:ascii="Arial" w:hAnsi="Arial" w:cs="Arial"/>
                <w:b/>
                <w:color w:val="auto"/>
              </w:rPr>
              <w:t>1</w:t>
            </w:r>
          </w:p>
        </w:tc>
      </w:tr>
    </w:tbl>
    <w:p w:rsidR="00E51139" w:rsidRPr="00D42E0B" w:rsidRDefault="00E51139" w:rsidP="00260271">
      <w:pPr>
        <w:pStyle w:val="TableRightBold"/>
        <w:ind w:right="34"/>
        <w:jc w:val="center"/>
        <w:rPr>
          <w:rFonts w:cs="Arial"/>
          <w:color w:val="548DD4" w:themeColor="text2" w:themeTint="99"/>
        </w:rPr>
      </w:pPr>
    </w:p>
    <w:p w:rsidR="00E51139" w:rsidRPr="00C16B45" w:rsidRDefault="006D3DC4" w:rsidP="00AB1648">
      <w:pPr>
        <w:pStyle w:val="Subtitle"/>
        <w:ind w:left="567" w:hanging="567"/>
        <w:rPr>
          <w:b/>
          <w:color w:val="auto"/>
          <w:sz w:val="22"/>
          <w:szCs w:val="22"/>
        </w:rPr>
      </w:pPr>
      <w:r w:rsidRPr="00C16B45">
        <w:rPr>
          <w:b/>
          <w:color w:val="auto"/>
          <w:sz w:val="22"/>
          <w:szCs w:val="22"/>
        </w:rPr>
        <w:t>17</w:t>
      </w:r>
      <w:r w:rsidR="00E51139" w:rsidRPr="00C16B45">
        <w:rPr>
          <w:b/>
          <w:color w:val="auto"/>
          <w:sz w:val="22"/>
          <w:szCs w:val="22"/>
        </w:rPr>
        <w:t>.</w:t>
      </w:r>
      <w:r w:rsidR="00E51139" w:rsidRPr="00C16B45">
        <w:rPr>
          <w:b/>
          <w:color w:val="auto"/>
          <w:sz w:val="22"/>
          <w:szCs w:val="22"/>
        </w:rPr>
        <w:tab/>
        <w:t>Cash and Cash Equivalents</w:t>
      </w:r>
    </w:p>
    <w:p w:rsidR="004D4940" w:rsidRPr="00C16B45" w:rsidRDefault="00E51139" w:rsidP="004D4940">
      <w:pPr>
        <w:pStyle w:val="ExampleSub"/>
        <w:keepNext w:val="0"/>
        <w:keepLines w:val="0"/>
        <w:rPr>
          <w:rFonts w:ascii="Arial" w:hAnsi="Arial" w:cs="Arial"/>
          <w:b w:val="0"/>
          <w:bCs w:val="0"/>
          <w:color w:val="auto"/>
          <w:sz w:val="20"/>
          <w:szCs w:val="20"/>
        </w:rPr>
      </w:pPr>
      <w:r w:rsidRPr="00C16B45">
        <w:rPr>
          <w:rFonts w:ascii="Arial" w:hAnsi="Arial" w:cs="Arial"/>
          <w:b w:val="0"/>
          <w:bCs w:val="0"/>
          <w:color w:val="auto"/>
          <w:sz w:val="20"/>
          <w:szCs w:val="20"/>
        </w:rPr>
        <w:t>The balance of Cash and Cash Equivalents</w:t>
      </w:r>
      <w:r w:rsidR="002558A7" w:rsidRPr="00C16B45">
        <w:rPr>
          <w:rFonts w:ascii="Arial" w:hAnsi="Arial" w:cs="Arial"/>
          <w:b w:val="0"/>
          <w:bCs w:val="0"/>
          <w:color w:val="auto"/>
          <w:sz w:val="20"/>
          <w:szCs w:val="20"/>
        </w:rPr>
        <w:t xml:space="preserve">, including use of bank </w:t>
      </w:r>
      <w:r w:rsidR="007E33E1" w:rsidRPr="00C16B45">
        <w:rPr>
          <w:rFonts w:ascii="Arial" w:hAnsi="Arial" w:cs="Arial"/>
          <w:b w:val="0"/>
          <w:bCs w:val="0"/>
          <w:color w:val="auto"/>
          <w:sz w:val="20"/>
          <w:szCs w:val="20"/>
        </w:rPr>
        <w:t>overdrafts</w:t>
      </w:r>
      <w:r w:rsidR="002558A7" w:rsidRPr="00C16B45">
        <w:rPr>
          <w:rFonts w:ascii="Arial" w:hAnsi="Arial" w:cs="Arial"/>
          <w:b w:val="0"/>
          <w:bCs w:val="0"/>
          <w:color w:val="auto"/>
          <w:sz w:val="20"/>
          <w:szCs w:val="20"/>
        </w:rPr>
        <w:t>,</w:t>
      </w:r>
      <w:r w:rsidRPr="00C16B45">
        <w:rPr>
          <w:rFonts w:ascii="Arial" w:hAnsi="Arial" w:cs="Arial"/>
          <w:b w:val="0"/>
          <w:bCs w:val="0"/>
          <w:color w:val="auto"/>
          <w:sz w:val="20"/>
          <w:szCs w:val="20"/>
        </w:rPr>
        <w:t xml:space="preserve"> is made up of the following elements:</w:t>
      </w:r>
    </w:p>
    <w:p w:rsidR="004D4940" w:rsidRPr="00C16B45" w:rsidRDefault="004D4940" w:rsidP="004D4940">
      <w:pPr>
        <w:pStyle w:val="ExampleSub"/>
        <w:keepNext w:val="0"/>
        <w:keepLines w:val="0"/>
        <w:rPr>
          <w:rFonts w:ascii="Arial" w:hAnsi="Arial" w:cs="Arial"/>
          <w:b w:val="0"/>
          <w:bCs w:val="0"/>
          <w:color w:val="auto"/>
          <w:sz w:val="20"/>
          <w:szCs w:val="20"/>
        </w:rPr>
      </w:pPr>
    </w:p>
    <w:tbl>
      <w:tblPr>
        <w:tblStyle w:val="ListTable3-Accent51"/>
        <w:tblW w:w="0" w:type="auto"/>
        <w:tblInd w:w="675" w:type="dxa"/>
        <w:tblLook w:val="00A0"/>
      </w:tblPr>
      <w:tblGrid>
        <w:gridCol w:w="1985"/>
        <w:gridCol w:w="3969"/>
        <w:gridCol w:w="1984"/>
      </w:tblGrid>
      <w:tr w:rsidR="00E51139" w:rsidRPr="00C16B45" w:rsidTr="004D4940">
        <w:trPr>
          <w:cnfStyle w:val="100000000000"/>
          <w:trHeight w:val="447"/>
          <w:tblHeader/>
        </w:trPr>
        <w:tc>
          <w:tcPr>
            <w:cnfStyle w:val="001000000100"/>
            <w:tcW w:w="1985" w:type="dxa"/>
          </w:tcPr>
          <w:p w:rsidR="00E51139" w:rsidRPr="00C16B45" w:rsidRDefault="00E51139" w:rsidP="00026B55">
            <w:pPr>
              <w:pStyle w:val="ExampleSub"/>
              <w:keepNext w:val="0"/>
              <w:keepLines w:val="0"/>
              <w:ind w:left="0"/>
              <w:jc w:val="center"/>
              <w:rPr>
                <w:rFonts w:ascii="Arial" w:hAnsi="Arial" w:cs="Arial"/>
                <w:color w:val="auto"/>
                <w:sz w:val="20"/>
                <w:szCs w:val="20"/>
              </w:rPr>
            </w:pPr>
            <w:r w:rsidRPr="00C16B45">
              <w:rPr>
                <w:rFonts w:ascii="Arial" w:hAnsi="Arial" w:cs="Arial"/>
                <w:color w:val="auto"/>
                <w:sz w:val="20"/>
                <w:szCs w:val="20"/>
              </w:rPr>
              <w:t>31 March 201</w:t>
            </w:r>
            <w:r w:rsidR="00026B55" w:rsidRPr="00C16B45">
              <w:rPr>
                <w:rFonts w:ascii="Arial" w:hAnsi="Arial" w:cs="Arial"/>
                <w:color w:val="auto"/>
                <w:sz w:val="20"/>
                <w:szCs w:val="20"/>
              </w:rPr>
              <w:t>5</w:t>
            </w:r>
          </w:p>
        </w:tc>
        <w:tc>
          <w:tcPr>
            <w:cnfStyle w:val="000010000000"/>
            <w:tcW w:w="3969" w:type="dxa"/>
          </w:tcPr>
          <w:p w:rsidR="00E51139" w:rsidRPr="00C16B45" w:rsidRDefault="00E51139" w:rsidP="003C5E34">
            <w:pPr>
              <w:pStyle w:val="ExampleSub"/>
              <w:keepNext w:val="0"/>
              <w:keepLines w:val="0"/>
              <w:ind w:left="0"/>
              <w:rPr>
                <w:rFonts w:ascii="Arial" w:hAnsi="Arial" w:cs="Arial"/>
                <w:color w:val="auto"/>
                <w:sz w:val="20"/>
                <w:szCs w:val="20"/>
              </w:rPr>
            </w:pPr>
          </w:p>
        </w:tc>
        <w:tc>
          <w:tcPr>
            <w:tcW w:w="1984" w:type="dxa"/>
          </w:tcPr>
          <w:p w:rsidR="00E51139" w:rsidRPr="00C16B45" w:rsidRDefault="00E51139" w:rsidP="004D4940">
            <w:pPr>
              <w:pStyle w:val="ExampleSub"/>
              <w:keepNext w:val="0"/>
              <w:keepLines w:val="0"/>
              <w:ind w:left="0"/>
              <w:jc w:val="center"/>
              <w:cnfStyle w:val="100000000000"/>
              <w:rPr>
                <w:rFonts w:ascii="Arial" w:hAnsi="Arial" w:cs="Arial"/>
                <w:color w:val="auto"/>
                <w:sz w:val="20"/>
                <w:szCs w:val="20"/>
              </w:rPr>
            </w:pPr>
            <w:r w:rsidRPr="00C16B45">
              <w:rPr>
                <w:rFonts w:ascii="Arial" w:hAnsi="Arial" w:cs="Arial"/>
                <w:color w:val="auto"/>
                <w:sz w:val="20"/>
                <w:szCs w:val="20"/>
              </w:rPr>
              <w:t>31 March 201</w:t>
            </w:r>
            <w:r w:rsidR="00026B55" w:rsidRPr="00C16B45">
              <w:rPr>
                <w:rFonts w:ascii="Arial" w:hAnsi="Arial" w:cs="Arial"/>
                <w:color w:val="auto"/>
                <w:sz w:val="20"/>
                <w:szCs w:val="20"/>
              </w:rPr>
              <w:t>6</w:t>
            </w:r>
          </w:p>
        </w:tc>
      </w:tr>
      <w:tr w:rsidR="004D4940" w:rsidRPr="00C16B45" w:rsidTr="004D4940">
        <w:trPr>
          <w:cnfStyle w:val="000000100000"/>
          <w:trHeight w:val="396"/>
        </w:trPr>
        <w:tc>
          <w:tcPr>
            <w:cnfStyle w:val="001000000000"/>
            <w:tcW w:w="1985" w:type="dxa"/>
            <w:shd w:val="clear" w:color="auto" w:fill="4BACC6" w:themeFill="accent5"/>
          </w:tcPr>
          <w:p w:rsidR="004D4940" w:rsidRPr="00C16B45" w:rsidRDefault="004D4940" w:rsidP="004D4940">
            <w:pPr>
              <w:pStyle w:val="ExampleSub"/>
              <w:keepNext w:val="0"/>
              <w:keepLines w:val="0"/>
              <w:ind w:left="0"/>
              <w:jc w:val="center"/>
              <w:rPr>
                <w:rFonts w:ascii="Arial" w:hAnsi="Arial" w:cs="Arial"/>
                <w:color w:val="auto"/>
                <w:sz w:val="20"/>
                <w:szCs w:val="20"/>
              </w:rPr>
            </w:pPr>
            <w:r w:rsidRPr="00C16B45">
              <w:rPr>
                <w:rFonts w:ascii="Arial" w:hAnsi="Arial" w:cs="Arial"/>
                <w:color w:val="auto"/>
                <w:sz w:val="20"/>
                <w:szCs w:val="20"/>
              </w:rPr>
              <w:t>£m</w:t>
            </w:r>
          </w:p>
        </w:tc>
        <w:tc>
          <w:tcPr>
            <w:cnfStyle w:val="000010000000"/>
            <w:tcW w:w="3969" w:type="dxa"/>
            <w:shd w:val="clear" w:color="auto" w:fill="4BACC6" w:themeFill="accent5"/>
          </w:tcPr>
          <w:p w:rsidR="004D4940" w:rsidRPr="00C16B45" w:rsidRDefault="004D4940" w:rsidP="004D4940">
            <w:pPr>
              <w:pStyle w:val="CodeNotesbody"/>
              <w:widowControl w:val="0"/>
              <w:numPr>
                <w:ilvl w:val="0"/>
                <w:numId w:val="0"/>
              </w:numPr>
              <w:spacing w:before="60" w:after="60" w:line="240" w:lineRule="auto"/>
              <w:jc w:val="center"/>
              <w:rPr>
                <w:rFonts w:cs="Arial"/>
                <w:color w:val="auto"/>
                <w:sz w:val="20"/>
                <w:szCs w:val="20"/>
              </w:rPr>
            </w:pPr>
          </w:p>
        </w:tc>
        <w:tc>
          <w:tcPr>
            <w:tcW w:w="1984" w:type="dxa"/>
            <w:shd w:val="clear" w:color="auto" w:fill="4BACC6" w:themeFill="accent5"/>
          </w:tcPr>
          <w:p w:rsidR="004D4940" w:rsidRPr="00C16B45" w:rsidRDefault="004D4940" w:rsidP="004D4940">
            <w:pPr>
              <w:pStyle w:val="ExampleSub"/>
              <w:keepNext w:val="0"/>
              <w:keepLines w:val="0"/>
              <w:ind w:left="0"/>
              <w:jc w:val="center"/>
              <w:cnfStyle w:val="000000100000"/>
              <w:rPr>
                <w:rFonts w:ascii="Arial" w:hAnsi="Arial" w:cs="Arial"/>
                <w:b w:val="0"/>
                <w:bCs w:val="0"/>
                <w:color w:val="auto"/>
                <w:sz w:val="20"/>
                <w:szCs w:val="20"/>
              </w:rPr>
            </w:pPr>
            <w:r w:rsidRPr="00C16B45">
              <w:rPr>
                <w:rFonts w:ascii="Arial" w:hAnsi="Arial" w:cs="Arial"/>
                <w:b w:val="0"/>
                <w:bCs w:val="0"/>
                <w:color w:val="auto"/>
                <w:sz w:val="20"/>
                <w:szCs w:val="20"/>
              </w:rPr>
              <w:t>£m</w:t>
            </w:r>
          </w:p>
        </w:tc>
      </w:tr>
      <w:tr w:rsidR="00026B55" w:rsidRPr="00C16B45" w:rsidTr="004D4940">
        <w:tc>
          <w:tcPr>
            <w:cnfStyle w:val="001000000000"/>
            <w:tcW w:w="1985" w:type="dxa"/>
            <w:vAlign w:val="center"/>
          </w:tcPr>
          <w:p w:rsidR="00026B55" w:rsidRPr="00C16B45" w:rsidRDefault="00026B55" w:rsidP="00026B55">
            <w:pPr>
              <w:pStyle w:val="ExampleSub"/>
              <w:keepNext w:val="0"/>
              <w:keepLines w:val="0"/>
              <w:ind w:left="0"/>
              <w:jc w:val="center"/>
              <w:rPr>
                <w:rFonts w:ascii="Arial" w:hAnsi="Arial" w:cs="Arial"/>
                <w:color w:val="auto"/>
                <w:sz w:val="20"/>
                <w:szCs w:val="20"/>
              </w:rPr>
            </w:pPr>
            <w:r w:rsidRPr="00C16B45">
              <w:rPr>
                <w:rFonts w:ascii="Arial" w:hAnsi="Arial" w:cs="Arial"/>
                <w:color w:val="auto"/>
                <w:sz w:val="20"/>
                <w:szCs w:val="20"/>
              </w:rPr>
              <w:t>0.6</w:t>
            </w:r>
          </w:p>
        </w:tc>
        <w:tc>
          <w:tcPr>
            <w:cnfStyle w:val="000010000000"/>
            <w:tcW w:w="3969" w:type="dxa"/>
            <w:vAlign w:val="center"/>
          </w:tcPr>
          <w:p w:rsidR="00026B55" w:rsidRPr="00C16B45" w:rsidRDefault="00026B55" w:rsidP="004D4940">
            <w:pPr>
              <w:pStyle w:val="CodeNotesbody"/>
              <w:widowControl w:val="0"/>
              <w:numPr>
                <w:ilvl w:val="0"/>
                <w:numId w:val="0"/>
              </w:numPr>
              <w:spacing w:before="60" w:after="60" w:line="240" w:lineRule="auto"/>
              <w:rPr>
                <w:rFonts w:cs="Arial"/>
                <w:color w:val="auto"/>
                <w:sz w:val="20"/>
                <w:szCs w:val="20"/>
              </w:rPr>
            </w:pPr>
            <w:r w:rsidRPr="00C16B45">
              <w:rPr>
                <w:rFonts w:cs="Arial"/>
                <w:color w:val="auto"/>
                <w:sz w:val="20"/>
                <w:szCs w:val="20"/>
              </w:rPr>
              <w:t>Bank current accounts</w:t>
            </w:r>
          </w:p>
        </w:tc>
        <w:tc>
          <w:tcPr>
            <w:tcW w:w="1984" w:type="dxa"/>
            <w:vAlign w:val="center"/>
          </w:tcPr>
          <w:p w:rsidR="00026B55" w:rsidRPr="00C16B45" w:rsidRDefault="002A6D79" w:rsidP="002A6D79">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0.1</w:t>
            </w:r>
          </w:p>
        </w:tc>
      </w:tr>
      <w:tr w:rsidR="00026B55" w:rsidRPr="00C16B45" w:rsidTr="004D4940">
        <w:trPr>
          <w:cnfStyle w:val="000000100000"/>
        </w:trPr>
        <w:tc>
          <w:tcPr>
            <w:cnfStyle w:val="001000000000"/>
            <w:tcW w:w="1985" w:type="dxa"/>
            <w:vAlign w:val="center"/>
          </w:tcPr>
          <w:p w:rsidR="00026B55" w:rsidRPr="00C16B45" w:rsidRDefault="00026B55" w:rsidP="00026B55">
            <w:pPr>
              <w:pStyle w:val="ExampleSub"/>
              <w:keepNext w:val="0"/>
              <w:keepLines w:val="0"/>
              <w:ind w:left="0"/>
              <w:jc w:val="center"/>
              <w:rPr>
                <w:rFonts w:ascii="Arial" w:hAnsi="Arial" w:cs="Arial"/>
                <w:color w:val="auto"/>
                <w:sz w:val="20"/>
                <w:szCs w:val="20"/>
              </w:rPr>
            </w:pPr>
            <w:r w:rsidRPr="00C16B45">
              <w:rPr>
                <w:rFonts w:ascii="Arial" w:hAnsi="Arial" w:cs="Arial"/>
                <w:color w:val="auto"/>
                <w:sz w:val="20"/>
                <w:szCs w:val="20"/>
              </w:rPr>
              <w:t>0.6</w:t>
            </w:r>
          </w:p>
        </w:tc>
        <w:tc>
          <w:tcPr>
            <w:cnfStyle w:val="000010000000"/>
            <w:tcW w:w="3969" w:type="dxa"/>
            <w:vAlign w:val="center"/>
          </w:tcPr>
          <w:p w:rsidR="00026B55" w:rsidRPr="00C16B45" w:rsidRDefault="00026B55" w:rsidP="004D4940">
            <w:pPr>
              <w:pStyle w:val="CodeNotesbody"/>
              <w:widowControl w:val="0"/>
              <w:numPr>
                <w:ilvl w:val="0"/>
                <w:numId w:val="0"/>
              </w:numPr>
              <w:spacing w:before="60" w:after="60" w:line="240" w:lineRule="auto"/>
              <w:rPr>
                <w:rFonts w:cs="Arial"/>
                <w:color w:val="auto"/>
                <w:sz w:val="20"/>
                <w:szCs w:val="20"/>
              </w:rPr>
            </w:pPr>
            <w:r w:rsidRPr="00C16B45">
              <w:rPr>
                <w:rFonts w:cs="Arial"/>
                <w:color w:val="auto"/>
                <w:sz w:val="20"/>
                <w:szCs w:val="20"/>
              </w:rPr>
              <w:t>Short-term deposits with Money Market Funds and Liquidity Accounts</w:t>
            </w:r>
          </w:p>
        </w:tc>
        <w:tc>
          <w:tcPr>
            <w:tcW w:w="1984" w:type="dxa"/>
            <w:vAlign w:val="center"/>
          </w:tcPr>
          <w:p w:rsidR="00026B55" w:rsidRPr="00C16B45" w:rsidRDefault="00A47DF0" w:rsidP="004D4940">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0.9</w:t>
            </w:r>
          </w:p>
        </w:tc>
      </w:tr>
      <w:tr w:rsidR="00026B55" w:rsidRPr="00C16B45" w:rsidTr="004D4940">
        <w:tc>
          <w:tcPr>
            <w:cnfStyle w:val="001000000000"/>
            <w:tcW w:w="1985" w:type="dxa"/>
            <w:vAlign w:val="center"/>
          </w:tcPr>
          <w:p w:rsidR="00026B55" w:rsidRPr="00C16B45" w:rsidRDefault="00026B55" w:rsidP="00026B55">
            <w:pPr>
              <w:pStyle w:val="ExampleSub"/>
              <w:keepNext w:val="0"/>
              <w:keepLines w:val="0"/>
              <w:ind w:left="0"/>
              <w:jc w:val="center"/>
              <w:rPr>
                <w:rFonts w:ascii="Arial" w:hAnsi="Arial" w:cs="Arial"/>
                <w:color w:val="auto"/>
                <w:sz w:val="20"/>
                <w:szCs w:val="20"/>
              </w:rPr>
            </w:pPr>
            <w:r w:rsidRPr="00C16B45">
              <w:rPr>
                <w:rFonts w:ascii="Arial" w:hAnsi="Arial" w:cs="Arial"/>
                <w:color w:val="auto"/>
                <w:sz w:val="20"/>
                <w:szCs w:val="20"/>
              </w:rPr>
              <w:t>1.2</w:t>
            </w:r>
          </w:p>
        </w:tc>
        <w:tc>
          <w:tcPr>
            <w:cnfStyle w:val="000010000000"/>
            <w:tcW w:w="3969" w:type="dxa"/>
            <w:vAlign w:val="center"/>
          </w:tcPr>
          <w:p w:rsidR="00026B55" w:rsidRPr="00C16B45" w:rsidRDefault="00026B55" w:rsidP="004D4940">
            <w:pPr>
              <w:pStyle w:val="CodeNotesbody"/>
              <w:widowControl w:val="0"/>
              <w:numPr>
                <w:ilvl w:val="0"/>
                <w:numId w:val="0"/>
              </w:numPr>
              <w:spacing w:before="60" w:after="60" w:line="240" w:lineRule="auto"/>
              <w:rPr>
                <w:rFonts w:cs="Arial"/>
                <w:b/>
                <w:color w:val="auto"/>
                <w:sz w:val="20"/>
                <w:szCs w:val="20"/>
              </w:rPr>
            </w:pPr>
            <w:r w:rsidRPr="00C16B45">
              <w:rPr>
                <w:rFonts w:cs="Arial"/>
                <w:b/>
                <w:color w:val="auto"/>
                <w:sz w:val="20"/>
                <w:szCs w:val="20"/>
              </w:rPr>
              <w:t>Total Cash and Cash Equivalents</w:t>
            </w:r>
          </w:p>
        </w:tc>
        <w:tc>
          <w:tcPr>
            <w:tcW w:w="1984" w:type="dxa"/>
            <w:vAlign w:val="center"/>
          </w:tcPr>
          <w:p w:rsidR="00026B55" w:rsidRPr="00C16B45" w:rsidRDefault="00F914C3" w:rsidP="004D4940">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1.</w:t>
            </w:r>
            <w:r w:rsidR="002A6D79">
              <w:rPr>
                <w:rFonts w:ascii="Arial" w:hAnsi="Arial" w:cs="Arial"/>
                <w:bCs w:val="0"/>
                <w:color w:val="auto"/>
                <w:sz w:val="20"/>
                <w:szCs w:val="20"/>
              </w:rPr>
              <w:t>0</w:t>
            </w:r>
          </w:p>
        </w:tc>
      </w:tr>
      <w:tr w:rsidR="00026B55" w:rsidRPr="00C16B45" w:rsidTr="004D4940">
        <w:trPr>
          <w:cnfStyle w:val="000000100000"/>
        </w:trPr>
        <w:tc>
          <w:tcPr>
            <w:cnfStyle w:val="001000000000"/>
            <w:tcW w:w="1985" w:type="dxa"/>
            <w:vAlign w:val="center"/>
          </w:tcPr>
          <w:p w:rsidR="00026B55" w:rsidRPr="00C16B45" w:rsidRDefault="00026B55" w:rsidP="00026B55">
            <w:pPr>
              <w:pStyle w:val="ExampleSub"/>
              <w:keepNext w:val="0"/>
              <w:keepLines w:val="0"/>
              <w:ind w:left="0"/>
              <w:jc w:val="center"/>
              <w:rPr>
                <w:rFonts w:ascii="Arial" w:hAnsi="Arial" w:cs="Arial"/>
                <w:i/>
                <w:color w:val="auto"/>
                <w:sz w:val="20"/>
                <w:szCs w:val="20"/>
              </w:rPr>
            </w:pPr>
            <w:r w:rsidRPr="00C16B45">
              <w:rPr>
                <w:rFonts w:ascii="Arial" w:hAnsi="Arial" w:cs="Arial"/>
                <w:i/>
                <w:color w:val="auto"/>
                <w:sz w:val="20"/>
                <w:szCs w:val="20"/>
              </w:rPr>
              <w:t>2.5</w:t>
            </w:r>
          </w:p>
        </w:tc>
        <w:tc>
          <w:tcPr>
            <w:cnfStyle w:val="000010000000"/>
            <w:tcW w:w="3969" w:type="dxa"/>
            <w:vAlign w:val="center"/>
          </w:tcPr>
          <w:p w:rsidR="00026B55" w:rsidRPr="00C16B45" w:rsidRDefault="00026B55" w:rsidP="004D4940">
            <w:pPr>
              <w:pStyle w:val="CodeNotesbody"/>
              <w:widowControl w:val="0"/>
              <w:numPr>
                <w:ilvl w:val="0"/>
                <w:numId w:val="0"/>
              </w:numPr>
              <w:spacing w:before="60" w:after="60" w:line="240" w:lineRule="auto"/>
              <w:rPr>
                <w:rFonts w:cs="Arial"/>
                <w:i/>
                <w:color w:val="auto"/>
                <w:sz w:val="20"/>
                <w:szCs w:val="20"/>
              </w:rPr>
            </w:pPr>
            <w:r w:rsidRPr="00C16B45">
              <w:rPr>
                <w:rFonts w:cs="Arial"/>
                <w:i/>
                <w:color w:val="auto"/>
                <w:sz w:val="20"/>
                <w:szCs w:val="20"/>
              </w:rPr>
              <w:t>Current Assets</w:t>
            </w:r>
          </w:p>
        </w:tc>
        <w:tc>
          <w:tcPr>
            <w:tcW w:w="1984" w:type="dxa"/>
            <w:vAlign w:val="center"/>
          </w:tcPr>
          <w:p w:rsidR="00026B55" w:rsidRPr="00C16B45" w:rsidRDefault="002A6D79" w:rsidP="00E455A7">
            <w:pPr>
              <w:pStyle w:val="ExampleSub"/>
              <w:keepNext w:val="0"/>
              <w:keepLines w:val="0"/>
              <w:ind w:left="0"/>
              <w:jc w:val="center"/>
              <w:cnfStyle w:val="000000100000"/>
              <w:rPr>
                <w:rFonts w:ascii="Arial" w:hAnsi="Arial" w:cs="Arial"/>
                <w:bCs w:val="0"/>
                <w:i/>
                <w:color w:val="auto"/>
                <w:sz w:val="20"/>
                <w:szCs w:val="20"/>
              </w:rPr>
            </w:pPr>
            <w:r>
              <w:rPr>
                <w:rFonts w:ascii="Arial" w:hAnsi="Arial" w:cs="Arial"/>
                <w:bCs w:val="0"/>
                <w:i/>
                <w:color w:val="auto"/>
                <w:sz w:val="20"/>
                <w:szCs w:val="20"/>
              </w:rPr>
              <w:t>2.3</w:t>
            </w:r>
          </w:p>
        </w:tc>
      </w:tr>
      <w:tr w:rsidR="00026B55" w:rsidRPr="00C16B45" w:rsidTr="004D4940">
        <w:tc>
          <w:tcPr>
            <w:cnfStyle w:val="001000000000"/>
            <w:tcW w:w="1985" w:type="dxa"/>
            <w:vAlign w:val="center"/>
          </w:tcPr>
          <w:p w:rsidR="00026B55" w:rsidRPr="00C16B45" w:rsidRDefault="00026B55" w:rsidP="00026B55">
            <w:pPr>
              <w:pStyle w:val="ExampleSub"/>
              <w:keepNext w:val="0"/>
              <w:keepLines w:val="0"/>
              <w:ind w:left="0"/>
              <w:jc w:val="center"/>
              <w:rPr>
                <w:rFonts w:ascii="Arial" w:hAnsi="Arial" w:cs="Arial"/>
                <w:i/>
                <w:color w:val="auto"/>
                <w:sz w:val="20"/>
                <w:szCs w:val="20"/>
              </w:rPr>
            </w:pPr>
            <w:r w:rsidRPr="00C16B45">
              <w:rPr>
                <w:rFonts w:ascii="Arial" w:hAnsi="Arial" w:cs="Arial"/>
                <w:i/>
                <w:color w:val="auto"/>
                <w:sz w:val="20"/>
                <w:szCs w:val="20"/>
              </w:rPr>
              <w:t>(1.3)</w:t>
            </w:r>
          </w:p>
        </w:tc>
        <w:tc>
          <w:tcPr>
            <w:cnfStyle w:val="000010000000"/>
            <w:tcW w:w="3969" w:type="dxa"/>
            <w:vAlign w:val="center"/>
          </w:tcPr>
          <w:p w:rsidR="00026B55" w:rsidRPr="00C16B45" w:rsidRDefault="00026B55" w:rsidP="004D4940">
            <w:pPr>
              <w:pStyle w:val="CodeNotesbody"/>
              <w:widowControl w:val="0"/>
              <w:numPr>
                <w:ilvl w:val="0"/>
                <w:numId w:val="0"/>
              </w:numPr>
              <w:spacing w:before="60" w:after="60" w:line="240" w:lineRule="auto"/>
              <w:rPr>
                <w:rFonts w:cs="Arial"/>
                <w:i/>
                <w:color w:val="auto"/>
                <w:sz w:val="20"/>
                <w:szCs w:val="20"/>
              </w:rPr>
            </w:pPr>
            <w:r w:rsidRPr="00C16B45">
              <w:rPr>
                <w:rFonts w:cs="Arial"/>
                <w:i/>
                <w:color w:val="auto"/>
                <w:sz w:val="20"/>
                <w:szCs w:val="20"/>
              </w:rPr>
              <w:t>Current Liabilities</w:t>
            </w:r>
          </w:p>
        </w:tc>
        <w:tc>
          <w:tcPr>
            <w:tcW w:w="1984" w:type="dxa"/>
            <w:vAlign w:val="center"/>
          </w:tcPr>
          <w:p w:rsidR="00026B55" w:rsidRPr="00C16B45" w:rsidRDefault="002A6D79" w:rsidP="00E455A7">
            <w:pPr>
              <w:pStyle w:val="ExampleSub"/>
              <w:keepNext w:val="0"/>
              <w:keepLines w:val="0"/>
              <w:ind w:left="0"/>
              <w:jc w:val="center"/>
              <w:cnfStyle w:val="000000000000"/>
              <w:rPr>
                <w:rFonts w:ascii="Arial" w:hAnsi="Arial" w:cs="Arial"/>
                <w:bCs w:val="0"/>
                <w:i/>
                <w:color w:val="auto"/>
                <w:sz w:val="20"/>
                <w:szCs w:val="20"/>
              </w:rPr>
            </w:pPr>
            <w:r>
              <w:rPr>
                <w:rFonts w:ascii="Arial" w:hAnsi="Arial" w:cs="Arial"/>
                <w:bCs w:val="0"/>
                <w:i/>
                <w:color w:val="auto"/>
                <w:sz w:val="20"/>
                <w:szCs w:val="20"/>
              </w:rPr>
              <w:t>(1.3)</w:t>
            </w:r>
          </w:p>
        </w:tc>
      </w:tr>
      <w:tr w:rsidR="00026B55" w:rsidRPr="00C16B45" w:rsidTr="004D4940">
        <w:trPr>
          <w:cnfStyle w:val="000000100000"/>
        </w:trPr>
        <w:tc>
          <w:tcPr>
            <w:cnfStyle w:val="001000000000"/>
            <w:tcW w:w="1985" w:type="dxa"/>
            <w:vAlign w:val="center"/>
          </w:tcPr>
          <w:p w:rsidR="00026B55" w:rsidRPr="00C16B45" w:rsidRDefault="00026B55" w:rsidP="00026B55">
            <w:pPr>
              <w:pStyle w:val="ExampleSub"/>
              <w:keepNext w:val="0"/>
              <w:keepLines w:val="0"/>
              <w:ind w:left="0"/>
              <w:jc w:val="center"/>
              <w:rPr>
                <w:rFonts w:ascii="Arial" w:hAnsi="Arial" w:cs="Arial"/>
                <w:i/>
                <w:color w:val="auto"/>
                <w:sz w:val="20"/>
                <w:szCs w:val="20"/>
              </w:rPr>
            </w:pPr>
            <w:r w:rsidRPr="00C16B45">
              <w:rPr>
                <w:rFonts w:ascii="Arial" w:hAnsi="Arial" w:cs="Arial"/>
                <w:i/>
                <w:color w:val="auto"/>
                <w:sz w:val="20"/>
                <w:szCs w:val="20"/>
              </w:rPr>
              <w:t>1.2</w:t>
            </w:r>
          </w:p>
        </w:tc>
        <w:tc>
          <w:tcPr>
            <w:cnfStyle w:val="000010000000"/>
            <w:tcW w:w="3969" w:type="dxa"/>
            <w:vAlign w:val="center"/>
          </w:tcPr>
          <w:p w:rsidR="00026B55" w:rsidRPr="00C16B45" w:rsidRDefault="00026B55" w:rsidP="004D4940">
            <w:pPr>
              <w:pStyle w:val="CodeNotesbody"/>
              <w:widowControl w:val="0"/>
              <w:numPr>
                <w:ilvl w:val="0"/>
                <w:numId w:val="0"/>
              </w:numPr>
              <w:spacing w:before="60" w:after="60" w:line="240" w:lineRule="auto"/>
              <w:rPr>
                <w:rFonts w:cs="Arial"/>
                <w:b/>
                <w:i/>
                <w:color w:val="auto"/>
                <w:sz w:val="20"/>
                <w:szCs w:val="20"/>
              </w:rPr>
            </w:pPr>
            <w:r w:rsidRPr="00C16B45">
              <w:rPr>
                <w:rFonts w:cs="Arial"/>
                <w:b/>
                <w:i/>
                <w:color w:val="auto"/>
                <w:sz w:val="20"/>
                <w:szCs w:val="20"/>
              </w:rPr>
              <w:t>Total Cash and Cash Equivalents</w:t>
            </w:r>
          </w:p>
        </w:tc>
        <w:tc>
          <w:tcPr>
            <w:tcW w:w="1984" w:type="dxa"/>
            <w:vAlign w:val="center"/>
          </w:tcPr>
          <w:p w:rsidR="00026B55" w:rsidRPr="00C16B45" w:rsidRDefault="00F914C3" w:rsidP="004D4940">
            <w:pPr>
              <w:pStyle w:val="ExampleSub"/>
              <w:keepNext w:val="0"/>
              <w:keepLines w:val="0"/>
              <w:ind w:left="0"/>
              <w:jc w:val="center"/>
              <w:cnfStyle w:val="000000100000"/>
              <w:rPr>
                <w:rFonts w:ascii="Arial" w:hAnsi="Arial" w:cs="Arial"/>
                <w:bCs w:val="0"/>
                <w:i/>
                <w:color w:val="auto"/>
                <w:sz w:val="20"/>
                <w:szCs w:val="20"/>
              </w:rPr>
            </w:pPr>
            <w:r>
              <w:rPr>
                <w:rFonts w:ascii="Arial" w:hAnsi="Arial" w:cs="Arial"/>
                <w:bCs w:val="0"/>
                <w:i/>
                <w:color w:val="auto"/>
                <w:sz w:val="20"/>
                <w:szCs w:val="20"/>
              </w:rPr>
              <w:t>1.</w:t>
            </w:r>
            <w:r w:rsidR="002A6D79">
              <w:rPr>
                <w:rFonts w:ascii="Arial" w:hAnsi="Arial" w:cs="Arial"/>
                <w:bCs w:val="0"/>
                <w:i/>
                <w:color w:val="auto"/>
                <w:sz w:val="20"/>
                <w:szCs w:val="20"/>
              </w:rPr>
              <w:t>0</w:t>
            </w:r>
          </w:p>
        </w:tc>
      </w:tr>
    </w:tbl>
    <w:p w:rsidR="00D25D2C" w:rsidRPr="00C16B45" w:rsidRDefault="00D25D2C" w:rsidP="003C5E34">
      <w:pPr>
        <w:widowControl w:val="0"/>
        <w:rPr>
          <w:rFonts w:cs="Arial"/>
          <w:color w:val="auto"/>
          <w:sz w:val="20"/>
          <w:szCs w:val="20"/>
        </w:rPr>
      </w:pPr>
    </w:p>
    <w:p w:rsidR="00E51139" w:rsidRPr="00C16B45" w:rsidRDefault="006D3DC4" w:rsidP="00E957E1">
      <w:pPr>
        <w:pStyle w:val="Subtitle"/>
        <w:ind w:left="567" w:hanging="567"/>
        <w:rPr>
          <w:b/>
          <w:color w:val="auto"/>
          <w:sz w:val="22"/>
          <w:szCs w:val="22"/>
        </w:rPr>
      </w:pPr>
      <w:r w:rsidRPr="00C16B45">
        <w:rPr>
          <w:b/>
          <w:color w:val="auto"/>
          <w:sz w:val="22"/>
          <w:szCs w:val="22"/>
        </w:rPr>
        <w:t>18</w:t>
      </w:r>
      <w:r w:rsidR="00E957E1" w:rsidRPr="00C16B45">
        <w:rPr>
          <w:b/>
          <w:color w:val="auto"/>
          <w:sz w:val="22"/>
          <w:szCs w:val="22"/>
        </w:rPr>
        <w:t>.</w:t>
      </w:r>
      <w:r w:rsidR="00E51139" w:rsidRPr="00C16B45">
        <w:rPr>
          <w:b/>
          <w:color w:val="auto"/>
          <w:sz w:val="22"/>
          <w:szCs w:val="22"/>
        </w:rPr>
        <w:tab/>
        <w:t>Creditors</w:t>
      </w:r>
    </w:p>
    <w:p w:rsidR="00E957E1" w:rsidRPr="00C16B45" w:rsidRDefault="00E51139" w:rsidP="00E957E1">
      <w:pPr>
        <w:pStyle w:val="ExampleSub"/>
        <w:keepNext w:val="0"/>
        <w:keepLines w:val="0"/>
        <w:spacing w:line="240" w:lineRule="auto"/>
        <w:rPr>
          <w:rFonts w:ascii="Arial" w:hAnsi="Arial" w:cs="Arial"/>
          <w:b w:val="0"/>
          <w:bCs w:val="0"/>
          <w:color w:val="auto"/>
          <w:sz w:val="20"/>
          <w:szCs w:val="20"/>
        </w:rPr>
      </w:pPr>
      <w:r w:rsidRPr="00C16B45">
        <w:rPr>
          <w:rFonts w:ascii="Arial" w:hAnsi="Arial" w:cs="Arial"/>
          <w:b w:val="0"/>
          <w:bCs w:val="0"/>
          <w:color w:val="auto"/>
          <w:sz w:val="20"/>
          <w:szCs w:val="20"/>
        </w:rPr>
        <w:t>Represents monies owed by the Council</w:t>
      </w:r>
    </w:p>
    <w:p w:rsidR="00F95FF9" w:rsidRPr="00D42E0B" w:rsidRDefault="00F95FF9" w:rsidP="00E957E1">
      <w:pPr>
        <w:pStyle w:val="ExampleSub"/>
        <w:keepNext w:val="0"/>
        <w:keepLines w:val="0"/>
        <w:spacing w:line="240" w:lineRule="auto"/>
        <w:rPr>
          <w:rFonts w:ascii="Arial" w:hAnsi="Arial" w:cs="Arial"/>
          <w:b w:val="0"/>
          <w:bCs w:val="0"/>
          <w:color w:val="548DD4" w:themeColor="text2" w:themeTint="99"/>
          <w:sz w:val="20"/>
          <w:szCs w:val="20"/>
        </w:rPr>
      </w:pPr>
    </w:p>
    <w:p w:rsidR="00E51139" w:rsidRPr="00C16B45" w:rsidRDefault="00E51139" w:rsidP="00954FA1">
      <w:pPr>
        <w:spacing w:line="240" w:lineRule="auto"/>
        <w:ind w:left="567"/>
        <w:rPr>
          <w:rFonts w:cs="Arial"/>
          <w:b/>
          <w:bCs/>
          <w:color w:val="auto"/>
          <w:sz w:val="20"/>
          <w:szCs w:val="20"/>
        </w:rPr>
      </w:pPr>
      <w:r w:rsidRPr="00C16B45">
        <w:rPr>
          <w:rFonts w:cs="Arial"/>
          <w:b/>
          <w:bCs/>
          <w:color w:val="auto"/>
          <w:sz w:val="20"/>
          <w:szCs w:val="20"/>
        </w:rPr>
        <w:t xml:space="preserve">Current Creditors (due within one year including revenue receipts in advance) </w:t>
      </w:r>
    </w:p>
    <w:tbl>
      <w:tblPr>
        <w:tblStyle w:val="ListTable3-Accent51"/>
        <w:tblW w:w="7938" w:type="dxa"/>
        <w:tblInd w:w="675" w:type="dxa"/>
        <w:tblLayout w:type="fixed"/>
        <w:tblLook w:val="0000"/>
      </w:tblPr>
      <w:tblGrid>
        <w:gridCol w:w="1985"/>
        <w:gridCol w:w="3969"/>
        <w:gridCol w:w="1984"/>
      </w:tblGrid>
      <w:tr w:rsidR="00E51139" w:rsidRPr="00026B55" w:rsidTr="00E957E1">
        <w:trPr>
          <w:cnfStyle w:val="000000100000"/>
          <w:trHeight w:val="60"/>
        </w:trPr>
        <w:tc>
          <w:tcPr>
            <w:cnfStyle w:val="000010000000"/>
            <w:tcW w:w="1985" w:type="dxa"/>
            <w:shd w:val="clear" w:color="auto" w:fill="4BACC6" w:themeFill="accent5"/>
          </w:tcPr>
          <w:p w:rsidR="00E51139" w:rsidRPr="00026B55" w:rsidRDefault="00E51139" w:rsidP="00EB757A">
            <w:pPr>
              <w:pStyle w:val="TableRightBold"/>
              <w:ind w:right="142"/>
              <w:jc w:val="center"/>
              <w:rPr>
                <w:rStyle w:val="Bold"/>
                <w:rFonts w:ascii="Arial" w:hAnsi="Arial" w:cs="Arial"/>
                <w:b/>
                <w:bCs w:val="0"/>
                <w:color w:val="auto"/>
              </w:rPr>
            </w:pPr>
            <w:r w:rsidRPr="00026B55">
              <w:rPr>
                <w:rStyle w:val="Bold"/>
                <w:rFonts w:ascii="Arial" w:hAnsi="Arial" w:cs="Arial"/>
                <w:b/>
                <w:bCs w:val="0"/>
                <w:color w:val="auto"/>
              </w:rPr>
              <w:t>31 March 201</w:t>
            </w:r>
            <w:r w:rsidR="00026B55" w:rsidRPr="00026B55">
              <w:rPr>
                <w:rStyle w:val="Bold"/>
                <w:rFonts w:ascii="Arial" w:hAnsi="Arial" w:cs="Arial"/>
                <w:b/>
                <w:bCs w:val="0"/>
                <w:color w:val="auto"/>
              </w:rPr>
              <w:t>5</w:t>
            </w:r>
          </w:p>
          <w:p w:rsidR="000111A6" w:rsidRPr="00026B55" w:rsidRDefault="00E51139" w:rsidP="00E957E1">
            <w:pPr>
              <w:pStyle w:val="TableRightBold"/>
              <w:ind w:right="142"/>
              <w:jc w:val="center"/>
              <w:rPr>
                <w:rStyle w:val="Bold"/>
                <w:rFonts w:ascii="Arial" w:hAnsi="Arial" w:cs="Arial"/>
                <w:b/>
                <w:bCs w:val="0"/>
                <w:color w:val="auto"/>
              </w:rPr>
            </w:pPr>
            <w:r w:rsidRPr="00026B55">
              <w:rPr>
                <w:rStyle w:val="Bold"/>
                <w:rFonts w:ascii="Arial" w:hAnsi="Arial" w:cs="Arial"/>
                <w:b/>
                <w:bCs w:val="0"/>
                <w:color w:val="auto"/>
              </w:rPr>
              <w:t>£m</w:t>
            </w:r>
          </w:p>
        </w:tc>
        <w:tc>
          <w:tcPr>
            <w:tcW w:w="3969" w:type="dxa"/>
            <w:shd w:val="clear" w:color="auto" w:fill="4BACC6" w:themeFill="accent5"/>
          </w:tcPr>
          <w:p w:rsidR="00E51139" w:rsidRPr="00026B55" w:rsidRDefault="00E51139" w:rsidP="00EB757A">
            <w:pPr>
              <w:pStyle w:val="TableText"/>
              <w:jc w:val="center"/>
              <w:cnfStyle w:val="000000100000"/>
              <w:rPr>
                <w:rFonts w:ascii="Arial" w:hAnsi="Arial" w:cs="Arial"/>
                <w:color w:val="auto"/>
              </w:rPr>
            </w:pPr>
          </w:p>
        </w:tc>
        <w:tc>
          <w:tcPr>
            <w:cnfStyle w:val="000010000000"/>
            <w:tcW w:w="1984" w:type="dxa"/>
            <w:shd w:val="clear" w:color="auto" w:fill="4BACC6" w:themeFill="accent5"/>
          </w:tcPr>
          <w:p w:rsidR="00E51139" w:rsidRPr="00026B55" w:rsidRDefault="00E51139" w:rsidP="00EB757A">
            <w:pPr>
              <w:pStyle w:val="TableRightBold"/>
              <w:ind w:right="142"/>
              <w:jc w:val="center"/>
              <w:rPr>
                <w:rStyle w:val="Bold"/>
                <w:rFonts w:ascii="Arial" w:hAnsi="Arial" w:cs="Arial"/>
                <w:b/>
                <w:bCs w:val="0"/>
                <w:color w:val="auto"/>
              </w:rPr>
            </w:pPr>
            <w:r w:rsidRPr="00026B55">
              <w:rPr>
                <w:rStyle w:val="Bold"/>
                <w:rFonts w:ascii="Arial" w:hAnsi="Arial" w:cs="Arial"/>
                <w:b/>
                <w:bCs w:val="0"/>
                <w:color w:val="auto"/>
              </w:rPr>
              <w:t>31 March 201</w:t>
            </w:r>
            <w:r w:rsidR="00026B55" w:rsidRPr="00026B55">
              <w:rPr>
                <w:rStyle w:val="Bold"/>
                <w:rFonts w:ascii="Arial" w:hAnsi="Arial" w:cs="Arial"/>
                <w:b/>
                <w:bCs w:val="0"/>
                <w:color w:val="auto"/>
              </w:rPr>
              <w:t>6</w:t>
            </w:r>
          </w:p>
          <w:p w:rsidR="00E51139" w:rsidRPr="00026B55" w:rsidRDefault="00E51139" w:rsidP="00EB757A">
            <w:pPr>
              <w:pStyle w:val="TableRightBold"/>
              <w:ind w:right="142"/>
              <w:jc w:val="center"/>
              <w:rPr>
                <w:rStyle w:val="Bold"/>
                <w:rFonts w:ascii="Arial" w:hAnsi="Arial" w:cs="Arial"/>
                <w:color w:val="auto"/>
              </w:rPr>
            </w:pPr>
            <w:r w:rsidRPr="00026B55">
              <w:rPr>
                <w:rStyle w:val="Bold"/>
                <w:rFonts w:ascii="Arial" w:hAnsi="Arial" w:cs="Arial"/>
                <w:b/>
                <w:bCs w:val="0"/>
                <w:color w:val="auto"/>
              </w:rPr>
              <w:t>£m</w:t>
            </w:r>
          </w:p>
        </w:tc>
      </w:tr>
      <w:tr w:rsidR="00026B55" w:rsidRPr="00026B55" w:rsidTr="00E957E1">
        <w:trPr>
          <w:trHeight w:val="60"/>
        </w:trPr>
        <w:tc>
          <w:tcPr>
            <w:cnfStyle w:val="000010000000"/>
            <w:tcW w:w="1985" w:type="dxa"/>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4.5</w:t>
            </w:r>
          </w:p>
        </w:tc>
        <w:tc>
          <w:tcPr>
            <w:tcW w:w="3969" w:type="dxa"/>
          </w:tcPr>
          <w:p w:rsidR="00026B55" w:rsidRPr="00026B55" w:rsidRDefault="00026B55" w:rsidP="00EB757A">
            <w:pPr>
              <w:pStyle w:val="TableText"/>
              <w:ind w:left="66"/>
              <w:cnfStyle w:val="000000000000"/>
              <w:rPr>
                <w:rFonts w:ascii="Arial" w:hAnsi="Arial" w:cs="Arial"/>
                <w:color w:val="auto"/>
              </w:rPr>
            </w:pPr>
            <w:r w:rsidRPr="00026B55">
              <w:rPr>
                <w:rFonts w:ascii="Arial" w:hAnsi="Arial" w:cs="Arial"/>
                <w:color w:val="auto"/>
              </w:rPr>
              <w:t>Central government bodies (WGA)</w:t>
            </w:r>
          </w:p>
        </w:tc>
        <w:tc>
          <w:tcPr>
            <w:cnfStyle w:val="000010000000"/>
            <w:tcW w:w="1984" w:type="dxa"/>
          </w:tcPr>
          <w:p w:rsidR="00026B55" w:rsidRPr="00026B55" w:rsidRDefault="00EC0C0E" w:rsidP="00E73E6F">
            <w:pPr>
              <w:pStyle w:val="TableRightBold"/>
              <w:ind w:right="142"/>
              <w:jc w:val="center"/>
              <w:rPr>
                <w:rStyle w:val="Bold"/>
                <w:rFonts w:ascii="Arial" w:hAnsi="Arial" w:cs="Arial"/>
                <w:b/>
                <w:color w:val="auto"/>
              </w:rPr>
            </w:pPr>
            <w:r>
              <w:rPr>
                <w:rStyle w:val="Bold"/>
                <w:rFonts w:ascii="Arial" w:hAnsi="Arial" w:cs="Arial"/>
                <w:b/>
                <w:color w:val="auto"/>
              </w:rPr>
              <w:t>4.9</w:t>
            </w:r>
          </w:p>
        </w:tc>
      </w:tr>
      <w:tr w:rsidR="00026B55" w:rsidRPr="00026B55" w:rsidTr="00E957E1">
        <w:trPr>
          <w:cnfStyle w:val="000000100000"/>
          <w:trHeight w:val="60"/>
        </w:trPr>
        <w:tc>
          <w:tcPr>
            <w:cnfStyle w:val="000010000000"/>
            <w:tcW w:w="1985" w:type="dxa"/>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4.5</w:t>
            </w:r>
          </w:p>
        </w:tc>
        <w:tc>
          <w:tcPr>
            <w:tcW w:w="3969" w:type="dxa"/>
          </w:tcPr>
          <w:p w:rsidR="00026B55" w:rsidRPr="00026B55" w:rsidRDefault="00026B55" w:rsidP="00EB757A">
            <w:pPr>
              <w:pStyle w:val="TableText"/>
              <w:ind w:left="66"/>
              <w:cnfStyle w:val="000000100000"/>
              <w:rPr>
                <w:rFonts w:ascii="Arial" w:hAnsi="Arial" w:cs="Arial"/>
                <w:color w:val="auto"/>
              </w:rPr>
            </w:pPr>
            <w:r w:rsidRPr="00026B55">
              <w:rPr>
                <w:rFonts w:ascii="Arial" w:hAnsi="Arial" w:cs="Arial"/>
                <w:color w:val="auto"/>
              </w:rPr>
              <w:t>Other local authorities and public bodies</w:t>
            </w:r>
          </w:p>
        </w:tc>
        <w:tc>
          <w:tcPr>
            <w:cnfStyle w:val="000010000000"/>
            <w:tcW w:w="1984" w:type="dxa"/>
          </w:tcPr>
          <w:p w:rsidR="00026B55" w:rsidRPr="00026B55" w:rsidRDefault="00EC0C0E" w:rsidP="00E87E7B">
            <w:pPr>
              <w:pStyle w:val="TableRightBold"/>
              <w:ind w:right="142"/>
              <w:jc w:val="center"/>
              <w:rPr>
                <w:rStyle w:val="Bold"/>
                <w:rFonts w:ascii="Arial" w:hAnsi="Arial" w:cs="Arial"/>
                <w:b/>
                <w:color w:val="auto"/>
              </w:rPr>
            </w:pPr>
            <w:r>
              <w:rPr>
                <w:rStyle w:val="Bold"/>
                <w:rFonts w:ascii="Arial" w:hAnsi="Arial" w:cs="Arial"/>
                <w:b/>
                <w:color w:val="auto"/>
              </w:rPr>
              <w:t>3.3</w:t>
            </w:r>
          </w:p>
        </w:tc>
      </w:tr>
      <w:tr w:rsidR="00026B55" w:rsidRPr="00026B55" w:rsidTr="00E957E1">
        <w:trPr>
          <w:trHeight w:val="60"/>
        </w:trPr>
        <w:tc>
          <w:tcPr>
            <w:cnfStyle w:val="000010000000"/>
            <w:tcW w:w="1985" w:type="dxa"/>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1.2</w:t>
            </w:r>
          </w:p>
        </w:tc>
        <w:tc>
          <w:tcPr>
            <w:tcW w:w="3969" w:type="dxa"/>
          </w:tcPr>
          <w:p w:rsidR="00026B55" w:rsidRPr="00026B55" w:rsidRDefault="00026B55" w:rsidP="00EB757A">
            <w:pPr>
              <w:pStyle w:val="TableText"/>
              <w:ind w:left="66"/>
              <w:cnfStyle w:val="000000000000"/>
              <w:rPr>
                <w:rFonts w:ascii="Arial" w:hAnsi="Arial" w:cs="Arial"/>
                <w:color w:val="auto"/>
              </w:rPr>
            </w:pPr>
            <w:r w:rsidRPr="00026B55">
              <w:rPr>
                <w:rFonts w:ascii="Arial" w:hAnsi="Arial" w:cs="Arial"/>
                <w:color w:val="auto"/>
              </w:rPr>
              <w:t>NHS bodies</w:t>
            </w:r>
          </w:p>
        </w:tc>
        <w:tc>
          <w:tcPr>
            <w:cnfStyle w:val="000010000000"/>
            <w:tcW w:w="1984" w:type="dxa"/>
          </w:tcPr>
          <w:p w:rsidR="00026B55" w:rsidRPr="00026B55" w:rsidRDefault="00EC0C0E" w:rsidP="00E87E7B">
            <w:pPr>
              <w:pStyle w:val="TableRightBold"/>
              <w:ind w:right="142"/>
              <w:jc w:val="center"/>
              <w:rPr>
                <w:rStyle w:val="Bold"/>
                <w:rFonts w:ascii="Arial" w:hAnsi="Arial" w:cs="Arial"/>
                <w:b/>
                <w:color w:val="auto"/>
              </w:rPr>
            </w:pPr>
            <w:r>
              <w:rPr>
                <w:rStyle w:val="Bold"/>
                <w:rFonts w:ascii="Arial" w:hAnsi="Arial" w:cs="Arial"/>
                <w:b/>
                <w:color w:val="auto"/>
              </w:rPr>
              <w:t>1.5</w:t>
            </w:r>
          </w:p>
        </w:tc>
      </w:tr>
      <w:tr w:rsidR="00026B55" w:rsidRPr="00026B55" w:rsidTr="00E957E1">
        <w:trPr>
          <w:cnfStyle w:val="000000100000"/>
          <w:trHeight w:val="60"/>
        </w:trPr>
        <w:tc>
          <w:tcPr>
            <w:cnfStyle w:val="000010000000"/>
            <w:tcW w:w="1985" w:type="dxa"/>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15.2</w:t>
            </w:r>
          </w:p>
        </w:tc>
        <w:tc>
          <w:tcPr>
            <w:tcW w:w="3969" w:type="dxa"/>
          </w:tcPr>
          <w:p w:rsidR="00026B55" w:rsidRPr="00026B55" w:rsidRDefault="00026B55" w:rsidP="00EB757A">
            <w:pPr>
              <w:pStyle w:val="TableText"/>
              <w:ind w:left="66"/>
              <w:cnfStyle w:val="000000100000"/>
              <w:rPr>
                <w:rFonts w:ascii="Arial" w:hAnsi="Arial" w:cs="Arial"/>
                <w:color w:val="auto"/>
              </w:rPr>
            </w:pPr>
            <w:r w:rsidRPr="00026B55">
              <w:rPr>
                <w:rFonts w:ascii="Arial" w:hAnsi="Arial" w:cs="Arial"/>
                <w:color w:val="auto"/>
              </w:rPr>
              <w:t>Other entities and individuals</w:t>
            </w:r>
          </w:p>
        </w:tc>
        <w:tc>
          <w:tcPr>
            <w:cnfStyle w:val="000010000000"/>
            <w:tcW w:w="1984" w:type="dxa"/>
          </w:tcPr>
          <w:p w:rsidR="00026B55" w:rsidRPr="00026B55" w:rsidRDefault="0031498C" w:rsidP="00414207">
            <w:pPr>
              <w:pStyle w:val="TableRightBold"/>
              <w:ind w:right="142"/>
              <w:jc w:val="center"/>
              <w:rPr>
                <w:rStyle w:val="Bold"/>
                <w:rFonts w:ascii="Arial" w:hAnsi="Arial" w:cs="Arial"/>
                <w:b/>
                <w:color w:val="auto"/>
              </w:rPr>
            </w:pPr>
            <w:r>
              <w:rPr>
                <w:rStyle w:val="Bold"/>
                <w:rFonts w:ascii="Arial" w:hAnsi="Arial" w:cs="Arial"/>
                <w:b/>
                <w:color w:val="auto"/>
              </w:rPr>
              <w:t>14.7</w:t>
            </w:r>
          </w:p>
        </w:tc>
      </w:tr>
      <w:tr w:rsidR="00026B55" w:rsidRPr="00026B55" w:rsidTr="00E957E1">
        <w:trPr>
          <w:trHeight w:val="60"/>
        </w:trPr>
        <w:tc>
          <w:tcPr>
            <w:cnfStyle w:val="000010000000"/>
            <w:tcW w:w="1985" w:type="dxa"/>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25.4</w:t>
            </w:r>
          </w:p>
        </w:tc>
        <w:tc>
          <w:tcPr>
            <w:tcW w:w="3969" w:type="dxa"/>
          </w:tcPr>
          <w:p w:rsidR="00026B55" w:rsidRPr="00026B55" w:rsidRDefault="00026B55" w:rsidP="00EB757A">
            <w:pPr>
              <w:pStyle w:val="TableText"/>
              <w:ind w:left="66"/>
              <w:cnfStyle w:val="000000000000"/>
              <w:rPr>
                <w:rFonts w:ascii="Arial" w:hAnsi="Arial" w:cs="Arial"/>
                <w:b/>
                <w:color w:val="auto"/>
              </w:rPr>
            </w:pPr>
            <w:r w:rsidRPr="00026B55">
              <w:rPr>
                <w:rFonts w:ascii="Arial" w:hAnsi="Arial" w:cs="Arial"/>
                <w:b/>
                <w:color w:val="auto"/>
              </w:rPr>
              <w:t>Total</w:t>
            </w:r>
          </w:p>
        </w:tc>
        <w:tc>
          <w:tcPr>
            <w:cnfStyle w:val="000010000000"/>
            <w:tcW w:w="1984" w:type="dxa"/>
          </w:tcPr>
          <w:p w:rsidR="00026B55" w:rsidRPr="00026B55" w:rsidRDefault="00EC0C0E" w:rsidP="0031498C">
            <w:pPr>
              <w:pStyle w:val="TableRightBold"/>
              <w:ind w:right="142"/>
              <w:jc w:val="center"/>
              <w:rPr>
                <w:rStyle w:val="Bold"/>
                <w:rFonts w:ascii="Arial" w:hAnsi="Arial" w:cs="Arial"/>
                <w:b/>
                <w:color w:val="auto"/>
              </w:rPr>
            </w:pPr>
            <w:r>
              <w:rPr>
                <w:rStyle w:val="Bold"/>
                <w:rFonts w:ascii="Arial" w:hAnsi="Arial" w:cs="Arial"/>
                <w:b/>
                <w:color w:val="auto"/>
              </w:rPr>
              <w:t>24.</w:t>
            </w:r>
            <w:r w:rsidR="0031498C">
              <w:rPr>
                <w:rStyle w:val="Bold"/>
                <w:rFonts w:ascii="Arial" w:hAnsi="Arial" w:cs="Arial"/>
                <w:b/>
                <w:color w:val="auto"/>
              </w:rPr>
              <w:t>4</w:t>
            </w:r>
          </w:p>
        </w:tc>
      </w:tr>
    </w:tbl>
    <w:p w:rsidR="00E51139" w:rsidRPr="00D42E0B" w:rsidRDefault="00E51139" w:rsidP="00EF6E00">
      <w:pPr>
        <w:pStyle w:val="CodeNotesExampleText"/>
        <w:widowControl w:val="0"/>
        <w:ind w:left="567"/>
        <w:rPr>
          <w:rFonts w:cs="Arial"/>
          <w:color w:val="548DD4" w:themeColor="text2" w:themeTint="99"/>
          <w:sz w:val="20"/>
          <w:szCs w:val="20"/>
        </w:rPr>
      </w:pPr>
    </w:p>
    <w:p w:rsidR="00E51139" w:rsidRPr="00C16B45" w:rsidRDefault="006D3DC4" w:rsidP="00E957E1">
      <w:pPr>
        <w:pStyle w:val="Subtitle"/>
        <w:ind w:left="567" w:hanging="567"/>
        <w:rPr>
          <w:b/>
          <w:color w:val="auto"/>
          <w:sz w:val="22"/>
          <w:szCs w:val="22"/>
        </w:rPr>
      </w:pPr>
      <w:r w:rsidRPr="00C16B45">
        <w:rPr>
          <w:b/>
          <w:color w:val="auto"/>
          <w:sz w:val="22"/>
          <w:szCs w:val="22"/>
        </w:rPr>
        <w:t>19</w:t>
      </w:r>
      <w:r w:rsidR="00E51139" w:rsidRPr="00C16B45">
        <w:rPr>
          <w:b/>
          <w:color w:val="auto"/>
          <w:sz w:val="22"/>
          <w:szCs w:val="22"/>
        </w:rPr>
        <w:t>.</w:t>
      </w:r>
      <w:r w:rsidR="00E51139" w:rsidRPr="00C16B45">
        <w:rPr>
          <w:b/>
          <w:color w:val="auto"/>
          <w:sz w:val="22"/>
          <w:szCs w:val="22"/>
        </w:rPr>
        <w:tab/>
        <w:t>Provisions</w:t>
      </w:r>
    </w:p>
    <w:p w:rsidR="00E957E1" w:rsidRDefault="00E51139" w:rsidP="00E957E1">
      <w:pPr>
        <w:pStyle w:val="ExampleSub"/>
        <w:keepNext w:val="0"/>
        <w:keepLines w:val="0"/>
        <w:outlineLvl w:val="0"/>
        <w:rPr>
          <w:rFonts w:ascii="Arial" w:hAnsi="Arial" w:cs="Arial"/>
          <w:b w:val="0"/>
          <w:bCs w:val="0"/>
          <w:color w:val="auto"/>
          <w:sz w:val="20"/>
          <w:szCs w:val="20"/>
        </w:rPr>
      </w:pPr>
      <w:r w:rsidRPr="00C16B45">
        <w:rPr>
          <w:rFonts w:ascii="Arial" w:hAnsi="Arial" w:cs="Arial"/>
          <w:b w:val="0"/>
          <w:bCs w:val="0"/>
          <w:color w:val="auto"/>
          <w:sz w:val="20"/>
          <w:szCs w:val="20"/>
        </w:rPr>
        <w:t xml:space="preserve">Represents monies potentially owed by the Council but the timing and value of the payment is uncertain. </w:t>
      </w:r>
    </w:p>
    <w:p w:rsidR="00AB5B67" w:rsidRPr="00C16B45" w:rsidRDefault="00AB5B67" w:rsidP="00E957E1">
      <w:pPr>
        <w:pStyle w:val="ExampleSub"/>
        <w:keepNext w:val="0"/>
        <w:keepLines w:val="0"/>
        <w:outlineLvl w:val="0"/>
        <w:rPr>
          <w:rFonts w:ascii="Arial" w:hAnsi="Arial" w:cs="Arial"/>
          <w:b w:val="0"/>
          <w:bCs w:val="0"/>
          <w:color w:val="auto"/>
          <w:sz w:val="20"/>
          <w:szCs w:val="20"/>
        </w:rPr>
      </w:pPr>
    </w:p>
    <w:tbl>
      <w:tblPr>
        <w:tblStyle w:val="ListTable3-Accent51"/>
        <w:tblpPr w:leftFromText="180" w:rightFromText="180" w:vertAnchor="text" w:horzAnchor="page" w:tblpX="2039" w:tblpY="342"/>
        <w:tblW w:w="9086" w:type="dxa"/>
        <w:tblLayout w:type="fixed"/>
        <w:tblLook w:val="0000"/>
      </w:tblPr>
      <w:tblGrid>
        <w:gridCol w:w="2366"/>
        <w:gridCol w:w="1348"/>
        <w:gridCol w:w="1276"/>
        <w:gridCol w:w="1639"/>
        <w:gridCol w:w="1417"/>
        <w:gridCol w:w="1040"/>
      </w:tblGrid>
      <w:tr w:rsidR="00A03B34" w:rsidRPr="00026B55" w:rsidTr="009558D0">
        <w:trPr>
          <w:trHeight w:val="60"/>
          <w:tblHeader/>
        </w:trPr>
        <w:tc>
          <w:tcPr>
            <w:cnfStyle w:val="000010000000"/>
            <w:tcW w:w="2366" w:type="dxa"/>
            <w:shd w:val="clear" w:color="auto" w:fill="4BACC6" w:themeFill="accent5"/>
          </w:tcPr>
          <w:p w:rsidR="00A03B34" w:rsidRPr="00026B55" w:rsidRDefault="00A03B34" w:rsidP="00954FA1">
            <w:pPr>
              <w:pStyle w:val="TableText"/>
              <w:jc w:val="center"/>
              <w:rPr>
                <w:rFonts w:ascii="Arial" w:hAnsi="Arial" w:cs="Arial"/>
                <w:color w:val="auto"/>
              </w:rPr>
            </w:pPr>
          </w:p>
        </w:tc>
        <w:tc>
          <w:tcPr>
            <w:tcW w:w="1348" w:type="dxa"/>
            <w:shd w:val="clear" w:color="auto" w:fill="4BACC6" w:themeFill="accent5"/>
          </w:tcPr>
          <w:p w:rsidR="00A03B34" w:rsidRPr="00026B55" w:rsidRDefault="00A03B34" w:rsidP="00954FA1">
            <w:pPr>
              <w:pStyle w:val="TableRightBold"/>
              <w:ind w:right="142"/>
              <w:jc w:val="center"/>
              <w:cnfStyle w:val="000000000000"/>
              <w:rPr>
                <w:rStyle w:val="Bold"/>
                <w:rFonts w:ascii="Arial" w:hAnsi="Arial" w:cs="Arial"/>
                <w:b/>
                <w:bCs w:val="0"/>
                <w:color w:val="auto"/>
              </w:rPr>
            </w:pPr>
            <w:r w:rsidRPr="00026B55">
              <w:rPr>
                <w:rStyle w:val="Bold"/>
                <w:rFonts w:ascii="Arial" w:hAnsi="Arial" w:cs="Arial"/>
                <w:b/>
                <w:bCs w:val="0"/>
                <w:color w:val="auto"/>
              </w:rPr>
              <w:t>Insurance</w:t>
            </w:r>
          </w:p>
          <w:p w:rsidR="00A03B34" w:rsidRPr="00026B55" w:rsidRDefault="00A03B34" w:rsidP="00954FA1">
            <w:pPr>
              <w:pStyle w:val="TableRightBold"/>
              <w:ind w:left="0" w:right="142"/>
              <w:jc w:val="left"/>
              <w:cnfStyle w:val="000000000000"/>
              <w:rPr>
                <w:rStyle w:val="Bold"/>
                <w:rFonts w:ascii="Arial" w:hAnsi="Arial" w:cs="Arial"/>
                <w:color w:val="auto"/>
                <w:lang w:val="en-GB"/>
              </w:rPr>
            </w:pPr>
          </w:p>
        </w:tc>
        <w:tc>
          <w:tcPr>
            <w:cnfStyle w:val="000010000000"/>
            <w:tcW w:w="1276" w:type="dxa"/>
            <w:shd w:val="clear" w:color="auto" w:fill="4BACC6" w:themeFill="accent5"/>
          </w:tcPr>
          <w:p w:rsidR="00A03B34" w:rsidRPr="00026B55" w:rsidRDefault="00A03B34" w:rsidP="00954FA1">
            <w:pPr>
              <w:pStyle w:val="TableRightBold"/>
              <w:ind w:right="142"/>
              <w:jc w:val="center"/>
              <w:rPr>
                <w:rStyle w:val="Bold"/>
                <w:rFonts w:ascii="Arial" w:hAnsi="Arial" w:cs="Arial"/>
                <w:b/>
                <w:bCs w:val="0"/>
                <w:color w:val="auto"/>
              </w:rPr>
            </w:pPr>
            <w:r w:rsidRPr="00026B55">
              <w:rPr>
                <w:rStyle w:val="Bold"/>
                <w:rFonts w:ascii="Arial" w:hAnsi="Arial" w:cs="Arial"/>
                <w:b/>
                <w:bCs w:val="0"/>
                <w:color w:val="auto"/>
              </w:rPr>
              <w:t>NNDR Appeals</w:t>
            </w:r>
          </w:p>
        </w:tc>
        <w:tc>
          <w:tcPr>
            <w:tcW w:w="1639" w:type="dxa"/>
            <w:shd w:val="clear" w:color="auto" w:fill="4BACC6" w:themeFill="accent5"/>
          </w:tcPr>
          <w:p w:rsidR="00A03B34" w:rsidRPr="00026B55" w:rsidRDefault="00A03B34" w:rsidP="00C378C2">
            <w:pPr>
              <w:pStyle w:val="TableRightBold"/>
              <w:ind w:right="142"/>
              <w:jc w:val="center"/>
              <w:cnfStyle w:val="000000000000"/>
              <w:rPr>
                <w:rStyle w:val="Bold"/>
                <w:rFonts w:ascii="Arial" w:hAnsi="Arial" w:cs="Arial"/>
                <w:b/>
                <w:bCs w:val="0"/>
                <w:color w:val="auto"/>
              </w:rPr>
            </w:pPr>
            <w:r w:rsidRPr="00026B55">
              <w:rPr>
                <w:rStyle w:val="Bold"/>
                <w:rFonts w:ascii="Arial" w:hAnsi="Arial" w:cs="Arial"/>
                <w:b/>
                <w:bCs w:val="0"/>
                <w:color w:val="auto"/>
              </w:rPr>
              <w:t>Restructure</w:t>
            </w:r>
            <w:r w:rsidR="007A5990">
              <w:rPr>
                <w:rStyle w:val="Bold"/>
                <w:rFonts w:ascii="Arial" w:hAnsi="Arial" w:cs="Arial"/>
                <w:b/>
                <w:bCs w:val="0"/>
                <w:color w:val="auto"/>
              </w:rPr>
              <w:t xml:space="preserve"> </w:t>
            </w:r>
          </w:p>
        </w:tc>
        <w:tc>
          <w:tcPr>
            <w:cnfStyle w:val="000010000000"/>
            <w:tcW w:w="1417" w:type="dxa"/>
            <w:shd w:val="clear" w:color="auto" w:fill="4BACC6" w:themeFill="accent5"/>
          </w:tcPr>
          <w:p w:rsidR="00A03B34" w:rsidRPr="00026B55" w:rsidRDefault="00A03B34" w:rsidP="00954FA1">
            <w:pPr>
              <w:pStyle w:val="TableRightBold"/>
              <w:ind w:right="142"/>
              <w:jc w:val="center"/>
              <w:rPr>
                <w:rStyle w:val="Bold"/>
                <w:rFonts w:ascii="Arial" w:hAnsi="Arial" w:cs="Arial"/>
                <w:b/>
                <w:bCs w:val="0"/>
                <w:color w:val="auto"/>
              </w:rPr>
            </w:pPr>
            <w:r w:rsidRPr="00026B55">
              <w:rPr>
                <w:rStyle w:val="Bold"/>
                <w:rFonts w:ascii="Arial" w:hAnsi="Arial" w:cs="Arial"/>
                <w:b/>
                <w:bCs w:val="0"/>
                <w:color w:val="auto"/>
              </w:rPr>
              <w:t xml:space="preserve">Other </w:t>
            </w:r>
          </w:p>
          <w:p w:rsidR="00A03B34" w:rsidRPr="00026B55" w:rsidRDefault="00A03B34" w:rsidP="00954FA1">
            <w:pPr>
              <w:pStyle w:val="TableRightBold"/>
              <w:ind w:right="142"/>
              <w:jc w:val="center"/>
              <w:rPr>
                <w:rStyle w:val="Bold"/>
                <w:rFonts w:ascii="Arial" w:hAnsi="Arial" w:cs="Arial"/>
                <w:b/>
                <w:bCs w:val="0"/>
                <w:color w:val="auto"/>
              </w:rPr>
            </w:pPr>
            <w:r w:rsidRPr="00026B55">
              <w:rPr>
                <w:rStyle w:val="Bold"/>
                <w:rFonts w:ascii="Arial" w:hAnsi="Arial" w:cs="Arial"/>
                <w:b/>
                <w:bCs w:val="0"/>
                <w:color w:val="auto"/>
              </w:rPr>
              <w:t>Provisions</w:t>
            </w:r>
          </w:p>
        </w:tc>
        <w:tc>
          <w:tcPr>
            <w:tcW w:w="1040" w:type="dxa"/>
            <w:shd w:val="clear" w:color="auto" w:fill="4BACC6" w:themeFill="accent5"/>
          </w:tcPr>
          <w:p w:rsidR="00A03B34" w:rsidRPr="00026B55" w:rsidRDefault="00A03B34" w:rsidP="00954FA1">
            <w:pPr>
              <w:pStyle w:val="TableRightBold"/>
              <w:ind w:right="142"/>
              <w:jc w:val="center"/>
              <w:cnfStyle w:val="000000000000"/>
              <w:rPr>
                <w:rStyle w:val="Bold"/>
                <w:rFonts w:ascii="Arial" w:hAnsi="Arial" w:cs="Arial"/>
                <w:b/>
                <w:bCs w:val="0"/>
                <w:color w:val="auto"/>
              </w:rPr>
            </w:pPr>
            <w:r w:rsidRPr="00026B55">
              <w:rPr>
                <w:rStyle w:val="Bold"/>
                <w:rFonts w:ascii="Arial" w:hAnsi="Arial" w:cs="Arial"/>
                <w:b/>
                <w:bCs w:val="0"/>
                <w:color w:val="auto"/>
              </w:rPr>
              <w:t>Total</w:t>
            </w:r>
          </w:p>
          <w:p w:rsidR="00A03B34" w:rsidRPr="00026B55" w:rsidRDefault="00A03B34" w:rsidP="00954FA1">
            <w:pPr>
              <w:pStyle w:val="TableRightBold"/>
              <w:ind w:left="0" w:right="142"/>
              <w:jc w:val="left"/>
              <w:cnfStyle w:val="000000000000"/>
              <w:rPr>
                <w:rStyle w:val="Bold"/>
                <w:rFonts w:ascii="Arial" w:hAnsi="Arial" w:cs="Arial"/>
                <w:color w:val="auto"/>
              </w:rPr>
            </w:pPr>
          </w:p>
        </w:tc>
      </w:tr>
      <w:tr w:rsidR="00E957E1" w:rsidRPr="00026B55" w:rsidTr="009558D0">
        <w:trPr>
          <w:cnfStyle w:val="000000100000"/>
          <w:trHeight w:val="60"/>
        </w:trPr>
        <w:tc>
          <w:tcPr>
            <w:cnfStyle w:val="000010000000"/>
            <w:tcW w:w="2366" w:type="dxa"/>
            <w:shd w:val="clear" w:color="auto" w:fill="4BACC6" w:themeFill="accent5"/>
          </w:tcPr>
          <w:p w:rsidR="00E957E1" w:rsidRPr="00026B55" w:rsidRDefault="00E957E1" w:rsidP="00954FA1">
            <w:pPr>
              <w:pStyle w:val="TableText"/>
              <w:ind w:left="66"/>
              <w:rPr>
                <w:rFonts w:ascii="Arial" w:hAnsi="Arial" w:cs="Arial"/>
                <w:b/>
                <w:color w:val="auto"/>
              </w:rPr>
            </w:pPr>
          </w:p>
        </w:tc>
        <w:tc>
          <w:tcPr>
            <w:tcW w:w="1348" w:type="dxa"/>
            <w:shd w:val="clear" w:color="auto" w:fill="4BACC6" w:themeFill="accent5"/>
          </w:tcPr>
          <w:p w:rsidR="00E957E1" w:rsidRPr="00026B55" w:rsidRDefault="00E957E1" w:rsidP="00954FA1">
            <w:pPr>
              <w:pStyle w:val="TableRightBold"/>
              <w:ind w:right="142"/>
              <w:jc w:val="center"/>
              <w:cnfStyle w:val="000000100000"/>
              <w:rPr>
                <w:rStyle w:val="Bold"/>
                <w:rFonts w:ascii="Arial" w:hAnsi="Arial" w:cs="Arial"/>
                <w:i/>
                <w:color w:val="auto"/>
              </w:rPr>
            </w:pPr>
            <w:r w:rsidRPr="00026B55">
              <w:rPr>
                <w:rStyle w:val="Bold"/>
                <w:rFonts w:ascii="Arial" w:hAnsi="Arial" w:cs="Arial"/>
                <w:i/>
                <w:color w:val="auto"/>
              </w:rPr>
              <w:t>£m</w:t>
            </w:r>
          </w:p>
        </w:tc>
        <w:tc>
          <w:tcPr>
            <w:cnfStyle w:val="000010000000"/>
            <w:tcW w:w="1276" w:type="dxa"/>
            <w:shd w:val="clear" w:color="auto" w:fill="4BACC6" w:themeFill="accent5"/>
          </w:tcPr>
          <w:p w:rsidR="00E957E1" w:rsidRPr="00026B55" w:rsidRDefault="00E957E1" w:rsidP="00954FA1">
            <w:pPr>
              <w:pStyle w:val="TableRightBold"/>
              <w:ind w:right="142"/>
              <w:jc w:val="center"/>
              <w:rPr>
                <w:rStyle w:val="Bold"/>
                <w:rFonts w:ascii="Arial" w:hAnsi="Arial" w:cs="Arial"/>
                <w:i/>
                <w:color w:val="auto"/>
              </w:rPr>
            </w:pPr>
            <w:r w:rsidRPr="00026B55">
              <w:rPr>
                <w:rStyle w:val="Bold"/>
                <w:rFonts w:ascii="Arial" w:hAnsi="Arial" w:cs="Arial"/>
                <w:i/>
                <w:color w:val="auto"/>
              </w:rPr>
              <w:t>£m</w:t>
            </w:r>
          </w:p>
        </w:tc>
        <w:tc>
          <w:tcPr>
            <w:tcW w:w="1639" w:type="dxa"/>
            <w:shd w:val="clear" w:color="auto" w:fill="4BACC6" w:themeFill="accent5"/>
          </w:tcPr>
          <w:p w:rsidR="00E957E1" w:rsidRPr="00026B55" w:rsidRDefault="00E957E1" w:rsidP="00954FA1">
            <w:pPr>
              <w:pStyle w:val="TableRightBold"/>
              <w:ind w:right="142"/>
              <w:jc w:val="center"/>
              <w:cnfStyle w:val="000000100000"/>
              <w:rPr>
                <w:rStyle w:val="Bold"/>
                <w:rFonts w:ascii="Arial" w:hAnsi="Arial" w:cs="Arial"/>
                <w:i/>
                <w:color w:val="auto"/>
              </w:rPr>
            </w:pPr>
            <w:r w:rsidRPr="00026B55">
              <w:rPr>
                <w:rStyle w:val="Bold"/>
                <w:rFonts w:ascii="Arial" w:hAnsi="Arial" w:cs="Arial"/>
                <w:i/>
                <w:color w:val="auto"/>
              </w:rPr>
              <w:t>£m</w:t>
            </w:r>
          </w:p>
        </w:tc>
        <w:tc>
          <w:tcPr>
            <w:cnfStyle w:val="000010000000"/>
            <w:tcW w:w="1417" w:type="dxa"/>
            <w:shd w:val="clear" w:color="auto" w:fill="4BACC6" w:themeFill="accent5"/>
          </w:tcPr>
          <w:p w:rsidR="00E957E1" w:rsidRPr="00026B55" w:rsidRDefault="00E957E1" w:rsidP="00954FA1">
            <w:pPr>
              <w:pStyle w:val="TableRightBold"/>
              <w:ind w:right="142"/>
              <w:jc w:val="center"/>
              <w:rPr>
                <w:rStyle w:val="Bold"/>
                <w:rFonts w:ascii="Arial" w:hAnsi="Arial" w:cs="Arial"/>
                <w:i/>
                <w:color w:val="auto"/>
              </w:rPr>
            </w:pPr>
            <w:r w:rsidRPr="00026B55">
              <w:rPr>
                <w:rStyle w:val="Bold"/>
                <w:rFonts w:ascii="Arial" w:hAnsi="Arial" w:cs="Arial"/>
                <w:i/>
                <w:color w:val="auto"/>
              </w:rPr>
              <w:t>£m</w:t>
            </w:r>
          </w:p>
        </w:tc>
        <w:tc>
          <w:tcPr>
            <w:tcW w:w="1040" w:type="dxa"/>
            <w:shd w:val="clear" w:color="auto" w:fill="4BACC6" w:themeFill="accent5"/>
          </w:tcPr>
          <w:p w:rsidR="00E957E1" w:rsidRPr="00026B55" w:rsidRDefault="00E957E1" w:rsidP="00954FA1">
            <w:pPr>
              <w:pStyle w:val="TableRightBold"/>
              <w:ind w:right="142"/>
              <w:jc w:val="center"/>
              <w:cnfStyle w:val="000000100000"/>
              <w:rPr>
                <w:rStyle w:val="Bold"/>
                <w:rFonts w:ascii="Arial" w:hAnsi="Arial" w:cs="Arial"/>
                <w:i/>
                <w:color w:val="auto"/>
              </w:rPr>
            </w:pPr>
            <w:r w:rsidRPr="00026B55">
              <w:rPr>
                <w:rStyle w:val="Bold"/>
                <w:rFonts w:ascii="Arial" w:hAnsi="Arial" w:cs="Arial"/>
                <w:i/>
                <w:color w:val="auto"/>
              </w:rPr>
              <w:t>£m</w:t>
            </w:r>
          </w:p>
        </w:tc>
      </w:tr>
      <w:tr w:rsidR="00026B55" w:rsidRPr="00026B55" w:rsidTr="009558D0">
        <w:trPr>
          <w:trHeight w:val="60"/>
        </w:trPr>
        <w:tc>
          <w:tcPr>
            <w:cnfStyle w:val="000010000000"/>
            <w:tcW w:w="2366" w:type="dxa"/>
          </w:tcPr>
          <w:p w:rsidR="00026B55" w:rsidRPr="00026B55" w:rsidRDefault="00026B55" w:rsidP="00026B55">
            <w:pPr>
              <w:pStyle w:val="TableText"/>
              <w:rPr>
                <w:rFonts w:ascii="Arial" w:hAnsi="Arial" w:cs="Arial"/>
                <w:b/>
                <w:color w:val="auto"/>
              </w:rPr>
            </w:pPr>
            <w:r w:rsidRPr="00026B55">
              <w:rPr>
                <w:rFonts w:ascii="Arial" w:hAnsi="Arial" w:cs="Arial"/>
                <w:b/>
                <w:color w:val="auto"/>
              </w:rPr>
              <w:t>Balance at 31 March 201</w:t>
            </w:r>
            <w:r w:rsidR="001B3BCE">
              <w:rPr>
                <w:rFonts w:ascii="Arial" w:hAnsi="Arial" w:cs="Arial"/>
                <w:b/>
                <w:color w:val="auto"/>
              </w:rPr>
              <w:t>5</w:t>
            </w:r>
          </w:p>
        </w:tc>
        <w:tc>
          <w:tcPr>
            <w:tcW w:w="1348" w:type="dxa"/>
          </w:tcPr>
          <w:p w:rsidR="00026B55" w:rsidRPr="00026B55" w:rsidRDefault="00026B55" w:rsidP="00026B55">
            <w:pPr>
              <w:pStyle w:val="TableRightBold"/>
              <w:ind w:right="142"/>
              <w:jc w:val="center"/>
              <w:cnfStyle w:val="000000000000"/>
              <w:rPr>
                <w:rStyle w:val="Bold"/>
                <w:rFonts w:ascii="Arial" w:hAnsi="Arial" w:cs="Arial"/>
                <w:b/>
                <w:color w:val="auto"/>
              </w:rPr>
            </w:pPr>
            <w:r w:rsidRPr="00026B55">
              <w:rPr>
                <w:rStyle w:val="Bold"/>
                <w:rFonts w:ascii="Arial" w:hAnsi="Arial" w:cs="Arial"/>
                <w:b/>
                <w:color w:val="auto"/>
              </w:rPr>
              <w:t>0.3</w:t>
            </w:r>
          </w:p>
        </w:tc>
        <w:tc>
          <w:tcPr>
            <w:cnfStyle w:val="000010000000"/>
            <w:tcW w:w="1276" w:type="dxa"/>
          </w:tcPr>
          <w:p w:rsidR="00026B55" w:rsidRPr="00026B55" w:rsidRDefault="00026B55" w:rsidP="00026B55">
            <w:pPr>
              <w:pStyle w:val="TableRightBold"/>
              <w:ind w:right="142"/>
              <w:jc w:val="center"/>
              <w:rPr>
                <w:rStyle w:val="Bold"/>
                <w:rFonts w:ascii="Arial" w:hAnsi="Arial" w:cs="Arial"/>
                <w:b/>
                <w:color w:val="auto"/>
              </w:rPr>
            </w:pPr>
            <w:r w:rsidRPr="00026B55">
              <w:rPr>
                <w:rStyle w:val="Bold"/>
                <w:rFonts w:ascii="Arial" w:hAnsi="Arial" w:cs="Arial"/>
                <w:b/>
                <w:color w:val="auto"/>
              </w:rPr>
              <w:t>1.2</w:t>
            </w:r>
          </w:p>
        </w:tc>
        <w:tc>
          <w:tcPr>
            <w:tcW w:w="1639" w:type="dxa"/>
          </w:tcPr>
          <w:p w:rsidR="00026B55" w:rsidRPr="00026B55" w:rsidRDefault="00026B55" w:rsidP="00026B55">
            <w:pPr>
              <w:pStyle w:val="TableRightBold"/>
              <w:ind w:right="142"/>
              <w:jc w:val="center"/>
              <w:cnfStyle w:val="000000000000"/>
              <w:rPr>
                <w:rStyle w:val="Bold"/>
                <w:rFonts w:ascii="Arial" w:hAnsi="Arial" w:cs="Arial"/>
                <w:b/>
                <w:color w:val="auto"/>
              </w:rPr>
            </w:pPr>
            <w:r w:rsidRPr="00026B55">
              <w:rPr>
                <w:rStyle w:val="Bold"/>
                <w:rFonts w:ascii="Arial" w:hAnsi="Arial" w:cs="Arial"/>
                <w:b/>
                <w:color w:val="auto"/>
              </w:rPr>
              <w:t>0.1</w:t>
            </w:r>
          </w:p>
        </w:tc>
        <w:tc>
          <w:tcPr>
            <w:cnfStyle w:val="000010000000"/>
            <w:tcW w:w="1417" w:type="dxa"/>
          </w:tcPr>
          <w:p w:rsidR="00026B55" w:rsidRPr="00026B55" w:rsidRDefault="00026B55" w:rsidP="00026B55">
            <w:pPr>
              <w:pStyle w:val="TableRightBold"/>
              <w:ind w:right="142"/>
              <w:jc w:val="center"/>
              <w:rPr>
                <w:rStyle w:val="Bold"/>
                <w:rFonts w:ascii="Arial" w:hAnsi="Arial" w:cs="Arial"/>
                <w:b/>
                <w:color w:val="auto"/>
              </w:rPr>
            </w:pPr>
            <w:r w:rsidRPr="00026B55">
              <w:rPr>
                <w:rStyle w:val="Bold"/>
                <w:rFonts w:ascii="Arial" w:hAnsi="Arial" w:cs="Arial"/>
                <w:b/>
                <w:color w:val="auto"/>
              </w:rPr>
              <w:t>0.3</w:t>
            </w:r>
          </w:p>
        </w:tc>
        <w:tc>
          <w:tcPr>
            <w:tcW w:w="1040" w:type="dxa"/>
          </w:tcPr>
          <w:p w:rsidR="00026B55" w:rsidRPr="00026B55" w:rsidRDefault="00026B55" w:rsidP="00026B55">
            <w:pPr>
              <w:pStyle w:val="TableRightBold"/>
              <w:ind w:right="142"/>
              <w:jc w:val="center"/>
              <w:cnfStyle w:val="000000000000"/>
              <w:rPr>
                <w:rStyle w:val="Bold"/>
                <w:rFonts w:ascii="Arial" w:hAnsi="Arial" w:cs="Arial"/>
                <w:b/>
                <w:color w:val="auto"/>
              </w:rPr>
            </w:pPr>
            <w:r w:rsidRPr="00026B55">
              <w:rPr>
                <w:rStyle w:val="Bold"/>
                <w:rFonts w:ascii="Arial" w:hAnsi="Arial" w:cs="Arial"/>
                <w:b/>
                <w:color w:val="auto"/>
              </w:rPr>
              <w:t>1.9</w:t>
            </w:r>
          </w:p>
        </w:tc>
      </w:tr>
      <w:tr w:rsidR="00026B55" w:rsidRPr="00026B55" w:rsidTr="009558D0">
        <w:trPr>
          <w:cnfStyle w:val="000000100000"/>
          <w:trHeight w:val="60"/>
        </w:trPr>
        <w:tc>
          <w:tcPr>
            <w:cnfStyle w:val="000010000000"/>
            <w:tcW w:w="2366" w:type="dxa"/>
          </w:tcPr>
          <w:p w:rsidR="00026B55" w:rsidRPr="00026B55" w:rsidRDefault="00026B55" w:rsidP="00026B55">
            <w:pPr>
              <w:pStyle w:val="TableText"/>
              <w:rPr>
                <w:rFonts w:ascii="Arial" w:hAnsi="Arial" w:cs="Arial"/>
                <w:color w:val="auto"/>
              </w:rPr>
            </w:pPr>
            <w:r w:rsidRPr="00026B55">
              <w:rPr>
                <w:rFonts w:ascii="Arial" w:hAnsi="Arial" w:cs="Arial"/>
                <w:color w:val="auto"/>
              </w:rPr>
              <w:t>Provisions made in year</w:t>
            </w:r>
          </w:p>
        </w:tc>
        <w:tc>
          <w:tcPr>
            <w:tcW w:w="1348" w:type="dxa"/>
          </w:tcPr>
          <w:p w:rsidR="00026B55" w:rsidRPr="00026B55" w:rsidRDefault="001B3BCE" w:rsidP="00026B55">
            <w:pPr>
              <w:pStyle w:val="TableRightBold"/>
              <w:ind w:right="142"/>
              <w:jc w:val="center"/>
              <w:cnfStyle w:val="000000100000"/>
              <w:rPr>
                <w:rStyle w:val="Bold"/>
                <w:rFonts w:ascii="Arial" w:hAnsi="Arial" w:cs="Arial"/>
                <w:color w:val="auto"/>
              </w:rPr>
            </w:pPr>
            <w:r>
              <w:rPr>
                <w:rStyle w:val="Bold"/>
                <w:rFonts w:ascii="Arial" w:hAnsi="Arial" w:cs="Arial"/>
                <w:color w:val="auto"/>
              </w:rPr>
              <w:t>0.3</w:t>
            </w:r>
          </w:p>
        </w:tc>
        <w:tc>
          <w:tcPr>
            <w:cnfStyle w:val="000010000000"/>
            <w:tcW w:w="1276" w:type="dxa"/>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 *</w:t>
            </w:r>
          </w:p>
        </w:tc>
        <w:tc>
          <w:tcPr>
            <w:tcW w:w="1639" w:type="dxa"/>
          </w:tcPr>
          <w:p w:rsidR="00026B55" w:rsidRPr="00026B55" w:rsidRDefault="001B3BCE" w:rsidP="00026B55">
            <w:pPr>
              <w:pStyle w:val="TableRightBold"/>
              <w:ind w:right="142"/>
              <w:jc w:val="center"/>
              <w:cnfStyle w:val="000000100000"/>
              <w:rPr>
                <w:rStyle w:val="Bold"/>
                <w:rFonts w:ascii="Arial" w:hAnsi="Arial" w:cs="Arial"/>
                <w:color w:val="auto"/>
              </w:rPr>
            </w:pPr>
            <w:r>
              <w:rPr>
                <w:rStyle w:val="Bold"/>
                <w:rFonts w:ascii="Arial" w:hAnsi="Arial" w:cs="Arial"/>
                <w:color w:val="auto"/>
              </w:rPr>
              <w:t>0</w:t>
            </w:r>
          </w:p>
        </w:tc>
        <w:tc>
          <w:tcPr>
            <w:cnfStyle w:val="000010000000"/>
            <w:tcW w:w="1417" w:type="dxa"/>
          </w:tcPr>
          <w:p w:rsidR="00026B55" w:rsidRPr="00026B55" w:rsidRDefault="001B3BCE" w:rsidP="00026B55">
            <w:pPr>
              <w:pStyle w:val="TableRightBold"/>
              <w:ind w:right="142"/>
              <w:jc w:val="center"/>
              <w:rPr>
                <w:rStyle w:val="Bold"/>
                <w:rFonts w:ascii="Arial" w:hAnsi="Arial" w:cs="Arial"/>
                <w:color w:val="auto"/>
              </w:rPr>
            </w:pPr>
            <w:r>
              <w:rPr>
                <w:rStyle w:val="Bold"/>
                <w:rFonts w:ascii="Arial" w:hAnsi="Arial" w:cs="Arial"/>
                <w:color w:val="auto"/>
              </w:rPr>
              <w:t>0.1</w:t>
            </w:r>
          </w:p>
        </w:tc>
        <w:tc>
          <w:tcPr>
            <w:tcW w:w="1040" w:type="dxa"/>
          </w:tcPr>
          <w:p w:rsidR="00026B55" w:rsidRPr="00026B55" w:rsidRDefault="00E07C6A" w:rsidP="00026B55">
            <w:pPr>
              <w:pStyle w:val="TableRightBold"/>
              <w:ind w:right="142"/>
              <w:jc w:val="center"/>
              <w:cnfStyle w:val="000000100000"/>
              <w:rPr>
                <w:rStyle w:val="Bold"/>
                <w:rFonts w:ascii="Arial" w:hAnsi="Arial" w:cs="Arial"/>
                <w:color w:val="auto"/>
              </w:rPr>
            </w:pPr>
            <w:r>
              <w:rPr>
                <w:rStyle w:val="Bold"/>
                <w:rFonts w:ascii="Arial" w:hAnsi="Arial" w:cs="Arial"/>
                <w:color w:val="auto"/>
              </w:rPr>
              <w:t>-</w:t>
            </w:r>
          </w:p>
        </w:tc>
      </w:tr>
      <w:tr w:rsidR="00026B55" w:rsidRPr="00026B55" w:rsidTr="009558D0">
        <w:trPr>
          <w:trHeight w:val="60"/>
        </w:trPr>
        <w:tc>
          <w:tcPr>
            <w:cnfStyle w:val="000010000000"/>
            <w:tcW w:w="2366" w:type="dxa"/>
          </w:tcPr>
          <w:p w:rsidR="00026B55" w:rsidRPr="00026B55" w:rsidRDefault="00026B55" w:rsidP="00026B55">
            <w:pPr>
              <w:pStyle w:val="TableText"/>
              <w:rPr>
                <w:rFonts w:ascii="Arial" w:hAnsi="Arial" w:cs="Arial"/>
                <w:color w:val="auto"/>
              </w:rPr>
            </w:pPr>
            <w:r w:rsidRPr="00026B55">
              <w:rPr>
                <w:rFonts w:ascii="Arial" w:hAnsi="Arial" w:cs="Arial"/>
                <w:color w:val="auto"/>
              </w:rPr>
              <w:t>Provisions reversed in year</w:t>
            </w:r>
          </w:p>
        </w:tc>
        <w:tc>
          <w:tcPr>
            <w:tcW w:w="1348" w:type="dxa"/>
          </w:tcPr>
          <w:p w:rsidR="00026B55" w:rsidRPr="00026B55" w:rsidRDefault="001B3BCE" w:rsidP="00026B55">
            <w:pPr>
              <w:pStyle w:val="TableRightBold"/>
              <w:ind w:right="142"/>
              <w:jc w:val="center"/>
              <w:cnfStyle w:val="000000000000"/>
              <w:rPr>
                <w:rStyle w:val="Bold"/>
                <w:rFonts w:ascii="Arial" w:hAnsi="Arial" w:cs="Arial"/>
                <w:color w:val="auto"/>
              </w:rPr>
            </w:pPr>
            <w:r>
              <w:rPr>
                <w:rStyle w:val="Bold"/>
                <w:rFonts w:ascii="Arial" w:hAnsi="Arial" w:cs="Arial"/>
                <w:color w:val="auto"/>
              </w:rPr>
              <w:t>0</w:t>
            </w:r>
          </w:p>
        </w:tc>
        <w:tc>
          <w:tcPr>
            <w:cnfStyle w:val="000010000000"/>
            <w:tcW w:w="1276" w:type="dxa"/>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 *</w:t>
            </w:r>
          </w:p>
        </w:tc>
        <w:tc>
          <w:tcPr>
            <w:tcW w:w="1639" w:type="dxa"/>
          </w:tcPr>
          <w:p w:rsidR="00026B55" w:rsidRPr="00026B55" w:rsidRDefault="001B3BCE" w:rsidP="00026B55">
            <w:pPr>
              <w:pStyle w:val="TableRightBold"/>
              <w:ind w:right="142"/>
              <w:jc w:val="center"/>
              <w:cnfStyle w:val="000000000000"/>
              <w:rPr>
                <w:rStyle w:val="Bold"/>
                <w:rFonts w:ascii="Arial" w:hAnsi="Arial" w:cs="Arial"/>
                <w:color w:val="auto"/>
              </w:rPr>
            </w:pPr>
            <w:r>
              <w:rPr>
                <w:rStyle w:val="Bold"/>
                <w:rFonts w:ascii="Arial" w:hAnsi="Arial" w:cs="Arial"/>
                <w:color w:val="auto"/>
              </w:rPr>
              <w:t>0</w:t>
            </w:r>
          </w:p>
        </w:tc>
        <w:tc>
          <w:tcPr>
            <w:cnfStyle w:val="000010000000"/>
            <w:tcW w:w="1417" w:type="dxa"/>
          </w:tcPr>
          <w:p w:rsidR="00026B55" w:rsidRPr="00026B55" w:rsidRDefault="001B3BCE" w:rsidP="00026B55">
            <w:pPr>
              <w:pStyle w:val="TableRightBold"/>
              <w:ind w:right="142"/>
              <w:jc w:val="center"/>
              <w:rPr>
                <w:rStyle w:val="Bold"/>
                <w:rFonts w:ascii="Arial" w:hAnsi="Arial" w:cs="Arial"/>
                <w:color w:val="auto"/>
              </w:rPr>
            </w:pPr>
            <w:r>
              <w:rPr>
                <w:rStyle w:val="Bold"/>
                <w:rFonts w:ascii="Arial" w:hAnsi="Arial" w:cs="Arial"/>
                <w:color w:val="auto"/>
              </w:rPr>
              <w:t>(0.1)</w:t>
            </w:r>
          </w:p>
        </w:tc>
        <w:tc>
          <w:tcPr>
            <w:tcW w:w="1040" w:type="dxa"/>
          </w:tcPr>
          <w:p w:rsidR="00026B55" w:rsidRPr="00026B55" w:rsidRDefault="00E07C6A" w:rsidP="00026B55">
            <w:pPr>
              <w:pStyle w:val="TableRightBold"/>
              <w:ind w:right="142"/>
              <w:jc w:val="center"/>
              <w:cnfStyle w:val="000000000000"/>
              <w:rPr>
                <w:rStyle w:val="Bold"/>
                <w:rFonts w:ascii="Arial" w:hAnsi="Arial" w:cs="Arial"/>
                <w:color w:val="auto"/>
              </w:rPr>
            </w:pPr>
            <w:r>
              <w:rPr>
                <w:rStyle w:val="Bold"/>
                <w:rFonts w:ascii="Arial" w:hAnsi="Arial" w:cs="Arial"/>
                <w:color w:val="auto"/>
              </w:rPr>
              <w:t>-</w:t>
            </w:r>
          </w:p>
        </w:tc>
      </w:tr>
      <w:tr w:rsidR="00026B55" w:rsidRPr="00026B55" w:rsidTr="009558D0">
        <w:trPr>
          <w:cnfStyle w:val="000000100000"/>
          <w:trHeight w:val="60"/>
        </w:trPr>
        <w:tc>
          <w:tcPr>
            <w:cnfStyle w:val="000010000000"/>
            <w:tcW w:w="2366" w:type="dxa"/>
          </w:tcPr>
          <w:p w:rsidR="00026B55" w:rsidRPr="00026B55" w:rsidRDefault="00026B55" w:rsidP="00026B55">
            <w:pPr>
              <w:pStyle w:val="TableText"/>
              <w:rPr>
                <w:rFonts w:ascii="Arial" w:hAnsi="Arial" w:cs="Arial"/>
                <w:color w:val="auto"/>
              </w:rPr>
            </w:pPr>
            <w:r w:rsidRPr="00026B55">
              <w:rPr>
                <w:rFonts w:ascii="Arial" w:hAnsi="Arial" w:cs="Arial"/>
                <w:color w:val="auto"/>
              </w:rPr>
              <w:t>Amounts used in year</w:t>
            </w:r>
          </w:p>
        </w:tc>
        <w:tc>
          <w:tcPr>
            <w:tcW w:w="1348" w:type="dxa"/>
          </w:tcPr>
          <w:p w:rsidR="00026B55" w:rsidRPr="00026B55" w:rsidRDefault="001B3BCE" w:rsidP="00026B55">
            <w:pPr>
              <w:pStyle w:val="TableRightBold"/>
              <w:ind w:right="142"/>
              <w:jc w:val="center"/>
              <w:cnfStyle w:val="000000100000"/>
              <w:rPr>
                <w:rStyle w:val="Bold"/>
                <w:rFonts w:ascii="Arial" w:hAnsi="Arial" w:cs="Arial"/>
                <w:color w:val="auto"/>
              </w:rPr>
            </w:pPr>
            <w:r>
              <w:rPr>
                <w:rStyle w:val="Bold"/>
                <w:rFonts w:ascii="Arial" w:hAnsi="Arial" w:cs="Arial"/>
                <w:color w:val="auto"/>
              </w:rPr>
              <w:t>(0.2)</w:t>
            </w:r>
          </w:p>
        </w:tc>
        <w:tc>
          <w:tcPr>
            <w:cnfStyle w:val="000010000000"/>
            <w:tcW w:w="1276" w:type="dxa"/>
          </w:tcPr>
          <w:p w:rsidR="00026B55" w:rsidRPr="00026B55" w:rsidRDefault="00026B55" w:rsidP="00026B55">
            <w:pPr>
              <w:pStyle w:val="TableRightBold"/>
              <w:ind w:right="142"/>
              <w:jc w:val="center"/>
              <w:rPr>
                <w:rStyle w:val="Bold"/>
                <w:rFonts w:ascii="Arial" w:hAnsi="Arial" w:cs="Arial"/>
                <w:color w:val="auto"/>
              </w:rPr>
            </w:pPr>
            <w:r w:rsidRPr="00026B55">
              <w:rPr>
                <w:rStyle w:val="Bold"/>
                <w:rFonts w:ascii="Arial" w:hAnsi="Arial" w:cs="Arial"/>
                <w:color w:val="auto"/>
              </w:rPr>
              <w:t>- *</w:t>
            </w:r>
          </w:p>
        </w:tc>
        <w:tc>
          <w:tcPr>
            <w:tcW w:w="1639" w:type="dxa"/>
          </w:tcPr>
          <w:p w:rsidR="00026B55" w:rsidRPr="00026B55" w:rsidRDefault="001B3BCE" w:rsidP="00026B55">
            <w:pPr>
              <w:pStyle w:val="TableRightBold"/>
              <w:ind w:right="142"/>
              <w:jc w:val="center"/>
              <w:cnfStyle w:val="000000100000"/>
              <w:rPr>
                <w:rStyle w:val="Bold"/>
                <w:rFonts w:ascii="Arial" w:hAnsi="Arial" w:cs="Arial"/>
                <w:color w:val="auto"/>
              </w:rPr>
            </w:pPr>
            <w:r>
              <w:rPr>
                <w:rStyle w:val="Bold"/>
                <w:rFonts w:ascii="Arial" w:hAnsi="Arial" w:cs="Arial"/>
                <w:color w:val="auto"/>
              </w:rPr>
              <w:t>(0.1)</w:t>
            </w:r>
          </w:p>
        </w:tc>
        <w:tc>
          <w:tcPr>
            <w:cnfStyle w:val="000010000000"/>
            <w:tcW w:w="1417" w:type="dxa"/>
          </w:tcPr>
          <w:p w:rsidR="00026B55" w:rsidRPr="00026B55" w:rsidRDefault="001B3BCE" w:rsidP="00026B55">
            <w:pPr>
              <w:pStyle w:val="TableRightBold"/>
              <w:ind w:right="142"/>
              <w:jc w:val="center"/>
              <w:rPr>
                <w:rStyle w:val="Bold"/>
                <w:rFonts w:ascii="Arial" w:hAnsi="Arial" w:cs="Arial"/>
                <w:color w:val="auto"/>
              </w:rPr>
            </w:pPr>
            <w:r>
              <w:rPr>
                <w:rStyle w:val="Bold"/>
                <w:rFonts w:ascii="Arial" w:hAnsi="Arial" w:cs="Arial"/>
                <w:color w:val="auto"/>
              </w:rPr>
              <w:t>(0.1)</w:t>
            </w:r>
          </w:p>
        </w:tc>
        <w:tc>
          <w:tcPr>
            <w:tcW w:w="1040" w:type="dxa"/>
          </w:tcPr>
          <w:p w:rsidR="00026B55" w:rsidRPr="00026B55" w:rsidRDefault="001B3BCE" w:rsidP="00026B55">
            <w:pPr>
              <w:pStyle w:val="TableRightBold"/>
              <w:ind w:right="142"/>
              <w:jc w:val="center"/>
              <w:cnfStyle w:val="000000100000"/>
              <w:rPr>
                <w:rStyle w:val="Bold"/>
                <w:rFonts w:ascii="Arial" w:hAnsi="Arial" w:cs="Arial"/>
                <w:color w:val="auto"/>
              </w:rPr>
            </w:pPr>
            <w:r>
              <w:rPr>
                <w:rStyle w:val="Bold"/>
                <w:rFonts w:ascii="Arial" w:hAnsi="Arial" w:cs="Arial"/>
                <w:color w:val="auto"/>
              </w:rPr>
              <w:t>(0.4)</w:t>
            </w:r>
          </w:p>
        </w:tc>
      </w:tr>
      <w:tr w:rsidR="00026B55" w:rsidRPr="00026B55" w:rsidTr="009558D0">
        <w:trPr>
          <w:trHeight w:val="60"/>
        </w:trPr>
        <w:tc>
          <w:tcPr>
            <w:cnfStyle w:val="000010000000"/>
            <w:tcW w:w="2366" w:type="dxa"/>
          </w:tcPr>
          <w:p w:rsidR="00026B55" w:rsidRPr="00026B55" w:rsidRDefault="00026B55" w:rsidP="00026B55">
            <w:pPr>
              <w:pStyle w:val="TableText"/>
              <w:rPr>
                <w:rFonts w:ascii="Arial" w:hAnsi="Arial" w:cs="Arial"/>
                <w:b/>
                <w:color w:val="auto"/>
              </w:rPr>
            </w:pPr>
            <w:r w:rsidRPr="00026B55">
              <w:rPr>
                <w:rFonts w:ascii="Arial" w:hAnsi="Arial" w:cs="Arial"/>
                <w:b/>
                <w:color w:val="auto"/>
              </w:rPr>
              <w:t>Balance at 31 March 201</w:t>
            </w:r>
            <w:r w:rsidR="001B3BCE">
              <w:rPr>
                <w:rFonts w:ascii="Arial" w:hAnsi="Arial" w:cs="Arial"/>
                <w:b/>
                <w:color w:val="auto"/>
              </w:rPr>
              <w:t>6</w:t>
            </w:r>
          </w:p>
        </w:tc>
        <w:tc>
          <w:tcPr>
            <w:tcW w:w="1348" w:type="dxa"/>
          </w:tcPr>
          <w:p w:rsidR="00026B55" w:rsidRPr="00026B55" w:rsidRDefault="001B3BCE" w:rsidP="00026B55">
            <w:pPr>
              <w:pStyle w:val="TableRightBold"/>
              <w:ind w:right="142"/>
              <w:jc w:val="center"/>
              <w:cnfStyle w:val="000000000000"/>
              <w:rPr>
                <w:rStyle w:val="Bold"/>
                <w:rFonts w:ascii="Arial" w:hAnsi="Arial" w:cs="Arial"/>
                <w:b/>
                <w:color w:val="auto"/>
              </w:rPr>
            </w:pPr>
            <w:r>
              <w:rPr>
                <w:rStyle w:val="Bold"/>
                <w:rFonts w:ascii="Arial" w:hAnsi="Arial" w:cs="Arial"/>
                <w:b/>
                <w:color w:val="auto"/>
              </w:rPr>
              <w:t>0.4</w:t>
            </w:r>
          </w:p>
        </w:tc>
        <w:tc>
          <w:tcPr>
            <w:cnfStyle w:val="000010000000"/>
            <w:tcW w:w="1276" w:type="dxa"/>
          </w:tcPr>
          <w:p w:rsidR="00026B55" w:rsidRPr="00026B55" w:rsidRDefault="001B3BCE" w:rsidP="00026B55">
            <w:pPr>
              <w:pStyle w:val="TableRightBold"/>
              <w:ind w:right="142"/>
              <w:jc w:val="center"/>
              <w:rPr>
                <w:rStyle w:val="Bold"/>
                <w:rFonts w:ascii="Arial" w:hAnsi="Arial" w:cs="Arial"/>
                <w:b/>
                <w:color w:val="auto"/>
              </w:rPr>
            </w:pPr>
            <w:r>
              <w:rPr>
                <w:rStyle w:val="Bold"/>
                <w:rFonts w:ascii="Arial" w:hAnsi="Arial" w:cs="Arial"/>
                <w:b/>
                <w:color w:val="auto"/>
              </w:rPr>
              <w:t>2.1</w:t>
            </w:r>
          </w:p>
        </w:tc>
        <w:tc>
          <w:tcPr>
            <w:tcW w:w="1639" w:type="dxa"/>
          </w:tcPr>
          <w:p w:rsidR="00026B55" w:rsidRPr="00026B55" w:rsidRDefault="001B3BCE" w:rsidP="00026B55">
            <w:pPr>
              <w:pStyle w:val="TableRightBold"/>
              <w:ind w:right="142"/>
              <w:jc w:val="center"/>
              <w:cnfStyle w:val="000000000000"/>
              <w:rPr>
                <w:rStyle w:val="Bold"/>
                <w:rFonts w:ascii="Arial" w:hAnsi="Arial" w:cs="Arial"/>
                <w:b/>
                <w:color w:val="auto"/>
              </w:rPr>
            </w:pPr>
            <w:r>
              <w:rPr>
                <w:rStyle w:val="Bold"/>
                <w:rFonts w:ascii="Arial" w:hAnsi="Arial" w:cs="Arial"/>
                <w:b/>
                <w:color w:val="auto"/>
              </w:rPr>
              <w:t>0</w:t>
            </w:r>
          </w:p>
        </w:tc>
        <w:tc>
          <w:tcPr>
            <w:cnfStyle w:val="000010000000"/>
            <w:tcW w:w="1417" w:type="dxa"/>
          </w:tcPr>
          <w:p w:rsidR="00026B55" w:rsidRPr="00026B55" w:rsidRDefault="001B3BCE" w:rsidP="00026B55">
            <w:pPr>
              <w:pStyle w:val="TableRightBold"/>
              <w:ind w:right="142"/>
              <w:jc w:val="center"/>
              <w:rPr>
                <w:rStyle w:val="Bold"/>
                <w:rFonts w:ascii="Arial" w:hAnsi="Arial" w:cs="Arial"/>
                <w:b/>
                <w:color w:val="auto"/>
              </w:rPr>
            </w:pPr>
            <w:r>
              <w:rPr>
                <w:rStyle w:val="Bold"/>
                <w:rFonts w:ascii="Arial" w:hAnsi="Arial" w:cs="Arial"/>
                <w:b/>
                <w:color w:val="auto"/>
              </w:rPr>
              <w:t>0.2</w:t>
            </w:r>
          </w:p>
        </w:tc>
        <w:tc>
          <w:tcPr>
            <w:tcW w:w="1040" w:type="dxa"/>
          </w:tcPr>
          <w:p w:rsidR="00026B55" w:rsidRPr="00026B55" w:rsidRDefault="001B3BCE" w:rsidP="001B3BCE">
            <w:pPr>
              <w:pStyle w:val="TableRightBold"/>
              <w:ind w:right="142"/>
              <w:jc w:val="center"/>
              <w:cnfStyle w:val="000000000000"/>
              <w:rPr>
                <w:rStyle w:val="Bold"/>
                <w:rFonts w:ascii="Arial" w:hAnsi="Arial" w:cs="Arial"/>
                <w:b/>
                <w:color w:val="auto"/>
              </w:rPr>
            </w:pPr>
            <w:r>
              <w:rPr>
                <w:rStyle w:val="Bold"/>
                <w:rFonts w:ascii="Arial" w:hAnsi="Arial" w:cs="Arial"/>
                <w:b/>
                <w:color w:val="auto"/>
              </w:rPr>
              <w:t>2.7</w:t>
            </w:r>
          </w:p>
        </w:tc>
      </w:tr>
      <w:tr w:rsidR="00026B55" w:rsidRPr="00026B55" w:rsidTr="009558D0">
        <w:trPr>
          <w:cnfStyle w:val="000000100000"/>
          <w:trHeight w:val="60"/>
        </w:trPr>
        <w:tc>
          <w:tcPr>
            <w:cnfStyle w:val="000010000000"/>
            <w:tcW w:w="2366" w:type="dxa"/>
          </w:tcPr>
          <w:p w:rsidR="00026B55" w:rsidRPr="00026B55" w:rsidRDefault="00026B55" w:rsidP="00026B55">
            <w:pPr>
              <w:pStyle w:val="TableText"/>
              <w:rPr>
                <w:rFonts w:ascii="Arial" w:hAnsi="Arial" w:cs="Arial"/>
                <w:i/>
                <w:color w:val="auto"/>
              </w:rPr>
            </w:pPr>
            <w:r w:rsidRPr="00026B55">
              <w:rPr>
                <w:rFonts w:ascii="Arial" w:hAnsi="Arial" w:cs="Arial"/>
                <w:i/>
                <w:color w:val="auto"/>
              </w:rPr>
              <w:t>Short term</w:t>
            </w:r>
          </w:p>
        </w:tc>
        <w:tc>
          <w:tcPr>
            <w:tcW w:w="1348" w:type="dxa"/>
          </w:tcPr>
          <w:p w:rsidR="00026B55" w:rsidRPr="00026B55" w:rsidRDefault="001B3BCE" w:rsidP="00026B55">
            <w:pPr>
              <w:pStyle w:val="TableRightBold"/>
              <w:ind w:right="142"/>
              <w:jc w:val="center"/>
              <w:cnfStyle w:val="000000100000"/>
              <w:rPr>
                <w:rStyle w:val="Bold"/>
                <w:rFonts w:ascii="Arial" w:hAnsi="Arial" w:cs="Arial"/>
                <w:i/>
                <w:color w:val="auto"/>
              </w:rPr>
            </w:pPr>
            <w:r>
              <w:rPr>
                <w:rStyle w:val="Bold"/>
                <w:rFonts w:ascii="Arial" w:hAnsi="Arial" w:cs="Arial"/>
                <w:i/>
                <w:color w:val="auto"/>
              </w:rPr>
              <w:t>0.3</w:t>
            </w:r>
          </w:p>
        </w:tc>
        <w:tc>
          <w:tcPr>
            <w:cnfStyle w:val="000010000000"/>
            <w:tcW w:w="1276" w:type="dxa"/>
          </w:tcPr>
          <w:p w:rsidR="00026B55" w:rsidRPr="00026B55" w:rsidRDefault="001B3BCE" w:rsidP="00026B55">
            <w:pPr>
              <w:pStyle w:val="TableRightBold"/>
              <w:ind w:right="142"/>
              <w:jc w:val="center"/>
              <w:rPr>
                <w:rStyle w:val="Bold"/>
                <w:rFonts w:ascii="Arial" w:hAnsi="Arial" w:cs="Arial"/>
                <w:i/>
                <w:color w:val="auto"/>
              </w:rPr>
            </w:pPr>
            <w:r>
              <w:rPr>
                <w:rStyle w:val="Bold"/>
                <w:rFonts w:ascii="Arial" w:hAnsi="Arial" w:cs="Arial"/>
                <w:i/>
                <w:color w:val="auto"/>
              </w:rPr>
              <w:t>2.1</w:t>
            </w:r>
          </w:p>
        </w:tc>
        <w:tc>
          <w:tcPr>
            <w:tcW w:w="1639" w:type="dxa"/>
          </w:tcPr>
          <w:p w:rsidR="00026B55" w:rsidRPr="00026B55" w:rsidRDefault="001B3BCE" w:rsidP="00026B55">
            <w:pPr>
              <w:pStyle w:val="TableRightBold"/>
              <w:ind w:right="142"/>
              <w:jc w:val="center"/>
              <w:cnfStyle w:val="000000100000"/>
              <w:rPr>
                <w:rStyle w:val="Bold"/>
                <w:rFonts w:ascii="Arial" w:hAnsi="Arial" w:cs="Arial"/>
                <w:i/>
                <w:color w:val="auto"/>
              </w:rPr>
            </w:pPr>
            <w:r>
              <w:rPr>
                <w:rStyle w:val="Bold"/>
                <w:rFonts w:ascii="Arial" w:hAnsi="Arial" w:cs="Arial"/>
                <w:i/>
                <w:color w:val="auto"/>
              </w:rPr>
              <w:t>0</w:t>
            </w:r>
          </w:p>
        </w:tc>
        <w:tc>
          <w:tcPr>
            <w:cnfStyle w:val="000010000000"/>
            <w:tcW w:w="1417" w:type="dxa"/>
          </w:tcPr>
          <w:p w:rsidR="00026B55" w:rsidRPr="00026B55" w:rsidRDefault="001B3BCE" w:rsidP="00026B55">
            <w:pPr>
              <w:pStyle w:val="TableRightBold"/>
              <w:ind w:right="142"/>
              <w:jc w:val="center"/>
              <w:rPr>
                <w:rStyle w:val="Bold"/>
                <w:rFonts w:ascii="Arial" w:hAnsi="Arial" w:cs="Arial"/>
                <w:i/>
                <w:color w:val="auto"/>
              </w:rPr>
            </w:pPr>
            <w:r>
              <w:rPr>
                <w:rStyle w:val="Bold"/>
                <w:rFonts w:ascii="Arial" w:hAnsi="Arial" w:cs="Arial"/>
                <w:i/>
                <w:color w:val="auto"/>
              </w:rPr>
              <w:t>0.2</w:t>
            </w:r>
          </w:p>
        </w:tc>
        <w:tc>
          <w:tcPr>
            <w:tcW w:w="1040" w:type="dxa"/>
          </w:tcPr>
          <w:p w:rsidR="00026B55" w:rsidRPr="00026B55" w:rsidRDefault="001B3BCE" w:rsidP="00026B55">
            <w:pPr>
              <w:pStyle w:val="TableRightBold"/>
              <w:ind w:right="142"/>
              <w:jc w:val="center"/>
              <w:cnfStyle w:val="000000100000"/>
              <w:rPr>
                <w:rStyle w:val="Bold"/>
                <w:rFonts w:ascii="Arial" w:hAnsi="Arial" w:cs="Arial"/>
                <w:i/>
                <w:color w:val="auto"/>
              </w:rPr>
            </w:pPr>
            <w:r>
              <w:rPr>
                <w:rStyle w:val="Bold"/>
                <w:rFonts w:ascii="Arial" w:hAnsi="Arial" w:cs="Arial"/>
                <w:i/>
                <w:color w:val="auto"/>
              </w:rPr>
              <w:t>2.6</w:t>
            </w:r>
          </w:p>
        </w:tc>
      </w:tr>
      <w:tr w:rsidR="00026B55" w:rsidRPr="00026B55" w:rsidTr="009558D0">
        <w:trPr>
          <w:trHeight w:val="60"/>
        </w:trPr>
        <w:tc>
          <w:tcPr>
            <w:cnfStyle w:val="000010000000"/>
            <w:tcW w:w="2366" w:type="dxa"/>
          </w:tcPr>
          <w:p w:rsidR="00026B55" w:rsidRPr="00026B55" w:rsidRDefault="00026B55" w:rsidP="00026B55">
            <w:pPr>
              <w:pStyle w:val="TableText"/>
              <w:ind w:left="0"/>
              <w:rPr>
                <w:rFonts w:ascii="Arial" w:hAnsi="Arial" w:cs="Arial"/>
                <w:i/>
                <w:color w:val="auto"/>
              </w:rPr>
            </w:pPr>
            <w:r w:rsidRPr="00026B55">
              <w:rPr>
                <w:rFonts w:ascii="Arial" w:hAnsi="Arial" w:cs="Arial"/>
                <w:i/>
                <w:color w:val="auto"/>
              </w:rPr>
              <w:t>Long term</w:t>
            </w:r>
          </w:p>
        </w:tc>
        <w:tc>
          <w:tcPr>
            <w:tcW w:w="1348" w:type="dxa"/>
          </w:tcPr>
          <w:p w:rsidR="00026B55" w:rsidRPr="00026B55" w:rsidRDefault="001B3BCE" w:rsidP="00026B55">
            <w:pPr>
              <w:pStyle w:val="TableRightBold"/>
              <w:ind w:right="142"/>
              <w:jc w:val="center"/>
              <w:cnfStyle w:val="000000000000"/>
              <w:rPr>
                <w:rStyle w:val="Bold"/>
                <w:rFonts w:ascii="Arial" w:hAnsi="Arial" w:cs="Arial"/>
                <w:i/>
                <w:color w:val="auto"/>
              </w:rPr>
            </w:pPr>
            <w:r>
              <w:rPr>
                <w:rStyle w:val="Bold"/>
                <w:rFonts w:ascii="Arial" w:hAnsi="Arial" w:cs="Arial"/>
                <w:i/>
                <w:color w:val="auto"/>
              </w:rPr>
              <w:t>0.1</w:t>
            </w:r>
          </w:p>
        </w:tc>
        <w:tc>
          <w:tcPr>
            <w:cnfStyle w:val="000010000000"/>
            <w:tcW w:w="1276" w:type="dxa"/>
          </w:tcPr>
          <w:p w:rsidR="00026B55" w:rsidRPr="00026B55" w:rsidRDefault="001B3BCE" w:rsidP="00026B55">
            <w:pPr>
              <w:pStyle w:val="TableRightBold"/>
              <w:ind w:right="142"/>
              <w:jc w:val="center"/>
              <w:rPr>
                <w:rStyle w:val="Bold"/>
                <w:rFonts w:ascii="Arial" w:hAnsi="Arial" w:cs="Arial"/>
                <w:i/>
                <w:color w:val="auto"/>
              </w:rPr>
            </w:pPr>
            <w:r>
              <w:rPr>
                <w:rStyle w:val="Bold"/>
                <w:rFonts w:ascii="Arial" w:hAnsi="Arial" w:cs="Arial"/>
                <w:i/>
                <w:color w:val="auto"/>
              </w:rPr>
              <w:t>0</w:t>
            </w:r>
          </w:p>
        </w:tc>
        <w:tc>
          <w:tcPr>
            <w:tcW w:w="1639" w:type="dxa"/>
          </w:tcPr>
          <w:p w:rsidR="00026B55" w:rsidRPr="00026B55" w:rsidRDefault="001B3BCE" w:rsidP="00026B55">
            <w:pPr>
              <w:pStyle w:val="TableRightBold"/>
              <w:ind w:right="142"/>
              <w:jc w:val="center"/>
              <w:cnfStyle w:val="000000000000"/>
              <w:rPr>
                <w:rStyle w:val="Bold"/>
                <w:rFonts w:ascii="Arial" w:hAnsi="Arial" w:cs="Arial"/>
                <w:i/>
                <w:color w:val="auto"/>
              </w:rPr>
            </w:pPr>
            <w:r>
              <w:rPr>
                <w:rStyle w:val="Bold"/>
                <w:rFonts w:ascii="Arial" w:hAnsi="Arial" w:cs="Arial"/>
                <w:i/>
                <w:color w:val="auto"/>
              </w:rPr>
              <w:t>0</w:t>
            </w:r>
          </w:p>
        </w:tc>
        <w:tc>
          <w:tcPr>
            <w:cnfStyle w:val="000010000000"/>
            <w:tcW w:w="1417" w:type="dxa"/>
          </w:tcPr>
          <w:p w:rsidR="00026B55" w:rsidRPr="00026B55" w:rsidRDefault="001B3BCE" w:rsidP="00026B55">
            <w:pPr>
              <w:pStyle w:val="TableRightBold"/>
              <w:ind w:right="142"/>
              <w:jc w:val="center"/>
              <w:rPr>
                <w:rStyle w:val="Bold"/>
                <w:rFonts w:ascii="Arial" w:hAnsi="Arial" w:cs="Arial"/>
                <w:i/>
                <w:color w:val="auto"/>
              </w:rPr>
            </w:pPr>
            <w:r>
              <w:rPr>
                <w:rStyle w:val="Bold"/>
                <w:rFonts w:ascii="Arial" w:hAnsi="Arial" w:cs="Arial"/>
                <w:i/>
                <w:color w:val="auto"/>
              </w:rPr>
              <w:t>0</w:t>
            </w:r>
          </w:p>
        </w:tc>
        <w:tc>
          <w:tcPr>
            <w:tcW w:w="1040" w:type="dxa"/>
          </w:tcPr>
          <w:p w:rsidR="00026B55" w:rsidRPr="00026B55" w:rsidRDefault="001B3BCE" w:rsidP="00026B55">
            <w:pPr>
              <w:pStyle w:val="TableRightBold"/>
              <w:ind w:right="142"/>
              <w:jc w:val="center"/>
              <w:cnfStyle w:val="000000000000"/>
              <w:rPr>
                <w:rStyle w:val="Bold"/>
                <w:rFonts w:ascii="Arial" w:hAnsi="Arial" w:cs="Arial"/>
                <w:i/>
                <w:color w:val="auto"/>
              </w:rPr>
            </w:pPr>
            <w:r>
              <w:rPr>
                <w:rStyle w:val="Bold"/>
                <w:rFonts w:ascii="Arial" w:hAnsi="Arial" w:cs="Arial"/>
                <w:i/>
                <w:color w:val="auto"/>
              </w:rPr>
              <w:t>0.1</w:t>
            </w:r>
          </w:p>
        </w:tc>
      </w:tr>
      <w:tr w:rsidR="00026B55" w:rsidRPr="00026B55" w:rsidTr="009558D0">
        <w:trPr>
          <w:cnfStyle w:val="000000100000"/>
          <w:trHeight w:val="60"/>
        </w:trPr>
        <w:tc>
          <w:tcPr>
            <w:cnfStyle w:val="000010000000"/>
            <w:tcW w:w="2366" w:type="dxa"/>
          </w:tcPr>
          <w:p w:rsidR="00026B55" w:rsidRPr="00026B55" w:rsidRDefault="00026B55" w:rsidP="00026B55">
            <w:pPr>
              <w:pStyle w:val="TableText"/>
              <w:rPr>
                <w:rFonts w:ascii="Arial" w:hAnsi="Arial" w:cs="Arial"/>
                <w:i/>
                <w:color w:val="auto"/>
              </w:rPr>
            </w:pPr>
            <w:r w:rsidRPr="00026B55">
              <w:rPr>
                <w:rFonts w:ascii="Arial" w:hAnsi="Arial" w:cs="Arial"/>
                <w:i/>
                <w:color w:val="auto"/>
              </w:rPr>
              <w:t>Balance at 31 March 201</w:t>
            </w:r>
            <w:r w:rsidR="001B3BCE">
              <w:rPr>
                <w:rFonts w:ascii="Arial" w:hAnsi="Arial" w:cs="Arial"/>
                <w:i/>
                <w:color w:val="auto"/>
              </w:rPr>
              <w:t>6</w:t>
            </w:r>
          </w:p>
        </w:tc>
        <w:tc>
          <w:tcPr>
            <w:tcW w:w="1348" w:type="dxa"/>
          </w:tcPr>
          <w:p w:rsidR="00026B55" w:rsidRPr="00026B55" w:rsidRDefault="001B3BCE" w:rsidP="00026B55">
            <w:pPr>
              <w:pStyle w:val="TableRightBold"/>
              <w:ind w:right="142"/>
              <w:jc w:val="center"/>
              <w:cnfStyle w:val="000000100000"/>
              <w:rPr>
                <w:rStyle w:val="Bold"/>
                <w:rFonts w:ascii="Arial" w:hAnsi="Arial" w:cs="Arial"/>
                <w:i/>
                <w:color w:val="auto"/>
              </w:rPr>
            </w:pPr>
            <w:r>
              <w:rPr>
                <w:rStyle w:val="Bold"/>
                <w:rFonts w:ascii="Arial" w:hAnsi="Arial" w:cs="Arial"/>
                <w:i/>
                <w:color w:val="auto"/>
              </w:rPr>
              <w:t>0.4</w:t>
            </w:r>
          </w:p>
        </w:tc>
        <w:tc>
          <w:tcPr>
            <w:cnfStyle w:val="000010000000"/>
            <w:tcW w:w="1276" w:type="dxa"/>
          </w:tcPr>
          <w:p w:rsidR="00026B55" w:rsidRPr="00026B55" w:rsidRDefault="001B3BCE" w:rsidP="00026B55">
            <w:pPr>
              <w:pStyle w:val="TableRightBold"/>
              <w:ind w:right="142"/>
              <w:jc w:val="center"/>
              <w:rPr>
                <w:rStyle w:val="Bold"/>
                <w:rFonts w:ascii="Arial" w:hAnsi="Arial" w:cs="Arial"/>
                <w:i/>
                <w:color w:val="auto"/>
              </w:rPr>
            </w:pPr>
            <w:r>
              <w:rPr>
                <w:rStyle w:val="Bold"/>
                <w:rFonts w:ascii="Arial" w:hAnsi="Arial" w:cs="Arial"/>
                <w:i/>
                <w:color w:val="auto"/>
              </w:rPr>
              <w:t>2.1</w:t>
            </w:r>
          </w:p>
        </w:tc>
        <w:tc>
          <w:tcPr>
            <w:tcW w:w="1639" w:type="dxa"/>
          </w:tcPr>
          <w:p w:rsidR="00026B55" w:rsidRPr="00026B55" w:rsidRDefault="001B3BCE" w:rsidP="00026B55">
            <w:pPr>
              <w:pStyle w:val="TableRightBold"/>
              <w:ind w:right="142"/>
              <w:jc w:val="center"/>
              <w:cnfStyle w:val="000000100000"/>
              <w:rPr>
                <w:rStyle w:val="Bold"/>
                <w:rFonts w:ascii="Arial" w:hAnsi="Arial" w:cs="Arial"/>
                <w:i/>
                <w:color w:val="auto"/>
              </w:rPr>
            </w:pPr>
            <w:r>
              <w:rPr>
                <w:rStyle w:val="Bold"/>
                <w:rFonts w:ascii="Arial" w:hAnsi="Arial" w:cs="Arial"/>
                <w:i/>
                <w:color w:val="auto"/>
              </w:rPr>
              <w:t>0</w:t>
            </w:r>
          </w:p>
        </w:tc>
        <w:tc>
          <w:tcPr>
            <w:cnfStyle w:val="000010000000"/>
            <w:tcW w:w="1417" w:type="dxa"/>
          </w:tcPr>
          <w:p w:rsidR="00026B55" w:rsidRPr="00026B55" w:rsidRDefault="001B3BCE" w:rsidP="00026B55">
            <w:pPr>
              <w:pStyle w:val="TableRightBold"/>
              <w:ind w:right="142"/>
              <w:jc w:val="center"/>
              <w:rPr>
                <w:rStyle w:val="Bold"/>
                <w:rFonts w:ascii="Arial" w:hAnsi="Arial" w:cs="Arial"/>
                <w:i/>
                <w:color w:val="auto"/>
              </w:rPr>
            </w:pPr>
            <w:r>
              <w:rPr>
                <w:rStyle w:val="Bold"/>
                <w:rFonts w:ascii="Arial" w:hAnsi="Arial" w:cs="Arial"/>
                <w:i/>
                <w:color w:val="auto"/>
              </w:rPr>
              <w:t>0.2</w:t>
            </w:r>
          </w:p>
        </w:tc>
        <w:tc>
          <w:tcPr>
            <w:tcW w:w="1040" w:type="dxa"/>
          </w:tcPr>
          <w:p w:rsidR="00026B55" w:rsidRPr="00026B55" w:rsidRDefault="001B3BCE" w:rsidP="00026B55">
            <w:pPr>
              <w:pStyle w:val="TableRightBold"/>
              <w:ind w:right="142"/>
              <w:jc w:val="center"/>
              <w:cnfStyle w:val="000000100000"/>
              <w:rPr>
                <w:rStyle w:val="Bold"/>
                <w:rFonts w:ascii="Arial" w:hAnsi="Arial" w:cs="Arial"/>
                <w:i/>
                <w:color w:val="auto"/>
              </w:rPr>
            </w:pPr>
            <w:r>
              <w:rPr>
                <w:rStyle w:val="Bold"/>
                <w:rFonts w:ascii="Arial" w:hAnsi="Arial" w:cs="Arial"/>
                <w:i/>
                <w:color w:val="auto"/>
              </w:rPr>
              <w:t>2.7</w:t>
            </w:r>
          </w:p>
        </w:tc>
      </w:tr>
    </w:tbl>
    <w:p w:rsidR="00954FA1" w:rsidRPr="00D42E0B" w:rsidRDefault="00954FA1" w:rsidP="00954FA1">
      <w:pPr>
        <w:rPr>
          <w:rFonts w:eastAsia="Times New Roman"/>
          <w:i/>
          <w:snapToGrid w:val="0"/>
          <w:color w:val="548DD4" w:themeColor="text2" w:themeTint="99"/>
          <w:sz w:val="20"/>
          <w:szCs w:val="20"/>
        </w:rPr>
      </w:pPr>
    </w:p>
    <w:p w:rsidR="00A138D8" w:rsidRPr="00E96F12" w:rsidRDefault="00D84891" w:rsidP="00954FA1">
      <w:pPr>
        <w:ind w:left="567"/>
        <w:rPr>
          <w:rFonts w:eastAsia="Times New Roman" w:cs="Arial"/>
          <w:i/>
          <w:iCs/>
          <w:color w:val="auto"/>
          <w:sz w:val="20"/>
          <w:szCs w:val="20"/>
          <w:lang w:eastAsia="en-GB"/>
        </w:rPr>
      </w:pPr>
      <w:r w:rsidRPr="00E96F12">
        <w:rPr>
          <w:rFonts w:eastAsia="Times New Roman" w:cs="Arial"/>
          <w:i/>
          <w:iCs/>
          <w:color w:val="auto"/>
          <w:sz w:val="20"/>
          <w:szCs w:val="20"/>
          <w:lang w:eastAsia="en-GB"/>
        </w:rPr>
        <w:t>*</w:t>
      </w:r>
      <w:r w:rsidR="00D77783" w:rsidRPr="00E96F12">
        <w:rPr>
          <w:rFonts w:eastAsia="Times New Roman" w:cs="Arial"/>
          <w:i/>
          <w:iCs/>
          <w:color w:val="auto"/>
          <w:sz w:val="20"/>
          <w:szCs w:val="20"/>
          <w:lang w:eastAsia="en-GB"/>
        </w:rPr>
        <w:t>An analysis of NNDR movements i</w:t>
      </w:r>
      <w:r w:rsidR="00A138D8" w:rsidRPr="00E96F12">
        <w:rPr>
          <w:rFonts w:eastAsia="Times New Roman" w:cs="Arial"/>
          <w:i/>
          <w:iCs/>
          <w:color w:val="auto"/>
          <w:sz w:val="20"/>
          <w:szCs w:val="20"/>
          <w:lang w:eastAsia="en-GB"/>
        </w:rPr>
        <w:t xml:space="preserve">n year not </w:t>
      </w:r>
      <w:r w:rsidR="00B44843" w:rsidRPr="00E96F12">
        <w:rPr>
          <w:rFonts w:eastAsia="Times New Roman" w:cs="Arial"/>
          <w:i/>
          <w:iCs/>
          <w:color w:val="auto"/>
          <w:sz w:val="20"/>
          <w:szCs w:val="20"/>
          <w:lang w:eastAsia="en-GB"/>
        </w:rPr>
        <w:t xml:space="preserve">separately identifiable as </w:t>
      </w:r>
      <w:r w:rsidR="00A138D8" w:rsidRPr="00E96F12">
        <w:rPr>
          <w:rFonts w:eastAsia="Times New Roman" w:cs="Arial"/>
          <w:i/>
          <w:iCs/>
          <w:color w:val="auto"/>
          <w:sz w:val="20"/>
          <w:szCs w:val="20"/>
          <w:lang w:eastAsia="en-GB"/>
        </w:rPr>
        <w:t xml:space="preserve">appeals </w:t>
      </w:r>
      <w:r w:rsidR="00F4439F" w:rsidRPr="00E96F12">
        <w:rPr>
          <w:rFonts w:eastAsia="Times New Roman" w:cs="Arial"/>
          <w:i/>
          <w:iCs/>
          <w:color w:val="auto"/>
          <w:sz w:val="20"/>
          <w:szCs w:val="20"/>
          <w:lang w:eastAsia="en-GB"/>
        </w:rPr>
        <w:t xml:space="preserve">are </w:t>
      </w:r>
      <w:r w:rsidR="00A138D8" w:rsidRPr="00E96F12">
        <w:rPr>
          <w:rFonts w:eastAsia="Times New Roman" w:cs="Arial"/>
          <w:i/>
          <w:iCs/>
          <w:color w:val="auto"/>
          <w:sz w:val="20"/>
          <w:szCs w:val="20"/>
          <w:lang w:eastAsia="en-GB"/>
        </w:rPr>
        <w:t>reflected within a premises’ overall NNDR liability in Collection Fund</w:t>
      </w:r>
    </w:p>
    <w:p w:rsidR="00E51139" w:rsidRPr="00C16B45" w:rsidRDefault="00E51139" w:rsidP="00DD4F0D">
      <w:pPr>
        <w:spacing w:line="240" w:lineRule="auto"/>
        <w:ind w:left="567"/>
        <w:rPr>
          <w:rFonts w:cs="Arial"/>
          <w:b/>
          <w:bCs/>
          <w:color w:val="auto"/>
          <w:sz w:val="20"/>
          <w:szCs w:val="20"/>
        </w:rPr>
      </w:pPr>
      <w:r w:rsidRPr="00C16B45">
        <w:rPr>
          <w:rFonts w:cs="Arial"/>
          <w:b/>
          <w:bCs/>
          <w:color w:val="auto"/>
          <w:sz w:val="20"/>
          <w:szCs w:val="20"/>
        </w:rPr>
        <w:t>Name of Provision</w:t>
      </w:r>
      <w:r w:rsidRPr="00C16B45">
        <w:rPr>
          <w:rFonts w:cs="Arial"/>
          <w:b/>
          <w:bCs/>
          <w:color w:val="auto"/>
          <w:sz w:val="20"/>
          <w:szCs w:val="20"/>
        </w:rPr>
        <w:tab/>
      </w:r>
      <w:r w:rsidRPr="00C16B45">
        <w:rPr>
          <w:rFonts w:cs="Arial"/>
          <w:b/>
          <w:bCs/>
          <w:color w:val="auto"/>
          <w:sz w:val="20"/>
          <w:szCs w:val="20"/>
        </w:rPr>
        <w:tab/>
      </w:r>
      <w:r w:rsidRPr="00C16B45">
        <w:rPr>
          <w:rFonts w:cs="Arial"/>
          <w:b/>
          <w:bCs/>
          <w:color w:val="auto"/>
          <w:sz w:val="20"/>
          <w:szCs w:val="20"/>
        </w:rPr>
        <w:tab/>
        <w:t>Description of Provision</w:t>
      </w:r>
    </w:p>
    <w:p w:rsidR="00E51139" w:rsidRPr="00C16B45" w:rsidRDefault="00E51139" w:rsidP="00F43B00">
      <w:pPr>
        <w:pStyle w:val="BodyTextIndent"/>
        <w:ind w:left="4317" w:hanging="3750"/>
        <w:rPr>
          <w:color w:val="auto"/>
          <w:sz w:val="20"/>
          <w:szCs w:val="20"/>
        </w:rPr>
      </w:pPr>
      <w:r w:rsidRPr="00C16B45">
        <w:rPr>
          <w:color w:val="auto"/>
          <w:sz w:val="20"/>
          <w:szCs w:val="20"/>
        </w:rPr>
        <w:t>Insurance</w:t>
      </w:r>
      <w:r w:rsidRPr="00C16B45">
        <w:rPr>
          <w:color w:val="auto"/>
          <w:sz w:val="20"/>
          <w:szCs w:val="20"/>
        </w:rPr>
        <w:tab/>
      </w:r>
      <w:r w:rsidR="00F43B00" w:rsidRPr="00C16B45">
        <w:rPr>
          <w:color w:val="auto"/>
          <w:sz w:val="20"/>
          <w:szCs w:val="20"/>
        </w:rPr>
        <w:tab/>
      </w:r>
      <w:r w:rsidRPr="00C16B45">
        <w:rPr>
          <w:color w:val="auto"/>
          <w:sz w:val="20"/>
          <w:szCs w:val="20"/>
        </w:rPr>
        <w:t>Reflects a reliable estimate of Council liability on all known claims outstanding as at 31</w:t>
      </w:r>
      <w:r w:rsidRPr="00C16B45">
        <w:rPr>
          <w:color w:val="auto"/>
          <w:sz w:val="20"/>
          <w:szCs w:val="20"/>
          <w:vertAlign w:val="superscript"/>
        </w:rPr>
        <w:t>st</w:t>
      </w:r>
      <w:r w:rsidRPr="00C16B45">
        <w:rPr>
          <w:color w:val="auto"/>
          <w:sz w:val="20"/>
          <w:szCs w:val="20"/>
        </w:rPr>
        <w:t xml:space="preserve"> March, which have yet to be settled. The timing of spend will be up to three years depending on claim type.</w:t>
      </w:r>
      <w:r w:rsidRPr="00C16B45">
        <w:rPr>
          <w:color w:val="auto"/>
          <w:sz w:val="20"/>
          <w:szCs w:val="20"/>
        </w:rPr>
        <w:tab/>
      </w:r>
    </w:p>
    <w:p w:rsidR="00547199" w:rsidRPr="00C16B45" w:rsidRDefault="00547199" w:rsidP="00F43B00">
      <w:pPr>
        <w:pStyle w:val="BodyTextIndent"/>
        <w:ind w:left="4317" w:hanging="3750"/>
        <w:rPr>
          <w:color w:val="auto"/>
          <w:sz w:val="20"/>
          <w:szCs w:val="20"/>
        </w:rPr>
      </w:pPr>
      <w:r w:rsidRPr="00C16B45">
        <w:rPr>
          <w:color w:val="auto"/>
          <w:sz w:val="20"/>
          <w:szCs w:val="20"/>
        </w:rPr>
        <w:t>NNDR Appeals</w:t>
      </w:r>
      <w:r w:rsidRPr="00C16B45">
        <w:rPr>
          <w:color w:val="auto"/>
          <w:sz w:val="20"/>
          <w:szCs w:val="20"/>
        </w:rPr>
        <w:tab/>
      </w:r>
      <w:r w:rsidR="00F43B00" w:rsidRPr="00C16B45">
        <w:rPr>
          <w:color w:val="auto"/>
          <w:sz w:val="20"/>
          <w:szCs w:val="20"/>
        </w:rPr>
        <w:tab/>
      </w:r>
      <w:r w:rsidRPr="00C16B45">
        <w:rPr>
          <w:color w:val="auto"/>
          <w:sz w:val="20"/>
          <w:szCs w:val="20"/>
        </w:rPr>
        <w:t>Reflects the Councils 49% share of the estimated value of outstanding NNDR appeals submitted to the Valuation Office by 31</w:t>
      </w:r>
      <w:r w:rsidRPr="00C16B45">
        <w:rPr>
          <w:color w:val="auto"/>
          <w:sz w:val="20"/>
          <w:szCs w:val="20"/>
          <w:vertAlign w:val="superscript"/>
        </w:rPr>
        <w:t>st</w:t>
      </w:r>
      <w:r w:rsidRPr="00C16B45">
        <w:rPr>
          <w:color w:val="auto"/>
          <w:sz w:val="20"/>
          <w:szCs w:val="20"/>
        </w:rPr>
        <w:t xml:space="preserve"> March.</w:t>
      </w:r>
    </w:p>
    <w:p w:rsidR="00E51139" w:rsidRPr="00C16B45" w:rsidRDefault="00E51139" w:rsidP="00F43B00">
      <w:pPr>
        <w:pStyle w:val="BodyTextIndent"/>
        <w:ind w:left="4317" w:hanging="3750"/>
        <w:rPr>
          <w:color w:val="auto"/>
          <w:sz w:val="20"/>
          <w:szCs w:val="20"/>
        </w:rPr>
      </w:pPr>
      <w:r w:rsidRPr="00C16B45">
        <w:rPr>
          <w:color w:val="auto"/>
          <w:sz w:val="20"/>
          <w:szCs w:val="20"/>
        </w:rPr>
        <w:t>Restructure &amp; Reductions</w:t>
      </w:r>
      <w:r w:rsidRPr="00C16B45">
        <w:rPr>
          <w:color w:val="auto"/>
          <w:sz w:val="20"/>
          <w:szCs w:val="20"/>
        </w:rPr>
        <w:tab/>
      </w:r>
      <w:r w:rsidRPr="00C16B45">
        <w:rPr>
          <w:color w:val="auto"/>
          <w:sz w:val="20"/>
          <w:szCs w:val="20"/>
        </w:rPr>
        <w:tab/>
        <w:t xml:space="preserve">Provision to meet liabilities of implementing the </w:t>
      </w:r>
      <w:r w:rsidR="007E33E1" w:rsidRPr="00C16B45">
        <w:rPr>
          <w:color w:val="auto"/>
          <w:sz w:val="20"/>
          <w:szCs w:val="20"/>
        </w:rPr>
        <w:t>Council’s budget</w:t>
      </w:r>
      <w:r w:rsidRPr="00C16B45">
        <w:rPr>
          <w:color w:val="auto"/>
          <w:sz w:val="20"/>
          <w:szCs w:val="20"/>
        </w:rPr>
        <w:t xml:space="preserve"> reductions and management restructure based on </w:t>
      </w:r>
      <w:r w:rsidR="00547199" w:rsidRPr="00C16B45">
        <w:rPr>
          <w:color w:val="auto"/>
          <w:sz w:val="20"/>
          <w:szCs w:val="20"/>
        </w:rPr>
        <w:t>d</w:t>
      </w:r>
      <w:r w:rsidRPr="00C16B45">
        <w:rPr>
          <w:color w:val="auto"/>
          <w:sz w:val="20"/>
          <w:szCs w:val="20"/>
        </w:rPr>
        <w:t>ecisions made by 31</w:t>
      </w:r>
      <w:r w:rsidRPr="00C16B45">
        <w:rPr>
          <w:color w:val="auto"/>
          <w:sz w:val="20"/>
          <w:szCs w:val="20"/>
          <w:vertAlign w:val="superscript"/>
        </w:rPr>
        <w:t>st</w:t>
      </w:r>
      <w:r w:rsidRPr="00C16B45">
        <w:rPr>
          <w:color w:val="auto"/>
          <w:sz w:val="20"/>
          <w:szCs w:val="20"/>
        </w:rPr>
        <w:t xml:space="preserve"> March </w:t>
      </w:r>
      <w:r w:rsidR="00443200">
        <w:rPr>
          <w:color w:val="auto"/>
          <w:sz w:val="20"/>
          <w:szCs w:val="20"/>
        </w:rPr>
        <w:t>of each year</w:t>
      </w:r>
      <w:r w:rsidRPr="00C16B45">
        <w:rPr>
          <w:color w:val="auto"/>
          <w:sz w:val="20"/>
          <w:szCs w:val="20"/>
        </w:rPr>
        <w:t xml:space="preserve">. </w:t>
      </w:r>
    </w:p>
    <w:p w:rsidR="00935987" w:rsidRPr="00C16B45" w:rsidRDefault="00E51139" w:rsidP="00935987">
      <w:pPr>
        <w:ind w:left="4317" w:hanging="3750"/>
        <w:rPr>
          <w:rFonts w:eastAsia="Times New Roman" w:cs="Arial"/>
          <w:color w:val="auto"/>
          <w:sz w:val="20"/>
          <w:szCs w:val="20"/>
          <w:lang w:eastAsia="en-GB"/>
        </w:rPr>
      </w:pPr>
      <w:r w:rsidRPr="00C16B45">
        <w:rPr>
          <w:color w:val="auto"/>
          <w:sz w:val="20"/>
          <w:szCs w:val="20"/>
        </w:rPr>
        <w:t>Other Provisions</w:t>
      </w:r>
      <w:r w:rsidR="00935987" w:rsidRPr="00C16B45">
        <w:rPr>
          <w:color w:val="auto"/>
          <w:sz w:val="20"/>
          <w:szCs w:val="20"/>
        </w:rPr>
        <w:tab/>
      </w:r>
      <w:r w:rsidR="00935987" w:rsidRPr="00C16B45">
        <w:rPr>
          <w:color w:val="auto"/>
          <w:sz w:val="20"/>
          <w:szCs w:val="20"/>
        </w:rPr>
        <w:tab/>
      </w:r>
      <w:r w:rsidR="00935987" w:rsidRPr="00C16B45">
        <w:rPr>
          <w:rFonts w:eastAsia="Times New Roman" w:cs="Arial"/>
          <w:color w:val="auto"/>
          <w:sz w:val="20"/>
          <w:szCs w:val="20"/>
          <w:lang w:eastAsia="en-GB"/>
        </w:rPr>
        <w:t xml:space="preserve">These include provision for the payment of </w:t>
      </w:r>
      <w:r w:rsidR="007E33E1">
        <w:rPr>
          <w:rFonts w:eastAsia="Times New Roman" w:cs="Arial"/>
          <w:color w:val="auto"/>
          <w:sz w:val="20"/>
          <w:szCs w:val="20"/>
          <w:lang w:eastAsia="en-GB"/>
        </w:rPr>
        <w:t xml:space="preserve">interest </w:t>
      </w:r>
      <w:r w:rsidR="007E33E1" w:rsidRPr="00C16B45">
        <w:rPr>
          <w:rFonts w:eastAsia="Times New Roman" w:cs="Arial"/>
          <w:color w:val="auto"/>
          <w:sz w:val="20"/>
          <w:szCs w:val="20"/>
          <w:lang w:eastAsia="en-GB"/>
        </w:rPr>
        <w:t>and</w:t>
      </w:r>
      <w:r w:rsidR="00935987" w:rsidRPr="00C16B45">
        <w:rPr>
          <w:rFonts w:eastAsia="Times New Roman" w:cs="Arial"/>
          <w:color w:val="auto"/>
          <w:sz w:val="20"/>
          <w:szCs w:val="20"/>
          <w:lang w:eastAsia="en-GB"/>
        </w:rPr>
        <w:t xml:space="preserve"> a repayment of grant</w:t>
      </w:r>
    </w:p>
    <w:p w:rsidR="00E51139" w:rsidRPr="00C16B45" w:rsidRDefault="00E51139" w:rsidP="00F43B00">
      <w:pPr>
        <w:pStyle w:val="Subtitle"/>
        <w:ind w:left="567" w:hanging="567"/>
        <w:rPr>
          <w:b/>
          <w:color w:val="auto"/>
          <w:sz w:val="22"/>
          <w:szCs w:val="22"/>
        </w:rPr>
      </w:pPr>
      <w:r w:rsidRPr="00C16B45">
        <w:rPr>
          <w:b/>
          <w:color w:val="auto"/>
          <w:sz w:val="22"/>
          <w:szCs w:val="22"/>
        </w:rPr>
        <w:t>2</w:t>
      </w:r>
      <w:r w:rsidR="006D3DC4" w:rsidRPr="00C16B45">
        <w:rPr>
          <w:b/>
          <w:color w:val="auto"/>
          <w:sz w:val="22"/>
          <w:szCs w:val="22"/>
        </w:rPr>
        <w:t>0</w:t>
      </w:r>
      <w:r w:rsidR="00F43B00" w:rsidRPr="00C16B45">
        <w:rPr>
          <w:b/>
          <w:color w:val="auto"/>
          <w:sz w:val="22"/>
          <w:szCs w:val="22"/>
        </w:rPr>
        <w:t>.</w:t>
      </w:r>
      <w:r w:rsidRPr="00C16B45">
        <w:rPr>
          <w:b/>
          <w:color w:val="auto"/>
          <w:sz w:val="22"/>
          <w:szCs w:val="22"/>
        </w:rPr>
        <w:t xml:space="preserve"> </w:t>
      </w:r>
      <w:r w:rsidRPr="00C16B45">
        <w:rPr>
          <w:b/>
          <w:color w:val="auto"/>
          <w:sz w:val="22"/>
          <w:szCs w:val="22"/>
        </w:rPr>
        <w:tab/>
        <w:t xml:space="preserve">Borrowing </w:t>
      </w:r>
    </w:p>
    <w:p w:rsidR="00E51139" w:rsidRPr="00C16B45" w:rsidRDefault="00E51139" w:rsidP="00F43B00">
      <w:pPr>
        <w:pStyle w:val="BodyTextIndent"/>
        <w:ind w:left="567"/>
        <w:rPr>
          <w:color w:val="auto"/>
          <w:sz w:val="20"/>
          <w:szCs w:val="20"/>
        </w:rPr>
      </w:pPr>
      <w:r w:rsidRPr="00C16B45">
        <w:rPr>
          <w:color w:val="auto"/>
          <w:sz w:val="20"/>
          <w:szCs w:val="20"/>
        </w:rPr>
        <w:t xml:space="preserve">This heading reflects the borrowing undertaken by the Council to fund its approved capital programme. Any costs of borrowing are reflected in the Comprehensive Income and Expenditure Statement for interest charges and the Minimum Revenue Provision for the repayment of debt. Central Government will recognise the costs of any historic “supported” borrowing within the Council’s annual funding settlement. </w:t>
      </w:r>
      <w:r w:rsidR="007E33E1" w:rsidRPr="00C16B45">
        <w:rPr>
          <w:color w:val="auto"/>
          <w:sz w:val="20"/>
          <w:szCs w:val="20"/>
        </w:rPr>
        <w:t>Any “unsupported” borrowing undertaken using the Prudential Code will have to be funded from within Council resources</w:t>
      </w:r>
      <w:r w:rsidR="007E33E1">
        <w:rPr>
          <w:color w:val="auto"/>
          <w:sz w:val="20"/>
          <w:szCs w:val="20"/>
        </w:rPr>
        <w:t>, savings or</w:t>
      </w:r>
      <w:r w:rsidR="007E33E1" w:rsidRPr="00C16B45">
        <w:rPr>
          <w:color w:val="auto"/>
          <w:sz w:val="20"/>
          <w:szCs w:val="20"/>
        </w:rPr>
        <w:t xml:space="preserve"> additional income. </w:t>
      </w:r>
    </w:p>
    <w:tbl>
      <w:tblPr>
        <w:tblStyle w:val="ListTable3-Accent51"/>
        <w:tblW w:w="8788" w:type="dxa"/>
        <w:tblInd w:w="534" w:type="dxa"/>
        <w:tblLayout w:type="fixed"/>
        <w:tblLook w:val="0000"/>
      </w:tblPr>
      <w:tblGrid>
        <w:gridCol w:w="1701"/>
        <w:gridCol w:w="5386"/>
        <w:gridCol w:w="1701"/>
      </w:tblGrid>
      <w:tr w:rsidR="00DD4F0D" w:rsidRPr="00C16B45" w:rsidTr="009247F3">
        <w:trPr>
          <w:cnfStyle w:val="000000100000"/>
          <w:trHeight w:val="922"/>
        </w:trPr>
        <w:tc>
          <w:tcPr>
            <w:cnfStyle w:val="000010000000"/>
            <w:tcW w:w="1701" w:type="dxa"/>
            <w:shd w:val="clear" w:color="auto" w:fill="4BACC6" w:themeFill="accent5"/>
          </w:tcPr>
          <w:p w:rsidR="00DD4F0D" w:rsidRPr="00C16B45" w:rsidRDefault="00DD4F0D" w:rsidP="00235C9A">
            <w:pPr>
              <w:pStyle w:val="BodyTextIndent"/>
              <w:spacing w:line="240" w:lineRule="auto"/>
              <w:ind w:left="0"/>
              <w:jc w:val="center"/>
              <w:rPr>
                <w:color w:val="auto"/>
                <w:sz w:val="20"/>
                <w:szCs w:val="20"/>
              </w:rPr>
            </w:pPr>
            <w:r w:rsidRPr="00C16B45">
              <w:rPr>
                <w:color w:val="auto"/>
                <w:sz w:val="20"/>
                <w:szCs w:val="20"/>
              </w:rPr>
              <w:lastRenderedPageBreak/>
              <w:t>31</w:t>
            </w:r>
            <w:r w:rsidRPr="00C16B45">
              <w:rPr>
                <w:color w:val="auto"/>
                <w:sz w:val="20"/>
                <w:szCs w:val="20"/>
                <w:vertAlign w:val="superscript"/>
              </w:rPr>
              <w:t>st</w:t>
            </w:r>
            <w:r w:rsidR="00026B55" w:rsidRPr="00C16B45">
              <w:rPr>
                <w:color w:val="auto"/>
                <w:sz w:val="20"/>
                <w:szCs w:val="20"/>
              </w:rPr>
              <w:t xml:space="preserve"> March 2015</w:t>
            </w:r>
          </w:p>
          <w:p w:rsidR="00DD4F0D" w:rsidRPr="00C16B45" w:rsidRDefault="00DD4F0D" w:rsidP="00235C9A">
            <w:pPr>
              <w:pStyle w:val="BodyTextIndent"/>
              <w:spacing w:line="240" w:lineRule="auto"/>
              <w:ind w:left="0"/>
              <w:jc w:val="center"/>
              <w:rPr>
                <w:color w:val="auto"/>
                <w:sz w:val="20"/>
                <w:szCs w:val="20"/>
              </w:rPr>
            </w:pPr>
            <w:r w:rsidRPr="00C16B45">
              <w:rPr>
                <w:color w:val="auto"/>
                <w:sz w:val="20"/>
                <w:szCs w:val="20"/>
              </w:rPr>
              <w:t>Principal</w:t>
            </w:r>
          </w:p>
          <w:p w:rsidR="00DD4F0D" w:rsidRPr="00C16B45" w:rsidRDefault="00DD4F0D" w:rsidP="00235C9A">
            <w:pPr>
              <w:pStyle w:val="BodyTextIndent"/>
              <w:spacing w:line="240" w:lineRule="auto"/>
              <w:ind w:left="0"/>
              <w:jc w:val="center"/>
              <w:rPr>
                <w:color w:val="auto"/>
                <w:sz w:val="20"/>
                <w:szCs w:val="20"/>
              </w:rPr>
            </w:pPr>
            <w:r w:rsidRPr="00C16B45">
              <w:rPr>
                <w:color w:val="auto"/>
                <w:sz w:val="20"/>
                <w:szCs w:val="20"/>
              </w:rPr>
              <w:t>£ m</w:t>
            </w:r>
          </w:p>
        </w:tc>
        <w:tc>
          <w:tcPr>
            <w:tcW w:w="5386" w:type="dxa"/>
            <w:shd w:val="clear" w:color="auto" w:fill="4BACC6" w:themeFill="accent5"/>
          </w:tcPr>
          <w:p w:rsidR="00DD4F0D" w:rsidRPr="00C16B45" w:rsidRDefault="00DD4F0D" w:rsidP="00235C9A">
            <w:pPr>
              <w:pStyle w:val="BodyTextIndent"/>
              <w:spacing w:line="240" w:lineRule="auto"/>
              <w:ind w:left="0"/>
              <w:jc w:val="center"/>
              <w:cnfStyle w:val="000000100000"/>
              <w:rPr>
                <w:color w:val="auto"/>
                <w:sz w:val="20"/>
                <w:szCs w:val="20"/>
              </w:rPr>
            </w:pPr>
          </w:p>
          <w:p w:rsidR="00DD4F0D" w:rsidRPr="00C16B45" w:rsidRDefault="00DD4F0D" w:rsidP="00235C9A">
            <w:pPr>
              <w:pStyle w:val="BodyTextIndent"/>
              <w:spacing w:line="240" w:lineRule="auto"/>
              <w:ind w:left="0"/>
              <w:jc w:val="center"/>
              <w:cnfStyle w:val="000000100000"/>
              <w:rPr>
                <w:color w:val="auto"/>
                <w:sz w:val="20"/>
                <w:szCs w:val="20"/>
              </w:rPr>
            </w:pPr>
            <w:r w:rsidRPr="00C16B45">
              <w:rPr>
                <w:color w:val="auto"/>
                <w:sz w:val="20"/>
                <w:szCs w:val="20"/>
              </w:rPr>
              <w:t>Borrowing Repayable</w:t>
            </w:r>
          </w:p>
        </w:tc>
        <w:tc>
          <w:tcPr>
            <w:cnfStyle w:val="000010000000"/>
            <w:tcW w:w="1701" w:type="dxa"/>
            <w:shd w:val="clear" w:color="auto" w:fill="4BACC6" w:themeFill="accent5"/>
          </w:tcPr>
          <w:p w:rsidR="00DD4F0D" w:rsidRPr="00C16B45" w:rsidRDefault="00DD4F0D" w:rsidP="00235C9A">
            <w:pPr>
              <w:pStyle w:val="BodyTextIndent"/>
              <w:spacing w:line="240" w:lineRule="auto"/>
              <w:ind w:left="0"/>
              <w:jc w:val="center"/>
              <w:rPr>
                <w:b/>
                <w:color w:val="auto"/>
                <w:sz w:val="20"/>
                <w:szCs w:val="20"/>
              </w:rPr>
            </w:pPr>
            <w:r w:rsidRPr="00C16B45">
              <w:rPr>
                <w:b/>
                <w:color w:val="auto"/>
                <w:sz w:val="20"/>
                <w:szCs w:val="20"/>
              </w:rPr>
              <w:t>31</w:t>
            </w:r>
            <w:r w:rsidRPr="00C16B45">
              <w:rPr>
                <w:b/>
                <w:color w:val="auto"/>
                <w:sz w:val="20"/>
                <w:szCs w:val="20"/>
                <w:vertAlign w:val="superscript"/>
              </w:rPr>
              <w:t>st</w:t>
            </w:r>
            <w:r w:rsidR="00026B55" w:rsidRPr="00C16B45">
              <w:rPr>
                <w:b/>
                <w:color w:val="auto"/>
                <w:sz w:val="20"/>
                <w:szCs w:val="20"/>
              </w:rPr>
              <w:t xml:space="preserve"> March 2016</w:t>
            </w:r>
          </w:p>
          <w:p w:rsidR="00DD4F0D" w:rsidRPr="00C16B45" w:rsidRDefault="00DD4F0D" w:rsidP="00235C9A">
            <w:pPr>
              <w:pStyle w:val="BodyTextIndent"/>
              <w:spacing w:line="240" w:lineRule="auto"/>
              <w:ind w:left="0"/>
              <w:jc w:val="center"/>
              <w:rPr>
                <w:b/>
                <w:color w:val="auto"/>
                <w:sz w:val="20"/>
                <w:szCs w:val="20"/>
              </w:rPr>
            </w:pPr>
            <w:r w:rsidRPr="00C16B45">
              <w:rPr>
                <w:b/>
                <w:color w:val="auto"/>
                <w:sz w:val="20"/>
                <w:szCs w:val="20"/>
              </w:rPr>
              <w:t>Principal</w:t>
            </w:r>
          </w:p>
          <w:p w:rsidR="00DD4F0D" w:rsidRPr="00C16B45" w:rsidRDefault="00DD4F0D" w:rsidP="00235C9A">
            <w:pPr>
              <w:pStyle w:val="BodyTextIndent"/>
              <w:spacing w:line="240" w:lineRule="auto"/>
              <w:ind w:left="0"/>
              <w:jc w:val="center"/>
              <w:rPr>
                <w:color w:val="auto"/>
                <w:sz w:val="20"/>
                <w:szCs w:val="20"/>
              </w:rPr>
            </w:pPr>
            <w:r w:rsidRPr="00C16B45">
              <w:rPr>
                <w:color w:val="auto"/>
                <w:sz w:val="20"/>
                <w:szCs w:val="20"/>
              </w:rPr>
              <w:t>£ m</w:t>
            </w:r>
          </w:p>
        </w:tc>
      </w:tr>
      <w:tr w:rsidR="00DD4F0D" w:rsidRPr="00C16B45" w:rsidTr="009247F3">
        <w:tc>
          <w:tcPr>
            <w:cnfStyle w:val="000010000000"/>
            <w:tcW w:w="1701" w:type="dxa"/>
          </w:tcPr>
          <w:p w:rsidR="00DD4F0D" w:rsidRPr="00C16B45" w:rsidRDefault="00DD4F0D" w:rsidP="00DD4F0D">
            <w:pPr>
              <w:pStyle w:val="BodyTextIndent"/>
              <w:ind w:left="0"/>
              <w:jc w:val="center"/>
              <w:rPr>
                <w:color w:val="auto"/>
                <w:sz w:val="20"/>
                <w:szCs w:val="20"/>
              </w:rPr>
            </w:pPr>
          </w:p>
        </w:tc>
        <w:tc>
          <w:tcPr>
            <w:tcW w:w="5386" w:type="dxa"/>
          </w:tcPr>
          <w:p w:rsidR="00DD4F0D" w:rsidRPr="00C16B45" w:rsidRDefault="00DD4F0D" w:rsidP="00DD4F0D">
            <w:pPr>
              <w:pStyle w:val="BodyTextIndent"/>
              <w:ind w:left="0"/>
              <w:cnfStyle w:val="000000000000"/>
              <w:rPr>
                <w:color w:val="auto"/>
                <w:sz w:val="20"/>
                <w:szCs w:val="20"/>
              </w:rPr>
            </w:pPr>
            <w:r w:rsidRPr="00C16B45">
              <w:rPr>
                <w:color w:val="auto"/>
                <w:sz w:val="20"/>
                <w:szCs w:val="20"/>
              </w:rPr>
              <w:t>Amounts falling due in excess of one year</w:t>
            </w:r>
          </w:p>
        </w:tc>
        <w:tc>
          <w:tcPr>
            <w:cnfStyle w:val="000010000000"/>
            <w:tcW w:w="1701" w:type="dxa"/>
          </w:tcPr>
          <w:p w:rsidR="00DD4F0D" w:rsidRPr="00C16B45" w:rsidRDefault="00DD4F0D" w:rsidP="00DD4F0D">
            <w:pPr>
              <w:pStyle w:val="BodyTextIndent"/>
              <w:ind w:left="0"/>
              <w:jc w:val="center"/>
              <w:rPr>
                <w:color w:val="auto"/>
                <w:sz w:val="20"/>
                <w:szCs w:val="20"/>
              </w:rPr>
            </w:pPr>
          </w:p>
        </w:tc>
      </w:tr>
      <w:tr w:rsidR="00026B55" w:rsidRPr="00C16B45" w:rsidTr="009247F3">
        <w:trPr>
          <w:cnfStyle w:val="000000100000"/>
          <w:trHeight w:val="252"/>
        </w:trPr>
        <w:tc>
          <w:tcPr>
            <w:cnfStyle w:val="000010000000"/>
            <w:tcW w:w="1701" w:type="dxa"/>
          </w:tcPr>
          <w:p w:rsidR="00026B55" w:rsidRPr="00C16B45" w:rsidRDefault="00026B55" w:rsidP="00026B55">
            <w:pPr>
              <w:pStyle w:val="BodyTextIndent"/>
              <w:ind w:left="0"/>
              <w:jc w:val="center"/>
              <w:rPr>
                <w:color w:val="auto"/>
                <w:sz w:val="20"/>
                <w:szCs w:val="20"/>
              </w:rPr>
            </w:pPr>
            <w:r w:rsidRPr="00C16B45">
              <w:rPr>
                <w:color w:val="auto"/>
                <w:sz w:val="20"/>
                <w:szCs w:val="20"/>
              </w:rPr>
              <w:t>10.0</w:t>
            </w:r>
          </w:p>
        </w:tc>
        <w:tc>
          <w:tcPr>
            <w:tcW w:w="5386" w:type="dxa"/>
          </w:tcPr>
          <w:p w:rsidR="00026B55" w:rsidRPr="00C16B45" w:rsidRDefault="00026B55" w:rsidP="00DD4F0D">
            <w:pPr>
              <w:pStyle w:val="BodyTextIndent"/>
              <w:ind w:left="0"/>
              <w:cnfStyle w:val="000000100000"/>
              <w:rPr>
                <w:color w:val="auto"/>
                <w:sz w:val="20"/>
                <w:szCs w:val="20"/>
              </w:rPr>
            </w:pPr>
            <w:r w:rsidRPr="00C16B45">
              <w:rPr>
                <w:color w:val="auto"/>
                <w:sz w:val="20"/>
                <w:szCs w:val="20"/>
              </w:rPr>
              <w:t xml:space="preserve">Money Market (LOBO) </w:t>
            </w:r>
          </w:p>
        </w:tc>
        <w:tc>
          <w:tcPr>
            <w:cnfStyle w:val="000010000000"/>
            <w:tcW w:w="1701" w:type="dxa"/>
          </w:tcPr>
          <w:p w:rsidR="00026B55" w:rsidRPr="00C16B45" w:rsidRDefault="007E1431" w:rsidP="00DD4F0D">
            <w:pPr>
              <w:pStyle w:val="BodyTextIndent"/>
              <w:ind w:left="0"/>
              <w:jc w:val="center"/>
              <w:rPr>
                <w:color w:val="auto"/>
                <w:sz w:val="20"/>
                <w:szCs w:val="20"/>
              </w:rPr>
            </w:pPr>
            <w:r>
              <w:rPr>
                <w:color w:val="auto"/>
                <w:sz w:val="20"/>
                <w:szCs w:val="20"/>
              </w:rPr>
              <w:t>10.0</w:t>
            </w:r>
          </w:p>
        </w:tc>
      </w:tr>
      <w:tr w:rsidR="00026B55" w:rsidRPr="00C16B45" w:rsidTr="009247F3">
        <w:trPr>
          <w:trHeight w:val="252"/>
        </w:trPr>
        <w:tc>
          <w:tcPr>
            <w:cnfStyle w:val="000010000000"/>
            <w:tcW w:w="1701" w:type="dxa"/>
          </w:tcPr>
          <w:p w:rsidR="00026B55" w:rsidRPr="00C16B45" w:rsidRDefault="00026B55" w:rsidP="00026B55">
            <w:pPr>
              <w:pStyle w:val="BodyTextIndent"/>
              <w:ind w:left="0"/>
              <w:jc w:val="center"/>
              <w:rPr>
                <w:color w:val="auto"/>
                <w:sz w:val="20"/>
                <w:szCs w:val="20"/>
              </w:rPr>
            </w:pPr>
            <w:r w:rsidRPr="00C16B45">
              <w:rPr>
                <w:color w:val="auto"/>
                <w:sz w:val="20"/>
                <w:szCs w:val="20"/>
              </w:rPr>
              <w:t>128.1</w:t>
            </w:r>
          </w:p>
        </w:tc>
        <w:tc>
          <w:tcPr>
            <w:tcW w:w="5386" w:type="dxa"/>
          </w:tcPr>
          <w:p w:rsidR="00026B55" w:rsidRPr="00C16B45" w:rsidRDefault="00026B55" w:rsidP="00DD4F0D">
            <w:pPr>
              <w:pStyle w:val="BodyTextIndent"/>
              <w:ind w:left="0"/>
              <w:cnfStyle w:val="000000000000"/>
              <w:rPr>
                <w:color w:val="auto"/>
                <w:sz w:val="20"/>
                <w:szCs w:val="20"/>
              </w:rPr>
            </w:pPr>
            <w:r w:rsidRPr="00C16B45">
              <w:rPr>
                <w:color w:val="auto"/>
                <w:sz w:val="20"/>
                <w:szCs w:val="20"/>
              </w:rPr>
              <w:t>Public Works Loans Board</w:t>
            </w:r>
          </w:p>
        </w:tc>
        <w:tc>
          <w:tcPr>
            <w:cnfStyle w:val="000010000000"/>
            <w:tcW w:w="1701" w:type="dxa"/>
          </w:tcPr>
          <w:p w:rsidR="00026B55" w:rsidRPr="00C16B45" w:rsidRDefault="007E1431" w:rsidP="00DD4F0D">
            <w:pPr>
              <w:pStyle w:val="BodyTextIndent"/>
              <w:ind w:left="0"/>
              <w:jc w:val="center"/>
              <w:rPr>
                <w:color w:val="auto"/>
                <w:sz w:val="20"/>
                <w:szCs w:val="20"/>
              </w:rPr>
            </w:pPr>
            <w:r>
              <w:rPr>
                <w:color w:val="auto"/>
                <w:sz w:val="20"/>
                <w:szCs w:val="20"/>
              </w:rPr>
              <w:t>128.1</w:t>
            </w:r>
          </w:p>
        </w:tc>
      </w:tr>
      <w:tr w:rsidR="00026B55" w:rsidRPr="00C16B45" w:rsidTr="009247F3">
        <w:trPr>
          <w:cnfStyle w:val="000000100000"/>
        </w:trPr>
        <w:tc>
          <w:tcPr>
            <w:cnfStyle w:val="000010000000"/>
            <w:tcW w:w="1701" w:type="dxa"/>
          </w:tcPr>
          <w:p w:rsidR="00026B55" w:rsidRPr="00C16B45" w:rsidRDefault="00026B55" w:rsidP="00026B55">
            <w:pPr>
              <w:pStyle w:val="BodyTextIndent"/>
              <w:ind w:left="0"/>
              <w:jc w:val="center"/>
              <w:rPr>
                <w:b/>
                <w:color w:val="auto"/>
                <w:sz w:val="20"/>
                <w:szCs w:val="20"/>
              </w:rPr>
            </w:pPr>
            <w:r w:rsidRPr="00C16B45">
              <w:rPr>
                <w:b/>
                <w:color w:val="auto"/>
                <w:sz w:val="20"/>
                <w:szCs w:val="20"/>
              </w:rPr>
              <w:t>138.1</w:t>
            </w:r>
          </w:p>
        </w:tc>
        <w:tc>
          <w:tcPr>
            <w:tcW w:w="5386" w:type="dxa"/>
          </w:tcPr>
          <w:p w:rsidR="00026B55" w:rsidRPr="00C16B45" w:rsidRDefault="00026B55" w:rsidP="00DD4F0D">
            <w:pPr>
              <w:pStyle w:val="BodyTextIndent"/>
              <w:ind w:left="0"/>
              <w:cnfStyle w:val="000000100000"/>
              <w:rPr>
                <w:b/>
                <w:color w:val="auto"/>
                <w:sz w:val="20"/>
                <w:szCs w:val="20"/>
              </w:rPr>
            </w:pPr>
            <w:r w:rsidRPr="00C16B45">
              <w:rPr>
                <w:b/>
                <w:color w:val="auto"/>
                <w:sz w:val="20"/>
                <w:szCs w:val="20"/>
              </w:rPr>
              <w:t>Total</w:t>
            </w:r>
          </w:p>
        </w:tc>
        <w:tc>
          <w:tcPr>
            <w:cnfStyle w:val="000010000000"/>
            <w:tcW w:w="1701" w:type="dxa"/>
          </w:tcPr>
          <w:p w:rsidR="00026B55" w:rsidRPr="00C16B45" w:rsidRDefault="007E1431" w:rsidP="00DD4F0D">
            <w:pPr>
              <w:pStyle w:val="BodyTextIndent"/>
              <w:ind w:left="0"/>
              <w:jc w:val="center"/>
              <w:rPr>
                <w:b/>
                <w:color w:val="auto"/>
                <w:sz w:val="20"/>
                <w:szCs w:val="20"/>
              </w:rPr>
            </w:pPr>
            <w:r>
              <w:rPr>
                <w:b/>
                <w:color w:val="auto"/>
                <w:sz w:val="20"/>
                <w:szCs w:val="20"/>
              </w:rPr>
              <w:t>138.1</w:t>
            </w:r>
          </w:p>
        </w:tc>
      </w:tr>
      <w:tr w:rsidR="00026B55" w:rsidRPr="00C16B45" w:rsidTr="009247F3">
        <w:trPr>
          <w:trHeight w:val="255"/>
        </w:trPr>
        <w:tc>
          <w:tcPr>
            <w:cnfStyle w:val="000010000000"/>
            <w:tcW w:w="1701" w:type="dxa"/>
          </w:tcPr>
          <w:p w:rsidR="00026B55" w:rsidRPr="009247F3" w:rsidRDefault="00026B55" w:rsidP="00026B55">
            <w:pPr>
              <w:pStyle w:val="BodyTextIndent"/>
              <w:tabs>
                <w:tab w:val="left" w:pos="709"/>
              </w:tabs>
              <w:ind w:left="0"/>
              <w:jc w:val="center"/>
              <w:rPr>
                <w:i/>
                <w:color w:val="auto"/>
                <w:sz w:val="20"/>
                <w:szCs w:val="20"/>
              </w:rPr>
            </w:pPr>
            <w:r w:rsidRPr="009247F3">
              <w:rPr>
                <w:i/>
                <w:color w:val="auto"/>
                <w:sz w:val="20"/>
                <w:szCs w:val="20"/>
              </w:rPr>
              <w:t>139.6</w:t>
            </w:r>
          </w:p>
          <w:p w:rsidR="009247F3" w:rsidRPr="009247F3" w:rsidRDefault="009247F3" w:rsidP="00026B55">
            <w:pPr>
              <w:pStyle w:val="BodyTextIndent"/>
              <w:tabs>
                <w:tab w:val="left" w:pos="709"/>
              </w:tabs>
              <w:ind w:left="0"/>
              <w:jc w:val="center"/>
              <w:rPr>
                <w:i/>
                <w:color w:val="auto"/>
                <w:sz w:val="20"/>
                <w:szCs w:val="20"/>
              </w:rPr>
            </w:pPr>
            <w:r w:rsidRPr="009247F3">
              <w:rPr>
                <w:i/>
                <w:color w:val="auto"/>
                <w:sz w:val="20"/>
                <w:szCs w:val="20"/>
              </w:rPr>
              <w:t>171.8</w:t>
            </w:r>
          </w:p>
        </w:tc>
        <w:tc>
          <w:tcPr>
            <w:tcW w:w="5386" w:type="dxa"/>
          </w:tcPr>
          <w:p w:rsidR="00026B55" w:rsidRPr="009247F3" w:rsidRDefault="009247F3" w:rsidP="00DD4F0D">
            <w:pPr>
              <w:pStyle w:val="BodyTextIndent"/>
              <w:tabs>
                <w:tab w:val="left" w:pos="709"/>
              </w:tabs>
              <w:ind w:left="0"/>
              <w:cnfStyle w:val="000000000000"/>
              <w:rPr>
                <w:i/>
                <w:color w:val="auto"/>
                <w:sz w:val="20"/>
                <w:szCs w:val="20"/>
              </w:rPr>
            </w:pPr>
            <w:r w:rsidRPr="009247F3">
              <w:rPr>
                <w:i/>
                <w:color w:val="auto"/>
                <w:sz w:val="20"/>
                <w:szCs w:val="20"/>
              </w:rPr>
              <w:t>Carrying Amount</w:t>
            </w:r>
            <w:r w:rsidR="00026B55" w:rsidRPr="009247F3">
              <w:rPr>
                <w:i/>
                <w:color w:val="auto"/>
                <w:sz w:val="20"/>
                <w:szCs w:val="20"/>
              </w:rPr>
              <w:t xml:space="preserve"> as at 31</w:t>
            </w:r>
            <w:r w:rsidR="00026B55" w:rsidRPr="009247F3">
              <w:rPr>
                <w:i/>
                <w:color w:val="auto"/>
                <w:sz w:val="20"/>
                <w:szCs w:val="20"/>
                <w:vertAlign w:val="superscript"/>
              </w:rPr>
              <w:t>st</w:t>
            </w:r>
            <w:r w:rsidR="00026B55" w:rsidRPr="009247F3">
              <w:rPr>
                <w:i/>
                <w:color w:val="auto"/>
                <w:sz w:val="20"/>
                <w:szCs w:val="20"/>
              </w:rPr>
              <w:t xml:space="preserve"> March  - including interest due</w:t>
            </w:r>
          </w:p>
          <w:p w:rsidR="009247F3" w:rsidRPr="009247F3" w:rsidRDefault="009247F3" w:rsidP="009A167A">
            <w:pPr>
              <w:pStyle w:val="BodyTextIndent"/>
              <w:tabs>
                <w:tab w:val="left" w:pos="709"/>
              </w:tabs>
              <w:ind w:left="0"/>
              <w:cnfStyle w:val="000000000000"/>
              <w:rPr>
                <w:i/>
                <w:color w:val="auto"/>
                <w:sz w:val="20"/>
                <w:szCs w:val="20"/>
              </w:rPr>
            </w:pPr>
            <w:r w:rsidRPr="009247F3">
              <w:rPr>
                <w:i/>
                <w:color w:val="auto"/>
                <w:sz w:val="20"/>
                <w:szCs w:val="20"/>
              </w:rPr>
              <w:t xml:space="preserve">Fair value </w:t>
            </w:r>
            <w:r w:rsidRPr="009A167A">
              <w:rPr>
                <w:i/>
                <w:color w:val="auto"/>
                <w:sz w:val="18"/>
                <w:szCs w:val="18"/>
              </w:rPr>
              <w:t>(</w:t>
            </w:r>
            <w:r w:rsidR="009A167A">
              <w:rPr>
                <w:i/>
                <w:color w:val="auto"/>
                <w:sz w:val="18"/>
                <w:szCs w:val="18"/>
              </w:rPr>
              <w:t xml:space="preserve">as </w:t>
            </w:r>
            <w:r w:rsidRPr="009A167A">
              <w:rPr>
                <w:i/>
                <w:color w:val="auto"/>
                <w:sz w:val="18"/>
                <w:szCs w:val="18"/>
              </w:rPr>
              <w:t>IFRS</w:t>
            </w:r>
            <w:r w:rsidR="009A167A" w:rsidRPr="009A167A">
              <w:rPr>
                <w:i/>
                <w:color w:val="auto"/>
                <w:sz w:val="18"/>
                <w:szCs w:val="18"/>
              </w:rPr>
              <w:t xml:space="preserve"> </w:t>
            </w:r>
            <w:r w:rsidRPr="009A167A">
              <w:rPr>
                <w:i/>
                <w:color w:val="auto"/>
                <w:sz w:val="18"/>
                <w:szCs w:val="18"/>
              </w:rPr>
              <w:t>13</w:t>
            </w:r>
            <w:r w:rsidR="009A167A" w:rsidRPr="009A167A">
              <w:rPr>
                <w:i/>
                <w:color w:val="auto"/>
                <w:sz w:val="18"/>
                <w:szCs w:val="18"/>
              </w:rPr>
              <w:t xml:space="preserve"> see Note 13 Fair Value of Assets </w:t>
            </w:r>
            <w:r w:rsidR="009A167A">
              <w:rPr>
                <w:i/>
                <w:color w:val="auto"/>
                <w:sz w:val="18"/>
                <w:szCs w:val="18"/>
              </w:rPr>
              <w:t xml:space="preserve">and </w:t>
            </w:r>
            <w:r w:rsidR="009A167A" w:rsidRPr="009A167A">
              <w:rPr>
                <w:i/>
                <w:color w:val="auto"/>
                <w:sz w:val="18"/>
                <w:szCs w:val="18"/>
              </w:rPr>
              <w:t>Liabilities</w:t>
            </w:r>
            <w:r w:rsidRPr="009A167A">
              <w:rPr>
                <w:i/>
                <w:color w:val="auto"/>
                <w:sz w:val="18"/>
                <w:szCs w:val="18"/>
              </w:rPr>
              <w:t>)</w:t>
            </w:r>
          </w:p>
        </w:tc>
        <w:tc>
          <w:tcPr>
            <w:cnfStyle w:val="000010000000"/>
            <w:tcW w:w="1701" w:type="dxa"/>
          </w:tcPr>
          <w:p w:rsidR="00026B55" w:rsidRPr="009247F3" w:rsidRDefault="007E1431" w:rsidP="00DD4F0D">
            <w:pPr>
              <w:pStyle w:val="BodyTextIndent"/>
              <w:tabs>
                <w:tab w:val="left" w:pos="709"/>
              </w:tabs>
              <w:ind w:left="0"/>
              <w:jc w:val="center"/>
              <w:rPr>
                <w:i/>
                <w:color w:val="auto"/>
                <w:sz w:val="20"/>
                <w:szCs w:val="20"/>
              </w:rPr>
            </w:pPr>
            <w:r w:rsidRPr="009247F3">
              <w:rPr>
                <w:i/>
                <w:color w:val="auto"/>
                <w:sz w:val="20"/>
                <w:szCs w:val="20"/>
              </w:rPr>
              <w:t>139.</w:t>
            </w:r>
            <w:r w:rsidR="00902E47" w:rsidRPr="009247F3">
              <w:rPr>
                <w:i/>
                <w:color w:val="auto"/>
                <w:sz w:val="20"/>
                <w:szCs w:val="20"/>
              </w:rPr>
              <w:t>6</w:t>
            </w:r>
          </w:p>
          <w:p w:rsidR="009247F3" w:rsidRPr="009247F3" w:rsidRDefault="009247F3" w:rsidP="00DD4F0D">
            <w:pPr>
              <w:pStyle w:val="BodyTextIndent"/>
              <w:tabs>
                <w:tab w:val="left" w:pos="709"/>
              </w:tabs>
              <w:ind w:left="0"/>
              <w:jc w:val="center"/>
              <w:rPr>
                <w:i/>
                <w:color w:val="auto"/>
                <w:sz w:val="20"/>
                <w:szCs w:val="20"/>
              </w:rPr>
            </w:pPr>
            <w:r w:rsidRPr="009247F3">
              <w:rPr>
                <w:i/>
                <w:color w:val="auto"/>
                <w:sz w:val="20"/>
                <w:szCs w:val="20"/>
              </w:rPr>
              <w:t>172.9</w:t>
            </w:r>
          </w:p>
        </w:tc>
      </w:tr>
    </w:tbl>
    <w:p w:rsidR="00DD4F0D" w:rsidRPr="00C16B45" w:rsidRDefault="00DD4F0D" w:rsidP="009A167A">
      <w:pPr>
        <w:pStyle w:val="BodyTextIndent"/>
        <w:ind w:left="0"/>
        <w:rPr>
          <w:color w:val="auto"/>
          <w:sz w:val="20"/>
          <w:szCs w:val="20"/>
        </w:rPr>
      </w:pPr>
    </w:p>
    <w:p w:rsidR="0099618A" w:rsidRPr="00C16B45" w:rsidRDefault="00E51139" w:rsidP="009A167A">
      <w:pPr>
        <w:pStyle w:val="BodyTextIndent"/>
        <w:ind w:left="426"/>
        <w:rPr>
          <w:color w:val="auto"/>
          <w:sz w:val="20"/>
          <w:szCs w:val="20"/>
        </w:rPr>
      </w:pPr>
      <w:r w:rsidRPr="00C16B45">
        <w:rPr>
          <w:color w:val="auto"/>
          <w:sz w:val="20"/>
          <w:szCs w:val="20"/>
        </w:rPr>
        <w:t>The table below shows an analysis of the maturity of loans repayable</w:t>
      </w:r>
      <w:r w:rsidR="00DD4F0D" w:rsidRPr="00C16B45">
        <w:rPr>
          <w:color w:val="auto"/>
          <w:sz w:val="20"/>
          <w:szCs w:val="20"/>
        </w:rPr>
        <w:t xml:space="preserve"> (by principal outstanding):-</w:t>
      </w:r>
    </w:p>
    <w:tbl>
      <w:tblPr>
        <w:tblStyle w:val="ListTable3-Accent51"/>
        <w:tblW w:w="8930" w:type="dxa"/>
        <w:tblInd w:w="534" w:type="dxa"/>
        <w:tblLayout w:type="fixed"/>
        <w:tblLook w:val="0000"/>
      </w:tblPr>
      <w:tblGrid>
        <w:gridCol w:w="1842"/>
        <w:gridCol w:w="4395"/>
        <w:gridCol w:w="992"/>
        <w:gridCol w:w="1701"/>
      </w:tblGrid>
      <w:tr w:rsidR="00E51139" w:rsidRPr="00C16B45" w:rsidTr="009A167A">
        <w:trPr>
          <w:tblHeader/>
        </w:trPr>
        <w:tc>
          <w:tcPr>
            <w:cnfStyle w:val="000010000000"/>
            <w:tcW w:w="1842" w:type="dxa"/>
            <w:shd w:val="clear" w:color="auto" w:fill="4BACC6" w:themeFill="accent5"/>
          </w:tcPr>
          <w:p w:rsidR="00E51139" w:rsidRPr="00C16B45" w:rsidRDefault="00E51139" w:rsidP="00235C9A">
            <w:pPr>
              <w:pStyle w:val="BodyTextIndent"/>
              <w:spacing w:line="240" w:lineRule="auto"/>
              <w:ind w:left="0"/>
              <w:jc w:val="center"/>
              <w:rPr>
                <w:color w:val="auto"/>
                <w:sz w:val="20"/>
                <w:szCs w:val="20"/>
              </w:rPr>
            </w:pPr>
            <w:r w:rsidRPr="00C16B45">
              <w:rPr>
                <w:color w:val="auto"/>
                <w:sz w:val="20"/>
                <w:szCs w:val="20"/>
              </w:rPr>
              <w:t xml:space="preserve">Total Principal </w:t>
            </w:r>
          </w:p>
          <w:p w:rsidR="00E51139" w:rsidRPr="00C16B45" w:rsidRDefault="00E51139" w:rsidP="00235C9A">
            <w:pPr>
              <w:pStyle w:val="BodyTextIndent"/>
              <w:spacing w:line="240" w:lineRule="auto"/>
              <w:ind w:left="0"/>
              <w:jc w:val="center"/>
              <w:rPr>
                <w:color w:val="auto"/>
                <w:sz w:val="20"/>
                <w:szCs w:val="20"/>
              </w:rPr>
            </w:pPr>
            <w:r w:rsidRPr="00C16B45">
              <w:rPr>
                <w:color w:val="auto"/>
                <w:sz w:val="20"/>
                <w:szCs w:val="20"/>
              </w:rPr>
              <w:t>Outstanding</w:t>
            </w:r>
          </w:p>
          <w:p w:rsidR="00E51139" w:rsidRPr="009A167A" w:rsidRDefault="00E51139" w:rsidP="00235C9A">
            <w:pPr>
              <w:pStyle w:val="BodyTextIndent"/>
              <w:spacing w:line="240" w:lineRule="auto"/>
              <w:ind w:left="0"/>
              <w:jc w:val="center"/>
              <w:rPr>
                <w:color w:val="auto"/>
                <w:sz w:val="18"/>
                <w:szCs w:val="18"/>
              </w:rPr>
            </w:pPr>
            <w:r w:rsidRPr="009A167A">
              <w:rPr>
                <w:color w:val="auto"/>
                <w:sz w:val="18"/>
                <w:szCs w:val="18"/>
              </w:rPr>
              <w:t>31st March 201</w:t>
            </w:r>
            <w:r w:rsidR="00026B55" w:rsidRPr="009A167A">
              <w:rPr>
                <w:color w:val="auto"/>
                <w:sz w:val="18"/>
                <w:szCs w:val="18"/>
              </w:rPr>
              <w:t>5</w:t>
            </w:r>
          </w:p>
          <w:p w:rsidR="0035151A" w:rsidRPr="009A167A" w:rsidRDefault="0035151A" w:rsidP="00235C9A">
            <w:pPr>
              <w:pStyle w:val="BodyTextIndent"/>
              <w:spacing w:line="240" w:lineRule="auto"/>
              <w:ind w:left="0"/>
              <w:jc w:val="center"/>
              <w:rPr>
                <w:color w:val="auto"/>
                <w:sz w:val="18"/>
                <w:szCs w:val="18"/>
              </w:rPr>
            </w:pPr>
            <w:r w:rsidRPr="009A167A">
              <w:rPr>
                <w:color w:val="auto"/>
                <w:sz w:val="18"/>
                <w:szCs w:val="18"/>
              </w:rPr>
              <w:t>Re-stated</w:t>
            </w:r>
          </w:p>
          <w:p w:rsidR="00E51139" w:rsidRPr="00C16B45" w:rsidRDefault="00E51139" w:rsidP="00235C9A">
            <w:pPr>
              <w:pStyle w:val="BodyTextIndent"/>
              <w:spacing w:line="240" w:lineRule="auto"/>
              <w:ind w:left="0"/>
              <w:jc w:val="center"/>
              <w:rPr>
                <w:color w:val="auto"/>
                <w:sz w:val="20"/>
                <w:szCs w:val="20"/>
              </w:rPr>
            </w:pPr>
            <w:r w:rsidRPr="009A167A">
              <w:rPr>
                <w:color w:val="auto"/>
                <w:sz w:val="18"/>
                <w:szCs w:val="18"/>
              </w:rPr>
              <w:t>£ m</w:t>
            </w:r>
          </w:p>
        </w:tc>
        <w:tc>
          <w:tcPr>
            <w:tcW w:w="4395" w:type="dxa"/>
            <w:shd w:val="clear" w:color="auto" w:fill="4BACC6" w:themeFill="accent5"/>
          </w:tcPr>
          <w:p w:rsidR="00F43B00" w:rsidRPr="00C16B45" w:rsidRDefault="00F43B00" w:rsidP="00235C9A">
            <w:pPr>
              <w:pStyle w:val="BodyTextIndent"/>
              <w:spacing w:line="240" w:lineRule="auto"/>
              <w:ind w:left="0"/>
              <w:jc w:val="center"/>
              <w:cnfStyle w:val="000000000000"/>
              <w:rPr>
                <w:color w:val="auto"/>
                <w:sz w:val="20"/>
                <w:szCs w:val="20"/>
                <w:u w:val="single"/>
              </w:rPr>
            </w:pPr>
            <w:r w:rsidRPr="00C16B45">
              <w:rPr>
                <w:color w:val="auto"/>
                <w:sz w:val="20"/>
                <w:szCs w:val="20"/>
              </w:rPr>
              <w:t>Analysis of Loans by Maturity</w:t>
            </w:r>
          </w:p>
          <w:p w:rsidR="00E51139" w:rsidRPr="00C16B45" w:rsidRDefault="00E51139" w:rsidP="00235C9A">
            <w:pPr>
              <w:pStyle w:val="BodyTextIndent"/>
              <w:spacing w:line="240" w:lineRule="auto"/>
              <w:ind w:left="0"/>
              <w:jc w:val="center"/>
              <w:cnfStyle w:val="000000000000"/>
              <w:rPr>
                <w:color w:val="auto"/>
                <w:sz w:val="20"/>
                <w:szCs w:val="20"/>
                <w:u w:val="single"/>
              </w:rPr>
            </w:pPr>
          </w:p>
          <w:p w:rsidR="00E51139" w:rsidRPr="00C16B45" w:rsidRDefault="00E51139" w:rsidP="00235C9A">
            <w:pPr>
              <w:pStyle w:val="BodyTextIndent"/>
              <w:spacing w:line="240" w:lineRule="auto"/>
              <w:ind w:left="0"/>
              <w:jc w:val="center"/>
              <w:cnfStyle w:val="000000000000"/>
              <w:rPr>
                <w:color w:val="auto"/>
                <w:sz w:val="20"/>
                <w:szCs w:val="20"/>
              </w:rPr>
            </w:pPr>
          </w:p>
        </w:tc>
        <w:tc>
          <w:tcPr>
            <w:cnfStyle w:val="000010000000"/>
            <w:tcW w:w="992" w:type="dxa"/>
            <w:shd w:val="clear" w:color="auto" w:fill="4BACC6" w:themeFill="accent5"/>
          </w:tcPr>
          <w:p w:rsidR="00E51139" w:rsidRPr="00C16B45" w:rsidRDefault="00F43B00" w:rsidP="00235C9A">
            <w:pPr>
              <w:pStyle w:val="BodyTextIndent"/>
              <w:spacing w:line="240" w:lineRule="auto"/>
              <w:ind w:left="0"/>
              <w:jc w:val="center"/>
              <w:rPr>
                <w:color w:val="auto"/>
                <w:sz w:val="20"/>
                <w:szCs w:val="20"/>
              </w:rPr>
            </w:pPr>
            <w:r w:rsidRPr="00C16B45">
              <w:rPr>
                <w:color w:val="auto"/>
                <w:sz w:val="20"/>
                <w:szCs w:val="20"/>
              </w:rPr>
              <w:t>Average Interest Rate</w:t>
            </w:r>
          </w:p>
          <w:p w:rsidR="00E51139" w:rsidRPr="00C16B45" w:rsidRDefault="00E51139" w:rsidP="00235C9A">
            <w:pPr>
              <w:pStyle w:val="BodyTextIndent"/>
              <w:spacing w:line="240" w:lineRule="auto"/>
              <w:ind w:left="0"/>
              <w:jc w:val="center"/>
              <w:rPr>
                <w:color w:val="auto"/>
                <w:sz w:val="20"/>
                <w:szCs w:val="20"/>
              </w:rPr>
            </w:pPr>
          </w:p>
          <w:p w:rsidR="00E51139" w:rsidRPr="00C16B45" w:rsidRDefault="00E51139" w:rsidP="00235C9A">
            <w:pPr>
              <w:pStyle w:val="BodyTextIndent"/>
              <w:spacing w:line="240" w:lineRule="auto"/>
              <w:ind w:left="0"/>
              <w:jc w:val="center"/>
              <w:rPr>
                <w:color w:val="auto"/>
                <w:sz w:val="20"/>
                <w:szCs w:val="20"/>
              </w:rPr>
            </w:pPr>
          </w:p>
        </w:tc>
        <w:tc>
          <w:tcPr>
            <w:tcW w:w="1701" w:type="dxa"/>
            <w:shd w:val="clear" w:color="auto" w:fill="4BACC6" w:themeFill="accent5"/>
          </w:tcPr>
          <w:p w:rsidR="00E51139" w:rsidRPr="00C16B45" w:rsidRDefault="00E51139" w:rsidP="00235C9A">
            <w:pPr>
              <w:pStyle w:val="BodyTextIndent"/>
              <w:spacing w:line="240" w:lineRule="auto"/>
              <w:ind w:left="0"/>
              <w:jc w:val="center"/>
              <w:cnfStyle w:val="000000000000"/>
              <w:rPr>
                <w:b/>
                <w:color w:val="auto"/>
                <w:sz w:val="20"/>
                <w:szCs w:val="20"/>
              </w:rPr>
            </w:pPr>
            <w:r w:rsidRPr="00C16B45">
              <w:rPr>
                <w:b/>
                <w:color w:val="auto"/>
                <w:sz w:val="20"/>
                <w:szCs w:val="20"/>
              </w:rPr>
              <w:t xml:space="preserve">Total Principal </w:t>
            </w:r>
          </w:p>
          <w:p w:rsidR="00E51139" w:rsidRPr="00C16B45" w:rsidRDefault="00E51139" w:rsidP="00235C9A">
            <w:pPr>
              <w:pStyle w:val="BodyTextIndent"/>
              <w:spacing w:line="240" w:lineRule="auto"/>
              <w:ind w:left="0"/>
              <w:jc w:val="center"/>
              <w:cnfStyle w:val="000000000000"/>
              <w:rPr>
                <w:b/>
                <w:color w:val="auto"/>
                <w:sz w:val="20"/>
                <w:szCs w:val="20"/>
              </w:rPr>
            </w:pPr>
            <w:r w:rsidRPr="00C16B45">
              <w:rPr>
                <w:b/>
                <w:color w:val="auto"/>
                <w:sz w:val="20"/>
                <w:szCs w:val="20"/>
              </w:rPr>
              <w:t>Outstanding</w:t>
            </w:r>
          </w:p>
          <w:p w:rsidR="00E51139" w:rsidRPr="00C16B45" w:rsidRDefault="00E51139" w:rsidP="00235C9A">
            <w:pPr>
              <w:pStyle w:val="BodyTextIndent"/>
              <w:spacing w:line="240" w:lineRule="auto"/>
              <w:ind w:left="0"/>
              <w:jc w:val="center"/>
              <w:cnfStyle w:val="000000000000"/>
              <w:rPr>
                <w:b/>
                <w:color w:val="auto"/>
                <w:sz w:val="20"/>
                <w:szCs w:val="20"/>
              </w:rPr>
            </w:pPr>
            <w:r w:rsidRPr="00C16B45">
              <w:rPr>
                <w:b/>
                <w:color w:val="auto"/>
                <w:sz w:val="20"/>
                <w:szCs w:val="20"/>
              </w:rPr>
              <w:t>31st March 201</w:t>
            </w:r>
            <w:r w:rsidR="00026B55" w:rsidRPr="00C16B45">
              <w:rPr>
                <w:b/>
                <w:color w:val="auto"/>
                <w:sz w:val="20"/>
                <w:szCs w:val="20"/>
              </w:rPr>
              <w:t>6</w:t>
            </w:r>
          </w:p>
          <w:p w:rsidR="00E51139" w:rsidRPr="00C16B45" w:rsidRDefault="00E51139" w:rsidP="00235C9A">
            <w:pPr>
              <w:pStyle w:val="BodyTextIndent"/>
              <w:spacing w:line="240" w:lineRule="auto"/>
              <w:ind w:left="0"/>
              <w:jc w:val="center"/>
              <w:cnfStyle w:val="000000000000"/>
              <w:rPr>
                <w:color w:val="auto"/>
                <w:sz w:val="20"/>
                <w:szCs w:val="20"/>
              </w:rPr>
            </w:pPr>
            <w:r w:rsidRPr="00C16B45">
              <w:rPr>
                <w:color w:val="auto"/>
                <w:sz w:val="20"/>
                <w:szCs w:val="20"/>
              </w:rPr>
              <w:t>£ m</w:t>
            </w:r>
          </w:p>
        </w:tc>
      </w:tr>
      <w:tr w:rsidR="004A0228" w:rsidRPr="00C16B45" w:rsidTr="009A167A">
        <w:trPr>
          <w:cnfStyle w:val="000000100000"/>
          <w:trHeight w:hRule="exact" w:val="284"/>
        </w:trPr>
        <w:tc>
          <w:tcPr>
            <w:cnfStyle w:val="000010000000"/>
            <w:tcW w:w="1842" w:type="dxa"/>
          </w:tcPr>
          <w:p w:rsidR="004A0228" w:rsidRPr="00C16B45" w:rsidRDefault="004A0228" w:rsidP="00026B55">
            <w:pPr>
              <w:pStyle w:val="BodyTextIndent"/>
              <w:ind w:left="0"/>
              <w:jc w:val="center"/>
              <w:rPr>
                <w:color w:val="auto"/>
                <w:sz w:val="20"/>
                <w:szCs w:val="20"/>
              </w:rPr>
            </w:pPr>
            <w:r w:rsidRPr="00C16B45">
              <w:rPr>
                <w:color w:val="auto"/>
                <w:sz w:val="20"/>
                <w:szCs w:val="20"/>
              </w:rPr>
              <w:t>4.0</w:t>
            </w:r>
          </w:p>
        </w:tc>
        <w:tc>
          <w:tcPr>
            <w:tcW w:w="4395" w:type="dxa"/>
            <w:vAlign w:val="center"/>
          </w:tcPr>
          <w:p w:rsidR="004A0228" w:rsidRPr="00C16B45" w:rsidRDefault="004A0228" w:rsidP="00235C9A">
            <w:pPr>
              <w:pStyle w:val="BodyTextIndent"/>
              <w:ind w:left="0"/>
              <w:cnfStyle w:val="000000100000"/>
              <w:rPr>
                <w:color w:val="auto"/>
                <w:sz w:val="20"/>
                <w:szCs w:val="20"/>
              </w:rPr>
            </w:pPr>
            <w:r w:rsidRPr="00C16B45">
              <w:rPr>
                <w:color w:val="auto"/>
                <w:sz w:val="20"/>
                <w:szCs w:val="20"/>
              </w:rPr>
              <w:t>2 up to 3 years</w:t>
            </w:r>
          </w:p>
        </w:tc>
        <w:tc>
          <w:tcPr>
            <w:cnfStyle w:val="000010000000"/>
            <w:tcW w:w="992" w:type="dxa"/>
            <w:vAlign w:val="center"/>
          </w:tcPr>
          <w:p w:rsidR="004A0228" w:rsidRPr="004A0228" w:rsidRDefault="004A0228" w:rsidP="00881DD4">
            <w:pPr>
              <w:pStyle w:val="BodyTextIndent"/>
              <w:ind w:left="0"/>
              <w:jc w:val="center"/>
              <w:rPr>
                <w:color w:val="auto"/>
                <w:sz w:val="20"/>
                <w:szCs w:val="20"/>
                <w:highlight w:val="yellow"/>
              </w:rPr>
            </w:pPr>
            <w:r w:rsidRPr="00881DD4">
              <w:rPr>
                <w:color w:val="auto"/>
                <w:sz w:val="20"/>
                <w:szCs w:val="20"/>
              </w:rPr>
              <w:t>3.9</w:t>
            </w:r>
            <w:r w:rsidR="00881DD4" w:rsidRPr="00881DD4">
              <w:rPr>
                <w:color w:val="auto"/>
                <w:sz w:val="20"/>
                <w:szCs w:val="20"/>
              </w:rPr>
              <w:t>2</w:t>
            </w:r>
            <w:r w:rsidRPr="00881DD4">
              <w:rPr>
                <w:color w:val="auto"/>
                <w:sz w:val="20"/>
                <w:szCs w:val="20"/>
              </w:rPr>
              <w:t>%</w:t>
            </w:r>
          </w:p>
        </w:tc>
        <w:tc>
          <w:tcPr>
            <w:tcW w:w="1701" w:type="dxa"/>
          </w:tcPr>
          <w:p w:rsidR="004A0228" w:rsidRPr="00C16B45" w:rsidRDefault="004A0228" w:rsidP="00F82E5E">
            <w:pPr>
              <w:pStyle w:val="BodyTextIndent"/>
              <w:ind w:left="0"/>
              <w:jc w:val="center"/>
              <w:cnfStyle w:val="000000100000"/>
              <w:rPr>
                <w:b/>
                <w:color w:val="auto"/>
                <w:sz w:val="20"/>
                <w:szCs w:val="20"/>
              </w:rPr>
            </w:pPr>
            <w:r>
              <w:rPr>
                <w:b/>
                <w:color w:val="auto"/>
                <w:sz w:val="20"/>
                <w:szCs w:val="20"/>
              </w:rPr>
              <w:t>6.0</w:t>
            </w:r>
          </w:p>
        </w:tc>
      </w:tr>
      <w:tr w:rsidR="004A0228" w:rsidRPr="00C16B45" w:rsidTr="009A167A">
        <w:trPr>
          <w:trHeight w:hRule="exact" w:val="284"/>
        </w:trPr>
        <w:tc>
          <w:tcPr>
            <w:cnfStyle w:val="000010000000"/>
            <w:tcW w:w="1842" w:type="dxa"/>
          </w:tcPr>
          <w:p w:rsidR="004A0228" w:rsidRPr="00C16B45" w:rsidRDefault="004A0228" w:rsidP="00026B55">
            <w:pPr>
              <w:pStyle w:val="BodyTextIndent"/>
              <w:ind w:left="0"/>
              <w:jc w:val="center"/>
              <w:rPr>
                <w:color w:val="auto"/>
                <w:sz w:val="20"/>
                <w:szCs w:val="20"/>
              </w:rPr>
            </w:pPr>
            <w:r w:rsidRPr="00C16B45">
              <w:rPr>
                <w:color w:val="auto"/>
                <w:sz w:val="20"/>
                <w:szCs w:val="20"/>
              </w:rPr>
              <w:t>2.0</w:t>
            </w:r>
          </w:p>
        </w:tc>
        <w:tc>
          <w:tcPr>
            <w:tcW w:w="4395" w:type="dxa"/>
            <w:vAlign w:val="center"/>
          </w:tcPr>
          <w:p w:rsidR="004A0228" w:rsidRPr="00C16B45" w:rsidRDefault="004A0228" w:rsidP="00235C9A">
            <w:pPr>
              <w:pStyle w:val="BodyTextIndent"/>
              <w:ind w:left="0"/>
              <w:cnfStyle w:val="000000000000"/>
              <w:rPr>
                <w:color w:val="auto"/>
                <w:sz w:val="20"/>
                <w:szCs w:val="20"/>
              </w:rPr>
            </w:pPr>
            <w:r w:rsidRPr="00C16B45">
              <w:rPr>
                <w:color w:val="auto"/>
                <w:sz w:val="20"/>
                <w:szCs w:val="20"/>
              </w:rPr>
              <w:t>3 up to 4 years</w:t>
            </w:r>
          </w:p>
        </w:tc>
        <w:tc>
          <w:tcPr>
            <w:cnfStyle w:val="000010000000"/>
            <w:tcW w:w="992" w:type="dxa"/>
            <w:vAlign w:val="center"/>
          </w:tcPr>
          <w:p w:rsidR="004A0228" w:rsidRPr="004A0228" w:rsidRDefault="00097D8E" w:rsidP="009521F7">
            <w:pPr>
              <w:pStyle w:val="BodyTextIndent"/>
              <w:ind w:left="0"/>
              <w:jc w:val="center"/>
              <w:rPr>
                <w:color w:val="auto"/>
                <w:sz w:val="20"/>
                <w:szCs w:val="20"/>
                <w:highlight w:val="yellow"/>
              </w:rPr>
            </w:pPr>
            <w:r w:rsidRPr="00097D8E">
              <w:rPr>
                <w:color w:val="auto"/>
                <w:sz w:val="20"/>
                <w:szCs w:val="20"/>
              </w:rPr>
              <w:t>0.00%</w:t>
            </w:r>
          </w:p>
        </w:tc>
        <w:tc>
          <w:tcPr>
            <w:tcW w:w="1701" w:type="dxa"/>
          </w:tcPr>
          <w:p w:rsidR="004A0228" w:rsidRPr="00C16B45" w:rsidRDefault="004A0228" w:rsidP="00F82E5E">
            <w:pPr>
              <w:pStyle w:val="BodyTextIndent"/>
              <w:ind w:left="0"/>
              <w:jc w:val="center"/>
              <w:cnfStyle w:val="000000000000"/>
              <w:rPr>
                <w:b/>
                <w:color w:val="auto"/>
                <w:sz w:val="20"/>
                <w:szCs w:val="20"/>
              </w:rPr>
            </w:pPr>
            <w:r>
              <w:rPr>
                <w:b/>
                <w:color w:val="auto"/>
                <w:sz w:val="20"/>
                <w:szCs w:val="20"/>
              </w:rPr>
              <w:t>0.0</w:t>
            </w:r>
          </w:p>
        </w:tc>
      </w:tr>
      <w:tr w:rsidR="004A0228" w:rsidRPr="00C16B45" w:rsidTr="009A167A">
        <w:trPr>
          <w:cnfStyle w:val="000000100000"/>
          <w:trHeight w:hRule="exact" w:val="284"/>
        </w:trPr>
        <w:tc>
          <w:tcPr>
            <w:cnfStyle w:val="000010000000"/>
            <w:tcW w:w="1842" w:type="dxa"/>
          </w:tcPr>
          <w:p w:rsidR="004A0228" w:rsidRPr="00C16B45" w:rsidRDefault="0035151A" w:rsidP="00026B55">
            <w:pPr>
              <w:pStyle w:val="BodyTextIndent"/>
              <w:ind w:left="0"/>
              <w:jc w:val="center"/>
              <w:rPr>
                <w:color w:val="auto"/>
                <w:sz w:val="20"/>
                <w:szCs w:val="20"/>
              </w:rPr>
            </w:pPr>
            <w:r>
              <w:rPr>
                <w:color w:val="auto"/>
                <w:sz w:val="20"/>
                <w:szCs w:val="20"/>
              </w:rPr>
              <w:t>0.0</w:t>
            </w:r>
          </w:p>
        </w:tc>
        <w:tc>
          <w:tcPr>
            <w:tcW w:w="4395" w:type="dxa"/>
            <w:vAlign w:val="center"/>
          </w:tcPr>
          <w:p w:rsidR="004A0228" w:rsidRPr="00C16B45" w:rsidRDefault="004A0228" w:rsidP="00235C9A">
            <w:pPr>
              <w:pStyle w:val="BodyTextIndent"/>
              <w:ind w:left="0"/>
              <w:cnfStyle w:val="000000100000"/>
              <w:rPr>
                <w:color w:val="auto"/>
                <w:sz w:val="20"/>
                <w:szCs w:val="20"/>
              </w:rPr>
            </w:pPr>
            <w:r w:rsidRPr="00C16B45">
              <w:rPr>
                <w:color w:val="auto"/>
                <w:sz w:val="20"/>
                <w:szCs w:val="20"/>
              </w:rPr>
              <w:t>4 up to 5 years</w:t>
            </w:r>
          </w:p>
        </w:tc>
        <w:tc>
          <w:tcPr>
            <w:cnfStyle w:val="000010000000"/>
            <w:tcW w:w="992" w:type="dxa"/>
            <w:vAlign w:val="center"/>
          </w:tcPr>
          <w:p w:rsidR="004A0228" w:rsidRPr="004A0228" w:rsidRDefault="00881DD4" w:rsidP="00AA0AAA">
            <w:pPr>
              <w:pStyle w:val="BodyTextIndent"/>
              <w:ind w:left="0"/>
              <w:jc w:val="center"/>
              <w:rPr>
                <w:color w:val="auto"/>
                <w:sz w:val="20"/>
                <w:szCs w:val="20"/>
                <w:highlight w:val="yellow"/>
              </w:rPr>
            </w:pPr>
            <w:r w:rsidRPr="00881DD4">
              <w:rPr>
                <w:color w:val="auto"/>
                <w:sz w:val="20"/>
                <w:szCs w:val="20"/>
              </w:rPr>
              <w:t>3.85</w:t>
            </w:r>
            <w:r w:rsidR="004A0228" w:rsidRPr="00881DD4">
              <w:rPr>
                <w:color w:val="auto"/>
                <w:sz w:val="20"/>
                <w:szCs w:val="20"/>
              </w:rPr>
              <w:t>%</w:t>
            </w:r>
          </w:p>
        </w:tc>
        <w:tc>
          <w:tcPr>
            <w:tcW w:w="1701" w:type="dxa"/>
          </w:tcPr>
          <w:p w:rsidR="004A0228" w:rsidRPr="00C16B45" w:rsidRDefault="004A0228" w:rsidP="00F82E5E">
            <w:pPr>
              <w:pStyle w:val="BodyTextIndent"/>
              <w:ind w:left="0"/>
              <w:jc w:val="center"/>
              <w:cnfStyle w:val="000000100000"/>
              <w:rPr>
                <w:b/>
                <w:color w:val="auto"/>
                <w:sz w:val="20"/>
                <w:szCs w:val="20"/>
              </w:rPr>
            </w:pPr>
            <w:r>
              <w:rPr>
                <w:b/>
                <w:color w:val="auto"/>
                <w:sz w:val="20"/>
                <w:szCs w:val="20"/>
              </w:rPr>
              <w:t>3.0</w:t>
            </w:r>
          </w:p>
        </w:tc>
      </w:tr>
      <w:tr w:rsidR="004A0228" w:rsidRPr="00C16B45" w:rsidTr="009A167A">
        <w:trPr>
          <w:trHeight w:hRule="exact" w:val="284"/>
        </w:trPr>
        <w:tc>
          <w:tcPr>
            <w:cnfStyle w:val="000010000000"/>
            <w:tcW w:w="1842" w:type="dxa"/>
          </w:tcPr>
          <w:p w:rsidR="004A0228" w:rsidRPr="00C16B45" w:rsidRDefault="004A0228" w:rsidP="00026B55">
            <w:pPr>
              <w:pStyle w:val="BodyTextIndent"/>
              <w:ind w:left="0"/>
              <w:jc w:val="center"/>
              <w:rPr>
                <w:color w:val="auto"/>
                <w:sz w:val="20"/>
                <w:szCs w:val="20"/>
              </w:rPr>
            </w:pPr>
            <w:r w:rsidRPr="00C16B45">
              <w:rPr>
                <w:color w:val="auto"/>
                <w:sz w:val="20"/>
                <w:szCs w:val="20"/>
              </w:rPr>
              <w:t>13.0</w:t>
            </w:r>
          </w:p>
        </w:tc>
        <w:tc>
          <w:tcPr>
            <w:tcW w:w="4395" w:type="dxa"/>
            <w:vAlign w:val="center"/>
          </w:tcPr>
          <w:p w:rsidR="004A0228" w:rsidRPr="00C16B45" w:rsidRDefault="004A0228" w:rsidP="00235C9A">
            <w:pPr>
              <w:pStyle w:val="BodyTextIndent"/>
              <w:ind w:left="0"/>
              <w:cnfStyle w:val="000000000000"/>
              <w:rPr>
                <w:color w:val="auto"/>
                <w:sz w:val="20"/>
                <w:szCs w:val="20"/>
              </w:rPr>
            </w:pPr>
            <w:r w:rsidRPr="00C16B45">
              <w:rPr>
                <w:color w:val="auto"/>
                <w:sz w:val="20"/>
                <w:szCs w:val="20"/>
              </w:rPr>
              <w:t>5 up to 10 years</w:t>
            </w:r>
          </w:p>
        </w:tc>
        <w:tc>
          <w:tcPr>
            <w:cnfStyle w:val="000010000000"/>
            <w:tcW w:w="992" w:type="dxa"/>
            <w:vAlign w:val="center"/>
          </w:tcPr>
          <w:p w:rsidR="004A0228" w:rsidRPr="004A0228" w:rsidRDefault="004A0228" w:rsidP="00881DD4">
            <w:pPr>
              <w:pStyle w:val="BodyTextIndent"/>
              <w:ind w:left="0"/>
              <w:jc w:val="center"/>
              <w:rPr>
                <w:color w:val="auto"/>
                <w:sz w:val="20"/>
                <w:szCs w:val="20"/>
                <w:highlight w:val="yellow"/>
              </w:rPr>
            </w:pPr>
            <w:r w:rsidRPr="00881DD4">
              <w:rPr>
                <w:color w:val="auto"/>
                <w:sz w:val="20"/>
                <w:szCs w:val="20"/>
              </w:rPr>
              <w:t>4.3</w:t>
            </w:r>
            <w:r w:rsidR="00881DD4" w:rsidRPr="00881DD4">
              <w:rPr>
                <w:color w:val="auto"/>
                <w:sz w:val="20"/>
                <w:szCs w:val="20"/>
              </w:rPr>
              <w:t>2</w:t>
            </w:r>
            <w:r w:rsidRPr="00881DD4">
              <w:rPr>
                <w:color w:val="auto"/>
                <w:sz w:val="20"/>
                <w:szCs w:val="20"/>
              </w:rPr>
              <w:t>%</w:t>
            </w:r>
          </w:p>
        </w:tc>
        <w:tc>
          <w:tcPr>
            <w:tcW w:w="1701" w:type="dxa"/>
          </w:tcPr>
          <w:p w:rsidR="004A0228" w:rsidRPr="00C16B45" w:rsidRDefault="004A0228" w:rsidP="00F82E5E">
            <w:pPr>
              <w:pStyle w:val="BodyTextIndent"/>
              <w:ind w:left="0"/>
              <w:jc w:val="center"/>
              <w:cnfStyle w:val="000000000000"/>
              <w:rPr>
                <w:b/>
                <w:color w:val="auto"/>
                <w:sz w:val="20"/>
                <w:szCs w:val="20"/>
              </w:rPr>
            </w:pPr>
            <w:r>
              <w:rPr>
                <w:b/>
                <w:color w:val="auto"/>
                <w:sz w:val="20"/>
                <w:szCs w:val="20"/>
              </w:rPr>
              <w:t>15.0</w:t>
            </w:r>
          </w:p>
        </w:tc>
      </w:tr>
      <w:tr w:rsidR="004A0228" w:rsidRPr="00C16B45" w:rsidTr="009A167A">
        <w:trPr>
          <w:cnfStyle w:val="000000100000"/>
          <w:trHeight w:hRule="exact" w:val="284"/>
        </w:trPr>
        <w:tc>
          <w:tcPr>
            <w:cnfStyle w:val="000010000000"/>
            <w:tcW w:w="1842" w:type="dxa"/>
          </w:tcPr>
          <w:p w:rsidR="004A0228" w:rsidRPr="00C16B45" w:rsidRDefault="004A0228" w:rsidP="0035151A">
            <w:pPr>
              <w:pStyle w:val="BodyTextIndent"/>
              <w:ind w:left="0"/>
              <w:jc w:val="center"/>
              <w:rPr>
                <w:color w:val="auto"/>
                <w:sz w:val="20"/>
                <w:szCs w:val="20"/>
              </w:rPr>
            </w:pPr>
            <w:r w:rsidRPr="00C16B45">
              <w:rPr>
                <w:color w:val="auto"/>
                <w:sz w:val="20"/>
                <w:szCs w:val="20"/>
              </w:rPr>
              <w:t>1</w:t>
            </w:r>
            <w:r w:rsidR="0035151A">
              <w:rPr>
                <w:color w:val="auto"/>
                <w:sz w:val="20"/>
                <w:szCs w:val="20"/>
              </w:rPr>
              <w:t>4</w:t>
            </w:r>
            <w:r w:rsidRPr="00C16B45">
              <w:rPr>
                <w:color w:val="auto"/>
                <w:sz w:val="20"/>
                <w:szCs w:val="20"/>
              </w:rPr>
              <w:t>.8</w:t>
            </w:r>
          </w:p>
        </w:tc>
        <w:tc>
          <w:tcPr>
            <w:tcW w:w="4395" w:type="dxa"/>
            <w:vAlign w:val="center"/>
          </w:tcPr>
          <w:p w:rsidR="004A0228" w:rsidRPr="00C16B45" w:rsidRDefault="004A0228" w:rsidP="00235C9A">
            <w:pPr>
              <w:pStyle w:val="BodyTextIndent"/>
              <w:ind w:left="0"/>
              <w:cnfStyle w:val="000000100000"/>
              <w:rPr>
                <w:color w:val="auto"/>
                <w:sz w:val="20"/>
                <w:szCs w:val="20"/>
              </w:rPr>
            </w:pPr>
            <w:r w:rsidRPr="00C16B45">
              <w:rPr>
                <w:color w:val="auto"/>
                <w:sz w:val="20"/>
                <w:szCs w:val="20"/>
              </w:rPr>
              <w:t>10 up to 15 years</w:t>
            </w:r>
          </w:p>
        </w:tc>
        <w:tc>
          <w:tcPr>
            <w:cnfStyle w:val="000010000000"/>
            <w:tcW w:w="992" w:type="dxa"/>
            <w:vAlign w:val="center"/>
          </w:tcPr>
          <w:p w:rsidR="004A0228" w:rsidRPr="004A0228" w:rsidRDefault="004A0228" w:rsidP="007611CB">
            <w:pPr>
              <w:pStyle w:val="BodyTextIndent"/>
              <w:ind w:left="0"/>
              <w:jc w:val="center"/>
              <w:rPr>
                <w:color w:val="auto"/>
                <w:sz w:val="20"/>
                <w:szCs w:val="20"/>
                <w:highlight w:val="yellow"/>
              </w:rPr>
            </w:pPr>
            <w:r w:rsidRPr="007611CB">
              <w:rPr>
                <w:color w:val="auto"/>
                <w:sz w:val="20"/>
                <w:szCs w:val="20"/>
              </w:rPr>
              <w:t>4.</w:t>
            </w:r>
            <w:r w:rsidR="007611CB" w:rsidRPr="007611CB">
              <w:rPr>
                <w:color w:val="auto"/>
                <w:sz w:val="20"/>
                <w:szCs w:val="20"/>
              </w:rPr>
              <w:t>29</w:t>
            </w:r>
            <w:r w:rsidRPr="007611CB">
              <w:rPr>
                <w:color w:val="auto"/>
                <w:sz w:val="20"/>
                <w:szCs w:val="20"/>
              </w:rPr>
              <w:t>%</w:t>
            </w:r>
          </w:p>
        </w:tc>
        <w:tc>
          <w:tcPr>
            <w:tcW w:w="1701" w:type="dxa"/>
          </w:tcPr>
          <w:p w:rsidR="004A0228" w:rsidRPr="00C16B45" w:rsidRDefault="004A0228" w:rsidP="00F82E5E">
            <w:pPr>
              <w:pStyle w:val="BodyTextIndent"/>
              <w:ind w:left="0"/>
              <w:jc w:val="center"/>
              <w:cnfStyle w:val="000000100000"/>
              <w:rPr>
                <w:b/>
                <w:color w:val="auto"/>
                <w:sz w:val="20"/>
                <w:szCs w:val="20"/>
              </w:rPr>
            </w:pPr>
            <w:r>
              <w:rPr>
                <w:b/>
                <w:color w:val="auto"/>
                <w:sz w:val="20"/>
                <w:szCs w:val="20"/>
              </w:rPr>
              <w:t>9.9</w:t>
            </w:r>
          </w:p>
        </w:tc>
      </w:tr>
      <w:tr w:rsidR="004A0228" w:rsidRPr="00C16B45" w:rsidTr="009A167A">
        <w:trPr>
          <w:trHeight w:hRule="exact" w:val="284"/>
        </w:trPr>
        <w:tc>
          <w:tcPr>
            <w:cnfStyle w:val="000010000000"/>
            <w:tcW w:w="1842" w:type="dxa"/>
          </w:tcPr>
          <w:p w:rsidR="004A0228" w:rsidRPr="00C16B45" w:rsidRDefault="004A0228" w:rsidP="00026B55">
            <w:pPr>
              <w:pStyle w:val="BodyTextIndent"/>
              <w:ind w:left="0"/>
              <w:jc w:val="center"/>
              <w:rPr>
                <w:color w:val="auto"/>
                <w:sz w:val="20"/>
                <w:szCs w:val="20"/>
              </w:rPr>
            </w:pPr>
            <w:r w:rsidRPr="00C16B45">
              <w:rPr>
                <w:color w:val="auto"/>
                <w:sz w:val="20"/>
                <w:szCs w:val="20"/>
              </w:rPr>
              <w:t>11.3</w:t>
            </w:r>
          </w:p>
        </w:tc>
        <w:tc>
          <w:tcPr>
            <w:tcW w:w="4395" w:type="dxa"/>
            <w:vAlign w:val="center"/>
          </w:tcPr>
          <w:p w:rsidR="004A0228" w:rsidRPr="00C16B45" w:rsidRDefault="004A0228" w:rsidP="00235C9A">
            <w:pPr>
              <w:pStyle w:val="BodyTextIndent"/>
              <w:ind w:left="0"/>
              <w:cnfStyle w:val="000000000000"/>
              <w:rPr>
                <w:color w:val="auto"/>
                <w:sz w:val="20"/>
                <w:szCs w:val="20"/>
              </w:rPr>
            </w:pPr>
            <w:r w:rsidRPr="00C16B45">
              <w:rPr>
                <w:color w:val="auto"/>
                <w:sz w:val="20"/>
                <w:szCs w:val="20"/>
              </w:rPr>
              <w:t>15 up to 20 years</w:t>
            </w:r>
          </w:p>
        </w:tc>
        <w:tc>
          <w:tcPr>
            <w:cnfStyle w:val="000010000000"/>
            <w:tcW w:w="992" w:type="dxa"/>
            <w:vAlign w:val="center"/>
          </w:tcPr>
          <w:p w:rsidR="004A0228" w:rsidRPr="004A0228" w:rsidRDefault="004A0228" w:rsidP="007611CB">
            <w:pPr>
              <w:pStyle w:val="BodyTextIndent"/>
              <w:ind w:left="0"/>
              <w:jc w:val="center"/>
              <w:rPr>
                <w:color w:val="auto"/>
                <w:sz w:val="20"/>
                <w:szCs w:val="20"/>
                <w:highlight w:val="yellow"/>
              </w:rPr>
            </w:pPr>
            <w:r w:rsidRPr="007611CB">
              <w:rPr>
                <w:color w:val="auto"/>
                <w:sz w:val="20"/>
                <w:szCs w:val="20"/>
              </w:rPr>
              <w:t>4.7</w:t>
            </w:r>
            <w:r w:rsidR="007611CB" w:rsidRPr="007611CB">
              <w:rPr>
                <w:color w:val="auto"/>
                <w:sz w:val="20"/>
                <w:szCs w:val="20"/>
              </w:rPr>
              <w:t>9</w:t>
            </w:r>
            <w:r w:rsidRPr="007611CB">
              <w:rPr>
                <w:color w:val="auto"/>
                <w:sz w:val="20"/>
                <w:szCs w:val="20"/>
              </w:rPr>
              <w:t>%</w:t>
            </w:r>
          </w:p>
        </w:tc>
        <w:tc>
          <w:tcPr>
            <w:tcW w:w="1701" w:type="dxa"/>
          </w:tcPr>
          <w:p w:rsidR="004A0228" w:rsidRPr="00C16B45" w:rsidRDefault="004A0228" w:rsidP="00F82E5E">
            <w:pPr>
              <w:pStyle w:val="BodyTextIndent"/>
              <w:ind w:left="0"/>
              <w:jc w:val="center"/>
              <w:cnfStyle w:val="000000000000"/>
              <w:rPr>
                <w:b/>
                <w:color w:val="auto"/>
                <w:sz w:val="20"/>
                <w:szCs w:val="20"/>
              </w:rPr>
            </w:pPr>
            <w:r>
              <w:rPr>
                <w:b/>
                <w:color w:val="auto"/>
                <w:sz w:val="20"/>
                <w:szCs w:val="20"/>
              </w:rPr>
              <w:t>11.6</w:t>
            </w:r>
          </w:p>
        </w:tc>
      </w:tr>
      <w:tr w:rsidR="004A0228" w:rsidRPr="00C16B45" w:rsidTr="009A167A">
        <w:trPr>
          <w:cnfStyle w:val="000000100000"/>
          <w:trHeight w:hRule="exact" w:val="284"/>
        </w:trPr>
        <w:tc>
          <w:tcPr>
            <w:cnfStyle w:val="000010000000"/>
            <w:tcW w:w="1842" w:type="dxa"/>
          </w:tcPr>
          <w:p w:rsidR="004A0228" w:rsidRPr="00C16B45" w:rsidRDefault="004A0228" w:rsidP="00026B55">
            <w:pPr>
              <w:pStyle w:val="BodyTextIndent"/>
              <w:ind w:left="0"/>
              <w:jc w:val="center"/>
              <w:rPr>
                <w:color w:val="auto"/>
                <w:sz w:val="20"/>
                <w:szCs w:val="20"/>
              </w:rPr>
            </w:pPr>
            <w:r w:rsidRPr="00C16B45">
              <w:rPr>
                <w:color w:val="auto"/>
                <w:sz w:val="20"/>
                <w:szCs w:val="20"/>
              </w:rPr>
              <w:t>18.1</w:t>
            </w:r>
          </w:p>
        </w:tc>
        <w:tc>
          <w:tcPr>
            <w:tcW w:w="4395" w:type="dxa"/>
            <w:vAlign w:val="center"/>
          </w:tcPr>
          <w:p w:rsidR="004A0228" w:rsidRPr="00C16B45" w:rsidRDefault="004A0228" w:rsidP="00235C9A">
            <w:pPr>
              <w:pStyle w:val="BodyTextIndent"/>
              <w:ind w:left="0"/>
              <w:cnfStyle w:val="000000100000"/>
              <w:rPr>
                <w:color w:val="auto"/>
                <w:sz w:val="20"/>
                <w:szCs w:val="20"/>
              </w:rPr>
            </w:pPr>
            <w:r w:rsidRPr="00C16B45">
              <w:rPr>
                <w:color w:val="auto"/>
                <w:sz w:val="20"/>
                <w:szCs w:val="20"/>
              </w:rPr>
              <w:t>20 up to 25 years</w:t>
            </w:r>
          </w:p>
        </w:tc>
        <w:tc>
          <w:tcPr>
            <w:cnfStyle w:val="000010000000"/>
            <w:tcW w:w="992" w:type="dxa"/>
            <w:vAlign w:val="center"/>
          </w:tcPr>
          <w:p w:rsidR="004A0228" w:rsidRPr="004A0228" w:rsidRDefault="004A0228" w:rsidP="00097D8E">
            <w:pPr>
              <w:pStyle w:val="BodyTextIndent"/>
              <w:ind w:left="0"/>
              <w:jc w:val="center"/>
              <w:rPr>
                <w:color w:val="auto"/>
                <w:sz w:val="20"/>
                <w:szCs w:val="20"/>
                <w:highlight w:val="yellow"/>
              </w:rPr>
            </w:pPr>
            <w:r w:rsidRPr="00097D8E">
              <w:rPr>
                <w:color w:val="auto"/>
                <w:sz w:val="20"/>
                <w:szCs w:val="20"/>
              </w:rPr>
              <w:t>4.</w:t>
            </w:r>
            <w:r w:rsidR="00097D8E" w:rsidRPr="00097D8E">
              <w:rPr>
                <w:color w:val="auto"/>
                <w:sz w:val="20"/>
                <w:szCs w:val="20"/>
              </w:rPr>
              <w:t>63</w:t>
            </w:r>
            <w:r w:rsidRPr="00097D8E">
              <w:rPr>
                <w:color w:val="auto"/>
                <w:sz w:val="20"/>
                <w:szCs w:val="20"/>
              </w:rPr>
              <w:t>%</w:t>
            </w:r>
          </w:p>
        </w:tc>
        <w:tc>
          <w:tcPr>
            <w:tcW w:w="1701" w:type="dxa"/>
          </w:tcPr>
          <w:p w:rsidR="004A0228" w:rsidRPr="00C16B45" w:rsidRDefault="004A0228" w:rsidP="00F82E5E">
            <w:pPr>
              <w:pStyle w:val="BodyTextIndent"/>
              <w:ind w:left="0"/>
              <w:jc w:val="center"/>
              <w:cnfStyle w:val="000000100000"/>
              <w:rPr>
                <w:b/>
                <w:color w:val="auto"/>
                <w:sz w:val="20"/>
                <w:szCs w:val="20"/>
              </w:rPr>
            </w:pPr>
            <w:r>
              <w:rPr>
                <w:b/>
                <w:color w:val="auto"/>
                <w:sz w:val="20"/>
                <w:szCs w:val="20"/>
              </w:rPr>
              <w:t>19.7</w:t>
            </w:r>
          </w:p>
        </w:tc>
      </w:tr>
      <w:tr w:rsidR="004A0228" w:rsidRPr="00C16B45" w:rsidTr="009A167A">
        <w:trPr>
          <w:trHeight w:hRule="exact" w:val="284"/>
        </w:trPr>
        <w:tc>
          <w:tcPr>
            <w:cnfStyle w:val="000010000000"/>
            <w:tcW w:w="1842" w:type="dxa"/>
          </w:tcPr>
          <w:p w:rsidR="004A0228" w:rsidRPr="00C16B45" w:rsidRDefault="0035151A" w:rsidP="00026B55">
            <w:pPr>
              <w:pStyle w:val="BodyTextIndent"/>
              <w:ind w:left="0"/>
              <w:jc w:val="center"/>
              <w:rPr>
                <w:color w:val="auto"/>
                <w:sz w:val="20"/>
                <w:szCs w:val="20"/>
              </w:rPr>
            </w:pPr>
            <w:r>
              <w:rPr>
                <w:color w:val="auto"/>
                <w:sz w:val="20"/>
                <w:szCs w:val="20"/>
              </w:rPr>
              <w:t>7</w:t>
            </w:r>
            <w:r w:rsidR="004A0228" w:rsidRPr="00C16B45">
              <w:rPr>
                <w:color w:val="auto"/>
                <w:sz w:val="20"/>
                <w:szCs w:val="20"/>
              </w:rPr>
              <w:t>4.9</w:t>
            </w:r>
          </w:p>
        </w:tc>
        <w:tc>
          <w:tcPr>
            <w:tcW w:w="4395" w:type="dxa"/>
            <w:vAlign w:val="center"/>
          </w:tcPr>
          <w:p w:rsidR="004A0228" w:rsidRPr="00C16B45" w:rsidRDefault="004A0228" w:rsidP="00235C9A">
            <w:pPr>
              <w:pStyle w:val="BodyTextIndent"/>
              <w:ind w:left="0"/>
              <w:cnfStyle w:val="000000000000"/>
              <w:rPr>
                <w:color w:val="auto"/>
                <w:sz w:val="20"/>
                <w:szCs w:val="20"/>
              </w:rPr>
            </w:pPr>
            <w:r w:rsidRPr="00C16B45">
              <w:rPr>
                <w:color w:val="auto"/>
                <w:sz w:val="20"/>
                <w:szCs w:val="20"/>
              </w:rPr>
              <w:t>Over 25 years</w:t>
            </w:r>
          </w:p>
        </w:tc>
        <w:tc>
          <w:tcPr>
            <w:cnfStyle w:val="000010000000"/>
            <w:tcW w:w="992" w:type="dxa"/>
            <w:vAlign w:val="center"/>
          </w:tcPr>
          <w:p w:rsidR="004A0228" w:rsidRPr="004A0228" w:rsidRDefault="004A0228" w:rsidP="00097D8E">
            <w:pPr>
              <w:pStyle w:val="BodyTextIndent"/>
              <w:ind w:left="0"/>
              <w:jc w:val="center"/>
              <w:rPr>
                <w:color w:val="auto"/>
                <w:sz w:val="20"/>
                <w:szCs w:val="20"/>
                <w:highlight w:val="yellow"/>
              </w:rPr>
            </w:pPr>
            <w:r w:rsidRPr="00097D8E">
              <w:rPr>
                <w:color w:val="auto"/>
                <w:sz w:val="20"/>
                <w:szCs w:val="20"/>
              </w:rPr>
              <w:t>4.3</w:t>
            </w:r>
            <w:r w:rsidR="00097D8E" w:rsidRPr="00097D8E">
              <w:rPr>
                <w:color w:val="auto"/>
                <w:sz w:val="20"/>
                <w:szCs w:val="20"/>
              </w:rPr>
              <w:t>5</w:t>
            </w:r>
            <w:r w:rsidRPr="00097D8E">
              <w:rPr>
                <w:color w:val="auto"/>
                <w:sz w:val="20"/>
                <w:szCs w:val="20"/>
              </w:rPr>
              <w:t>%</w:t>
            </w:r>
          </w:p>
        </w:tc>
        <w:tc>
          <w:tcPr>
            <w:tcW w:w="1701" w:type="dxa"/>
          </w:tcPr>
          <w:p w:rsidR="004A0228" w:rsidRPr="00C16B45" w:rsidRDefault="004A0228" w:rsidP="00F82E5E">
            <w:pPr>
              <w:pStyle w:val="BodyTextIndent"/>
              <w:ind w:left="0"/>
              <w:jc w:val="center"/>
              <w:cnfStyle w:val="000000000000"/>
              <w:rPr>
                <w:b/>
                <w:color w:val="auto"/>
                <w:sz w:val="20"/>
                <w:szCs w:val="20"/>
              </w:rPr>
            </w:pPr>
            <w:r>
              <w:rPr>
                <w:b/>
                <w:color w:val="auto"/>
                <w:sz w:val="20"/>
                <w:szCs w:val="20"/>
              </w:rPr>
              <w:t>72.9</w:t>
            </w:r>
          </w:p>
        </w:tc>
      </w:tr>
      <w:tr w:rsidR="004A0228" w:rsidRPr="00C16B45" w:rsidTr="009A167A">
        <w:trPr>
          <w:cnfStyle w:val="000000100000"/>
          <w:trHeight w:hRule="exact" w:val="284"/>
        </w:trPr>
        <w:tc>
          <w:tcPr>
            <w:cnfStyle w:val="000010000000"/>
            <w:tcW w:w="1842" w:type="dxa"/>
          </w:tcPr>
          <w:p w:rsidR="004A0228" w:rsidRPr="00C16B45" w:rsidRDefault="004A0228" w:rsidP="00026B55">
            <w:pPr>
              <w:pStyle w:val="BodyTextIndent"/>
              <w:ind w:left="0"/>
              <w:jc w:val="center"/>
              <w:rPr>
                <w:color w:val="auto"/>
                <w:sz w:val="20"/>
                <w:szCs w:val="20"/>
              </w:rPr>
            </w:pPr>
            <w:r w:rsidRPr="00C16B45">
              <w:rPr>
                <w:color w:val="auto"/>
                <w:sz w:val="20"/>
                <w:szCs w:val="20"/>
              </w:rPr>
              <w:t>138.1</w:t>
            </w:r>
          </w:p>
        </w:tc>
        <w:tc>
          <w:tcPr>
            <w:tcW w:w="4395" w:type="dxa"/>
            <w:vAlign w:val="center"/>
          </w:tcPr>
          <w:p w:rsidR="004A0228" w:rsidRPr="00C16B45" w:rsidRDefault="004A0228" w:rsidP="00235C9A">
            <w:pPr>
              <w:pStyle w:val="BodyTextIndent"/>
              <w:ind w:left="0"/>
              <w:cnfStyle w:val="000000100000"/>
              <w:rPr>
                <w:color w:val="auto"/>
                <w:sz w:val="20"/>
                <w:szCs w:val="20"/>
              </w:rPr>
            </w:pPr>
            <w:r w:rsidRPr="00C16B45">
              <w:rPr>
                <w:color w:val="auto"/>
                <w:sz w:val="20"/>
                <w:szCs w:val="20"/>
              </w:rPr>
              <w:t>Total</w:t>
            </w:r>
          </w:p>
        </w:tc>
        <w:tc>
          <w:tcPr>
            <w:cnfStyle w:val="000010000000"/>
            <w:tcW w:w="992" w:type="dxa"/>
            <w:vAlign w:val="center"/>
          </w:tcPr>
          <w:p w:rsidR="004A0228" w:rsidRPr="004A0228" w:rsidRDefault="004A0228" w:rsidP="00235C9A">
            <w:pPr>
              <w:pStyle w:val="BodyTextIndent"/>
              <w:ind w:left="0"/>
              <w:jc w:val="center"/>
              <w:rPr>
                <w:color w:val="auto"/>
                <w:sz w:val="20"/>
                <w:szCs w:val="20"/>
                <w:highlight w:val="yellow"/>
              </w:rPr>
            </w:pPr>
            <w:r w:rsidRPr="00097D8E">
              <w:rPr>
                <w:color w:val="auto"/>
                <w:sz w:val="20"/>
                <w:szCs w:val="20"/>
              </w:rPr>
              <w:t>4.39%</w:t>
            </w:r>
          </w:p>
        </w:tc>
        <w:tc>
          <w:tcPr>
            <w:tcW w:w="1701" w:type="dxa"/>
          </w:tcPr>
          <w:p w:rsidR="004A0228" w:rsidRPr="004A0228" w:rsidRDefault="004A0228" w:rsidP="000E5C64">
            <w:pPr>
              <w:pStyle w:val="BodyTextIndent"/>
              <w:ind w:left="0"/>
              <w:jc w:val="center"/>
              <w:cnfStyle w:val="000000100000"/>
              <w:rPr>
                <w:b/>
                <w:color w:val="auto"/>
                <w:sz w:val="20"/>
                <w:szCs w:val="20"/>
              </w:rPr>
            </w:pPr>
            <w:r w:rsidRPr="004A0228">
              <w:rPr>
                <w:b/>
                <w:color w:val="auto"/>
                <w:sz w:val="20"/>
                <w:szCs w:val="20"/>
              </w:rPr>
              <w:t>138.1</w:t>
            </w:r>
          </w:p>
        </w:tc>
      </w:tr>
      <w:tr w:rsidR="004A0228" w:rsidRPr="00C16B45" w:rsidTr="009A167A">
        <w:tc>
          <w:tcPr>
            <w:cnfStyle w:val="000010000000"/>
            <w:tcW w:w="1842" w:type="dxa"/>
          </w:tcPr>
          <w:p w:rsidR="004A0228" w:rsidRDefault="004A0228" w:rsidP="00026B55">
            <w:pPr>
              <w:pStyle w:val="BodyTextIndent"/>
              <w:ind w:left="0"/>
              <w:jc w:val="center"/>
              <w:rPr>
                <w:i/>
                <w:color w:val="auto"/>
                <w:sz w:val="20"/>
                <w:szCs w:val="20"/>
              </w:rPr>
            </w:pPr>
            <w:r w:rsidRPr="00C16B45">
              <w:rPr>
                <w:i/>
                <w:color w:val="auto"/>
                <w:sz w:val="20"/>
                <w:szCs w:val="20"/>
              </w:rPr>
              <w:t>139.6</w:t>
            </w:r>
          </w:p>
          <w:p w:rsidR="009A167A" w:rsidRDefault="009A167A" w:rsidP="00026B55">
            <w:pPr>
              <w:pStyle w:val="BodyTextIndent"/>
              <w:ind w:left="0"/>
              <w:jc w:val="center"/>
              <w:rPr>
                <w:i/>
                <w:color w:val="auto"/>
                <w:sz w:val="20"/>
                <w:szCs w:val="20"/>
              </w:rPr>
            </w:pPr>
          </w:p>
          <w:p w:rsidR="009A167A" w:rsidRPr="00C16B45" w:rsidRDefault="009A167A" w:rsidP="00026B55">
            <w:pPr>
              <w:pStyle w:val="BodyTextIndent"/>
              <w:ind w:left="0"/>
              <w:jc w:val="center"/>
              <w:rPr>
                <w:i/>
                <w:color w:val="auto"/>
                <w:sz w:val="20"/>
                <w:szCs w:val="20"/>
              </w:rPr>
            </w:pPr>
            <w:r>
              <w:rPr>
                <w:i/>
                <w:color w:val="auto"/>
                <w:sz w:val="20"/>
                <w:szCs w:val="20"/>
              </w:rPr>
              <w:t>171.8</w:t>
            </w:r>
          </w:p>
        </w:tc>
        <w:tc>
          <w:tcPr>
            <w:tcW w:w="4395" w:type="dxa"/>
            <w:vAlign w:val="center"/>
          </w:tcPr>
          <w:p w:rsidR="009A167A" w:rsidRDefault="009A167A" w:rsidP="00235C9A">
            <w:pPr>
              <w:pStyle w:val="BodyTextIndent"/>
              <w:tabs>
                <w:tab w:val="left" w:pos="709"/>
              </w:tabs>
              <w:ind w:left="0"/>
              <w:cnfStyle w:val="000000000000"/>
              <w:rPr>
                <w:i/>
                <w:color w:val="auto"/>
                <w:sz w:val="20"/>
                <w:szCs w:val="20"/>
              </w:rPr>
            </w:pPr>
            <w:r>
              <w:rPr>
                <w:i/>
                <w:color w:val="auto"/>
                <w:sz w:val="20"/>
                <w:szCs w:val="20"/>
              </w:rPr>
              <w:t>Carrying amount</w:t>
            </w:r>
            <w:r w:rsidR="004A0228" w:rsidRPr="00C16B45">
              <w:rPr>
                <w:i/>
                <w:color w:val="auto"/>
                <w:sz w:val="20"/>
                <w:szCs w:val="20"/>
              </w:rPr>
              <w:t xml:space="preserve"> as at 31</w:t>
            </w:r>
            <w:r w:rsidR="004A0228" w:rsidRPr="00C16B45">
              <w:rPr>
                <w:i/>
                <w:color w:val="auto"/>
                <w:sz w:val="20"/>
                <w:szCs w:val="20"/>
                <w:vertAlign w:val="superscript"/>
              </w:rPr>
              <w:t>st</w:t>
            </w:r>
            <w:r w:rsidR="004A0228" w:rsidRPr="00C16B45">
              <w:rPr>
                <w:i/>
                <w:color w:val="auto"/>
                <w:sz w:val="20"/>
                <w:szCs w:val="20"/>
              </w:rPr>
              <w:t xml:space="preserve"> March - including interest due</w:t>
            </w:r>
            <w:r>
              <w:rPr>
                <w:i/>
                <w:color w:val="auto"/>
                <w:sz w:val="20"/>
                <w:szCs w:val="20"/>
              </w:rPr>
              <w:t>.</w:t>
            </w:r>
          </w:p>
          <w:p w:rsidR="009A167A" w:rsidRPr="00C16B45" w:rsidRDefault="009A167A" w:rsidP="009A167A">
            <w:pPr>
              <w:pStyle w:val="BodyTextIndent"/>
              <w:tabs>
                <w:tab w:val="left" w:pos="709"/>
              </w:tabs>
              <w:ind w:left="0"/>
              <w:cnfStyle w:val="000000000000"/>
              <w:rPr>
                <w:i/>
                <w:color w:val="auto"/>
                <w:sz w:val="20"/>
                <w:szCs w:val="20"/>
              </w:rPr>
            </w:pPr>
            <w:r w:rsidRPr="009247F3">
              <w:rPr>
                <w:i/>
                <w:color w:val="auto"/>
                <w:sz w:val="20"/>
                <w:szCs w:val="20"/>
              </w:rPr>
              <w:t xml:space="preserve">Fair value </w:t>
            </w:r>
            <w:r w:rsidRPr="009A167A">
              <w:rPr>
                <w:i/>
                <w:color w:val="auto"/>
                <w:sz w:val="18"/>
                <w:szCs w:val="18"/>
              </w:rPr>
              <w:t>(</w:t>
            </w:r>
            <w:r>
              <w:rPr>
                <w:i/>
                <w:color w:val="auto"/>
                <w:sz w:val="18"/>
                <w:szCs w:val="18"/>
              </w:rPr>
              <w:t xml:space="preserve">as </w:t>
            </w:r>
            <w:r w:rsidRPr="009A167A">
              <w:rPr>
                <w:i/>
                <w:color w:val="auto"/>
                <w:sz w:val="18"/>
                <w:szCs w:val="18"/>
              </w:rPr>
              <w:t xml:space="preserve">IFRS 13 see Note 13 Fair Value of Assets </w:t>
            </w:r>
            <w:r>
              <w:rPr>
                <w:i/>
                <w:color w:val="auto"/>
                <w:sz w:val="18"/>
                <w:szCs w:val="18"/>
              </w:rPr>
              <w:t>and</w:t>
            </w:r>
            <w:r w:rsidRPr="009A167A">
              <w:rPr>
                <w:i/>
                <w:color w:val="auto"/>
                <w:sz w:val="18"/>
                <w:szCs w:val="18"/>
              </w:rPr>
              <w:t xml:space="preserve"> Liabilities)</w:t>
            </w:r>
          </w:p>
        </w:tc>
        <w:tc>
          <w:tcPr>
            <w:cnfStyle w:val="000010000000"/>
            <w:tcW w:w="992" w:type="dxa"/>
            <w:vAlign w:val="center"/>
          </w:tcPr>
          <w:p w:rsidR="004A0228" w:rsidRPr="00C16B45" w:rsidRDefault="004A0228" w:rsidP="00235C9A">
            <w:pPr>
              <w:pStyle w:val="BodyTextIndent"/>
              <w:tabs>
                <w:tab w:val="left" w:pos="709"/>
              </w:tabs>
              <w:ind w:left="0"/>
              <w:jc w:val="center"/>
              <w:rPr>
                <w:i/>
                <w:color w:val="auto"/>
                <w:sz w:val="20"/>
                <w:szCs w:val="20"/>
              </w:rPr>
            </w:pPr>
          </w:p>
        </w:tc>
        <w:tc>
          <w:tcPr>
            <w:tcW w:w="1701" w:type="dxa"/>
          </w:tcPr>
          <w:p w:rsidR="004A0228" w:rsidRDefault="004A0228" w:rsidP="0070371C">
            <w:pPr>
              <w:pStyle w:val="BodyTextIndent"/>
              <w:ind w:left="0"/>
              <w:jc w:val="center"/>
              <w:cnfStyle w:val="000000000000"/>
              <w:rPr>
                <w:i/>
                <w:color w:val="auto"/>
                <w:sz w:val="20"/>
                <w:szCs w:val="20"/>
              </w:rPr>
            </w:pPr>
            <w:r w:rsidRPr="004A0228">
              <w:rPr>
                <w:i/>
                <w:color w:val="auto"/>
                <w:sz w:val="20"/>
                <w:szCs w:val="20"/>
              </w:rPr>
              <w:t>139.6</w:t>
            </w:r>
          </w:p>
          <w:p w:rsidR="009A167A" w:rsidRDefault="009A167A" w:rsidP="0070371C">
            <w:pPr>
              <w:pStyle w:val="BodyTextIndent"/>
              <w:ind w:left="0"/>
              <w:jc w:val="center"/>
              <w:cnfStyle w:val="000000000000"/>
              <w:rPr>
                <w:i/>
                <w:color w:val="auto"/>
                <w:sz w:val="20"/>
                <w:szCs w:val="20"/>
              </w:rPr>
            </w:pPr>
          </w:p>
          <w:p w:rsidR="009A167A" w:rsidRPr="004A0228" w:rsidRDefault="009A167A" w:rsidP="0070371C">
            <w:pPr>
              <w:pStyle w:val="BodyTextIndent"/>
              <w:ind w:left="0"/>
              <w:jc w:val="center"/>
              <w:cnfStyle w:val="000000000000"/>
              <w:rPr>
                <w:i/>
                <w:color w:val="auto"/>
                <w:sz w:val="20"/>
                <w:szCs w:val="20"/>
              </w:rPr>
            </w:pPr>
            <w:r>
              <w:rPr>
                <w:i/>
                <w:color w:val="auto"/>
                <w:sz w:val="20"/>
                <w:szCs w:val="20"/>
              </w:rPr>
              <w:t>172.9</w:t>
            </w:r>
          </w:p>
        </w:tc>
      </w:tr>
    </w:tbl>
    <w:p w:rsidR="00E51139" w:rsidRPr="00C16B45" w:rsidRDefault="00E51139" w:rsidP="007C0F82">
      <w:pPr>
        <w:pStyle w:val="BodyTextIndent"/>
        <w:ind w:left="0"/>
        <w:rPr>
          <w:b/>
          <w:color w:val="auto"/>
          <w:sz w:val="20"/>
          <w:szCs w:val="20"/>
        </w:rPr>
      </w:pPr>
    </w:p>
    <w:p w:rsidR="00E51139" w:rsidRPr="00C16B45" w:rsidRDefault="00E51139" w:rsidP="004E752B">
      <w:pPr>
        <w:ind w:left="567"/>
        <w:rPr>
          <w:rFonts w:cs="Arial"/>
          <w:b/>
          <w:bCs/>
          <w:color w:val="auto"/>
          <w:sz w:val="20"/>
          <w:szCs w:val="20"/>
        </w:rPr>
      </w:pPr>
      <w:r w:rsidRPr="00C16B45">
        <w:rPr>
          <w:rFonts w:cs="Arial"/>
          <w:b/>
          <w:bCs/>
          <w:color w:val="auto"/>
          <w:sz w:val="20"/>
          <w:szCs w:val="20"/>
        </w:rPr>
        <w:t>Lenders Option Borrowers Option (LOBO)</w:t>
      </w:r>
    </w:p>
    <w:p w:rsidR="002B7CA0" w:rsidRPr="00C16B45" w:rsidRDefault="00E51139" w:rsidP="004E752B">
      <w:pPr>
        <w:pStyle w:val="BodyTextIndent"/>
        <w:ind w:left="567"/>
        <w:rPr>
          <w:color w:val="auto"/>
          <w:sz w:val="20"/>
          <w:szCs w:val="20"/>
        </w:rPr>
      </w:pPr>
      <w:r w:rsidRPr="00C16B45">
        <w:rPr>
          <w:color w:val="auto"/>
          <w:sz w:val="20"/>
          <w:szCs w:val="20"/>
        </w:rPr>
        <w:t>The Council has two LOBO loans (Lenders Option Borrowers Option). There is one with Barclays Bank where after a short initial period of low interest, it then moved to a higher rate during 2009/10.  The second, taken in 2008/09 with Dexia has, at inception, a constant rate of interest for the length of the loan but only fixed for the initial period. On both loans the lender has the option to increase the rate beyond the agreed rates after the initial period and at agreed intervals thereafter. The borrower then has the option to continue at the higher rate or repay the loan incurring no penalty.  The loan will continue for the full term at the agreed rate unless the lender exercises the option to increase the rate of interest.</w:t>
      </w:r>
    </w:p>
    <w:p w:rsidR="002B7CA0" w:rsidRPr="00C16B45" w:rsidRDefault="002B7CA0" w:rsidP="006D3DC4">
      <w:pPr>
        <w:pStyle w:val="BodyTextIndent"/>
        <w:ind w:left="709" w:hanging="709"/>
        <w:rPr>
          <w:b/>
          <w:color w:val="auto"/>
          <w:sz w:val="20"/>
          <w:szCs w:val="20"/>
        </w:rPr>
      </w:pPr>
    </w:p>
    <w:p w:rsidR="00E51139" w:rsidRPr="00C16B45" w:rsidRDefault="006D3DC4" w:rsidP="004E752B">
      <w:pPr>
        <w:pStyle w:val="Subtitle"/>
        <w:ind w:left="567" w:hanging="567"/>
        <w:rPr>
          <w:b/>
          <w:color w:val="auto"/>
          <w:sz w:val="22"/>
          <w:szCs w:val="22"/>
        </w:rPr>
      </w:pPr>
      <w:r w:rsidRPr="00C16B45">
        <w:rPr>
          <w:b/>
          <w:color w:val="auto"/>
          <w:sz w:val="22"/>
          <w:szCs w:val="22"/>
        </w:rPr>
        <w:t>21</w:t>
      </w:r>
      <w:r w:rsidR="004E752B" w:rsidRPr="00C16B45">
        <w:rPr>
          <w:b/>
          <w:color w:val="auto"/>
          <w:sz w:val="22"/>
          <w:szCs w:val="22"/>
        </w:rPr>
        <w:t>.</w:t>
      </w:r>
      <w:r w:rsidRPr="00C16B45">
        <w:rPr>
          <w:b/>
          <w:color w:val="auto"/>
          <w:sz w:val="22"/>
          <w:szCs w:val="22"/>
        </w:rPr>
        <w:tab/>
      </w:r>
      <w:r w:rsidR="00E51139" w:rsidRPr="00C16B45">
        <w:rPr>
          <w:b/>
          <w:color w:val="auto"/>
          <w:sz w:val="22"/>
          <w:szCs w:val="22"/>
        </w:rPr>
        <w:t>Liabilities</w:t>
      </w:r>
    </w:p>
    <w:p w:rsidR="00E51139" w:rsidRPr="00C16B45" w:rsidRDefault="0099618A" w:rsidP="009E7365">
      <w:pPr>
        <w:pStyle w:val="BodyTextIndent"/>
        <w:ind w:left="567"/>
        <w:jc w:val="both"/>
        <w:rPr>
          <w:color w:val="auto"/>
          <w:sz w:val="20"/>
          <w:szCs w:val="20"/>
        </w:rPr>
      </w:pPr>
      <w:r w:rsidRPr="00C16B45">
        <w:rPr>
          <w:color w:val="auto"/>
          <w:sz w:val="20"/>
          <w:szCs w:val="20"/>
        </w:rPr>
        <w:t xml:space="preserve">The </w:t>
      </w:r>
      <w:r w:rsidR="00E51139" w:rsidRPr="00C16B45">
        <w:rPr>
          <w:color w:val="auto"/>
          <w:sz w:val="20"/>
          <w:szCs w:val="20"/>
        </w:rPr>
        <w:t>Council has entered into</w:t>
      </w:r>
      <w:r w:rsidRPr="00C16B45">
        <w:rPr>
          <w:color w:val="auto"/>
          <w:sz w:val="20"/>
          <w:szCs w:val="20"/>
        </w:rPr>
        <w:t xml:space="preserve"> a contract or </w:t>
      </w:r>
      <w:r w:rsidR="007E33E1" w:rsidRPr="00C16B45">
        <w:rPr>
          <w:color w:val="auto"/>
          <w:sz w:val="20"/>
          <w:szCs w:val="20"/>
        </w:rPr>
        <w:t>agreement that guarantees</w:t>
      </w:r>
      <w:r w:rsidR="00E51139" w:rsidRPr="00C16B45">
        <w:rPr>
          <w:color w:val="auto"/>
          <w:sz w:val="20"/>
          <w:szCs w:val="20"/>
        </w:rPr>
        <w:t xml:space="preserve"> future payments to a third party.</w:t>
      </w:r>
    </w:p>
    <w:tbl>
      <w:tblPr>
        <w:tblStyle w:val="ListTable3-Accent51"/>
        <w:tblpPr w:leftFromText="180" w:rightFromText="180" w:vertAnchor="text" w:horzAnchor="margin" w:tblpXSpec="right" w:tblpY="178"/>
        <w:tblW w:w="8613" w:type="dxa"/>
        <w:tblLayout w:type="fixed"/>
        <w:tblLook w:val="0000"/>
      </w:tblPr>
      <w:tblGrid>
        <w:gridCol w:w="2376"/>
        <w:gridCol w:w="4111"/>
        <w:gridCol w:w="2126"/>
      </w:tblGrid>
      <w:tr w:rsidR="0099618A" w:rsidRPr="00026B55" w:rsidTr="000C0476">
        <w:trPr>
          <w:cnfStyle w:val="000000100000"/>
          <w:trHeight w:val="60"/>
        </w:trPr>
        <w:tc>
          <w:tcPr>
            <w:cnfStyle w:val="000010000000"/>
            <w:tcW w:w="2376" w:type="dxa"/>
            <w:shd w:val="clear" w:color="auto" w:fill="4BACC6" w:themeFill="accent5"/>
          </w:tcPr>
          <w:p w:rsidR="0099618A" w:rsidRPr="00026B55" w:rsidRDefault="0099618A" w:rsidP="0099618A">
            <w:pPr>
              <w:pStyle w:val="TableRightBold"/>
              <w:jc w:val="center"/>
              <w:rPr>
                <w:rStyle w:val="Bold"/>
                <w:rFonts w:ascii="Arial" w:hAnsi="Arial" w:cs="Arial"/>
                <w:color w:val="auto"/>
              </w:rPr>
            </w:pPr>
            <w:r w:rsidRPr="00026B55">
              <w:rPr>
                <w:rStyle w:val="Bold"/>
                <w:rFonts w:ascii="Arial" w:hAnsi="Arial" w:cs="Arial"/>
                <w:color w:val="auto"/>
              </w:rPr>
              <w:lastRenderedPageBreak/>
              <w:t>31</w:t>
            </w:r>
            <w:r w:rsidRPr="00026B55">
              <w:rPr>
                <w:rStyle w:val="Bold"/>
                <w:rFonts w:ascii="Arial" w:hAnsi="Arial" w:cs="Arial"/>
                <w:color w:val="auto"/>
                <w:vertAlign w:val="superscript"/>
              </w:rPr>
              <w:t>st</w:t>
            </w:r>
            <w:r w:rsidRPr="00026B55">
              <w:rPr>
                <w:rStyle w:val="Bold"/>
                <w:rFonts w:ascii="Arial" w:hAnsi="Arial" w:cs="Arial"/>
                <w:color w:val="auto"/>
              </w:rPr>
              <w:t xml:space="preserve"> March 201</w:t>
            </w:r>
            <w:r w:rsidR="00026B55" w:rsidRPr="00026B55">
              <w:rPr>
                <w:rStyle w:val="Bold"/>
                <w:rFonts w:ascii="Arial" w:hAnsi="Arial" w:cs="Arial"/>
                <w:color w:val="auto"/>
              </w:rPr>
              <w:t>5</w:t>
            </w:r>
          </w:p>
          <w:p w:rsidR="0099618A" w:rsidRPr="00026B55" w:rsidRDefault="0099618A" w:rsidP="0099618A">
            <w:pPr>
              <w:pStyle w:val="TableRightBold"/>
              <w:jc w:val="center"/>
              <w:rPr>
                <w:rFonts w:ascii="Arial" w:hAnsi="Arial" w:cs="Arial"/>
                <w:color w:val="auto"/>
              </w:rPr>
            </w:pPr>
            <w:r w:rsidRPr="00026B55">
              <w:rPr>
                <w:rStyle w:val="Bold"/>
                <w:rFonts w:ascii="Arial" w:hAnsi="Arial" w:cs="Arial"/>
                <w:color w:val="auto"/>
              </w:rPr>
              <w:t>£m</w:t>
            </w:r>
          </w:p>
        </w:tc>
        <w:tc>
          <w:tcPr>
            <w:tcW w:w="4111" w:type="dxa"/>
            <w:shd w:val="clear" w:color="auto" w:fill="4BACC6" w:themeFill="accent5"/>
          </w:tcPr>
          <w:p w:rsidR="0099618A" w:rsidRPr="00026B55" w:rsidRDefault="0099618A" w:rsidP="0099618A">
            <w:pPr>
              <w:pStyle w:val="TableText"/>
              <w:cnfStyle w:val="000000100000"/>
              <w:rPr>
                <w:rFonts w:ascii="Arial" w:hAnsi="Arial" w:cs="Arial"/>
                <w:color w:val="auto"/>
              </w:rPr>
            </w:pPr>
          </w:p>
        </w:tc>
        <w:tc>
          <w:tcPr>
            <w:cnfStyle w:val="000010000000"/>
            <w:tcW w:w="2126" w:type="dxa"/>
            <w:shd w:val="clear" w:color="auto" w:fill="4BACC6" w:themeFill="accent5"/>
          </w:tcPr>
          <w:p w:rsidR="0099618A" w:rsidRPr="00026B55" w:rsidRDefault="0099618A" w:rsidP="0099618A">
            <w:pPr>
              <w:pStyle w:val="TableRightBold"/>
              <w:jc w:val="center"/>
              <w:rPr>
                <w:rStyle w:val="Bold"/>
                <w:rFonts w:ascii="Arial" w:hAnsi="Arial" w:cs="Arial"/>
                <w:b/>
                <w:color w:val="auto"/>
              </w:rPr>
            </w:pPr>
            <w:r w:rsidRPr="00026B55">
              <w:rPr>
                <w:rStyle w:val="Bold"/>
                <w:rFonts w:ascii="Arial" w:hAnsi="Arial" w:cs="Arial"/>
                <w:b/>
                <w:color w:val="auto"/>
              </w:rPr>
              <w:t>31</w:t>
            </w:r>
            <w:r w:rsidRPr="00026B55">
              <w:rPr>
                <w:rStyle w:val="Bold"/>
                <w:rFonts w:ascii="Arial" w:hAnsi="Arial" w:cs="Arial"/>
                <w:b/>
                <w:color w:val="auto"/>
                <w:vertAlign w:val="superscript"/>
              </w:rPr>
              <w:t>st</w:t>
            </w:r>
            <w:r w:rsidRPr="00026B55">
              <w:rPr>
                <w:rStyle w:val="Bold"/>
                <w:rFonts w:ascii="Arial" w:hAnsi="Arial" w:cs="Arial"/>
                <w:b/>
                <w:color w:val="auto"/>
              </w:rPr>
              <w:t xml:space="preserve"> March 201</w:t>
            </w:r>
            <w:r w:rsidR="00026B55" w:rsidRPr="00026B55">
              <w:rPr>
                <w:rStyle w:val="Bold"/>
                <w:rFonts w:ascii="Arial" w:hAnsi="Arial" w:cs="Arial"/>
                <w:b/>
                <w:color w:val="auto"/>
              </w:rPr>
              <w:t>6</w:t>
            </w:r>
          </w:p>
          <w:p w:rsidR="0099618A" w:rsidRPr="00026B55" w:rsidRDefault="0099618A" w:rsidP="0099618A">
            <w:pPr>
              <w:pStyle w:val="TableRightBold"/>
              <w:jc w:val="center"/>
              <w:rPr>
                <w:rFonts w:ascii="Arial" w:hAnsi="Arial" w:cs="Arial"/>
                <w:color w:val="auto"/>
              </w:rPr>
            </w:pPr>
            <w:r w:rsidRPr="00026B55">
              <w:rPr>
                <w:rStyle w:val="Bold"/>
                <w:rFonts w:ascii="Arial" w:hAnsi="Arial" w:cs="Arial"/>
                <w:b/>
                <w:color w:val="auto"/>
              </w:rPr>
              <w:t>£m</w:t>
            </w:r>
          </w:p>
        </w:tc>
      </w:tr>
      <w:tr w:rsidR="0099618A" w:rsidRPr="00026B55" w:rsidTr="000C0476">
        <w:trPr>
          <w:trHeight w:val="60"/>
        </w:trPr>
        <w:tc>
          <w:tcPr>
            <w:cnfStyle w:val="000010000000"/>
            <w:tcW w:w="2376" w:type="dxa"/>
          </w:tcPr>
          <w:p w:rsidR="0099618A" w:rsidRPr="00026B55" w:rsidRDefault="0099618A" w:rsidP="0099618A">
            <w:pPr>
              <w:pStyle w:val="TableRight"/>
              <w:ind w:left="0"/>
              <w:jc w:val="center"/>
              <w:rPr>
                <w:rFonts w:ascii="Arial" w:hAnsi="Arial" w:cs="Arial"/>
                <w:color w:val="auto"/>
              </w:rPr>
            </w:pPr>
          </w:p>
        </w:tc>
        <w:tc>
          <w:tcPr>
            <w:tcW w:w="4111" w:type="dxa"/>
          </w:tcPr>
          <w:p w:rsidR="0099618A" w:rsidRPr="002F5E57" w:rsidRDefault="0099618A" w:rsidP="0099618A">
            <w:pPr>
              <w:pStyle w:val="TableText"/>
              <w:cnfStyle w:val="000000000000"/>
              <w:rPr>
                <w:rFonts w:ascii="Arial" w:hAnsi="Arial" w:cs="Arial"/>
                <w:b/>
                <w:color w:val="auto"/>
              </w:rPr>
            </w:pPr>
            <w:r w:rsidRPr="002F5E57">
              <w:rPr>
                <w:rFonts w:ascii="Arial" w:hAnsi="Arial" w:cs="Arial"/>
                <w:b/>
                <w:color w:val="auto"/>
              </w:rPr>
              <w:t>Liabilities due within 1 year</w:t>
            </w:r>
          </w:p>
        </w:tc>
        <w:tc>
          <w:tcPr>
            <w:cnfStyle w:val="000010000000"/>
            <w:tcW w:w="2126" w:type="dxa"/>
          </w:tcPr>
          <w:p w:rsidR="0099618A" w:rsidRPr="00026B55" w:rsidRDefault="0099618A" w:rsidP="0099618A">
            <w:pPr>
              <w:pStyle w:val="TableRight"/>
              <w:rPr>
                <w:rFonts w:ascii="Arial" w:hAnsi="Arial" w:cs="Arial"/>
                <w:b/>
                <w:color w:val="auto"/>
              </w:rPr>
            </w:pPr>
          </w:p>
        </w:tc>
      </w:tr>
      <w:tr w:rsidR="00026B55" w:rsidRPr="00026B55" w:rsidTr="000C0476">
        <w:trPr>
          <w:cnfStyle w:val="000000100000"/>
          <w:trHeight w:val="60"/>
        </w:trPr>
        <w:tc>
          <w:tcPr>
            <w:cnfStyle w:val="000010000000"/>
            <w:tcW w:w="2376" w:type="dxa"/>
          </w:tcPr>
          <w:p w:rsidR="00026B55" w:rsidRPr="00D004F4" w:rsidRDefault="00026B55" w:rsidP="00026B55">
            <w:pPr>
              <w:pStyle w:val="TableRight"/>
              <w:jc w:val="center"/>
              <w:rPr>
                <w:rFonts w:ascii="Arial" w:hAnsi="Arial" w:cs="Arial"/>
                <w:color w:val="auto"/>
              </w:rPr>
            </w:pPr>
            <w:r w:rsidRPr="00D004F4">
              <w:rPr>
                <w:rFonts w:ascii="Arial" w:hAnsi="Arial" w:cs="Arial"/>
                <w:color w:val="auto"/>
              </w:rPr>
              <w:t>0.5</w:t>
            </w:r>
          </w:p>
        </w:tc>
        <w:tc>
          <w:tcPr>
            <w:tcW w:w="4111" w:type="dxa"/>
          </w:tcPr>
          <w:p w:rsidR="00026B55" w:rsidRPr="00026B55" w:rsidRDefault="00026B55" w:rsidP="00026B55">
            <w:pPr>
              <w:pStyle w:val="TableText"/>
              <w:cnfStyle w:val="000000100000"/>
              <w:rPr>
                <w:rFonts w:ascii="Arial" w:hAnsi="Arial" w:cs="Arial"/>
                <w:color w:val="auto"/>
              </w:rPr>
            </w:pPr>
            <w:r w:rsidRPr="00026B55">
              <w:rPr>
                <w:rFonts w:ascii="Arial" w:hAnsi="Arial" w:cs="Arial"/>
                <w:color w:val="auto"/>
              </w:rPr>
              <w:t>PFI Liability</w:t>
            </w:r>
            <w:r w:rsidR="00F7793A">
              <w:rPr>
                <w:rFonts w:ascii="Arial" w:hAnsi="Arial" w:cs="Arial"/>
                <w:color w:val="auto"/>
              </w:rPr>
              <w:t xml:space="preserve"> - Schools</w:t>
            </w:r>
          </w:p>
        </w:tc>
        <w:tc>
          <w:tcPr>
            <w:cnfStyle w:val="000010000000"/>
            <w:tcW w:w="2126" w:type="dxa"/>
          </w:tcPr>
          <w:p w:rsidR="00026B55" w:rsidRPr="00026B55" w:rsidRDefault="00936074" w:rsidP="00026B55">
            <w:pPr>
              <w:pStyle w:val="TableRight"/>
              <w:jc w:val="center"/>
              <w:rPr>
                <w:rFonts w:ascii="Arial" w:hAnsi="Arial" w:cs="Arial"/>
                <w:b/>
                <w:color w:val="auto"/>
              </w:rPr>
            </w:pPr>
            <w:r>
              <w:rPr>
                <w:rFonts w:ascii="Arial" w:hAnsi="Arial" w:cs="Arial"/>
                <w:b/>
                <w:color w:val="auto"/>
              </w:rPr>
              <w:t>0.5</w:t>
            </w:r>
          </w:p>
        </w:tc>
      </w:tr>
      <w:tr w:rsidR="00F7793A" w:rsidRPr="00026B55" w:rsidTr="000C0476">
        <w:trPr>
          <w:trHeight w:val="60"/>
        </w:trPr>
        <w:tc>
          <w:tcPr>
            <w:cnfStyle w:val="000010000000"/>
            <w:tcW w:w="2376" w:type="dxa"/>
          </w:tcPr>
          <w:p w:rsidR="00F7793A" w:rsidRPr="00D004F4" w:rsidRDefault="00F7793A" w:rsidP="00026B55">
            <w:pPr>
              <w:pStyle w:val="TableRight"/>
              <w:jc w:val="center"/>
              <w:rPr>
                <w:rFonts w:ascii="Arial" w:hAnsi="Arial" w:cs="Arial"/>
                <w:color w:val="auto"/>
              </w:rPr>
            </w:pPr>
            <w:r w:rsidRPr="00D004F4">
              <w:rPr>
                <w:rFonts w:ascii="Arial" w:hAnsi="Arial" w:cs="Arial"/>
                <w:color w:val="auto"/>
              </w:rPr>
              <w:t>-</w:t>
            </w:r>
          </w:p>
        </w:tc>
        <w:tc>
          <w:tcPr>
            <w:tcW w:w="4111" w:type="dxa"/>
          </w:tcPr>
          <w:p w:rsidR="00F7793A" w:rsidRPr="00936074" w:rsidRDefault="00F7793A" w:rsidP="00D97165">
            <w:pPr>
              <w:pStyle w:val="TableText"/>
              <w:cnfStyle w:val="000000000000"/>
              <w:rPr>
                <w:rFonts w:ascii="Arial" w:hAnsi="Arial" w:cs="Arial"/>
                <w:color w:val="auto"/>
              </w:rPr>
            </w:pPr>
            <w:r w:rsidRPr="00936074">
              <w:rPr>
                <w:rFonts w:ascii="Arial" w:hAnsi="Arial" w:cs="Arial"/>
                <w:color w:val="auto"/>
              </w:rPr>
              <w:t>PFI Liability – E</w:t>
            </w:r>
            <w:r w:rsidR="00D97165">
              <w:rPr>
                <w:rFonts w:ascii="Arial" w:hAnsi="Arial" w:cs="Arial"/>
                <w:color w:val="auto"/>
              </w:rPr>
              <w:t xml:space="preserve">FW </w:t>
            </w:r>
          </w:p>
        </w:tc>
        <w:tc>
          <w:tcPr>
            <w:cnfStyle w:val="000010000000"/>
            <w:tcW w:w="2126" w:type="dxa"/>
          </w:tcPr>
          <w:p w:rsidR="00F7793A" w:rsidRPr="00936074" w:rsidRDefault="00D97165" w:rsidP="00D97165">
            <w:pPr>
              <w:pStyle w:val="TableRight"/>
              <w:jc w:val="center"/>
              <w:rPr>
                <w:rFonts w:ascii="Arial" w:hAnsi="Arial" w:cs="Arial"/>
                <w:b/>
                <w:color w:val="auto"/>
              </w:rPr>
            </w:pPr>
            <w:r>
              <w:rPr>
                <w:rFonts w:ascii="Arial" w:hAnsi="Arial" w:cs="Arial"/>
                <w:b/>
                <w:color w:val="auto"/>
              </w:rPr>
              <w:t>0.1</w:t>
            </w:r>
          </w:p>
        </w:tc>
      </w:tr>
      <w:tr w:rsidR="00D97165" w:rsidRPr="00026B55" w:rsidTr="000C0476">
        <w:trPr>
          <w:cnfStyle w:val="000000100000"/>
          <w:trHeight w:val="60"/>
        </w:trPr>
        <w:tc>
          <w:tcPr>
            <w:cnfStyle w:val="000010000000"/>
            <w:tcW w:w="2376" w:type="dxa"/>
          </w:tcPr>
          <w:p w:rsidR="00D97165" w:rsidRPr="00D004F4" w:rsidRDefault="00D97165" w:rsidP="00026B55">
            <w:pPr>
              <w:pStyle w:val="TableRight"/>
              <w:jc w:val="center"/>
              <w:rPr>
                <w:rFonts w:ascii="Arial" w:hAnsi="Arial" w:cs="Arial"/>
                <w:color w:val="auto"/>
              </w:rPr>
            </w:pPr>
            <w:r w:rsidRPr="00D004F4">
              <w:rPr>
                <w:rFonts w:ascii="Arial" w:hAnsi="Arial" w:cs="Arial"/>
                <w:color w:val="auto"/>
              </w:rPr>
              <w:t>-</w:t>
            </w:r>
          </w:p>
        </w:tc>
        <w:tc>
          <w:tcPr>
            <w:tcW w:w="4111" w:type="dxa"/>
          </w:tcPr>
          <w:p w:rsidR="00D97165" w:rsidRPr="00936074" w:rsidRDefault="00D97165" w:rsidP="00D97165">
            <w:pPr>
              <w:pStyle w:val="TableText"/>
              <w:cnfStyle w:val="000000100000"/>
              <w:rPr>
                <w:rFonts w:ascii="Arial" w:hAnsi="Arial" w:cs="Arial"/>
                <w:color w:val="auto"/>
              </w:rPr>
            </w:pPr>
            <w:r w:rsidRPr="00936074">
              <w:rPr>
                <w:rFonts w:ascii="Arial" w:hAnsi="Arial" w:cs="Arial"/>
                <w:color w:val="auto"/>
              </w:rPr>
              <w:t>PFI Liability – E</w:t>
            </w:r>
            <w:r>
              <w:rPr>
                <w:rFonts w:ascii="Arial" w:hAnsi="Arial" w:cs="Arial"/>
                <w:color w:val="auto"/>
              </w:rPr>
              <w:t>FW – Deferred Income</w:t>
            </w:r>
          </w:p>
        </w:tc>
        <w:tc>
          <w:tcPr>
            <w:cnfStyle w:val="000010000000"/>
            <w:tcW w:w="2126" w:type="dxa"/>
          </w:tcPr>
          <w:p w:rsidR="00D97165" w:rsidRPr="00936074" w:rsidRDefault="00D97165" w:rsidP="00026B55">
            <w:pPr>
              <w:pStyle w:val="TableRight"/>
              <w:jc w:val="center"/>
              <w:rPr>
                <w:rFonts w:ascii="Arial" w:hAnsi="Arial" w:cs="Arial"/>
                <w:b/>
                <w:color w:val="auto"/>
              </w:rPr>
            </w:pPr>
            <w:r>
              <w:rPr>
                <w:rFonts w:ascii="Arial" w:hAnsi="Arial" w:cs="Arial"/>
                <w:b/>
                <w:color w:val="auto"/>
              </w:rPr>
              <w:t>0.9</w:t>
            </w:r>
          </w:p>
        </w:tc>
      </w:tr>
      <w:tr w:rsidR="00026B55" w:rsidRPr="00026B55" w:rsidTr="000C0476">
        <w:trPr>
          <w:trHeight w:val="60"/>
        </w:trPr>
        <w:tc>
          <w:tcPr>
            <w:cnfStyle w:val="000010000000"/>
            <w:tcW w:w="2376" w:type="dxa"/>
          </w:tcPr>
          <w:p w:rsidR="00026B55" w:rsidRPr="00D004F4" w:rsidRDefault="00026B55" w:rsidP="00026B55">
            <w:pPr>
              <w:pStyle w:val="TableRight"/>
              <w:jc w:val="center"/>
              <w:rPr>
                <w:rFonts w:ascii="Arial" w:hAnsi="Arial" w:cs="Arial"/>
                <w:color w:val="auto"/>
              </w:rPr>
            </w:pPr>
            <w:r w:rsidRPr="00D004F4">
              <w:rPr>
                <w:rFonts w:ascii="Arial" w:hAnsi="Arial" w:cs="Arial"/>
                <w:color w:val="auto"/>
              </w:rPr>
              <w:t>0.8</w:t>
            </w:r>
          </w:p>
        </w:tc>
        <w:tc>
          <w:tcPr>
            <w:tcW w:w="4111" w:type="dxa"/>
          </w:tcPr>
          <w:p w:rsidR="00026B55" w:rsidRPr="00026B55" w:rsidRDefault="00026B55" w:rsidP="00026B55">
            <w:pPr>
              <w:pStyle w:val="TableText"/>
              <w:cnfStyle w:val="000000000000"/>
              <w:rPr>
                <w:rFonts w:ascii="Arial" w:hAnsi="Arial" w:cs="Arial"/>
                <w:color w:val="auto"/>
              </w:rPr>
            </w:pPr>
            <w:r w:rsidRPr="00026B55">
              <w:rPr>
                <w:rFonts w:ascii="Arial" w:hAnsi="Arial" w:cs="Arial"/>
                <w:color w:val="auto"/>
              </w:rPr>
              <w:t>DCC Pre LGR Liability</w:t>
            </w:r>
          </w:p>
        </w:tc>
        <w:tc>
          <w:tcPr>
            <w:cnfStyle w:val="000010000000"/>
            <w:tcW w:w="2126" w:type="dxa"/>
          </w:tcPr>
          <w:p w:rsidR="00026B55" w:rsidRPr="00026B55" w:rsidRDefault="00B16207" w:rsidP="00026B55">
            <w:pPr>
              <w:pStyle w:val="TableRight"/>
              <w:jc w:val="center"/>
              <w:rPr>
                <w:rFonts w:ascii="Arial" w:hAnsi="Arial" w:cs="Arial"/>
                <w:b/>
                <w:color w:val="auto"/>
              </w:rPr>
            </w:pPr>
            <w:r>
              <w:rPr>
                <w:rFonts w:ascii="Arial" w:hAnsi="Arial" w:cs="Arial"/>
                <w:b/>
                <w:color w:val="auto"/>
              </w:rPr>
              <w:t>0.8</w:t>
            </w:r>
          </w:p>
        </w:tc>
      </w:tr>
      <w:tr w:rsidR="00026B55" w:rsidRPr="00026B55" w:rsidTr="000C0476">
        <w:trPr>
          <w:cnfStyle w:val="000000100000"/>
          <w:trHeight w:val="60"/>
        </w:trPr>
        <w:tc>
          <w:tcPr>
            <w:cnfStyle w:val="000010000000"/>
            <w:tcW w:w="2376" w:type="dxa"/>
          </w:tcPr>
          <w:p w:rsidR="00026B55" w:rsidRPr="00D004F4" w:rsidRDefault="00026B55" w:rsidP="00026B55">
            <w:pPr>
              <w:pStyle w:val="TableRight"/>
              <w:jc w:val="center"/>
              <w:rPr>
                <w:rFonts w:ascii="Arial" w:hAnsi="Arial" w:cs="Arial"/>
                <w:color w:val="auto"/>
              </w:rPr>
            </w:pPr>
            <w:r w:rsidRPr="00D004F4">
              <w:rPr>
                <w:rFonts w:ascii="Arial" w:hAnsi="Arial" w:cs="Arial"/>
                <w:color w:val="auto"/>
              </w:rPr>
              <w:t>1.3</w:t>
            </w:r>
          </w:p>
        </w:tc>
        <w:tc>
          <w:tcPr>
            <w:tcW w:w="4111" w:type="dxa"/>
          </w:tcPr>
          <w:p w:rsidR="00026B55" w:rsidRPr="00026B55" w:rsidRDefault="00026B55" w:rsidP="00026B55">
            <w:pPr>
              <w:pStyle w:val="TableText"/>
              <w:cnfStyle w:val="000000100000"/>
              <w:rPr>
                <w:rFonts w:ascii="Arial" w:hAnsi="Arial" w:cs="Arial"/>
                <w:b/>
                <w:color w:val="auto"/>
              </w:rPr>
            </w:pPr>
            <w:r w:rsidRPr="00026B55">
              <w:rPr>
                <w:rFonts w:ascii="Arial" w:hAnsi="Arial" w:cs="Arial"/>
                <w:b/>
                <w:color w:val="auto"/>
              </w:rPr>
              <w:t>Total due within 1 year</w:t>
            </w:r>
          </w:p>
        </w:tc>
        <w:tc>
          <w:tcPr>
            <w:cnfStyle w:val="000010000000"/>
            <w:tcW w:w="2126" w:type="dxa"/>
          </w:tcPr>
          <w:p w:rsidR="00026B55" w:rsidRPr="00026B55" w:rsidRDefault="00936074" w:rsidP="00026B55">
            <w:pPr>
              <w:pStyle w:val="TableRight"/>
              <w:jc w:val="center"/>
              <w:rPr>
                <w:rFonts w:ascii="Arial" w:hAnsi="Arial" w:cs="Arial"/>
                <w:b/>
                <w:color w:val="auto"/>
              </w:rPr>
            </w:pPr>
            <w:r>
              <w:rPr>
                <w:rFonts w:ascii="Arial" w:hAnsi="Arial" w:cs="Arial"/>
                <w:b/>
                <w:color w:val="auto"/>
              </w:rPr>
              <w:t>2.3</w:t>
            </w:r>
          </w:p>
        </w:tc>
      </w:tr>
      <w:tr w:rsidR="00026B55" w:rsidRPr="00026B55" w:rsidTr="000C0476">
        <w:trPr>
          <w:trHeight w:val="60"/>
        </w:trPr>
        <w:tc>
          <w:tcPr>
            <w:cnfStyle w:val="000010000000"/>
            <w:tcW w:w="2376" w:type="dxa"/>
          </w:tcPr>
          <w:p w:rsidR="00026B55" w:rsidRPr="00D004F4" w:rsidRDefault="00026B55" w:rsidP="00026B55">
            <w:pPr>
              <w:pStyle w:val="TableRight"/>
              <w:jc w:val="center"/>
              <w:rPr>
                <w:rFonts w:ascii="Arial" w:hAnsi="Arial" w:cs="Arial"/>
                <w:color w:val="auto"/>
              </w:rPr>
            </w:pPr>
          </w:p>
        </w:tc>
        <w:tc>
          <w:tcPr>
            <w:tcW w:w="4111" w:type="dxa"/>
          </w:tcPr>
          <w:p w:rsidR="00026B55" w:rsidRPr="002F5E57" w:rsidRDefault="00026B55" w:rsidP="00026B55">
            <w:pPr>
              <w:pStyle w:val="TableText"/>
              <w:cnfStyle w:val="000000000000"/>
              <w:rPr>
                <w:rFonts w:ascii="Arial" w:hAnsi="Arial" w:cs="Arial"/>
                <w:b/>
                <w:color w:val="auto"/>
              </w:rPr>
            </w:pPr>
            <w:r w:rsidRPr="002F5E57">
              <w:rPr>
                <w:rFonts w:ascii="Arial" w:hAnsi="Arial" w:cs="Arial"/>
                <w:b/>
                <w:color w:val="auto"/>
              </w:rPr>
              <w:t>Liabilities due over 1 year</w:t>
            </w:r>
          </w:p>
        </w:tc>
        <w:tc>
          <w:tcPr>
            <w:cnfStyle w:val="000010000000"/>
            <w:tcW w:w="2126" w:type="dxa"/>
          </w:tcPr>
          <w:p w:rsidR="00026B55" w:rsidRPr="00026B55" w:rsidRDefault="00026B55" w:rsidP="00026B55">
            <w:pPr>
              <w:pStyle w:val="TableRight"/>
              <w:jc w:val="center"/>
              <w:rPr>
                <w:rFonts w:ascii="Arial" w:hAnsi="Arial" w:cs="Arial"/>
                <w:b/>
                <w:color w:val="auto"/>
              </w:rPr>
            </w:pPr>
          </w:p>
        </w:tc>
      </w:tr>
      <w:tr w:rsidR="00026B55" w:rsidRPr="00026B55" w:rsidTr="000C0476">
        <w:trPr>
          <w:cnfStyle w:val="000000100000"/>
          <w:trHeight w:val="60"/>
        </w:trPr>
        <w:tc>
          <w:tcPr>
            <w:cnfStyle w:val="000010000000"/>
            <w:tcW w:w="2376" w:type="dxa"/>
          </w:tcPr>
          <w:p w:rsidR="00026B55" w:rsidRPr="00D004F4" w:rsidRDefault="00026B55" w:rsidP="00026B55">
            <w:pPr>
              <w:pStyle w:val="TableRight"/>
              <w:jc w:val="center"/>
              <w:rPr>
                <w:rFonts w:ascii="Arial" w:hAnsi="Arial" w:cs="Arial"/>
                <w:color w:val="auto"/>
              </w:rPr>
            </w:pPr>
            <w:r w:rsidRPr="00D004F4">
              <w:rPr>
                <w:rFonts w:ascii="Arial" w:hAnsi="Arial" w:cs="Arial"/>
                <w:color w:val="auto"/>
              </w:rPr>
              <w:t>7.9</w:t>
            </w:r>
          </w:p>
        </w:tc>
        <w:tc>
          <w:tcPr>
            <w:tcW w:w="4111" w:type="dxa"/>
          </w:tcPr>
          <w:p w:rsidR="00026B55" w:rsidRPr="00026B55" w:rsidRDefault="00026B55" w:rsidP="00936074">
            <w:pPr>
              <w:pStyle w:val="TableText"/>
              <w:cnfStyle w:val="000000100000"/>
              <w:rPr>
                <w:rFonts w:ascii="Arial" w:hAnsi="Arial" w:cs="Arial"/>
                <w:color w:val="auto"/>
              </w:rPr>
            </w:pPr>
            <w:r w:rsidRPr="00026B55">
              <w:rPr>
                <w:rFonts w:ascii="Arial" w:hAnsi="Arial" w:cs="Arial"/>
                <w:color w:val="auto"/>
              </w:rPr>
              <w:t>PFI Liability</w:t>
            </w:r>
            <w:r w:rsidR="00936074">
              <w:rPr>
                <w:rFonts w:ascii="Arial" w:hAnsi="Arial" w:cs="Arial"/>
                <w:color w:val="auto"/>
              </w:rPr>
              <w:t xml:space="preserve"> – Schools</w:t>
            </w:r>
          </w:p>
        </w:tc>
        <w:tc>
          <w:tcPr>
            <w:cnfStyle w:val="000010000000"/>
            <w:tcW w:w="2126" w:type="dxa"/>
          </w:tcPr>
          <w:p w:rsidR="00026B55" w:rsidRPr="00026B55" w:rsidRDefault="00936074" w:rsidP="00026B55">
            <w:pPr>
              <w:pStyle w:val="TableRight"/>
              <w:jc w:val="center"/>
              <w:rPr>
                <w:rFonts w:ascii="Arial" w:hAnsi="Arial" w:cs="Arial"/>
                <w:b/>
                <w:color w:val="auto"/>
              </w:rPr>
            </w:pPr>
            <w:r>
              <w:rPr>
                <w:rFonts w:ascii="Arial" w:hAnsi="Arial" w:cs="Arial"/>
                <w:b/>
                <w:color w:val="auto"/>
              </w:rPr>
              <w:t>7.4</w:t>
            </w:r>
          </w:p>
        </w:tc>
      </w:tr>
      <w:tr w:rsidR="00D97165" w:rsidRPr="00026B55" w:rsidTr="000C0476">
        <w:trPr>
          <w:trHeight w:val="60"/>
        </w:trPr>
        <w:tc>
          <w:tcPr>
            <w:cnfStyle w:val="000010000000"/>
            <w:tcW w:w="2376" w:type="dxa"/>
          </w:tcPr>
          <w:p w:rsidR="00D97165" w:rsidRPr="00D004F4" w:rsidRDefault="00D97165" w:rsidP="00D97165">
            <w:pPr>
              <w:pStyle w:val="TableRight"/>
              <w:jc w:val="center"/>
              <w:rPr>
                <w:rFonts w:ascii="Arial" w:hAnsi="Arial" w:cs="Arial"/>
                <w:color w:val="0070C0"/>
              </w:rPr>
            </w:pPr>
            <w:r w:rsidRPr="00D004F4">
              <w:rPr>
                <w:rFonts w:ascii="Arial" w:hAnsi="Arial" w:cs="Arial"/>
                <w:color w:val="0070C0"/>
              </w:rPr>
              <w:t>-</w:t>
            </w:r>
          </w:p>
        </w:tc>
        <w:tc>
          <w:tcPr>
            <w:tcW w:w="4111" w:type="dxa"/>
          </w:tcPr>
          <w:p w:rsidR="00D97165" w:rsidRPr="00936074" w:rsidRDefault="00D97165" w:rsidP="00D97165">
            <w:pPr>
              <w:pStyle w:val="TableText"/>
              <w:cnfStyle w:val="000000000000"/>
              <w:rPr>
                <w:rFonts w:ascii="Arial" w:hAnsi="Arial" w:cs="Arial"/>
                <w:color w:val="auto"/>
              </w:rPr>
            </w:pPr>
            <w:r w:rsidRPr="00936074">
              <w:rPr>
                <w:rFonts w:ascii="Arial" w:hAnsi="Arial" w:cs="Arial"/>
                <w:color w:val="auto"/>
              </w:rPr>
              <w:t>PFI Liability – E</w:t>
            </w:r>
            <w:r>
              <w:rPr>
                <w:rFonts w:ascii="Arial" w:hAnsi="Arial" w:cs="Arial"/>
                <w:color w:val="auto"/>
              </w:rPr>
              <w:t xml:space="preserve">FW </w:t>
            </w:r>
          </w:p>
        </w:tc>
        <w:tc>
          <w:tcPr>
            <w:cnfStyle w:val="000010000000"/>
            <w:tcW w:w="2126" w:type="dxa"/>
          </w:tcPr>
          <w:p w:rsidR="00D97165" w:rsidRPr="00936074" w:rsidRDefault="00D97165" w:rsidP="00D97165">
            <w:pPr>
              <w:pStyle w:val="TableRight"/>
              <w:jc w:val="center"/>
              <w:rPr>
                <w:rFonts w:ascii="Arial" w:hAnsi="Arial" w:cs="Arial"/>
                <w:b/>
                <w:color w:val="auto"/>
              </w:rPr>
            </w:pPr>
            <w:r>
              <w:rPr>
                <w:rFonts w:ascii="Arial" w:hAnsi="Arial" w:cs="Arial"/>
                <w:b/>
                <w:color w:val="auto"/>
              </w:rPr>
              <w:t>12.2</w:t>
            </w:r>
          </w:p>
        </w:tc>
      </w:tr>
      <w:tr w:rsidR="00D97165" w:rsidRPr="00026B55" w:rsidTr="000C0476">
        <w:trPr>
          <w:cnfStyle w:val="000000100000"/>
          <w:trHeight w:val="60"/>
        </w:trPr>
        <w:tc>
          <w:tcPr>
            <w:cnfStyle w:val="000010000000"/>
            <w:tcW w:w="2376" w:type="dxa"/>
          </w:tcPr>
          <w:p w:rsidR="00D97165" w:rsidRPr="00D004F4" w:rsidRDefault="00D97165" w:rsidP="00D97165">
            <w:pPr>
              <w:pStyle w:val="TableRight"/>
              <w:jc w:val="center"/>
              <w:rPr>
                <w:rFonts w:ascii="Arial" w:hAnsi="Arial" w:cs="Arial"/>
                <w:color w:val="0070C0"/>
              </w:rPr>
            </w:pPr>
            <w:r w:rsidRPr="00D004F4">
              <w:rPr>
                <w:rFonts w:ascii="Arial" w:hAnsi="Arial" w:cs="Arial"/>
                <w:color w:val="0070C0"/>
              </w:rPr>
              <w:t>-</w:t>
            </w:r>
          </w:p>
        </w:tc>
        <w:tc>
          <w:tcPr>
            <w:tcW w:w="4111" w:type="dxa"/>
          </w:tcPr>
          <w:p w:rsidR="00D97165" w:rsidRPr="00936074" w:rsidRDefault="00D97165" w:rsidP="00D97165">
            <w:pPr>
              <w:pStyle w:val="TableText"/>
              <w:cnfStyle w:val="000000100000"/>
              <w:rPr>
                <w:rFonts w:ascii="Arial" w:hAnsi="Arial" w:cs="Arial"/>
                <w:color w:val="auto"/>
              </w:rPr>
            </w:pPr>
            <w:r w:rsidRPr="00936074">
              <w:rPr>
                <w:rFonts w:ascii="Arial" w:hAnsi="Arial" w:cs="Arial"/>
                <w:color w:val="auto"/>
              </w:rPr>
              <w:t>PFI Liability – E</w:t>
            </w:r>
            <w:r>
              <w:rPr>
                <w:rFonts w:ascii="Arial" w:hAnsi="Arial" w:cs="Arial"/>
                <w:color w:val="auto"/>
              </w:rPr>
              <w:t>FW – Deferred Income</w:t>
            </w:r>
          </w:p>
        </w:tc>
        <w:tc>
          <w:tcPr>
            <w:cnfStyle w:val="000010000000"/>
            <w:tcW w:w="2126" w:type="dxa"/>
          </w:tcPr>
          <w:p w:rsidR="00D97165" w:rsidRDefault="00D97165" w:rsidP="00D97165">
            <w:pPr>
              <w:pStyle w:val="TableRight"/>
              <w:jc w:val="center"/>
              <w:rPr>
                <w:rFonts w:ascii="Arial" w:hAnsi="Arial" w:cs="Arial"/>
                <w:b/>
                <w:color w:val="auto"/>
              </w:rPr>
            </w:pPr>
            <w:r>
              <w:rPr>
                <w:rFonts w:ascii="Arial" w:hAnsi="Arial" w:cs="Arial"/>
                <w:b/>
                <w:color w:val="auto"/>
              </w:rPr>
              <w:t>19.2</w:t>
            </w:r>
          </w:p>
        </w:tc>
      </w:tr>
      <w:tr w:rsidR="00D97165" w:rsidRPr="00026B55" w:rsidTr="000C0476">
        <w:trPr>
          <w:trHeight w:val="60"/>
        </w:trPr>
        <w:tc>
          <w:tcPr>
            <w:cnfStyle w:val="000010000000"/>
            <w:tcW w:w="2376" w:type="dxa"/>
          </w:tcPr>
          <w:p w:rsidR="00D97165" w:rsidRPr="00D004F4" w:rsidRDefault="00D97165" w:rsidP="00D97165">
            <w:pPr>
              <w:pStyle w:val="TableRight"/>
              <w:jc w:val="center"/>
              <w:rPr>
                <w:rFonts w:ascii="Arial" w:hAnsi="Arial" w:cs="Arial"/>
                <w:color w:val="auto"/>
              </w:rPr>
            </w:pPr>
            <w:r w:rsidRPr="00D004F4">
              <w:rPr>
                <w:rFonts w:ascii="Arial" w:hAnsi="Arial" w:cs="Arial"/>
                <w:color w:val="auto"/>
              </w:rPr>
              <w:t>9.2</w:t>
            </w:r>
          </w:p>
        </w:tc>
        <w:tc>
          <w:tcPr>
            <w:tcW w:w="4111" w:type="dxa"/>
          </w:tcPr>
          <w:p w:rsidR="00D97165" w:rsidRPr="00026B55" w:rsidRDefault="00D97165" w:rsidP="00D97165">
            <w:pPr>
              <w:pStyle w:val="TableText"/>
              <w:cnfStyle w:val="000000000000"/>
              <w:rPr>
                <w:rFonts w:ascii="Arial" w:hAnsi="Arial" w:cs="Arial"/>
                <w:color w:val="auto"/>
              </w:rPr>
            </w:pPr>
            <w:r w:rsidRPr="00026B55">
              <w:rPr>
                <w:rFonts w:ascii="Arial" w:hAnsi="Arial" w:cs="Arial"/>
                <w:color w:val="auto"/>
              </w:rPr>
              <w:t>DCC Pre LGR Liability</w:t>
            </w:r>
          </w:p>
        </w:tc>
        <w:tc>
          <w:tcPr>
            <w:cnfStyle w:val="000010000000"/>
            <w:tcW w:w="2126" w:type="dxa"/>
          </w:tcPr>
          <w:p w:rsidR="00D97165" w:rsidRPr="00026B55" w:rsidRDefault="00D97165" w:rsidP="00D97165">
            <w:pPr>
              <w:pStyle w:val="TableRight"/>
              <w:jc w:val="center"/>
              <w:rPr>
                <w:rFonts w:ascii="Arial" w:hAnsi="Arial" w:cs="Arial"/>
                <w:b/>
                <w:color w:val="auto"/>
              </w:rPr>
            </w:pPr>
            <w:r>
              <w:rPr>
                <w:rFonts w:ascii="Arial" w:hAnsi="Arial" w:cs="Arial"/>
                <w:b/>
                <w:color w:val="auto"/>
              </w:rPr>
              <w:t>8.3</w:t>
            </w:r>
          </w:p>
        </w:tc>
      </w:tr>
      <w:tr w:rsidR="00D97165" w:rsidRPr="00026B55" w:rsidTr="000C0476">
        <w:trPr>
          <w:cnfStyle w:val="000000100000"/>
          <w:trHeight w:val="60"/>
        </w:trPr>
        <w:tc>
          <w:tcPr>
            <w:cnfStyle w:val="000010000000"/>
            <w:tcW w:w="2376" w:type="dxa"/>
          </w:tcPr>
          <w:p w:rsidR="00D97165" w:rsidRPr="00D004F4" w:rsidRDefault="00D97165" w:rsidP="00D97165">
            <w:pPr>
              <w:pStyle w:val="TableRight"/>
              <w:jc w:val="center"/>
              <w:rPr>
                <w:rFonts w:ascii="Arial" w:hAnsi="Arial" w:cs="Arial"/>
                <w:color w:val="auto"/>
              </w:rPr>
            </w:pPr>
            <w:r w:rsidRPr="00D004F4">
              <w:rPr>
                <w:rFonts w:ascii="Arial" w:hAnsi="Arial" w:cs="Arial"/>
                <w:color w:val="auto"/>
              </w:rPr>
              <w:t>1.0</w:t>
            </w:r>
          </w:p>
        </w:tc>
        <w:tc>
          <w:tcPr>
            <w:tcW w:w="4111" w:type="dxa"/>
          </w:tcPr>
          <w:p w:rsidR="00D97165" w:rsidRPr="00026B55" w:rsidRDefault="00D97165" w:rsidP="00D97165">
            <w:pPr>
              <w:pStyle w:val="TableText"/>
              <w:cnfStyle w:val="000000100000"/>
              <w:rPr>
                <w:rFonts w:ascii="Arial" w:hAnsi="Arial" w:cs="Arial"/>
                <w:color w:val="auto"/>
              </w:rPr>
            </w:pPr>
            <w:r w:rsidRPr="00026B55">
              <w:rPr>
                <w:rFonts w:ascii="Arial" w:hAnsi="Arial" w:cs="Arial"/>
                <w:color w:val="auto"/>
              </w:rPr>
              <w:t>Financial Guarantees</w:t>
            </w:r>
          </w:p>
        </w:tc>
        <w:tc>
          <w:tcPr>
            <w:cnfStyle w:val="000010000000"/>
            <w:tcW w:w="2126" w:type="dxa"/>
          </w:tcPr>
          <w:p w:rsidR="00D97165" w:rsidRPr="00026B55" w:rsidRDefault="00D97165" w:rsidP="00D97165">
            <w:pPr>
              <w:pStyle w:val="TableRight"/>
              <w:jc w:val="center"/>
              <w:rPr>
                <w:rFonts w:ascii="Arial" w:hAnsi="Arial" w:cs="Arial"/>
                <w:b/>
                <w:color w:val="auto"/>
              </w:rPr>
            </w:pPr>
            <w:r>
              <w:rPr>
                <w:rFonts w:ascii="Arial" w:hAnsi="Arial" w:cs="Arial"/>
                <w:b/>
                <w:color w:val="auto"/>
              </w:rPr>
              <w:t>0</w:t>
            </w:r>
          </w:p>
        </w:tc>
      </w:tr>
      <w:tr w:rsidR="00D97165" w:rsidRPr="00026B55" w:rsidTr="000C0476">
        <w:trPr>
          <w:trHeight w:val="60"/>
        </w:trPr>
        <w:tc>
          <w:tcPr>
            <w:cnfStyle w:val="000010000000"/>
            <w:tcW w:w="2376" w:type="dxa"/>
          </w:tcPr>
          <w:p w:rsidR="00D97165" w:rsidRPr="00D004F4" w:rsidRDefault="00D97165" w:rsidP="00D97165">
            <w:pPr>
              <w:pStyle w:val="TableRight"/>
              <w:jc w:val="center"/>
              <w:rPr>
                <w:rFonts w:ascii="Arial" w:hAnsi="Arial" w:cs="Arial"/>
                <w:color w:val="auto"/>
              </w:rPr>
            </w:pPr>
            <w:r w:rsidRPr="00D004F4">
              <w:rPr>
                <w:rFonts w:ascii="Arial" w:hAnsi="Arial" w:cs="Arial"/>
                <w:color w:val="auto"/>
              </w:rPr>
              <w:t>18.1</w:t>
            </w:r>
          </w:p>
        </w:tc>
        <w:tc>
          <w:tcPr>
            <w:tcW w:w="4111" w:type="dxa"/>
          </w:tcPr>
          <w:p w:rsidR="00D97165" w:rsidRPr="00026B55" w:rsidRDefault="00D97165" w:rsidP="00D97165">
            <w:pPr>
              <w:pStyle w:val="TableText"/>
              <w:cnfStyle w:val="000000000000"/>
              <w:rPr>
                <w:rFonts w:ascii="Arial" w:hAnsi="Arial" w:cs="Arial"/>
                <w:b/>
                <w:color w:val="auto"/>
              </w:rPr>
            </w:pPr>
            <w:r w:rsidRPr="00026B55">
              <w:rPr>
                <w:rFonts w:ascii="Arial" w:hAnsi="Arial" w:cs="Arial"/>
                <w:b/>
                <w:color w:val="auto"/>
              </w:rPr>
              <w:t>Total due over 1 year</w:t>
            </w:r>
          </w:p>
        </w:tc>
        <w:tc>
          <w:tcPr>
            <w:cnfStyle w:val="000010000000"/>
            <w:tcW w:w="2126" w:type="dxa"/>
          </w:tcPr>
          <w:p w:rsidR="00D97165" w:rsidRPr="00026B55" w:rsidRDefault="00D97165" w:rsidP="00D97165">
            <w:pPr>
              <w:pStyle w:val="TableRight"/>
              <w:jc w:val="center"/>
              <w:rPr>
                <w:rFonts w:ascii="Arial" w:hAnsi="Arial" w:cs="Arial"/>
                <w:b/>
                <w:color w:val="auto"/>
              </w:rPr>
            </w:pPr>
            <w:r>
              <w:rPr>
                <w:rFonts w:ascii="Arial" w:hAnsi="Arial" w:cs="Arial"/>
                <w:b/>
                <w:color w:val="auto"/>
              </w:rPr>
              <w:t>47.1</w:t>
            </w:r>
          </w:p>
        </w:tc>
      </w:tr>
      <w:tr w:rsidR="00D97165" w:rsidRPr="00026B55" w:rsidTr="000C0476">
        <w:trPr>
          <w:cnfStyle w:val="000000100000"/>
          <w:trHeight w:val="60"/>
        </w:trPr>
        <w:tc>
          <w:tcPr>
            <w:cnfStyle w:val="000010000000"/>
            <w:tcW w:w="2376" w:type="dxa"/>
          </w:tcPr>
          <w:p w:rsidR="00D97165" w:rsidRPr="00D004F4" w:rsidRDefault="00D97165" w:rsidP="00D97165">
            <w:pPr>
              <w:pStyle w:val="TableRight"/>
              <w:jc w:val="center"/>
              <w:rPr>
                <w:rFonts w:ascii="Arial" w:hAnsi="Arial" w:cs="Arial"/>
                <w:color w:val="auto"/>
              </w:rPr>
            </w:pPr>
            <w:r w:rsidRPr="00D004F4">
              <w:rPr>
                <w:rFonts w:ascii="Arial" w:hAnsi="Arial" w:cs="Arial"/>
                <w:color w:val="auto"/>
              </w:rPr>
              <w:t>19.4</w:t>
            </w:r>
          </w:p>
        </w:tc>
        <w:tc>
          <w:tcPr>
            <w:tcW w:w="4111" w:type="dxa"/>
          </w:tcPr>
          <w:p w:rsidR="00D97165" w:rsidRPr="00026B55" w:rsidRDefault="00D97165" w:rsidP="00D97165">
            <w:pPr>
              <w:pStyle w:val="TableText"/>
              <w:cnfStyle w:val="000000100000"/>
              <w:rPr>
                <w:rFonts w:ascii="Arial" w:hAnsi="Arial" w:cs="Arial"/>
                <w:b/>
                <w:color w:val="auto"/>
              </w:rPr>
            </w:pPr>
            <w:r w:rsidRPr="00026B55">
              <w:rPr>
                <w:rFonts w:ascii="Arial" w:hAnsi="Arial" w:cs="Arial"/>
                <w:b/>
                <w:color w:val="auto"/>
              </w:rPr>
              <w:t>Total Liabilities</w:t>
            </w:r>
          </w:p>
        </w:tc>
        <w:tc>
          <w:tcPr>
            <w:cnfStyle w:val="000010000000"/>
            <w:tcW w:w="2126" w:type="dxa"/>
          </w:tcPr>
          <w:p w:rsidR="00D97165" w:rsidRPr="00026B55" w:rsidRDefault="00D97165" w:rsidP="00D97165">
            <w:pPr>
              <w:pStyle w:val="TableRight"/>
              <w:jc w:val="center"/>
              <w:rPr>
                <w:rFonts w:ascii="Arial" w:hAnsi="Arial" w:cs="Arial"/>
                <w:b/>
                <w:color w:val="auto"/>
              </w:rPr>
            </w:pPr>
            <w:r>
              <w:rPr>
                <w:rFonts w:ascii="Arial" w:hAnsi="Arial" w:cs="Arial"/>
                <w:b/>
                <w:color w:val="auto"/>
              </w:rPr>
              <w:t>49.4</w:t>
            </w:r>
          </w:p>
        </w:tc>
      </w:tr>
    </w:tbl>
    <w:p w:rsidR="00D25D2C" w:rsidRPr="00D42E0B" w:rsidRDefault="00D25D2C" w:rsidP="00645E58">
      <w:pPr>
        <w:pStyle w:val="CodeNotesExampleText"/>
        <w:widowControl w:val="0"/>
        <w:outlineLvl w:val="0"/>
        <w:rPr>
          <w:b/>
          <w:color w:val="548DD4" w:themeColor="text2" w:themeTint="99"/>
          <w:sz w:val="20"/>
          <w:szCs w:val="20"/>
        </w:rPr>
      </w:pPr>
    </w:p>
    <w:p w:rsidR="00E51139" w:rsidRPr="00C16B45" w:rsidRDefault="00DE77D5" w:rsidP="009E7365">
      <w:pPr>
        <w:ind w:left="567"/>
        <w:rPr>
          <w:rFonts w:cs="Arial"/>
          <w:b/>
          <w:bCs/>
          <w:color w:val="auto"/>
          <w:sz w:val="20"/>
          <w:szCs w:val="20"/>
        </w:rPr>
      </w:pPr>
      <w:r>
        <w:rPr>
          <w:rFonts w:cs="Arial"/>
          <w:b/>
          <w:bCs/>
          <w:color w:val="auto"/>
          <w:sz w:val="20"/>
          <w:szCs w:val="20"/>
        </w:rPr>
        <w:t>The Spires a</w:t>
      </w:r>
      <w:r w:rsidR="00E51139" w:rsidRPr="00C16B45">
        <w:rPr>
          <w:rFonts w:cs="Arial"/>
          <w:b/>
          <w:bCs/>
          <w:color w:val="auto"/>
          <w:sz w:val="20"/>
          <w:szCs w:val="20"/>
        </w:rPr>
        <w:t>nd Homelands Schools PFI Scheme</w:t>
      </w:r>
    </w:p>
    <w:p w:rsidR="00E51139" w:rsidRPr="0067671F" w:rsidRDefault="00E51139" w:rsidP="009E7365">
      <w:pPr>
        <w:pStyle w:val="BodyTextIndent"/>
        <w:ind w:left="567"/>
        <w:rPr>
          <w:rFonts w:cs="Arial"/>
          <w:color w:val="auto"/>
          <w:sz w:val="20"/>
          <w:szCs w:val="20"/>
        </w:rPr>
      </w:pPr>
      <w:r w:rsidRPr="00C16B45">
        <w:rPr>
          <w:color w:val="auto"/>
          <w:sz w:val="20"/>
          <w:szCs w:val="20"/>
        </w:rPr>
        <w:t xml:space="preserve">A Project Agreement was signed on 31st March 2000 with Torbay School Services Ltd (TSS) for the provision of serviced facilities at </w:t>
      </w:r>
      <w:r w:rsidR="00CF6955">
        <w:rPr>
          <w:color w:val="auto"/>
          <w:sz w:val="20"/>
          <w:szCs w:val="20"/>
        </w:rPr>
        <w:t>The Spire</w:t>
      </w:r>
      <w:r w:rsidR="00F35D60">
        <w:rPr>
          <w:color w:val="auto"/>
          <w:sz w:val="20"/>
          <w:szCs w:val="20"/>
        </w:rPr>
        <w:t>s</w:t>
      </w:r>
      <w:r w:rsidR="00CF6955">
        <w:rPr>
          <w:color w:val="auto"/>
          <w:sz w:val="20"/>
          <w:szCs w:val="20"/>
        </w:rPr>
        <w:t xml:space="preserve"> </w:t>
      </w:r>
      <w:r w:rsidR="00AA6BB0">
        <w:rPr>
          <w:color w:val="auto"/>
          <w:sz w:val="20"/>
          <w:szCs w:val="20"/>
        </w:rPr>
        <w:t>(</w:t>
      </w:r>
      <w:r w:rsidR="00F35D60">
        <w:rPr>
          <w:color w:val="auto"/>
          <w:sz w:val="20"/>
          <w:szCs w:val="20"/>
        </w:rPr>
        <w:t xml:space="preserve">formerly </w:t>
      </w:r>
      <w:r w:rsidRPr="00C16B45">
        <w:rPr>
          <w:color w:val="auto"/>
          <w:sz w:val="20"/>
          <w:szCs w:val="20"/>
        </w:rPr>
        <w:t>Westlands</w:t>
      </w:r>
      <w:r w:rsidR="00AA6BB0">
        <w:rPr>
          <w:color w:val="auto"/>
          <w:sz w:val="20"/>
          <w:szCs w:val="20"/>
        </w:rPr>
        <w:t>)</w:t>
      </w:r>
      <w:r w:rsidRPr="00C16B45">
        <w:rPr>
          <w:color w:val="auto"/>
          <w:sz w:val="20"/>
          <w:szCs w:val="20"/>
        </w:rPr>
        <w:t xml:space="preserve"> Secondary and Homelands Primary Schools in Torquay.  </w:t>
      </w:r>
      <w:r w:rsidR="007E33E1" w:rsidRPr="00C16B45">
        <w:rPr>
          <w:color w:val="auto"/>
          <w:sz w:val="20"/>
          <w:szCs w:val="20"/>
        </w:rPr>
        <w:t>The period of the contract is 26 years from the actual comple</w:t>
      </w:r>
      <w:r w:rsidR="007E33E1">
        <w:rPr>
          <w:color w:val="auto"/>
          <w:sz w:val="20"/>
          <w:szCs w:val="20"/>
        </w:rPr>
        <w:t>tion of the redevelopment of</w:t>
      </w:r>
      <w:r w:rsidR="007E33E1" w:rsidRPr="00C16B45">
        <w:rPr>
          <w:color w:val="auto"/>
          <w:sz w:val="20"/>
          <w:szCs w:val="20"/>
        </w:rPr>
        <w:t xml:space="preserve"> </w:t>
      </w:r>
      <w:r w:rsidR="007E33E1">
        <w:rPr>
          <w:color w:val="auto"/>
          <w:sz w:val="20"/>
          <w:szCs w:val="20"/>
        </w:rPr>
        <w:t>The Spires</w:t>
      </w:r>
      <w:r w:rsidR="007E33E1" w:rsidRPr="00C16B45">
        <w:rPr>
          <w:color w:val="auto"/>
          <w:sz w:val="20"/>
          <w:szCs w:val="20"/>
        </w:rPr>
        <w:t xml:space="preserve"> School buildings, which occurred on 24</w:t>
      </w:r>
      <w:r w:rsidR="007E33E1" w:rsidRPr="00C16B45">
        <w:rPr>
          <w:color w:val="auto"/>
          <w:sz w:val="20"/>
          <w:szCs w:val="20"/>
          <w:vertAlign w:val="superscript"/>
        </w:rPr>
        <w:t>th</w:t>
      </w:r>
      <w:r w:rsidR="007E33E1" w:rsidRPr="00C16B45">
        <w:rPr>
          <w:color w:val="auto"/>
          <w:sz w:val="20"/>
          <w:szCs w:val="20"/>
        </w:rPr>
        <w:t xml:space="preserve"> October 2001 (i.e. expires in 2027).  </w:t>
      </w:r>
      <w:r w:rsidRPr="00C16B45">
        <w:rPr>
          <w:color w:val="auto"/>
          <w:sz w:val="20"/>
          <w:szCs w:val="20"/>
        </w:rPr>
        <w:t>Payments under the contract commenced on 1</w:t>
      </w:r>
      <w:r w:rsidRPr="00C16B45">
        <w:rPr>
          <w:color w:val="auto"/>
          <w:sz w:val="20"/>
          <w:szCs w:val="20"/>
          <w:vertAlign w:val="superscript"/>
        </w:rPr>
        <w:t>st</w:t>
      </w:r>
      <w:r w:rsidRPr="00C16B45">
        <w:rPr>
          <w:color w:val="auto"/>
          <w:sz w:val="20"/>
          <w:szCs w:val="20"/>
        </w:rPr>
        <w:t xml:space="preserve"> April 2001 when Phase 1 of Westlands was completed. </w:t>
      </w:r>
      <w:r w:rsidRPr="00C16B45">
        <w:rPr>
          <w:rFonts w:cs="Arial"/>
          <w:color w:val="auto"/>
          <w:sz w:val="20"/>
          <w:szCs w:val="20"/>
        </w:rPr>
        <w:t xml:space="preserve"> The contract specifies minimum standards for the services to be provided by the contractor, with deductions from the fee payable being made if facilities are unavailable or performance is below the minimum standards. The contractor took on the obligation to construct the schools and maintain them in a minimum acceptable condition and to procure and maintain the plant and equipment needed to operate the schools.  The buildings and any plant and equipment installed in them at the end of the contract will be transferred to the Council for nil consideration</w:t>
      </w:r>
      <w:r w:rsidRPr="0067671F">
        <w:rPr>
          <w:rFonts w:cs="Arial"/>
          <w:color w:val="auto"/>
          <w:sz w:val="20"/>
          <w:szCs w:val="20"/>
        </w:rPr>
        <w:t>.  There were no changes to the contract arrangements during the year.</w:t>
      </w:r>
    </w:p>
    <w:p w:rsidR="00E51139" w:rsidRPr="00D42E0B" w:rsidRDefault="00E51139" w:rsidP="007C0F82">
      <w:pPr>
        <w:pStyle w:val="CodeNotesExampleText"/>
        <w:widowControl w:val="0"/>
        <w:ind w:left="567"/>
        <w:rPr>
          <w:rFonts w:cs="Arial"/>
          <w:color w:val="548DD4" w:themeColor="text2" w:themeTint="99"/>
          <w:sz w:val="20"/>
          <w:szCs w:val="20"/>
        </w:rPr>
      </w:pPr>
    </w:p>
    <w:p w:rsidR="00E51139" w:rsidRPr="00D53B1E" w:rsidRDefault="007E33E1" w:rsidP="009E7365">
      <w:pPr>
        <w:ind w:left="567"/>
        <w:rPr>
          <w:rFonts w:cs="Arial"/>
          <w:b/>
          <w:bCs/>
          <w:color w:val="auto"/>
          <w:sz w:val="20"/>
          <w:szCs w:val="20"/>
        </w:rPr>
      </w:pPr>
      <w:r>
        <w:rPr>
          <w:rFonts w:cs="Arial"/>
          <w:b/>
          <w:bCs/>
          <w:color w:val="auto"/>
          <w:sz w:val="20"/>
          <w:szCs w:val="20"/>
        </w:rPr>
        <w:t>Schools</w:t>
      </w:r>
      <w:r w:rsidR="00094AE7">
        <w:rPr>
          <w:rFonts w:cs="Arial"/>
          <w:b/>
          <w:bCs/>
          <w:color w:val="auto"/>
          <w:sz w:val="20"/>
          <w:szCs w:val="20"/>
        </w:rPr>
        <w:t xml:space="preserve"> - </w:t>
      </w:r>
      <w:r w:rsidR="00E51139" w:rsidRPr="00D53B1E">
        <w:rPr>
          <w:rFonts w:cs="Arial"/>
          <w:b/>
          <w:bCs/>
          <w:color w:val="auto"/>
          <w:sz w:val="20"/>
          <w:szCs w:val="20"/>
        </w:rPr>
        <w:t>PFI Property Plant and Equipment</w:t>
      </w:r>
    </w:p>
    <w:p w:rsidR="00E51139" w:rsidRPr="00D53B1E" w:rsidRDefault="00E51139" w:rsidP="007C0F82">
      <w:pPr>
        <w:pStyle w:val="CodeNotesExampleText"/>
        <w:widowControl w:val="0"/>
        <w:ind w:left="567"/>
        <w:rPr>
          <w:rFonts w:cs="Arial"/>
          <w:color w:val="auto"/>
          <w:sz w:val="20"/>
          <w:szCs w:val="20"/>
        </w:rPr>
      </w:pPr>
      <w:r w:rsidRPr="00D53B1E">
        <w:rPr>
          <w:rFonts w:cs="Arial"/>
          <w:color w:val="auto"/>
          <w:sz w:val="20"/>
          <w:szCs w:val="20"/>
        </w:rPr>
        <w:t xml:space="preserve">The assets used to provide services at both schools are recognised on the Council’s Balance Sheet. Since the PFI contract started </w:t>
      </w:r>
      <w:r w:rsidR="00D53B1E" w:rsidRPr="00D53B1E">
        <w:rPr>
          <w:rFonts w:cs="Arial"/>
          <w:color w:val="auto"/>
          <w:sz w:val="20"/>
          <w:szCs w:val="20"/>
        </w:rPr>
        <w:t xml:space="preserve">The Spires </w:t>
      </w:r>
      <w:r w:rsidRPr="00D53B1E">
        <w:rPr>
          <w:rFonts w:cs="Arial"/>
          <w:color w:val="auto"/>
          <w:sz w:val="20"/>
          <w:szCs w:val="20"/>
        </w:rPr>
        <w:t>school became a Foundation School</w:t>
      </w:r>
      <w:r w:rsidR="00992C01" w:rsidRPr="00D53B1E">
        <w:rPr>
          <w:rFonts w:cs="Arial"/>
          <w:color w:val="auto"/>
          <w:sz w:val="20"/>
          <w:szCs w:val="20"/>
        </w:rPr>
        <w:t xml:space="preserve">. </w:t>
      </w:r>
      <w:r w:rsidRPr="00D53B1E">
        <w:rPr>
          <w:rFonts w:cs="Arial"/>
          <w:color w:val="auto"/>
          <w:sz w:val="20"/>
          <w:szCs w:val="20"/>
        </w:rPr>
        <w:t>The Council has retain</w:t>
      </w:r>
      <w:r w:rsidR="00992C01" w:rsidRPr="00D53B1E">
        <w:rPr>
          <w:rFonts w:cs="Arial"/>
          <w:color w:val="auto"/>
          <w:sz w:val="20"/>
          <w:szCs w:val="20"/>
        </w:rPr>
        <w:t xml:space="preserve">s </w:t>
      </w:r>
      <w:r w:rsidRPr="00D53B1E">
        <w:rPr>
          <w:rFonts w:cs="Arial"/>
          <w:color w:val="auto"/>
          <w:sz w:val="20"/>
          <w:szCs w:val="20"/>
        </w:rPr>
        <w:t>the liability to the PFI contractor.</w:t>
      </w:r>
      <w:r w:rsidR="009428E5">
        <w:rPr>
          <w:rFonts w:cs="Arial"/>
          <w:color w:val="auto"/>
          <w:sz w:val="20"/>
          <w:szCs w:val="20"/>
        </w:rPr>
        <w:t xml:space="preserve"> The Spires</w:t>
      </w:r>
      <w:r w:rsidRPr="00D53B1E">
        <w:rPr>
          <w:rFonts w:cs="Arial"/>
          <w:color w:val="auto"/>
          <w:sz w:val="20"/>
          <w:szCs w:val="20"/>
        </w:rPr>
        <w:t xml:space="preserve"> </w:t>
      </w:r>
      <w:r w:rsidR="007E33E1" w:rsidRPr="00D53B1E">
        <w:rPr>
          <w:rFonts w:cs="Arial"/>
          <w:color w:val="auto"/>
          <w:sz w:val="20"/>
          <w:szCs w:val="20"/>
        </w:rPr>
        <w:t>School</w:t>
      </w:r>
      <w:r w:rsidRPr="00D53B1E">
        <w:rPr>
          <w:rFonts w:cs="Arial"/>
          <w:color w:val="auto"/>
          <w:sz w:val="20"/>
          <w:szCs w:val="20"/>
        </w:rPr>
        <w:t xml:space="preserve"> is expected to transfer to academy status in 201</w:t>
      </w:r>
      <w:r w:rsidR="00D53B1E" w:rsidRPr="00D53B1E">
        <w:rPr>
          <w:rFonts w:cs="Arial"/>
          <w:color w:val="auto"/>
          <w:sz w:val="20"/>
          <w:szCs w:val="20"/>
        </w:rPr>
        <w:t>6</w:t>
      </w:r>
      <w:r w:rsidRPr="00D53B1E">
        <w:rPr>
          <w:rFonts w:cs="Arial"/>
          <w:color w:val="auto"/>
          <w:sz w:val="20"/>
          <w:szCs w:val="20"/>
        </w:rPr>
        <w:t>/1</w:t>
      </w:r>
      <w:r w:rsidR="00D53B1E" w:rsidRPr="00D53B1E">
        <w:rPr>
          <w:rFonts w:cs="Arial"/>
          <w:color w:val="auto"/>
          <w:sz w:val="20"/>
          <w:szCs w:val="20"/>
        </w:rPr>
        <w:t>7</w:t>
      </w:r>
      <w:r w:rsidRPr="00D53B1E">
        <w:rPr>
          <w:rFonts w:cs="Arial"/>
          <w:color w:val="auto"/>
          <w:sz w:val="20"/>
          <w:szCs w:val="20"/>
        </w:rPr>
        <w:t xml:space="preserve"> </w:t>
      </w:r>
      <w:r w:rsidR="00992C01" w:rsidRPr="00D53B1E">
        <w:rPr>
          <w:rFonts w:cs="Arial"/>
          <w:color w:val="auto"/>
          <w:sz w:val="20"/>
          <w:szCs w:val="20"/>
        </w:rPr>
        <w:t>at which p</w:t>
      </w:r>
      <w:r w:rsidR="004064BE" w:rsidRPr="00D53B1E">
        <w:rPr>
          <w:rFonts w:cs="Arial"/>
          <w:color w:val="auto"/>
          <w:sz w:val="20"/>
          <w:szCs w:val="20"/>
        </w:rPr>
        <w:t>o</w:t>
      </w:r>
      <w:r w:rsidR="00992C01" w:rsidRPr="00D53B1E">
        <w:rPr>
          <w:rFonts w:cs="Arial"/>
          <w:color w:val="auto"/>
          <w:sz w:val="20"/>
          <w:szCs w:val="20"/>
        </w:rPr>
        <w:t xml:space="preserve">int the assets </w:t>
      </w:r>
      <w:r w:rsidR="007E33E1" w:rsidRPr="00D53B1E">
        <w:rPr>
          <w:rFonts w:cs="Arial"/>
          <w:color w:val="auto"/>
          <w:sz w:val="20"/>
          <w:szCs w:val="20"/>
        </w:rPr>
        <w:t>will</w:t>
      </w:r>
      <w:r w:rsidR="00992C01" w:rsidRPr="00D53B1E">
        <w:rPr>
          <w:rFonts w:cs="Arial"/>
          <w:color w:val="auto"/>
          <w:sz w:val="20"/>
          <w:szCs w:val="20"/>
        </w:rPr>
        <w:t xml:space="preserve"> be </w:t>
      </w:r>
      <w:r w:rsidR="000D134E" w:rsidRPr="00D53B1E">
        <w:rPr>
          <w:rFonts w:cs="Arial"/>
          <w:color w:val="auto"/>
          <w:sz w:val="20"/>
          <w:szCs w:val="20"/>
        </w:rPr>
        <w:t xml:space="preserve">de </w:t>
      </w:r>
      <w:r w:rsidR="00992C01" w:rsidRPr="00D53B1E">
        <w:rPr>
          <w:rFonts w:cs="Arial"/>
          <w:color w:val="auto"/>
          <w:sz w:val="20"/>
          <w:szCs w:val="20"/>
        </w:rPr>
        <w:t>re</w:t>
      </w:r>
      <w:r w:rsidR="00F2008F" w:rsidRPr="00D53B1E">
        <w:rPr>
          <w:rFonts w:cs="Arial"/>
          <w:color w:val="auto"/>
          <w:sz w:val="20"/>
          <w:szCs w:val="20"/>
        </w:rPr>
        <w:t>co</w:t>
      </w:r>
      <w:r w:rsidR="00992C01" w:rsidRPr="00D53B1E">
        <w:rPr>
          <w:rFonts w:cs="Arial"/>
          <w:color w:val="auto"/>
          <w:sz w:val="20"/>
          <w:szCs w:val="20"/>
        </w:rPr>
        <w:t>gnised</w:t>
      </w:r>
      <w:r w:rsidRPr="00D53B1E">
        <w:rPr>
          <w:rFonts w:cs="Arial"/>
          <w:color w:val="auto"/>
          <w:sz w:val="20"/>
          <w:szCs w:val="20"/>
        </w:rPr>
        <w:t>.</w:t>
      </w:r>
    </w:p>
    <w:p w:rsidR="006E667C" w:rsidRPr="00D42E0B" w:rsidRDefault="006E667C" w:rsidP="00A95218">
      <w:pPr>
        <w:pStyle w:val="CodeNotesExampleText"/>
        <w:widowControl w:val="0"/>
        <w:outlineLvl w:val="0"/>
        <w:rPr>
          <w:rFonts w:cs="Arial"/>
          <w:color w:val="548DD4" w:themeColor="text2" w:themeTint="99"/>
          <w:sz w:val="20"/>
          <w:szCs w:val="20"/>
          <w:u w:val="single"/>
        </w:rPr>
      </w:pPr>
    </w:p>
    <w:p w:rsidR="006E667C" w:rsidRPr="00094AE7" w:rsidRDefault="00094AE7" w:rsidP="00A95218">
      <w:pPr>
        <w:ind w:left="567"/>
        <w:rPr>
          <w:rFonts w:cs="Arial"/>
          <w:b/>
          <w:bCs/>
          <w:color w:val="auto"/>
          <w:sz w:val="20"/>
          <w:szCs w:val="20"/>
        </w:rPr>
      </w:pPr>
      <w:r w:rsidRPr="00094AE7">
        <w:rPr>
          <w:rFonts w:cs="Arial"/>
          <w:b/>
          <w:bCs/>
          <w:color w:val="auto"/>
          <w:sz w:val="20"/>
          <w:szCs w:val="20"/>
        </w:rPr>
        <w:t xml:space="preserve">School - </w:t>
      </w:r>
      <w:r w:rsidR="008B6BCA" w:rsidRPr="00094AE7">
        <w:rPr>
          <w:rFonts w:cs="Arial"/>
          <w:b/>
          <w:bCs/>
          <w:color w:val="auto"/>
          <w:sz w:val="20"/>
          <w:szCs w:val="20"/>
        </w:rPr>
        <w:t>P</w:t>
      </w:r>
      <w:r w:rsidR="00E51139" w:rsidRPr="00094AE7">
        <w:rPr>
          <w:rFonts w:cs="Arial"/>
          <w:b/>
          <w:bCs/>
          <w:color w:val="auto"/>
          <w:sz w:val="20"/>
          <w:szCs w:val="20"/>
        </w:rPr>
        <w:t>FI Payments</w:t>
      </w:r>
    </w:p>
    <w:p w:rsidR="00A95218" w:rsidRPr="00094AE7" w:rsidRDefault="00A95218" w:rsidP="00A95218">
      <w:pPr>
        <w:pStyle w:val="BodyTextIndent"/>
        <w:tabs>
          <w:tab w:val="left" w:pos="709"/>
        </w:tabs>
        <w:ind w:left="567"/>
        <w:rPr>
          <w:color w:val="auto"/>
          <w:sz w:val="20"/>
          <w:szCs w:val="20"/>
        </w:rPr>
      </w:pPr>
      <w:r w:rsidRPr="00094AE7">
        <w:rPr>
          <w:color w:val="auto"/>
          <w:sz w:val="20"/>
          <w:szCs w:val="20"/>
        </w:rPr>
        <w:t xml:space="preserve">The Council makes an agreed payment each year which is increased each year by inflation and can be reduced if the contractor fails to meet availability and performance standards in any year but which is otherwise fixed.  In relation to this contract the Council recognises as a liability on its balance sheet the element of this annual payment that relates to the construction and purchase of the two schools. The other elements of the contract, finance costs and service charges are recognised on an annual basis in the Council’s Comprehensive Income and Expenditure account. Payments remaining to be made under the PFI contract at 31 March </w:t>
      </w:r>
      <w:r w:rsidRPr="00094AE7">
        <w:rPr>
          <w:color w:val="auto"/>
          <w:sz w:val="20"/>
          <w:szCs w:val="20"/>
        </w:rPr>
        <w:lastRenderedPageBreak/>
        <w:t>201</w:t>
      </w:r>
      <w:r w:rsidR="00094AE7">
        <w:rPr>
          <w:color w:val="auto"/>
          <w:sz w:val="20"/>
          <w:szCs w:val="20"/>
        </w:rPr>
        <w:t>6</w:t>
      </w:r>
      <w:r w:rsidRPr="00094AE7">
        <w:rPr>
          <w:color w:val="auto"/>
          <w:sz w:val="20"/>
          <w:szCs w:val="20"/>
        </w:rPr>
        <w:t xml:space="preserve"> (excluding any estimation of inflation and availability/performance deductions) are as follows:</w:t>
      </w:r>
    </w:p>
    <w:tbl>
      <w:tblPr>
        <w:tblStyle w:val="ListTable3-Accent51"/>
        <w:tblW w:w="8341" w:type="dxa"/>
        <w:tblInd w:w="675" w:type="dxa"/>
        <w:tblLayout w:type="fixed"/>
        <w:tblLook w:val="0000"/>
      </w:tblPr>
      <w:tblGrid>
        <w:gridCol w:w="2802"/>
        <w:gridCol w:w="1451"/>
        <w:gridCol w:w="1417"/>
        <w:gridCol w:w="1276"/>
        <w:gridCol w:w="1395"/>
      </w:tblGrid>
      <w:tr w:rsidR="00D25D2C" w:rsidRPr="00D42E0B" w:rsidTr="006F773B">
        <w:trPr>
          <w:cnfStyle w:val="000000100000"/>
          <w:trHeight w:val="986"/>
        </w:trPr>
        <w:tc>
          <w:tcPr>
            <w:cnfStyle w:val="000010000000"/>
            <w:tcW w:w="2802" w:type="dxa"/>
            <w:shd w:val="clear" w:color="auto" w:fill="4BACC6" w:themeFill="accent5"/>
          </w:tcPr>
          <w:p w:rsidR="00D25D2C" w:rsidRPr="00476C43" w:rsidRDefault="00D25D2C" w:rsidP="00A95218">
            <w:pPr>
              <w:pStyle w:val="TableText"/>
              <w:jc w:val="center"/>
              <w:rPr>
                <w:rFonts w:ascii="Arial" w:hAnsi="Arial" w:cs="Arial"/>
                <w:color w:val="auto"/>
              </w:rPr>
            </w:pPr>
          </w:p>
        </w:tc>
        <w:tc>
          <w:tcPr>
            <w:tcW w:w="1451" w:type="dxa"/>
            <w:shd w:val="clear" w:color="auto" w:fill="4BACC6" w:themeFill="accent5"/>
          </w:tcPr>
          <w:p w:rsidR="00D25D2C" w:rsidRPr="00476C43" w:rsidRDefault="00D25D2C" w:rsidP="00A95218">
            <w:pPr>
              <w:pStyle w:val="TableRightBold"/>
              <w:jc w:val="center"/>
              <w:cnfStyle w:val="000000100000"/>
              <w:rPr>
                <w:rStyle w:val="Bold"/>
                <w:rFonts w:ascii="Arial" w:hAnsi="Arial" w:cs="Arial"/>
                <w:bCs w:val="0"/>
                <w:color w:val="auto"/>
              </w:rPr>
            </w:pPr>
            <w:r w:rsidRPr="00476C43">
              <w:rPr>
                <w:rStyle w:val="Bold"/>
                <w:rFonts w:ascii="Arial" w:hAnsi="Arial" w:cs="Arial"/>
                <w:bCs w:val="0"/>
                <w:color w:val="auto"/>
              </w:rPr>
              <w:t>Payment for Services *</w:t>
            </w:r>
          </w:p>
          <w:p w:rsidR="00D25D2C" w:rsidRPr="00476C43" w:rsidRDefault="00D25D2C" w:rsidP="00A95218">
            <w:pPr>
              <w:pStyle w:val="TableRightBold"/>
              <w:jc w:val="center"/>
              <w:cnfStyle w:val="000000100000"/>
              <w:rPr>
                <w:rFonts w:ascii="Arial" w:hAnsi="Arial" w:cs="Arial"/>
                <w:b w:val="0"/>
                <w:color w:val="auto"/>
              </w:rPr>
            </w:pPr>
          </w:p>
        </w:tc>
        <w:tc>
          <w:tcPr>
            <w:cnfStyle w:val="000010000000"/>
            <w:tcW w:w="1417" w:type="dxa"/>
            <w:shd w:val="clear" w:color="auto" w:fill="4BACC6" w:themeFill="accent5"/>
          </w:tcPr>
          <w:p w:rsidR="00D25D2C" w:rsidRPr="00476C43" w:rsidRDefault="00D25D2C" w:rsidP="00A95218">
            <w:pPr>
              <w:pStyle w:val="TableRightBold"/>
              <w:jc w:val="center"/>
              <w:rPr>
                <w:rStyle w:val="Bold"/>
                <w:rFonts w:ascii="Arial" w:hAnsi="Arial" w:cs="Arial"/>
                <w:bCs w:val="0"/>
                <w:color w:val="auto"/>
              </w:rPr>
            </w:pPr>
            <w:r w:rsidRPr="00476C43">
              <w:rPr>
                <w:rStyle w:val="Bold"/>
                <w:rFonts w:ascii="Arial" w:hAnsi="Arial" w:cs="Arial"/>
                <w:bCs w:val="0"/>
                <w:color w:val="auto"/>
              </w:rPr>
              <w:t>Reimburse</w:t>
            </w:r>
            <w:r w:rsidR="00A820A8" w:rsidRPr="00476C43">
              <w:rPr>
                <w:rStyle w:val="Bold"/>
                <w:rFonts w:ascii="Arial" w:hAnsi="Arial" w:cs="Arial"/>
                <w:bCs w:val="0"/>
                <w:color w:val="auto"/>
              </w:rPr>
              <w:t>-</w:t>
            </w:r>
            <w:r w:rsidRPr="00476C43">
              <w:rPr>
                <w:rStyle w:val="Bold"/>
                <w:rFonts w:ascii="Arial" w:hAnsi="Arial" w:cs="Arial"/>
                <w:bCs w:val="0"/>
                <w:color w:val="auto"/>
              </w:rPr>
              <w:t>ment of Capital Expenditure</w:t>
            </w:r>
          </w:p>
        </w:tc>
        <w:tc>
          <w:tcPr>
            <w:tcW w:w="1276" w:type="dxa"/>
            <w:shd w:val="clear" w:color="auto" w:fill="4BACC6" w:themeFill="accent5"/>
          </w:tcPr>
          <w:p w:rsidR="00D25D2C" w:rsidRPr="00476C43" w:rsidRDefault="00D25D2C" w:rsidP="00A95218">
            <w:pPr>
              <w:pStyle w:val="TableRightBold"/>
              <w:jc w:val="center"/>
              <w:cnfStyle w:val="000000100000"/>
              <w:rPr>
                <w:rStyle w:val="Bold"/>
                <w:rFonts w:ascii="Arial" w:hAnsi="Arial" w:cs="Arial"/>
                <w:bCs w:val="0"/>
                <w:color w:val="auto"/>
              </w:rPr>
            </w:pPr>
            <w:r w:rsidRPr="00476C43">
              <w:rPr>
                <w:rStyle w:val="Bold"/>
                <w:rFonts w:ascii="Arial" w:hAnsi="Arial" w:cs="Arial"/>
                <w:bCs w:val="0"/>
                <w:color w:val="auto"/>
              </w:rPr>
              <w:t>Interest</w:t>
            </w:r>
          </w:p>
          <w:p w:rsidR="00D25D2C" w:rsidRPr="00476C43" w:rsidRDefault="00D25D2C" w:rsidP="00A95218">
            <w:pPr>
              <w:pStyle w:val="TableRightBold"/>
              <w:jc w:val="center"/>
              <w:cnfStyle w:val="000000100000"/>
              <w:rPr>
                <w:rStyle w:val="Bold"/>
                <w:rFonts w:ascii="Arial" w:hAnsi="Arial" w:cs="Arial"/>
                <w:bCs w:val="0"/>
                <w:color w:val="auto"/>
              </w:rPr>
            </w:pPr>
          </w:p>
        </w:tc>
        <w:tc>
          <w:tcPr>
            <w:cnfStyle w:val="000010000000"/>
            <w:tcW w:w="1395" w:type="dxa"/>
            <w:shd w:val="clear" w:color="auto" w:fill="4BACC6" w:themeFill="accent5"/>
          </w:tcPr>
          <w:p w:rsidR="00D25D2C" w:rsidRPr="00476C43" w:rsidRDefault="00D25D2C" w:rsidP="00A95218">
            <w:pPr>
              <w:pStyle w:val="TableRightBold"/>
              <w:jc w:val="center"/>
              <w:rPr>
                <w:rStyle w:val="Bold"/>
                <w:rFonts w:ascii="Arial" w:hAnsi="Arial" w:cs="Arial"/>
                <w:bCs w:val="0"/>
                <w:color w:val="auto"/>
              </w:rPr>
            </w:pPr>
            <w:r w:rsidRPr="00476C43">
              <w:rPr>
                <w:rStyle w:val="Bold"/>
                <w:rFonts w:ascii="Arial" w:hAnsi="Arial" w:cs="Arial"/>
                <w:bCs w:val="0"/>
                <w:color w:val="auto"/>
              </w:rPr>
              <w:t>Total</w:t>
            </w:r>
          </w:p>
          <w:p w:rsidR="00D25D2C" w:rsidRPr="00476C43" w:rsidRDefault="00D25D2C" w:rsidP="00A95218">
            <w:pPr>
              <w:pStyle w:val="TableRightBold"/>
              <w:jc w:val="center"/>
              <w:rPr>
                <w:rStyle w:val="Bold"/>
                <w:rFonts w:ascii="Arial" w:hAnsi="Arial" w:cs="Arial"/>
                <w:bCs w:val="0"/>
                <w:color w:val="auto"/>
              </w:rPr>
            </w:pPr>
          </w:p>
        </w:tc>
      </w:tr>
      <w:tr w:rsidR="00A95218" w:rsidRPr="00D42E0B" w:rsidTr="006F773B">
        <w:trPr>
          <w:trHeight w:val="60"/>
        </w:trPr>
        <w:tc>
          <w:tcPr>
            <w:cnfStyle w:val="000010000000"/>
            <w:tcW w:w="2802" w:type="dxa"/>
            <w:shd w:val="clear" w:color="auto" w:fill="4BACC6" w:themeFill="accent5"/>
          </w:tcPr>
          <w:p w:rsidR="00A95218" w:rsidRPr="00476C43" w:rsidRDefault="00A95218" w:rsidP="00A95218">
            <w:pPr>
              <w:pStyle w:val="TableText"/>
              <w:rPr>
                <w:rFonts w:ascii="Arial" w:hAnsi="Arial" w:cs="Arial"/>
                <w:color w:val="auto"/>
              </w:rPr>
            </w:pPr>
          </w:p>
        </w:tc>
        <w:tc>
          <w:tcPr>
            <w:tcW w:w="1451" w:type="dxa"/>
            <w:shd w:val="clear" w:color="auto" w:fill="4BACC6" w:themeFill="accent5"/>
          </w:tcPr>
          <w:p w:rsidR="00A95218" w:rsidRPr="00476C43" w:rsidRDefault="00A95218" w:rsidP="00A95218">
            <w:pPr>
              <w:pStyle w:val="TableRight"/>
              <w:jc w:val="center"/>
              <w:cnfStyle w:val="000000000000"/>
              <w:rPr>
                <w:rFonts w:ascii="Arial" w:hAnsi="Arial" w:cs="Arial"/>
                <w:color w:val="auto"/>
              </w:rPr>
            </w:pPr>
            <w:r w:rsidRPr="00476C43">
              <w:rPr>
                <w:rFonts w:ascii="Arial" w:hAnsi="Arial" w:cs="Arial"/>
                <w:color w:val="auto"/>
              </w:rPr>
              <w:t>£m</w:t>
            </w:r>
          </w:p>
        </w:tc>
        <w:tc>
          <w:tcPr>
            <w:cnfStyle w:val="000010000000"/>
            <w:tcW w:w="1417" w:type="dxa"/>
            <w:shd w:val="clear" w:color="auto" w:fill="4BACC6" w:themeFill="accent5"/>
          </w:tcPr>
          <w:p w:rsidR="00A95218" w:rsidRPr="00476C43" w:rsidRDefault="00A95218" w:rsidP="00A95218">
            <w:pPr>
              <w:pStyle w:val="TableRight"/>
              <w:jc w:val="center"/>
              <w:rPr>
                <w:rFonts w:ascii="Arial" w:hAnsi="Arial" w:cs="Arial"/>
                <w:color w:val="auto"/>
              </w:rPr>
            </w:pPr>
            <w:r w:rsidRPr="00476C43">
              <w:rPr>
                <w:rFonts w:ascii="Arial" w:hAnsi="Arial" w:cs="Arial"/>
                <w:color w:val="auto"/>
              </w:rPr>
              <w:t>£m</w:t>
            </w:r>
          </w:p>
        </w:tc>
        <w:tc>
          <w:tcPr>
            <w:tcW w:w="1276" w:type="dxa"/>
            <w:shd w:val="clear" w:color="auto" w:fill="4BACC6" w:themeFill="accent5"/>
          </w:tcPr>
          <w:p w:rsidR="00A95218" w:rsidRPr="00476C43" w:rsidRDefault="00A95218" w:rsidP="00A95218">
            <w:pPr>
              <w:pStyle w:val="TableRight"/>
              <w:jc w:val="center"/>
              <w:cnfStyle w:val="000000000000"/>
              <w:rPr>
                <w:rFonts w:ascii="Arial" w:hAnsi="Arial" w:cs="Arial"/>
                <w:color w:val="auto"/>
              </w:rPr>
            </w:pPr>
            <w:r w:rsidRPr="00476C43">
              <w:rPr>
                <w:rFonts w:ascii="Arial" w:hAnsi="Arial" w:cs="Arial"/>
                <w:color w:val="auto"/>
              </w:rPr>
              <w:t>£m</w:t>
            </w:r>
          </w:p>
        </w:tc>
        <w:tc>
          <w:tcPr>
            <w:cnfStyle w:val="000010000000"/>
            <w:tcW w:w="1395" w:type="dxa"/>
            <w:shd w:val="clear" w:color="auto" w:fill="4BACC6" w:themeFill="accent5"/>
          </w:tcPr>
          <w:p w:rsidR="00A95218" w:rsidRPr="00476C43" w:rsidRDefault="00A95218" w:rsidP="00A95218">
            <w:pPr>
              <w:pStyle w:val="TableRight"/>
              <w:jc w:val="center"/>
              <w:rPr>
                <w:rFonts w:ascii="Arial" w:hAnsi="Arial" w:cs="Arial"/>
                <w:color w:val="auto"/>
              </w:rPr>
            </w:pPr>
            <w:r w:rsidRPr="00476C43">
              <w:rPr>
                <w:rFonts w:ascii="Arial" w:hAnsi="Arial" w:cs="Arial"/>
                <w:color w:val="auto"/>
              </w:rPr>
              <w:t>£m</w:t>
            </w:r>
          </w:p>
        </w:tc>
      </w:tr>
      <w:tr w:rsidR="00D25D2C" w:rsidRPr="00D42E0B" w:rsidTr="006F773B">
        <w:trPr>
          <w:cnfStyle w:val="000000100000"/>
          <w:trHeight w:val="60"/>
        </w:trPr>
        <w:tc>
          <w:tcPr>
            <w:cnfStyle w:val="000010000000"/>
            <w:tcW w:w="2802" w:type="dxa"/>
          </w:tcPr>
          <w:p w:rsidR="00D25D2C" w:rsidRPr="00476C43" w:rsidRDefault="00D25D2C" w:rsidP="00476C43">
            <w:pPr>
              <w:pStyle w:val="TableText"/>
              <w:rPr>
                <w:rFonts w:ascii="Arial" w:hAnsi="Arial" w:cs="Arial"/>
                <w:color w:val="auto"/>
              </w:rPr>
            </w:pPr>
            <w:r w:rsidRPr="00476C43">
              <w:rPr>
                <w:rFonts w:ascii="Arial" w:hAnsi="Arial" w:cs="Arial"/>
                <w:color w:val="auto"/>
              </w:rPr>
              <w:t>Payable in 201</w:t>
            </w:r>
            <w:r w:rsidR="00476C43" w:rsidRPr="00476C43">
              <w:rPr>
                <w:rFonts w:ascii="Arial" w:hAnsi="Arial" w:cs="Arial"/>
                <w:color w:val="auto"/>
              </w:rPr>
              <w:t>6</w:t>
            </w:r>
            <w:r w:rsidRPr="00476C43">
              <w:rPr>
                <w:rFonts w:ascii="Arial" w:hAnsi="Arial" w:cs="Arial"/>
                <w:color w:val="auto"/>
              </w:rPr>
              <w:t>/1</w:t>
            </w:r>
            <w:r w:rsidR="00476C43" w:rsidRPr="00476C43">
              <w:rPr>
                <w:rFonts w:ascii="Arial" w:hAnsi="Arial" w:cs="Arial"/>
                <w:color w:val="auto"/>
              </w:rPr>
              <w:t>7</w:t>
            </w:r>
          </w:p>
        </w:tc>
        <w:tc>
          <w:tcPr>
            <w:tcW w:w="1451" w:type="dxa"/>
          </w:tcPr>
          <w:p w:rsidR="00D25D2C" w:rsidRPr="00B44FA6" w:rsidRDefault="00476C43" w:rsidP="00A95218">
            <w:pPr>
              <w:pStyle w:val="TableRight"/>
              <w:jc w:val="center"/>
              <w:cnfStyle w:val="000000100000"/>
              <w:rPr>
                <w:rFonts w:ascii="Arial" w:hAnsi="Arial" w:cs="Arial"/>
                <w:color w:val="auto"/>
              </w:rPr>
            </w:pPr>
            <w:r w:rsidRPr="00B44FA6">
              <w:rPr>
                <w:rFonts w:ascii="Arial" w:hAnsi="Arial" w:cs="Arial"/>
                <w:color w:val="auto"/>
              </w:rPr>
              <w:t>1.8</w:t>
            </w:r>
          </w:p>
        </w:tc>
        <w:tc>
          <w:tcPr>
            <w:cnfStyle w:val="000010000000"/>
            <w:tcW w:w="1417" w:type="dxa"/>
          </w:tcPr>
          <w:p w:rsidR="00D25D2C" w:rsidRPr="00B44FA6" w:rsidRDefault="00A820A8" w:rsidP="00A95218">
            <w:pPr>
              <w:pStyle w:val="TableRight"/>
              <w:jc w:val="center"/>
              <w:rPr>
                <w:rFonts w:ascii="Arial" w:hAnsi="Arial" w:cs="Arial"/>
                <w:color w:val="auto"/>
              </w:rPr>
            </w:pPr>
            <w:r w:rsidRPr="00B44FA6">
              <w:rPr>
                <w:rFonts w:ascii="Arial" w:hAnsi="Arial" w:cs="Arial"/>
                <w:color w:val="auto"/>
              </w:rPr>
              <w:t>0.5</w:t>
            </w:r>
          </w:p>
        </w:tc>
        <w:tc>
          <w:tcPr>
            <w:tcW w:w="1276" w:type="dxa"/>
          </w:tcPr>
          <w:p w:rsidR="00D25D2C" w:rsidRPr="00B44FA6" w:rsidRDefault="00A820A8" w:rsidP="00A95218">
            <w:pPr>
              <w:pStyle w:val="TableRight"/>
              <w:jc w:val="center"/>
              <w:cnfStyle w:val="000000100000"/>
              <w:rPr>
                <w:rFonts w:ascii="Arial" w:hAnsi="Arial" w:cs="Arial"/>
                <w:color w:val="auto"/>
              </w:rPr>
            </w:pPr>
            <w:r w:rsidRPr="00B44FA6">
              <w:rPr>
                <w:rFonts w:ascii="Arial" w:hAnsi="Arial" w:cs="Arial"/>
                <w:color w:val="auto"/>
              </w:rPr>
              <w:t>0.4</w:t>
            </w:r>
          </w:p>
        </w:tc>
        <w:tc>
          <w:tcPr>
            <w:cnfStyle w:val="000010000000"/>
            <w:tcW w:w="1395" w:type="dxa"/>
          </w:tcPr>
          <w:p w:rsidR="00D25D2C" w:rsidRPr="00B44FA6" w:rsidRDefault="00A820A8" w:rsidP="00A95218">
            <w:pPr>
              <w:pStyle w:val="TableRight"/>
              <w:jc w:val="center"/>
              <w:rPr>
                <w:rFonts w:ascii="Arial" w:hAnsi="Arial" w:cs="Arial"/>
                <w:color w:val="auto"/>
              </w:rPr>
            </w:pPr>
            <w:r w:rsidRPr="00B44FA6">
              <w:rPr>
                <w:rFonts w:ascii="Arial" w:hAnsi="Arial" w:cs="Arial"/>
                <w:color w:val="auto"/>
              </w:rPr>
              <w:t>2.</w:t>
            </w:r>
            <w:r w:rsidR="00B44FA6">
              <w:rPr>
                <w:rFonts w:ascii="Arial" w:hAnsi="Arial" w:cs="Arial"/>
                <w:color w:val="auto"/>
              </w:rPr>
              <w:t>7</w:t>
            </w:r>
          </w:p>
        </w:tc>
      </w:tr>
      <w:tr w:rsidR="00D25D2C" w:rsidRPr="00D42E0B" w:rsidTr="006F773B">
        <w:trPr>
          <w:trHeight w:val="60"/>
        </w:trPr>
        <w:tc>
          <w:tcPr>
            <w:cnfStyle w:val="000010000000"/>
            <w:tcW w:w="2802" w:type="dxa"/>
          </w:tcPr>
          <w:p w:rsidR="00D25D2C" w:rsidRPr="00476C43" w:rsidRDefault="00D25D2C" w:rsidP="00A95218">
            <w:pPr>
              <w:pStyle w:val="TableText"/>
              <w:rPr>
                <w:rFonts w:ascii="Arial" w:hAnsi="Arial" w:cs="Arial"/>
                <w:color w:val="auto"/>
              </w:rPr>
            </w:pPr>
            <w:r w:rsidRPr="00476C43">
              <w:rPr>
                <w:rFonts w:ascii="Arial" w:hAnsi="Arial" w:cs="Arial"/>
                <w:color w:val="auto"/>
              </w:rPr>
              <w:t>Payable within 2 to 5 years</w:t>
            </w:r>
          </w:p>
        </w:tc>
        <w:tc>
          <w:tcPr>
            <w:tcW w:w="1451" w:type="dxa"/>
          </w:tcPr>
          <w:p w:rsidR="00D25D2C" w:rsidRPr="00476C43" w:rsidRDefault="00476C43" w:rsidP="00A820A8">
            <w:pPr>
              <w:pStyle w:val="TableRight"/>
              <w:jc w:val="center"/>
              <w:cnfStyle w:val="000000000000"/>
              <w:rPr>
                <w:rFonts w:ascii="Arial" w:hAnsi="Arial" w:cs="Arial"/>
                <w:color w:val="auto"/>
              </w:rPr>
            </w:pPr>
            <w:r w:rsidRPr="00476C43">
              <w:rPr>
                <w:rFonts w:ascii="Arial" w:hAnsi="Arial" w:cs="Arial"/>
                <w:color w:val="auto"/>
              </w:rPr>
              <w:t>7.2</w:t>
            </w:r>
          </w:p>
        </w:tc>
        <w:tc>
          <w:tcPr>
            <w:cnfStyle w:val="000010000000"/>
            <w:tcW w:w="1417" w:type="dxa"/>
          </w:tcPr>
          <w:p w:rsidR="00D25D2C" w:rsidRPr="00B44FA6" w:rsidRDefault="00A820A8" w:rsidP="00A95218">
            <w:pPr>
              <w:pStyle w:val="TableRight"/>
              <w:jc w:val="center"/>
              <w:rPr>
                <w:rFonts w:ascii="Arial" w:hAnsi="Arial" w:cs="Arial"/>
                <w:color w:val="auto"/>
              </w:rPr>
            </w:pPr>
            <w:r w:rsidRPr="00B44FA6">
              <w:rPr>
                <w:rFonts w:ascii="Arial" w:hAnsi="Arial" w:cs="Arial"/>
                <w:color w:val="auto"/>
              </w:rPr>
              <w:t>2.</w:t>
            </w:r>
            <w:r w:rsidR="00B44FA6" w:rsidRPr="00B44FA6">
              <w:rPr>
                <w:rFonts w:ascii="Arial" w:hAnsi="Arial" w:cs="Arial"/>
                <w:color w:val="auto"/>
              </w:rPr>
              <w:t>4</w:t>
            </w:r>
          </w:p>
        </w:tc>
        <w:tc>
          <w:tcPr>
            <w:tcW w:w="1276" w:type="dxa"/>
          </w:tcPr>
          <w:p w:rsidR="00D25D2C" w:rsidRPr="00B44FA6" w:rsidRDefault="00A820A8" w:rsidP="00A95218">
            <w:pPr>
              <w:pStyle w:val="TableRight"/>
              <w:jc w:val="center"/>
              <w:cnfStyle w:val="000000000000"/>
              <w:rPr>
                <w:rFonts w:ascii="Arial" w:hAnsi="Arial" w:cs="Arial"/>
                <w:color w:val="auto"/>
              </w:rPr>
            </w:pPr>
            <w:r w:rsidRPr="00B44FA6">
              <w:rPr>
                <w:rFonts w:ascii="Arial" w:hAnsi="Arial" w:cs="Arial"/>
                <w:color w:val="auto"/>
              </w:rPr>
              <w:t>1.</w:t>
            </w:r>
            <w:r w:rsidR="00B44FA6" w:rsidRPr="00B44FA6">
              <w:rPr>
                <w:rFonts w:ascii="Arial" w:hAnsi="Arial" w:cs="Arial"/>
                <w:color w:val="auto"/>
              </w:rPr>
              <w:t>3</w:t>
            </w:r>
          </w:p>
        </w:tc>
        <w:tc>
          <w:tcPr>
            <w:cnfStyle w:val="000010000000"/>
            <w:tcW w:w="1395" w:type="dxa"/>
          </w:tcPr>
          <w:p w:rsidR="00D25D2C" w:rsidRPr="00B44FA6" w:rsidRDefault="00B44FA6" w:rsidP="00A95218">
            <w:pPr>
              <w:pStyle w:val="TableRight"/>
              <w:jc w:val="center"/>
              <w:rPr>
                <w:rFonts w:ascii="Arial" w:hAnsi="Arial" w:cs="Arial"/>
                <w:color w:val="auto"/>
              </w:rPr>
            </w:pPr>
            <w:r w:rsidRPr="00B44FA6">
              <w:rPr>
                <w:rFonts w:ascii="Arial" w:hAnsi="Arial" w:cs="Arial"/>
                <w:color w:val="auto"/>
              </w:rPr>
              <w:t>10.9</w:t>
            </w:r>
          </w:p>
        </w:tc>
      </w:tr>
      <w:tr w:rsidR="00D25D2C" w:rsidRPr="00D42E0B" w:rsidTr="006F773B">
        <w:trPr>
          <w:cnfStyle w:val="000000100000"/>
          <w:trHeight w:val="60"/>
        </w:trPr>
        <w:tc>
          <w:tcPr>
            <w:cnfStyle w:val="000010000000"/>
            <w:tcW w:w="2802" w:type="dxa"/>
          </w:tcPr>
          <w:p w:rsidR="00D25D2C" w:rsidRPr="00476C43" w:rsidRDefault="00D25D2C" w:rsidP="00A95218">
            <w:pPr>
              <w:pStyle w:val="TableText"/>
              <w:rPr>
                <w:rFonts w:ascii="Arial" w:hAnsi="Arial" w:cs="Arial"/>
                <w:color w:val="auto"/>
              </w:rPr>
            </w:pPr>
            <w:r w:rsidRPr="00476C43">
              <w:rPr>
                <w:rFonts w:ascii="Arial" w:hAnsi="Arial" w:cs="Arial"/>
                <w:color w:val="auto"/>
              </w:rPr>
              <w:t>Payable within 6 to 10 years</w:t>
            </w:r>
          </w:p>
        </w:tc>
        <w:tc>
          <w:tcPr>
            <w:tcW w:w="1451" w:type="dxa"/>
          </w:tcPr>
          <w:p w:rsidR="00D25D2C" w:rsidRPr="00476C43" w:rsidRDefault="00476C43" w:rsidP="00A95218">
            <w:pPr>
              <w:pStyle w:val="TableRight"/>
              <w:jc w:val="center"/>
              <w:cnfStyle w:val="000000100000"/>
              <w:rPr>
                <w:rFonts w:ascii="Arial" w:hAnsi="Arial" w:cs="Arial"/>
                <w:color w:val="auto"/>
              </w:rPr>
            </w:pPr>
            <w:r w:rsidRPr="00476C43">
              <w:rPr>
                <w:rFonts w:ascii="Arial" w:hAnsi="Arial" w:cs="Arial"/>
                <w:color w:val="auto"/>
              </w:rPr>
              <w:t>9.0</w:t>
            </w:r>
          </w:p>
        </w:tc>
        <w:tc>
          <w:tcPr>
            <w:cnfStyle w:val="000010000000"/>
            <w:tcW w:w="1417" w:type="dxa"/>
          </w:tcPr>
          <w:p w:rsidR="00D25D2C" w:rsidRPr="006F773B" w:rsidRDefault="009453C8" w:rsidP="009453C8">
            <w:pPr>
              <w:pStyle w:val="TableRight"/>
              <w:jc w:val="center"/>
              <w:rPr>
                <w:rFonts w:ascii="Arial" w:hAnsi="Arial" w:cs="Arial"/>
                <w:color w:val="auto"/>
              </w:rPr>
            </w:pPr>
            <w:r w:rsidRPr="006F773B">
              <w:rPr>
                <w:rFonts w:ascii="Arial" w:hAnsi="Arial" w:cs="Arial"/>
                <w:color w:val="auto"/>
              </w:rPr>
              <w:t>3.</w:t>
            </w:r>
            <w:r w:rsidR="006F773B" w:rsidRPr="006F773B">
              <w:rPr>
                <w:rFonts w:ascii="Arial" w:hAnsi="Arial" w:cs="Arial"/>
                <w:color w:val="auto"/>
              </w:rPr>
              <w:t>7</w:t>
            </w:r>
          </w:p>
        </w:tc>
        <w:tc>
          <w:tcPr>
            <w:tcW w:w="1276" w:type="dxa"/>
          </w:tcPr>
          <w:p w:rsidR="00D25D2C" w:rsidRPr="006F773B" w:rsidRDefault="006F773B" w:rsidP="00A95218">
            <w:pPr>
              <w:pStyle w:val="TableRight"/>
              <w:jc w:val="center"/>
              <w:cnfStyle w:val="000000100000"/>
              <w:rPr>
                <w:rFonts w:ascii="Arial" w:hAnsi="Arial" w:cs="Arial"/>
                <w:color w:val="auto"/>
              </w:rPr>
            </w:pPr>
            <w:r w:rsidRPr="006F773B">
              <w:rPr>
                <w:rFonts w:ascii="Arial" w:hAnsi="Arial" w:cs="Arial"/>
                <w:color w:val="auto"/>
              </w:rPr>
              <w:t>0.9</w:t>
            </w:r>
          </w:p>
        </w:tc>
        <w:tc>
          <w:tcPr>
            <w:cnfStyle w:val="000010000000"/>
            <w:tcW w:w="1395" w:type="dxa"/>
          </w:tcPr>
          <w:p w:rsidR="00D25D2C" w:rsidRPr="006F773B" w:rsidRDefault="006F773B" w:rsidP="00A95218">
            <w:pPr>
              <w:pStyle w:val="TableRight"/>
              <w:jc w:val="center"/>
              <w:rPr>
                <w:rFonts w:ascii="Arial" w:hAnsi="Arial" w:cs="Arial"/>
                <w:color w:val="auto"/>
              </w:rPr>
            </w:pPr>
            <w:r w:rsidRPr="006F773B">
              <w:rPr>
                <w:rFonts w:ascii="Arial" w:hAnsi="Arial" w:cs="Arial"/>
                <w:color w:val="auto"/>
              </w:rPr>
              <w:t>13.6</w:t>
            </w:r>
          </w:p>
        </w:tc>
      </w:tr>
      <w:tr w:rsidR="00D25D2C" w:rsidRPr="00D42E0B" w:rsidTr="006F773B">
        <w:trPr>
          <w:trHeight w:val="60"/>
        </w:trPr>
        <w:tc>
          <w:tcPr>
            <w:cnfStyle w:val="000010000000"/>
            <w:tcW w:w="2802" w:type="dxa"/>
          </w:tcPr>
          <w:p w:rsidR="00D25D2C" w:rsidRPr="00476C43" w:rsidRDefault="00D25D2C" w:rsidP="00A95218">
            <w:pPr>
              <w:pStyle w:val="TableText"/>
              <w:rPr>
                <w:rFonts w:ascii="Arial" w:hAnsi="Arial" w:cs="Arial"/>
                <w:color w:val="auto"/>
              </w:rPr>
            </w:pPr>
            <w:r w:rsidRPr="00476C43">
              <w:rPr>
                <w:rFonts w:ascii="Arial" w:hAnsi="Arial" w:cs="Arial"/>
                <w:color w:val="auto"/>
              </w:rPr>
              <w:t>Payable within 11 to 15  years</w:t>
            </w:r>
          </w:p>
        </w:tc>
        <w:tc>
          <w:tcPr>
            <w:tcW w:w="1451" w:type="dxa"/>
          </w:tcPr>
          <w:p w:rsidR="00D25D2C" w:rsidRPr="00476C43" w:rsidRDefault="00476C43" w:rsidP="00A95218">
            <w:pPr>
              <w:pStyle w:val="TableRight"/>
              <w:jc w:val="center"/>
              <w:cnfStyle w:val="000000000000"/>
              <w:rPr>
                <w:rFonts w:ascii="Arial" w:hAnsi="Arial" w:cs="Arial"/>
                <w:color w:val="auto"/>
              </w:rPr>
            </w:pPr>
            <w:r w:rsidRPr="00476C43">
              <w:rPr>
                <w:rFonts w:ascii="Arial" w:hAnsi="Arial" w:cs="Arial"/>
                <w:color w:val="auto"/>
              </w:rPr>
              <w:t>2.7</w:t>
            </w:r>
          </w:p>
        </w:tc>
        <w:tc>
          <w:tcPr>
            <w:cnfStyle w:val="000010000000"/>
            <w:tcW w:w="1417" w:type="dxa"/>
          </w:tcPr>
          <w:p w:rsidR="00D25D2C" w:rsidRPr="006F773B" w:rsidRDefault="006F773B" w:rsidP="004075BE">
            <w:pPr>
              <w:pStyle w:val="TableRight"/>
              <w:jc w:val="center"/>
              <w:rPr>
                <w:rFonts w:ascii="Arial" w:hAnsi="Arial" w:cs="Arial"/>
                <w:color w:val="auto"/>
              </w:rPr>
            </w:pPr>
            <w:r w:rsidRPr="006F773B">
              <w:rPr>
                <w:rFonts w:ascii="Arial" w:hAnsi="Arial" w:cs="Arial"/>
                <w:color w:val="auto"/>
              </w:rPr>
              <w:t>1.3</w:t>
            </w:r>
          </w:p>
        </w:tc>
        <w:tc>
          <w:tcPr>
            <w:tcW w:w="1276" w:type="dxa"/>
          </w:tcPr>
          <w:p w:rsidR="00D25D2C" w:rsidRPr="006F773B" w:rsidRDefault="006F773B" w:rsidP="00A95218">
            <w:pPr>
              <w:pStyle w:val="TableRight"/>
              <w:jc w:val="center"/>
              <w:cnfStyle w:val="000000000000"/>
              <w:rPr>
                <w:rFonts w:ascii="Arial" w:hAnsi="Arial" w:cs="Arial"/>
                <w:color w:val="auto"/>
              </w:rPr>
            </w:pPr>
            <w:r w:rsidRPr="006F773B">
              <w:rPr>
                <w:rFonts w:ascii="Arial" w:hAnsi="Arial" w:cs="Arial"/>
                <w:color w:val="auto"/>
              </w:rPr>
              <w:t>0.1</w:t>
            </w:r>
          </w:p>
        </w:tc>
        <w:tc>
          <w:tcPr>
            <w:cnfStyle w:val="000010000000"/>
            <w:tcW w:w="1395" w:type="dxa"/>
          </w:tcPr>
          <w:p w:rsidR="00D25D2C" w:rsidRPr="006F773B" w:rsidRDefault="006F773B" w:rsidP="004075BE">
            <w:pPr>
              <w:pStyle w:val="TableRight"/>
              <w:jc w:val="center"/>
              <w:rPr>
                <w:rFonts w:ascii="Arial" w:hAnsi="Arial" w:cs="Arial"/>
                <w:color w:val="auto"/>
              </w:rPr>
            </w:pPr>
            <w:r w:rsidRPr="006F773B">
              <w:rPr>
                <w:rFonts w:ascii="Arial" w:hAnsi="Arial" w:cs="Arial"/>
                <w:color w:val="auto"/>
              </w:rPr>
              <w:t>4.1</w:t>
            </w:r>
          </w:p>
        </w:tc>
      </w:tr>
      <w:tr w:rsidR="00D25D2C" w:rsidRPr="00D42E0B" w:rsidTr="006F773B">
        <w:trPr>
          <w:cnfStyle w:val="000000100000"/>
          <w:trHeight w:val="60"/>
        </w:trPr>
        <w:tc>
          <w:tcPr>
            <w:cnfStyle w:val="000010000000"/>
            <w:tcW w:w="2802" w:type="dxa"/>
          </w:tcPr>
          <w:p w:rsidR="00D25D2C" w:rsidRPr="00476C43" w:rsidRDefault="00D25D2C" w:rsidP="00A95218">
            <w:pPr>
              <w:pStyle w:val="TableText"/>
              <w:rPr>
                <w:rFonts w:ascii="Arial" w:hAnsi="Arial" w:cs="Arial"/>
                <w:b/>
                <w:color w:val="auto"/>
              </w:rPr>
            </w:pPr>
            <w:r w:rsidRPr="00476C43">
              <w:rPr>
                <w:rFonts w:ascii="Arial" w:hAnsi="Arial" w:cs="Arial"/>
                <w:b/>
                <w:color w:val="auto"/>
              </w:rPr>
              <w:t>Total</w:t>
            </w:r>
          </w:p>
        </w:tc>
        <w:tc>
          <w:tcPr>
            <w:tcW w:w="1451" w:type="dxa"/>
          </w:tcPr>
          <w:p w:rsidR="00D25D2C" w:rsidRPr="00476C43" w:rsidRDefault="009453C8" w:rsidP="00A95218">
            <w:pPr>
              <w:pStyle w:val="TableRight"/>
              <w:jc w:val="center"/>
              <w:cnfStyle w:val="000000100000"/>
              <w:rPr>
                <w:rFonts w:ascii="Arial" w:hAnsi="Arial" w:cs="Arial"/>
                <w:b/>
                <w:color w:val="auto"/>
              </w:rPr>
            </w:pPr>
            <w:r w:rsidRPr="00476C43">
              <w:rPr>
                <w:rFonts w:ascii="Arial" w:hAnsi="Arial" w:cs="Arial"/>
                <w:b/>
                <w:color w:val="auto"/>
              </w:rPr>
              <w:t>2</w:t>
            </w:r>
            <w:r w:rsidR="00476C43" w:rsidRPr="00476C43">
              <w:rPr>
                <w:rFonts w:ascii="Arial" w:hAnsi="Arial" w:cs="Arial"/>
                <w:b/>
                <w:color w:val="auto"/>
              </w:rPr>
              <w:t>0.7</w:t>
            </w:r>
          </w:p>
        </w:tc>
        <w:tc>
          <w:tcPr>
            <w:cnfStyle w:val="000010000000"/>
            <w:tcW w:w="1417" w:type="dxa"/>
          </w:tcPr>
          <w:p w:rsidR="00D25D2C" w:rsidRPr="006F773B" w:rsidRDefault="006F773B" w:rsidP="00A95218">
            <w:pPr>
              <w:pStyle w:val="TableRight"/>
              <w:jc w:val="center"/>
              <w:rPr>
                <w:rFonts w:ascii="Arial" w:hAnsi="Arial" w:cs="Arial"/>
                <w:b/>
                <w:color w:val="auto"/>
              </w:rPr>
            </w:pPr>
            <w:r w:rsidRPr="006F773B">
              <w:rPr>
                <w:rFonts w:ascii="Arial" w:hAnsi="Arial" w:cs="Arial"/>
                <w:b/>
                <w:color w:val="auto"/>
              </w:rPr>
              <w:t>7.9</w:t>
            </w:r>
          </w:p>
        </w:tc>
        <w:tc>
          <w:tcPr>
            <w:tcW w:w="1276" w:type="dxa"/>
          </w:tcPr>
          <w:p w:rsidR="00D25D2C" w:rsidRPr="006F773B" w:rsidRDefault="006F773B" w:rsidP="006F773B">
            <w:pPr>
              <w:pStyle w:val="TableRight"/>
              <w:jc w:val="center"/>
              <w:cnfStyle w:val="000000100000"/>
              <w:rPr>
                <w:rFonts w:ascii="Arial" w:hAnsi="Arial" w:cs="Arial"/>
                <w:b/>
                <w:color w:val="auto"/>
              </w:rPr>
            </w:pPr>
            <w:r w:rsidRPr="006F773B">
              <w:rPr>
                <w:rFonts w:ascii="Arial" w:hAnsi="Arial" w:cs="Arial"/>
                <w:b/>
                <w:color w:val="auto"/>
              </w:rPr>
              <w:t>2.7</w:t>
            </w:r>
          </w:p>
        </w:tc>
        <w:tc>
          <w:tcPr>
            <w:cnfStyle w:val="000010000000"/>
            <w:tcW w:w="1395" w:type="dxa"/>
          </w:tcPr>
          <w:p w:rsidR="00D25D2C" w:rsidRPr="006F773B" w:rsidRDefault="009453C8" w:rsidP="006F773B">
            <w:pPr>
              <w:pStyle w:val="TableRight"/>
              <w:jc w:val="center"/>
              <w:rPr>
                <w:rFonts w:ascii="Arial" w:hAnsi="Arial" w:cs="Arial"/>
                <w:b/>
                <w:color w:val="auto"/>
              </w:rPr>
            </w:pPr>
            <w:r w:rsidRPr="006F773B">
              <w:rPr>
                <w:rFonts w:ascii="Arial" w:hAnsi="Arial" w:cs="Arial"/>
                <w:b/>
                <w:color w:val="auto"/>
              </w:rPr>
              <w:t>3</w:t>
            </w:r>
            <w:r w:rsidR="006F773B">
              <w:rPr>
                <w:rFonts w:ascii="Arial" w:hAnsi="Arial" w:cs="Arial"/>
                <w:b/>
                <w:color w:val="auto"/>
              </w:rPr>
              <w:t>1</w:t>
            </w:r>
            <w:r w:rsidR="006F773B" w:rsidRPr="006F773B">
              <w:rPr>
                <w:rFonts w:ascii="Arial" w:hAnsi="Arial" w:cs="Arial"/>
                <w:b/>
                <w:color w:val="auto"/>
              </w:rPr>
              <w:t>.3</w:t>
            </w:r>
          </w:p>
        </w:tc>
      </w:tr>
    </w:tbl>
    <w:p w:rsidR="00E51139" w:rsidRPr="00D42E0B" w:rsidRDefault="00E51139" w:rsidP="007C0F82">
      <w:pPr>
        <w:pStyle w:val="BodyTextIndent"/>
        <w:tabs>
          <w:tab w:val="left" w:pos="709"/>
        </w:tabs>
        <w:ind w:left="0"/>
        <w:rPr>
          <w:rFonts w:cs="Arial"/>
          <w:color w:val="548DD4" w:themeColor="text2" w:themeTint="99"/>
          <w:sz w:val="20"/>
          <w:szCs w:val="20"/>
        </w:rPr>
      </w:pPr>
      <w:r w:rsidRPr="00D42E0B">
        <w:rPr>
          <w:color w:val="548DD4" w:themeColor="text2" w:themeTint="99"/>
          <w:sz w:val="20"/>
          <w:szCs w:val="20"/>
        </w:rPr>
        <w:tab/>
      </w:r>
    </w:p>
    <w:p w:rsidR="00E51139" w:rsidRPr="00B05AFD" w:rsidRDefault="00E51139" w:rsidP="007C0F82">
      <w:pPr>
        <w:pStyle w:val="BodyTextIndent"/>
        <w:tabs>
          <w:tab w:val="left" w:pos="709"/>
        </w:tabs>
        <w:ind w:left="567"/>
        <w:rPr>
          <w:color w:val="auto"/>
          <w:sz w:val="20"/>
          <w:szCs w:val="20"/>
        </w:rPr>
      </w:pPr>
      <w:r w:rsidRPr="00B05AFD">
        <w:rPr>
          <w:color w:val="auto"/>
          <w:sz w:val="20"/>
          <w:szCs w:val="20"/>
        </w:rPr>
        <w:tab/>
        <w:t>* Assumption that the total annual payment for all three elements to the contractor will remain constant (ignoring inflation) until 2027/28 when the contract finishes.</w:t>
      </w:r>
    </w:p>
    <w:p w:rsidR="00E51139" w:rsidRPr="00C16B45" w:rsidRDefault="00E51139" w:rsidP="007C0F82">
      <w:pPr>
        <w:pStyle w:val="CodeNotesExampleText"/>
        <w:widowControl w:val="0"/>
        <w:ind w:left="567"/>
        <w:rPr>
          <w:rFonts w:cs="Arial"/>
          <w:color w:val="auto"/>
          <w:sz w:val="20"/>
          <w:szCs w:val="20"/>
        </w:rPr>
      </w:pPr>
      <w:r w:rsidRPr="00C16B45">
        <w:rPr>
          <w:rFonts w:cs="Arial"/>
          <w:color w:val="auto"/>
          <w:sz w:val="20"/>
          <w:szCs w:val="20"/>
        </w:rPr>
        <w:t>Although the payments made to the contractor are described as unitary payments, they have been calculated to compensate the contractor for the fair value of the services they provide, the capital expenditure incurred and interest payable. The liability outstanding to pay to the contractor for capital expenditure incurred is as follows:</w:t>
      </w:r>
    </w:p>
    <w:p w:rsidR="00E51139" w:rsidRPr="00D42E0B" w:rsidRDefault="00E51139" w:rsidP="007C0F82">
      <w:pPr>
        <w:pStyle w:val="CodeNotesExampleText"/>
        <w:widowControl w:val="0"/>
        <w:ind w:left="567"/>
        <w:rPr>
          <w:rFonts w:cs="Arial"/>
          <w:color w:val="548DD4" w:themeColor="text2" w:themeTint="99"/>
          <w:sz w:val="20"/>
          <w:szCs w:val="20"/>
        </w:rPr>
      </w:pPr>
    </w:p>
    <w:tbl>
      <w:tblPr>
        <w:tblStyle w:val="ListTable3-Accent51"/>
        <w:tblW w:w="8326" w:type="dxa"/>
        <w:tblInd w:w="720" w:type="dxa"/>
        <w:tblLayout w:type="fixed"/>
        <w:tblLook w:val="0000"/>
      </w:tblPr>
      <w:tblGrid>
        <w:gridCol w:w="1798"/>
        <w:gridCol w:w="4678"/>
        <w:gridCol w:w="1850"/>
      </w:tblGrid>
      <w:tr w:rsidR="00E51139" w:rsidRPr="00607632" w:rsidTr="007E6457">
        <w:trPr>
          <w:cnfStyle w:val="000000100000"/>
          <w:trHeight w:val="59"/>
        </w:trPr>
        <w:tc>
          <w:tcPr>
            <w:cnfStyle w:val="000010000000"/>
            <w:tcW w:w="1798" w:type="dxa"/>
            <w:shd w:val="clear" w:color="auto" w:fill="4BACC6" w:themeFill="accent5"/>
          </w:tcPr>
          <w:p w:rsidR="00E51139" w:rsidRPr="00607632" w:rsidRDefault="00E51139" w:rsidP="003D6741">
            <w:pPr>
              <w:pStyle w:val="TableRightBold"/>
              <w:ind w:right="142"/>
              <w:jc w:val="center"/>
              <w:rPr>
                <w:rStyle w:val="Bold"/>
                <w:rFonts w:ascii="Arial" w:hAnsi="Arial" w:cs="Arial"/>
                <w:b/>
                <w:bCs w:val="0"/>
                <w:color w:val="auto"/>
              </w:rPr>
            </w:pPr>
            <w:r w:rsidRPr="00607632">
              <w:rPr>
                <w:rStyle w:val="Bold"/>
                <w:rFonts w:ascii="Arial" w:hAnsi="Arial" w:cs="Arial"/>
                <w:b/>
                <w:bCs w:val="0"/>
                <w:color w:val="auto"/>
              </w:rPr>
              <w:t>201</w:t>
            </w:r>
            <w:r w:rsidR="00607632" w:rsidRPr="00607632">
              <w:rPr>
                <w:rStyle w:val="Bold"/>
                <w:rFonts w:ascii="Arial" w:hAnsi="Arial" w:cs="Arial"/>
                <w:b/>
                <w:bCs w:val="0"/>
                <w:color w:val="auto"/>
              </w:rPr>
              <w:t>4</w:t>
            </w:r>
            <w:r w:rsidR="00804CC4" w:rsidRPr="00607632">
              <w:rPr>
                <w:rStyle w:val="Bold"/>
                <w:rFonts w:ascii="Arial" w:hAnsi="Arial" w:cs="Arial"/>
                <w:b/>
                <w:bCs w:val="0"/>
                <w:color w:val="auto"/>
              </w:rPr>
              <w:t>/1</w:t>
            </w:r>
            <w:r w:rsidR="00607632" w:rsidRPr="00607632">
              <w:rPr>
                <w:rStyle w:val="Bold"/>
                <w:rFonts w:ascii="Arial" w:hAnsi="Arial" w:cs="Arial"/>
                <w:b/>
                <w:bCs w:val="0"/>
                <w:color w:val="auto"/>
              </w:rPr>
              <w:t>5</w:t>
            </w:r>
          </w:p>
          <w:p w:rsidR="00E51139" w:rsidRPr="00607632" w:rsidRDefault="00E51139" w:rsidP="00EB757A">
            <w:pPr>
              <w:pStyle w:val="TableRightBold"/>
              <w:ind w:right="142"/>
              <w:jc w:val="center"/>
              <w:rPr>
                <w:rFonts w:ascii="Arial" w:hAnsi="Arial" w:cs="Arial"/>
                <w:color w:val="auto"/>
              </w:rPr>
            </w:pPr>
            <w:r w:rsidRPr="00607632">
              <w:rPr>
                <w:rStyle w:val="Bold"/>
                <w:rFonts w:ascii="Arial" w:hAnsi="Arial" w:cs="Arial"/>
                <w:b/>
                <w:bCs w:val="0"/>
                <w:color w:val="auto"/>
              </w:rPr>
              <w:t>£m</w:t>
            </w:r>
          </w:p>
        </w:tc>
        <w:tc>
          <w:tcPr>
            <w:tcW w:w="4678" w:type="dxa"/>
            <w:shd w:val="clear" w:color="auto" w:fill="4BACC6" w:themeFill="accent5"/>
          </w:tcPr>
          <w:p w:rsidR="00E51139" w:rsidRPr="00607632" w:rsidRDefault="00E51139" w:rsidP="00EB757A">
            <w:pPr>
              <w:pStyle w:val="TableText"/>
              <w:jc w:val="center"/>
              <w:cnfStyle w:val="000000100000"/>
              <w:rPr>
                <w:rFonts w:ascii="Arial" w:hAnsi="Arial" w:cs="Arial"/>
                <w:color w:val="auto"/>
              </w:rPr>
            </w:pPr>
          </w:p>
        </w:tc>
        <w:tc>
          <w:tcPr>
            <w:cnfStyle w:val="000010000000"/>
            <w:tcW w:w="1850" w:type="dxa"/>
            <w:shd w:val="clear" w:color="auto" w:fill="4BACC6" w:themeFill="accent5"/>
          </w:tcPr>
          <w:p w:rsidR="00E51139" w:rsidRPr="00607632" w:rsidRDefault="00E51139" w:rsidP="00EB757A">
            <w:pPr>
              <w:pStyle w:val="TableRightBold"/>
              <w:ind w:right="142"/>
              <w:jc w:val="center"/>
              <w:rPr>
                <w:rStyle w:val="Bold"/>
                <w:rFonts w:ascii="Arial" w:hAnsi="Arial" w:cs="Arial"/>
                <w:b/>
                <w:bCs w:val="0"/>
                <w:color w:val="auto"/>
              </w:rPr>
            </w:pPr>
            <w:r w:rsidRPr="00607632">
              <w:rPr>
                <w:rStyle w:val="Bold"/>
                <w:rFonts w:ascii="Arial" w:hAnsi="Arial" w:cs="Arial"/>
                <w:b/>
                <w:bCs w:val="0"/>
                <w:color w:val="auto"/>
              </w:rPr>
              <w:t>20</w:t>
            </w:r>
            <w:r w:rsidR="00607632" w:rsidRPr="00607632">
              <w:rPr>
                <w:rStyle w:val="Bold"/>
                <w:rFonts w:ascii="Arial" w:hAnsi="Arial" w:cs="Arial"/>
                <w:b/>
                <w:bCs w:val="0"/>
                <w:color w:val="auto"/>
              </w:rPr>
              <w:t>15</w:t>
            </w:r>
            <w:r w:rsidR="00906DE2" w:rsidRPr="00607632">
              <w:rPr>
                <w:rStyle w:val="Bold"/>
                <w:rFonts w:ascii="Arial" w:hAnsi="Arial" w:cs="Arial"/>
                <w:b/>
                <w:bCs w:val="0"/>
                <w:color w:val="auto"/>
              </w:rPr>
              <w:t>/1</w:t>
            </w:r>
            <w:r w:rsidR="00607632" w:rsidRPr="00607632">
              <w:rPr>
                <w:rStyle w:val="Bold"/>
                <w:rFonts w:ascii="Arial" w:hAnsi="Arial" w:cs="Arial"/>
                <w:b/>
                <w:bCs w:val="0"/>
                <w:color w:val="auto"/>
              </w:rPr>
              <w:t>6</w:t>
            </w:r>
          </w:p>
          <w:p w:rsidR="00E51139" w:rsidRPr="00607632" w:rsidRDefault="00E51139" w:rsidP="00EB757A">
            <w:pPr>
              <w:pStyle w:val="TableRightBold"/>
              <w:ind w:right="142"/>
              <w:jc w:val="center"/>
              <w:rPr>
                <w:rFonts w:ascii="Arial" w:hAnsi="Arial" w:cs="Arial"/>
                <w:color w:val="auto"/>
              </w:rPr>
            </w:pPr>
            <w:r w:rsidRPr="00607632">
              <w:rPr>
                <w:rStyle w:val="Bold"/>
                <w:rFonts w:ascii="Arial" w:hAnsi="Arial" w:cs="Arial"/>
                <w:b/>
                <w:bCs w:val="0"/>
                <w:color w:val="auto"/>
              </w:rPr>
              <w:t>£m</w:t>
            </w:r>
          </w:p>
        </w:tc>
      </w:tr>
      <w:tr w:rsidR="00607632" w:rsidRPr="00607632" w:rsidTr="007E6457">
        <w:trPr>
          <w:trHeight w:val="59"/>
        </w:trPr>
        <w:tc>
          <w:tcPr>
            <w:cnfStyle w:val="000010000000"/>
            <w:tcW w:w="1798" w:type="dxa"/>
          </w:tcPr>
          <w:p w:rsidR="00607632" w:rsidRPr="00607632" w:rsidRDefault="00607632" w:rsidP="009A73F1">
            <w:pPr>
              <w:pStyle w:val="TableRight"/>
              <w:ind w:right="142"/>
              <w:jc w:val="center"/>
              <w:rPr>
                <w:rFonts w:ascii="Arial" w:hAnsi="Arial" w:cs="Arial"/>
                <w:color w:val="auto"/>
              </w:rPr>
            </w:pPr>
            <w:r w:rsidRPr="00607632">
              <w:rPr>
                <w:rFonts w:ascii="Arial" w:hAnsi="Arial" w:cs="Arial"/>
                <w:color w:val="auto"/>
              </w:rPr>
              <w:t>8.8</w:t>
            </w:r>
          </w:p>
        </w:tc>
        <w:tc>
          <w:tcPr>
            <w:tcW w:w="4678" w:type="dxa"/>
          </w:tcPr>
          <w:p w:rsidR="00607632" w:rsidRPr="00607632" w:rsidRDefault="00607632" w:rsidP="00EB757A">
            <w:pPr>
              <w:pStyle w:val="TableText"/>
              <w:cnfStyle w:val="000000000000"/>
              <w:rPr>
                <w:rFonts w:ascii="Arial" w:hAnsi="Arial" w:cs="Arial"/>
                <w:color w:val="auto"/>
              </w:rPr>
            </w:pPr>
            <w:r w:rsidRPr="00607632">
              <w:rPr>
                <w:rFonts w:ascii="Arial" w:hAnsi="Arial" w:cs="Arial"/>
                <w:color w:val="auto"/>
              </w:rPr>
              <w:t>Balance outstanding at start of year</w:t>
            </w:r>
          </w:p>
        </w:tc>
        <w:tc>
          <w:tcPr>
            <w:cnfStyle w:val="000010000000"/>
            <w:tcW w:w="1850" w:type="dxa"/>
          </w:tcPr>
          <w:p w:rsidR="00607632" w:rsidRPr="003469C6" w:rsidRDefault="0067671F" w:rsidP="005C0277">
            <w:pPr>
              <w:pStyle w:val="TableRight"/>
              <w:ind w:right="142"/>
              <w:jc w:val="center"/>
              <w:rPr>
                <w:rFonts w:ascii="Arial" w:hAnsi="Arial" w:cs="Arial"/>
                <w:b/>
                <w:color w:val="auto"/>
              </w:rPr>
            </w:pPr>
            <w:r w:rsidRPr="003469C6">
              <w:rPr>
                <w:rFonts w:ascii="Arial" w:hAnsi="Arial" w:cs="Arial"/>
                <w:b/>
                <w:color w:val="auto"/>
              </w:rPr>
              <w:t>8.4</w:t>
            </w:r>
          </w:p>
        </w:tc>
      </w:tr>
      <w:tr w:rsidR="00607632" w:rsidRPr="00607632" w:rsidTr="007E6457">
        <w:trPr>
          <w:cnfStyle w:val="000000100000"/>
          <w:trHeight w:val="59"/>
        </w:trPr>
        <w:tc>
          <w:tcPr>
            <w:cnfStyle w:val="000010000000"/>
            <w:tcW w:w="1798" w:type="dxa"/>
          </w:tcPr>
          <w:p w:rsidR="00607632" w:rsidRPr="00607632" w:rsidRDefault="00607632" w:rsidP="009A73F1">
            <w:pPr>
              <w:pStyle w:val="TableRight"/>
              <w:ind w:right="142"/>
              <w:jc w:val="center"/>
              <w:rPr>
                <w:rFonts w:ascii="Arial" w:hAnsi="Arial" w:cs="Arial"/>
                <w:color w:val="auto"/>
              </w:rPr>
            </w:pPr>
            <w:r w:rsidRPr="00607632">
              <w:rPr>
                <w:rFonts w:ascii="Arial" w:hAnsi="Arial" w:cs="Arial"/>
                <w:color w:val="auto"/>
              </w:rPr>
              <w:t>(0.4)</w:t>
            </w:r>
          </w:p>
        </w:tc>
        <w:tc>
          <w:tcPr>
            <w:tcW w:w="4678" w:type="dxa"/>
          </w:tcPr>
          <w:p w:rsidR="00607632" w:rsidRPr="00607632" w:rsidRDefault="00607632" w:rsidP="00EB757A">
            <w:pPr>
              <w:pStyle w:val="TableText"/>
              <w:cnfStyle w:val="000000100000"/>
              <w:rPr>
                <w:rFonts w:ascii="Arial" w:hAnsi="Arial" w:cs="Arial"/>
                <w:color w:val="auto"/>
              </w:rPr>
            </w:pPr>
            <w:r w:rsidRPr="00607632">
              <w:rPr>
                <w:rFonts w:ascii="Arial" w:hAnsi="Arial" w:cs="Arial"/>
                <w:color w:val="auto"/>
              </w:rPr>
              <w:t>Payments during the year</w:t>
            </w:r>
          </w:p>
        </w:tc>
        <w:tc>
          <w:tcPr>
            <w:cnfStyle w:val="000010000000"/>
            <w:tcW w:w="1850" w:type="dxa"/>
          </w:tcPr>
          <w:p w:rsidR="00607632" w:rsidRPr="003469C6" w:rsidRDefault="003469C6" w:rsidP="003469C6">
            <w:pPr>
              <w:pStyle w:val="TableRight"/>
              <w:ind w:right="142"/>
              <w:jc w:val="center"/>
              <w:rPr>
                <w:rFonts w:ascii="Arial" w:hAnsi="Arial" w:cs="Arial"/>
                <w:b/>
                <w:color w:val="auto"/>
              </w:rPr>
            </w:pPr>
            <w:r w:rsidRPr="003469C6">
              <w:rPr>
                <w:rFonts w:ascii="Arial" w:hAnsi="Arial" w:cs="Arial"/>
                <w:b/>
                <w:color w:val="auto"/>
              </w:rPr>
              <w:t>(0.5)</w:t>
            </w:r>
          </w:p>
        </w:tc>
      </w:tr>
      <w:tr w:rsidR="00607632" w:rsidRPr="00607632" w:rsidTr="007E6457">
        <w:trPr>
          <w:trHeight w:val="59"/>
        </w:trPr>
        <w:tc>
          <w:tcPr>
            <w:cnfStyle w:val="000010000000"/>
            <w:tcW w:w="1798" w:type="dxa"/>
          </w:tcPr>
          <w:p w:rsidR="00607632" w:rsidRPr="003469C6" w:rsidRDefault="00607632" w:rsidP="009A73F1">
            <w:pPr>
              <w:pStyle w:val="TableRight"/>
              <w:ind w:right="142"/>
              <w:jc w:val="center"/>
              <w:rPr>
                <w:rFonts w:ascii="Arial" w:hAnsi="Arial" w:cs="Arial"/>
                <w:color w:val="auto"/>
              </w:rPr>
            </w:pPr>
            <w:r w:rsidRPr="003469C6">
              <w:rPr>
                <w:rFonts w:ascii="Arial" w:hAnsi="Arial" w:cs="Arial"/>
                <w:color w:val="auto"/>
              </w:rPr>
              <w:t>8.4</w:t>
            </w:r>
          </w:p>
        </w:tc>
        <w:tc>
          <w:tcPr>
            <w:tcW w:w="4678" w:type="dxa"/>
          </w:tcPr>
          <w:p w:rsidR="00607632" w:rsidRPr="00607632" w:rsidRDefault="00607632" w:rsidP="00EB757A">
            <w:pPr>
              <w:pStyle w:val="TableText"/>
              <w:cnfStyle w:val="000000000000"/>
              <w:rPr>
                <w:rFonts w:ascii="Arial" w:hAnsi="Arial" w:cs="Arial"/>
                <w:b/>
                <w:color w:val="auto"/>
              </w:rPr>
            </w:pPr>
            <w:r w:rsidRPr="00607632">
              <w:rPr>
                <w:rFonts w:ascii="Arial" w:hAnsi="Arial" w:cs="Arial"/>
                <w:b/>
                <w:color w:val="auto"/>
              </w:rPr>
              <w:t>Balance outstanding at year-end</w:t>
            </w:r>
          </w:p>
        </w:tc>
        <w:tc>
          <w:tcPr>
            <w:cnfStyle w:val="000010000000"/>
            <w:tcW w:w="1850" w:type="dxa"/>
          </w:tcPr>
          <w:p w:rsidR="00607632" w:rsidRPr="003469C6" w:rsidRDefault="003469C6" w:rsidP="003469C6">
            <w:pPr>
              <w:pStyle w:val="TableRight"/>
              <w:ind w:right="142"/>
              <w:jc w:val="center"/>
              <w:rPr>
                <w:rFonts w:ascii="Arial" w:hAnsi="Arial" w:cs="Arial"/>
                <w:b/>
                <w:color w:val="auto"/>
              </w:rPr>
            </w:pPr>
            <w:r w:rsidRPr="003469C6">
              <w:rPr>
                <w:rFonts w:ascii="Arial" w:hAnsi="Arial" w:cs="Arial"/>
                <w:b/>
                <w:color w:val="auto"/>
              </w:rPr>
              <w:t>7.9</w:t>
            </w:r>
          </w:p>
        </w:tc>
      </w:tr>
    </w:tbl>
    <w:p w:rsidR="003F3504" w:rsidRPr="00D42E0B" w:rsidRDefault="00CA0FEB" w:rsidP="00AE68A9">
      <w:pPr>
        <w:pStyle w:val="BodyTextIndent"/>
        <w:tabs>
          <w:tab w:val="left" w:pos="709"/>
        </w:tabs>
        <w:ind w:left="810" w:hanging="810"/>
        <w:rPr>
          <w:b/>
          <w:color w:val="548DD4" w:themeColor="text2" w:themeTint="99"/>
          <w:sz w:val="20"/>
          <w:szCs w:val="20"/>
        </w:rPr>
      </w:pPr>
      <w:r w:rsidRPr="00D42E0B">
        <w:rPr>
          <w:b/>
          <w:color w:val="548DD4" w:themeColor="text2" w:themeTint="99"/>
          <w:sz w:val="20"/>
          <w:szCs w:val="20"/>
        </w:rPr>
        <w:tab/>
      </w:r>
    </w:p>
    <w:p w:rsidR="00AE68A9" w:rsidRPr="00094AE7" w:rsidRDefault="00AE68A9" w:rsidP="007D7C52">
      <w:pPr>
        <w:ind w:left="567"/>
        <w:rPr>
          <w:rFonts w:cs="Arial"/>
          <w:b/>
          <w:bCs/>
          <w:color w:val="auto"/>
          <w:sz w:val="20"/>
          <w:szCs w:val="20"/>
        </w:rPr>
      </w:pPr>
      <w:r w:rsidRPr="00094AE7">
        <w:rPr>
          <w:rFonts w:cs="Arial"/>
          <w:b/>
          <w:bCs/>
          <w:color w:val="auto"/>
          <w:sz w:val="20"/>
          <w:szCs w:val="20"/>
        </w:rPr>
        <w:t>Energy From Waste Plant – Private Finance Initiative</w:t>
      </w:r>
      <w:r w:rsidR="00F95FF9" w:rsidRPr="00094AE7">
        <w:rPr>
          <w:rFonts w:cs="Arial"/>
          <w:b/>
          <w:bCs/>
          <w:color w:val="auto"/>
          <w:sz w:val="20"/>
          <w:szCs w:val="20"/>
        </w:rPr>
        <w:t xml:space="preserve"> </w:t>
      </w:r>
    </w:p>
    <w:p w:rsidR="00F95ABE" w:rsidRPr="0067671F" w:rsidRDefault="00AE68A9" w:rsidP="00F95ABE">
      <w:pPr>
        <w:tabs>
          <w:tab w:val="left" w:pos="567"/>
        </w:tabs>
        <w:autoSpaceDE w:val="0"/>
        <w:autoSpaceDN w:val="0"/>
        <w:ind w:left="567"/>
        <w:rPr>
          <w:rFonts w:cs="Arial"/>
          <w:color w:val="0070C0"/>
          <w:sz w:val="20"/>
          <w:szCs w:val="20"/>
        </w:rPr>
      </w:pPr>
      <w:r w:rsidRPr="00094AE7">
        <w:rPr>
          <w:rFonts w:cs="Arial"/>
          <w:bCs/>
          <w:color w:val="auto"/>
          <w:sz w:val="20"/>
          <w:szCs w:val="20"/>
          <w:lang w:eastAsia="en-GB"/>
        </w:rPr>
        <w:t xml:space="preserve">Torbay, in partnership with Plymouth and Devon County Councils has entered into a 25 year PFI contract with MVV </w:t>
      </w:r>
      <w:r w:rsidR="00F44C5E" w:rsidRPr="00094AE7">
        <w:rPr>
          <w:rFonts w:cs="Arial"/>
          <w:bCs/>
          <w:color w:val="auto"/>
          <w:sz w:val="20"/>
          <w:szCs w:val="20"/>
          <w:lang w:eastAsia="en-GB"/>
        </w:rPr>
        <w:t>Umwelt</w:t>
      </w:r>
      <w:r w:rsidRPr="00094AE7">
        <w:rPr>
          <w:rFonts w:cs="Arial"/>
          <w:bCs/>
          <w:color w:val="auto"/>
          <w:sz w:val="20"/>
          <w:szCs w:val="20"/>
          <w:lang w:eastAsia="en-GB"/>
        </w:rPr>
        <w:t xml:space="preserve"> for the construction and operation of an Energy From Waste Plant for the disposal of domestic waste. The Plant </w:t>
      </w:r>
      <w:r w:rsidR="00094AE7" w:rsidRPr="00094AE7">
        <w:rPr>
          <w:rFonts w:cs="Arial"/>
          <w:bCs/>
          <w:color w:val="auto"/>
          <w:sz w:val="20"/>
          <w:szCs w:val="20"/>
          <w:lang w:eastAsia="en-GB"/>
        </w:rPr>
        <w:t>was</w:t>
      </w:r>
      <w:r w:rsidRPr="00094AE7">
        <w:rPr>
          <w:rFonts w:cs="Arial"/>
          <w:bCs/>
          <w:color w:val="auto"/>
          <w:sz w:val="20"/>
          <w:szCs w:val="20"/>
          <w:lang w:eastAsia="en-GB"/>
        </w:rPr>
        <w:t xml:space="preserve"> operational from </w:t>
      </w:r>
      <w:r w:rsidR="00935693" w:rsidRPr="00094AE7">
        <w:rPr>
          <w:rFonts w:cs="Arial"/>
          <w:bCs/>
          <w:color w:val="auto"/>
          <w:sz w:val="20"/>
          <w:szCs w:val="20"/>
          <w:lang w:eastAsia="en-GB"/>
        </w:rPr>
        <w:t>April 2015</w:t>
      </w:r>
      <w:r w:rsidR="00F95FF9" w:rsidRPr="00094AE7">
        <w:rPr>
          <w:rFonts w:cs="Arial"/>
          <w:bCs/>
          <w:color w:val="auto"/>
          <w:sz w:val="20"/>
          <w:szCs w:val="20"/>
          <w:lang w:eastAsia="en-GB"/>
        </w:rPr>
        <w:t>,</w:t>
      </w:r>
      <w:r w:rsidRPr="00094AE7">
        <w:rPr>
          <w:rFonts w:cs="Arial"/>
          <w:bCs/>
          <w:color w:val="auto"/>
          <w:sz w:val="20"/>
          <w:szCs w:val="20"/>
          <w:lang w:eastAsia="en-GB"/>
        </w:rPr>
        <w:t xml:space="preserve"> when the </w:t>
      </w:r>
      <w:r w:rsidRPr="00F95ABE">
        <w:rPr>
          <w:rFonts w:cs="Arial"/>
          <w:bCs/>
          <w:color w:val="auto"/>
          <w:sz w:val="20"/>
          <w:szCs w:val="20"/>
          <w:lang w:eastAsia="en-GB"/>
        </w:rPr>
        <w:t xml:space="preserve">Councils </w:t>
      </w:r>
      <w:r w:rsidR="00935693" w:rsidRPr="00F95ABE">
        <w:rPr>
          <w:rFonts w:cs="Arial"/>
          <w:bCs/>
          <w:color w:val="auto"/>
          <w:sz w:val="20"/>
          <w:szCs w:val="20"/>
          <w:lang w:eastAsia="en-GB"/>
        </w:rPr>
        <w:t>will</w:t>
      </w:r>
      <w:r w:rsidRPr="00F95ABE">
        <w:rPr>
          <w:rFonts w:cs="Arial"/>
          <w:bCs/>
          <w:color w:val="auto"/>
          <w:sz w:val="20"/>
          <w:szCs w:val="20"/>
          <w:lang w:eastAsia="en-GB"/>
        </w:rPr>
        <w:t xml:space="preserve"> deliver waste to the </w:t>
      </w:r>
      <w:r w:rsidR="00BC1327" w:rsidRPr="00F95ABE">
        <w:rPr>
          <w:rFonts w:cs="Arial"/>
          <w:bCs/>
          <w:color w:val="auto"/>
          <w:sz w:val="20"/>
          <w:szCs w:val="20"/>
          <w:lang w:eastAsia="en-GB"/>
        </w:rPr>
        <w:t>facility paying a unitary charge linked to waste tonnages.</w:t>
      </w:r>
      <w:r w:rsidR="00F95ABE" w:rsidRPr="00F95ABE">
        <w:rPr>
          <w:rFonts w:cs="Arial"/>
          <w:bCs/>
          <w:color w:val="auto"/>
          <w:sz w:val="20"/>
          <w:szCs w:val="20"/>
          <w:lang w:eastAsia="en-GB"/>
        </w:rPr>
        <w:t xml:space="preserve"> </w:t>
      </w:r>
      <w:r w:rsidR="00F95ABE" w:rsidRPr="00F95ABE">
        <w:rPr>
          <w:color w:val="auto"/>
          <w:sz w:val="20"/>
          <w:szCs w:val="20"/>
        </w:rPr>
        <w:t xml:space="preserve">The period of the contract </w:t>
      </w:r>
      <w:r w:rsidR="007E33E1" w:rsidRPr="00F95ABE">
        <w:rPr>
          <w:color w:val="auto"/>
          <w:sz w:val="20"/>
          <w:szCs w:val="20"/>
        </w:rPr>
        <w:t>operation</w:t>
      </w:r>
      <w:r w:rsidR="00F95ABE" w:rsidRPr="00F95ABE">
        <w:rPr>
          <w:color w:val="auto"/>
          <w:sz w:val="20"/>
          <w:szCs w:val="20"/>
        </w:rPr>
        <w:t xml:space="preserve"> is from when the </w:t>
      </w:r>
      <w:r w:rsidR="007E33E1" w:rsidRPr="00F95ABE">
        <w:rPr>
          <w:color w:val="auto"/>
          <w:sz w:val="20"/>
          <w:szCs w:val="20"/>
        </w:rPr>
        <w:t>commissioning</w:t>
      </w:r>
      <w:r w:rsidR="00F95ABE" w:rsidRPr="00F95ABE">
        <w:rPr>
          <w:color w:val="auto"/>
          <w:sz w:val="20"/>
          <w:szCs w:val="20"/>
        </w:rPr>
        <w:t xml:space="preserve"> period started in April 2015 to a fixed contract end date in November 2039</w:t>
      </w:r>
    </w:p>
    <w:p w:rsidR="00AD740B" w:rsidRPr="00F95ABE" w:rsidRDefault="00F95ABE" w:rsidP="00F95ABE">
      <w:pPr>
        <w:tabs>
          <w:tab w:val="left" w:pos="567"/>
        </w:tabs>
        <w:autoSpaceDE w:val="0"/>
        <w:autoSpaceDN w:val="0"/>
        <w:ind w:left="567"/>
        <w:rPr>
          <w:rFonts w:cs="Arial"/>
          <w:bCs/>
          <w:color w:val="auto"/>
          <w:sz w:val="20"/>
          <w:szCs w:val="20"/>
          <w:lang w:eastAsia="en-GB"/>
        </w:rPr>
      </w:pPr>
      <w:r>
        <w:rPr>
          <w:rFonts w:cs="Arial"/>
          <w:bCs/>
          <w:color w:val="auto"/>
          <w:sz w:val="20"/>
          <w:szCs w:val="20"/>
          <w:lang w:eastAsia="en-GB"/>
        </w:rPr>
        <w:t>The three</w:t>
      </w:r>
      <w:r w:rsidR="00AD740B" w:rsidRPr="00F95ABE">
        <w:rPr>
          <w:rFonts w:cs="Arial"/>
          <w:bCs/>
          <w:color w:val="auto"/>
          <w:sz w:val="20"/>
          <w:szCs w:val="20"/>
          <w:lang w:eastAsia="en-GB"/>
        </w:rPr>
        <w:t xml:space="preserve"> Council</w:t>
      </w:r>
      <w:r>
        <w:rPr>
          <w:rFonts w:cs="Arial"/>
          <w:bCs/>
          <w:color w:val="auto"/>
          <w:sz w:val="20"/>
          <w:szCs w:val="20"/>
          <w:lang w:eastAsia="en-GB"/>
        </w:rPr>
        <w:t>s</w:t>
      </w:r>
      <w:r w:rsidR="00AD740B" w:rsidRPr="00F95ABE">
        <w:rPr>
          <w:rFonts w:cs="Arial"/>
          <w:bCs/>
          <w:color w:val="auto"/>
          <w:sz w:val="20"/>
          <w:szCs w:val="20"/>
          <w:lang w:eastAsia="en-GB"/>
        </w:rPr>
        <w:t xml:space="preserve"> appointed MVV</w:t>
      </w:r>
      <w:r>
        <w:rPr>
          <w:rFonts w:cs="Arial"/>
          <w:bCs/>
          <w:color w:val="auto"/>
          <w:sz w:val="20"/>
          <w:szCs w:val="20"/>
          <w:lang w:eastAsia="en-GB"/>
        </w:rPr>
        <w:t xml:space="preserve"> </w:t>
      </w:r>
      <w:r w:rsidR="00AD740B" w:rsidRPr="00F95ABE">
        <w:rPr>
          <w:rFonts w:cs="Arial"/>
          <w:bCs/>
          <w:color w:val="auto"/>
          <w:sz w:val="20"/>
          <w:szCs w:val="20"/>
          <w:lang w:eastAsia="en-GB"/>
        </w:rPr>
        <w:t>U</w:t>
      </w:r>
      <w:r>
        <w:rPr>
          <w:rFonts w:cs="Arial"/>
          <w:bCs/>
          <w:color w:val="auto"/>
          <w:sz w:val="20"/>
          <w:szCs w:val="20"/>
          <w:lang w:eastAsia="en-GB"/>
        </w:rPr>
        <w:t>mwelt</w:t>
      </w:r>
      <w:r w:rsidR="00AD740B" w:rsidRPr="00F95ABE">
        <w:rPr>
          <w:rFonts w:cs="Arial"/>
          <w:bCs/>
          <w:color w:val="auto"/>
          <w:sz w:val="20"/>
          <w:szCs w:val="20"/>
          <w:lang w:eastAsia="en-GB"/>
        </w:rPr>
        <w:t xml:space="preserve"> under a fixed price contract to finance, construct and design the 245,000 tonne capacity facility and to maintain it to a minimum acceptable condition over a 24 year term, but with an option to extend operations for another 5 years. The </w:t>
      </w:r>
      <w:r>
        <w:rPr>
          <w:rFonts w:cs="Arial"/>
          <w:bCs/>
          <w:color w:val="auto"/>
          <w:sz w:val="20"/>
          <w:szCs w:val="20"/>
          <w:lang w:eastAsia="en-GB"/>
        </w:rPr>
        <w:t xml:space="preserve">Councils </w:t>
      </w:r>
      <w:r w:rsidR="00AD740B" w:rsidRPr="00F95ABE">
        <w:rPr>
          <w:rFonts w:cs="Arial"/>
          <w:bCs/>
          <w:color w:val="auto"/>
          <w:sz w:val="20"/>
          <w:szCs w:val="20"/>
          <w:lang w:eastAsia="en-GB"/>
        </w:rPr>
        <w:t>ha</w:t>
      </w:r>
      <w:r>
        <w:rPr>
          <w:rFonts w:cs="Arial"/>
          <w:bCs/>
          <w:color w:val="auto"/>
          <w:sz w:val="20"/>
          <w:szCs w:val="20"/>
          <w:lang w:eastAsia="en-GB"/>
        </w:rPr>
        <w:t>ve</w:t>
      </w:r>
      <w:r w:rsidR="00AD740B" w:rsidRPr="00F95ABE">
        <w:rPr>
          <w:rFonts w:cs="Arial"/>
          <w:bCs/>
          <w:color w:val="auto"/>
          <w:sz w:val="20"/>
          <w:szCs w:val="20"/>
          <w:lang w:eastAsia="en-GB"/>
        </w:rPr>
        <w:t xml:space="preserve"> the right to terminate the contract but must compensates MVVU in full for costs incurred and for future profits that would have been generated over the remaining term of the contract. At the end of the contract term buildings, plant and equipment will be transferred back to the </w:t>
      </w:r>
      <w:r w:rsidR="007E33E1">
        <w:rPr>
          <w:rFonts w:cs="Arial"/>
          <w:bCs/>
          <w:color w:val="auto"/>
          <w:sz w:val="20"/>
          <w:szCs w:val="20"/>
          <w:lang w:eastAsia="en-GB"/>
        </w:rPr>
        <w:t>Councils</w:t>
      </w:r>
      <w:r w:rsidR="00AD740B" w:rsidRPr="00F95ABE">
        <w:rPr>
          <w:rFonts w:cs="Arial"/>
          <w:bCs/>
          <w:color w:val="auto"/>
          <w:sz w:val="20"/>
          <w:szCs w:val="20"/>
          <w:lang w:eastAsia="en-GB"/>
        </w:rPr>
        <w:t xml:space="preserve"> for nil consideration should the partnership elect to exercise this option.</w:t>
      </w:r>
    </w:p>
    <w:p w:rsidR="00AD740B" w:rsidRPr="00F95ABE" w:rsidRDefault="00AD740B" w:rsidP="00F95ABE">
      <w:pPr>
        <w:spacing w:before="100" w:beforeAutospacing="1" w:after="100" w:afterAutospacing="1"/>
        <w:ind w:left="567"/>
        <w:rPr>
          <w:rFonts w:cs="Arial"/>
          <w:bCs/>
          <w:color w:val="auto"/>
          <w:sz w:val="20"/>
          <w:szCs w:val="20"/>
          <w:lang w:eastAsia="en-GB"/>
        </w:rPr>
      </w:pPr>
      <w:r w:rsidRPr="00F95ABE">
        <w:rPr>
          <w:rFonts w:cs="Arial"/>
          <w:bCs/>
          <w:color w:val="auto"/>
          <w:sz w:val="20"/>
          <w:szCs w:val="20"/>
          <w:lang w:eastAsia="en-GB"/>
        </w:rPr>
        <w:t xml:space="preserve">The </w:t>
      </w:r>
      <w:r w:rsidR="007E33E1">
        <w:rPr>
          <w:rFonts w:cs="Arial"/>
          <w:bCs/>
          <w:color w:val="auto"/>
          <w:sz w:val="20"/>
          <w:szCs w:val="20"/>
          <w:lang w:eastAsia="en-GB"/>
        </w:rPr>
        <w:t>EFW</w:t>
      </w:r>
      <w:r w:rsidRPr="00F95ABE">
        <w:rPr>
          <w:rFonts w:cs="Arial"/>
          <w:bCs/>
          <w:color w:val="auto"/>
          <w:sz w:val="20"/>
          <w:szCs w:val="20"/>
          <w:lang w:eastAsia="en-GB"/>
        </w:rPr>
        <w:t xml:space="preserve"> facility is located on M</w:t>
      </w:r>
      <w:r w:rsidR="002C43DD">
        <w:rPr>
          <w:rFonts w:cs="Arial"/>
          <w:bCs/>
          <w:color w:val="auto"/>
          <w:sz w:val="20"/>
          <w:szCs w:val="20"/>
          <w:lang w:eastAsia="en-GB"/>
        </w:rPr>
        <w:t>inistry of Defen</w:t>
      </w:r>
      <w:r w:rsidR="00D64071">
        <w:rPr>
          <w:rFonts w:cs="Arial"/>
          <w:bCs/>
          <w:color w:val="auto"/>
          <w:sz w:val="20"/>
          <w:szCs w:val="20"/>
          <w:lang w:eastAsia="en-GB"/>
        </w:rPr>
        <w:t>c</w:t>
      </w:r>
      <w:r w:rsidR="002C43DD">
        <w:rPr>
          <w:rFonts w:cs="Arial"/>
          <w:bCs/>
          <w:color w:val="auto"/>
          <w:sz w:val="20"/>
          <w:szCs w:val="20"/>
          <w:lang w:eastAsia="en-GB"/>
        </w:rPr>
        <w:t xml:space="preserve">e </w:t>
      </w:r>
      <w:r w:rsidRPr="00F95ABE">
        <w:rPr>
          <w:rFonts w:cs="Arial"/>
          <w:bCs/>
          <w:color w:val="auto"/>
          <w:sz w:val="20"/>
          <w:szCs w:val="20"/>
          <w:lang w:eastAsia="en-GB"/>
        </w:rPr>
        <w:t>land at Camel's Head, North Yard in Devonport Dockyard in Plymouth. The</w:t>
      </w:r>
      <w:r w:rsidR="00F95ABE" w:rsidRPr="00F95ABE">
        <w:rPr>
          <w:rFonts w:cs="Arial"/>
          <w:bCs/>
          <w:color w:val="auto"/>
          <w:sz w:val="20"/>
          <w:szCs w:val="20"/>
          <w:lang w:eastAsia="en-GB"/>
        </w:rPr>
        <w:t xml:space="preserve"> contract </w:t>
      </w:r>
      <w:r w:rsidRPr="00F95ABE">
        <w:rPr>
          <w:rFonts w:cs="Arial"/>
          <w:bCs/>
          <w:color w:val="auto"/>
          <w:sz w:val="20"/>
          <w:szCs w:val="20"/>
          <w:lang w:eastAsia="en-GB"/>
        </w:rPr>
        <w:t>specifies the activities offered by the facility, the opening hours and the expected minimum standard of service to be provided by the operator. MVV</w:t>
      </w:r>
      <w:r w:rsidR="00F95ABE">
        <w:rPr>
          <w:rFonts w:cs="Arial"/>
          <w:bCs/>
          <w:color w:val="auto"/>
          <w:sz w:val="20"/>
          <w:szCs w:val="20"/>
          <w:lang w:eastAsia="en-GB"/>
        </w:rPr>
        <w:t xml:space="preserve"> </w:t>
      </w:r>
      <w:r w:rsidRPr="00F95ABE">
        <w:rPr>
          <w:rFonts w:cs="Arial"/>
          <w:bCs/>
          <w:color w:val="auto"/>
          <w:sz w:val="20"/>
          <w:szCs w:val="20"/>
          <w:lang w:eastAsia="en-GB"/>
        </w:rPr>
        <w:t>U</w:t>
      </w:r>
      <w:r w:rsidR="00F95ABE">
        <w:rPr>
          <w:rFonts w:cs="Arial"/>
          <w:bCs/>
          <w:color w:val="auto"/>
          <w:sz w:val="20"/>
          <w:szCs w:val="20"/>
          <w:lang w:eastAsia="en-GB"/>
        </w:rPr>
        <w:t>mwelt</w:t>
      </w:r>
      <w:r w:rsidRPr="00F95ABE">
        <w:rPr>
          <w:rFonts w:cs="Arial"/>
          <w:bCs/>
          <w:color w:val="auto"/>
          <w:sz w:val="20"/>
          <w:szCs w:val="20"/>
          <w:lang w:eastAsia="en-GB"/>
        </w:rPr>
        <w:t xml:space="preserve"> is required to receive all the residual waste from the defined area of the local </w:t>
      </w:r>
      <w:r w:rsidRPr="00F95ABE">
        <w:rPr>
          <w:rFonts w:cs="Arial"/>
          <w:bCs/>
          <w:color w:val="auto"/>
          <w:sz w:val="20"/>
          <w:szCs w:val="20"/>
          <w:lang w:eastAsia="en-GB"/>
        </w:rPr>
        <w:lastRenderedPageBreak/>
        <w:t>authority partnership for which the councils are obliged to pay a fixed but index linked gate fee based on a guaranteed waste tonnage, with an additional charge for any extra waste delivered by the councils over and above the contractual waste.</w:t>
      </w:r>
    </w:p>
    <w:p w:rsidR="0067671F" w:rsidRPr="002679E8" w:rsidRDefault="0026270A" w:rsidP="0067671F">
      <w:pPr>
        <w:ind w:left="567"/>
        <w:rPr>
          <w:rFonts w:cs="Arial"/>
          <w:b/>
          <w:bCs/>
          <w:color w:val="auto"/>
          <w:sz w:val="20"/>
          <w:szCs w:val="20"/>
          <w:lang w:eastAsia="en-GB"/>
        </w:rPr>
      </w:pPr>
      <w:r w:rsidRPr="002679E8">
        <w:rPr>
          <w:rFonts w:cs="Arial"/>
          <w:b/>
          <w:bCs/>
          <w:color w:val="auto"/>
          <w:sz w:val="20"/>
          <w:szCs w:val="20"/>
          <w:lang w:eastAsia="en-GB"/>
        </w:rPr>
        <w:t xml:space="preserve">EFW - </w:t>
      </w:r>
      <w:r w:rsidR="0067671F" w:rsidRPr="002679E8">
        <w:rPr>
          <w:rFonts w:cs="Arial"/>
          <w:b/>
          <w:bCs/>
          <w:color w:val="auto"/>
          <w:sz w:val="20"/>
          <w:szCs w:val="20"/>
          <w:lang w:eastAsia="en-GB"/>
        </w:rPr>
        <w:t>PFI Property Plant and Equipment</w:t>
      </w:r>
    </w:p>
    <w:p w:rsidR="0067671F" w:rsidRPr="002679E8" w:rsidRDefault="00AD740B" w:rsidP="002679E8">
      <w:pPr>
        <w:spacing w:before="100" w:beforeAutospacing="1" w:after="100" w:afterAutospacing="1"/>
        <w:ind w:left="567"/>
        <w:rPr>
          <w:rFonts w:cs="Arial"/>
          <w:bCs/>
          <w:color w:val="auto"/>
          <w:sz w:val="20"/>
          <w:szCs w:val="20"/>
          <w:lang w:eastAsia="en-GB"/>
        </w:rPr>
      </w:pPr>
      <w:r w:rsidRPr="002679E8">
        <w:rPr>
          <w:rFonts w:cs="Arial"/>
          <w:bCs/>
          <w:color w:val="auto"/>
          <w:sz w:val="20"/>
          <w:szCs w:val="20"/>
          <w:lang w:eastAsia="en-GB"/>
        </w:rPr>
        <w:t>Income and expenditure, assets and liabilities are recorded in each of Plymouth City Council, Torbay Council and Devon County Council's  Statements of Accounts respectively in the ratio 48:17:35</w:t>
      </w:r>
      <w:r w:rsidR="00E70778" w:rsidRPr="002679E8">
        <w:rPr>
          <w:rFonts w:cs="Arial"/>
          <w:bCs/>
          <w:color w:val="auto"/>
          <w:sz w:val="20"/>
          <w:szCs w:val="20"/>
          <w:lang w:eastAsia="en-GB"/>
        </w:rPr>
        <w:t xml:space="preserve"> based on estimated tonnages for 2015/16</w:t>
      </w:r>
      <w:r w:rsidRPr="002679E8">
        <w:rPr>
          <w:rFonts w:cs="Arial"/>
          <w:bCs/>
          <w:color w:val="auto"/>
          <w:sz w:val="20"/>
          <w:szCs w:val="20"/>
          <w:lang w:eastAsia="en-GB"/>
        </w:rPr>
        <w:t xml:space="preserve">: </w:t>
      </w:r>
      <w:r w:rsidR="002460EF">
        <w:rPr>
          <w:rFonts w:cs="Arial"/>
          <w:bCs/>
          <w:color w:val="auto"/>
          <w:sz w:val="20"/>
          <w:szCs w:val="20"/>
          <w:lang w:eastAsia="en-GB"/>
        </w:rPr>
        <w:t xml:space="preserve">The total </w:t>
      </w:r>
      <w:r w:rsidR="002460EF" w:rsidRPr="002679E8">
        <w:rPr>
          <w:rFonts w:cs="Arial"/>
          <w:bCs/>
          <w:color w:val="auto"/>
          <w:sz w:val="20"/>
          <w:szCs w:val="20"/>
          <w:lang w:eastAsia="en-GB"/>
        </w:rPr>
        <w:t>construction costs w</w:t>
      </w:r>
      <w:r w:rsidR="002460EF">
        <w:rPr>
          <w:rFonts w:cs="Arial"/>
          <w:bCs/>
          <w:color w:val="auto"/>
          <w:sz w:val="20"/>
          <w:szCs w:val="20"/>
          <w:lang w:eastAsia="en-GB"/>
        </w:rPr>
        <w:t>ere</w:t>
      </w:r>
      <w:r w:rsidR="002460EF" w:rsidRPr="002679E8">
        <w:rPr>
          <w:rFonts w:cs="Arial"/>
          <w:bCs/>
          <w:color w:val="auto"/>
          <w:sz w:val="20"/>
          <w:szCs w:val="20"/>
          <w:lang w:eastAsia="en-GB"/>
        </w:rPr>
        <w:t xml:space="preserve"> £195.324m</w:t>
      </w:r>
      <w:r w:rsidR="002460EF">
        <w:rPr>
          <w:rFonts w:cs="Arial"/>
          <w:bCs/>
          <w:color w:val="auto"/>
          <w:sz w:val="20"/>
          <w:szCs w:val="20"/>
          <w:lang w:eastAsia="en-GB"/>
        </w:rPr>
        <w:t xml:space="preserve"> ,</w:t>
      </w:r>
      <w:r w:rsidRPr="002679E8">
        <w:rPr>
          <w:rFonts w:cs="Arial"/>
          <w:bCs/>
          <w:color w:val="auto"/>
          <w:sz w:val="20"/>
          <w:szCs w:val="20"/>
          <w:lang w:eastAsia="en-GB"/>
        </w:rPr>
        <w:t xml:space="preserve">Torbay Council's </w:t>
      </w:r>
      <w:r w:rsidR="008508CF" w:rsidRPr="002679E8">
        <w:rPr>
          <w:rFonts w:cs="Arial"/>
          <w:bCs/>
          <w:color w:val="auto"/>
          <w:sz w:val="20"/>
          <w:szCs w:val="20"/>
          <w:lang w:eastAsia="en-GB"/>
        </w:rPr>
        <w:t xml:space="preserve">initial recognition of its </w:t>
      </w:r>
      <w:r w:rsidRPr="002679E8">
        <w:rPr>
          <w:rFonts w:cs="Arial"/>
          <w:bCs/>
          <w:color w:val="auto"/>
          <w:sz w:val="20"/>
          <w:szCs w:val="20"/>
          <w:lang w:eastAsia="en-GB"/>
        </w:rPr>
        <w:t xml:space="preserve">share </w:t>
      </w:r>
      <w:r w:rsidR="002460EF">
        <w:rPr>
          <w:rFonts w:cs="Arial"/>
          <w:bCs/>
          <w:color w:val="auto"/>
          <w:sz w:val="20"/>
          <w:szCs w:val="20"/>
          <w:lang w:eastAsia="en-GB"/>
        </w:rPr>
        <w:t>was £33.3m</w:t>
      </w:r>
      <w:r w:rsidR="008508CF" w:rsidRPr="002679E8">
        <w:rPr>
          <w:rFonts w:cs="Arial"/>
          <w:bCs/>
          <w:color w:val="auto"/>
          <w:sz w:val="20"/>
          <w:szCs w:val="20"/>
          <w:lang w:eastAsia="en-GB"/>
        </w:rPr>
        <w:t xml:space="preserve">. </w:t>
      </w:r>
      <w:r w:rsidR="007E33E1" w:rsidRPr="002679E8">
        <w:rPr>
          <w:rFonts w:cs="Arial"/>
          <w:bCs/>
          <w:color w:val="auto"/>
          <w:sz w:val="20"/>
          <w:szCs w:val="20"/>
          <w:lang w:eastAsia="en-GB"/>
        </w:rPr>
        <w:t xml:space="preserve">The plant was revalued as at 31st March 2016 and is </w:t>
      </w:r>
      <w:r w:rsidR="00D16301">
        <w:rPr>
          <w:rFonts w:cs="Arial"/>
          <w:bCs/>
          <w:color w:val="auto"/>
          <w:sz w:val="20"/>
          <w:szCs w:val="20"/>
          <w:lang w:eastAsia="en-GB"/>
        </w:rPr>
        <w:t xml:space="preserve">value is </w:t>
      </w:r>
      <w:r w:rsidR="007E33E1" w:rsidRPr="002679E8">
        <w:rPr>
          <w:rFonts w:cs="Arial"/>
          <w:bCs/>
          <w:color w:val="auto"/>
          <w:sz w:val="20"/>
          <w:szCs w:val="20"/>
          <w:lang w:eastAsia="en-GB"/>
        </w:rPr>
        <w:t xml:space="preserve">carried in its balance sheet (see note </w:t>
      </w:r>
      <w:r w:rsidR="004A05F2">
        <w:rPr>
          <w:rFonts w:cs="Arial"/>
          <w:bCs/>
          <w:color w:val="auto"/>
          <w:sz w:val="20"/>
          <w:szCs w:val="20"/>
          <w:lang w:eastAsia="en-GB"/>
        </w:rPr>
        <w:t>11</w:t>
      </w:r>
      <w:r w:rsidR="007E33E1" w:rsidRPr="002679E8">
        <w:rPr>
          <w:rFonts w:cs="Arial"/>
          <w:bCs/>
          <w:color w:val="auto"/>
          <w:sz w:val="20"/>
          <w:szCs w:val="20"/>
          <w:lang w:eastAsia="en-GB"/>
        </w:rPr>
        <w:t>) together with a corresponding liabilities for both the Council’s</w:t>
      </w:r>
      <w:r w:rsidR="007E33E1">
        <w:rPr>
          <w:rFonts w:cs="Arial"/>
          <w:bCs/>
          <w:color w:val="auto"/>
          <w:sz w:val="20"/>
          <w:szCs w:val="20"/>
          <w:lang w:eastAsia="en-GB"/>
        </w:rPr>
        <w:t xml:space="preserve"> share of the liability</w:t>
      </w:r>
      <w:r w:rsidR="007E33E1" w:rsidRPr="002679E8">
        <w:rPr>
          <w:rFonts w:cs="Arial"/>
          <w:bCs/>
          <w:color w:val="auto"/>
          <w:sz w:val="20"/>
          <w:szCs w:val="20"/>
          <w:lang w:eastAsia="en-GB"/>
        </w:rPr>
        <w:t xml:space="preserve"> and  a deferred income sum to reflect the value of the third party income due to be received by the operator over the life of the co</w:t>
      </w:r>
      <w:r w:rsidR="007E33E1">
        <w:rPr>
          <w:rFonts w:cs="Arial"/>
          <w:bCs/>
          <w:color w:val="auto"/>
          <w:sz w:val="20"/>
          <w:szCs w:val="20"/>
          <w:lang w:eastAsia="en-GB"/>
        </w:rPr>
        <w:t>n</w:t>
      </w:r>
      <w:r w:rsidR="007E33E1" w:rsidRPr="002679E8">
        <w:rPr>
          <w:rFonts w:cs="Arial"/>
          <w:bCs/>
          <w:color w:val="auto"/>
          <w:sz w:val="20"/>
          <w:szCs w:val="20"/>
          <w:lang w:eastAsia="en-GB"/>
        </w:rPr>
        <w:t>tract.</w:t>
      </w:r>
    </w:p>
    <w:p w:rsidR="0067671F" w:rsidRPr="002679E8" w:rsidRDefault="0026270A" w:rsidP="0067671F">
      <w:pPr>
        <w:ind w:left="567"/>
        <w:rPr>
          <w:rFonts w:cs="Arial"/>
          <w:b/>
          <w:bCs/>
          <w:color w:val="auto"/>
          <w:sz w:val="20"/>
          <w:szCs w:val="20"/>
          <w:lang w:eastAsia="en-GB"/>
        </w:rPr>
      </w:pPr>
      <w:r w:rsidRPr="002679E8">
        <w:rPr>
          <w:rFonts w:cs="Arial"/>
          <w:b/>
          <w:bCs/>
          <w:color w:val="auto"/>
          <w:sz w:val="20"/>
          <w:szCs w:val="20"/>
          <w:lang w:eastAsia="en-GB"/>
        </w:rPr>
        <w:t xml:space="preserve">EFW - </w:t>
      </w:r>
      <w:r w:rsidR="0067671F" w:rsidRPr="002679E8">
        <w:rPr>
          <w:rFonts w:cs="Arial"/>
          <w:b/>
          <w:bCs/>
          <w:color w:val="auto"/>
          <w:sz w:val="20"/>
          <w:szCs w:val="20"/>
          <w:lang w:eastAsia="en-GB"/>
        </w:rPr>
        <w:t>PFI Payments</w:t>
      </w:r>
    </w:p>
    <w:p w:rsidR="0067671F" w:rsidRPr="00400D51" w:rsidRDefault="0067671F" w:rsidP="0067671F">
      <w:pPr>
        <w:pStyle w:val="BodyTextIndent"/>
        <w:tabs>
          <w:tab w:val="left" w:pos="709"/>
        </w:tabs>
        <w:ind w:left="567"/>
        <w:rPr>
          <w:color w:val="auto"/>
          <w:sz w:val="20"/>
          <w:szCs w:val="20"/>
        </w:rPr>
      </w:pPr>
      <w:r w:rsidRPr="002679E8">
        <w:rPr>
          <w:rFonts w:eastAsia="Arial" w:cs="Arial"/>
          <w:bCs/>
          <w:color w:val="auto"/>
          <w:sz w:val="20"/>
          <w:szCs w:val="20"/>
          <w:lang w:eastAsia="en-GB"/>
        </w:rPr>
        <w:t xml:space="preserve">The </w:t>
      </w:r>
      <w:r w:rsidR="002679E8" w:rsidRPr="002679E8">
        <w:rPr>
          <w:rFonts w:eastAsia="Arial" w:cs="Arial"/>
          <w:bCs/>
          <w:color w:val="auto"/>
          <w:sz w:val="20"/>
          <w:szCs w:val="20"/>
          <w:lang w:eastAsia="en-GB"/>
        </w:rPr>
        <w:t xml:space="preserve">three </w:t>
      </w:r>
      <w:r w:rsidR="008D4791" w:rsidRPr="002679E8">
        <w:rPr>
          <w:rFonts w:eastAsia="Arial" w:cs="Arial"/>
          <w:bCs/>
          <w:color w:val="auto"/>
          <w:sz w:val="20"/>
          <w:szCs w:val="20"/>
          <w:lang w:eastAsia="en-GB"/>
        </w:rPr>
        <w:t>Councils</w:t>
      </w:r>
      <w:r w:rsidRPr="002679E8">
        <w:rPr>
          <w:rFonts w:eastAsia="Arial" w:cs="Arial"/>
          <w:bCs/>
          <w:color w:val="auto"/>
          <w:sz w:val="20"/>
          <w:szCs w:val="20"/>
          <w:lang w:eastAsia="en-GB"/>
        </w:rPr>
        <w:t xml:space="preserve"> </w:t>
      </w:r>
      <w:r w:rsidR="009B1835">
        <w:rPr>
          <w:rFonts w:eastAsia="Arial" w:cs="Arial"/>
          <w:bCs/>
          <w:color w:val="auto"/>
          <w:sz w:val="20"/>
          <w:szCs w:val="20"/>
          <w:lang w:eastAsia="en-GB"/>
        </w:rPr>
        <w:t xml:space="preserve">each </w:t>
      </w:r>
      <w:r w:rsidRPr="002679E8">
        <w:rPr>
          <w:rFonts w:eastAsia="Arial" w:cs="Arial"/>
          <w:bCs/>
          <w:color w:val="auto"/>
          <w:sz w:val="20"/>
          <w:szCs w:val="20"/>
          <w:lang w:eastAsia="en-GB"/>
        </w:rPr>
        <w:t xml:space="preserve">make </w:t>
      </w:r>
      <w:r w:rsidR="002679E8" w:rsidRPr="002679E8">
        <w:rPr>
          <w:rFonts w:eastAsia="Arial" w:cs="Arial"/>
          <w:bCs/>
          <w:color w:val="auto"/>
          <w:sz w:val="20"/>
          <w:szCs w:val="20"/>
          <w:lang w:eastAsia="en-GB"/>
        </w:rPr>
        <w:t xml:space="preserve">a </w:t>
      </w:r>
      <w:r w:rsidRPr="002679E8">
        <w:rPr>
          <w:rFonts w:eastAsia="Arial" w:cs="Arial"/>
          <w:bCs/>
          <w:color w:val="auto"/>
          <w:sz w:val="20"/>
          <w:szCs w:val="20"/>
          <w:lang w:eastAsia="en-GB"/>
        </w:rPr>
        <w:t xml:space="preserve">payment each year </w:t>
      </w:r>
      <w:r w:rsidR="002679E8" w:rsidRPr="002679E8">
        <w:rPr>
          <w:rFonts w:eastAsia="Arial" w:cs="Arial"/>
          <w:bCs/>
          <w:color w:val="auto"/>
          <w:sz w:val="20"/>
          <w:szCs w:val="20"/>
          <w:lang w:eastAsia="en-GB"/>
        </w:rPr>
        <w:t>to the operator based on actual tonnages where the cost can vary depend</w:t>
      </w:r>
      <w:r w:rsidR="002679E8">
        <w:rPr>
          <w:rFonts w:eastAsia="Arial" w:cs="Arial"/>
          <w:bCs/>
          <w:color w:val="auto"/>
          <w:sz w:val="20"/>
          <w:szCs w:val="20"/>
          <w:lang w:eastAsia="en-GB"/>
        </w:rPr>
        <w:t>ing</w:t>
      </w:r>
      <w:r w:rsidR="002679E8" w:rsidRPr="002679E8">
        <w:rPr>
          <w:rFonts w:eastAsia="Arial" w:cs="Arial"/>
          <w:bCs/>
          <w:color w:val="auto"/>
          <w:sz w:val="20"/>
          <w:szCs w:val="20"/>
          <w:lang w:eastAsia="en-GB"/>
        </w:rPr>
        <w:t xml:space="preserve"> on </w:t>
      </w:r>
      <w:r w:rsidR="008D4791" w:rsidRPr="002679E8">
        <w:rPr>
          <w:rFonts w:eastAsia="Arial" w:cs="Arial"/>
          <w:bCs/>
          <w:color w:val="auto"/>
          <w:sz w:val="20"/>
          <w:szCs w:val="20"/>
          <w:lang w:eastAsia="en-GB"/>
        </w:rPr>
        <w:t>whether</w:t>
      </w:r>
      <w:r w:rsidR="002679E8" w:rsidRPr="002679E8">
        <w:rPr>
          <w:rFonts w:eastAsia="Arial" w:cs="Arial"/>
          <w:bCs/>
          <w:color w:val="auto"/>
          <w:sz w:val="20"/>
          <w:szCs w:val="20"/>
          <w:lang w:eastAsia="en-GB"/>
        </w:rPr>
        <w:t xml:space="preserve"> the tonnage is within set bands as specified by the contract.</w:t>
      </w:r>
      <w:r w:rsidR="00862ACC">
        <w:rPr>
          <w:rFonts w:eastAsia="Arial" w:cs="Arial"/>
          <w:bCs/>
          <w:color w:val="auto"/>
          <w:sz w:val="20"/>
          <w:szCs w:val="20"/>
          <w:lang w:eastAsia="en-GB"/>
        </w:rPr>
        <w:t xml:space="preserve"> The costs are allocated between the three </w:t>
      </w:r>
      <w:r w:rsidR="009B1835">
        <w:rPr>
          <w:rFonts w:eastAsia="Arial" w:cs="Arial"/>
          <w:bCs/>
          <w:color w:val="auto"/>
          <w:sz w:val="20"/>
          <w:szCs w:val="20"/>
          <w:lang w:eastAsia="en-GB"/>
        </w:rPr>
        <w:t>C</w:t>
      </w:r>
      <w:r w:rsidR="00862ACC">
        <w:rPr>
          <w:rFonts w:eastAsia="Arial" w:cs="Arial"/>
          <w:bCs/>
          <w:color w:val="auto"/>
          <w:sz w:val="20"/>
          <w:szCs w:val="20"/>
          <w:lang w:eastAsia="en-GB"/>
        </w:rPr>
        <w:t>ouncils</w:t>
      </w:r>
      <w:r w:rsidR="008D4791">
        <w:rPr>
          <w:rFonts w:eastAsia="Arial" w:cs="Arial"/>
          <w:bCs/>
          <w:color w:val="auto"/>
          <w:sz w:val="20"/>
          <w:szCs w:val="20"/>
          <w:lang w:eastAsia="en-GB"/>
        </w:rPr>
        <w:t xml:space="preserve"> based on agreed Financial Allocation Mechanism which is closely linked to actual tonnages delivered from the three councils compared the forecast tonnages in the </w:t>
      </w:r>
      <w:r w:rsidR="008D4791" w:rsidRPr="008D4791">
        <w:rPr>
          <w:rFonts w:eastAsia="Arial" w:cs="Arial"/>
          <w:bCs/>
          <w:color w:val="auto"/>
          <w:sz w:val="20"/>
          <w:szCs w:val="20"/>
          <w:lang w:eastAsia="en-GB"/>
        </w:rPr>
        <w:t xml:space="preserve">business case. </w:t>
      </w:r>
      <w:r w:rsidRPr="008D4791">
        <w:rPr>
          <w:color w:val="auto"/>
          <w:sz w:val="20"/>
          <w:szCs w:val="20"/>
        </w:rPr>
        <w:t xml:space="preserve">In relation to this contract the Council recognises as a liability on its balance sheet </w:t>
      </w:r>
      <w:r w:rsidR="008D4791" w:rsidRPr="008D4791">
        <w:rPr>
          <w:color w:val="auto"/>
          <w:sz w:val="20"/>
          <w:szCs w:val="20"/>
        </w:rPr>
        <w:t xml:space="preserve">its share of the </w:t>
      </w:r>
      <w:r w:rsidRPr="008D4791">
        <w:rPr>
          <w:color w:val="auto"/>
          <w:sz w:val="20"/>
          <w:szCs w:val="20"/>
        </w:rPr>
        <w:t>element of th</w:t>
      </w:r>
      <w:r w:rsidR="008D4791" w:rsidRPr="008D4791">
        <w:rPr>
          <w:color w:val="auto"/>
          <w:sz w:val="20"/>
          <w:szCs w:val="20"/>
        </w:rPr>
        <w:t>e</w:t>
      </w:r>
      <w:r w:rsidRPr="008D4791">
        <w:rPr>
          <w:color w:val="auto"/>
          <w:sz w:val="20"/>
          <w:szCs w:val="20"/>
        </w:rPr>
        <w:t xml:space="preserve"> annual payment that relates to the construction and purchase of the </w:t>
      </w:r>
      <w:r w:rsidR="008D4791" w:rsidRPr="008D4791">
        <w:rPr>
          <w:color w:val="auto"/>
          <w:sz w:val="20"/>
          <w:szCs w:val="20"/>
        </w:rPr>
        <w:t>facility</w:t>
      </w:r>
      <w:r w:rsidRPr="008D4791">
        <w:rPr>
          <w:color w:val="auto"/>
          <w:sz w:val="20"/>
          <w:szCs w:val="20"/>
        </w:rPr>
        <w:t>. The other elements of the contract, finance costs and service charges</w:t>
      </w:r>
      <w:r w:rsidR="008D4791" w:rsidRPr="008D4791">
        <w:rPr>
          <w:color w:val="auto"/>
          <w:sz w:val="20"/>
          <w:szCs w:val="20"/>
        </w:rPr>
        <w:t>,</w:t>
      </w:r>
      <w:r w:rsidRPr="008D4791">
        <w:rPr>
          <w:color w:val="auto"/>
          <w:sz w:val="20"/>
          <w:szCs w:val="20"/>
        </w:rPr>
        <w:t xml:space="preserve"> are recognised on an annual basis in the Council’s Comprehensive Income and Expenditure account.</w:t>
      </w:r>
      <w:r w:rsidR="00400D51">
        <w:rPr>
          <w:color w:val="0070C0"/>
          <w:sz w:val="20"/>
          <w:szCs w:val="20"/>
        </w:rPr>
        <w:t xml:space="preserve"> </w:t>
      </w:r>
      <w:r w:rsidR="00400D51" w:rsidRPr="00400D51">
        <w:rPr>
          <w:color w:val="auto"/>
          <w:sz w:val="20"/>
          <w:szCs w:val="20"/>
        </w:rPr>
        <w:t>Torbay's share of p</w:t>
      </w:r>
      <w:r w:rsidRPr="00400D51">
        <w:rPr>
          <w:color w:val="auto"/>
          <w:sz w:val="20"/>
          <w:szCs w:val="20"/>
        </w:rPr>
        <w:t>ayments remaining to be made under the PFI contract at 31 March 201</w:t>
      </w:r>
      <w:r w:rsidR="00400D51" w:rsidRPr="00400D51">
        <w:rPr>
          <w:color w:val="auto"/>
          <w:sz w:val="20"/>
          <w:szCs w:val="20"/>
        </w:rPr>
        <w:t>6</w:t>
      </w:r>
      <w:r w:rsidRPr="00400D51">
        <w:rPr>
          <w:color w:val="auto"/>
          <w:sz w:val="20"/>
          <w:szCs w:val="20"/>
        </w:rPr>
        <w:t xml:space="preserve"> (excluding any estimation of inflation) </w:t>
      </w:r>
      <w:r w:rsidR="007E33E1" w:rsidRPr="00400D51">
        <w:rPr>
          <w:color w:val="auto"/>
          <w:sz w:val="20"/>
          <w:szCs w:val="20"/>
        </w:rPr>
        <w:t>is</w:t>
      </w:r>
      <w:r w:rsidRPr="00400D51">
        <w:rPr>
          <w:color w:val="auto"/>
          <w:sz w:val="20"/>
          <w:szCs w:val="20"/>
        </w:rPr>
        <w:t xml:space="preserve"> as follows:</w:t>
      </w:r>
    </w:p>
    <w:tbl>
      <w:tblPr>
        <w:tblStyle w:val="ListTable3-Accent51"/>
        <w:tblW w:w="8341" w:type="dxa"/>
        <w:tblInd w:w="675" w:type="dxa"/>
        <w:tblLayout w:type="fixed"/>
        <w:tblLook w:val="0000"/>
      </w:tblPr>
      <w:tblGrid>
        <w:gridCol w:w="2802"/>
        <w:gridCol w:w="1451"/>
        <w:gridCol w:w="1417"/>
        <w:gridCol w:w="1418"/>
        <w:gridCol w:w="1253"/>
      </w:tblGrid>
      <w:tr w:rsidR="0067671F" w:rsidRPr="0067671F" w:rsidTr="00F82E5E">
        <w:trPr>
          <w:cnfStyle w:val="000000100000"/>
          <w:trHeight w:val="986"/>
        </w:trPr>
        <w:tc>
          <w:tcPr>
            <w:cnfStyle w:val="000010000000"/>
            <w:tcW w:w="2802" w:type="dxa"/>
            <w:shd w:val="clear" w:color="auto" w:fill="4BACC6" w:themeFill="accent5"/>
          </w:tcPr>
          <w:p w:rsidR="0067671F" w:rsidRPr="0029225D" w:rsidRDefault="0067671F" w:rsidP="00F82E5E">
            <w:pPr>
              <w:pStyle w:val="TableText"/>
              <w:jc w:val="center"/>
              <w:rPr>
                <w:rFonts w:ascii="Arial" w:hAnsi="Arial" w:cs="Arial"/>
                <w:color w:val="auto"/>
              </w:rPr>
            </w:pPr>
          </w:p>
        </w:tc>
        <w:tc>
          <w:tcPr>
            <w:tcW w:w="1451" w:type="dxa"/>
            <w:shd w:val="clear" w:color="auto" w:fill="4BACC6" w:themeFill="accent5"/>
          </w:tcPr>
          <w:p w:rsidR="0067671F" w:rsidRPr="0029225D" w:rsidRDefault="0067671F" w:rsidP="00F82E5E">
            <w:pPr>
              <w:pStyle w:val="TableRightBold"/>
              <w:jc w:val="center"/>
              <w:cnfStyle w:val="000000100000"/>
              <w:rPr>
                <w:rStyle w:val="Bold"/>
                <w:rFonts w:ascii="Arial" w:hAnsi="Arial" w:cs="Arial"/>
                <w:bCs w:val="0"/>
                <w:color w:val="auto"/>
              </w:rPr>
            </w:pPr>
            <w:r w:rsidRPr="0029225D">
              <w:rPr>
                <w:rStyle w:val="Bold"/>
                <w:rFonts w:ascii="Arial" w:hAnsi="Arial" w:cs="Arial"/>
                <w:bCs w:val="0"/>
                <w:color w:val="auto"/>
              </w:rPr>
              <w:t>Payment for Services *</w:t>
            </w:r>
          </w:p>
          <w:p w:rsidR="0067671F" w:rsidRPr="0029225D" w:rsidRDefault="0067671F" w:rsidP="00F82E5E">
            <w:pPr>
              <w:pStyle w:val="TableRightBold"/>
              <w:jc w:val="center"/>
              <w:cnfStyle w:val="000000100000"/>
              <w:rPr>
                <w:rFonts w:ascii="Arial" w:hAnsi="Arial" w:cs="Arial"/>
                <w:b w:val="0"/>
                <w:color w:val="auto"/>
              </w:rPr>
            </w:pPr>
          </w:p>
        </w:tc>
        <w:tc>
          <w:tcPr>
            <w:cnfStyle w:val="000010000000"/>
            <w:tcW w:w="1417" w:type="dxa"/>
            <w:shd w:val="clear" w:color="auto" w:fill="4BACC6" w:themeFill="accent5"/>
          </w:tcPr>
          <w:p w:rsidR="0067671F" w:rsidRPr="0029225D" w:rsidRDefault="0067671F" w:rsidP="00F82E5E">
            <w:pPr>
              <w:pStyle w:val="TableRightBold"/>
              <w:jc w:val="center"/>
              <w:rPr>
                <w:rStyle w:val="Bold"/>
                <w:rFonts w:ascii="Arial" w:hAnsi="Arial" w:cs="Arial"/>
                <w:bCs w:val="0"/>
                <w:color w:val="auto"/>
              </w:rPr>
            </w:pPr>
            <w:r w:rsidRPr="0029225D">
              <w:rPr>
                <w:rStyle w:val="Bold"/>
                <w:rFonts w:ascii="Arial" w:hAnsi="Arial" w:cs="Arial"/>
                <w:bCs w:val="0"/>
                <w:color w:val="auto"/>
              </w:rPr>
              <w:t>Reimburse-ment of Capital Expenditure</w:t>
            </w:r>
          </w:p>
        </w:tc>
        <w:tc>
          <w:tcPr>
            <w:tcW w:w="1418" w:type="dxa"/>
            <w:shd w:val="clear" w:color="auto" w:fill="4BACC6" w:themeFill="accent5"/>
          </w:tcPr>
          <w:p w:rsidR="0067671F" w:rsidRPr="004674B2" w:rsidRDefault="0067671F" w:rsidP="00F82E5E">
            <w:pPr>
              <w:pStyle w:val="TableRightBold"/>
              <w:jc w:val="center"/>
              <w:cnfStyle w:val="000000100000"/>
              <w:rPr>
                <w:rStyle w:val="Bold"/>
                <w:rFonts w:ascii="Arial" w:hAnsi="Arial" w:cs="Arial"/>
                <w:bCs w:val="0"/>
                <w:color w:val="auto"/>
              </w:rPr>
            </w:pPr>
            <w:r w:rsidRPr="004674B2">
              <w:rPr>
                <w:rStyle w:val="Bold"/>
                <w:rFonts w:ascii="Arial" w:hAnsi="Arial" w:cs="Arial"/>
                <w:bCs w:val="0"/>
                <w:color w:val="auto"/>
              </w:rPr>
              <w:t>Interest</w:t>
            </w:r>
          </w:p>
          <w:p w:rsidR="0067671F" w:rsidRPr="004674B2" w:rsidRDefault="0067671F" w:rsidP="00F82E5E">
            <w:pPr>
              <w:pStyle w:val="TableRightBold"/>
              <w:jc w:val="center"/>
              <w:cnfStyle w:val="000000100000"/>
              <w:rPr>
                <w:rStyle w:val="Bold"/>
                <w:rFonts w:ascii="Arial" w:hAnsi="Arial" w:cs="Arial"/>
                <w:bCs w:val="0"/>
                <w:color w:val="auto"/>
              </w:rPr>
            </w:pPr>
          </w:p>
        </w:tc>
        <w:tc>
          <w:tcPr>
            <w:cnfStyle w:val="000010000000"/>
            <w:tcW w:w="1253" w:type="dxa"/>
            <w:shd w:val="clear" w:color="auto" w:fill="4BACC6" w:themeFill="accent5"/>
          </w:tcPr>
          <w:p w:rsidR="0067671F" w:rsidRPr="004674B2" w:rsidRDefault="0067671F" w:rsidP="00F82E5E">
            <w:pPr>
              <w:pStyle w:val="TableRightBold"/>
              <w:jc w:val="center"/>
              <w:rPr>
                <w:rStyle w:val="Bold"/>
                <w:rFonts w:ascii="Arial" w:hAnsi="Arial" w:cs="Arial"/>
                <w:bCs w:val="0"/>
                <w:color w:val="auto"/>
              </w:rPr>
            </w:pPr>
            <w:r w:rsidRPr="004674B2">
              <w:rPr>
                <w:rStyle w:val="Bold"/>
                <w:rFonts w:ascii="Arial" w:hAnsi="Arial" w:cs="Arial"/>
                <w:bCs w:val="0"/>
                <w:color w:val="auto"/>
              </w:rPr>
              <w:t>Total</w:t>
            </w:r>
          </w:p>
          <w:p w:rsidR="0067671F" w:rsidRPr="004674B2" w:rsidRDefault="0067671F" w:rsidP="00F82E5E">
            <w:pPr>
              <w:pStyle w:val="TableRightBold"/>
              <w:jc w:val="center"/>
              <w:rPr>
                <w:rStyle w:val="Bold"/>
                <w:rFonts w:ascii="Arial" w:hAnsi="Arial" w:cs="Arial"/>
                <w:bCs w:val="0"/>
                <w:color w:val="auto"/>
              </w:rPr>
            </w:pPr>
          </w:p>
        </w:tc>
      </w:tr>
      <w:tr w:rsidR="0067671F" w:rsidRPr="0067671F" w:rsidTr="00F82E5E">
        <w:trPr>
          <w:trHeight w:val="60"/>
        </w:trPr>
        <w:tc>
          <w:tcPr>
            <w:cnfStyle w:val="000010000000"/>
            <w:tcW w:w="2802" w:type="dxa"/>
            <w:shd w:val="clear" w:color="auto" w:fill="4BACC6" w:themeFill="accent5"/>
          </w:tcPr>
          <w:p w:rsidR="0067671F" w:rsidRPr="0029225D" w:rsidRDefault="0067671F" w:rsidP="00F82E5E">
            <w:pPr>
              <w:pStyle w:val="TableText"/>
              <w:rPr>
                <w:rFonts w:ascii="Arial" w:hAnsi="Arial" w:cs="Arial"/>
                <w:color w:val="auto"/>
              </w:rPr>
            </w:pPr>
          </w:p>
        </w:tc>
        <w:tc>
          <w:tcPr>
            <w:tcW w:w="1451" w:type="dxa"/>
            <w:shd w:val="clear" w:color="auto" w:fill="4BACC6" w:themeFill="accent5"/>
          </w:tcPr>
          <w:p w:rsidR="0067671F" w:rsidRPr="0029225D" w:rsidRDefault="0067671F" w:rsidP="00F82E5E">
            <w:pPr>
              <w:pStyle w:val="TableRight"/>
              <w:jc w:val="center"/>
              <w:cnfStyle w:val="000000000000"/>
              <w:rPr>
                <w:rFonts w:ascii="Arial" w:hAnsi="Arial" w:cs="Arial"/>
                <w:color w:val="auto"/>
              </w:rPr>
            </w:pPr>
            <w:r w:rsidRPr="0029225D">
              <w:rPr>
                <w:rFonts w:ascii="Arial" w:hAnsi="Arial" w:cs="Arial"/>
                <w:color w:val="auto"/>
              </w:rPr>
              <w:t>£m</w:t>
            </w:r>
          </w:p>
        </w:tc>
        <w:tc>
          <w:tcPr>
            <w:cnfStyle w:val="000010000000"/>
            <w:tcW w:w="1417" w:type="dxa"/>
            <w:shd w:val="clear" w:color="auto" w:fill="4BACC6" w:themeFill="accent5"/>
          </w:tcPr>
          <w:p w:rsidR="0067671F" w:rsidRPr="0029225D" w:rsidRDefault="0067671F" w:rsidP="00F82E5E">
            <w:pPr>
              <w:pStyle w:val="TableRight"/>
              <w:jc w:val="center"/>
              <w:rPr>
                <w:rFonts w:ascii="Arial" w:hAnsi="Arial" w:cs="Arial"/>
                <w:color w:val="auto"/>
              </w:rPr>
            </w:pPr>
            <w:r w:rsidRPr="0029225D">
              <w:rPr>
                <w:rFonts w:ascii="Arial" w:hAnsi="Arial" w:cs="Arial"/>
                <w:color w:val="auto"/>
              </w:rPr>
              <w:t>£m</w:t>
            </w:r>
          </w:p>
        </w:tc>
        <w:tc>
          <w:tcPr>
            <w:tcW w:w="1418" w:type="dxa"/>
            <w:shd w:val="clear" w:color="auto" w:fill="4BACC6" w:themeFill="accent5"/>
          </w:tcPr>
          <w:p w:rsidR="0067671F" w:rsidRPr="004674B2" w:rsidRDefault="0067671F" w:rsidP="00F82E5E">
            <w:pPr>
              <w:pStyle w:val="TableRight"/>
              <w:jc w:val="center"/>
              <w:cnfStyle w:val="000000000000"/>
              <w:rPr>
                <w:rFonts w:ascii="Arial" w:hAnsi="Arial" w:cs="Arial"/>
                <w:color w:val="auto"/>
              </w:rPr>
            </w:pPr>
            <w:r w:rsidRPr="004674B2">
              <w:rPr>
                <w:rFonts w:ascii="Arial" w:hAnsi="Arial" w:cs="Arial"/>
                <w:color w:val="auto"/>
              </w:rPr>
              <w:t>£m</w:t>
            </w:r>
          </w:p>
        </w:tc>
        <w:tc>
          <w:tcPr>
            <w:cnfStyle w:val="000010000000"/>
            <w:tcW w:w="1253" w:type="dxa"/>
            <w:shd w:val="clear" w:color="auto" w:fill="4BACC6" w:themeFill="accent5"/>
          </w:tcPr>
          <w:p w:rsidR="0067671F" w:rsidRPr="004674B2" w:rsidRDefault="0067671F" w:rsidP="00F82E5E">
            <w:pPr>
              <w:pStyle w:val="TableRight"/>
              <w:jc w:val="center"/>
              <w:rPr>
                <w:rFonts w:ascii="Arial" w:hAnsi="Arial" w:cs="Arial"/>
                <w:color w:val="auto"/>
              </w:rPr>
            </w:pPr>
            <w:r w:rsidRPr="004674B2">
              <w:rPr>
                <w:rFonts w:ascii="Arial" w:hAnsi="Arial" w:cs="Arial"/>
                <w:color w:val="auto"/>
              </w:rPr>
              <w:t>£m</w:t>
            </w:r>
          </w:p>
        </w:tc>
      </w:tr>
      <w:tr w:rsidR="0067671F" w:rsidRPr="0067671F" w:rsidTr="00F82E5E">
        <w:trPr>
          <w:cnfStyle w:val="000000100000"/>
          <w:trHeight w:val="60"/>
        </w:trPr>
        <w:tc>
          <w:tcPr>
            <w:cnfStyle w:val="000010000000"/>
            <w:tcW w:w="2802" w:type="dxa"/>
          </w:tcPr>
          <w:p w:rsidR="0067671F" w:rsidRDefault="0067671F" w:rsidP="00EA4A01">
            <w:pPr>
              <w:pStyle w:val="TableText"/>
              <w:rPr>
                <w:rFonts w:ascii="Arial" w:hAnsi="Arial" w:cs="Arial"/>
                <w:color w:val="auto"/>
              </w:rPr>
            </w:pPr>
            <w:r w:rsidRPr="0029225D">
              <w:rPr>
                <w:rFonts w:ascii="Arial" w:hAnsi="Arial" w:cs="Arial"/>
                <w:color w:val="auto"/>
              </w:rPr>
              <w:t>Payable in 201</w:t>
            </w:r>
            <w:r w:rsidR="00EA4A01" w:rsidRPr="0029225D">
              <w:rPr>
                <w:rFonts w:ascii="Arial" w:hAnsi="Arial" w:cs="Arial"/>
                <w:color w:val="auto"/>
              </w:rPr>
              <w:t>6</w:t>
            </w:r>
            <w:r w:rsidRPr="0029225D">
              <w:rPr>
                <w:rFonts w:ascii="Arial" w:hAnsi="Arial" w:cs="Arial"/>
                <w:color w:val="auto"/>
              </w:rPr>
              <w:t>/1</w:t>
            </w:r>
            <w:r w:rsidR="00EA4A01" w:rsidRPr="0029225D">
              <w:rPr>
                <w:rFonts w:ascii="Arial" w:hAnsi="Arial" w:cs="Arial"/>
                <w:color w:val="auto"/>
              </w:rPr>
              <w:t>7</w:t>
            </w:r>
          </w:p>
          <w:p w:rsidR="004674B2" w:rsidRPr="0029225D" w:rsidRDefault="004674B2" w:rsidP="00EA4A01">
            <w:pPr>
              <w:pStyle w:val="TableText"/>
              <w:rPr>
                <w:rFonts w:ascii="Arial" w:hAnsi="Arial" w:cs="Arial"/>
                <w:color w:val="auto"/>
              </w:rPr>
            </w:pPr>
          </w:p>
        </w:tc>
        <w:tc>
          <w:tcPr>
            <w:tcW w:w="1451" w:type="dxa"/>
          </w:tcPr>
          <w:p w:rsidR="0067671F" w:rsidRPr="0029225D" w:rsidRDefault="0029225D" w:rsidP="00F82E5E">
            <w:pPr>
              <w:pStyle w:val="TableRight"/>
              <w:jc w:val="center"/>
              <w:cnfStyle w:val="000000100000"/>
              <w:rPr>
                <w:rFonts w:ascii="Arial" w:hAnsi="Arial" w:cs="Arial"/>
                <w:color w:val="auto"/>
              </w:rPr>
            </w:pPr>
            <w:r w:rsidRPr="0029225D">
              <w:rPr>
                <w:rFonts w:ascii="Arial" w:hAnsi="Arial" w:cs="Arial"/>
                <w:color w:val="auto"/>
              </w:rPr>
              <w:t>1.2</w:t>
            </w:r>
          </w:p>
        </w:tc>
        <w:tc>
          <w:tcPr>
            <w:cnfStyle w:val="000010000000"/>
            <w:tcW w:w="1417" w:type="dxa"/>
          </w:tcPr>
          <w:p w:rsidR="0067671F" w:rsidRPr="0029225D" w:rsidRDefault="0029225D" w:rsidP="00F82E5E">
            <w:pPr>
              <w:pStyle w:val="TableRight"/>
              <w:jc w:val="center"/>
              <w:rPr>
                <w:rFonts w:ascii="Arial" w:hAnsi="Arial" w:cs="Arial"/>
                <w:color w:val="auto"/>
              </w:rPr>
            </w:pPr>
            <w:r w:rsidRPr="0029225D">
              <w:rPr>
                <w:rFonts w:ascii="Arial" w:hAnsi="Arial" w:cs="Arial"/>
                <w:color w:val="auto"/>
              </w:rPr>
              <w:t>0.1</w:t>
            </w:r>
          </w:p>
        </w:tc>
        <w:tc>
          <w:tcPr>
            <w:tcW w:w="1418" w:type="dxa"/>
          </w:tcPr>
          <w:p w:rsidR="0067671F" w:rsidRPr="004674B2" w:rsidRDefault="004674B2" w:rsidP="00F82E5E">
            <w:pPr>
              <w:pStyle w:val="TableRight"/>
              <w:jc w:val="center"/>
              <w:cnfStyle w:val="000000100000"/>
              <w:rPr>
                <w:rFonts w:ascii="Arial" w:hAnsi="Arial" w:cs="Arial"/>
                <w:color w:val="auto"/>
              </w:rPr>
            </w:pPr>
            <w:r w:rsidRPr="004674B2">
              <w:rPr>
                <w:rFonts w:ascii="Arial" w:hAnsi="Arial" w:cs="Arial"/>
                <w:color w:val="auto"/>
              </w:rPr>
              <w:t>1.3</w:t>
            </w:r>
          </w:p>
        </w:tc>
        <w:tc>
          <w:tcPr>
            <w:cnfStyle w:val="000010000000"/>
            <w:tcW w:w="1253" w:type="dxa"/>
          </w:tcPr>
          <w:p w:rsidR="0067671F" w:rsidRPr="004674B2" w:rsidRDefault="004674B2" w:rsidP="00F82E5E">
            <w:pPr>
              <w:pStyle w:val="TableRight"/>
              <w:jc w:val="center"/>
              <w:rPr>
                <w:rFonts w:ascii="Arial" w:hAnsi="Arial" w:cs="Arial"/>
                <w:color w:val="auto"/>
              </w:rPr>
            </w:pPr>
            <w:r w:rsidRPr="004674B2">
              <w:rPr>
                <w:rFonts w:ascii="Arial" w:hAnsi="Arial" w:cs="Arial"/>
                <w:color w:val="auto"/>
              </w:rPr>
              <w:t>2.6</w:t>
            </w:r>
          </w:p>
        </w:tc>
      </w:tr>
      <w:tr w:rsidR="0067671F" w:rsidRPr="0067671F" w:rsidTr="00F82E5E">
        <w:trPr>
          <w:trHeight w:val="60"/>
        </w:trPr>
        <w:tc>
          <w:tcPr>
            <w:cnfStyle w:val="000010000000"/>
            <w:tcW w:w="2802" w:type="dxa"/>
          </w:tcPr>
          <w:p w:rsidR="0067671F" w:rsidRDefault="0067671F" w:rsidP="00F82E5E">
            <w:pPr>
              <w:pStyle w:val="TableText"/>
              <w:rPr>
                <w:rFonts w:ascii="Arial" w:hAnsi="Arial" w:cs="Arial"/>
                <w:color w:val="auto"/>
              </w:rPr>
            </w:pPr>
            <w:r w:rsidRPr="0029225D">
              <w:rPr>
                <w:rFonts w:ascii="Arial" w:hAnsi="Arial" w:cs="Arial"/>
                <w:color w:val="auto"/>
              </w:rPr>
              <w:t>Payable within 2 to 5 years</w:t>
            </w:r>
          </w:p>
          <w:p w:rsidR="004674B2" w:rsidRPr="0029225D" w:rsidRDefault="004674B2" w:rsidP="00F82E5E">
            <w:pPr>
              <w:pStyle w:val="TableText"/>
              <w:rPr>
                <w:rFonts w:ascii="Arial" w:hAnsi="Arial" w:cs="Arial"/>
                <w:color w:val="auto"/>
              </w:rPr>
            </w:pPr>
          </w:p>
        </w:tc>
        <w:tc>
          <w:tcPr>
            <w:tcW w:w="1451" w:type="dxa"/>
          </w:tcPr>
          <w:p w:rsidR="0067671F" w:rsidRPr="0029225D" w:rsidRDefault="0029225D" w:rsidP="00F82E5E">
            <w:pPr>
              <w:pStyle w:val="TableRight"/>
              <w:jc w:val="center"/>
              <w:cnfStyle w:val="000000000000"/>
              <w:rPr>
                <w:rFonts w:ascii="Arial" w:hAnsi="Arial" w:cs="Arial"/>
                <w:color w:val="auto"/>
              </w:rPr>
            </w:pPr>
            <w:r w:rsidRPr="0029225D">
              <w:rPr>
                <w:rFonts w:ascii="Arial" w:hAnsi="Arial" w:cs="Arial"/>
                <w:color w:val="auto"/>
              </w:rPr>
              <w:t>5.2</w:t>
            </w:r>
          </w:p>
        </w:tc>
        <w:tc>
          <w:tcPr>
            <w:cnfStyle w:val="000010000000"/>
            <w:tcW w:w="1417" w:type="dxa"/>
          </w:tcPr>
          <w:p w:rsidR="0067671F" w:rsidRPr="0029225D" w:rsidRDefault="0029225D" w:rsidP="00F82E5E">
            <w:pPr>
              <w:pStyle w:val="TableRight"/>
              <w:jc w:val="center"/>
              <w:rPr>
                <w:rFonts w:ascii="Arial" w:hAnsi="Arial" w:cs="Arial"/>
                <w:color w:val="auto"/>
              </w:rPr>
            </w:pPr>
            <w:r w:rsidRPr="0029225D">
              <w:rPr>
                <w:rFonts w:ascii="Arial" w:hAnsi="Arial" w:cs="Arial"/>
                <w:color w:val="auto"/>
              </w:rPr>
              <w:t>0.5</w:t>
            </w:r>
          </w:p>
        </w:tc>
        <w:tc>
          <w:tcPr>
            <w:tcW w:w="1418" w:type="dxa"/>
          </w:tcPr>
          <w:p w:rsidR="0067671F" w:rsidRPr="004674B2" w:rsidRDefault="004674B2" w:rsidP="00F82E5E">
            <w:pPr>
              <w:pStyle w:val="TableRight"/>
              <w:jc w:val="center"/>
              <w:cnfStyle w:val="000000000000"/>
              <w:rPr>
                <w:rFonts w:ascii="Arial" w:hAnsi="Arial" w:cs="Arial"/>
                <w:color w:val="auto"/>
              </w:rPr>
            </w:pPr>
            <w:r w:rsidRPr="004674B2">
              <w:rPr>
                <w:rFonts w:ascii="Arial" w:hAnsi="Arial" w:cs="Arial"/>
                <w:color w:val="auto"/>
              </w:rPr>
              <w:t>4.9</w:t>
            </w:r>
          </w:p>
        </w:tc>
        <w:tc>
          <w:tcPr>
            <w:cnfStyle w:val="000010000000"/>
            <w:tcW w:w="1253" w:type="dxa"/>
          </w:tcPr>
          <w:p w:rsidR="0067671F" w:rsidRPr="004674B2" w:rsidRDefault="004674B2" w:rsidP="00F82E5E">
            <w:pPr>
              <w:pStyle w:val="TableRight"/>
              <w:jc w:val="center"/>
              <w:rPr>
                <w:rFonts w:ascii="Arial" w:hAnsi="Arial" w:cs="Arial"/>
                <w:color w:val="auto"/>
              </w:rPr>
            </w:pPr>
            <w:r w:rsidRPr="004674B2">
              <w:rPr>
                <w:rFonts w:ascii="Arial" w:hAnsi="Arial" w:cs="Arial"/>
                <w:color w:val="auto"/>
              </w:rPr>
              <w:t>10.6</w:t>
            </w:r>
          </w:p>
        </w:tc>
      </w:tr>
      <w:tr w:rsidR="0067671F" w:rsidRPr="0067671F" w:rsidTr="00F82E5E">
        <w:trPr>
          <w:cnfStyle w:val="000000100000"/>
          <w:trHeight w:val="60"/>
        </w:trPr>
        <w:tc>
          <w:tcPr>
            <w:cnfStyle w:val="000010000000"/>
            <w:tcW w:w="2802" w:type="dxa"/>
          </w:tcPr>
          <w:p w:rsidR="0067671F" w:rsidRPr="0029225D" w:rsidRDefault="0067671F" w:rsidP="00F82E5E">
            <w:pPr>
              <w:pStyle w:val="TableText"/>
              <w:rPr>
                <w:rFonts w:ascii="Arial" w:hAnsi="Arial" w:cs="Arial"/>
                <w:color w:val="auto"/>
              </w:rPr>
            </w:pPr>
            <w:r w:rsidRPr="0029225D">
              <w:rPr>
                <w:rFonts w:ascii="Arial" w:hAnsi="Arial" w:cs="Arial"/>
                <w:color w:val="auto"/>
              </w:rPr>
              <w:t>Payable within 6 to 10 years</w:t>
            </w:r>
          </w:p>
        </w:tc>
        <w:tc>
          <w:tcPr>
            <w:tcW w:w="1451" w:type="dxa"/>
          </w:tcPr>
          <w:p w:rsidR="0067671F" w:rsidRPr="0029225D" w:rsidRDefault="0029225D" w:rsidP="00F82E5E">
            <w:pPr>
              <w:pStyle w:val="TableRight"/>
              <w:jc w:val="center"/>
              <w:cnfStyle w:val="000000100000"/>
              <w:rPr>
                <w:rFonts w:ascii="Arial" w:hAnsi="Arial" w:cs="Arial"/>
                <w:color w:val="auto"/>
              </w:rPr>
            </w:pPr>
            <w:r w:rsidRPr="0029225D">
              <w:rPr>
                <w:rFonts w:ascii="Arial" w:hAnsi="Arial" w:cs="Arial"/>
                <w:color w:val="auto"/>
              </w:rPr>
              <w:t>7.4</w:t>
            </w:r>
          </w:p>
        </w:tc>
        <w:tc>
          <w:tcPr>
            <w:cnfStyle w:val="000010000000"/>
            <w:tcW w:w="1417" w:type="dxa"/>
          </w:tcPr>
          <w:p w:rsidR="0067671F" w:rsidRPr="0029225D" w:rsidRDefault="0029225D" w:rsidP="00F82E5E">
            <w:pPr>
              <w:pStyle w:val="TableRight"/>
              <w:jc w:val="center"/>
              <w:rPr>
                <w:rFonts w:ascii="Arial" w:hAnsi="Arial" w:cs="Arial"/>
                <w:color w:val="auto"/>
              </w:rPr>
            </w:pPr>
            <w:r w:rsidRPr="0029225D">
              <w:rPr>
                <w:rFonts w:ascii="Arial" w:hAnsi="Arial" w:cs="Arial"/>
                <w:color w:val="auto"/>
              </w:rPr>
              <w:t>1.1</w:t>
            </w:r>
          </w:p>
        </w:tc>
        <w:tc>
          <w:tcPr>
            <w:tcW w:w="1418" w:type="dxa"/>
          </w:tcPr>
          <w:p w:rsidR="0067671F" w:rsidRPr="004674B2" w:rsidRDefault="004674B2" w:rsidP="00F82E5E">
            <w:pPr>
              <w:pStyle w:val="TableRight"/>
              <w:jc w:val="center"/>
              <w:cnfStyle w:val="000000100000"/>
              <w:rPr>
                <w:rFonts w:ascii="Arial" w:hAnsi="Arial" w:cs="Arial"/>
                <w:color w:val="auto"/>
              </w:rPr>
            </w:pPr>
            <w:r w:rsidRPr="004674B2">
              <w:rPr>
                <w:rFonts w:ascii="Arial" w:hAnsi="Arial" w:cs="Arial"/>
                <w:color w:val="auto"/>
              </w:rPr>
              <w:t>5.8</w:t>
            </w:r>
          </w:p>
        </w:tc>
        <w:tc>
          <w:tcPr>
            <w:cnfStyle w:val="000010000000"/>
            <w:tcW w:w="1253" w:type="dxa"/>
          </w:tcPr>
          <w:p w:rsidR="0067671F" w:rsidRPr="004674B2" w:rsidRDefault="004674B2" w:rsidP="00F82E5E">
            <w:pPr>
              <w:pStyle w:val="TableRight"/>
              <w:jc w:val="center"/>
              <w:rPr>
                <w:rFonts w:ascii="Arial" w:hAnsi="Arial" w:cs="Arial"/>
                <w:color w:val="auto"/>
              </w:rPr>
            </w:pPr>
            <w:r w:rsidRPr="004674B2">
              <w:rPr>
                <w:rFonts w:ascii="Arial" w:hAnsi="Arial" w:cs="Arial"/>
                <w:color w:val="auto"/>
              </w:rPr>
              <w:t>14.3</w:t>
            </w:r>
          </w:p>
        </w:tc>
      </w:tr>
      <w:tr w:rsidR="0067671F" w:rsidRPr="0067671F" w:rsidTr="00F82E5E">
        <w:trPr>
          <w:trHeight w:val="60"/>
        </w:trPr>
        <w:tc>
          <w:tcPr>
            <w:cnfStyle w:val="000010000000"/>
            <w:tcW w:w="2802" w:type="dxa"/>
          </w:tcPr>
          <w:p w:rsidR="0067671F" w:rsidRPr="0029225D" w:rsidRDefault="0067671F" w:rsidP="00F82E5E">
            <w:pPr>
              <w:pStyle w:val="TableText"/>
              <w:rPr>
                <w:rFonts w:ascii="Arial" w:hAnsi="Arial" w:cs="Arial"/>
                <w:color w:val="auto"/>
              </w:rPr>
            </w:pPr>
            <w:r w:rsidRPr="0029225D">
              <w:rPr>
                <w:rFonts w:ascii="Arial" w:hAnsi="Arial" w:cs="Arial"/>
                <w:color w:val="auto"/>
              </w:rPr>
              <w:t>Payable within 11 to 15  years</w:t>
            </w:r>
          </w:p>
        </w:tc>
        <w:tc>
          <w:tcPr>
            <w:tcW w:w="1451" w:type="dxa"/>
          </w:tcPr>
          <w:p w:rsidR="0067671F" w:rsidRPr="0029225D" w:rsidRDefault="0029225D" w:rsidP="00F82E5E">
            <w:pPr>
              <w:pStyle w:val="TableRight"/>
              <w:jc w:val="center"/>
              <w:cnfStyle w:val="000000000000"/>
              <w:rPr>
                <w:rFonts w:ascii="Arial" w:hAnsi="Arial" w:cs="Arial"/>
                <w:color w:val="auto"/>
              </w:rPr>
            </w:pPr>
            <w:r w:rsidRPr="0029225D">
              <w:rPr>
                <w:rFonts w:ascii="Arial" w:hAnsi="Arial" w:cs="Arial"/>
                <w:color w:val="auto"/>
              </w:rPr>
              <w:t>8.6</w:t>
            </w:r>
          </w:p>
        </w:tc>
        <w:tc>
          <w:tcPr>
            <w:cnfStyle w:val="000010000000"/>
            <w:tcW w:w="1417" w:type="dxa"/>
          </w:tcPr>
          <w:p w:rsidR="0067671F" w:rsidRPr="0029225D" w:rsidRDefault="0029225D" w:rsidP="00F82E5E">
            <w:pPr>
              <w:pStyle w:val="TableRight"/>
              <w:jc w:val="center"/>
              <w:rPr>
                <w:rFonts w:ascii="Arial" w:hAnsi="Arial" w:cs="Arial"/>
                <w:color w:val="auto"/>
              </w:rPr>
            </w:pPr>
            <w:r w:rsidRPr="0029225D">
              <w:rPr>
                <w:rFonts w:ascii="Arial" w:hAnsi="Arial" w:cs="Arial"/>
                <w:color w:val="auto"/>
              </w:rPr>
              <w:t>2.0</w:t>
            </w:r>
          </w:p>
        </w:tc>
        <w:tc>
          <w:tcPr>
            <w:tcW w:w="1418" w:type="dxa"/>
          </w:tcPr>
          <w:p w:rsidR="0067671F" w:rsidRPr="004674B2" w:rsidRDefault="004674B2" w:rsidP="00F82E5E">
            <w:pPr>
              <w:pStyle w:val="TableRight"/>
              <w:jc w:val="center"/>
              <w:cnfStyle w:val="000000000000"/>
              <w:rPr>
                <w:rFonts w:ascii="Arial" w:hAnsi="Arial" w:cs="Arial"/>
                <w:color w:val="auto"/>
              </w:rPr>
            </w:pPr>
            <w:r w:rsidRPr="004674B2">
              <w:rPr>
                <w:rFonts w:ascii="Arial" w:hAnsi="Arial" w:cs="Arial"/>
                <w:color w:val="auto"/>
              </w:rPr>
              <w:t>5.0</w:t>
            </w:r>
          </w:p>
        </w:tc>
        <w:tc>
          <w:tcPr>
            <w:cnfStyle w:val="000010000000"/>
            <w:tcW w:w="1253" w:type="dxa"/>
          </w:tcPr>
          <w:p w:rsidR="0067671F" w:rsidRPr="004674B2" w:rsidRDefault="004674B2" w:rsidP="00F82E5E">
            <w:pPr>
              <w:pStyle w:val="TableRight"/>
              <w:jc w:val="center"/>
              <w:rPr>
                <w:rFonts w:ascii="Arial" w:hAnsi="Arial" w:cs="Arial"/>
                <w:color w:val="auto"/>
              </w:rPr>
            </w:pPr>
            <w:r w:rsidRPr="004674B2">
              <w:rPr>
                <w:rFonts w:ascii="Arial" w:hAnsi="Arial" w:cs="Arial"/>
                <w:color w:val="auto"/>
              </w:rPr>
              <w:t>15.6</w:t>
            </w:r>
          </w:p>
        </w:tc>
      </w:tr>
      <w:tr w:rsidR="0029225D" w:rsidRPr="0067671F" w:rsidTr="00F82E5E">
        <w:trPr>
          <w:cnfStyle w:val="000000100000"/>
          <w:trHeight w:val="60"/>
        </w:trPr>
        <w:tc>
          <w:tcPr>
            <w:cnfStyle w:val="000010000000"/>
            <w:tcW w:w="2802" w:type="dxa"/>
          </w:tcPr>
          <w:p w:rsidR="0029225D" w:rsidRPr="0029225D" w:rsidRDefault="0029225D" w:rsidP="0029225D">
            <w:pPr>
              <w:pStyle w:val="TableText"/>
              <w:rPr>
                <w:rFonts w:ascii="Arial" w:hAnsi="Arial" w:cs="Arial"/>
                <w:color w:val="auto"/>
              </w:rPr>
            </w:pPr>
            <w:r w:rsidRPr="0029225D">
              <w:rPr>
                <w:rFonts w:ascii="Arial" w:hAnsi="Arial" w:cs="Arial"/>
                <w:color w:val="auto"/>
              </w:rPr>
              <w:t>Payable within 16 to 20 years</w:t>
            </w:r>
          </w:p>
        </w:tc>
        <w:tc>
          <w:tcPr>
            <w:tcW w:w="1451" w:type="dxa"/>
          </w:tcPr>
          <w:p w:rsidR="0029225D" w:rsidRPr="0029225D" w:rsidRDefault="0029225D" w:rsidP="00F82E5E">
            <w:pPr>
              <w:pStyle w:val="TableRight"/>
              <w:jc w:val="center"/>
              <w:cnfStyle w:val="000000100000"/>
              <w:rPr>
                <w:rFonts w:ascii="Arial" w:hAnsi="Arial" w:cs="Arial"/>
                <w:color w:val="auto"/>
              </w:rPr>
            </w:pPr>
            <w:r w:rsidRPr="0029225D">
              <w:rPr>
                <w:rFonts w:ascii="Arial" w:hAnsi="Arial" w:cs="Arial"/>
                <w:color w:val="auto"/>
              </w:rPr>
              <w:t>9.7</w:t>
            </w:r>
          </w:p>
        </w:tc>
        <w:tc>
          <w:tcPr>
            <w:cnfStyle w:val="000010000000"/>
            <w:tcW w:w="1417" w:type="dxa"/>
          </w:tcPr>
          <w:p w:rsidR="0029225D" w:rsidRPr="0029225D" w:rsidRDefault="0029225D" w:rsidP="00F82E5E">
            <w:pPr>
              <w:pStyle w:val="TableRight"/>
              <w:jc w:val="center"/>
              <w:rPr>
                <w:rFonts w:ascii="Arial" w:hAnsi="Arial" w:cs="Arial"/>
                <w:color w:val="auto"/>
              </w:rPr>
            </w:pPr>
            <w:r w:rsidRPr="0029225D">
              <w:rPr>
                <w:rFonts w:ascii="Arial" w:hAnsi="Arial" w:cs="Arial"/>
                <w:color w:val="auto"/>
              </w:rPr>
              <w:t>3.8</w:t>
            </w:r>
          </w:p>
        </w:tc>
        <w:tc>
          <w:tcPr>
            <w:tcW w:w="1418" w:type="dxa"/>
          </w:tcPr>
          <w:p w:rsidR="0029225D" w:rsidRPr="004674B2" w:rsidRDefault="004674B2" w:rsidP="00F82E5E">
            <w:pPr>
              <w:pStyle w:val="TableRight"/>
              <w:jc w:val="center"/>
              <w:cnfStyle w:val="000000100000"/>
              <w:rPr>
                <w:rFonts w:ascii="Arial" w:hAnsi="Arial" w:cs="Arial"/>
                <w:color w:val="auto"/>
              </w:rPr>
            </w:pPr>
            <w:r w:rsidRPr="004674B2">
              <w:rPr>
                <w:rFonts w:ascii="Arial" w:hAnsi="Arial" w:cs="Arial"/>
                <w:color w:val="auto"/>
              </w:rPr>
              <w:t>3.6</w:t>
            </w:r>
          </w:p>
        </w:tc>
        <w:tc>
          <w:tcPr>
            <w:cnfStyle w:val="000010000000"/>
            <w:tcW w:w="1253" w:type="dxa"/>
          </w:tcPr>
          <w:p w:rsidR="0029225D" w:rsidRPr="004674B2" w:rsidRDefault="004674B2" w:rsidP="00F82E5E">
            <w:pPr>
              <w:pStyle w:val="TableRight"/>
              <w:jc w:val="center"/>
              <w:rPr>
                <w:rFonts w:ascii="Arial" w:hAnsi="Arial" w:cs="Arial"/>
                <w:color w:val="auto"/>
              </w:rPr>
            </w:pPr>
            <w:r w:rsidRPr="004674B2">
              <w:rPr>
                <w:rFonts w:ascii="Arial" w:hAnsi="Arial" w:cs="Arial"/>
                <w:color w:val="auto"/>
              </w:rPr>
              <w:t>17.1</w:t>
            </w:r>
          </w:p>
        </w:tc>
      </w:tr>
      <w:tr w:rsidR="0029225D" w:rsidRPr="0067671F" w:rsidTr="00F82E5E">
        <w:trPr>
          <w:trHeight w:val="60"/>
        </w:trPr>
        <w:tc>
          <w:tcPr>
            <w:cnfStyle w:val="000010000000"/>
            <w:tcW w:w="2802" w:type="dxa"/>
          </w:tcPr>
          <w:p w:rsidR="0029225D" w:rsidRPr="0029225D" w:rsidRDefault="0029225D" w:rsidP="0029225D">
            <w:pPr>
              <w:pStyle w:val="TableText"/>
              <w:rPr>
                <w:rFonts w:ascii="Arial" w:hAnsi="Arial" w:cs="Arial"/>
                <w:color w:val="auto"/>
              </w:rPr>
            </w:pPr>
            <w:r w:rsidRPr="0029225D">
              <w:rPr>
                <w:rFonts w:ascii="Arial" w:hAnsi="Arial" w:cs="Arial"/>
                <w:color w:val="auto"/>
              </w:rPr>
              <w:t>Payable within 21 to 25  years</w:t>
            </w:r>
          </w:p>
        </w:tc>
        <w:tc>
          <w:tcPr>
            <w:tcW w:w="1451" w:type="dxa"/>
          </w:tcPr>
          <w:p w:rsidR="0029225D" w:rsidRPr="0029225D" w:rsidRDefault="0029225D" w:rsidP="00F82E5E">
            <w:pPr>
              <w:pStyle w:val="TableRight"/>
              <w:jc w:val="center"/>
              <w:cnfStyle w:val="000000000000"/>
              <w:rPr>
                <w:rFonts w:ascii="Arial" w:hAnsi="Arial" w:cs="Arial"/>
                <w:color w:val="auto"/>
              </w:rPr>
            </w:pPr>
            <w:r w:rsidRPr="0029225D">
              <w:rPr>
                <w:rFonts w:ascii="Arial" w:hAnsi="Arial" w:cs="Arial"/>
                <w:color w:val="auto"/>
              </w:rPr>
              <w:t>7.5</w:t>
            </w:r>
          </w:p>
        </w:tc>
        <w:tc>
          <w:tcPr>
            <w:cnfStyle w:val="000010000000"/>
            <w:tcW w:w="1417" w:type="dxa"/>
          </w:tcPr>
          <w:p w:rsidR="0029225D" w:rsidRPr="0029225D" w:rsidRDefault="0029225D" w:rsidP="00F82E5E">
            <w:pPr>
              <w:pStyle w:val="TableRight"/>
              <w:jc w:val="center"/>
              <w:rPr>
                <w:rFonts w:ascii="Arial" w:hAnsi="Arial" w:cs="Arial"/>
                <w:color w:val="auto"/>
              </w:rPr>
            </w:pPr>
            <w:r w:rsidRPr="0029225D">
              <w:rPr>
                <w:rFonts w:ascii="Arial" w:hAnsi="Arial" w:cs="Arial"/>
                <w:color w:val="auto"/>
              </w:rPr>
              <w:t>4.8</w:t>
            </w:r>
          </w:p>
        </w:tc>
        <w:tc>
          <w:tcPr>
            <w:tcW w:w="1418" w:type="dxa"/>
          </w:tcPr>
          <w:p w:rsidR="0029225D" w:rsidRPr="004674B2" w:rsidRDefault="004674B2" w:rsidP="00F82E5E">
            <w:pPr>
              <w:pStyle w:val="TableRight"/>
              <w:jc w:val="center"/>
              <w:cnfStyle w:val="000000000000"/>
              <w:rPr>
                <w:rFonts w:ascii="Arial" w:hAnsi="Arial" w:cs="Arial"/>
                <w:color w:val="auto"/>
              </w:rPr>
            </w:pPr>
            <w:r w:rsidRPr="004674B2">
              <w:rPr>
                <w:rFonts w:ascii="Arial" w:hAnsi="Arial" w:cs="Arial"/>
                <w:color w:val="auto"/>
              </w:rPr>
              <w:t>1.0</w:t>
            </w:r>
          </w:p>
        </w:tc>
        <w:tc>
          <w:tcPr>
            <w:cnfStyle w:val="000010000000"/>
            <w:tcW w:w="1253" w:type="dxa"/>
          </w:tcPr>
          <w:p w:rsidR="0029225D" w:rsidRPr="004674B2" w:rsidRDefault="004674B2" w:rsidP="00F82E5E">
            <w:pPr>
              <w:pStyle w:val="TableRight"/>
              <w:jc w:val="center"/>
              <w:rPr>
                <w:rFonts w:ascii="Arial" w:hAnsi="Arial" w:cs="Arial"/>
                <w:color w:val="auto"/>
              </w:rPr>
            </w:pPr>
            <w:r w:rsidRPr="004674B2">
              <w:rPr>
                <w:rFonts w:ascii="Arial" w:hAnsi="Arial" w:cs="Arial"/>
                <w:color w:val="auto"/>
              </w:rPr>
              <w:t>13.3</w:t>
            </w:r>
          </w:p>
        </w:tc>
      </w:tr>
      <w:tr w:rsidR="0067671F" w:rsidRPr="0067671F" w:rsidTr="00F82E5E">
        <w:trPr>
          <w:cnfStyle w:val="000000100000"/>
          <w:trHeight w:val="60"/>
        </w:trPr>
        <w:tc>
          <w:tcPr>
            <w:cnfStyle w:val="000010000000"/>
            <w:tcW w:w="2802" w:type="dxa"/>
          </w:tcPr>
          <w:p w:rsidR="0067671F" w:rsidRDefault="0067671F" w:rsidP="00F82E5E">
            <w:pPr>
              <w:pStyle w:val="TableText"/>
              <w:rPr>
                <w:rFonts w:ascii="Arial" w:hAnsi="Arial" w:cs="Arial"/>
                <w:b/>
                <w:color w:val="auto"/>
              </w:rPr>
            </w:pPr>
            <w:r w:rsidRPr="0029225D">
              <w:rPr>
                <w:rFonts w:ascii="Arial" w:hAnsi="Arial" w:cs="Arial"/>
                <w:b/>
                <w:color w:val="auto"/>
              </w:rPr>
              <w:t>Total</w:t>
            </w:r>
          </w:p>
          <w:p w:rsidR="004674B2" w:rsidRPr="0029225D" w:rsidRDefault="004674B2" w:rsidP="00F82E5E">
            <w:pPr>
              <w:pStyle w:val="TableText"/>
              <w:rPr>
                <w:rFonts w:ascii="Arial" w:hAnsi="Arial" w:cs="Arial"/>
                <w:b/>
                <w:color w:val="auto"/>
              </w:rPr>
            </w:pPr>
          </w:p>
        </w:tc>
        <w:tc>
          <w:tcPr>
            <w:tcW w:w="1451" w:type="dxa"/>
          </w:tcPr>
          <w:p w:rsidR="0067671F" w:rsidRPr="0029225D" w:rsidRDefault="0029225D" w:rsidP="00F82E5E">
            <w:pPr>
              <w:pStyle w:val="TableRight"/>
              <w:jc w:val="center"/>
              <w:cnfStyle w:val="000000100000"/>
              <w:rPr>
                <w:rFonts w:ascii="Arial" w:hAnsi="Arial" w:cs="Arial"/>
                <w:b/>
                <w:color w:val="auto"/>
              </w:rPr>
            </w:pPr>
            <w:r w:rsidRPr="0029225D">
              <w:rPr>
                <w:rFonts w:ascii="Arial" w:hAnsi="Arial" w:cs="Arial"/>
                <w:b/>
                <w:color w:val="auto"/>
              </w:rPr>
              <w:t>39.6</w:t>
            </w:r>
          </w:p>
        </w:tc>
        <w:tc>
          <w:tcPr>
            <w:cnfStyle w:val="000010000000"/>
            <w:tcW w:w="1417" w:type="dxa"/>
          </w:tcPr>
          <w:p w:rsidR="0067671F" w:rsidRPr="0029225D" w:rsidRDefault="0029225D" w:rsidP="00F82E5E">
            <w:pPr>
              <w:pStyle w:val="TableRight"/>
              <w:jc w:val="center"/>
              <w:rPr>
                <w:rFonts w:ascii="Arial" w:hAnsi="Arial" w:cs="Arial"/>
                <w:b/>
                <w:color w:val="auto"/>
              </w:rPr>
            </w:pPr>
            <w:r w:rsidRPr="0029225D">
              <w:rPr>
                <w:rFonts w:ascii="Arial" w:hAnsi="Arial" w:cs="Arial"/>
                <w:b/>
                <w:color w:val="auto"/>
              </w:rPr>
              <w:t>12.3</w:t>
            </w:r>
          </w:p>
        </w:tc>
        <w:tc>
          <w:tcPr>
            <w:tcW w:w="1418" w:type="dxa"/>
          </w:tcPr>
          <w:p w:rsidR="0067671F" w:rsidRPr="004674B2" w:rsidRDefault="004674B2" w:rsidP="00F82E5E">
            <w:pPr>
              <w:pStyle w:val="TableRight"/>
              <w:jc w:val="center"/>
              <w:cnfStyle w:val="000000100000"/>
              <w:rPr>
                <w:rFonts w:ascii="Arial" w:hAnsi="Arial" w:cs="Arial"/>
                <w:b/>
                <w:color w:val="auto"/>
              </w:rPr>
            </w:pPr>
            <w:r w:rsidRPr="004674B2">
              <w:rPr>
                <w:rFonts w:ascii="Arial" w:hAnsi="Arial" w:cs="Arial"/>
                <w:b/>
                <w:color w:val="auto"/>
              </w:rPr>
              <w:t>21.6</w:t>
            </w:r>
          </w:p>
        </w:tc>
        <w:tc>
          <w:tcPr>
            <w:cnfStyle w:val="000010000000"/>
            <w:tcW w:w="1253" w:type="dxa"/>
          </w:tcPr>
          <w:p w:rsidR="0067671F" w:rsidRPr="004674B2" w:rsidRDefault="004674B2" w:rsidP="00F82E5E">
            <w:pPr>
              <w:pStyle w:val="TableRight"/>
              <w:jc w:val="center"/>
              <w:rPr>
                <w:rFonts w:ascii="Arial" w:hAnsi="Arial" w:cs="Arial"/>
                <w:b/>
                <w:color w:val="auto"/>
              </w:rPr>
            </w:pPr>
            <w:r w:rsidRPr="004674B2">
              <w:rPr>
                <w:rFonts w:ascii="Arial" w:hAnsi="Arial" w:cs="Arial"/>
                <w:b/>
                <w:color w:val="auto"/>
              </w:rPr>
              <w:t>73.5</w:t>
            </w:r>
          </w:p>
        </w:tc>
      </w:tr>
    </w:tbl>
    <w:p w:rsidR="0067671F" w:rsidRPr="0067671F" w:rsidRDefault="0067671F" w:rsidP="0067671F">
      <w:pPr>
        <w:pStyle w:val="BodyTextIndent"/>
        <w:tabs>
          <w:tab w:val="left" w:pos="709"/>
        </w:tabs>
        <w:ind w:left="0"/>
        <w:rPr>
          <w:rFonts w:cs="Arial"/>
          <w:color w:val="0070C0"/>
          <w:sz w:val="20"/>
          <w:szCs w:val="20"/>
        </w:rPr>
      </w:pPr>
      <w:r w:rsidRPr="0067671F">
        <w:rPr>
          <w:color w:val="0070C0"/>
          <w:sz w:val="20"/>
          <w:szCs w:val="20"/>
        </w:rPr>
        <w:tab/>
      </w:r>
    </w:p>
    <w:p w:rsidR="0067671F" w:rsidRPr="00850B79" w:rsidRDefault="0067671F" w:rsidP="0067671F">
      <w:pPr>
        <w:pStyle w:val="BodyTextIndent"/>
        <w:tabs>
          <w:tab w:val="left" w:pos="709"/>
        </w:tabs>
        <w:ind w:left="567"/>
        <w:rPr>
          <w:color w:val="auto"/>
          <w:sz w:val="20"/>
          <w:szCs w:val="20"/>
        </w:rPr>
      </w:pPr>
      <w:r w:rsidRPr="00850B79">
        <w:rPr>
          <w:color w:val="auto"/>
          <w:sz w:val="20"/>
          <w:szCs w:val="20"/>
        </w:rPr>
        <w:tab/>
        <w:t>* Assumption that the total annual payment for all three elements to the contractor will remain constant (ignoring inflation) until 20</w:t>
      </w:r>
      <w:r w:rsidR="00850B79" w:rsidRPr="00850B79">
        <w:rPr>
          <w:color w:val="auto"/>
          <w:sz w:val="20"/>
          <w:szCs w:val="20"/>
        </w:rPr>
        <w:t>39</w:t>
      </w:r>
      <w:r w:rsidRPr="00850B79">
        <w:rPr>
          <w:color w:val="auto"/>
          <w:sz w:val="20"/>
          <w:szCs w:val="20"/>
        </w:rPr>
        <w:t xml:space="preserve"> when the contract finishes.</w:t>
      </w:r>
    </w:p>
    <w:p w:rsidR="0067671F" w:rsidRPr="00850B79" w:rsidRDefault="0067671F" w:rsidP="0067671F">
      <w:pPr>
        <w:pStyle w:val="CodeNotesExampleText"/>
        <w:widowControl w:val="0"/>
        <w:ind w:left="567"/>
        <w:rPr>
          <w:rFonts w:cs="Arial"/>
          <w:color w:val="auto"/>
          <w:sz w:val="20"/>
          <w:szCs w:val="20"/>
        </w:rPr>
      </w:pPr>
      <w:r w:rsidRPr="00850B79">
        <w:rPr>
          <w:rFonts w:cs="Arial"/>
          <w:color w:val="auto"/>
          <w:sz w:val="20"/>
          <w:szCs w:val="20"/>
        </w:rPr>
        <w:lastRenderedPageBreak/>
        <w:t>Although the payments made to the contractor are described as unitary payments, they have been calculated to compensate the contractor for the fair value of the services they provide, the capital expenditure incurred and interest payable. The liability outstanding to pay to the contractor for capital expenditure incurred</w:t>
      </w:r>
      <w:r w:rsidR="003026E3">
        <w:rPr>
          <w:rFonts w:cs="Arial"/>
          <w:color w:val="auto"/>
          <w:sz w:val="20"/>
          <w:szCs w:val="20"/>
        </w:rPr>
        <w:t xml:space="preserve"> split between Torbay and the third party income deferred income liability</w:t>
      </w:r>
      <w:r w:rsidRPr="00850B79">
        <w:rPr>
          <w:rFonts w:cs="Arial"/>
          <w:color w:val="auto"/>
          <w:sz w:val="20"/>
          <w:szCs w:val="20"/>
        </w:rPr>
        <w:t xml:space="preserve"> is as follows:</w:t>
      </w:r>
    </w:p>
    <w:p w:rsidR="0067671F" w:rsidRPr="0067671F" w:rsidRDefault="0067671F" w:rsidP="0067671F">
      <w:pPr>
        <w:pStyle w:val="CodeNotesExampleText"/>
        <w:widowControl w:val="0"/>
        <w:ind w:left="567"/>
        <w:rPr>
          <w:rFonts w:cs="Arial"/>
          <w:color w:val="0070C0"/>
          <w:sz w:val="20"/>
          <w:szCs w:val="20"/>
        </w:rPr>
      </w:pPr>
    </w:p>
    <w:tbl>
      <w:tblPr>
        <w:tblStyle w:val="ListTable3-Accent51"/>
        <w:tblW w:w="8177" w:type="dxa"/>
        <w:tblInd w:w="720" w:type="dxa"/>
        <w:tblLayout w:type="fixed"/>
        <w:tblLook w:val="0000"/>
      </w:tblPr>
      <w:tblGrid>
        <w:gridCol w:w="1798"/>
        <w:gridCol w:w="3544"/>
        <w:gridCol w:w="1417"/>
        <w:gridCol w:w="1418"/>
      </w:tblGrid>
      <w:tr w:rsidR="003026E3" w:rsidRPr="0067671F" w:rsidTr="003026E3">
        <w:trPr>
          <w:cnfStyle w:val="000000100000"/>
          <w:trHeight w:val="59"/>
        </w:trPr>
        <w:tc>
          <w:tcPr>
            <w:cnfStyle w:val="000010000000"/>
            <w:tcW w:w="1798" w:type="dxa"/>
            <w:shd w:val="clear" w:color="auto" w:fill="4BACC6" w:themeFill="accent5"/>
          </w:tcPr>
          <w:p w:rsidR="003026E3" w:rsidRPr="008142B5" w:rsidRDefault="003026E3" w:rsidP="00F82E5E">
            <w:pPr>
              <w:pStyle w:val="TableRightBold"/>
              <w:ind w:right="142"/>
              <w:jc w:val="center"/>
              <w:rPr>
                <w:rStyle w:val="Bold"/>
                <w:rFonts w:ascii="Arial" w:hAnsi="Arial" w:cs="Arial"/>
                <w:b/>
                <w:bCs w:val="0"/>
                <w:color w:val="auto"/>
              </w:rPr>
            </w:pPr>
            <w:r w:rsidRPr="008142B5">
              <w:rPr>
                <w:rStyle w:val="Bold"/>
                <w:rFonts w:ascii="Arial" w:hAnsi="Arial" w:cs="Arial"/>
                <w:b/>
                <w:bCs w:val="0"/>
                <w:color w:val="auto"/>
              </w:rPr>
              <w:t>2014/15</w:t>
            </w:r>
          </w:p>
          <w:p w:rsidR="003026E3" w:rsidRPr="008142B5" w:rsidRDefault="003026E3" w:rsidP="00F82E5E">
            <w:pPr>
              <w:pStyle w:val="TableRightBold"/>
              <w:ind w:right="142"/>
              <w:jc w:val="center"/>
              <w:rPr>
                <w:rFonts w:ascii="Arial" w:hAnsi="Arial" w:cs="Arial"/>
                <w:color w:val="auto"/>
              </w:rPr>
            </w:pPr>
            <w:r w:rsidRPr="008142B5">
              <w:rPr>
                <w:rStyle w:val="Bold"/>
                <w:rFonts w:ascii="Arial" w:hAnsi="Arial" w:cs="Arial"/>
                <w:b/>
                <w:bCs w:val="0"/>
                <w:color w:val="auto"/>
              </w:rPr>
              <w:t>£m</w:t>
            </w:r>
          </w:p>
        </w:tc>
        <w:tc>
          <w:tcPr>
            <w:tcW w:w="3544" w:type="dxa"/>
            <w:shd w:val="clear" w:color="auto" w:fill="4BACC6" w:themeFill="accent5"/>
          </w:tcPr>
          <w:p w:rsidR="003026E3" w:rsidRPr="008142B5" w:rsidRDefault="003026E3" w:rsidP="00F82E5E">
            <w:pPr>
              <w:pStyle w:val="TableText"/>
              <w:jc w:val="center"/>
              <w:cnfStyle w:val="000000100000"/>
              <w:rPr>
                <w:rFonts w:ascii="Arial" w:hAnsi="Arial" w:cs="Arial"/>
                <w:color w:val="auto"/>
              </w:rPr>
            </w:pPr>
          </w:p>
        </w:tc>
        <w:tc>
          <w:tcPr>
            <w:cnfStyle w:val="000010000000"/>
            <w:tcW w:w="1417" w:type="dxa"/>
            <w:shd w:val="clear" w:color="auto" w:fill="4BACC6" w:themeFill="accent5"/>
          </w:tcPr>
          <w:p w:rsidR="003026E3" w:rsidRPr="008142B5" w:rsidRDefault="003026E3" w:rsidP="00F82E5E">
            <w:pPr>
              <w:pStyle w:val="TableRightBold"/>
              <w:ind w:right="142"/>
              <w:jc w:val="center"/>
              <w:rPr>
                <w:rStyle w:val="Bold"/>
                <w:rFonts w:ascii="Arial" w:hAnsi="Arial" w:cs="Arial"/>
                <w:b/>
                <w:bCs w:val="0"/>
                <w:color w:val="auto"/>
              </w:rPr>
            </w:pPr>
            <w:r w:rsidRPr="008142B5">
              <w:rPr>
                <w:rStyle w:val="Bold"/>
                <w:rFonts w:ascii="Arial" w:hAnsi="Arial" w:cs="Arial"/>
                <w:b/>
                <w:bCs w:val="0"/>
                <w:color w:val="auto"/>
              </w:rPr>
              <w:t>2015/16</w:t>
            </w:r>
          </w:p>
          <w:p w:rsidR="003026E3" w:rsidRPr="008142B5" w:rsidRDefault="003026E3" w:rsidP="00F82E5E">
            <w:pPr>
              <w:pStyle w:val="TableRightBold"/>
              <w:ind w:right="142"/>
              <w:jc w:val="center"/>
              <w:rPr>
                <w:rStyle w:val="Bold"/>
                <w:rFonts w:ascii="Arial" w:hAnsi="Arial" w:cs="Arial"/>
                <w:b/>
                <w:bCs w:val="0"/>
                <w:color w:val="auto"/>
              </w:rPr>
            </w:pPr>
            <w:r w:rsidRPr="008142B5">
              <w:rPr>
                <w:rStyle w:val="Bold"/>
                <w:rFonts w:ascii="Arial" w:hAnsi="Arial" w:cs="Arial"/>
                <w:b/>
                <w:bCs w:val="0"/>
                <w:color w:val="auto"/>
              </w:rPr>
              <w:t>£m</w:t>
            </w:r>
          </w:p>
          <w:p w:rsidR="003026E3" w:rsidRPr="008142B5" w:rsidRDefault="003026E3" w:rsidP="00F82E5E">
            <w:pPr>
              <w:pStyle w:val="TableRightBold"/>
              <w:ind w:right="142"/>
              <w:jc w:val="center"/>
              <w:rPr>
                <w:rFonts w:ascii="Arial" w:hAnsi="Arial" w:cs="Arial"/>
                <w:color w:val="auto"/>
              </w:rPr>
            </w:pPr>
            <w:r w:rsidRPr="008142B5">
              <w:rPr>
                <w:rStyle w:val="Bold"/>
                <w:rFonts w:ascii="Arial" w:hAnsi="Arial" w:cs="Arial"/>
                <w:b/>
                <w:bCs w:val="0"/>
                <w:color w:val="auto"/>
              </w:rPr>
              <w:t>Torbay Share</w:t>
            </w:r>
          </w:p>
        </w:tc>
        <w:tc>
          <w:tcPr>
            <w:tcW w:w="1418" w:type="dxa"/>
            <w:shd w:val="clear" w:color="auto" w:fill="4BACC6" w:themeFill="accent5"/>
          </w:tcPr>
          <w:p w:rsidR="003026E3" w:rsidRPr="008142B5" w:rsidRDefault="003026E3" w:rsidP="00F82E5E">
            <w:pPr>
              <w:pStyle w:val="TableRightBold"/>
              <w:ind w:right="142"/>
              <w:jc w:val="center"/>
              <w:cnfStyle w:val="000000100000"/>
              <w:rPr>
                <w:rStyle w:val="Bold"/>
                <w:rFonts w:ascii="Arial" w:hAnsi="Arial" w:cs="Arial"/>
                <w:b/>
                <w:bCs w:val="0"/>
                <w:color w:val="auto"/>
              </w:rPr>
            </w:pPr>
            <w:r w:rsidRPr="008142B5">
              <w:rPr>
                <w:rStyle w:val="Bold"/>
                <w:rFonts w:ascii="Arial" w:hAnsi="Arial" w:cs="Arial"/>
                <w:b/>
                <w:bCs w:val="0"/>
                <w:color w:val="auto"/>
              </w:rPr>
              <w:t>2015/16 £m</w:t>
            </w:r>
          </w:p>
          <w:p w:rsidR="003026E3" w:rsidRPr="008142B5" w:rsidRDefault="007E33E1" w:rsidP="00F82E5E">
            <w:pPr>
              <w:pStyle w:val="TableRightBold"/>
              <w:ind w:right="142"/>
              <w:jc w:val="center"/>
              <w:cnfStyle w:val="000000100000"/>
              <w:rPr>
                <w:rStyle w:val="Bold"/>
                <w:rFonts w:ascii="Arial" w:hAnsi="Arial" w:cs="Arial"/>
                <w:b/>
                <w:bCs w:val="0"/>
                <w:color w:val="auto"/>
              </w:rPr>
            </w:pPr>
            <w:r w:rsidRPr="008142B5">
              <w:rPr>
                <w:rStyle w:val="Bold"/>
                <w:rFonts w:ascii="Arial" w:hAnsi="Arial" w:cs="Arial"/>
                <w:b/>
                <w:bCs w:val="0"/>
                <w:color w:val="auto"/>
              </w:rPr>
              <w:t>Deferred</w:t>
            </w:r>
            <w:r w:rsidR="003026E3" w:rsidRPr="008142B5">
              <w:rPr>
                <w:rStyle w:val="Bold"/>
                <w:rFonts w:ascii="Arial" w:hAnsi="Arial" w:cs="Arial"/>
                <w:b/>
                <w:bCs w:val="0"/>
                <w:color w:val="auto"/>
              </w:rPr>
              <w:t xml:space="preserve"> Income</w:t>
            </w:r>
          </w:p>
        </w:tc>
      </w:tr>
      <w:tr w:rsidR="003026E3" w:rsidRPr="0067671F" w:rsidTr="003026E3">
        <w:trPr>
          <w:trHeight w:val="59"/>
        </w:trPr>
        <w:tc>
          <w:tcPr>
            <w:cnfStyle w:val="000010000000"/>
            <w:tcW w:w="1798" w:type="dxa"/>
          </w:tcPr>
          <w:p w:rsidR="003026E3" w:rsidRPr="008142B5" w:rsidRDefault="003026E3" w:rsidP="00F82E5E">
            <w:pPr>
              <w:pStyle w:val="TableRight"/>
              <w:ind w:right="142"/>
              <w:jc w:val="center"/>
              <w:rPr>
                <w:rFonts w:ascii="Arial" w:hAnsi="Arial" w:cs="Arial"/>
                <w:color w:val="auto"/>
              </w:rPr>
            </w:pPr>
            <w:r w:rsidRPr="008142B5">
              <w:rPr>
                <w:rFonts w:ascii="Arial" w:hAnsi="Arial" w:cs="Arial"/>
                <w:color w:val="auto"/>
              </w:rPr>
              <w:t>-</w:t>
            </w:r>
          </w:p>
        </w:tc>
        <w:tc>
          <w:tcPr>
            <w:tcW w:w="3544" w:type="dxa"/>
          </w:tcPr>
          <w:p w:rsidR="003026E3" w:rsidRPr="008142B5" w:rsidRDefault="003026E3" w:rsidP="00F82E5E">
            <w:pPr>
              <w:pStyle w:val="TableText"/>
              <w:cnfStyle w:val="000000000000"/>
              <w:rPr>
                <w:rFonts w:ascii="Arial" w:hAnsi="Arial" w:cs="Arial"/>
                <w:color w:val="auto"/>
              </w:rPr>
            </w:pPr>
            <w:r w:rsidRPr="008142B5">
              <w:rPr>
                <w:rFonts w:ascii="Arial" w:hAnsi="Arial" w:cs="Arial"/>
                <w:color w:val="auto"/>
              </w:rPr>
              <w:t>Balance outstanding at start of year</w:t>
            </w:r>
          </w:p>
        </w:tc>
        <w:tc>
          <w:tcPr>
            <w:cnfStyle w:val="000010000000"/>
            <w:tcW w:w="1417" w:type="dxa"/>
          </w:tcPr>
          <w:p w:rsidR="003026E3" w:rsidRPr="008142B5" w:rsidRDefault="00880C3C" w:rsidP="00F82E5E">
            <w:pPr>
              <w:pStyle w:val="TableRight"/>
              <w:ind w:right="142"/>
              <w:jc w:val="center"/>
              <w:rPr>
                <w:rFonts w:ascii="Arial" w:hAnsi="Arial" w:cs="Arial"/>
                <w:color w:val="auto"/>
              </w:rPr>
            </w:pPr>
            <w:r w:rsidRPr="008142B5">
              <w:rPr>
                <w:rFonts w:ascii="Arial" w:hAnsi="Arial" w:cs="Arial"/>
                <w:color w:val="auto"/>
              </w:rPr>
              <w:t>-</w:t>
            </w:r>
          </w:p>
        </w:tc>
        <w:tc>
          <w:tcPr>
            <w:tcW w:w="1418" w:type="dxa"/>
          </w:tcPr>
          <w:p w:rsidR="003026E3" w:rsidRPr="008142B5" w:rsidRDefault="00880C3C" w:rsidP="00F82E5E">
            <w:pPr>
              <w:pStyle w:val="TableRight"/>
              <w:ind w:right="142"/>
              <w:jc w:val="center"/>
              <w:cnfStyle w:val="000000000000"/>
              <w:rPr>
                <w:rFonts w:ascii="Arial" w:hAnsi="Arial" w:cs="Arial"/>
                <w:color w:val="auto"/>
              </w:rPr>
            </w:pPr>
            <w:r w:rsidRPr="008142B5">
              <w:rPr>
                <w:rFonts w:ascii="Arial" w:hAnsi="Arial" w:cs="Arial"/>
                <w:color w:val="auto"/>
              </w:rPr>
              <w:t>-</w:t>
            </w:r>
          </w:p>
        </w:tc>
      </w:tr>
      <w:tr w:rsidR="00880C3C" w:rsidRPr="0067671F" w:rsidTr="003026E3">
        <w:trPr>
          <w:cnfStyle w:val="000000100000"/>
          <w:trHeight w:val="59"/>
        </w:trPr>
        <w:tc>
          <w:tcPr>
            <w:cnfStyle w:val="000010000000"/>
            <w:tcW w:w="1798" w:type="dxa"/>
          </w:tcPr>
          <w:p w:rsidR="00880C3C" w:rsidRPr="008142B5" w:rsidRDefault="00EF70ED" w:rsidP="00F82E5E">
            <w:pPr>
              <w:pStyle w:val="TableRight"/>
              <w:ind w:right="142"/>
              <w:jc w:val="center"/>
              <w:rPr>
                <w:rFonts w:ascii="Arial" w:hAnsi="Arial" w:cs="Arial"/>
                <w:color w:val="auto"/>
              </w:rPr>
            </w:pPr>
            <w:r w:rsidRPr="008142B5">
              <w:rPr>
                <w:rFonts w:ascii="Arial" w:hAnsi="Arial" w:cs="Arial"/>
                <w:color w:val="auto"/>
              </w:rPr>
              <w:t>-</w:t>
            </w:r>
          </w:p>
        </w:tc>
        <w:tc>
          <w:tcPr>
            <w:tcW w:w="3544" w:type="dxa"/>
          </w:tcPr>
          <w:p w:rsidR="00880C3C" w:rsidRPr="008142B5" w:rsidRDefault="00880C3C" w:rsidP="00F82E5E">
            <w:pPr>
              <w:pStyle w:val="TableText"/>
              <w:cnfStyle w:val="000000100000"/>
              <w:rPr>
                <w:rFonts w:ascii="Arial" w:hAnsi="Arial" w:cs="Arial"/>
                <w:color w:val="auto"/>
              </w:rPr>
            </w:pPr>
            <w:r w:rsidRPr="008142B5">
              <w:rPr>
                <w:rFonts w:ascii="Arial" w:hAnsi="Arial" w:cs="Arial"/>
                <w:color w:val="auto"/>
              </w:rPr>
              <w:t xml:space="preserve">Initial Recognition of </w:t>
            </w:r>
            <w:r w:rsidR="007E33E1" w:rsidRPr="008142B5">
              <w:rPr>
                <w:rFonts w:ascii="Arial" w:hAnsi="Arial" w:cs="Arial"/>
                <w:color w:val="auto"/>
              </w:rPr>
              <w:t>liability</w:t>
            </w:r>
          </w:p>
        </w:tc>
        <w:tc>
          <w:tcPr>
            <w:cnfStyle w:val="000010000000"/>
            <w:tcW w:w="1417" w:type="dxa"/>
          </w:tcPr>
          <w:p w:rsidR="00880C3C" w:rsidRPr="008142B5" w:rsidRDefault="006514E2" w:rsidP="00F82E5E">
            <w:pPr>
              <w:pStyle w:val="TableRight"/>
              <w:ind w:right="142"/>
              <w:jc w:val="center"/>
              <w:rPr>
                <w:rFonts w:ascii="Arial" w:hAnsi="Arial" w:cs="Arial"/>
                <w:color w:val="auto"/>
              </w:rPr>
            </w:pPr>
            <w:r w:rsidRPr="008142B5">
              <w:rPr>
                <w:rFonts w:ascii="Arial" w:hAnsi="Arial" w:cs="Arial"/>
                <w:color w:val="auto"/>
              </w:rPr>
              <w:t>12.5</w:t>
            </w:r>
          </w:p>
        </w:tc>
        <w:tc>
          <w:tcPr>
            <w:tcW w:w="1418" w:type="dxa"/>
          </w:tcPr>
          <w:p w:rsidR="00880C3C" w:rsidRPr="008142B5" w:rsidRDefault="006514E2" w:rsidP="00F82E5E">
            <w:pPr>
              <w:pStyle w:val="TableRight"/>
              <w:ind w:right="142"/>
              <w:jc w:val="center"/>
              <w:cnfStyle w:val="000000100000"/>
              <w:rPr>
                <w:rFonts w:ascii="Arial" w:hAnsi="Arial" w:cs="Arial"/>
                <w:color w:val="auto"/>
              </w:rPr>
            </w:pPr>
            <w:r w:rsidRPr="008142B5">
              <w:rPr>
                <w:rFonts w:ascii="Arial" w:hAnsi="Arial" w:cs="Arial"/>
                <w:color w:val="auto"/>
              </w:rPr>
              <w:t>20.9</w:t>
            </w:r>
          </w:p>
        </w:tc>
      </w:tr>
      <w:tr w:rsidR="003026E3" w:rsidRPr="0067671F" w:rsidTr="003026E3">
        <w:trPr>
          <w:trHeight w:val="59"/>
        </w:trPr>
        <w:tc>
          <w:tcPr>
            <w:cnfStyle w:val="000010000000"/>
            <w:tcW w:w="1798" w:type="dxa"/>
          </w:tcPr>
          <w:p w:rsidR="003026E3" w:rsidRPr="008142B5" w:rsidRDefault="003026E3" w:rsidP="00F82E5E">
            <w:pPr>
              <w:pStyle w:val="TableRight"/>
              <w:ind w:right="142"/>
              <w:jc w:val="center"/>
              <w:rPr>
                <w:rFonts w:ascii="Arial" w:hAnsi="Arial" w:cs="Arial"/>
                <w:color w:val="auto"/>
              </w:rPr>
            </w:pPr>
            <w:r w:rsidRPr="008142B5">
              <w:rPr>
                <w:rFonts w:ascii="Arial" w:hAnsi="Arial" w:cs="Arial"/>
                <w:color w:val="auto"/>
              </w:rPr>
              <w:t>-</w:t>
            </w:r>
          </w:p>
        </w:tc>
        <w:tc>
          <w:tcPr>
            <w:tcW w:w="3544" w:type="dxa"/>
          </w:tcPr>
          <w:p w:rsidR="003026E3" w:rsidRPr="008142B5" w:rsidRDefault="003026E3" w:rsidP="00F82E5E">
            <w:pPr>
              <w:pStyle w:val="TableText"/>
              <w:cnfStyle w:val="000000000000"/>
              <w:rPr>
                <w:rFonts w:ascii="Arial" w:hAnsi="Arial" w:cs="Arial"/>
                <w:color w:val="auto"/>
              </w:rPr>
            </w:pPr>
            <w:r w:rsidRPr="008142B5">
              <w:rPr>
                <w:rFonts w:ascii="Arial" w:hAnsi="Arial" w:cs="Arial"/>
                <w:color w:val="auto"/>
              </w:rPr>
              <w:t>Payments during the year</w:t>
            </w:r>
          </w:p>
        </w:tc>
        <w:tc>
          <w:tcPr>
            <w:cnfStyle w:val="000010000000"/>
            <w:tcW w:w="1417" w:type="dxa"/>
          </w:tcPr>
          <w:p w:rsidR="003026E3" w:rsidRPr="008142B5" w:rsidRDefault="006514E2" w:rsidP="00F82E5E">
            <w:pPr>
              <w:pStyle w:val="TableRight"/>
              <w:ind w:right="142"/>
              <w:jc w:val="center"/>
              <w:rPr>
                <w:rFonts w:ascii="Arial" w:hAnsi="Arial" w:cs="Arial"/>
                <w:color w:val="auto"/>
              </w:rPr>
            </w:pPr>
            <w:r w:rsidRPr="008142B5">
              <w:rPr>
                <w:rFonts w:ascii="Arial" w:hAnsi="Arial" w:cs="Arial"/>
                <w:color w:val="auto"/>
              </w:rPr>
              <w:t>(0.2)</w:t>
            </w:r>
          </w:p>
        </w:tc>
        <w:tc>
          <w:tcPr>
            <w:tcW w:w="1418" w:type="dxa"/>
          </w:tcPr>
          <w:p w:rsidR="003026E3" w:rsidRPr="008142B5" w:rsidRDefault="006514E2" w:rsidP="00F82E5E">
            <w:pPr>
              <w:pStyle w:val="TableRight"/>
              <w:ind w:right="142"/>
              <w:jc w:val="center"/>
              <w:cnfStyle w:val="000000000000"/>
              <w:rPr>
                <w:rFonts w:ascii="Arial" w:hAnsi="Arial" w:cs="Arial"/>
                <w:color w:val="auto"/>
              </w:rPr>
            </w:pPr>
            <w:r w:rsidRPr="008142B5">
              <w:rPr>
                <w:rFonts w:ascii="Arial" w:hAnsi="Arial" w:cs="Arial"/>
                <w:color w:val="auto"/>
              </w:rPr>
              <w:t>(0.8)</w:t>
            </w:r>
          </w:p>
        </w:tc>
      </w:tr>
      <w:tr w:rsidR="003026E3" w:rsidRPr="0067671F" w:rsidTr="003026E3">
        <w:trPr>
          <w:cnfStyle w:val="000000100000"/>
          <w:trHeight w:val="59"/>
        </w:trPr>
        <w:tc>
          <w:tcPr>
            <w:cnfStyle w:val="000010000000"/>
            <w:tcW w:w="1798" w:type="dxa"/>
          </w:tcPr>
          <w:p w:rsidR="003026E3" w:rsidRPr="008142B5" w:rsidRDefault="003026E3" w:rsidP="00F82E5E">
            <w:pPr>
              <w:pStyle w:val="TableRight"/>
              <w:ind w:right="142"/>
              <w:jc w:val="center"/>
              <w:rPr>
                <w:rFonts w:ascii="Arial" w:hAnsi="Arial" w:cs="Arial"/>
                <w:b/>
                <w:color w:val="auto"/>
              </w:rPr>
            </w:pPr>
            <w:r w:rsidRPr="008142B5">
              <w:rPr>
                <w:rFonts w:ascii="Arial" w:hAnsi="Arial" w:cs="Arial"/>
                <w:b/>
                <w:color w:val="auto"/>
              </w:rPr>
              <w:t>-</w:t>
            </w:r>
          </w:p>
        </w:tc>
        <w:tc>
          <w:tcPr>
            <w:tcW w:w="3544" w:type="dxa"/>
          </w:tcPr>
          <w:p w:rsidR="003026E3" w:rsidRPr="008142B5" w:rsidRDefault="003026E3" w:rsidP="00F82E5E">
            <w:pPr>
              <w:pStyle w:val="TableText"/>
              <w:cnfStyle w:val="000000100000"/>
              <w:rPr>
                <w:rFonts w:ascii="Arial" w:hAnsi="Arial" w:cs="Arial"/>
                <w:b/>
                <w:color w:val="auto"/>
              </w:rPr>
            </w:pPr>
            <w:r w:rsidRPr="008142B5">
              <w:rPr>
                <w:rFonts w:ascii="Arial" w:hAnsi="Arial" w:cs="Arial"/>
                <w:b/>
                <w:color w:val="auto"/>
              </w:rPr>
              <w:t>Balance outstanding at year-end</w:t>
            </w:r>
          </w:p>
        </w:tc>
        <w:tc>
          <w:tcPr>
            <w:cnfStyle w:val="000010000000"/>
            <w:tcW w:w="1417" w:type="dxa"/>
          </w:tcPr>
          <w:p w:rsidR="003026E3" w:rsidRPr="008142B5" w:rsidRDefault="006514E2" w:rsidP="00F82E5E">
            <w:pPr>
              <w:pStyle w:val="TableRight"/>
              <w:ind w:right="142"/>
              <w:jc w:val="center"/>
              <w:rPr>
                <w:rFonts w:ascii="Arial" w:hAnsi="Arial" w:cs="Arial"/>
                <w:b/>
                <w:color w:val="auto"/>
              </w:rPr>
            </w:pPr>
            <w:r w:rsidRPr="008142B5">
              <w:rPr>
                <w:rFonts w:ascii="Arial" w:hAnsi="Arial" w:cs="Arial"/>
                <w:b/>
                <w:color w:val="auto"/>
              </w:rPr>
              <w:t>12.3</w:t>
            </w:r>
          </w:p>
        </w:tc>
        <w:tc>
          <w:tcPr>
            <w:tcW w:w="1418" w:type="dxa"/>
          </w:tcPr>
          <w:p w:rsidR="003026E3" w:rsidRPr="008142B5" w:rsidRDefault="006514E2" w:rsidP="00F82E5E">
            <w:pPr>
              <w:pStyle w:val="TableRight"/>
              <w:ind w:right="142"/>
              <w:jc w:val="center"/>
              <w:cnfStyle w:val="000000100000"/>
              <w:rPr>
                <w:rFonts w:ascii="Arial" w:hAnsi="Arial" w:cs="Arial"/>
                <w:b/>
                <w:color w:val="auto"/>
              </w:rPr>
            </w:pPr>
            <w:r w:rsidRPr="008142B5">
              <w:rPr>
                <w:rFonts w:ascii="Arial" w:hAnsi="Arial" w:cs="Arial"/>
                <w:b/>
                <w:color w:val="auto"/>
              </w:rPr>
              <w:t>20.1</w:t>
            </w:r>
          </w:p>
        </w:tc>
      </w:tr>
    </w:tbl>
    <w:p w:rsidR="00223D20" w:rsidRDefault="00223D20" w:rsidP="007D7C52">
      <w:pPr>
        <w:ind w:left="567"/>
        <w:rPr>
          <w:rFonts w:cs="Arial"/>
          <w:b/>
          <w:bCs/>
          <w:color w:val="auto"/>
          <w:sz w:val="20"/>
          <w:szCs w:val="20"/>
        </w:rPr>
      </w:pPr>
    </w:p>
    <w:p w:rsidR="006C5669" w:rsidRPr="00D91A39" w:rsidRDefault="006C5669" w:rsidP="007D7C52">
      <w:pPr>
        <w:ind w:left="567"/>
        <w:rPr>
          <w:rFonts w:cs="Arial"/>
          <w:b/>
          <w:bCs/>
          <w:color w:val="auto"/>
          <w:sz w:val="20"/>
          <w:szCs w:val="20"/>
        </w:rPr>
      </w:pPr>
      <w:r w:rsidRPr="00D91A39">
        <w:rPr>
          <w:rFonts w:cs="Arial"/>
          <w:b/>
          <w:bCs/>
          <w:color w:val="auto"/>
          <w:sz w:val="20"/>
          <w:szCs w:val="20"/>
        </w:rPr>
        <w:t>Local Government Reorganisation 1998</w:t>
      </w:r>
    </w:p>
    <w:p w:rsidR="006C5669" w:rsidRPr="00D91A39" w:rsidRDefault="00757B62" w:rsidP="007D7C52">
      <w:pPr>
        <w:pStyle w:val="BodyTextIndent"/>
        <w:tabs>
          <w:tab w:val="left" w:pos="567"/>
        </w:tabs>
        <w:ind w:left="567"/>
        <w:rPr>
          <w:rFonts w:eastAsia="Arial" w:cs="Arial"/>
          <w:bCs/>
          <w:color w:val="auto"/>
          <w:sz w:val="20"/>
          <w:szCs w:val="20"/>
          <w:lang w:eastAsia="en-GB"/>
        </w:rPr>
      </w:pPr>
      <w:r w:rsidRPr="00D91A39">
        <w:rPr>
          <w:rFonts w:eastAsia="Arial" w:cs="Arial"/>
          <w:bCs/>
          <w:color w:val="auto"/>
          <w:sz w:val="20"/>
          <w:szCs w:val="20"/>
          <w:lang w:eastAsia="en-GB"/>
        </w:rPr>
        <w:t>Torbay Council became a unitary Council in 1998 taking over some of the services previously provided by Devon County Council. The Cou</w:t>
      </w:r>
      <w:r w:rsidR="006457DC" w:rsidRPr="00D91A39">
        <w:rPr>
          <w:rFonts w:eastAsia="Arial" w:cs="Arial"/>
          <w:bCs/>
          <w:color w:val="auto"/>
          <w:sz w:val="20"/>
          <w:szCs w:val="20"/>
          <w:lang w:eastAsia="en-GB"/>
        </w:rPr>
        <w:t>ncil</w:t>
      </w:r>
      <w:r w:rsidRPr="00D91A39">
        <w:rPr>
          <w:rFonts w:eastAsia="Arial" w:cs="Arial"/>
          <w:bCs/>
          <w:color w:val="auto"/>
          <w:sz w:val="20"/>
          <w:szCs w:val="20"/>
          <w:lang w:eastAsia="en-GB"/>
        </w:rPr>
        <w:t xml:space="preserve"> agreed to fund a tax base share </w:t>
      </w:r>
      <w:r w:rsidR="00BB1F10" w:rsidRPr="00D91A39">
        <w:rPr>
          <w:rFonts w:eastAsia="Arial" w:cs="Arial"/>
          <w:bCs/>
          <w:color w:val="auto"/>
          <w:sz w:val="20"/>
          <w:szCs w:val="20"/>
          <w:lang w:eastAsia="en-GB"/>
        </w:rPr>
        <w:t xml:space="preserve">(11.73%) </w:t>
      </w:r>
      <w:r w:rsidRPr="00D91A39">
        <w:rPr>
          <w:rFonts w:eastAsia="Arial" w:cs="Arial"/>
          <w:bCs/>
          <w:color w:val="auto"/>
          <w:sz w:val="20"/>
          <w:szCs w:val="20"/>
          <w:lang w:eastAsia="en-GB"/>
        </w:rPr>
        <w:t>of any future costs that Devon incurred in re</w:t>
      </w:r>
      <w:r w:rsidR="00DC6AEB" w:rsidRPr="00D91A39">
        <w:rPr>
          <w:rFonts w:eastAsia="Arial" w:cs="Arial"/>
          <w:bCs/>
          <w:color w:val="auto"/>
          <w:sz w:val="20"/>
          <w:szCs w:val="20"/>
          <w:lang w:eastAsia="en-GB"/>
        </w:rPr>
        <w:t>lation</w:t>
      </w:r>
      <w:r w:rsidRPr="00D91A39">
        <w:rPr>
          <w:rFonts w:eastAsia="Arial" w:cs="Arial"/>
          <w:bCs/>
          <w:color w:val="auto"/>
          <w:sz w:val="20"/>
          <w:szCs w:val="20"/>
          <w:lang w:eastAsia="en-GB"/>
        </w:rPr>
        <w:t xml:space="preserve"> to </w:t>
      </w:r>
      <w:r w:rsidR="007E33E1" w:rsidRPr="00D91A39">
        <w:rPr>
          <w:rFonts w:eastAsia="Arial" w:cs="Arial"/>
          <w:bCs/>
          <w:color w:val="auto"/>
          <w:sz w:val="20"/>
          <w:szCs w:val="20"/>
          <w:lang w:eastAsia="en-GB"/>
        </w:rPr>
        <w:t>discretionary</w:t>
      </w:r>
      <w:r w:rsidRPr="00D91A39">
        <w:rPr>
          <w:rFonts w:eastAsia="Arial" w:cs="Arial"/>
          <w:bCs/>
          <w:color w:val="auto"/>
          <w:sz w:val="20"/>
          <w:szCs w:val="20"/>
          <w:lang w:eastAsia="en-GB"/>
        </w:rPr>
        <w:t xml:space="preserve"> pension </w:t>
      </w:r>
      <w:r w:rsidR="007E33E1" w:rsidRPr="00D91A39">
        <w:rPr>
          <w:rFonts w:eastAsia="Arial" w:cs="Arial"/>
          <w:bCs/>
          <w:color w:val="auto"/>
          <w:sz w:val="20"/>
          <w:szCs w:val="20"/>
          <w:lang w:eastAsia="en-GB"/>
        </w:rPr>
        <w:t>enhancements</w:t>
      </w:r>
      <w:r w:rsidRPr="00D91A39">
        <w:rPr>
          <w:rFonts w:eastAsia="Arial" w:cs="Arial"/>
          <w:bCs/>
          <w:color w:val="auto"/>
          <w:sz w:val="20"/>
          <w:szCs w:val="20"/>
          <w:lang w:eastAsia="en-GB"/>
        </w:rPr>
        <w:t xml:space="preserve"> that Devon County Cou</w:t>
      </w:r>
      <w:r w:rsidR="00DC6AEB" w:rsidRPr="00D91A39">
        <w:rPr>
          <w:rFonts w:eastAsia="Arial" w:cs="Arial"/>
          <w:bCs/>
          <w:color w:val="auto"/>
          <w:sz w:val="20"/>
          <w:szCs w:val="20"/>
          <w:lang w:eastAsia="en-GB"/>
        </w:rPr>
        <w:t>ncil</w:t>
      </w:r>
      <w:r w:rsidRPr="00D91A39">
        <w:rPr>
          <w:rFonts w:eastAsia="Arial" w:cs="Arial"/>
          <w:bCs/>
          <w:color w:val="auto"/>
          <w:sz w:val="20"/>
          <w:szCs w:val="20"/>
          <w:lang w:eastAsia="en-GB"/>
        </w:rPr>
        <w:t xml:space="preserve"> had agreed to pay to its staff prior to 1998. </w:t>
      </w:r>
      <w:r w:rsidR="00DC6AEB" w:rsidRPr="00D91A39">
        <w:rPr>
          <w:rFonts w:eastAsia="Arial" w:cs="Arial"/>
          <w:bCs/>
          <w:color w:val="auto"/>
          <w:sz w:val="20"/>
          <w:szCs w:val="20"/>
          <w:lang w:eastAsia="en-GB"/>
        </w:rPr>
        <w:t>The payment to Devon County Council in 201</w:t>
      </w:r>
      <w:r w:rsidR="00607632" w:rsidRPr="00D91A39">
        <w:rPr>
          <w:rFonts w:eastAsia="Arial" w:cs="Arial"/>
          <w:bCs/>
          <w:color w:val="auto"/>
          <w:sz w:val="20"/>
          <w:szCs w:val="20"/>
          <w:lang w:eastAsia="en-GB"/>
        </w:rPr>
        <w:t>5</w:t>
      </w:r>
      <w:r w:rsidR="00DC6AEB" w:rsidRPr="00D91A39">
        <w:rPr>
          <w:rFonts w:eastAsia="Arial" w:cs="Arial"/>
          <w:bCs/>
          <w:color w:val="auto"/>
          <w:sz w:val="20"/>
          <w:szCs w:val="20"/>
          <w:lang w:eastAsia="en-GB"/>
        </w:rPr>
        <w:t>/1</w:t>
      </w:r>
      <w:r w:rsidR="00607632" w:rsidRPr="00D91A39">
        <w:rPr>
          <w:rFonts w:eastAsia="Arial" w:cs="Arial"/>
          <w:bCs/>
          <w:color w:val="auto"/>
          <w:sz w:val="20"/>
          <w:szCs w:val="20"/>
          <w:lang w:eastAsia="en-GB"/>
        </w:rPr>
        <w:t>6</w:t>
      </w:r>
      <w:r w:rsidR="00DC6AEB" w:rsidRPr="00D91A39">
        <w:rPr>
          <w:rFonts w:eastAsia="Arial" w:cs="Arial"/>
          <w:bCs/>
          <w:color w:val="auto"/>
          <w:sz w:val="20"/>
          <w:szCs w:val="20"/>
          <w:lang w:eastAsia="en-GB"/>
        </w:rPr>
        <w:t xml:space="preserve"> was £0.8m (£0.8m 201</w:t>
      </w:r>
      <w:r w:rsidR="00607632" w:rsidRPr="00D91A39">
        <w:rPr>
          <w:rFonts w:eastAsia="Arial" w:cs="Arial"/>
          <w:bCs/>
          <w:color w:val="auto"/>
          <w:sz w:val="20"/>
          <w:szCs w:val="20"/>
          <w:lang w:eastAsia="en-GB"/>
        </w:rPr>
        <w:t>4</w:t>
      </w:r>
      <w:r w:rsidR="00DC6AEB" w:rsidRPr="00D91A39">
        <w:rPr>
          <w:rFonts w:eastAsia="Arial" w:cs="Arial"/>
          <w:bCs/>
          <w:color w:val="auto"/>
          <w:sz w:val="20"/>
          <w:szCs w:val="20"/>
          <w:lang w:eastAsia="en-GB"/>
        </w:rPr>
        <w:t>/1</w:t>
      </w:r>
      <w:r w:rsidR="00607632" w:rsidRPr="00D91A39">
        <w:rPr>
          <w:rFonts w:eastAsia="Arial" w:cs="Arial"/>
          <w:bCs/>
          <w:color w:val="auto"/>
          <w:sz w:val="20"/>
          <w:szCs w:val="20"/>
          <w:lang w:eastAsia="en-GB"/>
        </w:rPr>
        <w:t>5</w:t>
      </w:r>
      <w:r w:rsidR="00DC6AEB" w:rsidRPr="00D91A39">
        <w:rPr>
          <w:rFonts w:eastAsia="Arial" w:cs="Arial"/>
          <w:bCs/>
          <w:color w:val="auto"/>
          <w:sz w:val="20"/>
          <w:szCs w:val="20"/>
          <w:lang w:eastAsia="en-GB"/>
        </w:rPr>
        <w:t xml:space="preserve">). </w:t>
      </w:r>
      <w:r w:rsidR="00BB1F10" w:rsidRPr="00D91A39">
        <w:rPr>
          <w:rFonts w:eastAsia="Arial" w:cs="Arial"/>
          <w:bCs/>
          <w:color w:val="auto"/>
          <w:sz w:val="20"/>
          <w:szCs w:val="20"/>
          <w:lang w:eastAsia="en-GB"/>
        </w:rPr>
        <w:t>The estimate</w:t>
      </w:r>
      <w:r w:rsidR="001F3271" w:rsidRPr="00D91A39">
        <w:rPr>
          <w:rFonts w:eastAsia="Arial" w:cs="Arial"/>
          <w:bCs/>
          <w:color w:val="auto"/>
          <w:sz w:val="20"/>
          <w:szCs w:val="20"/>
          <w:lang w:eastAsia="en-GB"/>
        </w:rPr>
        <w:t xml:space="preserve"> </w:t>
      </w:r>
      <w:r w:rsidR="00D96952" w:rsidRPr="00D91A39">
        <w:rPr>
          <w:rFonts w:eastAsia="Arial" w:cs="Arial"/>
          <w:bCs/>
          <w:color w:val="auto"/>
          <w:sz w:val="20"/>
          <w:szCs w:val="20"/>
          <w:lang w:eastAsia="en-GB"/>
        </w:rPr>
        <w:t>of the remaining liability of £</w:t>
      </w:r>
      <w:r w:rsidR="00D91A39" w:rsidRPr="00D91A39">
        <w:rPr>
          <w:rFonts w:eastAsia="Arial" w:cs="Arial"/>
          <w:bCs/>
          <w:color w:val="auto"/>
          <w:sz w:val="20"/>
          <w:szCs w:val="20"/>
          <w:lang w:eastAsia="en-GB"/>
        </w:rPr>
        <w:t>9.1</w:t>
      </w:r>
      <w:r w:rsidR="00D96952" w:rsidRPr="00D91A39">
        <w:rPr>
          <w:rFonts w:eastAsia="Arial" w:cs="Arial"/>
          <w:bCs/>
          <w:color w:val="auto"/>
          <w:sz w:val="20"/>
          <w:szCs w:val="20"/>
          <w:lang w:eastAsia="en-GB"/>
        </w:rPr>
        <w:t xml:space="preserve">m </w:t>
      </w:r>
      <w:r w:rsidR="00D91A39" w:rsidRPr="00D91A39">
        <w:rPr>
          <w:rFonts w:eastAsia="Arial" w:cs="Arial"/>
          <w:bCs/>
          <w:color w:val="auto"/>
          <w:sz w:val="20"/>
          <w:szCs w:val="20"/>
          <w:lang w:eastAsia="en-GB"/>
        </w:rPr>
        <w:t xml:space="preserve">(£10.0m 14/15) </w:t>
      </w:r>
      <w:r w:rsidR="001F3271" w:rsidRPr="00D91A39">
        <w:rPr>
          <w:rFonts w:eastAsia="Arial" w:cs="Arial"/>
          <w:bCs/>
          <w:color w:val="auto"/>
          <w:sz w:val="20"/>
          <w:szCs w:val="20"/>
          <w:lang w:eastAsia="en-GB"/>
        </w:rPr>
        <w:t>is based on Devon County’s IAS19 disclosures.</w:t>
      </w:r>
      <w:r w:rsidR="00BB1F10" w:rsidRPr="00D91A39">
        <w:rPr>
          <w:rFonts w:eastAsia="Arial" w:cs="Arial"/>
          <w:bCs/>
          <w:color w:val="auto"/>
          <w:sz w:val="20"/>
          <w:szCs w:val="20"/>
          <w:lang w:eastAsia="en-GB"/>
        </w:rPr>
        <w:t xml:space="preserve"> </w:t>
      </w:r>
    </w:p>
    <w:p w:rsidR="004C1441" w:rsidRPr="00D42E0B" w:rsidRDefault="006C5669" w:rsidP="007C0F82">
      <w:pPr>
        <w:pStyle w:val="BodyTextIndent"/>
        <w:tabs>
          <w:tab w:val="left" w:pos="709"/>
        </w:tabs>
        <w:ind w:left="810" w:hanging="810"/>
        <w:rPr>
          <w:b/>
          <w:color w:val="548DD4" w:themeColor="text2" w:themeTint="99"/>
          <w:sz w:val="20"/>
          <w:szCs w:val="20"/>
        </w:rPr>
      </w:pPr>
      <w:r w:rsidRPr="00D91A39">
        <w:rPr>
          <w:b/>
          <w:color w:val="auto"/>
          <w:sz w:val="20"/>
          <w:szCs w:val="20"/>
        </w:rPr>
        <w:tab/>
      </w:r>
    </w:p>
    <w:tbl>
      <w:tblPr>
        <w:tblStyle w:val="ListTable3-Accent51"/>
        <w:tblW w:w="8363" w:type="dxa"/>
        <w:tblInd w:w="685" w:type="dxa"/>
        <w:tblLayout w:type="fixed"/>
        <w:tblLook w:val="0000"/>
      </w:tblPr>
      <w:tblGrid>
        <w:gridCol w:w="1701"/>
        <w:gridCol w:w="4678"/>
        <w:gridCol w:w="1984"/>
      </w:tblGrid>
      <w:tr w:rsidR="00DB73C5" w:rsidRPr="00C16B45" w:rsidTr="00627D60">
        <w:trPr>
          <w:cnfStyle w:val="000000100000"/>
          <w:trHeight w:val="60"/>
        </w:trPr>
        <w:tc>
          <w:tcPr>
            <w:cnfStyle w:val="000010000000"/>
            <w:tcW w:w="1701" w:type="dxa"/>
            <w:shd w:val="clear" w:color="auto" w:fill="4BACC6" w:themeFill="accent5"/>
          </w:tcPr>
          <w:p w:rsidR="00DB73C5" w:rsidRPr="00C16B45" w:rsidRDefault="00DB73C5" w:rsidP="00BA3982">
            <w:pPr>
              <w:pStyle w:val="TableRightBold"/>
              <w:ind w:right="142"/>
              <w:jc w:val="center"/>
              <w:rPr>
                <w:rStyle w:val="Bold"/>
                <w:rFonts w:ascii="Arial" w:hAnsi="Arial" w:cs="Arial"/>
                <w:bCs w:val="0"/>
                <w:color w:val="auto"/>
              </w:rPr>
            </w:pPr>
            <w:r w:rsidRPr="00C16B45">
              <w:rPr>
                <w:rStyle w:val="Bold"/>
                <w:rFonts w:ascii="Arial" w:hAnsi="Arial" w:cs="Arial"/>
                <w:bCs w:val="0"/>
                <w:color w:val="auto"/>
              </w:rPr>
              <w:t>201</w:t>
            </w:r>
            <w:r w:rsidR="00607632" w:rsidRPr="00C16B45">
              <w:rPr>
                <w:rStyle w:val="Bold"/>
                <w:rFonts w:ascii="Arial" w:hAnsi="Arial" w:cs="Arial"/>
                <w:bCs w:val="0"/>
                <w:color w:val="auto"/>
              </w:rPr>
              <w:t>4</w:t>
            </w:r>
            <w:r w:rsidR="00906DE2" w:rsidRPr="00C16B45">
              <w:rPr>
                <w:rStyle w:val="Bold"/>
                <w:rFonts w:ascii="Arial" w:hAnsi="Arial" w:cs="Arial"/>
                <w:bCs w:val="0"/>
                <w:color w:val="auto"/>
              </w:rPr>
              <w:t>/1</w:t>
            </w:r>
            <w:r w:rsidR="00607632" w:rsidRPr="00C16B45">
              <w:rPr>
                <w:rStyle w:val="Bold"/>
                <w:rFonts w:ascii="Arial" w:hAnsi="Arial" w:cs="Arial"/>
                <w:bCs w:val="0"/>
                <w:color w:val="auto"/>
              </w:rPr>
              <w:t>5</w:t>
            </w:r>
          </w:p>
          <w:p w:rsidR="00DB73C5" w:rsidRPr="00C16B45" w:rsidRDefault="00DB73C5" w:rsidP="00BA3982">
            <w:pPr>
              <w:pStyle w:val="TableRightBold"/>
              <w:ind w:right="142"/>
              <w:jc w:val="center"/>
              <w:rPr>
                <w:rFonts w:ascii="Arial" w:hAnsi="Arial" w:cs="Arial"/>
                <w:color w:val="auto"/>
              </w:rPr>
            </w:pPr>
            <w:r w:rsidRPr="00C16B45">
              <w:rPr>
                <w:rStyle w:val="Bold"/>
                <w:rFonts w:ascii="Arial" w:hAnsi="Arial" w:cs="Arial"/>
                <w:bCs w:val="0"/>
                <w:color w:val="auto"/>
              </w:rPr>
              <w:t>£m</w:t>
            </w:r>
          </w:p>
        </w:tc>
        <w:tc>
          <w:tcPr>
            <w:tcW w:w="4678" w:type="dxa"/>
            <w:shd w:val="clear" w:color="auto" w:fill="4BACC6" w:themeFill="accent5"/>
          </w:tcPr>
          <w:p w:rsidR="00DB73C5" w:rsidRPr="00C16B45" w:rsidRDefault="00DB73C5" w:rsidP="00BA3982">
            <w:pPr>
              <w:pStyle w:val="TableText"/>
              <w:jc w:val="center"/>
              <w:cnfStyle w:val="000000100000"/>
              <w:rPr>
                <w:rFonts w:ascii="Arial" w:hAnsi="Arial" w:cs="Arial"/>
                <w:color w:val="auto"/>
              </w:rPr>
            </w:pPr>
          </w:p>
        </w:tc>
        <w:tc>
          <w:tcPr>
            <w:cnfStyle w:val="000010000000"/>
            <w:tcW w:w="1984" w:type="dxa"/>
            <w:shd w:val="clear" w:color="auto" w:fill="4BACC6" w:themeFill="accent5"/>
          </w:tcPr>
          <w:p w:rsidR="00DB73C5" w:rsidRPr="00C16B45" w:rsidRDefault="00DB73C5" w:rsidP="00BA3982">
            <w:pPr>
              <w:pStyle w:val="TableRightBold"/>
              <w:ind w:right="142"/>
              <w:jc w:val="center"/>
              <w:rPr>
                <w:rStyle w:val="Bold"/>
                <w:rFonts w:ascii="Arial" w:hAnsi="Arial" w:cs="Arial"/>
                <w:b/>
                <w:bCs w:val="0"/>
                <w:color w:val="auto"/>
              </w:rPr>
            </w:pPr>
            <w:r w:rsidRPr="00C16B45">
              <w:rPr>
                <w:rStyle w:val="Bold"/>
                <w:rFonts w:ascii="Arial" w:hAnsi="Arial" w:cs="Arial"/>
                <w:b/>
                <w:bCs w:val="0"/>
                <w:color w:val="auto"/>
              </w:rPr>
              <w:t>201</w:t>
            </w:r>
            <w:r w:rsidR="00607632" w:rsidRPr="00C16B45">
              <w:rPr>
                <w:rStyle w:val="Bold"/>
                <w:rFonts w:ascii="Arial" w:hAnsi="Arial" w:cs="Arial"/>
                <w:b/>
                <w:bCs w:val="0"/>
                <w:color w:val="auto"/>
              </w:rPr>
              <w:t>5</w:t>
            </w:r>
            <w:r w:rsidRPr="00C16B45">
              <w:rPr>
                <w:rStyle w:val="Bold"/>
                <w:rFonts w:ascii="Arial" w:hAnsi="Arial" w:cs="Arial"/>
                <w:b/>
                <w:bCs w:val="0"/>
                <w:color w:val="auto"/>
              </w:rPr>
              <w:t>/1</w:t>
            </w:r>
            <w:r w:rsidR="00607632" w:rsidRPr="00C16B45">
              <w:rPr>
                <w:rStyle w:val="Bold"/>
                <w:rFonts w:ascii="Arial" w:hAnsi="Arial" w:cs="Arial"/>
                <w:b/>
                <w:bCs w:val="0"/>
                <w:color w:val="auto"/>
              </w:rPr>
              <w:t>6</w:t>
            </w:r>
          </w:p>
          <w:p w:rsidR="00DB73C5" w:rsidRPr="00C16B45" w:rsidRDefault="00DB73C5" w:rsidP="00BA3982">
            <w:pPr>
              <w:pStyle w:val="TableRightBold"/>
              <w:ind w:right="142"/>
              <w:jc w:val="center"/>
              <w:rPr>
                <w:rFonts w:ascii="Arial" w:hAnsi="Arial" w:cs="Arial"/>
                <w:color w:val="auto"/>
              </w:rPr>
            </w:pPr>
            <w:r w:rsidRPr="00C16B45">
              <w:rPr>
                <w:rStyle w:val="Bold"/>
                <w:rFonts w:ascii="Arial" w:hAnsi="Arial" w:cs="Arial"/>
                <w:b/>
                <w:bCs w:val="0"/>
                <w:color w:val="auto"/>
              </w:rPr>
              <w:t>£m</w:t>
            </w:r>
          </w:p>
        </w:tc>
      </w:tr>
      <w:tr w:rsidR="00607632" w:rsidRPr="00C16B45" w:rsidTr="00627D60">
        <w:trPr>
          <w:trHeight w:val="60"/>
        </w:trPr>
        <w:tc>
          <w:tcPr>
            <w:cnfStyle w:val="000010000000"/>
            <w:tcW w:w="1701" w:type="dxa"/>
          </w:tcPr>
          <w:p w:rsidR="00607632" w:rsidRPr="00C16B45" w:rsidRDefault="00607632" w:rsidP="009A73F1">
            <w:pPr>
              <w:pStyle w:val="TableRight"/>
              <w:ind w:right="142"/>
              <w:jc w:val="center"/>
              <w:rPr>
                <w:rFonts w:ascii="Arial" w:hAnsi="Arial" w:cs="Arial"/>
                <w:color w:val="auto"/>
              </w:rPr>
            </w:pPr>
            <w:r w:rsidRPr="00C16B45">
              <w:rPr>
                <w:rFonts w:ascii="Arial" w:hAnsi="Arial" w:cs="Arial"/>
                <w:color w:val="auto"/>
              </w:rPr>
              <w:t>9.7</w:t>
            </w:r>
          </w:p>
        </w:tc>
        <w:tc>
          <w:tcPr>
            <w:tcW w:w="4678" w:type="dxa"/>
          </w:tcPr>
          <w:p w:rsidR="00607632" w:rsidRPr="00C16B45" w:rsidRDefault="00607632" w:rsidP="00A90250">
            <w:pPr>
              <w:pStyle w:val="TableText"/>
              <w:cnfStyle w:val="000000000000"/>
              <w:rPr>
                <w:rFonts w:ascii="Arial" w:hAnsi="Arial" w:cs="Arial"/>
                <w:color w:val="auto"/>
              </w:rPr>
            </w:pPr>
            <w:r w:rsidRPr="00C16B45">
              <w:rPr>
                <w:rFonts w:ascii="Arial" w:hAnsi="Arial" w:cs="Arial"/>
                <w:color w:val="auto"/>
              </w:rPr>
              <w:t>Balance outstanding at start of year</w:t>
            </w:r>
          </w:p>
        </w:tc>
        <w:tc>
          <w:tcPr>
            <w:cnfStyle w:val="000010000000"/>
            <w:tcW w:w="1984" w:type="dxa"/>
          </w:tcPr>
          <w:p w:rsidR="00607632" w:rsidRPr="00C16B45" w:rsidRDefault="00681987" w:rsidP="00A90250">
            <w:pPr>
              <w:pStyle w:val="TableRight"/>
              <w:ind w:right="142"/>
              <w:jc w:val="center"/>
              <w:rPr>
                <w:rFonts w:ascii="Arial" w:hAnsi="Arial" w:cs="Arial"/>
                <w:color w:val="auto"/>
              </w:rPr>
            </w:pPr>
            <w:r>
              <w:rPr>
                <w:rFonts w:ascii="Arial" w:hAnsi="Arial" w:cs="Arial"/>
                <w:color w:val="auto"/>
              </w:rPr>
              <w:t>10.0</w:t>
            </w:r>
          </w:p>
        </w:tc>
      </w:tr>
      <w:tr w:rsidR="00607632" w:rsidRPr="00C16B45" w:rsidTr="00627D60">
        <w:trPr>
          <w:cnfStyle w:val="000000100000"/>
          <w:trHeight w:val="60"/>
        </w:trPr>
        <w:tc>
          <w:tcPr>
            <w:cnfStyle w:val="000010000000"/>
            <w:tcW w:w="1701" w:type="dxa"/>
          </w:tcPr>
          <w:p w:rsidR="00607632" w:rsidRPr="00C16B45" w:rsidRDefault="00607632" w:rsidP="009A73F1">
            <w:pPr>
              <w:pStyle w:val="TableRight"/>
              <w:ind w:right="142"/>
              <w:jc w:val="center"/>
              <w:rPr>
                <w:rFonts w:ascii="Arial" w:hAnsi="Arial" w:cs="Arial"/>
                <w:color w:val="auto"/>
              </w:rPr>
            </w:pPr>
            <w:r w:rsidRPr="00C16B45">
              <w:rPr>
                <w:rFonts w:ascii="Arial" w:hAnsi="Arial" w:cs="Arial"/>
                <w:color w:val="auto"/>
              </w:rPr>
              <w:t>1.1</w:t>
            </w:r>
          </w:p>
        </w:tc>
        <w:tc>
          <w:tcPr>
            <w:tcW w:w="4678" w:type="dxa"/>
          </w:tcPr>
          <w:p w:rsidR="00607632" w:rsidRPr="00C16B45" w:rsidRDefault="00607632" w:rsidP="00A90250">
            <w:pPr>
              <w:pStyle w:val="TableText"/>
              <w:cnfStyle w:val="000000100000"/>
              <w:rPr>
                <w:rFonts w:ascii="Arial" w:hAnsi="Arial" w:cs="Arial"/>
                <w:color w:val="auto"/>
              </w:rPr>
            </w:pPr>
            <w:r w:rsidRPr="00C16B45">
              <w:rPr>
                <w:rFonts w:ascii="Arial" w:hAnsi="Arial" w:cs="Arial"/>
                <w:color w:val="auto"/>
              </w:rPr>
              <w:t>IAS19 Actuarial remeasurements</w:t>
            </w:r>
          </w:p>
        </w:tc>
        <w:tc>
          <w:tcPr>
            <w:cnfStyle w:val="000010000000"/>
            <w:tcW w:w="1984" w:type="dxa"/>
          </w:tcPr>
          <w:p w:rsidR="00607632" w:rsidRPr="00C16B45" w:rsidRDefault="00681987" w:rsidP="003175C9">
            <w:pPr>
              <w:pStyle w:val="TableRight"/>
              <w:ind w:right="142"/>
              <w:jc w:val="center"/>
              <w:rPr>
                <w:rFonts w:ascii="Arial" w:hAnsi="Arial" w:cs="Arial"/>
                <w:color w:val="auto"/>
              </w:rPr>
            </w:pPr>
            <w:r>
              <w:rPr>
                <w:rFonts w:ascii="Arial" w:hAnsi="Arial" w:cs="Arial"/>
                <w:color w:val="auto"/>
              </w:rPr>
              <w:t>(0.1)</w:t>
            </w:r>
          </w:p>
        </w:tc>
      </w:tr>
      <w:tr w:rsidR="00607632" w:rsidRPr="00C16B45" w:rsidTr="00627D60">
        <w:trPr>
          <w:trHeight w:val="60"/>
        </w:trPr>
        <w:tc>
          <w:tcPr>
            <w:cnfStyle w:val="000010000000"/>
            <w:tcW w:w="1701" w:type="dxa"/>
          </w:tcPr>
          <w:p w:rsidR="00607632" w:rsidRPr="00C16B45" w:rsidRDefault="00607632" w:rsidP="009A73F1">
            <w:pPr>
              <w:pStyle w:val="TableRight"/>
              <w:ind w:right="142"/>
              <w:jc w:val="center"/>
              <w:rPr>
                <w:rFonts w:ascii="Arial" w:hAnsi="Arial" w:cs="Arial"/>
                <w:color w:val="auto"/>
              </w:rPr>
            </w:pPr>
            <w:r w:rsidRPr="00C16B45">
              <w:rPr>
                <w:rFonts w:ascii="Arial" w:hAnsi="Arial" w:cs="Arial"/>
                <w:color w:val="auto"/>
              </w:rPr>
              <w:t>(0.8)</w:t>
            </w:r>
          </w:p>
        </w:tc>
        <w:tc>
          <w:tcPr>
            <w:tcW w:w="4678" w:type="dxa"/>
          </w:tcPr>
          <w:p w:rsidR="00607632" w:rsidRPr="00C16B45" w:rsidRDefault="00607632" w:rsidP="00BA3982">
            <w:pPr>
              <w:pStyle w:val="TableText"/>
              <w:cnfStyle w:val="000000000000"/>
              <w:rPr>
                <w:rFonts w:ascii="Arial" w:hAnsi="Arial" w:cs="Arial"/>
                <w:color w:val="auto"/>
              </w:rPr>
            </w:pPr>
            <w:r w:rsidRPr="00C16B45">
              <w:rPr>
                <w:rFonts w:ascii="Arial" w:hAnsi="Arial" w:cs="Arial"/>
                <w:color w:val="auto"/>
              </w:rPr>
              <w:t>Payments during the year to Devon County</w:t>
            </w:r>
          </w:p>
        </w:tc>
        <w:tc>
          <w:tcPr>
            <w:cnfStyle w:val="000010000000"/>
            <w:tcW w:w="1984" w:type="dxa"/>
          </w:tcPr>
          <w:p w:rsidR="00607632" w:rsidRPr="00C16B45" w:rsidRDefault="00681987" w:rsidP="00BA3982">
            <w:pPr>
              <w:pStyle w:val="TableRight"/>
              <w:ind w:right="142"/>
              <w:jc w:val="center"/>
              <w:rPr>
                <w:rFonts w:ascii="Arial" w:hAnsi="Arial" w:cs="Arial"/>
                <w:color w:val="auto"/>
              </w:rPr>
            </w:pPr>
            <w:r>
              <w:rPr>
                <w:rFonts w:ascii="Arial" w:hAnsi="Arial" w:cs="Arial"/>
                <w:color w:val="auto"/>
              </w:rPr>
              <w:t>(0.8)</w:t>
            </w:r>
          </w:p>
        </w:tc>
      </w:tr>
      <w:tr w:rsidR="00607632" w:rsidRPr="00C16B45" w:rsidTr="00627D60">
        <w:trPr>
          <w:cnfStyle w:val="000000100000"/>
          <w:trHeight w:val="60"/>
        </w:trPr>
        <w:tc>
          <w:tcPr>
            <w:cnfStyle w:val="000010000000"/>
            <w:tcW w:w="1701" w:type="dxa"/>
          </w:tcPr>
          <w:p w:rsidR="00607632" w:rsidRPr="00C16B45" w:rsidRDefault="00607632" w:rsidP="009A73F1">
            <w:pPr>
              <w:pStyle w:val="TableRight"/>
              <w:ind w:right="142"/>
              <w:jc w:val="center"/>
              <w:rPr>
                <w:rFonts w:ascii="Arial" w:hAnsi="Arial" w:cs="Arial"/>
                <w:b/>
                <w:color w:val="auto"/>
              </w:rPr>
            </w:pPr>
            <w:r w:rsidRPr="00C16B45">
              <w:rPr>
                <w:rFonts w:ascii="Arial" w:hAnsi="Arial" w:cs="Arial"/>
                <w:b/>
                <w:color w:val="auto"/>
              </w:rPr>
              <w:t>10.0</w:t>
            </w:r>
          </w:p>
        </w:tc>
        <w:tc>
          <w:tcPr>
            <w:tcW w:w="4678" w:type="dxa"/>
          </w:tcPr>
          <w:p w:rsidR="00607632" w:rsidRPr="00C16B45" w:rsidRDefault="00607632" w:rsidP="00313D31">
            <w:pPr>
              <w:pStyle w:val="TableText"/>
              <w:cnfStyle w:val="000000100000"/>
              <w:rPr>
                <w:rFonts w:ascii="Arial" w:hAnsi="Arial" w:cs="Arial"/>
                <w:b/>
                <w:color w:val="auto"/>
              </w:rPr>
            </w:pPr>
            <w:r w:rsidRPr="00C16B45">
              <w:rPr>
                <w:rFonts w:ascii="Arial" w:hAnsi="Arial" w:cs="Arial"/>
                <w:b/>
                <w:color w:val="auto"/>
              </w:rPr>
              <w:t>Balance outstanding at year-end</w:t>
            </w:r>
          </w:p>
        </w:tc>
        <w:tc>
          <w:tcPr>
            <w:cnfStyle w:val="000010000000"/>
            <w:tcW w:w="1984" w:type="dxa"/>
          </w:tcPr>
          <w:p w:rsidR="00607632" w:rsidRPr="00C16B45" w:rsidRDefault="00681987" w:rsidP="00A90250">
            <w:pPr>
              <w:pStyle w:val="TableRight"/>
              <w:ind w:right="142"/>
              <w:jc w:val="center"/>
              <w:rPr>
                <w:rFonts w:ascii="Arial" w:hAnsi="Arial" w:cs="Arial"/>
                <w:b/>
                <w:color w:val="auto"/>
              </w:rPr>
            </w:pPr>
            <w:r>
              <w:rPr>
                <w:rFonts w:ascii="Arial" w:hAnsi="Arial" w:cs="Arial"/>
                <w:b/>
                <w:color w:val="auto"/>
              </w:rPr>
              <w:t>9.1</w:t>
            </w:r>
          </w:p>
        </w:tc>
      </w:tr>
    </w:tbl>
    <w:p w:rsidR="00DB73C5" w:rsidRPr="00D42E0B" w:rsidRDefault="00DB73C5" w:rsidP="007C0F82">
      <w:pPr>
        <w:pStyle w:val="BodyTextIndent"/>
        <w:tabs>
          <w:tab w:val="left" w:pos="709"/>
        </w:tabs>
        <w:ind w:left="810" w:hanging="810"/>
        <w:rPr>
          <w:b/>
          <w:color w:val="548DD4" w:themeColor="text2" w:themeTint="99"/>
          <w:sz w:val="20"/>
          <w:szCs w:val="20"/>
        </w:rPr>
      </w:pPr>
    </w:p>
    <w:p w:rsidR="003C7AC7" w:rsidRPr="00C16B45" w:rsidRDefault="008810B5" w:rsidP="003C7AC7">
      <w:pPr>
        <w:pStyle w:val="Subtitle"/>
        <w:ind w:left="567" w:hanging="567"/>
        <w:rPr>
          <w:b/>
          <w:color w:val="auto"/>
          <w:sz w:val="22"/>
          <w:szCs w:val="22"/>
        </w:rPr>
      </w:pPr>
      <w:r w:rsidRPr="00C16B45">
        <w:rPr>
          <w:b/>
          <w:color w:val="auto"/>
          <w:sz w:val="22"/>
          <w:szCs w:val="22"/>
        </w:rPr>
        <w:t>22.</w:t>
      </w:r>
      <w:r w:rsidRPr="00C16B45">
        <w:rPr>
          <w:b/>
          <w:color w:val="auto"/>
          <w:sz w:val="22"/>
          <w:szCs w:val="22"/>
        </w:rPr>
        <w:tab/>
        <w:t>Useable Reserves</w:t>
      </w:r>
    </w:p>
    <w:p w:rsidR="00E51139" w:rsidRDefault="00E51139" w:rsidP="003C7AC7">
      <w:pPr>
        <w:pStyle w:val="Subtitle"/>
        <w:ind w:left="567"/>
        <w:rPr>
          <w:rFonts w:eastAsia="Arial"/>
          <w:iCs w:val="0"/>
          <w:color w:val="auto"/>
          <w:sz w:val="20"/>
          <w:szCs w:val="20"/>
        </w:rPr>
      </w:pPr>
      <w:r w:rsidRPr="00C16B45">
        <w:rPr>
          <w:rFonts w:eastAsia="Arial"/>
          <w:iCs w:val="0"/>
          <w:color w:val="auto"/>
          <w:sz w:val="20"/>
          <w:szCs w:val="20"/>
        </w:rPr>
        <w:t>Movements in the Council’s usable reserves are detailed in the</w:t>
      </w:r>
      <w:r w:rsidR="00D4089F" w:rsidRPr="00C16B45">
        <w:rPr>
          <w:rFonts w:eastAsia="Arial"/>
          <w:iCs w:val="0"/>
          <w:color w:val="auto"/>
          <w:sz w:val="20"/>
          <w:szCs w:val="20"/>
        </w:rPr>
        <w:t xml:space="preserve"> Movement in Reserves Statement </w:t>
      </w:r>
      <w:r w:rsidRPr="00C16B45">
        <w:rPr>
          <w:rFonts w:eastAsia="Arial"/>
          <w:iCs w:val="0"/>
          <w:color w:val="auto"/>
          <w:sz w:val="20"/>
          <w:szCs w:val="20"/>
        </w:rPr>
        <w:t xml:space="preserve">and </w:t>
      </w:r>
      <w:r w:rsidR="00BB153B" w:rsidRPr="00C16B45">
        <w:rPr>
          <w:rFonts w:eastAsia="Arial"/>
          <w:iCs w:val="0"/>
          <w:color w:val="auto"/>
          <w:sz w:val="20"/>
          <w:szCs w:val="20"/>
        </w:rPr>
        <w:t xml:space="preserve">each reserve is shown </w:t>
      </w:r>
      <w:r w:rsidRPr="00C16B45">
        <w:rPr>
          <w:rFonts w:eastAsia="Arial"/>
          <w:iCs w:val="0"/>
          <w:color w:val="auto"/>
          <w:sz w:val="20"/>
          <w:szCs w:val="20"/>
        </w:rPr>
        <w:t>in the table below:</w:t>
      </w:r>
    </w:p>
    <w:p w:rsidR="00AB5B67" w:rsidRDefault="00AB5B67" w:rsidP="00AB5B67">
      <w:pPr>
        <w:pStyle w:val="BodyText"/>
      </w:pPr>
    </w:p>
    <w:p w:rsidR="00AB5B67" w:rsidRDefault="00AB5B67" w:rsidP="00AB5B67">
      <w:pPr>
        <w:pStyle w:val="BodyText"/>
      </w:pPr>
    </w:p>
    <w:p w:rsidR="00AB5B67" w:rsidRDefault="00AB5B67" w:rsidP="00AB5B67">
      <w:pPr>
        <w:pStyle w:val="BodyText"/>
      </w:pPr>
    </w:p>
    <w:p w:rsidR="00AB5B67" w:rsidRDefault="00AB5B67" w:rsidP="00AB5B67">
      <w:pPr>
        <w:pStyle w:val="BodyText"/>
      </w:pPr>
    </w:p>
    <w:p w:rsidR="00AB5B67" w:rsidRDefault="00AB5B67" w:rsidP="00AB5B67">
      <w:pPr>
        <w:pStyle w:val="BodyText"/>
      </w:pPr>
    </w:p>
    <w:p w:rsidR="00AB5B67" w:rsidRPr="00AB5B67" w:rsidRDefault="00AB5B67" w:rsidP="00AB5B67">
      <w:pPr>
        <w:pStyle w:val="BodyText"/>
      </w:pPr>
    </w:p>
    <w:p w:rsidR="00E51139" w:rsidRPr="00D42E0B" w:rsidRDefault="00E51139" w:rsidP="003C5E34">
      <w:pPr>
        <w:pStyle w:val="ExampleSub"/>
        <w:keepNext w:val="0"/>
        <w:keepLines w:val="0"/>
        <w:ind w:left="1134" w:hanging="567"/>
        <w:rPr>
          <w:rFonts w:ascii="Arial" w:hAnsi="Arial" w:cs="Arial"/>
          <w:b w:val="0"/>
          <w:bCs w:val="0"/>
          <w:color w:val="548DD4" w:themeColor="text2" w:themeTint="99"/>
          <w:sz w:val="20"/>
          <w:szCs w:val="20"/>
        </w:rPr>
      </w:pPr>
    </w:p>
    <w:tbl>
      <w:tblPr>
        <w:tblStyle w:val="ListTable3-Accent51"/>
        <w:tblW w:w="8647" w:type="dxa"/>
        <w:tblInd w:w="675" w:type="dxa"/>
        <w:tblLook w:val="00A0"/>
      </w:tblPr>
      <w:tblGrid>
        <w:gridCol w:w="1266"/>
        <w:gridCol w:w="3502"/>
        <w:gridCol w:w="1328"/>
        <w:gridCol w:w="1275"/>
        <w:gridCol w:w="1276"/>
      </w:tblGrid>
      <w:tr w:rsidR="003064E3" w:rsidRPr="00607632" w:rsidTr="00D4089F">
        <w:trPr>
          <w:cnfStyle w:val="100000000000"/>
        </w:trPr>
        <w:tc>
          <w:tcPr>
            <w:cnfStyle w:val="001000000100"/>
            <w:tcW w:w="1266" w:type="dxa"/>
          </w:tcPr>
          <w:p w:rsidR="003064E3" w:rsidRPr="00607632" w:rsidRDefault="003064E3" w:rsidP="00C2185B">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lastRenderedPageBreak/>
              <w:t>31</w:t>
            </w:r>
            <w:r w:rsidRPr="00607632">
              <w:rPr>
                <w:rFonts w:ascii="Arial" w:hAnsi="Arial" w:cs="Arial"/>
                <w:color w:val="auto"/>
                <w:sz w:val="20"/>
                <w:szCs w:val="20"/>
                <w:vertAlign w:val="superscript"/>
              </w:rPr>
              <w:t>st</w:t>
            </w:r>
            <w:r w:rsidRPr="00607632">
              <w:rPr>
                <w:rFonts w:ascii="Arial" w:hAnsi="Arial" w:cs="Arial"/>
                <w:color w:val="auto"/>
                <w:sz w:val="20"/>
                <w:szCs w:val="20"/>
              </w:rPr>
              <w:t xml:space="preserve"> March 201</w:t>
            </w:r>
            <w:r w:rsidR="00607632" w:rsidRPr="00607632">
              <w:rPr>
                <w:rFonts w:ascii="Arial" w:hAnsi="Arial" w:cs="Arial"/>
                <w:color w:val="auto"/>
                <w:sz w:val="20"/>
                <w:szCs w:val="20"/>
              </w:rPr>
              <w:t>5</w:t>
            </w:r>
          </w:p>
          <w:p w:rsidR="003064E3" w:rsidRPr="00607632" w:rsidRDefault="003064E3" w:rsidP="00C2185B">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£m</w:t>
            </w:r>
          </w:p>
        </w:tc>
        <w:tc>
          <w:tcPr>
            <w:cnfStyle w:val="000010000000"/>
            <w:tcW w:w="3502" w:type="dxa"/>
          </w:tcPr>
          <w:p w:rsidR="003064E3" w:rsidRPr="00607632" w:rsidRDefault="003064E3" w:rsidP="00C2185B">
            <w:pPr>
              <w:pStyle w:val="ExampleSub"/>
              <w:keepNext w:val="0"/>
              <w:keepLines w:val="0"/>
              <w:ind w:left="0"/>
              <w:rPr>
                <w:rFonts w:ascii="Arial" w:hAnsi="Arial" w:cs="Arial"/>
                <w:color w:val="auto"/>
                <w:sz w:val="20"/>
                <w:szCs w:val="20"/>
              </w:rPr>
            </w:pPr>
          </w:p>
        </w:tc>
        <w:tc>
          <w:tcPr>
            <w:tcW w:w="1328" w:type="dxa"/>
          </w:tcPr>
          <w:p w:rsidR="00D4089F" w:rsidRPr="00607632" w:rsidRDefault="00D4089F" w:rsidP="00D4089F">
            <w:pPr>
              <w:pStyle w:val="ExampleSub"/>
              <w:keepNext w:val="0"/>
              <w:keepLines w:val="0"/>
              <w:ind w:left="0"/>
              <w:jc w:val="center"/>
              <w:cnfStyle w:val="100000000000"/>
              <w:rPr>
                <w:rFonts w:ascii="Arial" w:hAnsi="Arial" w:cs="Arial"/>
                <w:color w:val="auto"/>
                <w:sz w:val="20"/>
                <w:szCs w:val="20"/>
              </w:rPr>
            </w:pPr>
            <w:r w:rsidRPr="00607632">
              <w:rPr>
                <w:rFonts w:ascii="Arial" w:hAnsi="Arial" w:cs="Arial"/>
                <w:color w:val="auto"/>
                <w:sz w:val="20"/>
                <w:szCs w:val="20"/>
              </w:rPr>
              <w:t>For in year</w:t>
            </w:r>
            <w:r w:rsidR="003064E3" w:rsidRPr="00607632">
              <w:rPr>
                <w:rFonts w:ascii="Arial" w:hAnsi="Arial" w:cs="Arial"/>
                <w:color w:val="auto"/>
                <w:sz w:val="20"/>
                <w:szCs w:val="20"/>
              </w:rPr>
              <w:t xml:space="preserve"> m</w:t>
            </w:r>
            <w:r w:rsidR="00C959F0" w:rsidRPr="00607632">
              <w:rPr>
                <w:rFonts w:ascii="Arial" w:hAnsi="Arial" w:cs="Arial"/>
                <w:color w:val="auto"/>
                <w:sz w:val="20"/>
                <w:szCs w:val="20"/>
              </w:rPr>
              <w:t>ovements</w:t>
            </w:r>
            <w:r w:rsidRPr="00607632">
              <w:rPr>
                <w:rFonts w:ascii="Arial" w:hAnsi="Arial" w:cs="Arial"/>
                <w:color w:val="auto"/>
                <w:sz w:val="20"/>
                <w:szCs w:val="20"/>
              </w:rPr>
              <w:t xml:space="preserve"> see Note:-</w:t>
            </w:r>
          </w:p>
        </w:tc>
        <w:tc>
          <w:tcPr>
            <w:cnfStyle w:val="000010000000"/>
            <w:tcW w:w="1275" w:type="dxa"/>
          </w:tcPr>
          <w:p w:rsidR="003064E3" w:rsidRPr="00607632" w:rsidRDefault="003064E3" w:rsidP="00607632">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201</w:t>
            </w:r>
            <w:r w:rsidR="00607632" w:rsidRPr="00607632">
              <w:rPr>
                <w:rFonts w:ascii="Arial" w:hAnsi="Arial" w:cs="Arial"/>
                <w:color w:val="auto"/>
                <w:sz w:val="20"/>
                <w:szCs w:val="20"/>
              </w:rPr>
              <w:t>5</w:t>
            </w:r>
            <w:r w:rsidRPr="00607632">
              <w:rPr>
                <w:rFonts w:ascii="Arial" w:hAnsi="Arial" w:cs="Arial"/>
                <w:color w:val="auto"/>
                <w:sz w:val="20"/>
                <w:szCs w:val="20"/>
              </w:rPr>
              <w:t>/1</w:t>
            </w:r>
            <w:r w:rsidR="00607632" w:rsidRPr="00607632">
              <w:rPr>
                <w:rFonts w:ascii="Arial" w:hAnsi="Arial" w:cs="Arial"/>
                <w:color w:val="auto"/>
                <w:sz w:val="20"/>
                <w:szCs w:val="20"/>
              </w:rPr>
              <w:t>6</w:t>
            </w:r>
            <w:r w:rsidRPr="00607632">
              <w:rPr>
                <w:rFonts w:ascii="Arial" w:hAnsi="Arial" w:cs="Arial"/>
                <w:color w:val="auto"/>
                <w:sz w:val="20"/>
                <w:szCs w:val="20"/>
              </w:rPr>
              <w:t xml:space="preserve"> movement</w:t>
            </w:r>
          </w:p>
        </w:tc>
        <w:tc>
          <w:tcPr>
            <w:tcW w:w="1276" w:type="dxa"/>
          </w:tcPr>
          <w:p w:rsidR="003064E3" w:rsidRPr="00607632" w:rsidRDefault="003064E3" w:rsidP="00C2185B">
            <w:pPr>
              <w:pStyle w:val="ExampleSub"/>
              <w:keepNext w:val="0"/>
              <w:keepLines w:val="0"/>
              <w:ind w:left="0"/>
              <w:jc w:val="center"/>
              <w:cnfStyle w:val="100000000000"/>
              <w:rPr>
                <w:rFonts w:ascii="Arial" w:hAnsi="Arial" w:cs="Arial"/>
                <w:color w:val="auto"/>
                <w:sz w:val="20"/>
                <w:szCs w:val="20"/>
              </w:rPr>
            </w:pPr>
            <w:r w:rsidRPr="00607632">
              <w:rPr>
                <w:rFonts w:ascii="Arial" w:hAnsi="Arial" w:cs="Arial"/>
                <w:color w:val="auto"/>
                <w:sz w:val="20"/>
                <w:szCs w:val="20"/>
              </w:rPr>
              <w:t>31</w:t>
            </w:r>
            <w:r w:rsidRPr="00607632">
              <w:rPr>
                <w:rFonts w:ascii="Arial" w:hAnsi="Arial" w:cs="Arial"/>
                <w:color w:val="auto"/>
                <w:sz w:val="20"/>
                <w:szCs w:val="20"/>
                <w:vertAlign w:val="superscript"/>
              </w:rPr>
              <w:t>st</w:t>
            </w:r>
            <w:r w:rsidR="00607632" w:rsidRPr="00607632">
              <w:rPr>
                <w:rFonts w:ascii="Arial" w:hAnsi="Arial" w:cs="Arial"/>
                <w:color w:val="auto"/>
                <w:sz w:val="20"/>
                <w:szCs w:val="20"/>
              </w:rPr>
              <w:t xml:space="preserve"> March 2016</w:t>
            </w:r>
          </w:p>
          <w:p w:rsidR="003064E3" w:rsidRPr="00607632" w:rsidRDefault="003064E3" w:rsidP="00C2185B">
            <w:pPr>
              <w:pStyle w:val="ExampleSub"/>
              <w:keepNext w:val="0"/>
              <w:keepLines w:val="0"/>
              <w:ind w:left="0"/>
              <w:jc w:val="center"/>
              <w:cnfStyle w:val="100000000000"/>
              <w:rPr>
                <w:rFonts w:ascii="Arial" w:hAnsi="Arial" w:cs="Arial"/>
                <w:color w:val="auto"/>
                <w:sz w:val="20"/>
                <w:szCs w:val="20"/>
              </w:rPr>
            </w:pPr>
            <w:r w:rsidRPr="00607632">
              <w:rPr>
                <w:rFonts w:ascii="Arial" w:hAnsi="Arial" w:cs="Arial"/>
                <w:color w:val="auto"/>
                <w:sz w:val="20"/>
                <w:szCs w:val="20"/>
              </w:rPr>
              <w:t>£m</w:t>
            </w:r>
          </w:p>
        </w:tc>
      </w:tr>
      <w:tr w:rsidR="00607632" w:rsidRPr="00607632" w:rsidTr="00D4089F">
        <w:trPr>
          <w:cnfStyle w:val="000000100000"/>
        </w:trPr>
        <w:tc>
          <w:tcPr>
            <w:cnfStyle w:val="001000000000"/>
            <w:tcW w:w="126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4.4</w:t>
            </w:r>
          </w:p>
        </w:tc>
        <w:tc>
          <w:tcPr>
            <w:cnfStyle w:val="000010000000"/>
            <w:tcW w:w="3502" w:type="dxa"/>
          </w:tcPr>
          <w:p w:rsidR="00607632" w:rsidRPr="00607632" w:rsidRDefault="00607632" w:rsidP="00C2185B">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General Fund Reserve</w:t>
            </w:r>
          </w:p>
        </w:tc>
        <w:tc>
          <w:tcPr>
            <w:tcW w:w="1328" w:type="dxa"/>
          </w:tcPr>
          <w:p w:rsidR="00607632" w:rsidRPr="00607632" w:rsidRDefault="00607632" w:rsidP="0020346F">
            <w:pPr>
              <w:pStyle w:val="ExampleSub"/>
              <w:keepNext w:val="0"/>
              <w:keepLines w:val="0"/>
              <w:ind w:left="0"/>
              <w:jc w:val="center"/>
              <w:cnfStyle w:val="000000100000"/>
              <w:rPr>
                <w:rFonts w:ascii="Arial" w:hAnsi="Arial" w:cs="Arial"/>
                <w:b w:val="0"/>
                <w:bCs w:val="0"/>
                <w:color w:val="auto"/>
                <w:sz w:val="20"/>
                <w:szCs w:val="20"/>
              </w:rPr>
            </w:pPr>
            <w:r w:rsidRPr="00607632">
              <w:rPr>
                <w:rFonts w:ascii="Arial" w:hAnsi="Arial" w:cs="Arial"/>
                <w:b w:val="0"/>
                <w:bCs w:val="0"/>
                <w:color w:val="auto"/>
                <w:sz w:val="20"/>
                <w:szCs w:val="20"/>
              </w:rPr>
              <w:t>7</w:t>
            </w:r>
          </w:p>
        </w:tc>
        <w:tc>
          <w:tcPr>
            <w:cnfStyle w:val="000010000000"/>
            <w:tcW w:w="1275" w:type="dxa"/>
          </w:tcPr>
          <w:p w:rsidR="00607632" w:rsidRPr="00607632" w:rsidRDefault="003B79FC" w:rsidP="0020346F">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0</w:t>
            </w:r>
          </w:p>
        </w:tc>
        <w:tc>
          <w:tcPr>
            <w:tcW w:w="1276" w:type="dxa"/>
          </w:tcPr>
          <w:p w:rsidR="00607632" w:rsidRPr="00607632" w:rsidRDefault="003B79FC" w:rsidP="0020346F">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4.4</w:t>
            </w:r>
          </w:p>
        </w:tc>
      </w:tr>
      <w:tr w:rsidR="00607632" w:rsidRPr="00607632" w:rsidTr="00D4089F">
        <w:tc>
          <w:tcPr>
            <w:cnfStyle w:val="001000000000"/>
            <w:tcW w:w="126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30.9</w:t>
            </w:r>
          </w:p>
        </w:tc>
        <w:tc>
          <w:tcPr>
            <w:cnfStyle w:val="000010000000"/>
            <w:tcW w:w="3502" w:type="dxa"/>
          </w:tcPr>
          <w:p w:rsidR="00607632" w:rsidRPr="00607632" w:rsidRDefault="00607632" w:rsidP="00580843">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Earmarked Reserves</w:t>
            </w:r>
          </w:p>
        </w:tc>
        <w:tc>
          <w:tcPr>
            <w:tcW w:w="1328" w:type="dxa"/>
          </w:tcPr>
          <w:p w:rsidR="00607632" w:rsidRPr="00607632" w:rsidRDefault="00607632" w:rsidP="0020346F">
            <w:pPr>
              <w:pStyle w:val="ExampleSub"/>
              <w:keepNext w:val="0"/>
              <w:keepLines w:val="0"/>
              <w:ind w:left="0"/>
              <w:jc w:val="center"/>
              <w:cnfStyle w:val="000000000000"/>
              <w:rPr>
                <w:rFonts w:ascii="Arial" w:hAnsi="Arial" w:cs="Arial"/>
                <w:b w:val="0"/>
                <w:bCs w:val="0"/>
                <w:color w:val="auto"/>
                <w:sz w:val="20"/>
                <w:szCs w:val="20"/>
              </w:rPr>
            </w:pPr>
            <w:r w:rsidRPr="00607632">
              <w:rPr>
                <w:rFonts w:ascii="Arial" w:hAnsi="Arial" w:cs="Arial"/>
                <w:b w:val="0"/>
                <w:bCs w:val="0"/>
                <w:color w:val="auto"/>
                <w:sz w:val="20"/>
                <w:szCs w:val="20"/>
              </w:rPr>
              <w:t>8</w:t>
            </w:r>
          </w:p>
        </w:tc>
        <w:tc>
          <w:tcPr>
            <w:cnfStyle w:val="000010000000"/>
            <w:tcW w:w="1275" w:type="dxa"/>
          </w:tcPr>
          <w:p w:rsidR="00607632" w:rsidRPr="00607632" w:rsidRDefault="003B79FC" w:rsidP="0020346F">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(5.6)</w:t>
            </w:r>
          </w:p>
        </w:tc>
        <w:tc>
          <w:tcPr>
            <w:tcW w:w="1276" w:type="dxa"/>
          </w:tcPr>
          <w:p w:rsidR="00607632" w:rsidRPr="00607632" w:rsidRDefault="003B79FC" w:rsidP="0020346F">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25.3</w:t>
            </w:r>
          </w:p>
        </w:tc>
      </w:tr>
      <w:tr w:rsidR="00607632" w:rsidRPr="00607632" w:rsidTr="00D4089F">
        <w:trPr>
          <w:cnfStyle w:val="000000100000"/>
        </w:trPr>
        <w:tc>
          <w:tcPr>
            <w:cnfStyle w:val="001000000000"/>
            <w:tcW w:w="126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3.4</w:t>
            </w:r>
          </w:p>
        </w:tc>
        <w:tc>
          <w:tcPr>
            <w:cnfStyle w:val="000010000000"/>
            <w:tcW w:w="3502" w:type="dxa"/>
          </w:tcPr>
          <w:p w:rsidR="00607632" w:rsidRPr="00607632" w:rsidRDefault="00607632" w:rsidP="00C2185B">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Usable Capital Receipts  Reserve</w:t>
            </w:r>
          </w:p>
        </w:tc>
        <w:tc>
          <w:tcPr>
            <w:tcW w:w="1328" w:type="dxa"/>
          </w:tcPr>
          <w:p w:rsidR="00607632" w:rsidRPr="00607632" w:rsidRDefault="00607632" w:rsidP="00C12934">
            <w:pPr>
              <w:pStyle w:val="ExampleSub"/>
              <w:keepNext w:val="0"/>
              <w:keepLines w:val="0"/>
              <w:ind w:left="0"/>
              <w:jc w:val="center"/>
              <w:cnfStyle w:val="000000100000"/>
              <w:rPr>
                <w:rFonts w:ascii="Arial" w:hAnsi="Arial" w:cs="Arial"/>
                <w:b w:val="0"/>
                <w:bCs w:val="0"/>
                <w:color w:val="auto"/>
                <w:sz w:val="20"/>
                <w:szCs w:val="20"/>
              </w:rPr>
            </w:pPr>
            <w:r w:rsidRPr="00607632">
              <w:rPr>
                <w:rFonts w:ascii="Arial" w:hAnsi="Arial" w:cs="Arial"/>
                <w:b w:val="0"/>
                <w:bCs w:val="0"/>
                <w:color w:val="auto"/>
                <w:sz w:val="20"/>
                <w:szCs w:val="20"/>
              </w:rPr>
              <w:t>7</w:t>
            </w:r>
          </w:p>
        </w:tc>
        <w:tc>
          <w:tcPr>
            <w:cnfStyle w:val="000010000000"/>
            <w:tcW w:w="1275" w:type="dxa"/>
          </w:tcPr>
          <w:p w:rsidR="00607632" w:rsidRPr="00607632" w:rsidRDefault="003B79FC" w:rsidP="00C12934">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(2.0)</w:t>
            </w:r>
          </w:p>
        </w:tc>
        <w:tc>
          <w:tcPr>
            <w:tcW w:w="1276" w:type="dxa"/>
          </w:tcPr>
          <w:p w:rsidR="00607632" w:rsidRPr="00607632" w:rsidRDefault="003B79FC" w:rsidP="003B79FC">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1.4</w:t>
            </w:r>
          </w:p>
        </w:tc>
      </w:tr>
      <w:tr w:rsidR="00607632" w:rsidRPr="00607632" w:rsidTr="00D4089F">
        <w:tc>
          <w:tcPr>
            <w:cnfStyle w:val="001000000000"/>
            <w:tcW w:w="126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5.2</w:t>
            </w:r>
          </w:p>
        </w:tc>
        <w:tc>
          <w:tcPr>
            <w:cnfStyle w:val="000010000000"/>
            <w:tcW w:w="3502" w:type="dxa"/>
          </w:tcPr>
          <w:p w:rsidR="00607632" w:rsidRPr="00607632" w:rsidRDefault="00607632" w:rsidP="00C2185B">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Capital Grants &amp; Contributions Unapplied</w:t>
            </w:r>
          </w:p>
        </w:tc>
        <w:tc>
          <w:tcPr>
            <w:tcW w:w="1328" w:type="dxa"/>
          </w:tcPr>
          <w:p w:rsidR="00607632" w:rsidRPr="00607632" w:rsidRDefault="00607632" w:rsidP="003558B1">
            <w:pPr>
              <w:pStyle w:val="ExampleSub"/>
              <w:keepNext w:val="0"/>
              <w:keepLines w:val="0"/>
              <w:ind w:left="0"/>
              <w:jc w:val="center"/>
              <w:cnfStyle w:val="000000000000"/>
              <w:rPr>
                <w:rFonts w:ascii="Arial" w:hAnsi="Arial" w:cs="Arial"/>
                <w:b w:val="0"/>
                <w:bCs w:val="0"/>
                <w:color w:val="auto"/>
                <w:sz w:val="20"/>
                <w:szCs w:val="20"/>
              </w:rPr>
            </w:pPr>
            <w:r w:rsidRPr="00607632">
              <w:rPr>
                <w:rFonts w:ascii="Arial" w:hAnsi="Arial" w:cs="Arial"/>
                <w:b w:val="0"/>
                <w:bCs w:val="0"/>
                <w:color w:val="auto"/>
                <w:sz w:val="20"/>
                <w:szCs w:val="20"/>
              </w:rPr>
              <w:t>7</w:t>
            </w:r>
          </w:p>
        </w:tc>
        <w:tc>
          <w:tcPr>
            <w:cnfStyle w:val="000010000000"/>
            <w:tcW w:w="1275" w:type="dxa"/>
          </w:tcPr>
          <w:p w:rsidR="00607632" w:rsidRPr="00607632" w:rsidRDefault="003B79FC" w:rsidP="003558B1">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(1.0)</w:t>
            </w:r>
          </w:p>
        </w:tc>
        <w:tc>
          <w:tcPr>
            <w:tcW w:w="1276" w:type="dxa"/>
          </w:tcPr>
          <w:p w:rsidR="00607632" w:rsidRPr="00607632" w:rsidRDefault="003B79FC" w:rsidP="003B79FC">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4.2</w:t>
            </w:r>
          </w:p>
        </w:tc>
      </w:tr>
      <w:tr w:rsidR="00607632" w:rsidRPr="00607632" w:rsidTr="00D4089F">
        <w:trPr>
          <w:cnfStyle w:val="000000100000"/>
        </w:trPr>
        <w:tc>
          <w:tcPr>
            <w:cnfStyle w:val="001000000000"/>
            <w:tcW w:w="126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43.9</w:t>
            </w:r>
          </w:p>
        </w:tc>
        <w:tc>
          <w:tcPr>
            <w:cnfStyle w:val="000010000000"/>
            <w:tcW w:w="3502" w:type="dxa"/>
          </w:tcPr>
          <w:p w:rsidR="00607632" w:rsidRPr="00607632" w:rsidRDefault="00607632" w:rsidP="00C2185B">
            <w:pPr>
              <w:pStyle w:val="ExampleSub"/>
              <w:keepNext w:val="0"/>
              <w:keepLines w:val="0"/>
              <w:ind w:left="0"/>
              <w:rPr>
                <w:rFonts w:ascii="Arial" w:hAnsi="Arial" w:cs="Arial"/>
                <w:bCs w:val="0"/>
                <w:color w:val="auto"/>
                <w:sz w:val="20"/>
                <w:szCs w:val="20"/>
              </w:rPr>
            </w:pPr>
            <w:r w:rsidRPr="00607632">
              <w:rPr>
                <w:rFonts w:ascii="Arial" w:hAnsi="Arial" w:cs="Arial"/>
                <w:bCs w:val="0"/>
                <w:color w:val="auto"/>
                <w:sz w:val="20"/>
                <w:szCs w:val="20"/>
              </w:rPr>
              <w:t>Total Usable Reserves</w:t>
            </w:r>
          </w:p>
        </w:tc>
        <w:tc>
          <w:tcPr>
            <w:tcW w:w="1328" w:type="dxa"/>
          </w:tcPr>
          <w:p w:rsidR="00607632" w:rsidRPr="00607632" w:rsidRDefault="00607632" w:rsidP="003558B1">
            <w:pPr>
              <w:pStyle w:val="ExampleSub"/>
              <w:keepNext w:val="0"/>
              <w:keepLines w:val="0"/>
              <w:ind w:left="0"/>
              <w:jc w:val="center"/>
              <w:cnfStyle w:val="000000100000"/>
              <w:rPr>
                <w:rFonts w:ascii="Arial" w:hAnsi="Arial" w:cs="Arial"/>
                <w:bCs w:val="0"/>
                <w:color w:val="auto"/>
                <w:sz w:val="20"/>
                <w:szCs w:val="20"/>
              </w:rPr>
            </w:pPr>
          </w:p>
        </w:tc>
        <w:tc>
          <w:tcPr>
            <w:cnfStyle w:val="000010000000"/>
            <w:tcW w:w="1275" w:type="dxa"/>
          </w:tcPr>
          <w:p w:rsidR="00607632" w:rsidRPr="00607632" w:rsidRDefault="003B79FC" w:rsidP="003558B1">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(8.6)</w:t>
            </w:r>
          </w:p>
        </w:tc>
        <w:tc>
          <w:tcPr>
            <w:tcW w:w="1276" w:type="dxa"/>
          </w:tcPr>
          <w:p w:rsidR="00607632" w:rsidRPr="00607632" w:rsidRDefault="00052A30" w:rsidP="003558B1">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35.3</w:t>
            </w:r>
          </w:p>
        </w:tc>
      </w:tr>
    </w:tbl>
    <w:p w:rsidR="00E51139" w:rsidRPr="00D42E0B" w:rsidRDefault="003C7AC7" w:rsidP="00A809DE">
      <w:pPr>
        <w:pStyle w:val="ExampleText"/>
        <w:ind w:left="0"/>
        <w:rPr>
          <w:rFonts w:ascii="Arial" w:hAnsi="Arial" w:cs="Arial"/>
          <w:color w:val="548DD4" w:themeColor="text2" w:themeTint="99"/>
        </w:rPr>
      </w:pPr>
      <w:r w:rsidRPr="00D42E0B">
        <w:rPr>
          <w:rFonts w:ascii="Arial" w:hAnsi="Arial" w:cs="Arial"/>
          <w:color w:val="548DD4" w:themeColor="text2" w:themeTint="99"/>
        </w:rPr>
        <w:tab/>
      </w:r>
      <w:r w:rsidR="00E51139" w:rsidRPr="00D42E0B">
        <w:rPr>
          <w:rFonts w:ascii="Arial" w:hAnsi="Arial" w:cs="Arial"/>
          <w:color w:val="548DD4" w:themeColor="text2" w:themeTint="99"/>
        </w:rPr>
        <w:t xml:space="preserve"> </w:t>
      </w:r>
    </w:p>
    <w:p w:rsidR="00E51139" w:rsidRPr="00C16B45" w:rsidRDefault="00E51139" w:rsidP="00D4089F">
      <w:pPr>
        <w:pStyle w:val="Subtitle"/>
        <w:ind w:left="567" w:hanging="567"/>
        <w:rPr>
          <w:b/>
          <w:color w:val="auto"/>
          <w:sz w:val="22"/>
          <w:szCs w:val="22"/>
        </w:rPr>
      </w:pPr>
      <w:r w:rsidRPr="00C16B45">
        <w:rPr>
          <w:b/>
          <w:color w:val="auto"/>
          <w:sz w:val="22"/>
          <w:szCs w:val="22"/>
        </w:rPr>
        <w:t>2</w:t>
      </w:r>
      <w:r w:rsidR="006D3DC4" w:rsidRPr="00C16B45">
        <w:rPr>
          <w:b/>
          <w:color w:val="auto"/>
          <w:sz w:val="22"/>
          <w:szCs w:val="22"/>
        </w:rPr>
        <w:t>3</w:t>
      </w:r>
      <w:r w:rsidRPr="00C16B45">
        <w:rPr>
          <w:b/>
          <w:color w:val="auto"/>
          <w:sz w:val="22"/>
          <w:szCs w:val="22"/>
        </w:rPr>
        <w:t>.</w:t>
      </w:r>
      <w:r w:rsidRPr="00C16B45">
        <w:rPr>
          <w:b/>
          <w:color w:val="auto"/>
          <w:sz w:val="22"/>
          <w:szCs w:val="22"/>
        </w:rPr>
        <w:tab/>
        <w:t>Unusable Reserves</w:t>
      </w:r>
    </w:p>
    <w:p w:rsidR="003C7AC7" w:rsidRPr="00C16B45" w:rsidRDefault="003C7AC7" w:rsidP="003C7AC7">
      <w:pPr>
        <w:pStyle w:val="BodyText"/>
        <w:ind w:left="567"/>
        <w:rPr>
          <w:rFonts w:eastAsia="Times New Roman" w:cs="Arial"/>
          <w:color w:val="auto"/>
          <w:sz w:val="20"/>
          <w:szCs w:val="20"/>
          <w:lang w:eastAsia="en-GB"/>
        </w:rPr>
      </w:pPr>
      <w:r w:rsidRPr="00C16B45">
        <w:rPr>
          <w:rFonts w:eastAsia="Times New Roman" w:cs="Arial"/>
          <w:color w:val="auto"/>
          <w:sz w:val="20"/>
          <w:szCs w:val="20"/>
          <w:lang w:eastAsia="en-GB"/>
        </w:rPr>
        <w:t>Movements in the Council’s unusable reserves are detailed in the Movement in Reserves Statement and each reserve is shown in the table below</w:t>
      </w:r>
      <w:r w:rsidR="00EC29EC" w:rsidRPr="00C16B45">
        <w:rPr>
          <w:rFonts w:eastAsia="Times New Roman" w:cs="Arial"/>
          <w:color w:val="auto"/>
          <w:sz w:val="20"/>
          <w:szCs w:val="20"/>
          <w:lang w:eastAsia="en-GB"/>
        </w:rPr>
        <w:t>. A full description of each reserve is available in the glossary</w:t>
      </w:r>
      <w:r w:rsidRPr="00C16B45">
        <w:rPr>
          <w:rFonts w:eastAsia="Times New Roman" w:cs="Arial"/>
          <w:color w:val="auto"/>
          <w:sz w:val="20"/>
          <w:szCs w:val="20"/>
          <w:lang w:eastAsia="en-GB"/>
        </w:rPr>
        <w:t>:</w:t>
      </w:r>
    </w:p>
    <w:tbl>
      <w:tblPr>
        <w:tblStyle w:val="ListTable3-Accent51"/>
        <w:tblW w:w="9072" w:type="dxa"/>
        <w:tblInd w:w="392" w:type="dxa"/>
        <w:tblLayout w:type="fixed"/>
        <w:tblLook w:val="00A0"/>
      </w:tblPr>
      <w:tblGrid>
        <w:gridCol w:w="1276"/>
        <w:gridCol w:w="4110"/>
        <w:gridCol w:w="1418"/>
        <w:gridCol w:w="1276"/>
        <w:gridCol w:w="992"/>
      </w:tblGrid>
      <w:tr w:rsidR="003C7AC7" w:rsidRPr="00607632" w:rsidTr="00E234BC">
        <w:trPr>
          <w:cnfStyle w:val="100000000000"/>
        </w:trPr>
        <w:tc>
          <w:tcPr>
            <w:cnfStyle w:val="001000000100"/>
            <w:tcW w:w="1276" w:type="dxa"/>
          </w:tcPr>
          <w:p w:rsidR="003C7AC7" w:rsidRPr="00607632" w:rsidRDefault="003C7AC7" w:rsidP="003C7AC7">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31</w:t>
            </w:r>
            <w:r w:rsidRPr="00607632">
              <w:rPr>
                <w:rFonts w:ascii="Arial" w:hAnsi="Arial" w:cs="Arial"/>
                <w:color w:val="auto"/>
                <w:sz w:val="20"/>
                <w:szCs w:val="20"/>
                <w:vertAlign w:val="superscript"/>
              </w:rPr>
              <w:t>st</w:t>
            </w:r>
            <w:r w:rsidRPr="00607632">
              <w:rPr>
                <w:rFonts w:ascii="Arial" w:hAnsi="Arial" w:cs="Arial"/>
                <w:color w:val="auto"/>
                <w:sz w:val="20"/>
                <w:szCs w:val="20"/>
              </w:rPr>
              <w:t xml:space="preserve"> March 201</w:t>
            </w:r>
            <w:r w:rsidR="00436163">
              <w:rPr>
                <w:rFonts w:ascii="Arial" w:hAnsi="Arial" w:cs="Arial"/>
                <w:color w:val="auto"/>
                <w:sz w:val="20"/>
                <w:szCs w:val="20"/>
              </w:rPr>
              <w:t>5</w:t>
            </w:r>
          </w:p>
          <w:p w:rsidR="00150724" w:rsidRPr="00607632" w:rsidRDefault="00150724" w:rsidP="003C7AC7">
            <w:pPr>
              <w:pStyle w:val="ExampleSub"/>
              <w:keepNext w:val="0"/>
              <w:keepLines w:val="0"/>
              <w:ind w:left="0"/>
              <w:jc w:val="center"/>
              <w:rPr>
                <w:rFonts w:ascii="Arial" w:hAnsi="Arial" w:cs="Arial"/>
                <w:color w:val="auto"/>
                <w:sz w:val="18"/>
                <w:szCs w:val="18"/>
              </w:rPr>
            </w:pPr>
            <w:r w:rsidRPr="00607632">
              <w:rPr>
                <w:rFonts w:ascii="Arial" w:hAnsi="Arial" w:cs="Arial"/>
                <w:color w:val="auto"/>
                <w:sz w:val="18"/>
                <w:szCs w:val="18"/>
              </w:rPr>
              <w:t>restated</w:t>
            </w:r>
          </w:p>
        </w:tc>
        <w:tc>
          <w:tcPr>
            <w:cnfStyle w:val="000010000000"/>
            <w:tcW w:w="4110" w:type="dxa"/>
          </w:tcPr>
          <w:p w:rsidR="003C7AC7" w:rsidRPr="00607632" w:rsidRDefault="003C7AC7" w:rsidP="003C7AC7">
            <w:pPr>
              <w:pStyle w:val="ExampleSub"/>
              <w:keepNext w:val="0"/>
              <w:keepLines w:val="0"/>
              <w:ind w:left="0"/>
              <w:rPr>
                <w:rFonts w:ascii="Arial" w:hAnsi="Arial" w:cs="Arial"/>
                <w:color w:val="auto"/>
                <w:sz w:val="20"/>
                <w:szCs w:val="20"/>
              </w:rPr>
            </w:pPr>
          </w:p>
        </w:tc>
        <w:tc>
          <w:tcPr>
            <w:tcW w:w="1418" w:type="dxa"/>
          </w:tcPr>
          <w:p w:rsidR="003C7AC7" w:rsidRPr="00607632" w:rsidRDefault="003C7AC7" w:rsidP="003C7AC7">
            <w:pPr>
              <w:pStyle w:val="ExampleSub"/>
              <w:keepNext w:val="0"/>
              <w:keepLines w:val="0"/>
              <w:ind w:left="0"/>
              <w:jc w:val="center"/>
              <w:cnfStyle w:val="100000000000"/>
              <w:rPr>
                <w:rFonts w:ascii="Arial" w:hAnsi="Arial" w:cs="Arial"/>
                <w:color w:val="auto"/>
                <w:sz w:val="20"/>
                <w:szCs w:val="20"/>
              </w:rPr>
            </w:pPr>
            <w:r w:rsidRPr="00607632">
              <w:rPr>
                <w:rFonts w:ascii="Arial" w:hAnsi="Arial" w:cs="Arial"/>
                <w:color w:val="auto"/>
                <w:sz w:val="20"/>
                <w:szCs w:val="20"/>
              </w:rPr>
              <w:t>For in year movements see Note:-</w:t>
            </w:r>
          </w:p>
        </w:tc>
        <w:tc>
          <w:tcPr>
            <w:cnfStyle w:val="000010000000"/>
            <w:tcW w:w="1276" w:type="dxa"/>
          </w:tcPr>
          <w:p w:rsidR="003C7AC7" w:rsidRPr="00607632" w:rsidRDefault="003C7AC7" w:rsidP="00750B69">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201</w:t>
            </w:r>
            <w:r w:rsidR="00750B69">
              <w:rPr>
                <w:rFonts w:ascii="Arial" w:hAnsi="Arial" w:cs="Arial"/>
                <w:color w:val="auto"/>
                <w:sz w:val="20"/>
                <w:szCs w:val="20"/>
              </w:rPr>
              <w:t>5</w:t>
            </w:r>
            <w:r w:rsidRPr="00607632">
              <w:rPr>
                <w:rFonts w:ascii="Arial" w:hAnsi="Arial" w:cs="Arial"/>
                <w:color w:val="auto"/>
                <w:sz w:val="20"/>
                <w:szCs w:val="20"/>
              </w:rPr>
              <w:t>/1</w:t>
            </w:r>
            <w:r w:rsidR="00750B69">
              <w:rPr>
                <w:rFonts w:ascii="Arial" w:hAnsi="Arial" w:cs="Arial"/>
                <w:color w:val="auto"/>
                <w:sz w:val="20"/>
                <w:szCs w:val="20"/>
              </w:rPr>
              <w:t>6</w:t>
            </w:r>
            <w:r w:rsidRPr="00607632">
              <w:rPr>
                <w:rFonts w:ascii="Arial" w:hAnsi="Arial" w:cs="Arial"/>
                <w:color w:val="auto"/>
                <w:sz w:val="20"/>
                <w:szCs w:val="20"/>
              </w:rPr>
              <w:t xml:space="preserve"> movement</w:t>
            </w:r>
          </w:p>
        </w:tc>
        <w:tc>
          <w:tcPr>
            <w:tcW w:w="992" w:type="dxa"/>
          </w:tcPr>
          <w:p w:rsidR="003C7AC7" w:rsidRPr="00607632" w:rsidRDefault="003C7AC7" w:rsidP="00436163">
            <w:pPr>
              <w:pStyle w:val="ExampleSub"/>
              <w:keepNext w:val="0"/>
              <w:keepLines w:val="0"/>
              <w:ind w:left="0"/>
              <w:jc w:val="center"/>
              <w:cnfStyle w:val="100000000000"/>
              <w:rPr>
                <w:rFonts w:ascii="Arial" w:hAnsi="Arial" w:cs="Arial"/>
                <w:color w:val="auto"/>
                <w:sz w:val="20"/>
                <w:szCs w:val="20"/>
              </w:rPr>
            </w:pPr>
            <w:r w:rsidRPr="00607632">
              <w:rPr>
                <w:rFonts w:ascii="Arial" w:hAnsi="Arial" w:cs="Arial"/>
                <w:color w:val="auto"/>
                <w:sz w:val="20"/>
                <w:szCs w:val="20"/>
              </w:rPr>
              <w:t>31</w:t>
            </w:r>
            <w:r w:rsidRPr="00607632">
              <w:rPr>
                <w:rFonts w:ascii="Arial" w:hAnsi="Arial" w:cs="Arial"/>
                <w:color w:val="auto"/>
                <w:sz w:val="20"/>
                <w:szCs w:val="20"/>
                <w:vertAlign w:val="superscript"/>
              </w:rPr>
              <w:t>st</w:t>
            </w:r>
            <w:r w:rsidRPr="00607632">
              <w:rPr>
                <w:rFonts w:ascii="Arial" w:hAnsi="Arial" w:cs="Arial"/>
                <w:color w:val="auto"/>
                <w:sz w:val="20"/>
                <w:szCs w:val="20"/>
              </w:rPr>
              <w:t xml:space="preserve">  March 201</w:t>
            </w:r>
            <w:r w:rsidR="00436163">
              <w:rPr>
                <w:rFonts w:ascii="Arial" w:hAnsi="Arial" w:cs="Arial"/>
                <w:color w:val="auto"/>
                <w:sz w:val="20"/>
                <w:szCs w:val="20"/>
              </w:rPr>
              <w:t>6</w:t>
            </w:r>
          </w:p>
        </w:tc>
      </w:tr>
      <w:tr w:rsidR="003C7AC7" w:rsidRPr="00607632" w:rsidTr="00E234BC">
        <w:trPr>
          <w:cnfStyle w:val="000000100000"/>
        </w:trPr>
        <w:tc>
          <w:tcPr>
            <w:cnfStyle w:val="001000000000"/>
            <w:tcW w:w="1276" w:type="dxa"/>
            <w:shd w:val="clear" w:color="auto" w:fill="4BACC6" w:themeFill="accent5"/>
          </w:tcPr>
          <w:p w:rsidR="003C7AC7" w:rsidRPr="00607632" w:rsidRDefault="003C7AC7" w:rsidP="003C7AC7">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£m</w:t>
            </w:r>
          </w:p>
        </w:tc>
        <w:tc>
          <w:tcPr>
            <w:cnfStyle w:val="000010000000"/>
            <w:tcW w:w="4110" w:type="dxa"/>
            <w:shd w:val="clear" w:color="auto" w:fill="4BACC6" w:themeFill="accent5"/>
          </w:tcPr>
          <w:p w:rsidR="003C7AC7" w:rsidRPr="00607632" w:rsidRDefault="003C7AC7" w:rsidP="003C7AC7">
            <w:pPr>
              <w:pStyle w:val="ExampleSub"/>
              <w:keepNext w:val="0"/>
              <w:keepLines w:val="0"/>
              <w:ind w:left="0"/>
              <w:rPr>
                <w:rFonts w:ascii="Arial" w:hAnsi="Arial" w:cs="Arial"/>
                <w:b w:val="0"/>
                <w:bCs w:val="0"/>
                <w:color w:val="auto"/>
                <w:sz w:val="20"/>
                <w:szCs w:val="20"/>
              </w:rPr>
            </w:pPr>
          </w:p>
        </w:tc>
        <w:tc>
          <w:tcPr>
            <w:tcW w:w="1418" w:type="dxa"/>
            <w:shd w:val="clear" w:color="auto" w:fill="4BACC6" w:themeFill="accent5"/>
          </w:tcPr>
          <w:p w:rsidR="003C7AC7" w:rsidRPr="00607632" w:rsidRDefault="003C7AC7" w:rsidP="003C7AC7">
            <w:pPr>
              <w:pStyle w:val="ExampleSub"/>
              <w:keepNext w:val="0"/>
              <w:keepLines w:val="0"/>
              <w:ind w:left="0"/>
              <w:jc w:val="center"/>
              <w:cnfStyle w:val="000000100000"/>
              <w:rPr>
                <w:rFonts w:ascii="Arial" w:hAnsi="Arial" w:cs="Arial"/>
                <w:bCs w:val="0"/>
                <w:color w:val="auto"/>
                <w:sz w:val="20"/>
                <w:szCs w:val="20"/>
              </w:rPr>
            </w:pPr>
          </w:p>
        </w:tc>
        <w:tc>
          <w:tcPr>
            <w:cnfStyle w:val="000010000000"/>
            <w:tcW w:w="1276" w:type="dxa"/>
            <w:shd w:val="clear" w:color="auto" w:fill="4BACC6" w:themeFill="accent5"/>
          </w:tcPr>
          <w:p w:rsidR="003C7AC7" w:rsidRPr="00607632" w:rsidRDefault="003C7AC7" w:rsidP="003C7AC7">
            <w:pPr>
              <w:pStyle w:val="ExampleSub"/>
              <w:keepNext w:val="0"/>
              <w:keepLines w:val="0"/>
              <w:ind w:left="0"/>
              <w:jc w:val="center"/>
              <w:rPr>
                <w:rFonts w:ascii="Arial" w:hAnsi="Arial" w:cs="Arial"/>
                <w:bCs w:val="0"/>
                <w:color w:val="auto"/>
                <w:sz w:val="20"/>
                <w:szCs w:val="20"/>
              </w:rPr>
            </w:pPr>
            <w:r w:rsidRPr="00607632">
              <w:rPr>
                <w:rFonts w:ascii="Arial" w:hAnsi="Arial" w:cs="Arial"/>
                <w:bCs w:val="0"/>
                <w:color w:val="auto"/>
                <w:sz w:val="20"/>
                <w:szCs w:val="20"/>
              </w:rPr>
              <w:t>£m</w:t>
            </w:r>
          </w:p>
        </w:tc>
        <w:tc>
          <w:tcPr>
            <w:tcW w:w="992" w:type="dxa"/>
            <w:shd w:val="clear" w:color="auto" w:fill="4BACC6" w:themeFill="accent5"/>
          </w:tcPr>
          <w:p w:rsidR="003C7AC7" w:rsidRPr="00607632" w:rsidRDefault="003C7AC7" w:rsidP="003C7AC7">
            <w:pPr>
              <w:pStyle w:val="ExampleSub"/>
              <w:keepNext w:val="0"/>
              <w:keepLines w:val="0"/>
              <w:ind w:left="0"/>
              <w:jc w:val="center"/>
              <w:cnfStyle w:val="000000100000"/>
              <w:rPr>
                <w:rFonts w:ascii="Arial" w:hAnsi="Arial" w:cs="Arial"/>
                <w:bCs w:val="0"/>
                <w:color w:val="auto"/>
                <w:sz w:val="20"/>
                <w:szCs w:val="20"/>
              </w:rPr>
            </w:pPr>
            <w:r w:rsidRPr="00607632">
              <w:rPr>
                <w:rFonts w:ascii="Arial" w:hAnsi="Arial" w:cs="Arial"/>
                <w:bCs w:val="0"/>
                <w:color w:val="auto"/>
                <w:sz w:val="20"/>
                <w:szCs w:val="20"/>
              </w:rPr>
              <w:t>£m</w:t>
            </w:r>
          </w:p>
        </w:tc>
      </w:tr>
      <w:tr w:rsidR="00607632" w:rsidRPr="00607632" w:rsidTr="00E234BC">
        <w:tc>
          <w:tcPr>
            <w:cnfStyle w:val="001000000000"/>
            <w:tcW w:w="127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57.1</w:t>
            </w:r>
          </w:p>
        </w:tc>
        <w:tc>
          <w:tcPr>
            <w:cnfStyle w:val="000010000000"/>
            <w:tcW w:w="4110" w:type="dxa"/>
          </w:tcPr>
          <w:p w:rsidR="00607632" w:rsidRPr="00607632" w:rsidRDefault="00607632" w:rsidP="003C7AC7">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Revaluation Reserve</w:t>
            </w:r>
          </w:p>
        </w:tc>
        <w:tc>
          <w:tcPr>
            <w:tcW w:w="1418" w:type="dxa"/>
          </w:tcPr>
          <w:p w:rsidR="00607632" w:rsidRPr="00607632" w:rsidRDefault="00607632" w:rsidP="003C7AC7">
            <w:pPr>
              <w:pStyle w:val="ExampleSub"/>
              <w:keepNext w:val="0"/>
              <w:keepLines w:val="0"/>
              <w:ind w:left="0"/>
              <w:jc w:val="center"/>
              <w:cnfStyle w:val="000000000000"/>
              <w:rPr>
                <w:rFonts w:ascii="Arial" w:hAnsi="Arial" w:cs="Arial"/>
                <w:b w:val="0"/>
                <w:bCs w:val="0"/>
                <w:color w:val="auto"/>
                <w:sz w:val="20"/>
                <w:szCs w:val="20"/>
              </w:rPr>
            </w:pPr>
            <w:r w:rsidRPr="00607632">
              <w:rPr>
                <w:rFonts w:ascii="Arial" w:hAnsi="Arial" w:cs="Arial"/>
                <w:b w:val="0"/>
                <w:bCs w:val="0"/>
                <w:color w:val="auto"/>
                <w:sz w:val="20"/>
                <w:szCs w:val="20"/>
              </w:rPr>
              <w:t>23</w:t>
            </w:r>
          </w:p>
        </w:tc>
        <w:tc>
          <w:tcPr>
            <w:cnfStyle w:val="000010000000"/>
            <w:tcW w:w="1276" w:type="dxa"/>
          </w:tcPr>
          <w:p w:rsidR="00607632" w:rsidRPr="00607632" w:rsidRDefault="00750B69" w:rsidP="003C7AC7">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3.4</w:t>
            </w:r>
          </w:p>
        </w:tc>
        <w:tc>
          <w:tcPr>
            <w:tcW w:w="992" w:type="dxa"/>
          </w:tcPr>
          <w:p w:rsidR="00607632" w:rsidRPr="00607632" w:rsidRDefault="00750B69" w:rsidP="003C7AC7">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60.5</w:t>
            </w:r>
          </w:p>
        </w:tc>
      </w:tr>
      <w:tr w:rsidR="00607632" w:rsidRPr="00607632" w:rsidTr="00E234BC">
        <w:trPr>
          <w:cnfStyle w:val="000000100000"/>
        </w:trPr>
        <w:tc>
          <w:tcPr>
            <w:cnfStyle w:val="001000000000"/>
            <w:tcW w:w="127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119.1</w:t>
            </w:r>
          </w:p>
        </w:tc>
        <w:tc>
          <w:tcPr>
            <w:cnfStyle w:val="000010000000"/>
            <w:tcW w:w="4110" w:type="dxa"/>
          </w:tcPr>
          <w:p w:rsidR="00607632" w:rsidRPr="00607632" w:rsidRDefault="00607632" w:rsidP="003C7AC7">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Capital Adjustment Account</w:t>
            </w:r>
          </w:p>
        </w:tc>
        <w:tc>
          <w:tcPr>
            <w:tcW w:w="1418" w:type="dxa"/>
          </w:tcPr>
          <w:p w:rsidR="00607632" w:rsidRPr="00607632" w:rsidRDefault="00607632" w:rsidP="003C7AC7">
            <w:pPr>
              <w:pStyle w:val="ExampleSub"/>
              <w:keepNext w:val="0"/>
              <w:keepLines w:val="0"/>
              <w:ind w:left="0"/>
              <w:jc w:val="center"/>
              <w:cnfStyle w:val="000000100000"/>
              <w:rPr>
                <w:rFonts w:ascii="Arial" w:hAnsi="Arial" w:cs="Arial"/>
                <w:b w:val="0"/>
                <w:bCs w:val="0"/>
                <w:color w:val="auto"/>
                <w:sz w:val="20"/>
                <w:szCs w:val="20"/>
              </w:rPr>
            </w:pPr>
            <w:r w:rsidRPr="00607632">
              <w:rPr>
                <w:rFonts w:ascii="Arial" w:hAnsi="Arial" w:cs="Arial"/>
                <w:b w:val="0"/>
                <w:bCs w:val="0"/>
                <w:color w:val="auto"/>
                <w:sz w:val="20"/>
                <w:szCs w:val="20"/>
              </w:rPr>
              <w:t>7</w:t>
            </w:r>
          </w:p>
        </w:tc>
        <w:tc>
          <w:tcPr>
            <w:cnfStyle w:val="000010000000"/>
            <w:tcW w:w="1276" w:type="dxa"/>
          </w:tcPr>
          <w:p w:rsidR="00607632" w:rsidRPr="00607632" w:rsidRDefault="00750B69" w:rsidP="007D5EFC">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(9.9)</w:t>
            </w:r>
          </w:p>
        </w:tc>
        <w:tc>
          <w:tcPr>
            <w:tcW w:w="992" w:type="dxa"/>
          </w:tcPr>
          <w:p w:rsidR="00607632" w:rsidRPr="00607632" w:rsidRDefault="00750B69" w:rsidP="007D5EFC">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109.2</w:t>
            </w:r>
          </w:p>
        </w:tc>
      </w:tr>
      <w:tr w:rsidR="00607632" w:rsidRPr="00607632" w:rsidTr="00E234BC">
        <w:tc>
          <w:tcPr>
            <w:cnfStyle w:val="001000000000"/>
            <w:tcW w:w="127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(1.1)</w:t>
            </w:r>
          </w:p>
        </w:tc>
        <w:tc>
          <w:tcPr>
            <w:cnfStyle w:val="000010000000"/>
            <w:tcW w:w="4110" w:type="dxa"/>
          </w:tcPr>
          <w:p w:rsidR="00607632" w:rsidRPr="00607632" w:rsidRDefault="00607632" w:rsidP="003C7AC7">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Financial Instruments: Adjustment Account</w:t>
            </w:r>
          </w:p>
        </w:tc>
        <w:tc>
          <w:tcPr>
            <w:tcW w:w="1418" w:type="dxa"/>
          </w:tcPr>
          <w:p w:rsidR="00607632" w:rsidRPr="00607632" w:rsidRDefault="00607632" w:rsidP="003C7AC7">
            <w:pPr>
              <w:pStyle w:val="ExampleSub"/>
              <w:keepNext w:val="0"/>
              <w:keepLines w:val="0"/>
              <w:ind w:left="0"/>
              <w:jc w:val="center"/>
              <w:cnfStyle w:val="000000000000"/>
              <w:rPr>
                <w:rFonts w:ascii="Arial" w:hAnsi="Arial" w:cs="Arial"/>
                <w:b w:val="0"/>
                <w:bCs w:val="0"/>
                <w:color w:val="auto"/>
                <w:sz w:val="20"/>
                <w:szCs w:val="20"/>
              </w:rPr>
            </w:pPr>
          </w:p>
        </w:tc>
        <w:tc>
          <w:tcPr>
            <w:cnfStyle w:val="000010000000"/>
            <w:tcW w:w="1276" w:type="dxa"/>
          </w:tcPr>
          <w:p w:rsidR="00607632" w:rsidRPr="00607632" w:rsidRDefault="00750B69" w:rsidP="003C7AC7">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1.0</w:t>
            </w:r>
          </w:p>
        </w:tc>
        <w:tc>
          <w:tcPr>
            <w:tcW w:w="992" w:type="dxa"/>
          </w:tcPr>
          <w:p w:rsidR="00607632" w:rsidRPr="00607632" w:rsidRDefault="00750B69" w:rsidP="003C7AC7">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(0.1)</w:t>
            </w:r>
          </w:p>
        </w:tc>
      </w:tr>
      <w:tr w:rsidR="00607632" w:rsidRPr="00607632" w:rsidTr="00E234BC">
        <w:trPr>
          <w:cnfStyle w:val="000000100000"/>
        </w:trPr>
        <w:tc>
          <w:tcPr>
            <w:cnfStyle w:val="001000000000"/>
            <w:tcW w:w="127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1.1</w:t>
            </w:r>
          </w:p>
        </w:tc>
        <w:tc>
          <w:tcPr>
            <w:cnfStyle w:val="000010000000"/>
            <w:tcW w:w="4110" w:type="dxa"/>
          </w:tcPr>
          <w:p w:rsidR="00607632" w:rsidRPr="00607632" w:rsidRDefault="00607632" w:rsidP="003C7AC7">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Financial Instruments: Available for Sale</w:t>
            </w:r>
          </w:p>
        </w:tc>
        <w:tc>
          <w:tcPr>
            <w:tcW w:w="1418" w:type="dxa"/>
          </w:tcPr>
          <w:p w:rsidR="00607632" w:rsidRPr="00607632" w:rsidRDefault="00607632" w:rsidP="003C7AC7">
            <w:pPr>
              <w:pStyle w:val="ExampleSub"/>
              <w:keepNext w:val="0"/>
              <w:keepLines w:val="0"/>
              <w:ind w:left="0"/>
              <w:jc w:val="center"/>
              <w:cnfStyle w:val="000000100000"/>
              <w:rPr>
                <w:rFonts w:ascii="Arial" w:hAnsi="Arial" w:cs="Arial"/>
                <w:b w:val="0"/>
                <w:bCs w:val="0"/>
                <w:color w:val="auto"/>
                <w:sz w:val="20"/>
                <w:szCs w:val="20"/>
              </w:rPr>
            </w:pPr>
          </w:p>
        </w:tc>
        <w:tc>
          <w:tcPr>
            <w:cnfStyle w:val="000010000000"/>
            <w:tcW w:w="1276" w:type="dxa"/>
          </w:tcPr>
          <w:p w:rsidR="00607632" w:rsidRPr="00607632" w:rsidRDefault="00750B69" w:rsidP="007D5EFC">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1.2</w:t>
            </w:r>
          </w:p>
        </w:tc>
        <w:tc>
          <w:tcPr>
            <w:tcW w:w="992" w:type="dxa"/>
          </w:tcPr>
          <w:p w:rsidR="00607632" w:rsidRPr="00607632" w:rsidRDefault="00750B69" w:rsidP="007D5EFC">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2.3</w:t>
            </w:r>
          </w:p>
        </w:tc>
      </w:tr>
      <w:tr w:rsidR="00607632" w:rsidRPr="00607632" w:rsidTr="00E234BC">
        <w:tc>
          <w:tcPr>
            <w:cnfStyle w:val="001000000000"/>
            <w:tcW w:w="127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(177.8)</w:t>
            </w:r>
          </w:p>
        </w:tc>
        <w:tc>
          <w:tcPr>
            <w:cnfStyle w:val="000010000000"/>
            <w:tcW w:w="4110" w:type="dxa"/>
          </w:tcPr>
          <w:p w:rsidR="00607632" w:rsidRPr="00607632" w:rsidRDefault="00607632" w:rsidP="003C7AC7">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Pensions Reserve</w:t>
            </w:r>
          </w:p>
        </w:tc>
        <w:tc>
          <w:tcPr>
            <w:tcW w:w="1418" w:type="dxa"/>
          </w:tcPr>
          <w:p w:rsidR="00607632" w:rsidRPr="00607632" w:rsidRDefault="00607632" w:rsidP="003C7AC7">
            <w:pPr>
              <w:pStyle w:val="ExampleSub"/>
              <w:keepNext w:val="0"/>
              <w:keepLines w:val="0"/>
              <w:ind w:left="0"/>
              <w:jc w:val="center"/>
              <w:cnfStyle w:val="000000000000"/>
              <w:rPr>
                <w:rFonts w:ascii="Arial" w:hAnsi="Arial" w:cs="Arial"/>
                <w:b w:val="0"/>
                <w:bCs w:val="0"/>
                <w:color w:val="auto"/>
                <w:sz w:val="20"/>
                <w:szCs w:val="20"/>
              </w:rPr>
            </w:pPr>
            <w:r w:rsidRPr="00607632">
              <w:rPr>
                <w:rFonts w:ascii="Arial" w:hAnsi="Arial" w:cs="Arial"/>
                <w:b w:val="0"/>
                <w:bCs w:val="0"/>
                <w:color w:val="auto"/>
                <w:sz w:val="20"/>
                <w:szCs w:val="20"/>
              </w:rPr>
              <w:t>7</w:t>
            </w:r>
          </w:p>
        </w:tc>
        <w:tc>
          <w:tcPr>
            <w:cnfStyle w:val="000010000000"/>
            <w:tcW w:w="1276" w:type="dxa"/>
          </w:tcPr>
          <w:p w:rsidR="00607632" w:rsidRPr="00607632" w:rsidRDefault="00750B69" w:rsidP="003C7AC7">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17.6</w:t>
            </w:r>
          </w:p>
        </w:tc>
        <w:tc>
          <w:tcPr>
            <w:tcW w:w="992" w:type="dxa"/>
          </w:tcPr>
          <w:p w:rsidR="00607632" w:rsidRPr="00607632" w:rsidRDefault="00750B69" w:rsidP="003C7AC7">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(160.2)</w:t>
            </w:r>
          </w:p>
        </w:tc>
      </w:tr>
      <w:tr w:rsidR="00607632" w:rsidRPr="00607632" w:rsidTr="00E234BC">
        <w:trPr>
          <w:cnfStyle w:val="000000100000"/>
        </w:trPr>
        <w:tc>
          <w:tcPr>
            <w:cnfStyle w:val="001000000000"/>
            <w:tcW w:w="127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1.6</w:t>
            </w:r>
          </w:p>
        </w:tc>
        <w:tc>
          <w:tcPr>
            <w:cnfStyle w:val="000010000000"/>
            <w:tcW w:w="4110" w:type="dxa"/>
          </w:tcPr>
          <w:p w:rsidR="00607632" w:rsidRPr="00607632" w:rsidRDefault="00607632" w:rsidP="003C7AC7">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Collection Fund Adjustment Account</w:t>
            </w:r>
          </w:p>
        </w:tc>
        <w:tc>
          <w:tcPr>
            <w:tcW w:w="1418" w:type="dxa"/>
          </w:tcPr>
          <w:p w:rsidR="00607632" w:rsidRPr="00607632" w:rsidRDefault="00607632" w:rsidP="003C7AC7">
            <w:pPr>
              <w:pStyle w:val="ExampleSub"/>
              <w:keepNext w:val="0"/>
              <w:keepLines w:val="0"/>
              <w:ind w:left="0"/>
              <w:jc w:val="center"/>
              <w:cnfStyle w:val="000000100000"/>
              <w:rPr>
                <w:rFonts w:ascii="Arial" w:hAnsi="Arial" w:cs="Arial"/>
                <w:b w:val="0"/>
                <w:bCs w:val="0"/>
                <w:color w:val="auto"/>
                <w:sz w:val="20"/>
                <w:szCs w:val="20"/>
              </w:rPr>
            </w:pPr>
            <w:r w:rsidRPr="00607632">
              <w:rPr>
                <w:rFonts w:ascii="Arial" w:hAnsi="Arial" w:cs="Arial"/>
                <w:b w:val="0"/>
                <w:bCs w:val="0"/>
                <w:color w:val="auto"/>
                <w:sz w:val="20"/>
                <w:szCs w:val="20"/>
              </w:rPr>
              <w:t>7</w:t>
            </w:r>
          </w:p>
        </w:tc>
        <w:tc>
          <w:tcPr>
            <w:cnfStyle w:val="000010000000"/>
            <w:tcW w:w="1276" w:type="dxa"/>
          </w:tcPr>
          <w:p w:rsidR="00607632" w:rsidRPr="00607632" w:rsidRDefault="00750B69" w:rsidP="007D5EFC">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(0.3)</w:t>
            </w:r>
          </w:p>
        </w:tc>
        <w:tc>
          <w:tcPr>
            <w:tcW w:w="992" w:type="dxa"/>
          </w:tcPr>
          <w:p w:rsidR="00607632" w:rsidRPr="00607632" w:rsidRDefault="00750B69" w:rsidP="007D5EFC">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1.3</w:t>
            </w:r>
          </w:p>
        </w:tc>
      </w:tr>
      <w:tr w:rsidR="00607632" w:rsidRPr="00607632" w:rsidTr="00E234BC">
        <w:tc>
          <w:tcPr>
            <w:cnfStyle w:val="001000000000"/>
            <w:tcW w:w="127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(1.3)</w:t>
            </w:r>
          </w:p>
        </w:tc>
        <w:tc>
          <w:tcPr>
            <w:cnfStyle w:val="000010000000"/>
            <w:tcW w:w="4110" w:type="dxa"/>
          </w:tcPr>
          <w:p w:rsidR="00607632" w:rsidRPr="00607632" w:rsidRDefault="00607632" w:rsidP="003C7AC7">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Accumulating Compensated Absences Adjustment Account</w:t>
            </w:r>
          </w:p>
        </w:tc>
        <w:tc>
          <w:tcPr>
            <w:tcW w:w="1418" w:type="dxa"/>
          </w:tcPr>
          <w:p w:rsidR="00607632" w:rsidRPr="00607632" w:rsidRDefault="00607632" w:rsidP="003C7AC7">
            <w:pPr>
              <w:pStyle w:val="ExampleSub"/>
              <w:keepNext w:val="0"/>
              <w:keepLines w:val="0"/>
              <w:ind w:left="0"/>
              <w:jc w:val="center"/>
              <w:cnfStyle w:val="000000000000"/>
              <w:rPr>
                <w:rFonts w:ascii="Arial" w:hAnsi="Arial" w:cs="Arial"/>
                <w:b w:val="0"/>
                <w:bCs w:val="0"/>
                <w:color w:val="auto"/>
                <w:sz w:val="20"/>
                <w:szCs w:val="20"/>
              </w:rPr>
            </w:pPr>
            <w:r w:rsidRPr="00607632">
              <w:rPr>
                <w:rFonts w:ascii="Arial" w:hAnsi="Arial" w:cs="Arial"/>
                <w:b w:val="0"/>
                <w:bCs w:val="0"/>
                <w:color w:val="auto"/>
                <w:sz w:val="20"/>
                <w:szCs w:val="20"/>
              </w:rPr>
              <w:t>7</w:t>
            </w:r>
          </w:p>
        </w:tc>
        <w:tc>
          <w:tcPr>
            <w:cnfStyle w:val="000010000000"/>
            <w:tcW w:w="1276" w:type="dxa"/>
          </w:tcPr>
          <w:p w:rsidR="00607632" w:rsidRPr="00607632" w:rsidRDefault="00750B69" w:rsidP="003C7AC7">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0.3</w:t>
            </w:r>
          </w:p>
        </w:tc>
        <w:tc>
          <w:tcPr>
            <w:tcW w:w="992" w:type="dxa"/>
          </w:tcPr>
          <w:p w:rsidR="00607632" w:rsidRPr="00607632" w:rsidRDefault="00750B69" w:rsidP="003C7AC7">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(1.0)</w:t>
            </w:r>
          </w:p>
        </w:tc>
      </w:tr>
      <w:tr w:rsidR="00607632" w:rsidRPr="00607632" w:rsidTr="00E234BC">
        <w:trPr>
          <w:cnfStyle w:val="000000100000"/>
        </w:trPr>
        <w:tc>
          <w:tcPr>
            <w:cnfStyle w:val="001000000000"/>
            <w:tcW w:w="1276" w:type="dxa"/>
          </w:tcPr>
          <w:p w:rsidR="00607632" w:rsidRPr="00607632" w:rsidRDefault="00607632" w:rsidP="009A73F1">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(1.3)</w:t>
            </w:r>
          </w:p>
        </w:tc>
        <w:tc>
          <w:tcPr>
            <w:cnfStyle w:val="000010000000"/>
            <w:tcW w:w="4110" w:type="dxa"/>
          </w:tcPr>
          <w:p w:rsidR="00607632" w:rsidRPr="00607632" w:rsidRDefault="00607632" w:rsidP="003C7AC7">
            <w:pPr>
              <w:pStyle w:val="ExampleSub"/>
              <w:keepNext w:val="0"/>
              <w:keepLines w:val="0"/>
              <w:ind w:left="0"/>
              <w:rPr>
                <w:rFonts w:ascii="Arial" w:hAnsi="Arial" w:cs="Arial"/>
                <w:bCs w:val="0"/>
                <w:color w:val="auto"/>
                <w:sz w:val="20"/>
                <w:szCs w:val="20"/>
              </w:rPr>
            </w:pPr>
            <w:r w:rsidRPr="00607632">
              <w:rPr>
                <w:rFonts w:ascii="Arial" w:hAnsi="Arial" w:cs="Arial"/>
                <w:bCs w:val="0"/>
                <w:color w:val="auto"/>
                <w:sz w:val="20"/>
                <w:szCs w:val="20"/>
              </w:rPr>
              <w:t>Total Unusable Reserves</w:t>
            </w:r>
          </w:p>
        </w:tc>
        <w:tc>
          <w:tcPr>
            <w:tcW w:w="1418" w:type="dxa"/>
          </w:tcPr>
          <w:p w:rsidR="00607632" w:rsidRPr="00607632" w:rsidRDefault="00607632" w:rsidP="003C7AC7">
            <w:pPr>
              <w:pStyle w:val="ExampleSub"/>
              <w:keepNext w:val="0"/>
              <w:keepLines w:val="0"/>
              <w:ind w:left="0"/>
              <w:jc w:val="center"/>
              <w:cnfStyle w:val="000000100000"/>
              <w:rPr>
                <w:rFonts w:ascii="Arial" w:hAnsi="Arial" w:cs="Arial"/>
                <w:bCs w:val="0"/>
                <w:color w:val="auto"/>
                <w:sz w:val="20"/>
                <w:szCs w:val="20"/>
              </w:rPr>
            </w:pPr>
          </w:p>
        </w:tc>
        <w:tc>
          <w:tcPr>
            <w:cnfStyle w:val="000010000000"/>
            <w:tcW w:w="1276" w:type="dxa"/>
          </w:tcPr>
          <w:p w:rsidR="00607632" w:rsidRPr="00607632" w:rsidRDefault="00750B69" w:rsidP="007D5EFC">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13.3</w:t>
            </w:r>
          </w:p>
        </w:tc>
        <w:tc>
          <w:tcPr>
            <w:tcW w:w="992" w:type="dxa"/>
          </w:tcPr>
          <w:p w:rsidR="00607632" w:rsidRPr="00607632" w:rsidRDefault="00750B69" w:rsidP="003C7AC7">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12.0</w:t>
            </w:r>
          </w:p>
        </w:tc>
      </w:tr>
    </w:tbl>
    <w:p w:rsidR="00223D20" w:rsidRDefault="00223D20" w:rsidP="00C574BC">
      <w:pPr>
        <w:pStyle w:val="ExampleText"/>
        <w:ind w:hanging="567"/>
        <w:outlineLvl w:val="0"/>
        <w:rPr>
          <w:rFonts w:ascii="Arial" w:hAnsi="Arial" w:cs="Arial"/>
          <w:b/>
          <w:color w:val="auto"/>
        </w:rPr>
      </w:pPr>
    </w:p>
    <w:p w:rsidR="00223D20" w:rsidRDefault="00223D20" w:rsidP="00C574BC">
      <w:pPr>
        <w:pStyle w:val="ExampleText"/>
        <w:ind w:hanging="567"/>
        <w:outlineLvl w:val="0"/>
        <w:rPr>
          <w:rFonts w:ascii="Arial" w:hAnsi="Arial" w:cs="Arial"/>
          <w:b/>
          <w:color w:val="auto"/>
        </w:rPr>
      </w:pPr>
    </w:p>
    <w:p w:rsidR="00223D20" w:rsidRDefault="00223D20" w:rsidP="00C574BC">
      <w:pPr>
        <w:pStyle w:val="ExampleText"/>
        <w:ind w:hanging="567"/>
        <w:outlineLvl w:val="0"/>
        <w:rPr>
          <w:rFonts w:ascii="Arial" w:hAnsi="Arial" w:cs="Arial"/>
          <w:b/>
          <w:color w:val="auto"/>
        </w:rPr>
      </w:pPr>
    </w:p>
    <w:p w:rsidR="00223D20" w:rsidRDefault="00223D20" w:rsidP="00C574BC">
      <w:pPr>
        <w:pStyle w:val="ExampleText"/>
        <w:ind w:hanging="567"/>
        <w:outlineLvl w:val="0"/>
        <w:rPr>
          <w:rFonts w:ascii="Arial" w:hAnsi="Arial" w:cs="Arial"/>
          <w:b/>
          <w:color w:val="auto"/>
        </w:rPr>
      </w:pPr>
    </w:p>
    <w:p w:rsidR="00223D20" w:rsidRDefault="00223D20" w:rsidP="00C574BC">
      <w:pPr>
        <w:pStyle w:val="ExampleText"/>
        <w:ind w:hanging="567"/>
        <w:outlineLvl w:val="0"/>
        <w:rPr>
          <w:rFonts w:ascii="Arial" w:hAnsi="Arial" w:cs="Arial"/>
          <w:b/>
          <w:color w:val="auto"/>
        </w:rPr>
      </w:pPr>
    </w:p>
    <w:p w:rsidR="00E51139" w:rsidRPr="00C16B45" w:rsidRDefault="006D3DC4" w:rsidP="00C574BC">
      <w:pPr>
        <w:pStyle w:val="ExampleText"/>
        <w:ind w:hanging="567"/>
        <w:outlineLvl w:val="0"/>
        <w:rPr>
          <w:rFonts w:ascii="Arial" w:hAnsi="Arial" w:cs="Arial"/>
          <w:b/>
          <w:color w:val="auto"/>
        </w:rPr>
      </w:pPr>
      <w:r w:rsidRPr="00C16B45">
        <w:rPr>
          <w:rFonts w:ascii="Arial" w:hAnsi="Arial" w:cs="Arial"/>
          <w:b/>
          <w:color w:val="auto"/>
        </w:rPr>
        <w:lastRenderedPageBreak/>
        <w:t>23.1</w:t>
      </w:r>
      <w:r w:rsidR="00C574BC" w:rsidRPr="00C16B45">
        <w:rPr>
          <w:rFonts w:ascii="Arial" w:hAnsi="Arial" w:cs="Arial"/>
          <w:b/>
          <w:color w:val="auto"/>
        </w:rPr>
        <w:tab/>
      </w:r>
      <w:r w:rsidR="00E51139" w:rsidRPr="00C16B45">
        <w:rPr>
          <w:rFonts w:ascii="Arial" w:hAnsi="Arial" w:cs="Arial"/>
          <w:b/>
          <w:color w:val="auto"/>
        </w:rPr>
        <w:t>Revaluation Reserve</w:t>
      </w:r>
    </w:p>
    <w:p w:rsidR="00E51139" w:rsidRPr="00D42E0B" w:rsidRDefault="00E51139" w:rsidP="00B63E46">
      <w:pPr>
        <w:pStyle w:val="ExampleText"/>
        <w:spacing w:before="0"/>
        <w:rPr>
          <w:rFonts w:ascii="Arial" w:hAnsi="Arial" w:cs="Arial"/>
          <w:color w:val="548DD4" w:themeColor="text2" w:themeTint="99"/>
        </w:rPr>
      </w:pPr>
    </w:p>
    <w:tbl>
      <w:tblPr>
        <w:tblStyle w:val="ListTable3-Accent51"/>
        <w:tblW w:w="0" w:type="auto"/>
        <w:tblInd w:w="675" w:type="dxa"/>
        <w:tblLook w:val="00A0"/>
      </w:tblPr>
      <w:tblGrid>
        <w:gridCol w:w="1072"/>
        <w:gridCol w:w="4469"/>
        <w:gridCol w:w="943"/>
        <w:gridCol w:w="123"/>
        <w:gridCol w:w="877"/>
        <w:gridCol w:w="1083"/>
      </w:tblGrid>
      <w:tr w:rsidR="00267C78" w:rsidRPr="00607632" w:rsidTr="00267C78">
        <w:trPr>
          <w:cnfStyle w:val="100000000000"/>
        </w:trPr>
        <w:tc>
          <w:tcPr>
            <w:cnfStyle w:val="001000000100"/>
            <w:tcW w:w="1072" w:type="dxa"/>
          </w:tcPr>
          <w:p w:rsidR="00267C78" w:rsidRPr="00607632" w:rsidRDefault="00267C78" w:rsidP="003C5E34">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201</w:t>
            </w:r>
            <w:r w:rsidR="00607632" w:rsidRPr="00607632">
              <w:rPr>
                <w:rFonts w:ascii="Arial" w:hAnsi="Arial" w:cs="Arial"/>
                <w:color w:val="auto"/>
                <w:sz w:val="20"/>
                <w:szCs w:val="20"/>
              </w:rPr>
              <w:t>4</w:t>
            </w:r>
            <w:r w:rsidRPr="00607632">
              <w:rPr>
                <w:rFonts w:ascii="Arial" w:hAnsi="Arial" w:cs="Arial"/>
                <w:color w:val="auto"/>
                <w:sz w:val="20"/>
                <w:szCs w:val="20"/>
              </w:rPr>
              <w:t>/1</w:t>
            </w:r>
            <w:r w:rsidR="00607632" w:rsidRPr="00607632">
              <w:rPr>
                <w:rFonts w:ascii="Arial" w:hAnsi="Arial" w:cs="Arial"/>
                <w:color w:val="auto"/>
                <w:sz w:val="20"/>
                <w:szCs w:val="20"/>
              </w:rPr>
              <w:t>5</w:t>
            </w:r>
          </w:p>
          <w:p w:rsidR="00267C78" w:rsidRPr="00607632" w:rsidRDefault="00267C78" w:rsidP="003C5E34">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£m</w:t>
            </w:r>
          </w:p>
        </w:tc>
        <w:tc>
          <w:tcPr>
            <w:cnfStyle w:val="000010000000"/>
            <w:tcW w:w="4469" w:type="dxa"/>
          </w:tcPr>
          <w:p w:rsidR="00267C78" w:rsidRPr="00607632" w:rsidRDefault="00267C78" w:rsidP="003C5E34">
            <w:pPr>
              <w:pStyle w:val="ExampleSub"/>
              <w:keepNext w:val="0"/>
              <w:keepLines w:val="0"/>
              <w:ind w:left="0"/>
              <w:rPr>
                <w:rFonts w:ascii="Arial" w:hAnsi="Arial" w:cs="Arial"/>
                <w:color w:val="auto"/>
                <w:sz w:val="20"/>
                <w:szCs w:val="20"/>
              </w:rPr>
            </w:pPr>
          </w:p>
        </w:tc>
        <w:tc>
          <w:tcPr>
            <w:tcW w:w="1066" w:type="dxa"/>
            <w:gridSpan w:val="2"/>
          </w:tcPr>
          <w:p w:rsidR="00267C78" w:rsidRPr="00607632" w:rsidRDefault="00267C78" w:rsidP="003C5E34">
            <w:pPr>
              <w:pStyle w:val="ExampleSub"/>
              <w:keepNext w:val="0"/>
              <w:keepLines w:val="0"/>
              <w:ind w:left="0"/>
              <w:jc w:val="center"/>
              <w:cnfStyle w:val="100000000000"/>
              <w:rPr>
                <w:rFonts w:ascii="Arial" w:hAnsi="Arial" w:cs="Arial"/>
                <w:color w:val="auto"/>
                <w:sz w:val="20"/>
                <w:szCs w:val="20"/>
              </w:rPr>
            </w:pPr>
          </w:p>
        </w:tc>
        <w:tc>
          <w:tcPr>
            <w:cnfStyle w:val="000010000000"/>
            <w:tcW w:w="1960" w:type="dxa"/>
            <w:gridSpan w:val="2"/>
          </w:tcPr>
          <w:p w:rsidR="00267C78" w:rsidRPr="00607632" w:rsidRDefault="00267C78" w:rsidP="003C5E34">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201</w:t>
            </w:r>
            <w:r w:rsidR="00607632" w:rsidRPr="00607632">
              <w:rPr>
                <w:rFonts w:ascii="Arial" w:hAnsi="Arial" w:cs="Arial"/>
                <w:color w:val="auto"/>
                <w:sz w:val="20"/>
                <w:szCs w:val="20"/>
              </w:rPr>
              <w:t>5</w:t>
            </w:r>
            <w:r w:rsidRPr="00607632">
              <w:rPr>
                <w:rFonts w:ascii="Arial" w:hAnsi="Arial" w:cs="Arial"/>
                <w:color w:val="auto"/>
                <w:sz w:val="20"/>
                <w:szCs w:val="20"/>
              </w:rPr>
              <w:t>/1</w:t>
            </w:r>
            <w:r w:rsidR="00607632" w:rsidRPr="00607632">
              <w:rPr>
                <w:rFonts w:ascii="Arial" w:hAnsi="Arial" w:cs="Arial"/>
                <w:color w:val="auto"/>
                <w:sz w:val="20"/>
                <w:szCs w:val="20"/>
              </w:rPr>
              <w:t>6</w:t>
            </w:r>
          </w:p>
          <w:p w:rsidR="00267C78" w:rsidRPr="00607632" w:rsidRDefault="00267C78" w:rsidP="003C5E34">
            <w:pPr>
              <w:pStyle w:val="ExampleSub"/>
              <w:keepNext w:val="0"/>
              <w:keepLines w:val="0"/>
              <w:ind w:left="0"/>
              <w:jc w:val="center"/>
              <w:rPr>
                <w:rFonts w:ascii="Arial" w:hAnsi="Arial" w:cs="Arial"/>
                <w:color w:val="auto"/>
                <w:sz w:val="20"/>
                <w:szCs w:val="20"/>
              </w:rPr>
            </w:pPr>
            <w:r w:rsidRPr="00607632">
              <w:rPr>
                <w:rFonts w:ascii="Arial" w:hAnsi="Arial" w:cs="Arial"/>
                <w:color w:val="auto"/>
                <w:sz w:val="20"/>
                <w:szCs w:val="20"/>
              </w:rPr>
              <w:t>£m</w:t>
            </w:r>
          </w:p>
        </w:tc>
      </w:tr>
      <w:tr w:rsidR="00267C78" w:rsidRPr="00607632" w:rsidTr="00267C78">
        <w:trPr>
          <w:cnfStyle w:val="000000100000"/>
        </w:trPr>
        <w:tc>
          <w:tcPr>
            <w:cnfStyle w:val="001000000000"/>
            <w:tcW w:w="1072" w:type="dxa"/>
          </w:tcPr>
          <w:p w:rsidR="00267C78" w:rsidRPr="00C83C51" w:rsidRDefault="00607632" w:rsidP="00906DE2">
            <w:pPr>
              <w:pStyle w:val="ExampleSub"/>
              <w:keepNext w:val="0"/>
              <w:keepLines w:val="0"/>
              <w:ind w:left="0"/>
              <w:jc w:val="center"/>
              <w:rPr>
                <w:rFonts w:ascii="Arial" w:hAnsi="Arial" w:cs="Arial"/>
                <w:b w:val="0"/>
                <w:color w:val="auto"/>
                <w:sz w:val="20"/>
                <w:szCs w:val="20"/>
              </w:rPr>
            </w:pPr>
            <w:r w:rsidRPr="00C83C51">
              <w:rPr>
                <w:rFonts w:ascii="Arial" w:hAnsi="Arial" w:cs="Arial"/>
                <w:b w:val="0"/>
                <w:color w:val="auto"/>
                <w:sz w:val="20"/>
                <w:szCs w:val="20"/>
              </w:rPr>
              <w:t>55.2</w:t>
            </w:r>
          </w:p>
        </w:tc>
        <w:tc>
          <w:tcPr>
            <w:cnfStyle w:val="000010000000"/>
            <w:tcW w:w="4469" w:type="dxa"/>
          </w:tcPr>
          <w:p w:rsidR="00267C78" w:rsidRPr="00607632" w:rsidRDefault="00267C78" w:rsidP="003C5E34">
            <w:pPr>
              <w:pStyle w:val="ExampleSub"/>
              <w:keepNext w:val="0"/>
              <w:keepLines w:val="0"/>
              <w:ind w:left="0"/>
              <w:rPr>
                <w:rFonts w:ascii="Arial" w:hAnsi="Arial" w:cs="Arial"/>
                <w:bCs w:val="0"/>
                <w:color w:val="auto"/>
                <w:sz w:val="20"/>
                <w:szCs w:val="20"/>
              </w:rPr>
            </w:pPr>
            <w:r w:rsidRPr="00607632">
              <w:rPr>
                <w:rFonts w:ascii="Arial" w:hAnsi="Arial" w:cs="Arial"/>
                <w:bCs w:val="0"/>
                <w:color w:val="auto"/>
                <w:sz w:val="20"/>
                <w:szCs w:val="20"/>
              </w:rPr>
              <w:t xml:space="preserve">Balance at 1 April </w:t>
            </w:r>
          </w:p>
        </w:tc>
        <w:tc>
          <w:tcPr>
            <w:tcW w:w="943" w:type="dxa"/>
          </w:tcPr>
          <w:p w:rsidR="00267C78" w:rsidRPr="00607632" w:rsidRDefault="00267C78" w:rsidP="00DF7E01">
            <w:pPr>
              <w:pStyle w:val="ExampleSub"/>
              <w:keepNext w:val="0"/>
              <w:keepLines w:val="0"/>
              <w:ind w:left="0"/>
              <w:jc w:val="center"/>
              <w:cnfStyle w:val="000000100000"/>
              <w:rPr>
                <w:rFonts w:ascii="Arial" w:hAnsi="Arial" w:cs="Arial"/>
                <w:bCs w:val="0"/>
                <w:color w:val="auto"/>
                <w:sz w:val="20"/>
                <w:szCs w:val="20"/>
              </w:rPr>
            </w:pPr>
            <w:r w:rsidRPr="00607632">
              <w:rPr>
                <w:rFonts w:ascii="Arial" w:hAnsi="Arial" w:cs="Arial"/>
                <w:bCs w:val="0"/>
                <w:color w:val="auto"/>
                <w:sz w:val="20"/>
                <w:szCs w:val="20"/>
              </w:rPr>
              <w:t>Note</w:t>
            </w:r>
          </w:p>
        </w:tc>
        <w:tc>
          <w:tcPr>
            <w:cnfStyle w:val="000010000000"/>
            <w:tcW w:w="1000" w:type="dxa"/>
            <w:gridSpan w:val="2"/>
          </w:tcPr>
          <w:p w:rsidR="00267C78" w:rsidRPr="00607632" w:rsidRDefault="00267C78" w:rsidP="00753F19">
            <w:pPr>
              <w:pStyle w:val="ExampleSub"/>
              <w:keepNext w:val="0"/>
              <w:keepLines w:val="0"/>
              <w:ind w:left="0"/>
              <w:jc w:val="center"/>
              <w:rPr>
                <w:rFonts w:ascii="Arial" w:hAnsi="Arial" w:cs="Arial"/>
                <w:bCs w:val="0"/>
                <w:color w:val="auto"/>
                <w:sz w:val="20"/>
                <w:szCs w:val="20"/>
              </w:rPr>
            </w:pPr>
          </w:p>
        </w:tc>
        <w:tc>
          <w:tcPr>
            <w:tcW w:w="1083" w:type="dxa"/>
          </w:tcPr>
          <w:p w:rsidR="00267C78" w:rsidRPr="00607632" w:rsidRDefault="00C83C51" w:rsidP="00753F19">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57.1</w:t>
            </w:r>
          </w:p>
        </w:tc>
      </w:tr>
      <w:tr w:rsidR="00267C78" w:rsidRPr="00607632" w:rsidTr="00267C78">
        <w:tc>
          <w:tcPr>
            <w:cnfStyle w:val="001000000000"/>
            <w:tcW w:w="1072" w:type="dxa"/>
          </w:tcPr>
          <w:p w:rsidR="00267C78" w:rsidRPr="00C83C51" w:rsidRDefault="00607632" w:rsidP="00906DE2">
            <w:pPr>
              <w:pStyle w:val="ExampleSub"/>
              <w:keepNext w:val="0"/>
              <w:keepLines w:val="0"/>
              <w:ind w:left="0"/>
              <w:jc w:val="center"/>
              <w:rPr>
                <w:rFonts w:ascii="Arial" w:hAnsi="Arial" w:cs="Arial"/>
                <w:b w:val="0"/>
                <w:color w:val="auto"/>
                <w:sz w:val="20"/>
                <w:szCs w:val="20"/>
              </w:rPr>
            </w:pPr>
            <w:r w:rsidRPr="00C83C51">
              <w:rPr>
                <w:rFonts w:ascii="Arial" w:hAnsi="Arial" w:cs="Arial"/>
                <w:b w:val="0"/>
                <w:color w:val="auto"/>
                <w:sz w:val="20"/>
                <w:szCs w:val="20"/>
              </w:rPr>
              <w:t>3.4</w:t>
            </w:r>
          </w:p>
        </w:tc>
        <w:tc>
          <w:tcPr>
            <w:cnfStyle w:val="000010000000"/>
            <w:tcW w:w="4469" w:type="dxa"/>
          </w:tcPr>
          <w:p w:rsidR="00267C78" w:rsidRPr="00607632" w:rsidRDefault="00267C78" w:rsidP="00FA6C11">
            <w:pPr>
              <w:pStyle w:val="ExampleSub"/>
              <w:keepNext w:val="0"/>
              <w:keepLines w:val="0"/>
              <w:ind w:left="0"/>
              <w:rPr>
                <w:rFonts w:ascii="Arial" w:hAnsi="Arial" w:cs="Arial"/>
                <w:b w:val="0"/>
                <w:bCs w:val="0"/>
                <w:color w:val="auto"/>
                <w:sz w:val="20"/>
                <w:szCs w:val="20"/>
              </w:rPr>
            </w:pPr>
            <w:r w:rsidRPr="00607632">
              <w:rPr>
                <w:rFonts w:ascii="Arial" w:hAnsi="Arial" w:cs="Arial"/>
                <w:b w:val="0"/>
                <w:bCs w:val="0"/>
                <w:color w:val="auto"/>
                <w:sz w:val="20"/>
                <w:szCs w:val="20"/>
              </w:rPr>
              <w:t>Revaluation of assets</w:t>
            </w:r>
          </w:p>
        </w:tc>
        <w:tc>
          <w:tcPr>
            <w:tcW w:w="943" w:type="dxa"/>
          </w:tcPr>
          <w:p w:rsidR="00267C78" w:rsidRPr="00607632" w:rsidRDefault="00267C78" w:rsidP="005222FD">
            <w:pPr>
              <w:pStyle w:val="ExampleSub"/>
              <w:keepNext w:val="0"/>
              <w:keepLines w:val="0"/>
              <w:ind w:left="0"/>
              <w:jc w:val="center"/>
              <w:cnfStyle w:val="000000000000"/>
              <w:rPr>
                <w:rFonts w:ascii="Arial" w:hAnsi="Arial" w:cs="Arial"/>
                <w:bCs w:val="0"/>
                <w:color w:val="auto"/>
                <w:sz w:val="20"/>
                <w:szCs w:val="20"/>
              </w:rPr>
            </w:pPr>
          </w:p>
        </w:tc>
        <w:tc>
          <w:tcPr>
            <w:cnfStyle w:val="000010000000"/>
            <w:tcW w:w="1000" w:type="dxa"/>
            <w:gridSpan w:val="2"/>
          </w:tcPr>
          <w:p w:rsidR="00267C78" w:rsidRPr="00607632" w:rsidRDefault="00C83C51" w:rsidP="00036479">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7.2</w:t>
            </w:r>
          </w:p>
        </w:tc>
        <w:tc>
          <w:tcPr>
            <w:tcW w:w="1083" w:type="dxa"/>
          </w:tcPr>
          <w:p w:rsidR="00267C78" w:rsidRPr="00607632" w:rsidRDefault="00267C78" w:rsidP="00DF7E01">
            <w:pPr>
              <w:pStyle w:val="ExampleSub"/>
              <w:keepNext w:val="0"/>
              <w:keepLines w:val="0"/>
              <w:ind w:left="0"/>
              <w:jc w:val="center"/>
              <w:cnfStyle w:val="000000000000"/>
              <w:rPr>
                <w:rFonts w:ascii="Arial" w:hAnsi="Arial" w:cs="Arial"/>
                <w:bCs w:val="0"/>
                <w:color w:val="auto"/>
                <w:sz w:val="20"/>
                <w:szCs w:val="20"/>
              </w:rPr>
            </w:pPr>
          </w:p>
        </w:tc>
      </w:tr>
      <w:tr w:rsidR="00267C78" w:rsidRPr="00607632" w:rsidTr="00267C78">
        <w:trPr>
          <w:cnfStyle w:val="000000100000"/>
        </w:trPr>
        <w:tc>
          <w:tcPr>
            <w:cnfStyle w:val="001000000000"/>
            <w:tcW w:w="1072" w:type="dxa"/>
          </w:tcPr>
          <w:p w:rsidR="00267C78" w:rsidRPr="00C83C51" w:rsidRDefault="00607632" w:rsidP="00906DE2">
            <w:pPr>
              <w:pStyle w:val="ExampleSub"/>
              <w:keepNext w:val="0"/>
              <w:keepLines w:val="0"/>
              <w:ind w:left="0"/>
              <w:jc w:val="center"/>
              <w:rPr>
                <w:rFonts w:ascii="Arial" w:hAnsi="Arial" w:cs="Arial"/>
                <w:b w:val="0"/>
                <w:color w:val="auto"/>
                <w:sz w:val="20"/>
                <w:szCs w:val="20"/>
              </w:rPr>
            </w:pPr>
            <w:r w:rsidRPr="00C83C51">
              <w:rPr>
                <w:rFonts w:ascii="Arial" w:hAnsi="Arial" w:cs="Arial"/>
                <w:b w:val="0"/>
                <w:color w:val="auto"/>
                <w:sz w:val="20"/>
                <w:szCs w:val="20"/>
              </w:rPr>
              <w:t>3.4</w:t>
            </w:r>
          </w:p>
        </w:tc>
        <w:tc>
          <w:tcPr>
            <w:cnfStyle w:val="000010000000"/>
            <w:tcW w:w="4469" w:type="dxa"/>
          </w:tcPr>
          <w:p w:rsidR="00267C78" w:rsidRPr="00607632" w:rsidRDefault="00267C78" w:rsidP="003C5E34">
            <w:pPr>
              <w:pStyle w:val="ExampleSub"/>
              <w:keepNext w:val="0"/>
              <w:keepLines w:val="0"/>
              <w:ind w:left="0"/>
              <w:rPr>
                <w:rFonts w:ascii="Arial" w:hAnsi="Arial" w:cs="Arial"/>
                <w:b w:val="0"/>
                <w:bCs w:val="0"/>
                <w:color w:val="auto"/>
                <w:sz w:val="20"/>
                <w:szCs w:val="20"/>
              </w:rPr>
            </w:pPr>
            <w:r w:rsidRPr="00607632">
              <w:rPr>
                <w:rFonts w:ascii="Arial" w:hAnsi="Arial" w:cs="Arial"/>
                <w:b w:val="0"/>
                <w:color w:val="auto"/>
                <w:sz w:val="20"/>
                <w:szCs w:val="20"/>
              </w:rPr>
              <w:t>Surplus or deficit on revaluation of non-current assets not posted to the Surplus or Deficit on the Provision of Services</w:t>
            </w:r>
          </w:p>
        </w:tc>
        <w:tc>
          <w:tcPr>
            <w:tcW w:w="943" w:type="dxa"/>
          </w:tcPr>
          <w:p w:rsidR="00267C78" w:rsidRPr="00607632" w:rsidRDefault="00267C78" w:rsidP="00DF7E01">
            <w:pPr>
              <w:pStyle w:val="ExampleSub"/>
              <w:keepNext w:val="0"/>
              <w:keepLines w:val="0"/>
              <w:ind w:left="0"/>
              <w:jc w:val="center"/>
              <w:cnfStyle w:val="000000100000"/>
              <w:rPr>
                <w:rFonts w:ascii="Arial" w:hAnsi="Arial" w:cs="Arial"/>
                <w:bCs w:val="0"/>
                <w:color w:val="auto"/>
                <w:sz w:val="20"/>
                <w:szCs w:val="20"/>
              </w:rPr>
            </w:pPr>
          </w:p>
        </w:tc>
        <w:tc>
          <w:tcPr>
            <w:cnfStyle w:val="000010000000"/>
            <w:tcW w:w="1000" w:type="dxa"/>
            <w:gridSpan w:val="2"/>
          </w:tcPr>
          <w:p w:rsidR="00267C78" w:rsidRPr="00607632" w:rsidRDefault="00267C78" w:rsidP="00F83EEF">
            <w:pPr>
              <w:pStyle w:val="ExampleSub"/>
              <w:keepNext w:val="0"/>
              <w:keepLines w:val="0"/>
              <w:ind w:left="0"/>
              <w:jc w:val="center"/>
              <w:rPr>
                <w:rFonts w:ascii="Arial" w:hAnsi="Arial" w:cs="Arial"/>
                <w:bCs w:val="0"/>
                <w:color w:val="auto"/>
                <w:sz w:val="20"/>
                <w:szCs w:val="20"/>
              </w:rPr>
            </w:pPr>
          </w:p>
        </w:tc>
        <w:tc>
          <w:tcPr>
            <w:tcW w:w="1083" w:type="dxa"/>
          </w:tcPr>
          <w:p w:rsidR="00267C78" w:rsidRPr="00607632" w:rsidRDefault="00C83C51" w:rsidP="00036479">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7.2</w:t>
            </w:r>
          </w:p>
        </w:tc>
      </w:tr>
      <w:tr w:rsidR="00267C78" w:rsidRPr="00607632" w:rsidTr="00267C78">
        <w:tc>
          <w:tcPr>
            <w:cnfStyle w:val="001000000000"/>
            <w:tcW w:w="1072" w:type="dxa"/>
          </w:tcPr>
          <w:p w:rsidR="00267C78" w:rsidRPr="00C83C51" w:rsidRDefault="00607632" w:rsidP="00906DE2">
            <w:pPr>
              <w:pStyle w:val="ExampleSub"/>
              <w:keepNext w:val="0"/>
              <w:keepLines w:val="0"/>
              <w:ind w:left="0"/>
              <w:jc w:val="center"/>
              <w:rPr>
                <w:rFonts w:ascii="Arial" w:hAnsi="Arial" w:cs="Arial"/>
                <w:b w:val="0"/>
                <w:color w:val="auto"/>
                <w:sz w:val="20"/>
                <w:szCs w:val="20"/>
              </w:rPr>
            </w:pPr>
            <w:r w:rsidRPr="00C83C51">
              <w:rPr>
                <w:rFonts w:ascii="Arial" w:hAnsi="Arial" w:cs="Arial"/>
                <w:b w:val="0"/>
                <w:color w:val="auto"/>
                <w:sz w:val="20"/>
                <w:szCs w:val="20"/>
              </w:rPr>
              <w:t>(0.9</w:t>
            </w:r>
            <w:r w:rsidR="00267C78" w:rsidRPr="00C83C51">
              <w:rPr>
                <w:rFonts w:ascii="Arial" w:hAnsi="Arial" w:cs="Arial"/>
                <w:b w:val="0"/>
                <w:color w:val="auto"/>
                <w:sz w:val="20"/>
                <w:szCs w:val="20"/>
              </w:rPr>
              <w:t>)</w:t>
            </w:r>
          </w:p>
        </w:tc>
        <w:tc>
          <w:tcPr>
            <w:cnfStyle w:val="000010000000"/>
            <w:tcW w:w="4469" w:type="dxa"/>
          </w:tcPr>
          <w:p w:rsidR="00267C78" w:rsidRPr="00607632" w:rsidRDefault="00267C78" w:rsidP="003C5E34">
            <w:pPr>
              <w:pStyle w:val="ExampleSub"/>
              <w:keepNext w:val="0"/>
              <w:keepLines w:val="0"/>
              <w:ind w:left="0"/>
              <w:rPr>
                <w:rFonts w:ascii="Arial" w:hAnsi="Arial" w:cs="Arial"/>
                <w:b w:val="0"/>
                <w:color w:val="auto"/>
                <w:sz w:val="20"/>
                <w:szCs w:val="20"/>
              </w:rPr>
            </w:pPr>
            <w:r w:rsidRPr="00607632">
              <w:rPr>
                <w:rFonts w:ascii="Arial" w:hAnsi="Arial" w:cs="Arial"/>
                <w:b w:val="0"/>
                <w:color w:val="auto"/>
                <w:sz w:val="20"/>
                <w:szCs w:val="20"/>
              </w:rPr>
              <w:t>Difference between fair value depreciation and historical cost depreciation</w:t>
            </w:r>
          </w:p>
        </w:tc>
        <w:tc>
          <w:tcPr>
            <w:tcW w:w="943" w:type="dxa"/>
          </w:tcPr>
          <w:p w:rsidR="00267C78" w:rsidRPr="00607632" w:rsidRDefault="00267C78" w:rsidP="003A3C96">
            <w:pPr>
              <w:pStyle w:val="ExampleSub"/>
              <w:keepNext w:val="0"/>
              <w:keepLines w:val="0"/>
              <w:ind w:left="0"/>
              <w:jc w:val="center"/>
              <w:cnfStyle w:val="000000000000"/>
              <w:rPr>
                <w:rFonts w:ascii="Arial" w:hAnsi="Arial" w:cs="Arial"/>
                <w:bCs w:val="0"/>
                <w:color w:val="auto"/>
                <w:sz w:val="20"/>
                <w:szCs w:val="20"/>
              </w:rPr>
            </w:pPr>
          </w:p>
        </w:tc>
        <w:tc>
          <w:tcPr>
            <w:cnfStyle w:val="000010000000"/>
            <w:tcW w:w="1000" w:type="dxa"/>
            <w:gridSpan w:val="2"/>
          </w:tcPr>
          <w:p w:rsidR="00267C78" w:rsidRPr="00607632" w:rsidRDefault="00C83C51" w:rsidP="007F3BF7">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(0.9)</w:t>
            </w:r>
          </w:p>
        </w:tc>
        <w:tc>
          <w:tcPr>
            <w:tcW w:w="1083" w:type="dxa"/>
          </w:tcPr>
          <w:p w:rsidR="00267C78" w:rsidRPr="00607632" w:rsidRDefault="00267C78" w:rsidP="00DF7E01">
            <w:pPr>
              <w:pStyle w:val="ExampleSub"/>
              <w:keepNext w:val="0"/>
              <w:keepLines w:val="0"/>
              <w:ind w:left="0"/>
              <w:jc w:val="center"/>
              <w:cnfStyle w:val="000000000000"/>
              <w:rPr>
                <w:rFonts w:ascii="Arial" w:hAnsi="Arial" w:cs="Arial"/>
                <w:bCs w:val="0"/>
                <w:color w:val="auto"/>
                <w:sz w:val="20"/>
                <w:szCs w:val="20"/>
              </w:rPr>
            </w:pPr>
          </w:p>
        </w:tc>
      </w:tr>
      <w:tr w:rsidR="00267C78" w:rsidRPr="00607632" w:rsidTr="00267C78">
        <w:trPr>
          <w:cnfStyle w:val="000000100000"/>
        </w:trPr>
        <w:tc>
          <w:tcPr>
            <w:cnfStyle w:val="001000000000"/>
            <w:tcW w:w="1072" w:type="dxa"/>
          </w:tcPr>
          <w:p w:rsidR="00267C78" w:rsidRPr="00C83C51" w:rsidRDefault="00607632" w:rsidP="00906DE2">
            <w:pPr>
              <w:pStyle w:val="ExampleSub"/>
              <w:keepNext w:val="0"/>
              <w:keepLines w:val="0"/>
              <w:ind w:left="0"/>
              <w:jc w:val="center"/>
              <w:rPr>
                <w:rFonts w:ascii="Arial" w:hAnsi="Arial" w:cs="Arial"/>
                <w:b w:val="0"/>
                <w:color w:val="auto"/>
                <w:sz w:val="20"/>
                <w:szCs w:val="20"/>
              </w:rPr>
            </w:pPr>
            <w:r w:rsidRPr="00C83C51">
              <w:rPr>
                <w:rFonts w:ascii="Arial" w:hAnsi="Arial" w:cs="Arial"/>
                <w:b w:val="0"/>
                <w:color w:val="auto"/>
                <w:sz w:val="20"/>
                <w:szCs w:val="20"/>
              </w:rPr>
              <w:t>(0</w:t>
            </w:r>
            <w:r w:rsidR="00267C78" w:rsidRPr="00C83C51">
              <w:rPr>
                <w:rFonts w:ascii="Arial" w:hAnsi="Arial" w:cs="Arial"/>
                <w:b w:val="0"/>
                <w:color w:val="auto"/>
                <w:sz w:val="20"/>
                <w:szCs w:val="20"/>
              </w:rPr>
              <w:t>.6)</w:t>
            </w:r>
          </w:p>
        </w:tc>
        <w:tc>
          <w:tcPr>
            <w:cnfStyle w:val="000010000000"/>
            <w:tcW w:w="4469" w:type="dxa"/>
          </w:tcPr>
          <w:p w:rsidR="00267C78" w:rsidRPr="00607632" w:rsidRDefault="00267C78" w:rsidP="003C5E34">
            <w:pPr>
              <w:pStyle w:val="ExampleSub"/>
              <w:keepNext w:val="0"/>
              <w:keepLines w:val="0"/>
              <w:ind w:left="0"/>
              <w:rPr>
                <w:rFonts w:ascii="Arial" w:hAnsi="Arial" w:cs="Arial"/>
                <w:b w:val="0"/>
                <w:color w:val="auto"/>
                <w:sz w:val="20"/>
                <w:szCs w:val="20"/>
              </w:rPr>
            </w:pPr>
            <w:r w:rsidRPr="00607632">
              <w:rPr>
                <w:rFonts w:ascii="Arial" w:hAnsi="Arial" w:cs="Arial"/>
                <w:b w:val="0"/>
                <w:color w:val="auto"/>
                <w:sz w:val="20"/>
                <w:szCs w:val="20"/>
              </w:rPr>
              <w:t>Accumulated gains on assets sold or scrapped</w:t>
            </w:r>
          </w:p>
        </w:tc>
        <w:tc>
          <w:tcPr>
            <w:tcW w:w="943" w:type="dxa"/>
          </w:tcPr>
          <w:p w:rsidR="00267C78" w:rsidRPr="00607632" w:rsidRDefault="00267C78" w:rsidP="00676A68">
            <w:pPr>
              <w:pStyle w:val="ExampleSub"/>
              <w:keepNext w:val="0"/>
              <w:keepLines w:val="0"/>
              <w:ind w:left="0"/>
              <w:jc w:val="center"/>
              <w:cnfStyle w:val="000000100000"/>
              <w:rPr>
                <w:rFonts w:ascii="Arial" w:hAnsi="Arial" w:cs="Arial"/>
                <w:bCs w:val="0"/>
                <w:color w:val="auto"/>
                <w:sz w:val="20"/>
                <w:szCs w:val="20"/>
              </w:rPr>
            </w:pPr>
          </w:p>
        </w:tc>
        <w:tc>
          <w:tcPr>
            <w:cnfStyle w:val="000010000000"/>
            <w:tcW w:w="1000" w:type="dxa"/>
            <w:gridSpan w:val="2"/>
          </w:tcPr>
          <w:p w:rsidR="00267C78" w:rsidRPr="00607632" w:rsidRDefault="00C83C51" w:rsidP="007F3BF7">
            <w:pPr>
              <w:pStyle w:val="ExampleSub"/>
              <w:keepNext w:val="0"/>
              <w:keepLines w:val="0"/>
              <w:ind w:left="0"/>
              <w:jc w:val="center"/>
              <w:rPr>
                <w:rFonts w:ascii="Arial" w:hAnsi="Arial" w:cs="Arial"/>
                <w:bCs w:val="0"/>
                <w:color w:val="auto"/>
                <w:sz w:val="20"/>
                <w:szCs w:val="20"/>
              </w:rPr>
            </w:pPr>
            <w:r>
              <w:rPr>
                <w:rFonts w:ascii="Arial" w:hAnsi="Arial" w:cs="Arial"/>
                <w:bCs w:val="0"/>
                <w:color w:val="auto"/>
                <w:sz w:val="20"/>
                <w:szCs w:val="20"/>
              </w:rPr>
              <w:t>(2.9)</w:t>
            </w:r>
          </w:p>
        </w:tc>
        <w:tc>
          <w:tcPr>
            <w:tcW w:w="1083" w:type="dxa"/>
          </w:tcPr>
          <w:p w:rsidR="00267C78" w:rsidRPr="00607632" w:rsidRDefault="00267C78" w:rsidP="00DF7E01">
            <w:pPr>
              <w:pStyle w:val="ExampleSub"/>
              <w:keepNext w:val="0"/>
              <w:keepLines w:val="0"/>
              <w:ind w:left="0"/>
              <w:jc w:val="center"/>
              <w:cnfStyle w:val="000000100000"/>
              <w:rPr>
                <w:rFonts w:ascii="Arial" w:hAnsi="Arial" w:cs="Arial"/>
                <w:bCs w:val="0"/>
                <w:color w:val="auto"/>
                <w:sz w:val="20"/>
                <w:szCs w:val="20"/>
              </w:rPr>
            </w:pPr>
          </w:p>
        </w:tc>
      </w:tr>
      <w:tr w:rsidR="00267C78" w:rsidRPr="00607632" w:rsidTr="00267C78">
        <w:tc>
          <w:tcPr>
            <w:cnfStyle w:val="001000000000"/>
            <w:tcW w:w="1072" w:type="dxa"/>
          </w:tcPr>
          <w:p w:rsidR="00267C78" w:rsidRPr="00C83C51" w:rsidRDefault="00267C78" w:rsidP="00607632">
            <w:pPr>
              <w:pStyle w:val="ExampleSub"/>
              <w:keepNext w:val="0"/>
              <w:keepLines w:val="0"/>
              <w:ind w:left="0"/>
              <w:jc w:val="center"/>
              <w:rPr>
                <w:rFonts w:ascii="Arial" w:hAnsi="Arial" w:cs="Arial"/>
                <w:b w:val="0"/>
                <w:color w:val="auto"/>
                <w:sz w:val="20"/>
                <w:szCs w:val="20"/>
              </w:rPr>
            </w:pPr>
            <w:r w:rsidRPr="00C83C51">
              <w:rPr>
                <w:rFonts w:ascii="Arial" w:hAnsi="Arial" w:cs="Arial"/>
                <w:b w:val="0"/>
                <w:color w:val="auto"/>
                <w:sz w:val="20"/>
                <w:szCs w:val="20"/>
              </w:rPr>
              <w:t>(</w:t>
            </w:r>
            <w:r w:rsidR="00607632" w:rsidRPr="00C83C51">
              <w:rPr>
                <w:rFonts w:ascii="Arial" w:hAnsi="Arial" w:cs="Arial"/>
                <w:b w:val="0"/>
                <w:color w:val="auto"/>
                <w:sz w:val="20"/>
                <w:szCs w:val="20"/>
              </w:rPr>
              <w:t>1.5</w:t>
            </w:r>
            <w:r w:rsidRPr="00C83C51">
              <w:rPr>
                <w:rFonts w:ascii="Arial" w:hAnsi="Arial" w:cs="Arial"/>
                <w:b w:val="0"/>
                <w:color w:val="auto"/>
                <w:sz w:val="20"/>
                <w:szCs w:val="20"/>
              </w:rPr>
              <w:t>)</w:t>
            </w:r>
          </w:p>
        </w:tc>
        <w:tc>
          <w:tcPr>
            <w:cnfStyle w:val="000010000000"/>
            <w:tcW w:w="4469" w:type="dxa"/>
          </w:tcPr>
          <w:p w:rsidR="00267C78" w:rsidRPr="00607632" w:rsidRDefault="00267C78" w:rsidP="003C5E34">
            <w:pPr>
              <w:pStyle w:val="ExampleSub"/>
              <w:keepNext w:val="0"/>
              <w:keepLines w:val="0"/>
              <w:ind w:left="0"/>
              <w:rPr>
                <w:rFonts w:ascii="Arial" w:hAnsi="Arial" w:cs="Arial"/>
                <w:b w:val="0"/>
                <w:color w:val="auto"/>
                <w:sz w:val="20"/>
                <w:szCs w:val="20"/>
              </w:rPr>
            </w:pPr>
            <w:r w:rsidRPr="00607632">
              <w:rPr>
                <w:rFonts w:ascii="Arial" w:hAnsi="Arial" w:cs="Arial"/>
                <w:b w:val="0"/>
                <w:color w:val="auto"/>
                <w:sz w:val="20"/>
                <w:szCs w:val="20"/>
              </w:rPr>
              <w:t>Amount written off to the Capital Adjustment Account</w:t>
            </w:r>
          </w:p>
        </w:tc>
        <w:tc>
          <w:tcPr>
            <w:tcW w:w="943" w:type="dxa"/>
          </w:tcPr>
          <w:p w:rsidR="00267C78" w:rsidRPr="00607632" w:rsidRDefault="00267C78" w:rsidP="00DF7E01">
            <w:pPr>
              <w:pStyle w:val="ExampleSub"/>
              <w:keepNext w:val="0"/>
              <w:keepLines w:val="0"/>
              <w:ind w:left="0"/>
              <w:jc w:val="center"/>
              <w:cnfStyle w:val="000000000000"/>
              <w:rPr>
                <w:rFonts w:ascii="Arial" w:hAnsi="Arial" w:cs="Arial"/>
                <w:b w:val="0"/>
                <w:bCs w:val="0"/>
                <w:color w:val="auto"/>
                <w:sz w:val="20"/>
                <w:szCs w:val="20"/>
              </w:rPr>
            </w:pPr>
            <w:r w:rsidRPr="00607632">
              <w:rPr>
                <w:rFonts w:ascii="Arial" w:hAnsi="Arial" w:cs="Arial"/>
                <w:b w:val="0"/>
                <w:bCs w:val="0"/>
                <w:color w:val="auto"/>
                <w:sz w:val="20"/>
                <w:szCs w:val="20"/>
              </w:rPr>
              <w:t>7</w:t>
            </w:r>
          </w:p>
        </w:tc>
        <w:tc>
          <w:tcPr>
            <w:cnfStyle w:val="000010000000"/>
            <w:tcW w:w="1000" w:type="dxa"/>
            <w:gridSpan w:val="2"/>
          </w:tcPr>
          <w:p w:rsidR="00267C78" w:rsidRPr="00607632" w:rsidRDefault="00267C78" w:rsidP="003A3C96">
            <w:pPr>
              <w:pStyle w:val="ExampleSub"/>
              <w:keepNext w:val="0"/>
              <w:keepLines w:val="0"/>
              <w:ind w:left="0"/>
              <w:jc w:val="center"/>
              <w:rPr>
                <w:rFonts w:ascii="Arial" w:hAnsi="Arial" w:cs="Arial"/>
                <w:bCs w:val="0"/>
                <w:color w:val="auto"/>
                <w:sz w:val="20"/>
                <w:szCs w:val="20"/>
              </w:rPr>
            </w:pPr>
          </w:p>
        </w:tc>
        <w:tc>
          <w:tcPr>
            <w:tcW w:w="1083" w:type="dxa"/>
          </w:tcPr>
          <w:p w:rsidR="00267C78" w:rsidRPr="00607632" w:rsidRDefault="00C83C51" w:rsidP="007F3BF7">
            <w:pPr>
              <w:pStyle w:val="ExampleSub"/>
              <w:keepNext w:val="0"/>
              <w:keepLines w:val="0"/>
              <w:ind w:left="0"/>
              <w:jc w:val="center"/>
              <w:cnfStyle w:val="000000000000"/>
              <w:rPr>
                <w:rFonts w:ascii="Arial" w:hAnsi="Arial" w:cs="Arial"/>
                <w:bCs w:val="0"/>
                <w:color w:val="auto"/>
                <w:sz w:val="20"/>
                <w:szCs w:val="20"/>
              </w:rPr>
            </w:pPr>
            <w:r>
              <w:rPr>
                <w:rFonts w:ascii="Arial" w:hAnsi="Arial" w:cs="Arial"/>
                <w:bCs w:val="0"/>
                <w:color w:val="auto"/>
                <w:sz w:val="20"/>
                <w:szCs w:val="20"/>
              </w:rPr>
              <w:t>(3.8)</w:t>
            </w:r>
          </w:p>
        </w:tc>
      </w:tr>
      <w:tr w:rsidR="00267C78" w:rsidRPr="00607632" w:rsidTr="00267C78">
        <w:trPr>
          <w:cnfStyle w:val="000000100000"/>
        </w:trPr>
        <w:tc>
          <w:tcPr>
            <w:cnfStyle w:val="001000000000"/>
            <w:tcW w:w="1072" w:type="dxa"/>
          </w:tcPr>
          <w:p w:rsidR="00267C78" w:rsidRPr="00C83C51" w:rsidRDefault="00267C78" w:rsidP="00607632">
            <w:pPr>
              <w:pStyle w:val="ExampleSub"/>
              <w:keepNext w:val="0"/>
              <w:keepLines w:val="0"/>
              <w:ind w:left="0"/>
              <w:jc w:val="center"/>
              <w:rPr>
                <w:rFonts w:ascii="Arial" w:hAnsi="Arial" w:cs="Arial"/>
                <w:b w:val="0"/>
                <w:color w:val="auto"/>
                <w:sz w:val="20"/>
                <w:szCs w:val="20"/>
              </w:rPr>
            </w:pPr>
            <w:r w:rsidRPr="00C83C51">
              <w:rPr>
                <w:rFonts w:ascii="Arial" w:hAnsi="Arial" w:cs="Arial"/>
                <w:b w:val="0"/>
                <w:color w:val="auto"/>
                <w:sz w:val="20"/>
                <w:szCs w:val="20"/>
              </w:rPr>
              <w:t>5</w:t>
            </w:r>
            <w:r w:rsidR="00607632" w:rsidRPr="00C83C51">
              <w:rPr>
                <w:rFonts w:ascii="Arial" w:hAnsi="Arial" w:cs="Arial"/>
                <w:b w:val="0"/>
                <w:color w:val="auto"/>
                <w:sz w:val="20"/>
                <w:szCs w:val="20"/>
              </w:rPr>
              <w:t>7</w:t>
            </w:r>
            <w:r w:rsidRPr="00C83C51">
              <w:rPr>
                <w:rFonts w:ascii="Arial" w:hAnsi="Arial" w:cs="Arial"/>
                <w:b w:val="0"/>
                <w:color w:val="auto"/>
                <w:sz w:val="20"/>
                <w:szCs w:val="20"/>
              </w:rPr>
              <w:t>.</w:t>
            </w:r>
            <w:r w:rsidR="00607632" w:rsidRPr="00C83C51">
              <w:rPr>
                <w:rFonts w:ascii="Arial" w:hAnsi="Arial" w:cs="Arial"/>
                <w:b w:val="0"/>
                <w:color w:val="auto"/>
                <w:sz w:val="20"/>
                <w:szCs w:val="20"/>
              </w:rPr>
              <w:t>1</w:t>
            </w:r>
          </w:p>
        </w:tc>
        <w:tc>
          <w:tcPr>
            <w:cnfStyle w:val="000010000000"/>
            <w:tcW w:w="4469" w:type="dxa"/>
          </w:tcPr>
          <w:p w:rsidR="00267C78" w:rsidRPr="00607632" w:rsidRDefault="00267C78" w:rsidP="003C5E34">
            <w:pPr>
              <w:pStyle w:val="ExampleSub"/>
              <w:keepNext w:val="0"/>
              <w:keepLines w:val="0"/>
              <w:ind w:left="0"/>
              <w:rPr>
                <w:rFonts w:ascii="Arial" w:hAnsi="Arial" w:cs="Arial"/>
                <w:bCs w:val="0"/>
                <w:color w:val="auto"/>
                <w:sz w:val="20"/>
                <w:szCs w:val="20"/>
              </w:rPr>
            </w:pPr>
            <w:r w:rsidRPr="00607632">
              <w:rPr>
                <w:rFonts w:ascii="Arial" w:hAnsi="Arial" w:cs="Arial"/>
                <w:bCs w:val="0"/>
                <w:color w:val="auto"/>
                <w:sz w:val="20"/>
                <w:szCs w:val="20"/>
              </w:rPr>
              <w:t>Balance at 31 March</w:t>
            </w:r>
          </w:p>
        </w:tc>
        <w:tc>
          <w:tcPr>
            <w:tcW w:w="943" w:type="dxa"/>
          </w:tcPr>
          <w:p w:rsidR="00267C78" w:rsidRPr="00607632" w:rsidRDefault="00267C78" w:rsidP="00DF7E01">
            <w:pPr>
              <w:pStyle w:val="ExampleSub"/>
              <w:keepNext w:val="0"/>
              <w:keepLines w:val="0"/>
              <w:ind w:left="0"/>
              <w:jc w:val="center"/>
              <w:cnfStyle w:val="000000100000"/>
              <w:rPr>
                <w:rFonts w:ascii="Arial" w:hAnsi="Arial" w:cs="Arial"/>
                <w:bCs w:val="0"/>
                <w:color w:val="auto"/>
                <w:sz w:val="20"/>
                <w:szCs w:val="20"/>
              </w:rPr>
            </w:pPr>
          </w:p>
        </w:tc>
        <w:tc>
          <w:tcPr>
            <w:cnfStyle w:val="000010000000"/>
            <w:tcW w:w="1000" w:type="dxa"/>
            <w:gridSpan w:val="2"/>
          </w:tcPr>
          <w:p w:rsidR="00267C78" w:rsidRPr="00607632" w:rsidRDefault="00267C78" w:rsidP="003A3C96">
            <w:pPr>
              <w:pStyle w:val="ExampleSub"/>
              <w:keepNext w:val="0"/>
              <w:keepLines w:val="0"/>
              <w:ind w:left="0"/>
              <w:jc w:val="center"/>
              <w:rPr>
                <w:rFonts w:ascii="Arial" w:hAnsi="Arial" w:cs="Arial"/>
                <w:bCs w:val="0"/>
                <w:color w:val="auto"/>
                <w:sz w:val="20"/>
                <w:szCs w:val="20"/>
              </w:rPr>
            </w:pPr>
          </w:p>
        </w:tc>
        <w:tc>
          <w:tcPr>
            <w:tcW w:w="1083" w:type="dxa"/>
          </w:tcPr>
          <w:p w:rsidR="00267C78" w:rsidRPr="00607632" w:rsidRDefault="00C83C51" w:rsidP="007F3BF7">
            <w:pPr>
              <w:pStyle w:val="ExampleSub"/>
              <w:keepNext w:val="0"/>
              <w:keepLines w:val="0"/>
              <w:ind w:left="0"/>
              <w:jc w:val="center"/>
              <w:cnfStyle w:val="000000100000"/>
              <w:rPr>
                <w:rFonts w:ascii="Arial" w:hAnsi="Arial" w:cs="Arial"/>
                <w:bCs w:val="0"/>
                <w:color w:val="auto"/>
                <w:sz w:val="20"/>
                <w:szCs w:val="20"/>
              </w:rPr>
            </w:pPr>
            <w:r>
              <w:rPr>
                <w:rFonts w:ascii="Arial" w:hAnsi="Arial" w:cs="Arial"/>
                <w:bCs w:val="0"/>
                <w:color w:val="auto"/>
                <w:sz w:val="20"/>
                <w:szCs w:val="20"/>
              </w:rPr>
              <w:t>60.5</w:t>
            </w:r>
          </w:p>
        </w:tc>
      </w:tr>
    </w:tbl>
    <w:p w:rsidR="00E32A5C" w:rsidRPr="00D42E0B" w:rsidRDefault="00E32A5C" w:rsidP="00C574BC">
      <w:pPr>
        <w:pStyle w:val="ExampleText"/>
        <w:ind w:left="0"/>
        <w:outlineLvl w:val="0"/>
        <w:rPr>
          <w:rFonts w:ascii="Arial" w:hAnsi="Arial" w:cs="Arial"/>
          <w:b/>
          <w:color w:val="548DD4" w:themeColor="text2" w:themeTint="99"/>
        </w:rPr>
      </w:pPr>
    </w:p>
    <w:p w:rsidR="00E51139" w:rsidRPr="00806014" w:rsidRDefault="000806E7" w:rsidP="00E32A5C">
      <w:pPr>
        <w:pStyle w:val="Subtitle"/>
        <w:ind w:left="567" w:hanging="567"/>
        <w:rPr>
          <w:b/>
          <w:color w:val="auto"/>
          <w:sz w:val="22"/>
          <w:szCs w:val="22"/>
        </w:rPr>
      </w:pPr>
      <w:r w:rsidRPr="00806014">
        <w:rPr>
          <w:b/>
          <w:color w:val="auto"/>
          <w:sz w:val="22"/>
          <w:szCs w:val="22"/>
        </w:rPr>
        <w:t>2</w:t>
      </w:r>
      <w:r w:rsidR="000A1BAE" w:rsidRPr="00806014">
        <w:rPr>
          <w:b/>
          <w:color w:val="auto"/>
          <w:sz w:val="22"/>
          <w:szCs w:val="22"/>
        </w:rPr>
        <w:t>4</w:t>
      </w:r>
      <w:r w:rsidR="00E51139" w:rsidRPr="00806014">
        <w:rPr>
          <w:b/>
          <w:color w:val="auto"/>
          <w:sz w:val="22"/>
          <w:szCs w:val="22"/>
        </w:rPr>
        <w:t>.</w:t>
      </w:r>
      <w:r w:rsidR="00E51139" w:rsidRPr="00806014">
        <w:rPr>
          <w:b/>
          <w:color w:val="auto"/>
          <w:sz w:val="22"/>
          <w:szCs w:val="22"/>
        </w:rPr>
        <w:tab/>
        <w:t>Amounts Reported for Resource Allocation Decisions</w:t>
      </w:r>
    </w:p>
    <w:p w:rsidR="00E51139" w:rsidRPr="00806014" w:rsidRDefault="00E51139" w:rsidP="00914704">
      <w:pPr>
        <w:pStyle w:val="ExampleSub"/>
        <w:keepNext w:val="0"/>
        <w:keepLines w:val="0"/>
        <w:spacing w:before="0" w:line="240" w:lineRule="auto"/>
        <w:rPr>
          <w:rFonts w:ascii="Arial" w:hAnsi="Arial" w:cs="Arial"/>
          <w:b w:val="0"/>
          <w:bCs w:val="0"/>
          <w:color w:val="auto"/>
          <w:sz w:val="20"/>
          <w:szCs w:val="20"/>
        </w:rPr>
      </w:pPr>
      <w:r w:rsidRPr="00806014">
        <w:rPr>
          <w:rFonts w:ascii="Arial" w:hAnsi="Arial" w:cs="Arial"/>
          <w:b w:val="0"/>
          <w:bCs w:val="0"/>
          <w:color w:val="auto"/>
          <w:sz w:val="20"/>
          <w:szCs w:val="20"/>
        </w:rPr>
        <w:t>The analysis of income and expenditure by service on the face of the Comprehensive Income and Expenditure Statement is that specified by the Service Reporting Code of Practice.  However, decisions about resource allocation are taken by the Mayor and Council on the basis of budget reports analysed across directorates.  These reports are prepared on a different basis from the accounting policies used in the financial statements. In particular:</w:t>
      </w:r>
    </w:p>
    <w:p w:rsidR="00E51139" w:rsidRPr="00806014" w:rsidRDefault="00E51139" w:rsidP="00914704">
      <w:pPr>
        <w:pStyle w:val="ExampleSub"/>
        <w:keepNext w:val="0"/>
        <w:keepLines w:val="0"/>
        <w:spacing w:before="0" w:line="240" w:lineRule="auto"/>
        <w:rPr>
          <w:rFonts w:ascii="Arial" w:hAnsi="Arial" w:cs="Arial"/>
          <w:b w:val="0"/>
          <w:bCs w:val="0"/>
          <w:color w:val="auto"/>
          <w:sz w:val="20"/>
          <w:szCs w:val="20"/>
        </w:rPr>
      </w:pPr>
    </w:p>
    <w:p w:rsidR="00E51139" w:rsidRPr="00806014" w:rsidRDefault="00E51139" w:rsidP="004978D1">
      <w:pPr>
        <w:pStyle w:val="ExampleSub"/>
        <w:keepNext w:val="0"/>
        <w:keepLines w:val="0"/>
        <w:numPr>
          <w:ilvl w:val="0"/>
          <w:numId w:val="4"/>
        </w:numPr>
        <w:spacing w:before="0" w:line="240" w:lineRule="auto"/>
        <w:ind w:left="1276"/>
        <w:rPr>
          <w:rFonts w:ascii="Arial" w:hAnsi="Arial" w:cs="Arial"/>
          <w:b w:val="0"/>
          <w:bCs w:val="0"/>
          <w:color w:val="auto"/>
          <w:sz w:val="20"/>
          <w:szCs w:val="20"/>
        </w:rPr>
      </w:pPr>
      <w:r w:rsidRPr="00806014">
        <w:rPr>
          <w:rFonts w:ascii="Arial" w:hAnsi="Arial" w:cs="Arial"/>
          <w:b w:val="0"/>
          <w:bCs w:val="0"/>
          <w:color w:val="auto"/>
          <w:sz w:val="20"/>
          <w:szCs w:val="20"/>
        </w:rPr>
        <w:t>no charges in relation to capital expenditure are included on the management reports (whereas depreciation, revaluation and impairment losses in excess of the balance on the Revaluation Reserve and amortisations are charged to services in the Comprehensive Income and Expenditure Statement)</w:t>
      </w:r>
    </w:p>
    <w:p w:rsidR="00E51139" w:rsidRPr="00806014" w:rsidRDefault="00E51139" w:rsidP="004978D1">
      <w:pPr>
        <w:pStyle w:val="ExampleSub"/>
        <w:keepNext w:val="0"/>
        <w:keepLines w:val="0"/>
        <w:numPr>
          <w:ilvl w:val="0"/>
          <w:numId w:val="4"/>
        </w:numPr>
        <w:spacing w:before="0" w:line="240" w:lineRule="auto"/>
        <w:ind w:left="1276"/>
        <w:rPr>
          <w:rFonts w:ascii="Arial" w:hAnsi="Arial" w:cs="Arial"/>
          <w:b w:val="0"/>
          <w:bCs w:val="0"/>
          <w:color w:val="auto"/>
          <w:sz w:val="20"/>
          <w:szCs w:val="20"/>
        </w:rPr>
      </w:pPr>
      <w:r w:rsidRPr="00806014">
        <w:rPr>
          <w:rFonts w:ascii="Arial" w:hAnsi="Arial" w:cs="Arial"/>
          <w:b w:val="0"/>
          <w:bCs w:val="0"/>
          <w:color w:val="auto"/>
          <w:sz w:val="20"/>
          <w:szCs w:val="20"/>
        </w:rPr>
        <w:t>the cost of retirement benefits is based on cash flows (payment of employer’s pensions contributions) rather than current service cost of benefits accrued in the year</w:t>
      </w:r>
    </w:p>
    <w:p w:rsidR="00E51139" w:rsidRPr="00806014" w:rsidRDefault="00E51139" w:rsidP="004978D1">
      <w:pPr>
        <w:pStyle w:val="ExampleSub"/>
        <w:keepNext w:val="0"/>
        <w:keepLines w:val="0"/>
        <w:numPr>
          <w:ilvl w:val="0"/>
          <w:numId w:val="4"/>
        </w:numPr>
        <w:spacing w:before="0" w:line="240" w:lineRule="auto"/>
        <w:ind w:left="1276"/>
        <w:rPr>
          <w:rFonts w:ascii="Arial" w:hAnsi="Arial" w:cs="Arial"/>
          <w:b w:val="0"/>
          <w:bCs w:val="0"/>
          <w:color w:val="auto"/>
          <w:sz w:val="20"/>
          <w:szCs w:val="20"/>
        </w:rPr>
      </w:pPr>
      <w:r w:rsidRPr="00806014">
        <w:rPr>
          <w:rFonts w:ascii="Arial" w:hAnsi="Arial" w:cs="Arial"/>
          <w:b w:val="0"/>
          <w:bCs w:val="0"/>
          <w:color w:val="auto"/>
          <w:sz w:val="20"/>
          <w:szCs w:val="20"/>
        </w:rPr>
        <w:t xml:space="preserve">expenditure on support services is budgeted for and included in management reports but </w:t>
      </w:r>
      <w:r w:rsidR="00817128" w:rsidRPr="00806014">
        <w:rPr>
          <w:rFonts w:ascii="Arial" w:hAnsi="Arial" w:cs="Arial"/>
          <w:b w:val="0"/>
          <w:bCs w:val="0"/>
          <w:color w:val="auto"/>
          <w:sz w:val="20"/>
          <w:szCs w:val="20"/>
        </w:rPr>
        <w:t>not allocated</w:t>
      </w:r>
      <w:r w:rsidRPr="00806014">
        <w:rPr>
          <w:rFonts w:ascii="Arial" w:hAnsi="Arial" w:cs="Arial"/>
          <w:b w:val="0"/>
          <w:bCs w:val="0"/>
          <w:color w:val="auto"/>
          <w:sz w:val="20"/>
          <w:szCs w:val="20"/>
        </w:rPr>
        <w:t xml:space="preserve"> to services.</w:t>
      </w:r>
    </w:p>
    <w:p w:rsidR="00E51139" w:rsidRPr="00806014" w:rsidRDefault="00E51139" w:rsidP="004978D1">
      <w:pPr>
        <w:pStyle w:val="ExampleSub"/>
        <w:keepNext w:val="0"/>
        <w:keepLines w:val="0"/>
        <w:numPr>
          <w:ilvl w:val="0"/>
          <w:numId w:val="4"/>
        </w:numPr>
        <w:spacing w:before="0" w:line="240" w:lineRule="auto"/>
        <w:ind w:left="1276"/>
        <w:rPr>
          <w:rFonts w:ascii="Arial" w:hAnsi="Arial" w:cs="Arial"/>
          <w:b w:val="0"/>
          <w:bCs w:val="0"/>
          <w:color w:val="auto"/>
          <w:sz w:val="20"/>
          <w:szCs w:val="20"/>
        </w:rPr>
      </w:pPr>
      <w:r w:rsidRPr="00806014">
        <w:rPr>
          <w:rFonts w:ascii="Arial" w:hAnsi="Arial" w:cs="Arial"/>
          <w:b w:val="0"/>
          <w:bCs w:val="0"/>
          <w:color w:val="auto"/>
          <w:sz w:val="20"/>
          <w:szCs w:val="20"/>
        </w:rPr>
        <w:t>Expenditure on capital financing such as minimum revenue provision are included in management reports but not charged to services in the Comprehensive Income and Expenditure Statement.</w:t>
      </w:r>
    </w:p>
    <w:p w:rsidR="00E51139" w:rsidRPr="00806014" w:rsidRDefault="00E51139" w:rsidP="004978D1">
      <w:pPr>
        <w:pStyle w:val="ExampleSub"/>
        <w:keepNext w:val="0"/>
        <w:keepLines w:val="0"/>
        <w:numPr>
          <w:ilvl w:val="0"/>
          <w:numId w:val="4"/>
        </w:numPr>
        <w:spacing w:before="0" w:line="240" w:lineRule="auto"/>
        <w:ind w:left="1276"/>
        <w:rPr>
          <w:rFonts w:ascii="Arial" w:hAnsi="Arial" w:cs="Arial"/>
          <w:b w:val="0"/>
          <w:bCs w:val="0"/>
          <w:color w:val="auto"/>
          <w:sz w:val="20"/>
          <w:szCs w:val="20"/>
        </w:rPr>
      </w:pPr>
      <w:r w:rsidRPr="00806014">
        <w:rPr>
          <w:rFonts w:ascii="Arial" w:hAnsi="Arial" w:cs="Arial"/>
          <w:b w:val="0"/>
          <w:bCs w:val="0"/>
          <w:color w:val="auto"/>
          <w:sz w:val="20"/>
          <w:szCs w:val="20"/>
        </w:rPr>
        <w:t>Transactions with bodies within the Council’s group are included in within management reporting but other group transactions are not included.</w:t>
      </w:r>
    </w:p>
    <w:p w:rsidR="00E51139" w:rsidRPr="00806014" w:rsidRDefault="00E51139" w:rsidP="00914704">
      <w:pPr>
        <w:pStyle w:val="ExampleSub"/>
        <w:keepNext w:val="0"/>
        <w:keepLines w:val="0"/>
        <w:spacing w:before="0" w:line="240" w:lineRule="auto"/>
        <w:rPr>
          <w:rFonts w:ascii="Arial" w:hAnsi="Arial" w:cs="Arial"/>
          <w:b w:val="0"/>
          <w:bCs w:val="0"/>
          <w:color w:val="auto"/>
          <w:sz w:val="20"/>
          <w:szCs w:val="20"/>
        </w:rPr>
      </w:pPr>
    </w:p>
    <w:p w:rsidR="00A57A31" w:rsidRPr="00806014" w:rsidRDefault="00E51139" w:rsidP="00A57A31">
      <w:pPr>
        <w:pStyle w:val="ExampleSub"/>
        <w:keepNext w:val="0"/>
        <w:keepLines w:val="0"/>
        <w:spacing w:before="0" w:line="240" w:lineRule="auto"/>
        <w:rPr>
          <w:rFonts w:ascii="Arial" w:hAnsi="Arial" w:cs="Arial"/>
          <w:b w:val="0"/>
          <w:bCs w:val="0"/>
          <w:color w:val="auto"/>
          <w:sz w:val="20"/>
          <w:szCs w:val="20"/>
        </w:rPr>
      </w:pPr>
      <w:r w:rsidRPr="00806014">
        <w:rPr>
          <w:rFonts w:ascii="Arial" w:hAnsi="Arial" w:cs="Arial"/>
          <w:b w:val="0"/>
          <w:bCs w:val="0"/>
          <w:color w:val="auto"/>
          <w:sz w:val="20"/>
          <w:szCs w:val="20"/>
        </w:rPr>
        <w:t>The income and expenditure of the Council’s four directorates recorded in the budget reports for the year is as follows</w:t>
      </w:r>
    </w:p>
    <w:p w:rsidR="007114D2" w:rsidRDefault="007114D2" w:rsidP="00A57A31">
      <w:pPr>
        <w:pStyle w:val="ExampleSub"/>
        <w:keepNext w:val="0"/>
        <w:keepLines w:val="0"/>
        <w:spacing w:before="0" w:line="240" w:lineRule="auto"/>
        <w:rPr>
          <w:rFonts w:ascii="Arial" w:hAnsi="Arial" w:cs="Arial"/>
          <w:b w:val="0"/>
          <w:bCs w:val="0"/>
          <w:color w:val="548DD4" w:themeColor="text2" w:themeTint="99"/>
          <w:sz w:val="20"/>
          <w:szCs w:val="20"/>
        </w:rPr>
      </w:pPr>
    </w:p>
    <w:p w:rsidR="00454CCA" w:rsidRPr="00454CCA" w:rsidRDefault="00454CCA" w:rsidP="00A57A31">
      <w:pPr>
        <w:pStyle w:val="ExampleSub"/>
        <w:keepNext w:val="0"/>
        <w:keepLines w:val="0"/>
        <w:spacing w:before="0" w:line="240" w:lineRule="auto"/>
        <w:rPr>
          <w:rFonts w:ascii="Arial" w:hAnsi="Arial" w:cs="Arial"/>
          <w:b w:val="0"/>
          <w:bCs w:val="0"/>
          <w:color w:val="auto"/>
          <w:sz w:val="20"/>
          <w:szCs w:val="20"/>
        </w:rPr>
      </w:pPr>
      <w:r w:rsidRPr="00454CCA">
        <w:rPr>
          <w:rFonts w:ascii="Arial" w:hAnsi="Arial" w:cs="Arial"/>
          <w:b w:val="0"/>
          <w:bCs w:val="0"/>
          <w:color w:val="auto"/>
          <w:sz w:val="20"/>
          <w:szCs w:val="20"/>
        </w:rPr>
        <w:t>For 2015/16 the Council had a new management structure which is reflected in the note below. In summary the Council has grouped its “people” services of adult social care, childrens social car</w:t>
      </w:r>
      <w:r w:rsidR="00006E3B">
        <w:rPr>
          <w:rFonts w:ascii="Arial" w:hAnsi="Arial" w:cs="Arial"/>
          <w:b w:val="0"/>
          <w:bCs w:val="0"/>
          <w:color w:val="auto"/>
          <w:sz w:val="20"/>
          <w:szCs w:val="20"/>
        </w:rPr>
        <w:t xml:space="preserve">e </w:t>
      </w:r>
      <w:r w:rsidRPr="00454CCA">
        <w:rPr>
          <w:rFonts w:ascii="Arial" w:hAnsi="Arial" w:cs="Arial"/>
          <w:b w:val="0"/>
          <w:bCs w:val="0"/>
          <w:color w:val="auto"/>
          <w:sz w:val="20"/>
          <w:szCs w:val="20"/>
        </w:rPr>
        <w:t>and public health under a Joint Commissioning Team with the remainder of its services grouped in a Joint Operations Team. As this structure was not applicable for 2014/15 and there has been no management reporting for 2014/15 on the new structure, the previous year has not been restated.</w:t>
      </w:r>
    </w:p>
    <w:p w:rsidR="00454CCA" w:rsidRPr="00D42E0B" w:rsidRDefault="00454CCA" w:rsidP="00A57A31">
      <w:pPr>
        <w:pStyle w:val="ExampleSub"/>
        <w:keepNext w:val="0"/>
        <w:keepLines w:val="0"/>
        <w:spacing w:before="0" w:line="240" w:lineRule="auto"/>
        <w:rPr>
          <w:rFonts w:ascii="Arial" w:hAnsi="Arial" w:cs="Arial"/>
          <w:b w:val="0"/>
          <w:bCs w:val="0"/>
          <w:color w:val="548DD4" w:themeColor="text2" w:themeTint="99"/>
          <w:sz w:val="20"/>
          <w:szCs w:val="20"/>
        </w:rPr>
        <w:sectPr w:rsidR="00454CCA" w:rsidRPr="00D42E0B" w:rsidSect="001A3F09">
          <w:pgSz w:w="11906" w:h="16838" w:code="9"/>
          <w:pgMar w:top="1440" w:right="1440" w:bottom="1440" w:left="1440" w:header="544" w:footer="544" w:gutter="0"/>
          <w:cols w:space="708"/>
          <w:titlePg/>
          <w:docGrid w:linePitch="360"/>
        </w:sectPr>
      </w:pPr>
    </w:p>
    <w:tbl>
      <w:tblPr>
        <w:tblStyle w:val="ListTable3-Accent51"/>
        <w:tblW w:w="15735" w:type="dxa"/>
        <w:tblInd w:w="-459" w:type="dxa"/>
        <w:tblBorders>
          <w:insideH w:val="single" w:sz="4" w:space="0" w:color="4BACC6" w:themeColor="accent5"/>
          <w:insideV w:val="single" w:sz="4" w:space="0" w:color="4BACC6" w:themeColor="accent5"/>
        </w:tblBorders>
        <w:tblLayout w:type="fixed"/>
        <w:tblLook w:val="01E0"/>
      </w:tblPr>
      <w:tblGrid>
        <w:gridCol w:w="695"/>
        <w:gridCol w:w="156"/>
        <w:gridCol w:w="283"/>
        <w:gridCol w:w="412"/>
        <w:gridCol w:w="806"/>
        <w:gridCol w:w="1334"/>
        <w:gridCol w:w="1276"/>
        <w:gridCol w:w="1275"/>
        <w:gridCol w:w="851"/>
        <w:gridCol w:w="1559"/>
        <w:gridCol w:w="992"/>
        <w:gridCol w:w="1276"/>
        <w:gridCol w:w="992"/>
        <w:gridCol w:w="284"/>
        <w:gridCol w:w="1276"/>
        <w:gridCol w:w="1134"/>
        <w:gridCol w:w="647"/>
        <w:gridCol w:w="487"/>
      </w:tblGrid>
      <w:tr w:rsidR="009A73F1" w:rsidRPr="009A73F1" w:rsidTr="009A73F1">
        <w:trPr>
          <w:cnfStyle w:val="100000000000"/>
          <w:trHeight w:hRule="exact" w:val="294"/>
          <w:tblHeader/>
        </w:trPr>
        <w:tc>
          <w:tcPr>
            <w:cnfStyle w:val="001000000100"/>
            <w:tcW w:w="695" w:type="dxa"/>
          </w:tcPr>
          <w:p w:rsidR="009A73F1" w:rsidRPr="009A73F1" w:rsidRDefault="009A73F1" w:rsidP="00604A87">
            <w:pPr>
              <w:jc w:val="center"/>
              <w:rPr>
                <w:rFonts w:cs="Arial"/>
                <w:color w:val="auto"/>
                <w:sz w:val="22"/>
                <w:szCs w:val="22"/>
              </w:rPr>
            </w:pPr>
          </w:p>
        </w:tc>
        <w:tc>
          <w:tcPr>
            <w:cnfStyle w:val="000010000000"/>
            <w:tcW w:w="851" w:type="dxa"/>
            <w:gridSpan w:val="3"/>
          </w:tcPr>
          <w:p w:rsidR="009A73F1" w:rsidRPr="009A73F1" w:rsidRDefault="009A73F1" w:rsidP="00604A87">
            <w:pPr>
              <w:jc w:val="center"/>
              <w:rPr>
                <w:rFonts w:cs="Arial"/>
                <w:color w:val="auto"/>
                <w:sz w:val="22"/>
                <w:szCs w:val="22"/>
              </w:rPr>
            </w:pPr>
          </w:p>
        </w:tc>
        <w:tc>
          <w:tcPr>
            <w:tcW w:w="13702" w:type="dxa"/>
            <w:gridSpan w:val="13"/>
          </w:tcPr>
          <w:p w:rsidR="009A73F1" w:rsidRPr="009A73F1" w:rsidRDefault="009A73F1" w:rsidP="00604A87">
            <w:pPr>
              <w:jc w:val="center"/>
              <w:cnfStyle w:val="100000000000"/>
              <w:rPr>
                <w:rFonts w:cs="Arial"/>
                <w:b w:val="0"/>
                <w:color w:val="auto"/>
                <w:sz w:val="22"/>
                <w:szCs w:val="22"/>
              </w:rPr>
            </w:pPr>
            <w:r w:rsidRPr="009A73F1">
              <w:rPr>
                <w:rFonts w:cs="Arial"/>
                <w:color w:val="auto"/>
                <w:sz w:val="22"/>
                <w:szCs w:val="22"/>
              </w:rPr>
              <w:t>Directorate Income and Expenditure</w:t>
            </w:r>
          </w:p>
        </w:tc>
        <w:tc>
          <w:tcPr>
            <w:cnfStyle w:val="000100001000"/>
            <w:tcW w:w="487" w:type="dxa"/>
          </w:tcPr>
          <w:p w:rsidR="009A73F1" w:rsidRPr="009A73F1" w:rsidRDefault="009A73F1" w:rsidP="00604A87">
            <w:pPr>
              <w:jc w:val="center"/>
              <w:rPr>
                <w:rFonts w:cs="Arial"/>
                <w:b w:val="0"/>
                <w:color w:val="auto"/>
                <w:sz w:val="18"/>
                <w:szCs w:val="18"/>
              </w:rPr>
            </w:pPr>
          </w:p>
        </w:tc>
      </w:tr>
      <w:tr w:rsidR="009A73F1" w:rsidRPr="009A73F1" w:rsidTr="00C3056C">
        <w:trPr>
          <w:cnfStyle w:val="100000000000"/>
          <w:trHeight w:hRule="exact" w:val="333"/>
          <w:tblHeader/>
        </w:trPr>
        <w:tc>
          <w:tcPr>
            <w:cnfStyle w:val="001000000100"/>
            <w:tcW w:w="851" w:type="dxa"/>
            <w:gridSpan w:val="2"/>
          </w:tcPr>
          <w:p w:rsidR="009A73F1" w:rsidRPr="009A73F1" w:rsidRDefault="009A73F1" w:rsidP="00A57A31">
            <w:pPr>
              <w:jc w:val="center"/>
              <w:rPr>
                <w:rFonts w:cs="Arial"/>
                <w:b w:val="0"/>
                <w:color w:val="auto"/>
                <w:sz w:val="20"/>
                <w:szCs w:val="20"/>
              </w:rPr>
            </w:pPr>
          </w:p>
        </w:tc>
        <w:tc>
          <w:tcPr>
            <w:cnfStyle w:val="000010000000"/>
            <w:tcW w:w="6237" w:type="dxa"/>
            <w:gridSpan w:val="7"/>
          </w:tcPr>
          <w:p w:rsidR="009A73F1" w:rsidRPr="009A73F1" w:rsidRDefault="009A73F1" w:rsidP="009A73F1">
            <w:pPr>
              <w:jc w:val="center"/>
              <w:rPr>
                <w:rFonts w:cs="Arial"/>
                <w:b w:val="0"/>
                <w:color w:val="auto"/>
                <w:sz w:val="20"/>
                <w:szCs w:val="20"/>
              </w:rPr>
            </w:pPr>
            <w:r w:rsidRPr="009A73F1">
              <w:rPr>
                <w:rFonts w:cs="Arial"/>
                <w:b w:val="0"/>
                <w:color w:val="auto"/>
                <w:sz w:val="20"/>
                <w:szCs w:val="20"/>
              </w:rPr>
              <w:t>2014/15</w:t>
            </w:r>
          </w:p>
        </w:tc>
        <w:tc>
          <w:tcPr>
            <w:tcW w:w="1559" w:type="dxa"/>
          </w:tcPr>
          <w:p w:rsidR="009A73F1" w:rsidRPr="009A73F1" w:rsidRDefault="009A73F1" w:rsidP="00BB4C86">
            <w:pPr>
              <w:cnfStyle w:val="100000000000"/>
              <w:rPr>
                <w:rFonts w:cs="Arial"/>
                <w:color w:val="auto"/>
                <w:sz w:val="20"/>
                <w:szCs w:val="20"/>
              </w:rPr>
            </w:pPr>
          </w:p>
        </w:tc>
        <w:tc>
          <w:tcPr>
            <w:cnfStyle w:val="000010000000"/>
            <w:tcW w:w="5954" w:type="dxa"/>
            <w:gridSpan w:val="6"/>
          </w:tcPr>
          <w:p w:rsidR="009A73F1" w:rsidRPr="009A73F1" w:rsidRDefault="009A73F1" w:rsidP="009A73F1">
            <w:pPr>
              <w:jc w:val="center"/>
              <w:rPr>
                <w:rFonts w:cs="Arial"/>
                <w:color w:val="auto"/>
                <w:sz w:val="20"/>
                <w:szCs w:val="20"/>
              </w:rPr>
            </w:pPr>
            <w:r w:rsidRPr="009A73F1">
              <w:rPr>
                <w:rFonts w:cs="Arial"/>
                <w:color w:val="auto"/>
                <w:sz w:val="20"/>
                <w:szCs w:val="20"/>
              </w:rPr>
              <w:t>2015/16</w:t>
            </w:r>
          </w:p>
        </w:tc>
        <w:tc>
          <w:tcPr>
            <w:cnfStyle w:val="000100001000"/>
            <w:tcW w:w="1134" w:type="dxa"/>
            <w:gridSpan w:val="2"/>
          </w:tcPr>
          <w:p w:rsidR="009A73F1" w:rsidRPr="009A73F1" w:rsidRDefault="009A73F1" w:rsidP="00604A87">
            <w:pPr>
              <w:jc w:val="center"/>
              <w:rPr>
                <w:rFonts w:cs="Arial"/>
                <w:color w:val="auto"/>
                <w:sz w:val="20"/>
                <w:szCs w:val="20"/>
              </w:rPr>
            </w:pPr>
          </w:p>
        </w:tc>
      </w:tr>
      <w:tr w:rsidR="00C3056C" w:rsidRPr="009A73F1" w:rsidTr="00C3056C">
        <w:trPr>
          <w:cnfStyle w:val="100000000000"/>
          <w:trHeight w:hRule="exact" w:val="374"/>
          <w:tblHeader/>
        </w:trPr>
        <w:tc>
          <w:tcPr>
            <w:cnfStyle w:val="001000000100"/>
            <w:tcW w:w="1134" w:type="dxa"/>
            <w:gridSpan w:val="3"/>
          </w:tcPr>
          <w:p w:rsidR="00C3056C" w:rsidRPr="009A73F1" w:rsidRDefault="00C3056C" w:rsidP="00AD418E">
            <w:pPr>
              <w:jc w:val="center"/>
              <w:rPr>
                <w:rFonts w:cs="Arial"/>
                <w:b w:val="0"/>
                <w:color w:val="auto"/>
                <w:sz w:val="18"/>
                <w:szCs w:val="18"/>
              </w:rPr>
            </w:pPr>
          </w:p>
        </w:tc>
        <w:tc>
          <w:tcPr>
            <w:cnfStyle w:val="000010000000"/>
            <w:tcW w:w="1218" w:type="dxa"/>
            <w:gridSpan w:val="2"/>
          </w:tcPr>
          <w:p w:rsidR="00C3056C" w:rsidRPr="009A73F1" w:rsidRDefault="00C3056C" w:rsidP="00A57A31">
            <w:pPr>
              <w:jc w:val="center"/>
              <w:rPr>
                <w:rFonts w:cs="Arial"/>
                <w:b w:val="0"/>
                <w:color w:val="auto"/>
                <w:sz w:val="18"/>
                <w:szCs w:val="18"/>
              </w:rPr>
            </w:pPr>
          </w:p>
        </w:tc>
        <w:tc>
          <w:tcPr>
            <w:tcW w:w="1334" w:type="dxa"/>
          </w:tcPr>
          <w:p w:rsidR="00C3056C" w:rsidRPr="009A73F1" w:rsidRDefault="00C3056C" w:rsidP="002C2027">
            <w:pPr>
              <w:jc w:val="center"/>
              <w:cnfStyle w:val="100000000000"/>
              <w:rPr>
                <w:rFonts w:cs="Arial"/>
                <w:b w:val="0"/>
                <w:color w:val="auto"/>
                <w:sz w:val="18"/>
                <w:szCs w:val="18"/>
              </w:rPr>
            </w:pPr>
          </w:p>
        </w:tc>
        <w:tc>
          <w:tcPr>
            <w:cnfStyle w:val="000010000000"/>
            <w:tcW w:w="1276" w:type="dxa"/>
          </w:tcPr>
          <w:p w:rsidR="00C3056C" w:rsidRPr="009A73F1" w:rsidRDefault="00C3056C" w:rsidP="00A57A31">
            <w:pPr>
              <w:jc w:val="center"/>
              <w:rPr>
                <w:rFonts w:cs="Arial"/>
                <w:b w:val="0"/>
                <w:color w:val="auto"/>
                <w:sz w:val="18"/>
                <w:szCs w:val="18"/>
              </w:rPr>
            </w:pPr>
          </w:p>
        </w:tc>
        <w:tc>
          <w:tcPr>
            <w:tcW w:w="1275" w:type="dxa"/>
          </w:tcPr>
          <w:p w:rsidR="00C3056C" w:rsidRPr="009A73F1" w:rsidRDefault="00C3056C" w:rsidP="00A57A31">
            <w:pPr>
              <w:jc w:val="center"/>
              <w:cnfStyle w:val="100000000000"/>
              <w:rPr>
                <w:rFonts w:cs="Arial"/>
                <w:b w:val="0"/>
                <w:color w:val="auto"/>
                <w:sz w:val="18"/>
                <w:szCs w:val="18"/>
              </w:rPr>
            </w:pPr>
          </w:p>
        </w:tc>
        <w:tc>
          <w:tcPr>
            <w:cnfStyle w:val="000010000000"/>
            <w:tcW w:w="851" w:type="dxa"/>
          </w:tcPr>
          <w:p w:rsidR="00C3056C" w:rsidRPr="009A73F1" w:rsidRDefault="00C3056C" w:rsidP="00A57A31">
            <w:pPr>
              <w:jc w:val="center"/>
              <w:rPr>
                <w:rFonts w:cs="Arial"/>
                <w:b w:val="0"/>
                <w:color w:val="auto"/>
                <w:sz w:val="18"/>
                <w:szCs w:val="18"/>
              </w:rPr>
            </w:pPr>
          </w:p>
        </w:tc>
        <w:tc>
          <w:tcPr>
            <w:tcW w:w="1559" w:type="dxa"/>
          </w:tcPr>
          <w:p w:rsidR="00C3056C" w:rsidRPr="009A73F1" w:rsidRDefault="00C3056C" w:rsidP="00BB4C86">
            <w:pPr>
              <w:cnfStyle w:val="100000000000"/>
              <w:rPr>
                <w:rFonts w:cs="Arial"/>
                <w:color w:val="auto"/>
                <w:sz w:val="20"/>
                <w:szCs w:val="20"/>
              </w:rPr>
            </w:pPr>
          </w:p>
        </w:tc>
        <w:tc>
          <w:tcPr>
            <w:cnfStyle w:val="000010000000"/>
            <w:tcW w:w="3260" w:type="dxa"/>
            <w:gridSpan w:val="3"/>
          </w:tcPr>
          <w:p w:rsidR="00C3056C" w:rsidRPr="009A73F1" w:rsidRDefault="00C3056C" w:rsidP="00FF66C8">
            <w:pPr>
              <w:jc w:val="center"/>
              <w:rPr>
                <w:rFonts w:cs="Arial"/>
                <w:color w:val="auto"/>
                <w:sz w:val="20"/>
                <w:szCs w:val="20"/>
              </w:rPr>
            </w:pPr>
            <w:r>
              <w:rPr>
                <w:rFonts w:cs="Arial"/>
                <w:color w:val="auto"/>
                <w:sz w:val="20"/>
                <w:szCs w:val="20"/>
              </w:rPr>
              <w:t>Commissioning</w:t>
            </w:r>
          </w:p>
        </w:tc>
        <w:tc>
          <w:tcPr>
            <w:tcW w:w="284" w:type="dxa"/>
          </w:tcPr>
          <w:p w:rsidR="00C3056C" w:rsidRPr="009A73F1" w:rsidRDefault="00C3056C" w:rsidP="00FF66C8">
            <w:pPr>
              <w:jc w:val="center"/>
              <w:cnfStyle w:val="100000000000"/>
              <w:rPr>
                <w:rFonts w:cs="Arial"/>
                <w:b w:val="0"/>
                <w:bCs w:val="0"/>
                <w:color w:val="auto"/>
                <w:sz w:val="20"/>
                <w:szCs w:val="20"/>
              </w:rPr>
            </w:pPr>
          </w:p>
        </w:tc>
        <w:tc>
          <w:tcPr>
            <w:cnfStyle w:val="000010000000"/>
            <w:tcW w:w="2410" w:type="dxa"/>
            <w:gridSpan w:val="2"/>
          </w:tcPr>
          <w:p w:rsidR="00C3056C" w:rsidRPr="009A73F1" w:rsidRDefault="00C3056C" w:rsidP="003545EC">
            <w:pPr>
              <w:jc w:val="center"/>
              <w:rPr>
                <w:rFonts w:cs="Arial"/>
                <w:color w:val="auto"/>
                <w:sz w:val="20"/>
                <w:szCs w:val="20"/>
              </w:rPr>
            </w:pPr>
            <w:r>
              <w:rPr>
                <w:rFonts w:cs="Arial"/>
                <w:color w:val="auto"/>
                <w:sz w:val="20"/>
                <w:szCs w:val="20"/>
              </w:rPr>
              <w:t>Operations</w:t>
            </w:r>
          </w:p>
        </w:tc>
        <w:tc>
          <w:tcPr>
            <w:cnfStyle w:val="000100001000"/>
            <w:tcW w:w="1134" w:type="dxa"/>
            <w:gridSpan w:val="2"/>
          </w:tcPr>
          <w:p w:rsidR="00C3056C" w:rsidRPr="009A73F1" w:rsidRDefault="00C3056C" w:rsidP="00604A87">
            <w:pPr>
              <w:jc w:val="center"/>
              <w:rPr>
                <w:rFonts w:cs="Arial"/>
                <w:color w:val="auto"/>
                <w:sz w:val="20"/>
                <w:szCs w:val="20"/>
              </w:rPr>
            </w:pPr>
            <w:r w:rsidRPr="009A73F1">
              <w:rPr>
                <w:rFonts w:cs="Arial"/>
                <w:color w:val="auto"/>
                <w:sz w:val="20"/>
                <w:szCs w:val="20"/>
              </w:rPr>
              <w:t>Total</w:t>
            </w:r>
          </w:p>
        </w:tc>
      </w:tr>
      <w:tr w:rsidR="002C2027" w:rsidRPr="009A73F1" w:rsidTr="00C3056C">
        <w:trPr>
          <w:cnfStyle w:val="000000100000"/>
          <w:trHeight w:hRule="exact" w:val="1117"/>
        </w:trPr>
        <w:tc>
          <w:tcPr>
            <w:cnfStyle w:val="001000000000"/>
            <w:tcW w:w="1134" w:type="dxa"/>
            <w:gridSpan w:val="3"/>
            <w:shd w:val="clear" w:color="auto" w:fill="4BACC6" w:themeFill="accent5"/>
          </w:tcPr>
          <w:p w:rsidR="002C2027" w:rsidRPr="00C3056C" w:rsidRDefault="002C2027" w:rsidP="00AD418E">
            <w:pPr>
              <w:jc w:val="center"/>
              <w:rPr>
                <w:rFonts w:cs="Arial"/>
                <w:b w:val="0"/>
                <w:color w:val="auto"/>
                <w:sz w:val="20"/>
                <w:szCs w:val="20"/>
              </w:rPr>
            </w:pPr>
            <w:r w:rsidRPr="00C3056C">
              <w:rPr>
                <w:rFonts w:cs="Arial"/>
                <w:b w:val="0"/>
                <w:color w:val="auto"/>
                <w:sz w:val="18"/>
                <w:szCs w:val="18"/>
              </w:rPr>
              <w:t>Adults &amp; Resources</w:t>
            </w:r>
          </w:p>
        </w:tc>
        <w:tc>
          <w:tcPr>
            <w:cnfStyle w:val="000010000000"/>
            <w:tcW w:w="1218" w:type="dxa"/>
            <w:gridSpan w:val="2"/>
            <w:shd w:val="clear" w:color="auto" w:fill="4BACC6" w:themeFill="accent5"/>
          </w:tcPr>
          <w:p w:rsidR="002C2027" w:rsidRPr="00C3056C" w:rsidRDefault="002C2027" w:rsidP="00AD418E">
            <w:pPr>
              <w:jc w:val="center"/>
              <w:rPr>
                <w:rFonts w:cs="Arial"/>
                <w:color w:val="auto"/>
                <w:sz w:val="20"/>
                <w:szCs w:val="20"/>
              </w:rPr>
            </w:pPr>
            <w:r w:rsidRPr="00C3056C">
              <w:rPr>
                <w:rFonts w:cs="Arial"/>
                <w:color w:val="auto"/>
                <w:sz w:val="18"/>
                <w:szCs w:val="18"/>
              </w:rPr>
              <w:t>Childrens, Schools &amp; Families</w:t>
            </w:r>
          </w:p>
        </w:tc>
        <w:tc>
          <w:tcPr>
            <w:tcW w:w="1334" w:type="dxa"/>
            <w:shd w:val="clear" w:color="auto" w:fill="4BACC6" w:themeFill="accent5"/>
          </w:tcPr>
          <w:p w:rsidR="002C2027" w:rsidRPr="00C3056C" w:rsidRDefault="002C2027" w:rsidP="002C2027">
            <w:pPr>
              <w:jc w:val="center"/>
              <w:cnfStyle w:val="000000100000"/>
              <w:rPr>
                <w:rFonts w:cs="Arial"/>
                <w:color w:val="auto"/>
                <w:sz w:val="18"/>
                <w:szCs w:val="18"/>
              </w:rPr>
            </w:pPr>
            <w:r w:rsidRPr="00C3056C">
              <w:rPr>
                <w:rFonts w:cs="Arial"/>
                <w:color w:val="auto"/>
                <w:sz w:val="18"/>
                <w:szCs w:val="18"/>
              </w:rPr>
              <w:t>Public Health &amp; Community Safety</w:t>
            </w:r>
          </w:p>
          <w:p w:rsidR="002C2027" w:rsidRPr="00C3056C" w:rsidRDefault="002C2027" w:rsidP="00AD418E">
            <w:pPr>
              <w:jc w:val="center"/>
              <w:cnfStyle w:val="000000100000"/>
              <w:rPr>
                <w:rFonts w:cs="Arial"/>
                <w:color w:val="auto"/>
                <w:sz w:val="20"/>
                <w:szCs w:val="20"/>
              </w:rPr>
            </w:pPr>
          </w:p>
        </w:tc>
        <w:tc>
          <w:tcPr>
            <w:cnfStyle w:val="000010000000"/>
            <w:tcW w:w="1276" w:type="dxa"/>
            <w:shd w:val="clear" w:color="auto" w:fill="4BACC6" w:themeFill="accent5"/>
          </w:tcPr>
          <w:p w:rsidR="002C2027" w:rsidRPr="00C3056C" w:rsidRDefault="002C2027" w:rsidP="00AD418E">
            <w:pPr>
              <w:jc w:val="center"/>
              <w:rPr>
                <w:rFonts w:cs="Arial"/>
                <w:color w:val="auto"/>
                <w:sz w:val="20"/>
                <w:szCs w:val="20"/>
              </w:rPr>
            </w:pPr>
            <w:r w:rsidRPr="00C3056C">
              <w:rPr>
                <w:rFonts w:cs="Arial"/>
                <w:color w:val="auto"/>
                <w:sz w:val="18"/>
                <w:szCs w:val="18"/>
              </w:rPr>
              <w:t>Place &amp; Resources</w:t>
            </w:r>
          </w:p>
        </w:tc>
        <w:tc>
          <w:tcPr>
            <w:tcW w:w="1275" w:type="dxa"/>
            <w:shd w:val="clear" w:color="auto" w:fill="4BACC6" w:themeFill="accent5"/>
          </w:tcPr>
          <w:p w:rsidR="002C2027" w:rsidRPr="00C3056C" w:rsidRDefault="002C2027" w:rsidP="00AD418E">
            <w:pPr>
              <w:jc w:val="center"/>
              <w:cnfStyle w:val="000000100000"/>
              <w:rPr>
                <w:rFonts w:cs="Arial"/>
                <w:color w:val="auto"/>
                <w:sz w:val="20"/>
                <w:szCs w:val="20"/>
              </w:rPr>
            </w:pPr>
            <w:r w:rsidRPr="00C3056C">
              <w:rPr>
                <w:rFonts w:cs="Arial"/>
                <w:color w:val="auto"/>
                <w:sz w:val="18"/>
                <w:szCs w:val="18"/>
              </w:rPr>
              <w:t>Operations</w:t>
            </w:r>
          </w:p>
        </w:tc>
        <w:tc>
          <w:tcPr>
            <w:cnfStyle w:val="000010000000"/>
            <w:tcW w:w="851" w:type="dxa"/>
            <w:shd w:val="clear" w:color="auto" w:fill="4BACC6" w:themeFill="accent5"/>
          </w:tcPr>
          <w:p w:rsidR="002C2027" w:rsidRPr="00C3056C" w:rsidRDefault="002C2027" w:rsidP="00AD418E">
            <w:pPr>
              <w:jc w:val="center"/>
              <w:rPr>
                <w:rFonts w:cs="Arial"/>
                <w:color w:val="auto"/>
                <w:sz w:val="20"/>
                <w:szCs w:val="20"/>
              </w:rPr>
            </w:pPr>
            <w:r w:rsidRPr="00C3056C">
              <w:rPr>
                <w:rFonts w:cs="Arial"/>
                <w:color w:val="auto"/>
                <w:sz w:val="18"/>
                <w:szCs w:val="18"/>
              </w:rPr>
              <w:t>Total</w:t>
            </w:r>
          </w:p>
        </w:tc>
        <w:tc>
          <w:tcPr>
            <w:tcW w:w="1559" w:type="dxa"/>
            <w:shd w:val="clear" w:color="auto" w:fill="4BACC6" w:themeFill="accent5"/>
          </w:tcPr>
          <w:p w:rsidR="002C2027" w:rsidRPr="00C3056C" w:rsidRDefault="002C2027" w:rsidP="00BA33B9">
            <w:pPr>
              <w:cnfStyle w:val="000000100000"/>
              <w:rPr>
                <w:rFonts w:cs="Arial"/>
                <w:color w:val="auto"/>
                <w:sz w:val="20"/>
                <w:szCs w:val="20"/>
              </w:rPr>
            </w:pPr>
          </w:p>
        </w:tc>
        <w:tc>
          <w:tcPr>
            <w:cnfStyle w:val="000010000000"/>
            <w:tcW w:w="992" w:type="dxa"/>
            <w:shd w:val="clear" w:color="auto" w:fill="4BACC6" w:themeFill="accent5"/>
          </w:tcPr>
          <w:p w:rsidR="002C2027" w:rsidRPr="00C3056C" w:rsidRDefault="00C3056C" w:rsidP="00CE6D72">
            <w:pPr>
              <w:jc w:val="center"/>
              <w:rPr>
                <w:rFonts w:cs="Arial"/>
                <w:color w:val="auto"/>
                <w:sz w:val="18"/>
                <w:szCs w:val="18"/>
              </w:rPr>
            </w:pPr>
            <w:r w:rsidRPr="00C3056C">
              <w:rPr>
                <w:rFonts w:cs="Arial"/>
                <w:color w:val="auto"/>
                <w:sz w:val="18"/>
                <w:szCs w:val="18"/>
              </w:rPr>
              <w:t>Adults</w:t>
            </w:r>
          </w:p>
        </w:tc>
        <w:tc>
          <w:tcPr>
            <w:tcW w:w="1276" w:type="dxa"/>
            <w:shd w:val="clear" w:color="auto" w:fill="4BACC6" w:themeFill="accent5"/>
          </w:tcPr>
          <w:p w:rsidR="002C2027" w:rsidRPr="00C3056C" w:rsidRDefault="00C3056C" w:rsidP="00CE6D72">
            <w:pPr>
              <w:jc w:val="center"/>
              <w:cnfStyle w:val="000000100000"/>
              <w:rPr>
                <w:rFonts w:cs="Arial"/>
                <w:color w:val="auto"/>
                <w:sz w:val="18"/>
                <w:szCs w:val="18"/>
              </w:rPr>
            </w:pPr>
            <w:r w:rsidRPr="00C3056C">
              <w:rPr>
                <w:rFonts w:cs="Arial"/>
                <w:color w:val="auto"/>
                <w:sz w:val="18"/>
                <w:szCs w:val="18"/>
              </w:rPr>
              <w:t>Childrens</w:t>
            </w:r>
          </w:p>
        </w:tc>
        <w:tc>
          <w:tcPr>
            <w:cnfStyle w:val="000010000000"/>
            <w:tcW w:w="1276" w:type="dxa"/>
            <w:gridSpan w:val="2"/>
            <w:shd w:val="clear" w:color="auto" w:fill="4BACC6" w:themeFill="accent5"/>
          </w:tcPr>
          <w:p w:rsidR="002C2027" w:rsidRPr="00C3056C" w:rsidRDefault="00C3056C" w:rsidP="00CE6D72">
            <w:pPr>
              <w:jc w:val="center"/>
              <w:rPr>
                <w:rFonts w:cs="Arial"/>
                <w:color w:val="auto"/>
                <w:sz w:val="18"/>
                <w:szCs w:val="18"/>
              </w:rPr>
            </w:pPr>
            <w:r w:rsidRPr="00C3056C">
              <w:rPr>
                <w:rFonts w:cs="Arial"/>
                <w:color w:val="auto"/>
                <w:sz w:val="18"/>
                <w:szCs w:val="18"/>
              </w:rPr>
              <w:t>Public Health</w:t>
            </w:r>
          </w:p>
          <w:p w:rsidR="00C3056C" w:rsidRPr="00C3056C" w:rsidRDefault="00C3056C" w:rsidP="00CE6D72">
            <w:pPr>
              <w:jc w:val="center"/>
              <w:rPr>
                <w:rFonts w:cs="Arial"/>
                <w:color w:val="auto"/>
                <w:sz w:val="18"/>
                <w:szCs w:val="18"/>
              </w:rPr>
            </w:pPr>
          </w:p>
        </w:tc>
        <w:tc>
          <w:tcPr>
            <w:tcW w:w="1276" w:type="dxa"/>
            <w:shd w:val="clear" w:color="auto" w:fill="4BACC6" w:themeFill="accent5"/>
          </w:tcPr>
          <w:p w:rsidR="002C2027" w:rsidRPr="00C3056C" w:rsidRDefault="00C3056C" w:rsidP="00C3056C">
            <w:pPr>
              <w:jc w:val="center"/>
              <w:cnfStyle w:val="000000100000"/>
              <w:rPr>
                <w:rFonts w:cs="Arial"/>
                <w:color w:val="auto"/>
                <w:sz w:val="18"/>
                <w:szCs w:val="18"/>
              </w:rPr>
            </w:pPr>
            <w:r w:rsidRPr="00C3056C">
              <w:rPr>
                <w:rFonts w:cs="Arial"/>
                <w:color w:val="auto"/>
                <w:sz w:val="18"/>
                <w:szCs w:val="18"/>
              </w:rPr>
              <w:t>Corporate</w:t>
            </w:r>
            <w:r w:rsidR="003C6E06">
              <w:rPr>
                <w:rFonts w:cs="Arial"/>
                <w:color w:val="auto"/>
                <w:sz w:val="18"/>
                <w:szCs w:val="18"/>
              </w:rPr>
              <w:t xml:space="preserve"> </w:t>
            </w:r>
            <w:r w:rsidRPr="00C3056C">
              <w:rPr>
                <w:rFonts w:cs="Arial"/>
                <w:color w:val="auto"/>
                <w:sz w:val="18"/>
                <w:szCs w:val="18"/>
              </w:rPr>
              <w:t>&amp; commercial services</w:t>
            </w:r>
          </w:p>
        </w:tc>
        <w:tc>
          <w:tcPr>
            <w:cnfStyle w:val="000010000000"/>
            <w:tcW w:w="1134" w:type="dxa"/>
            <w:shd w:val="clear" w:color="auto" w:fill="4BACC6" w:themeFill="accent5"/>
          </w:tcPr>
          <w:p w:rsidR="002C2027" w:rsidRPr="00C3056C" w:rsidRDefault="00C3056C" w:rsidP="00C3056C">
            <w:pPr>
              <w:jc w:val="center"/>
              <w:rPr>
                <w:rFonts w:cs="Arial"/>
                <w:color w:val="auto"/>
                <w:sz w:val="18"/>
                <w:szCs w:val="18"/>
              </w:rPr>
            </w:pPr>
            <w:r w:rsidRPr="00C3056C">
              <w:rPr>
                <w:rFonts w:cs="Arial"/>
                <w:color w:val="auto"/>
                <w:sz w:val="18"/>
                <w:szCs w:val="18"/>
              </w:rPr>
              <w:t>Customer services &amp; Community safety</w:t>
            </w:r>
          </w:p>
          <w:p w:rsidR="00C3056C" w:rsidRPr="00C3056C" w:rsidRDefault="00C3056C" w:rsidP="00CE6D72">
            <w:pPr>
              <w:jc w:val="center"/>
              <w:rPr>
                <w:rFonts w:cs="Arial"/>
                <w:color w:val="auto"/>
                <w:sz w:val="18"/>
                <w:szCs w:val="18"/>
              </w:rPr>
            </w:pPr>
          </w:p>
        </w:tc>
        <w:tc>
          <w:tcPr>
            <w:cnfStyle w:val="000100000000"/>
            <w:tcW w:w="1134" w:type="dxa"/>
            <w:gridSpan w:val="2"/>
            <w:shd w:val="clear" w:color="auto" w:fill="4BACC6" w:themeFill="accent5"/>
          </w:tcPr>
          <w:p w:rsidR="002C2027" w:rsidRPr="00C3056C" w:rsidRDefault="002C2027" w:rsidP="00CE6D72">
            <w:pPr>
              <w:jc w:val="center"/>
              <w:rPr>
                <w:rFonts w:cs="Arial"/>
                <w:color w:val="auto"/>
                <w:sz w:val="18"/>
                <w:szCs w:val="18"/>
              </w:rPr>
            </w:pPr>
          </w:p>
        </w:tc>
      </w:tr>
      <w:tr w:rsidR="009A73F1" w:rsidRPr="009A73F1" w:rsidTr="00C3056C">
        <w:trPr>
          <w:trHeight w:hRule="exact" w:val="387"/>
        </w:trPr>
        <w:tc>
          <w:tcPr>
            <w:cnfStyle w:val="001000000000"/>
            <w:tcW w:w="1134" w:type="dxa"/>
            <w:gridSpan w:val="3"/>
            <w:shd w:val="clear" w:color="auto" w:fill="4BACC6" w:themeFill="accent5"/>
          </w:tcPr>
          <w:p w:rsidR="009A73F1" w:rsidRPr="009A73F1" w:rsidRDefault="009A73F1" w:rsidP="00AD418E">
            <w:pPr>
              <w:jc w:val="center"/>
              <w:rPr>
                <w:rFonts w:cs="Arial"/>
                <w:b w:val="0"/>
                <w:color w:val="auto"/>
                <w:sz w:val="20"/>
                <w:szCs w:val="20"/>
              </w:rPr>
            </w:pPr>
            <w:r w:rsidRPr="009A73F1">
              <w:rPr>
                <w:rFonts w:cs="Arial"/>
                <w:b w:val="0"/>
                <w:color w:val="auto"/>
                <w:sz w:val="20"/>
                <w:szCs w:val="20"/>
              </w:rPr>
              <w:t>£m</w:t>
            </w:r>
          </w:p>
        </w:tc>
        <w:tc>
          <w:tcPr>
            <w:cnfStyle w:val="000010000000"/>
            <w:tcW w:w="1218" w:type="dxa"/>
            <w:gridSpan w:val="2"/>
            <w:shd w:val="clear" w:color="auto" w:fill="4BACC6" w:themeFill="accent5"/>
          </w:tcPr>
          <w:p w:rsidR="009A73F1" w:rsidRPr="009A73F1" w:rsidRDefault="009A73F1" w:rsidP="00AD418E">
            <w:pPr>
              <w:jc w:val="center"/>
              <w:rPr>
                <w:rFonts w:cs="Arial"/>
                <w:color w:val="auto"/>
                <w:sz w:val="20"/>
                <w:szCs w:val="20"/>
              </w:rPr>
            </w:pPr>
            <w:r w:rsidRPr="009A73F1">
              <w:rPr>
                <w:rFonts w:cs="Arial"/>
                <w:color w:val="auto"/>
                <w:sz w:val="20"/>
                <w:szCs w:val="20"/>
              </w:rPr>
              <w:t>£m</w:t>
            </w:r>
          </w:p>
        </w:tc>
        <w:tc>
          <w:tcPr>
            <w:tcW w:w="1334" w:type="dxa"/>
            <w:shd w:val="clear" w:color="auto" w:fill="4BACC6" w:themeFill="accent5"/>
          </w:tcPr>
          <w:p w:rsidR="009A73F1" w:rsidRPr="009A73F1" w:rsidRDefault="009A73F1" w:rsidP="00AD418E">
            <w:pPr>
              <w:jc w:val="center"/>
              <w:cnfStyle w:val="000000000000"/>
              <w:rPr>
                <w:rFonts w:cs="Arial"/>
                <w:color w:val="auto"/>
                <w:sz w:val="20"/>
                <w:szCs w:val="20"/>
              </w:rPr>
            </w:pPr>
            <w:r w:rsidRPr="009A73F1">
              <w:rPr>
                <w:rFonts w:cs="Arial"/>
                <w:color w:val="auto"/>
                <w:sz w:val="20"/>
                <w:szCs w:val="20"/>
              </w:rPr>
              <w:t>£m</w:t>
            </w:r>
          </w:p>
        </w:tc>
        <w:tc>
          <w:tcPr>
            <w:cnfStyle w:val="000010000000"/>
            <w:tcW w:w="1276" w:type="dxa"/>
            <w:shd w:val="clear" w:color="auto" w:fill="4BACC6" w:themeFill="accent5"/>
          </w:tcPr>
          <w:p w:rsidR="009A73F1" w:rsidRPr="009A73F1" w:rsidRDefault="009A73F1" w:rsidP="00AD418E">
            <w:pPr>
              <w:jc w:val="center"/>
              <w:rPr>
                <w:rFonts w:cs="Arial"/>
                <w:color w:val="auto"/>
                <w:sz w:val="20"/>
                <w:szCs w:val="20"/>
              </w:rPr>
            </w:pPr>
            <w:r w:rsidRPr="009A73F1">
              <w:rPr>
                <w:rFonts w:cs="Arial"/>
                <w:color w:val="auto"/>
                <w:sz w:val="20"/>
                <w:szCs w:val="20"/>
              </w:rPr>
              <w:t>£m</w:t>
            </w:r>
          </w:p>
        </w:tc>
        <w:tc>
          <w:tcPr>
            <w:tcW w:w="1275" w:type="dxa"/>
            <w:shd w:val="clear" w:color="auto" w:fill="4BACC6" w:themeFill="accent5"/>
          </w:tcPr>
          <w:p w:rsidR="009A73F1" w:rsidRPr="009A73F1" w:rsidRDefault="009A73F1" w:rsidP="00AD418E">
            <w:pPr>
              <w:jc w:val="center"/>
              <w:cnfStyle w:val="000000000000"/>
              <w:rPr>
                <w:rFonts w:cs="Arial"/>
                <w:color w:val="auto"/>
                <w:sz w:val="20"/>
                <w:szCs w:val="20"/>
              </w:rPr>
            </w:pPr>
          </w:p>
        </w:tc>
        <w:tc>
          <w:tcPr>
            <w:cnfStyle w:val="000010000000"/>
            <w:tcW w:w="851" w:type="dxa"/>
            <w:shd w:val="clear" w:color="auto" w:fill="4BACC6" w:themeFill="accent5"/>
          </w:tcPr>
          <w:p w:rsidR="009A73F1" w:rsidRPr="009A73F1" w:rsidRDefault="009A73F1" w:rsidP="00AD418E">
            <w:pPr>
              <w:jc w:val="center"/>
              <w:rPr>
                <w:rFonts w:cs="Arial"/>
                <w:color w:val="auto"/>
                <w:sz w:val="20"/>
                <w:szCs w:val="20"/>
              </w:rPr>
            </w:pPr>
            <w:r w:rsidRPr="009A73F1">
              <w:rPr>
                <w:rFonts w:cs="Arial"/>
                <w:color w:val="auto"/>
                <w:sz w:val="20"/>
                <w:szCs w:val="20"/>
              </w:rPr>
              <w:t>£m</w:t>
            </w:r>
          </w:p>
        </w:tc>
        <w:tc>
          <w:tcPr>
            <w:tcW w:w="1559" w:type="dxa"/>
            <w:shd w:val="clear" w:color="auto" w:fill="4BACC6" w:themeFill="accent5"/>
          </w:tcPr>
          <w:p w:rsidR="009A73F1" w:rsidRPr="009A73F1" w:rsidRDefault="009A73F1" w:rsidP="00BA33B9">
            <w:pPr>
              <w:cnfStyle w:val="000000000000"/>
              <w:rPr>
                <w:rFonts w:cs="Arial"/>
                <w:color w:val="auto"/>
                <w:sz w:val="20"/>
                <w:szCs w:val="20"/>
              </w:rPr>
            </w:pPr>
          </w:p>
        </w:tc>
        <w:tc>
          <w:tcPr>
            <w:cnfStyle w:val="000010000000"/>
            <w:tcW w:w="992" w:type="dxa"/>
            <w:shd w:val="clear" w:color="auto" w:fill="4BACC6" w:themeFill="accent5"/>
          </w:tcPr>
          <w:p w:rsidR="009A73F1" w:rsidRPr="009A73F1" w:rsidRDefault="009A73F1" w:rsidP="00CE6D72">
            <w:pPr>
              <w:jc w:val="center"/>
              <w:rPr>
                <w:rFonts w:cs="Arial"/>
                <w:color w:val="auto"/>
                <w:sz w:val="20"/>
                <w:szCs w:val="20"/>
              </w:rPr>
            </w:pPr>
            <w:r w:rsidRPr="009A73F1">
              <w:rPr>
                <w:rFonts w:cs="Arial"/>
                <w:color w:val="auto"/>
                <w:sz w:val="20"/>
                <w:szCs w:val="20"/>
              </w:rPr>
              <w:t>£m</w:t>
            </w:r>
          </w:p>
        </w:tc>
        <w:tc>
          <w:tcPr>
            <w:tcW w:w="1276" w:type="dxa"/>
            <w:shd w:val="clear" w:color="auto" w:fill="4BACC6" w:themeFill="accent5"/>
          </w:tcPr>
          <w:p w:rsidR="009A73F1" w:rsidRPr="009A73F1" w:rsidRDefault="009A73F1" w:rsidP="00CE6D72">
            <w:pPr>
              <w:jc w:val="center"/>
              <w:cnfStyle w:val="000000000000"/>
              <w:rPr>
                <w:rFonts w:cs="Arial"/>
                <w:color w:val="auto"/>
                <w:sz w:val="20"/>
                <w:szCs w:val="20"/>
              </w:rPr>
            </w:pPr>
            <w:r w:rsidRPr="009A73F1">
              <w:rPr>
                <w:rFonts w:cs="Arial"/>
                <w:color w:val="auto"/>
                <w:sz w:val="20"/>
                <w:szCs w:val="20"/>
              </w:rPr>
              <w:t>£m</w:t>
            </w:r>
          </w:p>
        </w:tc>
        <w:tc>
          <w:tcPr>
            <w:cnfStyle w:val="000010000000"/>
            <w:tcW w:w="1276" w:type="dxa"/>
            <w:gridSpan w:val="2"/>
            <w:shd w:val="clear" w:color="auto" w:fill="4BACC6" w:themeFill="accent5"/>
          </w:tcPr>
          <w:p w:rsidR="009A73F1" w:rsidRPr="009A73F1" w:rsidRDefault="009A73F1" w:rsidP="00CE6D72">
            <w:pPr>
              <w:jc w:val="center"/>
              <w:rPr>
                <w:rFonts w:cs="Arial"/>
                <w:color w:val="auto"/>
                <w:sz w:val="20"/>
                <w:szCs w:val="20"/>
              </w:rPr>
            </w:pPr>
            <w:r w:rsidRPr="009A73F1">
              <w:rPr>
                <w:rFonts w:cs="Arial"/>
                <w:color w:val="auto"/>
                <w:sz w:val="20"/>
                <w:szCs w:val="20"/>
              </w:rPr>
              <w:t>£m</w:t>
            </w:r>
          </w:p>
        </w:tc>
        <w:tc>
          <w:tcPr>
            <w:tcW w:w="1276" w:type="dxa"/>
            <w:shd w:val="clear" w:color="auto" w:fill="4BACC6" w:themeFill="accent5"/>
          </w:tcPr>
          <w:p w:rsidR="009A73F1" w:rsidRPr="009A73F1" w:rsidRDefault="009A73F1" w:rsidP="00CE6D72">
            <w:pPr>
              <w:jc w:val="center"/>
              <w:cnfStyle w:val="000000000000"/>
              <w:rPr>
                <w:rFonts w:cs="Arial"/>
                <w:color w:val="auto"/>
                <w:sz w:val="20"/>
                <w:szCs w:val="20"/>
              </w:rPr>
            </w:pPr>
            <w:r w:rsidRPr="009A73F1">
              <w:rPr>
                <w:rFonts w:cs="Arial"/>
                <w:color w:val="auto"/>
                <w:sz w:val="20"/>
                <w:szCs w:val="20"/>
              </w:rPr>
              <w:t>£m</w:t>
            </w:r>
          </w:p>
        </w:tc>
        <w:tc>
          <w:tcPr>
            <w:cnfStyle w:val="000010000000"/>
            <w:tcW w:w="1134" w:type="dxa"/>
            <w:shd w:val="clear" w:color="auto" w:fill="4BACC6" w:themeFill="accent5"/>
          </w:tcPr>
          <w:p w:rsidR="009A73F1" w:rsidRPr="009A73F1" w:rsidRDefault="009A73F1" w:rsidP="00CE6D72">
            <w:pPr>
              <w:jc w:val="center"/>
              <w:rPr>
                <w:rFonts w:cs="Arial"/>
                <w:b/>
                <w:color w:val="auto"/>
                <w:sz w:val="20"/>
                <w:szCs w:val="20"/>
              </w:rPr>
            </w:pPr>
            <w:r w:rsidRPr="009A73F1">
              <w:rPr>
                <w:rFonts w:cs="Arial"/>
                <w:color w:val="auto"/>
                <w:sz w:val="20"/>
                <w:szCs w:val="20"/>
              </w:rPr>
              <w:t>£m</w:t>
            </w:r>
          </w:p>
        </w:tc>
        <w:tc>
          <w:tcPr>
            <w:cnfStyle w:val="000100000000"/>
            <w:tcW w:w="1134" w:type="dxa"/>
            <w:gridSpan w:val="2"/>
            <w:shd w:val="clear" w:color="auto" w:fill="4BACC6" w:themeFill="accent5"/>
          </w:tcPr>
          <w:p w:rsidR="009A73F1" w:rsidRPr="009A73F1" w:rsidRDefault="009A73F1" w:rsidP="00CE6D72">
            <w:pPr>
              <w:jc w:val="center"/>
              <w:rPr>
                <w:rFonts w:cs="Arial"/>
                <w:color w:val="auto"/>
                <w:sz w:val="20"/>
                <w:szCs w:val="20"/>
              </w:rPr>
            </w:pPr>
          </w:p>
        </w:tc>
      </w:tr>
      <w:tr w:rsidR="003C6E06" w:rsidRPr="009A73F1" w:rsidTr="00580CE7">
        <w:trPr>
          <w:cnfStyle w:val="000000100000"/>
          <w:trHeight w:hRule="exact" w:val="732"/>
        </w:trPr>
        <w:tc>
          <w:tcPr>
            <w:cnfStyle w:val="001000000000"/>
            <w:tcW w:w="1134" w:type="dxa"/>
            <w:gridSpan w:val="3"/>
            <w:vAlign w:val="center"/>
          </w:tcPr>
          <w:p w:rsidR="009A73F1" w:rsidRPr="009A73F1" w:rsidRDefault="009A73F1" w:rsidP="003C6E06">
            <w:pPr>
              <w:jc w:val="center"/>
              <w:rPr>
                <w:rFonts w:cs="Arial"/>
                <w:b w:val="0"/>
                <w:color w:val="auto"/>
                <w:sz w:val="20"/>
                <w:szCs w:val="20"/>
              </w:rPr>
            </w:pPr>
            <w:r w:rsidRPr="009A73F1">
              <w:rPr>
                <w:rFonts w:cs="Arial"/>
                <w:b w:val="0"/>
                <w:color w:val="auto"/>
                <w:sz w:val="20"/>
                <w:szCs w:val="20"/>
              </w:rPr>
              <w:t>(2.6)</w:t>
            </w:r>
          </w:p>
        </w:tc>
        <w:tc>
          <w:tcPr>
            <w:cnfStyle w:val="000010000000"/>
            <w:tcW w:w="1218" w:type="dxa"/>
            <w:gridSpan w:val="2"/>
            <w:vAlign w:val="center"/>
          </w:tcPr>
          <w:p w:rsidR="009A73F1" w:rsidRPr="009A73F1" w:rsidRDefault="009A73F1" w:rsidP="003C6E06">
            <w:pPr>
              <w:jc w:val="center"/>
              <w:rPr>
                <w:rFonts w:cs="Arial"/>
                <w:color w:val="auto"/>
                <w:sz w:val="20"/>
                <w:szCs w:val="20"/>
              </w:rPr>
            </w:pPr>
            <w:r w:rsidRPr="009A73F1">
              <w:rPr>
                <w:rFonts w:cs="Arial"/>
                <w:color w:val="auto"/>
                <w:sz w:val="20"/>
                <w:szCs w:val="20"/>
              </w:rPr>
              <w:t>(11.5)</w:t>
            </w:r>
          </w:p>
        </w:tc>
        <w:tc>
          <w:tcPr>
            <w:tcW w:w="1334" w:type="dxa"/>
            <w:vAlign w:val="center"/>
          </w:tcPr>
          <w:p w:rsidR="009A73F1" w:rsidRPr="009A73F1" w:rsidRDefault="009A73F1" w:rsidP="003C6E06">
            <w:pPr>
              <w:jc w:val="center"/>
              <w:cnfStyle w:val="000000100000"/>
              <w:rPr>
                <w:rFonts w:cs="Arial"/>
                <w:color w:val="auto"/>
                <w:sz w:val="20"/>
                <w:szCs w:val="20"/>
              </w:rPr>
            </w:pPr>
            <w:r w:rsidRPr="009A73F1">
              <w:rPr>
                <w:rFonts w:cs="Arial"/>
                <w:color w:val="auto"/>
                <w:sz w:val="20"/>
                <w:szCs w:val="20"/>
              </w:rPr>
              <w:t>(2.7)</w:t>
            </w:r>
          </w:p>
        </w:tc>
        <w:tc>
          <w:tcPr>
            <w:cnfStyle w:val="000010000000"/>
            <w:tcW w:w="1276" w:type="dxa"/>
            <w:vAlign w:val="center"/>
          </w:tcPr>
          <w:p w:rsidR="009A73F1" w:rsidRPr="009A73F1" w:rsidRDefault="009A73F1" w:rsidP="003C6E06">
            <w:pPr>
              <w:jc w:val="center"/>
              <w:rPr>
                <w:rFonts w:cs="Arial"/>
                <w:color w:val="auto"/>
                <w:sz w:val="20"/>
                <w:szCs w:val="20"/>
              </w:rPr>
            </w:pPr>
            <w:r w:rsidRPr="009A73F1">
              <w:rPr>
                <w:rFonts w:cs="Arial"/>
                <w:color w:val="auto"/>
                <w:sz w:val="20"/>
                <w:szCs w:val="20"/>
              </w:rPr>
              <w:t>(16.3)</w:t>
            </w:r>
          </w:p>
        </w:tc>
        <w:tc>
          <w:tcPr>
            <w:tcW w:w="1275" w:type="dxa"/>
            <w:vAlign w:val="center"/>
          </w:tcPr>
          <w:p w:rsidR="009A73F1" w:rsidRPr="009A73F1" w:rsidRDefault="009A73F1" w:rsidP="003C6E06">
            <w:pPr>
              <w:jc w:val="center"/>
              <w:cnfStyle w:val="000000100000"/>
              <w:rPr>
                <w:rFonts w:cs="Arial"/>
                <w:color w:val="auto"/>
                <w:sz w:val="20"/>
                <w:szCs w:val="20"/>
              </w:rPr>
            </w:pPr>
            <w:r w:rsidRPr="009A73F1">
              <w:rPr>
                <w:rFonts w:cs="Arial"/>
                <w:color w:val="auto"/>
                <w:sz w:val="20"/>
                <w:szCs w:val="20"/>
              </w:rPr>
              <w:t>(12.4)</w:t>
            </w:r>
          </w:p>
        </w:tc>
        <w:tc>
          <w:tcPr>
            <w:cnfStyle w:val="000010000000"/>
            <w:tcW w:w="851" w:type="dxa"/>
            <w:vAlign w:val="center"/>
          </w:tcPr>
          <w:p w:rsidR="009A73F1" w:rsidRPr="009A73F1" w:rsidRDefault="009A73F1" w:rsidP="003C6E06">
            <w:pPr>
              <w:jc w:val="center"/>
              <w:rPr>
                <w:rFonts w:cs="Arial"/>
                <w:color w:val="auto"/>
                <w:sz w:val="20"/>
                <w:szCs w:val="20"/>
              </w:rPr>
            </w:pPr>
            <w:r w:rsidRPr="009A73F1">
              <w:rPr>
                <w:rFonts w:cs="Arial"/>
                <w:color w:val="auto"/>
                <w:sz w:val="20"/>
                <w:szCs w:val="20"/>
              </w:rPr>
              <w:t>(45.5)</w:t>
            </w:r>
          </w:p>
        </w:tc>
        <w:tc>
          <w:tcPr>
            <w:tcW w:w="1559" w:type="dxa"/>
            <w:vAlign w:val="center"/>
          </w:tcPr>
          <w:p w:rsidR="009A73F1" w:rsidRPr="003C6E06" w:rsidRDefault="009A73F1" w:rsidP="003C6E06">
            <w:pPr>
              <w:jc w:val="center"/>
              <w:cnfStyle w:val="000000100000"/>
              <w:rPr>
                <w:rFonts w:cs="Arial"/>
                <w:color w:val="auto"/>
                <w:sz w:val="18"/>
                <w:szCs w:val="18"/>
              </w:rPr>
            </w:pPr>
            <w:r w:rsidRPr="003C6E06">
              <w:rPr>
                <w:rFonts w:cs="Arial"/>
                <w:color w:val="auto"/>
                <w:sz w:val="18"/>
                <w:szCs w:val="18"/>
              </w:rPr>
              <w:t>Fees, charges &amp; other service Income</w:t>
            </w:r>
          </w:p>
        </w:tc>
        <w:tc>
          <w:tcPr>
            <w:cnfStyle w:val="000010000000"/>
            <w:tcW w:w="992" w:type="dxa"/>
            <w:vAlign w:val="center"/>
          </w:tcPr>
          <w:p w:rsidR="009A73F1" w:rsidRPr="003C6E06" w:rsidRDefault="00C3056C" w:rsidP="003C6E06">
            <w:pPr>
              <w:jc w:val="center"/>
              <w:rPr>
                <w:rFonts w:cs="Arial"/>
                <w:color w:val="auto"/>
                <w:sz w:val="20"/>
                <w:szCs w:val="20"/>
              </w:rPr>
            </w:pPr>
            <w:r w:rsidRPr="003C6E06">
              <w:rPr>
                <w:rFonts w:cs="Arial"/>
                <w:color w:val="auto"/>
                <w:sz w:val="20"/>
                <w:szCs w:val="20"/>
              </w:rPr>
              <w:t>(4.1)</w:t>
            </w:r>
          </w:p>
        </w:tc>
        <w:tc>
          <w:tcPr>
            <w:tcW w:w="1276" w:type="dxa"/>
            <w:vAlign w:val="center"/>
          </w:tcPr>
          <w:p w:rsidR="009A73F1" w:rsidRPr="003C6E06" w:rsidRDefault="00C3056C" w:rsidP="003C6E06">
            <w:pPr>
              <w:jc w:val="center"/>
              <w:cnfStyle w:val="000000100000"/>
              <w:rPr>
                <w:rFonts w:cs="Arial"/>
                <w:color w:val="auto"/>
                <w:sz w:val="20"/>
                <w:szCs w:val="20"/>
              </w:rPr>
            </w:pPr>
            <w:r w:rsidRPr="003C6E06">
              <w:rPr>
                <w:rFonts w:cs="Arial"/>
                <w:color w:val="auto"/>
                <w:sz w:val="20"/>
                <w:szCs w:val="20"/>
              </w:rPr>
              <w:t>(10.7)</w:t>
            </w:r>
          </w:p>
        </w:tc>
        <w:tc>
          <w:tcPr>
            <w:cnfStyle w:val="000010000000"/>
            <w:tcW w:w="1276" w:type="dxa"/>
            <w:gridSpan w:val="2"/>
            <w:vAlign w:val="center"/>
          </w:tcPr>
          <w:p w:rsidR="00C3056C" w:rsidRPr="003C6E06" w:rsidRDefault="00C3056C" w:rsidP="00580CE7">
            <w:pPr>
              <w:jc w:val="center"/>
              <w:rPr>
                <w:rFonts w:cs="Arial"/>
                <w:color w:val="auto"/>
                <w:sz w:val="20"/>
                <w:szCs w:val="20"/>
              </w:rPr>
            </w:pPr>
            <w:r w:rsidRPr="003C6E06">
              <w:rPr>
                <w:rFonts w:cs="Arial"/>
                <w:color w:val="auto"/>
                <w:sz w:val="20"/>
                <w:szCs w:val="20"/>
              </w:rPr>
              <w:t>(1.1</w:t>
            </w:r>
            <w:r w:rsidR="003C6E06" w:rsidRPr="003C6E06">
              <w:rPr>
                <w:rFonts w:cs="Arial"/>
                <w:color w:val="auto"/>
                <w:sz w:val="20"/>
                <w:szCs w:val="20"/>
              </w:rPr>
              <w:t>)</w:t>
            </w:r>
          </w:p>
        </w:tc>
        <w:tc>
          <w:tcPr>
            <w:tcW w:w="1276" w:type="dxa"/>
            <w:vAlign w:val="center"/>
          </w:tcPr>
          <w:p w:rsidR="009A73F1" w:rsidRPr="003C6E06" w:rsidRDefault="003C6E06" w:rsidP="003C6E06">
            <w:pPr>
              <w:jc w:val="center"/>
              <w:cnfStyle w:val="000000100000"/>
              <w:rPr>
                <w:rFonts w:cs="Arial"/>
                <w:color w:val="auto"/>
                <w:sz w:val="20"/>
                <w:szCs w:val="20"/>
              </w:rPr>
            </w:pPr>
            <w:r w:rsidRPr="003C6E06">
              <w:rPr>
                <w:rFonts w:cs="Arial"/>
                <w:color w:val="auto"/>
                <w:sz w:val="20"/>
                <w:szCs w:val="20"/>
              </w:rPr>
              <w:t>(29.2)</w:t>
            </w:r>
          </w:p>
        </w:tc>
        <w:tc>
          <w:tcPr>
            <w:cnfStyle w:val="000010000000"/>
            <w:tcW w:w="1134" w:type="dxa"/>
            <w:vAlign w:val="center"/>
          </w:tcPr>
          <w:p w:rsidR="009A73F1" w:rsidRPr="003C6E06" w:rsidRDefault="003C6E06" w:rsidP="003C6E06">
            <w:pPr>
              <w:jc w:val="center"/>
              <w:rPr>
                <w:rFonts w:cs="Arial"/>
                <w:color w:val="auto"/>
                <w:sz w:val="20"/>
                <w:szCs w:val="20"/>
              </w:rPr>
            </w:pPr>
            <w:r w:rsidRPr="003C6E06">
              <w:rPr>
                <w:rFonts w:cs="Arial"/>
                <w:color w:val="auto"/>
                <w:sz w:val="20"/>
                <w:szCs w:val="20"/>
              </w:rPr>
              <w:t>(9.5)</w:t>
            </w:r>
          </w:p>
        </w:tc>
        <w:tc>
          <w:tcPr>
            <w:cnfStyle w:val="000100000000"/>
            <w:tcW w:w="1134" w:type="dxa"/>
            <w:gridSpan w:val="2"/>
            <w:vAlign w:val="center"/>
          </w:tcPr>
          <w:p w:rsidR="009A73F1" w:rsidRPr="009A73F1" w:rsidRDefault="003C6E06" w:rsidP="003C6E06">
            <w:pPr>
              <w:jc w:val="center"/>
              <w:rPr>
                <w:rFonts w:cs="Arial"/>
                <w:color w:val="auto"/>
                <w:sz w:val="20"/>
                <w:szCs w:val="20"/>
              </w:rPr>
            </w:pPr>
            <w:r>
              <w:rPr>
                <w:rFonts w:cs="Arial"/>
                <w:color w:val="auto"/>
                <w:sz w:val="20"/>
                <w:szCs w:val="20"/>
              </w:rPr>
              <w:t>(54.6)</w:t>
            </w:r>
          </w:p>
        </w:tc>
      </w:tr>
      <w:tr w:rsidR="003C6E06" w:rsidRPr="009A73F1" w:rsidTr="003C6E06">
        <w:trPr>
          <w:trHeight w:hRule="exact" w:val="553"/>
        </w:trPr>
        <w:tc>
          <w:tcPr>
            <w:cnfStyle w:val="001000000000"/>
            <w:tcW w:w="1134" w:type="dxa"/>
            <w:gridSpan w:val="3"/>
            <w:vAlign w:val="center"/>
          </w:tcPr>
          <w:p w:rsidR="009A73F1" w:rsidRPr="009A73F1" w:rsidRDefault="009A73F1" w:rsidP="009A73F1">
            <w:pPr>
              <w:jc w:val="center"/>
              <w:rPr>
                <w:rFonts w:cs="Arial"/>
                <w:b w:val="0"/>
                <w:color w:val="auto"/>
                <w:sz w:val="20"/>
                <w:szCs w:val="20"/>
              </w:rPr>
            </w:pPr>
            <w:r w:rsidRPr="009A73F1">
              <w:rPr>
                <w:rFonts w:cs="Arial"/>
                <w:b w:val="0"/>
                <w:color w:val="auto"/>
                <w:sz w:val="20"/>
                <w:szCs w:val="20"/>
              </w:rPr>
              <w:t>0</w:t>
            </w:r>
          </w:p>
        </w:tc>
        <w:tc>
          <w:tcPr>
            <w:cnfStyle w:val="000010000000"/>
            <w:tcW w:w="1218" w:type="dxa"/>
            <w:gridSpan w:val="2"/>
            <w:vAlign w:val="center"/>
          </w:tcPr>
          <w:p w:rsidR="009A73F1" w:rsidRPr="009A73F1" w:rsidRDefault="009A73F1" w:rsidP="009A73F1">
            <w:pPr>
              <w:jc w:val="center"/>
              <w:rPr>
                <w:rFonts w:cs="Arial"/>
                <w:color w:val="auto"/>
                <w:sz w:val="20"/>
                <w:szCs w:val="20"/>
              </w:rPr>
            </w:pPr>
            <w:r w:rsidRPr="009A73F1">
              <w:rPr>
                <w:rFonts w:cs="Arial"/>
                <w:color w:val="auto"/>
                <w:sz w:val="20"/>
                <w:szCs w:val="20"/>
              </w:rPr>
              <w:t>(48.9)</w:t>
            </w:r>
          </w:p>
        </w:tc>
        <w:tc>
          <w:tcPr>
            <w:tcW w:w="1334" w:type="dxa"/>
            <w:vAlign w:val="center"/>
          </w:tcPr>
          <w:p w:rsidR="009A73F1" w:rsidRPr="009A73F1" w:rsidRDefault="009A73F1" w:rsidP="009A73F1">
            <w:pPr>
              <w:jc w:val="center"/>
              <w:cnfStyle w:val="000000000000"/>
              <w:rPr>
                <w:rFonts w:cs="Arial"/>
                <w:color w:val="auto"/>
                <w:sz w:val="20"/>
                <w:szCs w:val="20"/>
              </w:rPr>
            </w:pPr>
            <w:r w:rsidRPr="009A73F1">
              <w:rPr>
                <w:rFonts w:cs="Arial"/>
                <w:color w:val="auto"/>
                <w:sz w:val="20"/>
                <w:szCs w:val="20"/>
              </w:rPr>
              <w:t>(7.6)</w:t>
            </w:r>
          </w:p>
        </w:tc>
        <w:tc>
          <w:tcPr>
            <w:cnfStyle w:val="000010000000"/>
            <w:tcW w:w="1276" w:type="dxa"/>
            <w:vAlign w:val="center"/>
          </w:tcPr>
          <w:p w:rsidR="009A73F1" w:rsidRPr="009A73F1" w:rsidRDefault="009A73F1" w:rsidP="009A73F1">
            <w:pPr>
              <w:jc w:val="center"/>
              <w:rPr>
                <w:rFonts w:cs="Arial"/>
                <w:color w:val="auto"/>
                <w:sz w:val="20"/>
                <w:szCs w:val="20"/>
              </w:rPr>
            </w:pPr>
            <w:r w:rsidRPr="009A73F1">
              <w:rPr>
                <w:rFonts w:cs="Arial"/>
                <w:color w:val="auto"/>
                <w:sz w:val="20"/>
                <w:szCs w:val="20"/>
              </w:rPr>
              <w:t>(1.6)</w:t>
            </w:r>
          </w:p>
        </w:tc>
        <w:tc>
          <w:tcPr>
            <w:tcW w:w="1275" w:type="dxa"/>
            <w:vAlign w:val="center"/>
          </w:tcPr>
          <w:p w:rsidR="009A73F1" w:rsidRPr="009A73F1" w:rsidRDefault="009A73F1" w:rsidP="009A73F1">
            <w:pPr>
              <w:jc w:val="center"/>
              <w:cnfStyle w:val="000000000000"/>
              <w:rPr>
                <w:rFonts w:cs="Arial"/>
                <w:color w:val="auto"/>
                <w:sz w:val="20"/>
                <w:szCs w:val="20"/>
              </w:rPr>
            </w:pPr>
            <w:r w:rsidRPr="009A73F1">
              <w:rPr>
                <w:rFonts w:cs="Arial"/>
                <w:color w:val="auto"/>
                <w:sz w:val="20"/>
                <w:szCs w:val="20"/>
              </w:rPr>
              <w:t>(75.4)</w:t>
            </w:r>
          </w:p>
        </w:tc>
        <w:tc>
          <w:tcPr>
            <w:cnfStyle w:val="000010000000"/>
            <w:tcW w:w="851" w:type="dxa"/>
          </w:tcPr>
          <w:p w:rsidR="009A73F1" w:rsidRPr="009A73F1" w:rsidRDefault="009A73F1" w:rsidP="009A73F1">
            <w:pPr>
              <w:jc w:val="center"/>
              <w:rPr>
                <w:rFonts w:cs="Arial"/>
                <w:color w:val="auto"/>
                <w:sz w:val="20"/>
                <w:szCs w:val="20"/>
              </w:rPr>
            </w:pPr>
            <w:r w:rsidRPr="009A73F1">
              <w:rPr>
                <w:rFonts w:cs="Arial"/>
                <w:color w:val="auto"/>
                <w:sz w:val="20"/>
                <w:szCs w:val="20"/>
              </w:rPr>
              <w:t>(133.5)</w:t>
            </w:r>
          </w:p>
        </w:tc>
        <w:tc>
          <w:tcPr>
            <w:tcW w:w="1559" w:type="dxa"/>
            <w:vAlign w:val="center"/>
          </w:tcPr>
          <w:p w:rsidR="009A73F1" w:rsidRPr="003C6E06" w:rsidRDefault="009A73F1" w:rsidP="00BA504A">
            <w:pPr>
              <w:cnfStyle w:val="000000000000"/>
              <w:rPr>
                <w:rFonts w:cs="Arial"/>
                <w:color w:val="auto"/>
                <w:sz w:val="18"/>
                <w:szCs w:val="18"/>
              </w:rPr>
            </w:pPr>
            <w:r w:rsidRPr="003C6E06">
              <w:rPr>
                <w:rFonts w:cs="Arial"/>
                <w:color w:val="auto"/>
                <w:sz w:val="18"/>
                <w:szCs w:val="18"/>
              </w:rPr>
              <w:t>Government grants</w:t>
            </w:r>
          </w:p>
        </w:tc>
        <w:tc>
          <w:tcPr>
            <w:cnfStyle w:val="000010000000"/>
            <w:tcW w:w="992" w:type="dxa"/>
            <w:vAlign w:val="center"/>
          </w:tcPr>
          <w:p w:rsidR="009A73F1" w:rsidRPr="003C6E06" w:rsidRDefault="00C3056C" w:rsidP="00BA504A">
            <w:pPr>
              <w:jc w:val="center"/>
              <w:rPr>
                <w:rFonts w:cs="Arial"/>
                <w:color w:val="auto"/>
                <w:sz w:val="20"/>
                <w:szCs w:val="20"/>
              </w:rPr>
            </w:pPr>
            <w:r w:rsidRPr="003C6E06">
              <w:rPr>
                <w:rFonts w:cs="Arial"/>
                <w:color w:val="auto"/>
                <w:sz w:val="20"/>
                <w:szCs w:val="20"/>
              </w:rPr>
              <w:t>(0.4)</w:t>
            </w:r>
          </w:p>
        </w:tc>
        <w:tc>
          <w:tcPr>
            <w:tcW w:w="1276" w:type="dxa"/>
            <w:vAlign w:val="center"/>
          </w:tcPr>
          <w:p w:rsidR="009A73F1" w:rsidRPr="003C6E06" w:rsidRDefault="00C3056C" w:rsidP="00BA504A">
            <w:pPr>
              <w:jc w:val="center"/>
              <w:cnfStyle w:val="000000000000"/>
              <w:rPr>
                <w:rFonts w:cs="Arial"/>
                <w:color w:val="auto"/>
                <w:sz w:val="20"/>
                <w:szCs w:val="20"/>
              </w:rPr>
            </w:pPr>
            <w:r w:rsidRPr="003C6E06">
              <w:rPr>
                <w:rFonts w:cs="Arial"/>
                <w:color w:val="auto"/>
                <w:sz w:val="20"/>
                <w:szCs w:val="20"/>
              </w:rPr>
              <w:t>(47.1)</w:t>
            </w:r>
          </w:p>
        </w:tc>
        <w:tc>
          <w:tcPr>
            <w:cnfStyle w:val="000010000000"/>
            <w:tcW w:w="1276" w:type="dxa"/>
            <w:gridSpan w:val="2"/>
            <w:vAlign w:val="center"/>
          </w:tcPr>
          <w:p w:rsidR="009A73F1" w:rsidRPr="003C6E06" w:rsidRDefault="003C6E06" w:rsidP="00BA504A">
            <w:pPr>
              <w:jc w:val="center"/>
              <w:rPr>
                <w:rFonts w:cs="Arial"/>
                <w:color w:val="auto"/>
                <w:sz w:val="20"/>
                <w:szCs w:val="20"/>
              </w:rPr>
            </w:pPr>
            <w:r w:rsidRPr="003C6E06">
              <w:rPr>
                <w:rFonts w:cs="Arial"/>
                <w:color w:val="auto"/>
                <w:sz w:val="20"/>
                <w:szCs w:val="20"/>
              </w:rPr>
              <w:t>(8.3)</w:t>
            </w:r>
          </w:p>
        </w:tc>
        <w:tc>
          <w:tcPr>
            <w:tcW w:w="1276" w:type="dxa"/>
            <w:vAlign w:val="center"/>
          </w:tcPr>
          <w:p w:rsidR="009A73F1" w:rsidRPr="003C6E06" w:rsidRDefault="003C6E06" w:rsidP="00BA504A">
            <w:pPr>
              <w:jc w:val="center"/>
              <w:cnfStyle w:val="000000000000"/>
              <w:rPr>
                <w:rFonts w:cs="Arial"/>
                <w:color w:val="auto"/>
                <w:sz w:val="20"/>
                <w:szCs w:val="20"/>
              </w:rPr>
            </w:pPr>
            <w:r w:rsidRPr="003C6E06">
              <w:rPr>
                <w:rFonts w:cs="Arial"/>
                <w:color w:val="auto"/>
                <w:sz w:val="20"/>
                <w:szCs w:val="20"/>
              </w:rPr>
              <w:t>(6.2)</w:t>
            </w:r>
          </w:p>
        </w:tc>
        <w:tc>
          <w:tcPr>
            <w:cnfStyle w:val="000010000000"/>
            <w:tcW w:w="1134" w:type="dxa"/>
            <w:vAlign w:val="center"/>
          </w:tcPr>
          <w:p w:rsidR="009A73F1" w:rsidRPr="003C6E06" w:rsidRDefault="003C6E06" w:rsidP="00BA504A">
            <w:pPr>
              <w:jc w:val="center"/>
              <w:rPr>
                <w:rFonts w:cs="Arial"/>
                <w:color w:val="auto"/>
                <w:sz w:val="20"/>
                <w:szCs w:val="20"/>
              </w:rPr>
            </w:pPr>
            <w:r w:rsidRPr="003C6E06">
              <w:rPr>
                <w:rFonts w:cs="Arial"/>
                <w:color w:val="auto"/>
                <w:sz w:val="20"/>
                <w:szCs w:val="20"/>
              </w:rPr>
              <w:t>(68.9)</w:t>
            </w:r>
          </w:p>
        </w:tc>
        <w:tc>
          <w:tcPr>
            <w:cnfStyle w:val="000100000000"/>
            <w:tcW w:w="1134" w:type="dxa"/>
            <w:gridSpan w:val="2"/>
          </w:tcPr>
          <w:p w:rsidR="009A73F1" w:rsidRPr="009A73F1" w:rsidRDefault="003C6E06" w:rsidP="00BA504A">
            <w:pPr>
              <w:jc w:val="center"/>
              <w:rPr>
                <w:rFonts w:cs="Arial"/>
                <w:color w:val="auto"/>
                <w:sz w:val="20"/>
                <w:szCs w:val="20"/>
              </w:rPr>
            </w:pPr>
            <w:r>
              <w:rPr>
                <w:rFonts w:cs="Arial"/>
                <w:color w:val="auto"/>
                <w:sz w:val="20"/>
                <w:szCs w:val="20"/>
              </w:rPr>
              <w:t>(130.9)</w:t>
            </w:r>
          </w:p>
        </w:tc>
      </w:tr>
      <w:tr w:rsidR="009A73F1" w:rsidRPr="009A73F1" w:rsidTr="00C3056C">
        <w:trPr>
          <w:cnfStyle w:val="000000100000"/>
          <w:trHeight w:hRule="exact" w:val="422"/>
        </w:trPr>
        <w:tc>
          <w:tcPr>
            <w:cnfStyle w:val="001000000000"/>
            <w:tcW w:w="1134" w:type="dxa"/>
            <w:gridSpan w:val="3"/>
            <w:vAlign w:val="center"/>
          </w:tcPr>
          <w:p w:rsidR="009A73F1" w:rsidRPr="009E778C" w:rsidRDefault="009A73F1" w:rsidP="009A73F1">
            <w:pPr>
              <w:jc w:val="center"/>
              <w:rPr>
                <w:rFonts w:cs="Arial"/>
                <w:b w:val="0"/>
                <w:color w:val="auto"/>
                <w:sz w:val="20"/>
                <w:szCs w:val="20"/>
              </w:rPr>
            </w:pPr>
            <w:r w:rsidRPr="009E778C">
              <w:rPr>
                <w:rFonts w:cs="Arial"/>
                <w:b w:val="0"/>
                <w:color w:val="auto"/>
                <w:sz w:val="20"/>
                <w:szCs w:val="20"/>
              </w:rPr>
              <w:t>(2.6)</w:t>
            </w:r>
          </w:p>
        </w:tc>
        <w:tc>
          <w:tcPr>
            <w:cnfStyle w:val="000010000000"/>
            <w:tcW w:w="1218" w:type="dxa"/>
            <w:gridSpan w:val="2"/>
            <w:vAlign w:val="center"/>
          </w:tcPr>
          <w:p w:rsidR="009A73F1" w:rsidRPr="009E778C" w:rsidRDefault="009A73F1" w:rsidP="009A73F1">
            <w:pPr>
              <w:jc w:val="center"/>
              <w:rPr>
                <w:rFonts w:cs="Arial"/>
                <w:color w:val="auto"/>
                <w:sz w:val="20"/>
                <w:szCs w:val="20"/>
              </w:rPr>
            </w:pPr>
            <w:r w:rsidRPr="009E778C">
              <w:rPr>
                <w:rFonts w:cs="Arial"/>
                <w:color w:val="auto"/>
                <w:sz w:val="20"/>
                <w:szCs w:val="20"/>
              </w:rPr>
              <w:t>(60.4)</w:t>
            </w:r>
          </w:p>
        </w:tc>
        <w:tc>
          <w:tcPr>
            <w:tcW w:w="1334" w:type="dxa"/>
            <w:vAlign w:val="center"/>
          </w:tcPr>
          <w:p w:rsidR="009A73F1" w:rsidRPr="009E778C" w:rsidRDefault="009A73F1" w:rsidP="009A73F1">
            <w:pPr>
              <w:jc w:val="center"/>
              <w:cnfStyle w:val="000000100000"/>
              <w:rPr>
                <w:rFonts w:cs="Arial"/>
                <w:color w:val="auto"/>
                <w:sz w:val="20"/>
                <w:szCs w:val="20"/>
              </w:rPr>
            </w:pPr>
            <w:r w:rsidRPr="009E778C">
              <w:rPr>
                <w:rFonts w:cs="Arial"/>
                <w:color w:val="auto"/>
                <w:sz w:val="20"/>
                <w:szCs w:val="20"/>
              </w:rPr>
              <w:t>(10.3)</w:t>
            </w:r>
          </w:p>
        </w:tc>
        <w:tc>
          <w:tcPr>
            <w:cnfStyle w:val="000010000000"/>
            <w:tcW w:w="1276" w:type="dxa"/>
            <w:vAlign w:val="center"/>
          </w:tcPr>
          <w:p w:rsidR="009A73F1" w:rsidRPr="009E778C" w:rsidRDefault="009A73F1" w:rsidP="009A73F1">
            <w:pPr>
              <w:jc w:val="center"/>
              <w:rPr>
                <w:rFonts w:cs="Arial"/>
                <w:color w:val="auto"/>
                <w:sz w:val="20"/>
                <w:szCs w:val="20"/>
              </w:rPr>
            </w:pPr>
            <w:r w:rsidRPr="009E778C">
              <w:rPr>
                <w:rFonts w:cs="Arial"/>
                <w:color w:val="auto"/>
                <w:sz w:val="20"/>
                <w:szCs w:val="20"/>
              </w:rPr>
              <w:t>(17.9)</w:t>
            </w:r>
          </w:p>
        </w:tc>
        <w:tc>
          <w:tcPr>
            <w:tcW w:w="1275" w:type="dxa"/>
            <w:vAlign w:val="center"/>
          </w:tcPr>
          <w:p w:rsidR="009A73F1" w:rsidRPr="009E778C" w:rsidRDefault="009A73F1" w:rsidP="009A73F1">
            <w:pPr>
              <w:jc w:val="center"/>
              <w:cnfStyle w:val="000000100000"/>
              <w:rPr>
                <w:rFonts w:cs="Arial"/>
                <w:color w:val="auto"/>
                <w:sz w:val="20"/>
                <w:szCs w:val="20"/>
              </w:rPr>
            </w:pPr>
            <w:r w:rsidRPr="009E778C">
              <w:rPr>
                <w:rFonts w:cs="Arial"/>
                <w:color w:val="auto"/>
                <w:sz w:val="20"/>
                <w:szCs w:val="20"/>
              </w:rPr>
              <w:t>(87.8)</w:t>
            </w:r>
          </w:p>
        </w:tc>
        <w:tc>
          <w:tcPr>
            <w:cnfStyle w:val="000010000000"/>
            <w:tcW w:w="851" w:type="dxa"/>
          </w:tcPr>
          <w:p w:rsidR="009A73F1" w:rsidRPr="009E778C" w:rsidRDefault="009A73F1" w:rsidP="009A73F1">
            <w:pPr>
              <w:jc w:val="center"/>
              <w:rPr>
                <w:rFonts w:cs="Arial"/>
                <w:color w:val="auto"/>
                <w:sz w:val="20"/>
                <w:szCs w:val="20"/>
              </w:rPr>
            </w:pPr>
            <w:r w:rsidRPr="009E778C">
              <w:rPr>
                <w:rFonts w:cs="Arial"/>
                <w:color w:val="auto"/>
                <w:sz w:val="20"/>
                <w:szCs w:val="20"/>
              </w:rPr>
              <w:t>(179.0)</w:t>
            </w:r>
          </w:p>
        </w:tc>
        <w:tc>
          <w:tcPr>
            <w:tcW w:w="1559" w:type="dxa"/>
            <w:vAlign w:val="center"/>
          </w:tcPr>
          <w:p w:rsidR="009A73F1" w:rsidRPr="003C6E06" w:rsidRDefault="009A73F1" w:rsidP="00BA504A">
            <w:pPr>
              <w:cnfStyle w:val="000000100000"/>
              <w:rPr>
                <w:rFonts w:cs="Arial"/>
                <w:b/>
                <w:color w:val="auto"/>
                <w:sz w:val="18"/>
                <w:szCs w:val="18"/>
              </w:rPr>
            </w:pPr>
            <w:r w:rsidRPr="003C6E06">
              <w:rPr>
                <w:rFonts w:cs="Arial"/>
                <w:b/>
                <w:color w:val="auto"/>
                <w:sz w:val="18"/>
                <w:szCs w:val="18"/>
              </w:rPr>
              <w:t>Total Income</w:t>
            </w:r>
          </w:p>
        </w:tc>
        <w:tc>
          <w:tcPr>
            <w:cnfStyle w:val="000010000000"/>
            <w:tcW w:w="992" w:type="dxa"/>
            <w:vAlign w:val="center"/>
          </w:tcPr>
          <w:p w:rsidR="009A73F1" w:rsidRPr="009A73F1" w:rsidRDefault="00C3056C" w:rsidP="00BA504A">
            <w:pPr>
              <w:jc w:val="center"/>
              <w:rPr>
                <w:rFonts w:cs="Arial"/>
                <w:b/>
                <w:color w:val="auto"/>
                <w:sz w:val="20"/>
                <w:szCs w:val="20"/>
              </w:rPr>
            </w:pPr>
            <w:r>
              <w:rPr>
                <w:rFonts w:cs="Arial"/>
                <w:b/>
                <w:color w:val="auto"/>
                <w:sz w:val="20"/>
                <w:szCs w:val="20"/>
              </w:rPr>
              <w:t>(4.5)</w:t>
            </w:r>
          </w:p>
        </w:tc>
        <w:tc>
          <w:tcPr>
            <w:tcW w:w="1276" w:type="dxa"/>
            <w:vAlign w:val="center"/>
          </w:tcPr>
          <w:p w:rsidR="009A73F1" w:rsidRPr="009A73F1" w:rsidRDefault="00C3056C" w:rsidP="003545EC">
            <w:pPr>
              <w:jc w:val="center"/>
              <w:cnfStyle w:val="000000100000"/>
              <w:rPr>
                <w:rFonts w:cs="Arial"/>
                <w:b/>
                <w:color w:val="auto"/>
                <w:sz w:val="20"/>
                <w:szCs w:val="20"/>
              </w:rPr>
            </w:pPr>
            <w:r>
              <w:rPr>
                <w:rFonts w:cs="Arial"/>
                <w:b/>
                <w:color w:val="auto"/>
                <w:sz w:val="20"/>
                <w:szCs w:val="20"/>
              </w:rPr>
              <w:t>(57.8)</w:t>
            </w:r>
          </w:p>
        </w:tc>
        <w:tc>
          <w:tcPr>
            <w:cnfStyle w:val="000010000000"/>
            <w:tcW w:w="1276" w:type="dxa"/>
            <w:gridSpan w:val="2"/>
            <w:vAlign w:val="center"/>
          </w:tcPr>
          <w:p w:rsidR="009A73F1" w:rsidRPr="009A73F1" w:rsidRDefault="003C6E06" w:rsidP="00BA504A">
            <w:pPr>
              <w:jc w:val="center"/>
              <w:rPr>
                <w:rFonts w:cs="Arial"/>
                <w:b/>
                <w:color w:val="auto"/>
                <w:sz w:val="20"/>
                <w:szCs w:val="20"/>
              </w:rPr>
            </w:pPr>
            <w:r>
              <w:rPr>
                <w:rFonts w:cs="Arial"/>
                <w:b/>
                <w:color w:val="auto"/>
                <w:sz w:val="20"/>
                <w:szCs w:val="20"/>
              </w:rPr>
              <w:t>(9.4)</w:t>
            </w:r>
          </w:p>
        </w:tc>
        <w:tc>
          <w:tcPr>
            <w:tcW w:w="1276" w:type="dxa"/>
            <w:vAlign w:val="center"/>
          </w:tcPr>
          <w:p w:rsidR="009A73F1" w:rsidRPr="009A73F1" w:rsidRDefault="003C6E06" w:rsidP="003C6E06">
            <w:pPr>
              <w:jc w:val="center"/>
              <w:cnfStyle w:val="000000100000"/>
              <w:rPr>
                <w:rFonts w:cs="Arial"/>
                <w:b/>
                <w:color w:val="auto"/>
                <w:sz w:val="20"/>
                <w:szCs w:val="20"/>
              </w:rPr>
            </w:pPr>
            <w:r>
              <w:rPr>
                <w:rFonts w:cs="Arial"/>
                <w:b/>
                <w:color w:val="auto"/>
                <w:sz w:val="20"/>
                <w:szCs w:val="20"/>
              </w:rPr>
              <w:t>(35.4)</w:t>
            </w:r>
          </w:p>
        </w:tc>
        <w:tc>
          <w:tcPr>
            <w:cnfStyle w:val="000010000000"/>
            <w:tcW w:w="1134" w:type="dxa"/>
            <w:vAlign w:val="center"/>
          </w:tcPr>
          <w:p w:rsidR="009A73F1" w:rsidRPr="009A73F1" w:rsidRDefault="003C6E06" w:rsidP="00BA504A">
            <w:pPr>
              <w:jc w:val="center"/>
              <w:rPr>
                <w:rFonts w:cs="Arial"/>
                <w:b/>
                <w:color w:val="auto"/>
                <w:sz w:val="20"/>
                <w:szCs w:val="20"/>
              </w:rPr>
            </w:pPr>
            <w:r>
              <w:rPr>
                <w:rFonts w:cs="Arial"/>
                <w:b/>
                <w:color w:val="auto"/>
                <w:sz w:val="20"/>
                <w:szCs w:val="20"/>
              </w:rPr>
              <w:t>(78.4)</w:t>
            </w:r>
          </w:p>
        </w:tc>
        <w:tc>
          <w:tcPr>
            <w:cnfStyle w:val="000100000000"/>
            <w:tcW w:w="1134" w:type="dxa"/>
            <w:gridSpan w:val="2"/>
          </w:tcPr>
          <w:p w:rsidR="009A73F1" w:rsidRPr="009A73F1" w:rsidRDefault="003C6E06" w:rsidP="003C6E06">
            <w:pPr>
              <w:jc w:val="center"/>
              <w:rPr>
                <w:rFonts w:cs="Arial"/>
                <w:color w:val="auto"/>
                <w:sz w:val="20"/>
                <w:szCs w:val="20"/>
              </w:rPr>
            </w:pPr>
            <w:r>
              <w:rPr>
                <w:rFonts w:cs="Arial"/>
                <w:color w:val="auto"/>
                <w:sz w:val="20"/>
                <w:szCs w:val="20"/>
              </w:rPr>
              <w:t>(185.5)</w:t>
            </w:r>
          </w:p>
        </w:tc>
      </w:tr>
      <w:tr w:rsidR="009A73F1" w:rsidRPr="009A73F1" w:rsidTr="00C3056C">
        <w:trPr>
          <w:trHeight w:hRule="exact" w:val="556"/>
        </w:trPr>
        <w:tc>
          <w:tcPr>
            <w:cnfStyle w:val="001000000000"/>
            <w:tcW w:w="1134" w:type="dxa"/>
            <w:gridSpan w:val="3"/>
            <w:vAlign w:val="center"/>
          </w:tcPr>
          <w:p w:rsidR="009A73F1" w:rsidRPr="009E778C" w:rsidRDefault="009A73F1" w:rsidP="009A73F1">
            <w:pPr>
              <w:jc w:val="center"/>
              <w:rPr>
                <w:rFonts w:cs="Arial"/>
                <w:b w:val="0"/>
                <w:color w:val="auto"/>
                <w:sz w:val="20"/>
                <w:szCs w:val="20"/>
              </w:rPr>
            </w:pPr>
            <w:r w:rsidRPr="009E778C">
              <w:rPr>
                <w:rFonts w:cs="Arial"/>
                <w:b w:val="0"/>
                <w:color w:val="auto"/>
                <w:sz w:val="20"/>
                <w:szCs w:val="20"/>
              </w:rPr>
              <w:t>0.3</w:t>
            </w:r>
          </w:p>
        </w:tc>
        <w:tc>
          <w:tcPr>
            <w:cnfStyle w:val="000010000000"/>
            <w:tcW w:w="1218" w:type="dxa"/>
            <w:gridSpan w:val="2"/>
            <w:vAlign w:val="center"/>
          </w:tcPr>
          <w:p w:rsidR="009A73F1" w:rsidRPr="009E778C" w:rsidRDefault="009A73F1" w:rsidP="009A73F1">
            <w:pPr>
              <w:jc w:val="center"/>
              <w:rPr>
                <w:rFonts w:cs="Arial"/>
                <w:color w:val="auto"/>
                <w:sz w:val="20"/>
                <w:szCs w:val="20"/>
              </w:rPr>
            </w:pPr>
            <w:r w:rsidRPr="009E778C">
              <w:rPr>
                <w:rFonts w:cs="Arial"/>
                <w:color w:val="auto"/>
                <w:sz w:val="20"/>
                <w:szCs w:val="20"/>
              </w:rPr>
              <w:t>41.0</w:t>
            </w:r>
          </w:p>
        </w:tc>
        <w:tc>
          <w:tcPr>
            <w:tcW w:w="1334" w:type="dxa"/>
            <w:vAlign w:val="center"/>
          </w:tcPr>
          <w:p w:rsidR="009A73F1" w:rsidRPr="009E778C" w:rsidRDefault="009A73F1" w:rsidP="009A73F1">
            <w:pPr>
              <w:jc w:val="center"/>
              <w:cnfStyle w:val="000000000000"/>
              <w:rPr>
                <w:rFonts w:cs="Arial"/>
                <w:color w:val="auto"/>
                <w:sz w:val="20"/>
                <w:szCs w:val="20"/>
              </w:rPr>
            </w:pPr>
            <w:r w:rsidRPr="009E778C">
              <w:rPr>
                <w:rFonts w:cs="Arial"/>
                <w:color w:val="auto"/>
                <w:sz w:val="20"/>
                <w:szCs w:val="20"/>
              </w:rPr>
              <w:t>3.5</w:t>
            </w:r>
          </w:p>
        </w:tc>
        <w:tc>
          <w:tcPr>
            <w:cnfStyle w:val="000010000000"/>
            <w:tcW w:w="1276" w:type="dxa"/>
            <w:vAlign w:val="center"/>
          </w:tcPr>
          <w:p w:rsidR="009A73F1" w:rsidRPr="009E778C" w:rsidRDefault="009A73F1" w:rsidP="009A73F1">
            <w:pPr>
              <w:jc w:val="center"/>
              <w:rPr>
                <w:rFonts w:cs="Arial"/>
                <w:color w:val="auto"/>
                <w:sz w:val="20"/>
                <w:szCs w:val="20"/>
              </w:rPr>
            </w:pPr>
            <w:r w:rsidRPr="009E778C">
              <w:rPr>
                <w:rFonts w:cs="Arial"/>
                <w:color w:val="auto"/>
                <w:sz w:val="20"/>
                <w:szCs w:val="20"/>
              </w:rPr>
              <w:t>7.1</w:t>
            </w:r>
          </w:p>
        </w:tc>
        <w:tc>
          <w:tcPr>
            <w:tcW w:w="1275" w:type="dxa"/>
            <w:vAlign w:val="center"/>
          </w:tcPr>
          <w:p w:rsidR="009A73F1" w:rsidRPr="009E778C" w:rsidRDefault="009A73F1" w:rsidP="009A73F1">
            <w:pPr>
              <w:jc w:val="center"/>
              <w:cnfStyle w:val="000000000000"/>
              <w:rPr>
                <w:rFonts w:cs="Arial"/>
                <w:color w:val="auto"/>
                <w:sz w:val="20"/>
                <w:szCs w:val="20"/>
              </w:rPr>
            </w:pPr>
            <w:r w:rsidRPr="009E778C">
              <w:rPr>
                <w:rFonts w:cs="Arial"/>
                <w:color w:val="auto"/>
                <w:sz w:val="20"/>
                <w:szCs w:val="20"/>
              </w:rPr>
              <w:t>11.8</w:t>
            </w:r>
          </w:p>
        </w:tc>
        <w:tc>
          <w:tcPr>
            <w:cnfStyle w:val="000010000000"/>
            <w:tcW w:w="851" w:type="dxa"/>
          </w:tcPr>
          <w:p w:rsidR="009A73F1" w:rsidRPr="009E778C" w:rsidRDefault="009A73F1" w:rsidP="009A73F1">
            <w:pPr>
              <w:jc w:val="center"/>
              <w:rPr>
                <w:rFonts w:cs="Arial"/>
                <w:color w:val="auto"/>
                <w:sz w:val="20"/>
                <w:szCs w:val="20"/>
              </w:rPr>
            </w:pPr>
            <w:r w:rsidRPr="009E778C">
              <w:rPr>
                <w:rFonts w:cs="Arial"/>
                <w:color w:val="auto"/>
                <w:sz w:val="20"/>
                <w:szCs w:val="20"/>
              </w:rPr>
              <w:t>63.7</w:t>
            </w:r>
          </w:p>
        </w:tc>
        <w:tc>
          <w:tcPr>
            <w:tcW w:w="1559" w:type="dxa"/>
            <w:vAlign w:val="center"/>
          </w:tcPr>
          <w:p w:rsidR="009A73F1" w:rsidRPr="003C6E06" w:rsidRDefault="009A73F1" w:rsidP="00BA504A">
            <w:pPr>
              <w:cnfStyle w:val="000000000000"/>
              <w:rPr>
                <w:rFonts w:cs="Arial"/>
                <w:color w:val="auto"/>
                <w:sz w:val="18"/>
                <w:szCs w:val="18"/>
              </w:rPr>
            </w:pPr>
            <w:r w:rsidRPr="003C6E06">
              <w:rPr>
                <w:rFonts w:cs="Arial"/>
                <w:color w:val="auto"/>
                <w:sz w:val="18"/>
                <w:szCs w:val="18"/>
              </w:rPr>
              <w:t>Employee expenses</w:t>
            </w:r>
          </w:p>
        </w:tc>
        <w:tc>
          <w:tcPr>
            <w:cnfStyle w:val="000010000000"/>
            <w:tcW w:w="992" w:type="dxa"/>
            <w:vAlign w:val="center"/>
          </w:tcPr>
          <w:p w:rsidR="009A73F1" w:rsidRPr="004C47B8" w:rsidRDefault="00C3056C" w:rsidP="00BA504A">
            <w:pPr>
              <w:jc w:val="center"/>
              <w:rPr>
                <w:rFonts w:cs="Arial"/>
                <w:color w:val="auto"/>
                <w:sz w:val="20"/>
                <w:szCs w:val="20"/>
              </w:rPr>
            </w:pPr>
            <w:r w:rsidRPr="004C47B8">
              <w:rPr>
                <w:rFonts w:cs="Arial"/>
                <w:color w:val="auto"/>
                <w:sz w:val="20"/>
                <w:szCs w:val="20"/>
              </w:rPr>
              <w:t>0.6</w:t>
            </w:r>
          </w:p>
        </w:tc>
        <w:tc>
          <w:tcPr>
            <w:tcW w:w="1276" w:type="dxa"/>
            <w:vAlign w:val="center"/>
          </w:tcPr>
          <w:p w:rsidR="009A73F1" w:rsidRPr="004C47B8" w:rsidRDefault="00C3056C" w:rsidP="00BA504A">
            <w:pPr>
              <w:jc w:val="center"/>
              <w:cnfStyle w:val="000000000000"/>
              <w:rPr>
                <w:rFonts w:cs="Arial"/>
                <w:color w:val="auto"/>
                <w:sz w:val="20"/>
                <w:szCs w:val="20"/>
              </w:rPr>
            </w:pPr>
            <w:r w:rsidRPr="004C47B8">
              <w:rPr>
                <w:rFonts w:cs="Arial"/>
                <w:color w:val="auto"/>
                <w:sz w:val="20"/>
                <w:szCs w:val="20"/>
              </w:rPr>
              <w:t>39.4</w:t>
            </w:r>
          </w:p>
        </w:tc>
        <w:tc>
          <w:tcPr>
            <w:cnfStyle w:val="000010000000"/>
            <w:tcW w:w="1276" w:type="dxa"/>
            <w:gridSpan w:val="2"/>
            <w:vAlign w:val="center"/>
          </w:tcPr>
          <w:p w:rsidR="009A73F1" w:rsidRPr="004C47B8" w:rsidRDefault="003C6E06" w:rsidP="00BA504A">
            <w:pPr>
              <w:jc w:val="center"/>
              <w:rPr>
                <w:rFonts w:cs="Arial"/>
                <w:color w:val="auto"/>
                <w:sz w:val="20"/>
                <w:szCs w:val="20"/>
              </w:rPr>
            </w:pPr>
            <w:r w:rsidRPr="004C47B8">
              <w:rPr>
                <w:rFonts w:cs="Arial"/>
                <w:color w:val="auto"/>
                <w:sz w:val="20"/>
                <w:szCs w:val="20"/>
              </w:rPr>
              <w:t>0.8</w:t>
            </w:r>
          </w:p>
        </w:tc>
        <w:tc>
          <w:tcPr>
            <w:tcW w:w="1276" w:type="dxa"/>
            <w:vAlign w:val="center"/>
          </w:tcPr>
          <w:p w:rsidR="009A73F1" w:rsidRPr="004C47B8" w:rsidRDefault="004C47B8" w:rsidP="00BA504A">
            <w:pPr>
              <w:jc w:val="center"/>
              <w:cnfStyle w:val="000000000000"/>
              <w:rPr>
                <w:rFonts w:cs="Arial"/>
                <w:color w:val="auto"/>
                <w:sz w:val="20"/>
                <w:szCs w:val="20"/>
              </w:rPr>
            </w:pPr>
            <w:r w:rsidRPr="004C47B8">
              <w:rPr>
                <w:rFonts w:cs="Arial"/>
                <w:color w:val="auto"/>
                <w:sz w:val="20"/>
                <w:szCs w:val="20"/>
              </w:rPr>
              <w:t>10.0</w:t>
            </w:r>
          </w:p>
        </w:tc>
        <w:tc>
          <w:tcPr>
            <w:cnfStyle w:val="000010000000"/>
            <w:tcW w:w="1134" w:type="dxa"/>
            <w:vAlign w:val="center"/>
          </w:tcPr>
          <w:p w:rsidR="009A73F1" w:rsidRPr="004C47B8" w:rsidRDefault="003C6E06" w:rsidP="00BA504A">
            <w:pPr>
              <w:jc w:val="center"/>
              <w:rPr>
                <w:rFonts w:cs="Arial"/>
                <w:color w:val="auto"/>
                <w:sz w:val="20"/>
                <w:szCs w:val="20"/>
              </w:rPr>
            </w:pPr>
            <w:r w:rsidRPr="004C47B8">
              <w:rPr>
                <w:rFonts w:cs="Arial"/>
                <w:color w:val="auto"/>
                <w:sz w:val="20"/>
                <w:szCs w:val="20"/>
              </w:rPr>
              <w:t>10.0</w:t>
            </w:r>
          </w:p>
        </w:tc>
        <w:tc>
          <w:tcPr>
            <w:cnfStyle w:val="000100000000"/>
            <w:tcW w:w="1134" w:type="dxa"/>
            <w:gridSpan w:val="2"/>
          </w:tcPr>
          <w:p w:rsidR="009A73F1" w:rsidRPr="009A73F1" w:rsidRDefault="003C6E06" w:rsidP="00BA504A">
            <w:pPr>
              <w:jc w:val="center"/>
              <w:rPr>
                <w:rFonts w:cs="Arial"/>
                <w:color w:val="auto"/>
                <w:sz w:val="20"/>
                <w:szCs w:val="20"/>
              </w:rPr>
            </w:pPr>
            <w:r>
              <w:rPr>
                <w:rFonts w:cs="Arial"/>
                <w:color w:val="auto"/>
                <w:sz w:val="20"/>
                <w:szCs w:val="20"/>
              </w:rPr>
              <w:t>60.</w:t>
            </w:r>
            <w:r w:rsidR="004C47B8">
              <w:rPr>
                <w:rFonts w:cs="Arial"/>
                <w:color w:val="auto"/>
                <w:sz w:val="20"/>
                <w:szCs w:val="20"/>
              </w:rPr>
              <w:t>8</w:t>
            </w:r>
          </w:p>
        </w:tc>
      </w:tr>
      <w:tr w:rsidR="009A73F1" w:rsidRPr="009A73F1" w:rsidTr="00C3056C">
        <w:trPr>
          <w:cnfStyle w:val="000000100000"/>
          <w:trHeight w:hRule="exact" w:val="564"/>
        </w:trPr>
        <w:tc>
          <w:tcPr>
            <w:cnfStyle w:val="001000000000"/>
            <w:tcW w:w="1134" w:type="dxa"/>
            <w:gridSpan w:val="3"/>
            <w:vAlign w:val="center"/>
          </w:tcPr>
          <w:p w:rsidR="009A73F1" w:rsidRPr="009E778C" w:rsidRDefault="009A73F1" w:rsidP="009A73F1">
            <w:pPr>
              <w:jc w:val="center"/>
              <w:rPr>
                <w:rFonts w:cs="Arial"/>
                <w:b w:val="0"/>
                <w:color w:val="auto"/>
                <w:sz w:val="20"/>
                <w:szCs w:val="20"/>
              </w:rPr>
            </w:pPr>
            <w:r w:rsidRPr="009E778C">
              <w:rPr>
                <w:rFonts w:cs="Arial"/>
                <w:b w:val="0"/>
                <w:color w:val="auto"/>
                <w:sz w:val="20"/>
                <w:szCs w:val="20"/>
              </w:rPr>
              <w:t>47.2</w:t>
            </w:r>
          </w:p>
        </w:tc>
        <w:tc>
          <w:tcPr>
            <w:cnfStyle w:val="000010000000"/>
            <w:tcW w:w="1218" w:type="dxa"/>
            <w:gridSpan w:val="2"/>
            <w:vAlign w:val="center"/>
          </w:tcPr>
          <w:p w:rsidR="009A73F1" w:rsidRPr="009E778C" w:rsidRDefault="009A73F1" w:rsidP="009A73F1">
            <w:pPr>
              <w:jc w:val="center"/>
              <w:rPr>
                <w:rFonts w:cs="Arial"/>
                <w:color w:val="auto"/>
                <w:sz w:val="20"/>
                <w:szCs w:val="20"/>
              </w:rPr>
            </w:pPr>
            <w:r w:rsidRPr="009E778C">
              <w:rPr>
                <w:rFonts w:cs="Arial"/>
                <w:color w:val="auto"/>
                <w:sz w:val="20"/>
                <w:szCs w:val="20"/>
              </w:rPr>
              <w:t>47.1</w:t>
            </w:r>
          </w:p>
        </w:tc>
        <w:tc>
          <w:tcPr>
            <w:tcW w:w="1334" w:type="dxa"/>
            <w:vAlign w:val="center"/>
          </w:tcPr>
          <w:p w:rsidR="009A73F1" w:rsidRPr="009E778C" w:rsidRDefault="009A73F1" w:rsidP="009A73F1">
            <w:pPr>
              <w:jc w:val="center"/>
              <w:cnfStyle w:val="000000100000"/>
              <w:rPr>
                <w:rFonts w:cs="Arial"/>
                <w:color w:val="auto"/>
                <w:sz w:val="20"/>
                <w:szCs w:val="20"/>
              </w:rPr>
            </w:pPr>
            <w:r w:rsidRPr="009E778C">
              <w:rPr>
                <w:rFonts w:cs="Arial"/>
                <w:color w:val="auto"/>
                <w:sz w:val="20"/>
                <w:szCs w:val="20"/>
              </w:rPr>
              <w:t>9.0</w:t>
            </w:r>
          </w:p>
        </w:tc>
        <w:tc>
          <w:tcPr>
            <w:cnfStyle w:val="000010000000"/>
            <w:tcW w:w="1276" w:type="dxa"/>
            <w:vAlign w:val="center"/>
          </w:tcPr>
          <w:p w:rsidR="009A73F1" w:rsidRPr="009E778C" w:rsidRDefault="009A73F1" w:rsidP="009A73F1">
            <w:pPr>
              <w:jc w:val="center"/>
              <w:rPr>
                <w:rFonts w:cs="Arial"/>
                <w:color w:val="auto"/>
                <w:sz w:val="20"/>
                <w:szCs w:val="20"/>
              </w:rPr>
            </w:pPr>
            <w:r w:rsidRPr="009E778C">
              <w:rPr>
                <w:rFonts w:cs="Arial"/>
                <w:color w:val="auto"/>
                <w:sz w:val="20"/>
                <w:szCs w:val="20"/>
              </w:rPr>
              <w:t>38.8</w:t>
            </w:r>
          </w:p>
        </w:tc>
        <w:tc>
          <w:tcPr>
            <w:tcW w:w="1275" w:type="dxa"/>
            <w:vAlign w:val="center"/>
          </w:tcPr>
          <w:p w:rsidR="009A73F1" w:rsidRPr="009E778C" w:rsidRDefault="009A73F1" w:rsidP="009A73F1">
            <w:pPr>
              <w:jc w:val="center"/>
              <w:cnfStyle w:val="000000100000"/>
              <w:rPr>
                <w:rFonts w:cs="Arial"/>
                <w:color w:val="auto"/>
                <w:sz w:val="20"/>
                <w:szCs w:val="20"/>
              </w:rPr>
            </w:pPr>
            <w:r w:rsidRPr="009E778C">
              <w:rPr>
                <w:rFonts w:cs="Arial"/>
                <w:color w:val="auto"/>
                <w:sz w:val="20"/>
                <w:szCs w:val="20"/>
              </w:rPr>
              <w:t>89.6</w:t>
            </w:r>
          </w:p>
        </w:tc>
        <w:tc>
          <w:tcPr>
            <w:cnfStyle w:val="000010000000"/>
            <w:tcW w:w="851" w:type="dxa"/>
          </w:tcPr>
          <w:p w:rsidR="009A73F1" w:rsidRPr="009E778C" w:rsidRDefault="009A73F1" w:rsidP="009A73F1">
            <w:pPr>
              <w:jc w:val="center"/>
              <w:rPr>
                <w:rFonts w:cs="Arial"/>
                <w:color w:val="auto"/>
                <w:sz w:val="20"/>
                <w:szCs w:val="20"/>
              </w:rPr>
            </w:pPr>
            <w:r w:rsidRPr="009E778C">
              <w:rPr>
                <w:rFonts w:cs="Arial"/>
                <w:color w:val="auto"/>
                <w:sz w:val="20"/>
                <w:szCs w:val="20"/>
              </w:rPr>
              <w:t>231.7</w:t>
            </w:r>
          </w:p>
        </w:tc>
        <w:tc>
          <w:tcPr>
            <w:tcW w:w="1559" w:type="dxa"/>
            <w:vAlign w:val="center"/>
          </w:tcPr>
          <w:p w:rsidR="009A73F1" w:rsidRPr="003C6E06" w:rsidRDefault="009A73F1" w:rsidP="00BA504A">
            <w:pPr>
              <w:cnfStyle w:val="000000100000"/>
              <w:rPr>
                <w:rFonts w:cs="Arial"/>
                <w:color w:val="auto"/>
                <w:sz w:val="18"/>
                <w:szCs w:val="18"/>
              </w:rPr>
            </w:pPr>
            <w:r w:rsidRPr="003C6E06">
              <w:rPr>
                <w:rFonts w:cs="Arial"/>
                <w:color w:val="auto"/>
                <w:sz w:val="18"/>
                <w:szCs w:val="18"/>
              </w:rPr>
              <w:t>Other service expenses</w:t>
            </w:r>
          </w:p>
        </w:tc>
        <w:tc>
          <w:tcPr>
            <w:cnfStyle w:val="000010000000"/>
            <w:tcW w:w="992" w:type="dxa"/>
            <w:vAlign w:val="center"/>
          </w:tcPr>
          <w:p w:rsidR="009A73F1" w:rsidRPr="004C47B8" w:rsidRDefault="00C3056C" w:rsidP="00BA504A">
            <w:pPr>
              <w:jc w:val="center"/>
              <w:rPr>
                <w:rFonts w:cs="Arial"/>
                <w:color w:val="auto"/>
                <w:sz w:val="20"/>
                <w:szCs w:val="20"/>
              </w:rPr>
            </w:pPr>
            <w:r w:rsidRPr="004C47B8">
              <w:rPr>
                <w:rFonts w:cs="Arial"/>
                <w:color w:val="auto"/>
                <w:sz w:val="20"/>
                <w:szCs w:val="20"/>
              </w:rPr>
              <w:t>46.2</w:t>
            </w:r>
          </w:p>
        </w:tc>
        <w:tc>
          <w:tcPr>
            <w:tcW w:w="1276" w:type="dxa"/>
            <w:vAlign w:val="center"/>
          </w:tcPr>
          <w:p w:rsidR="009A73F1" w:rsidRPr="004C47B8" w:rsidRDefault="004C47B8" w:rsidP="00BA504A">
            <w:pPr>
              <w:jc w:val="center"/>
              <w:cnfStyle w:val="000000100000"/>
              <w:rPr>
                <w:rFonts w:cs="Arial"/>
                <w:color w:val="auto"/>
                <w:sz w:val="20"/>
                <w:szCs w:val="20"/>
              </w:rPr>
            </w:pPr>
            <w:r w:rsidRPr="004C47B8">
              <w:rPr>
                <w:rFonts w:cs="Arial"/>
                <w:color w:val="auto"/>
                <w:sz w:val="20"/>
                <w:szCs w:val="20"/>
              </w:rPr>
              <w:t>50.0</w:t>
            </w:r>
          </w:p>
        </w:tc>
        <w:tc>
          <w:tcPr>
            <w:cnfStyle w:val="000010000000"/>
            <w:tcW w:w="1276" w:type="dxa"/>
            <w:gridSpan w:val="2"/>
            <w:vAlign w:val="center"/>
          </w:tcPr>
          <w:p w:rsidR="009A73F1" w:rsidRPr="004C47B8" w:rsidRDefault="003C6E06" w:rsidP="00BA504A">
            <w:pPr>
              <w:jc w:val="center"/>
              <w:rPr>
                <w:rFonts w:cs="Arial"/>
                <w:color w:val="auto"/>
                <w:sz w:val="20"/>
                <w:szCs w:val="20"/>
              </w:rPr>
            </w:pPr>
            <w:r w:rsidRPr="004C47B8">
              <w:rPr>
                <w:rFonts w:cs="Arial"/>
                <w:color w:val="auto"/>
                <w:sz w:val="20"/>
                <w:szCs w:val="20"/>
              </w:rPr>
              <w:t>8.7</w:t>
            </w:r>
          </w:p>
        </w:tc>
        <w:tc>
          <w:tcPr>
            <w:tcW w:w="1276" w:type="dxa"/>
            <w:vAlign w:val="center"/>
          </w:tcPr>
          <w:p w:rsidR="009A73F1" w:rsidRPr="004C47B8" w:rsidRDefault="003C6E06" w:rsidP="003C6E06">
            <w:pPr>
              <w:jc w:val="center"/>
              <w:cnfStyle w:val="000000100000"/>
              <w:rPr>
                <w:rFonts w:cs="Arial"/>
                <w:color w:val="auto"/>
                <w:sz w:val="20"/>
                <w:szCs w:val="20"/>
              </w:rPr>
            </w:pPr>
            <w:r w:rsidRPr="004C47B8">
              <w:rPr>
                <w:rFonts w:cs="Arial"/>
                <w:color w:val="auto"/>
                <w:sz w:val="20"/>
                <w:szCs w:val="20"/>
              </w:rPr>
              <w:t>33.6</w:t>
            </w:r>
          </w:p>
        </w:tc>
        <w:tc>
          <w:tcPr>
            <w:cnfStyle w:val="000010000000"/>
            <w:tcW w:w="1134" w:type="dxa"/>
            <w:vAlign w:val="center"/>
          </w:tcPr>
          <w:p w:rsidR="009A73F1" w:rsidRPr="004C47B8" w:rsidRDefault="003C6E06" w:rsidP="00BA504A">
            <w:pPr>
              <w:jc w:val="center"/>
              <w:rPr>
                <w:rFonts w:cs="Arial"/>
                <w:color w:val="auto"/>
                <w:sz w:val="20"/>
                <w:szCs w:val="20"/>
              </w:rPr>
            </w:pPr>
            <w:r w:rsidRPr="004C47B8">
              <w:rPr>
                <w:rFonts w:cs="Arial"/>
                <w:color w:val="auto"/>
                <w:sz w:val="20"/>
                <w:szCs w:val="20"/>
              </w:rPr>
              <w:t>97.2</w:t>
            </w:r>
          </w:p>
        </w:tc>
        <w:tc>
          <w:tcPr>
            <w:cnfStyle w:val="000100000000"/>
            <w:tcW w:w="1134" w:type="dxa"/>
            <w:gridSpan w:val="2"/>
          </w:tcPr>
          <w:p w:rsidR="009A73F1" w:rsidRPr="009A73F1" w:rsidRDefault="003C6E06" w:rsidP="004C47B8">
            <w:pPr>
              <w:jc w:val="center"/>
              <w:rPr>
                <w:rFonts w:cs="Arial"/>
                <w:color w:val="auto"/>
                <w:sz w:val="20"/>
                <w:szCs w:val="20"/>
              </w:rPr>
            </w:pPr>
            <w:r>
              <w:rPr>
                <w:rFonts w:cs="Arial"/>
                <w:color w:val="auto"/>
                <w:sz w:val="20"/>
                <w:szCs w:val="20"/>
              </w:rPr>
              <w:t>235.</w:t>
            </w:r>
            <w:r w:rsidR="004C47B8">
              <w:rPr>
                <w:rFonts w:cs="Arial"/>
                <w:color w:val="auto"/>
                <w:sz w:val="20"/>
                <w:szCs w:val="20"/>
              </w:rPr>
              <w:t>7</w:t>
            </w:r>
          </w:p>
        </w:tc>
      </w:tr>
      <w:tr w:rsidR="009A73F1" w:rsidRPr="009A73F1" w:rsidTr="00847BB9">
        <w:trPr>
          <w:trHeight w:hRule="exact" w:val="568"/>
        </w:trPr>
        <w:tc>
          <w:tcPr>
            <w:cnfStyle w:val="001000000000"/>
            <w:tcW w:w="1134" w:type="dxa"/>
            <w:gridSpan w:val="3"/>
            <w:vAlign w:val="center"/>
          </w:tcPr>
          <w:p w:rsidR="009A73F1" w:rsidRPr="009E778C" w:rsidRDefault="009A73F1" w:rsidP="009A73F1">
            <w:pPr>
              <w:jc w:val="center"/>
              <w:rPr>
                <w:rFonts w:cs="Arial"/>
                <w:b w:val="0"/>
                <w:color w:val="auto"/>
                <w:sz w:val="20"/>
                <w:szCs w:val="20"/>
              </w:rPr>
            </w:pPr>
            <w:r w:rsidRPr="009E778C">
              <w:rPr>
                <w:rFonts w:cs="Arial"/>
                <w:b w:val="0"/>
                <w:color w:val="auto"/>
                <w:sz w:val="20"/>
                <w:szCs w:val="20"/>
              </w:rPr>
              <w:t>47.5</w:t>
            </w:r>
          </w:p>
        </w:tc>
        <w:tc>
          <w:tcPr>
            <w:cnfStyle w:val="000010000000"/>
            <w:tcW w:w="1218" w:type="dxa"/>
            <w:gridSpan w:val="2"/>
            <w:vAlign w:val="center"/>
          </w:tcPr>
          <w:p w:rsidR="009A73F1" w:rsidRPr="009E778C" w:rsidRDefault="009A73F1" w:rsidP="009A73F1">
            <w:pPr>
              <w:jc w:val="center"/>
              <w:rPr>
                <w:rFonts w:cs="Arial"/>
                <w:color w:val="auto"/>
                <w:sz w:val="20"/>
                <w:szCs w:val="20"/>
              </w:rPr>
            </w:pPr>
            <w:r w:rsidRPr="009E778C">
              <w:rPr>
                <w:rFonts w:cs="Arial"/>
                <w:color w:val="auto"/>
                <w:sz w:val="20"/>
                <w:szCs w:val="20"/>
              </w:rPr>
              <w:t>88.1</w:t>
            </w:r>
          </w:p>
        </w:tc>
        <w:tc>
          <w:tcPr>
            <w:tcW w:w="1334" w:type="dxa"/>
            <w:vAlign w:val="center"/>
          </w:tcPr>
          <w:p w:rsidR="009A73F1" w:rsidRPr="009E778C" w:rsidRDefault="009A73F1" w:rsidP="009A73F1">
            <w:pPr>
              <w:jc w:val="center"/>
              <w:cnfStyle w:val="000000000000"/>
              <w:rPr>
                <w:rFonts w:cs="Arial"/>
                <w:color w:val="auto"/>
                <w:sz w:val="20"/>
                <w:szCs w:val="20"/>
              </w:rPr>
            </w:pPr>
            <w:r w:rsidRPr="009E778C">
              <w:rPr>
                <w:rFonts w:cs="Arial"/>
                <w:color w:val="auto"/>
                <w:sz w:val="20"/>
                <w:szCs w:val="20"/>
              </w:rPr>
              <w:t>12.5</w:t>
            </w:r>
          </w:p>
        </w:tc>
        <w:tc>
          <w:tcPr>
            <w:cnfStyle w:val="000010000000"/>
            <w:tcW w:w="1276" w:type="dxa"/>
            <w:vAlign w:val="center"/>
          </w:tcPr>
          <w:p w:rsidR="009A73F1" w:rsidRPr="009E778C" w:rsidRDefault="009A73F1" w:rsidP="009A73F1">
            <w:pPr>
              <w:jc w:val="center"/>
              <w:rPr>
                <w:rFonts w:cs="Arial"/>
                <w:color w:val="auto"/>
                <w:sz w:val="20"/>
                <w:szCs w:val="20"/>
              </w:rPr>
            </w:pPr>
            <w:r w:rsidRPr="009E778C">
              <w:rPr>
                <w:rFonts w:cs="Arial"/>
                <w:color w:val="auto"/>
                <w:sz w:val="20"/>
                <w:szCs w:val="20"/>
              </w:rPr>
              <w:t>45.9</w:t>
            </w:r>
          </w:p>
        </w:tc>
        <w:tc>
          <w:tcPr>
            <w:tcW w:w="1275" w:type="dxa"/>
            <w:vAlign w:val="center"/>
          </w:tcPr>
          <w:p w:rsidR="009A73F1" w:rsidRPr="009E778C" w:rsidRDefault="009A73F1" w:rsidP="009A73F1">
            <w:pPr>
              <w:jc w:val="center"/>
              <w:cnfStyle w:val="000000000000"/>
              <w:rPr>
                <w:rFonts w:cs="Arial"/>
                <w:color w:val="auto"/>
                <w:sz w:val="20"/>
                <w:szCs w:val="20"/>
              </w:rPr>
            </w:pPr>
            <w:r w:rsidRPr="009E778C">
              <w:rPr>
                <w:rFonts w:cs="Arial"/>
                <w:color w:val="auto"/>
                <w:sz w:val="20"/>
                <w:szCs w:val="20"/>
              </w:rPr>
              <w:t>101.4</w:t>
            </w:r>
          </w:p>
        </w:tc>
        <w:tc>
          <w:tcPr>
            <w:cnfStyle w:val="000010000000"/>
            <w:tcW w:w="851" w:type="dxa"/>
          </w:tcPr>
          <w:p w:rsidR="009A73F1" w:rsidRPr="009E778C" w:rsidRDefault="009A73F1" w:rsidP="009A73F1">
            <w:pPr>
              <w:jc w:val="center"/>
              <w:rPr>
                <w:rFonts w:cs="Arial"/>
                <w:color w:val="auto"/>
                <w:sz w:val="20"/>
                <w:szCs w:val="20"/>
              </w:rPr>
            </w:pPr>
            <w:r w:rsidRPr="009E778C">
              <w:rPr>
                <w:rFonts w:cs="Arial"/>
                <w:color w:val="auto"/>
                <w:sz w:val="20"/>
                <w:szCs w:val="20"/>
              </w:rPr>
              <w:t>295.4</w:t>
            </w:r>
          </w:p>
        </w:tc>
        <w:tc>
          <w:tcPr>
            <w:tcW w:w="1559" w:type="dxa"/>
            <w:vAlign w:val="center"/>
          </w:tcPr>
          <w:p w:rsidR="009A73F1" w:rsidRPr="003C6E06" w:rsidRDefault="009A73F1" w:rsidP="00BA504A">
            <w:pPr>
              <w:cnfStyle w:val="000000000000"/>
              <w:rPr>
                <w:rFonts w:cs="Arial"/>
                <w:b/>
                <w:color w:val="auto"/>
                <w:sz w:val="18"/>
                <w:szCs w:val="18"/>
              </w:rPr>
            </w:pPr>
            <w:r w:rsidRPr="003C6E06">
              <w:rPr>
                <w:rFonts w:cs="Arial"/>
                <w:b/>
                <w:color w:val="auto"/>
                <w:sz w:val="18"/>
                <w:szCs w:val="18"/>
              </w:rPr>
              <w:t>Total Expenditure</w:t>
            </w:r>
          </w:p>
          <w:p w:rsidR="009A73F1" w:rsidRPr="003C6E06" w:rsidRDefault="009A73F1" w:rsidP="00BA504A">
            <w:pPr>
              <w:cnfStyle w:val="000000000000"/>
              <w:rPr>
                <w:rFonts w:cs="Arial"/>
                <w:color w:val="auto"/>
                <w:sz w:val="18"/>
                <w:szCs w:val="18"/>
              </w:rPr>
            </w:pPr>
          </w:p>
          <w:p w:rsidR="009A73F1" w:rsidRPr="003C6E06" w:rsidRDefault="009A73F1" w:rsidP="00BA504A">
            <w:pPr>
              <w:cnfStyle w:val="000000000000"/>
              <w:rPr>
                <w:rFonts w:cs="Arial"/>
                <w:color w:val="auto"/>
                <w:sz w:val="18"/>
                <w:szCs w:val="18"/>
              </w:rPr>
            </w:pPr>
          </w:p>
        </w:tc>
        <w:tc>
          <w:tcPr>
            <w:cnfStyle w:val="000010000000"/>
            <w:tcW w:w="992" w:type="dxa"/>
            <w:vAlign w:val="center"/>
          </w:tcPr>
          <w:p w:rsidR="009A73F1" w:rsidRPr="004C47B8" w:rsidRDefault="00C3056C" w:rsidP="003545EC">
            <w:pPr>
              <w:jc w:val="center"/>
              <w:rPr>
                <w:rFonts w:cs="Arial"/>
                <w:b/>
                <w:color w:val="auto"/>
                <w:sz w:val="20"/>
                <w:szCs w:val="20"/>
              </w:rPr>
            </w:pPr>
            <w:r w:rsidRPr="004C47B8">
              <w:rPr>
                <w:rFonts w:cs="Arial"/>
                <w:b/>
                <w:color w:val="auto"/>
                <w:sz w:val="20"/>
                <w:szCs w:val="20"/>
              </w:rPr>
              <w:t>46.8</w:t>
            </w:r>
          </w:p>
        </w:tc>
        <w:tc>
          <w:tcPr>
            <w:tcW w:w="1276" w:type="dxa"/>
            <w:vAlign w:val="center"/>
          </w:tcPr>
          <w:p w:rsidR="009A73F1" w:rsidRPr="004C47B8" w:rsidRDefault="00C3056C" w:rsidP="004C47B8">
            <w:pPr>
              <w:jc w:val="center"/>
              <w:cnfStyle w:val="000000000000"/>
              <w:rPr>
                <w:rFonts w:cs="Arial"/>
                <w:b/>
                <w:color w:val="auto"/>
                <w:sz w:val="20"/>
                <w:szCs w:val="20"/>
              </w:rPr>
            </w:pPr>
            <w:r w:rsidRPr="004C47B8">
              <w:rPr>
                <w:rFonts w:cs="Arial"/>
                <w:b/>
                <w:color w:val="auto"/>
                <w:sz w:val="20"/>
                <w:szCs w:val="20"/>
              </w:rPr>
              <w:t>89.</w:t>
            </w:r>
            <w:r w:rsidR="004C47B8" w:rsidRPr="004C47B8">
              <w:rPr>
                <w:rFonts w:cs="Arial"/>
                <w:b/>
                <w:color w:val="auto"/>
                <w:sz w:val="20"/>
                <w:szCs w:val="20"/>
              </w:rPr>
              <w:t>4</w:t>
            </w:r>
          </w:p>
        </w:tc>
        <w:tc>
          <w:tcPr>
            <w:cnfStyle w:val="000010000000"/>
            <w:tcW w:w="1276" w:type="dxa"/>
            <w:gridSpan w:val="2"/>
            <w:vAlign w:val="center"/>
          </w:tcPr>
          <w:p w:rsidR="009A73F1" w:rsidRPr="004C47B8" w:rsidRDefault="003C6E06" w:rsidP="00BA504A">
            <w:pPr>
              <w:jc w:val="center"/>
              <w:rPr>
                <w:rFonts w:cs="Arial"/>
                <w:b/>
                <w:color w:val="auto"/>
                <w:sz w:val="20"/>
                <w:szCs w:val="20"/>
              </w:rPr>
            </w:pPr>
            <w:r w:rsidRPr="004C47B8">
              <w:rPr>
                <w:rFonts w:cs="Arial"/>
                <w:b/>
                <w:color w:val="auto"/>
                <w:sz w:val="20"/>
                <w:szCs w:val="20"/>
              </w:rPr>
              <w:t>9.5</w:t>
            </w:r>
          </w:p>
        </w:tc>
        <w:tc>
          <w:tcPr>
            <w:tcW w:w="1276" w:type="dxa"/>
            <w:vAlign w:val="center"/>
          </w:tcPr>
          <w:p w:rsidR="009A73F1" w:rsidRPr="004C47B8" w:rsidRDefault="003C6E06" w:rsidP="004C47B8">
            <w:pPr>
              <w:jc w:val="center"/>
              <w:cnfStyle w:val="000000000000"/>
              <w:rPr>
                <w:rFonts w:cs="Arial"/>
                <w:b/>
                <w:color w:val="auto"/>
                <w:sz w:val="20"/>
                <w:szCs w:val="20"/>
              </w:rPr>
            </w:pPr>
            <w:r w:rsidRPr="004C47B8">
              <w:rPr>
                <w:rFonts w:cs="Arial"/>
                <w:b/>
                <w:color w:val="auto"/>
                <w:sz w:val="20"/>
                <w:szCs w:val="20"/>
              </w:rPr>
              <w:t>43.</w:t>
            </w:r>
            <w:r w:rsidR="004C47B8" w:rsidRPr="004C47B8">
              <w:rPr>
                <w:rFonts w:cs="Arial"/>
                <w:b/>
                <w:color w:val="auto"/>
                <w:sz w:val="20"/>
                <w:szCs w:val="20"/>
              </w:rPr>
              <w:t>6</w:t>
            </w:r>
          </w:p>
        </w:tc>
        <w:tc>
          <w:tcPr>
            <w:cnfStyle w:val="000010000000"/>
            <w:tcW w:w="1134" w:type="dxa"/>
            <w:vAlign w:val="center"/>
          </w:tcPr>
          <w:p w:rsidR="009A73F1" w:rsidRPr="004C47B8" w:rsidRDefault="003C6E06" w:rsidP="00BA504A">
            <w:pPr>
              <w:jc w:val="center"/>
              <w:rPr>
                <w:rFonts w:cs="Arial"/>
                <w:b/>
                <w:color w:val="auto"/>
                <w:sz w:val="20"/>
                <w:szCs w:val="20"/>
              </w:rPr>
            </w:pPr>
            <w:r w:rsidRPr="004C47B8">
              <w:rPr>
                <w:rFonts w:cs="Arial"/>
                <w:b/>
                <w:color w:val="auto"/>
                <w:sz w:val="20"/>
                <w:szCs w:val="20"/>
              </w:rPr>
              <w:t>107.2</w:t>
            </w:r>
          </w:p>
        </w:tc>
        <w:tc>
          <w:tcPr>
            <w:cnfStyle w:val="000100000000"/>
            <w:tcW w:w="1134" w:type="dxa"/>
            <w:gridSpan w:val="2"/>
          </w:tcPr>
          <w:p w:rsidR="009A73F1" w:rsidRPr="009A73F1" w:rsidRDefault="00004872" w:rsidP="004C47B8">
            <w:pPr>
              <w:jc w:val="center"/>
              <w:rPr>
                <w:rFonts w:cs="Arial"/>
                <w:color w:val="auto"/>
                <w:sz w:val="20"/>
                <w:szCs w:val="20"/>
              </w:rPr>
            </w:pPr>
            <w:r>
              <w:rPr>
                <w:rFonts w:cs="Arial"/>
                <w:color w:val="auto"/>
                <w:sz w:val="20"/>
                <w:szCs w:val="20"/>
              </w:rPr>
              <w:t>296.</w:t>
            </w:r>
            <w:r w:rsidR="00253965">
              <w:rPr>
                <w:rFonts w:cs="Arial"/>
                <w:color w:val="auto"/>
                <w:sz w:val="20"/>
                <w:szCs w:val="20"/>
              </w:rPr>
              <w:t>5</w:t>
            </w:r>
          </w:p>
        </w:tc>
      </w:tr>
      <w:tr w:rsidR="003C6E06" w:rsidRPr="009A73F1" w:rsidTr="003C6E06">
        <w:trPr>
          <w:cnfStyle w:val="010000000000"/>
          <w:trHeight w:hRule="exact" w:val="574"/>
        </w:trPr>
        <w:tc>
          <w:tcPr>
            <w:cnfStyle w:val="001000000001"/>
            <w:tcW w:w="1134" w:type="dxa"/>
            <w:gridSpan w:val="3"/>
            <w:tcBorders>
              <w:top w:val="single" w:sz="4" w:space="0" w:color="4BACC6" w:themeColor="accent5"/>
            </w:tcBorders>
            <w:vAlign w:val="center"/>
          </w:tcPr>
          <w:p w:rsidR="009A73F1" w:rsidRPr="009E778C" w:rsidRDefault="009A73F1" w:rsidP="009A73F1">
            <w:pPr>
              <w:jc w:val="center"/>
              <w:rPr>
                <w:rFonts w:cs="Arial"/>
                <w:b w:val="0"/>
                <w:color w:val="auto"/>
                <w:sz w:val="20"/>
                <w:szCs w:val="20"/>
              </w:rPr>
            </w:pPr>
            <w:r w:rsidRPr="009E778C">
              <w:rPr>
                <w:rFonts w:cs="Arial"/>
                <w:b w:val="0"/>
                <w:color w:val="auto"/>
                <w:sz w:val="20"/>
                <w:szCs w:val="20"/>
              </w:rPr>
              <w:t>44.9</w:t>
            </w:r>
          </w:p>
        </w:tc>
        <w:tc>
          <w:tcPr>
            <w:cnfStyle w:val="000010000000"/>
            <w:tcW w:w="1218" w:type="dxa"/>
            <w:gridSpan w:val="2"/>
            <w:tcBorders>
              <w:top w:val="single" w:sz="4" w:space="0" w:color="4BACC6" w:themeColor="accent5"/>
            </w:tcBorders>
            <w:vAlign w:val="center"/>
          </w:tcPr>
          <w:p w:rsidR="009A73F1" w:rsidRPr="009E778C" w:rsidRDefault="009A73F1" w:rsidP="009A73F1">
            <w:pPr>
              <w:jc w:val="center"/>
              <w:rPr>
                <w:rFonts w:cs="Arial"/>
                <w:b w:val="0"/>
                <w:color w:val="auto"/>
                <w:sz w:val="20"/>
                <w:szCs w:val="20"/>
              </w:rPr>
            </w:pPr>
            <w:r w:rsidRPr="009E778C">
              <w:rPr>
                <w:rFonts w:cs="Arial"/>
                <w:b w:val="0"/>
                <w:color w:val="auto"/>
                <w:sz w:val="20"/>
                <w:szCs w:val="20"/>
              </w:rPr>
              <w:t>27.7</w:t>
            </w:r>
          </w:p>
        </w:tc>
        <w:tc>
          <w:tcPr>
            <w:tcW w:w="1334" w:type="dxa"/>
            <w:tcBorders>
              <w:top w:val="single" w:sz="4" w:space="0" w:color="4BACC6" w:themeColor="accent5"/>
            </w:tcBorders>
            <w:vAlign w:val="center"/>
          </w:tcPr>
          <w:p w:rsidR="009A73F1" w:rsidRPr="009E778C" w:rsidRDefault="009A73F1" w:rsidP="009A73F1">
            <w:pPr>
              <w:jc w:val="center"/>
              <w:cnfStyle w:val="010000000000"/>
              <w:rPr>
                <w:rFonts w:cs="Arial"/>
                <w:b w:val="0"/>
                <w:color w:val="auto"/>
                <w:sz w:val="20"/>
                <w:szCs w:val="20"/>
              </w:rPr>
            </w:pPr>
            <w:r w:rsidRPr="009E778C">
              <w:rPr>
                <w:rFonts w:cs="Arial"/>
                <w:b w:val="0"/>
                <w:color w:val="auto"/>
                <w:sz w:val="20"/>
                <w:szCs w:val="20"/>
              </w:rPr>
              <w:t>2.2</w:t>
            </w:r>
          </w:p>
        </w:tc>
        <w:tc>
          <w:tcPr>
            <w:cnfStyle w:val="000010000000"/>
            <w:tcW w:w="1276" w:type="dxa"/>
            <w:tcBorders>
              <w:top w:val="single" w:sz="4" w:space="0" w:color="4BACC6" w:themeColor="accent5"/>
            </w:tcBorders>
            <w:vAlign w:val="center"/>
          </w:tcPr>
          <w:p w:rsidR="009A73F1" w:rsidRPr="009E778C" w:rsidRDefault="009A73F1" w:rsidP="009A73F1">
            <w:pPr>
              <w:jc w:val="center"/>
              <w:rPr>
                <w:rFonts w:cs="Arial"/>
                <w:b w:val="0"/>
                <w:color w:val="auto"/>
                <w:sz w:val="20"/>
                <w:szCs w:val="20"/>
              </w:rPr>
            </w:pPr>
            <w:r w:rsidRPr="009E778C">
              <w:rPr>
                <w:rFonts w:cs="Arial"/>
                <w:b w:val="0"/>
                <w:color w:val="auto"/>
                <w:sz w:val="20"/>
                <w:szCs w:val="20"/>
              </w:rPr>
              <w:t>28.0</w:t>
            </w:r>
          </w:p>
        </w:tc>
        <w:tc>
          <w:tcPr>
            <w:tcW w:w="1275" w:type="dxa"/>
            <w:tcBorders>
              <w:top w:val="single" w:sz="4" w:space="0" w:color="4BACC6" w:themeColor="accent5"/>
            </w:tcBorders>
            <w:vAlign w:val="center"/>
          </w:tcPr>
          <w:p w:rsidR="009A73F1" w:rsidRPr="009E778C" w:rsidRDefault="009A73F1" w:rsidP="009A73F1">
            <w:pPr>
              <w:jc w:val="center"/>
              <w:cnfStyle w:val="010000000000"/>
              <w:rPr>
                <w:rFonts w:cs="Arial"/>
                <w:b w:val="0"/>
                <w:color w:val="auto"/>
                <w:sz w:val="20"/>
                <w:szCs w:val="20"/>
              </w:rPr>
            </w:pPr>
            <w:r w:rsidRPr="009E778C">
              <w:rPr>
                <w:rFonts w:cs="Arial"/>
                <w:b w:val="0"/>
                <w:color w:val="auto"/>
                <w:sz w:val="20"/>
                <w:szCs w:val="20"/>
              </w:rPr>
              <w:t>13.6</w:t>
            </w:r>
          </w:p>
        </w:tc>
        <w:tc>
          <w:tcPr>
            <w:cnfStyle w:val="000010000000"/>
            <w:tcW w:w="851" w:type="dxa"/>
            <w:tcBorders>
              <w:top w:val="single" w:sz="4" w:space="0" w:color="4BACC6" w:themeColor="accent5"/>
            </w:tcBorders>
          </w:tcPr>
          <w:p w:rsidR="009A73F1" w:rsidRPr="009E778C" w:rsidRDefault="009A73F1" w:rsidP="009A73F1">
            <w:pPr>
              <w:jc w:val="center"/>
              <w:rPr>
                <w:rFonts w:cs="Arial"/>
                <w:b w:val="0"/>
                <w:color w:val="auto"/>
                <w:sz w:val="20"/>
                <w:szCs w:val="20"/>
              </w:rPr>
            </w:pPr>
            <w:r w:rsidRPr="009E778C">
              <w:rPr>
                <w:rFonts w:cs="Arial"/>
                <w:b w:val="0"/>
                <w:color w:val="auto"/>
                <w:sz w:val="20"/>
                <w:szCs w:val="20"/>
              </w:rPr>
              <w:t>116.4</w:t>
            </w:r>
          </w:p>
        </w:tc>
        <w:tc>
          <w:tcPr>
            <w:tcW w:w="1559" w:type="dxa"/>
            <w:tcBorders>
              <w:top w:val="single" w:sz="4" w:space="0" w:color="4BACC6" w:themeColor="accent5"/>
            </w:tcBorders>
            <w:vAlign w:val="center"/>
          </w:tcPr>
          <w:p w:rsidR="009A73F1" w:rsidRPr="003C6E06" w:rsidRDefault="009A73F1" w:rsidP="00BA504A">
            <w:pPr>
              <w:cnfStyle w:val="010000000000"/>
              <w:rPr>
                <w:rFonts w:cs="Arial"/>
                <w:color w:val="auto"/>
                <w:sz w:val="18"/>
                <w:szCs w:val="18"/>
              </w:rPr>
            </w:pPr>
            <w:r w:rsidRPr="003C6E06">
              <w:rPr>
                <w:rFonts w:cs="Arial"/>
                <w:color w:val="auto"/>
                <w:sz w:val="18"/>
                <w:szCs w:val="18"/>
              </w:rPr>
              <w:t>Net Expenditure</w:t>
            </w:r>
          </w:p>
        </w:tc>
        <w:tc>
          <w:tcPr>
            <w:cnfStyle w:val="000010000000"/>
            <w:tcW w:w="992" w:type="dxa"/>
            <w:tcBorders>
              <w:top w:val="single" w:sz="4" w:space="0" w:color="4BACC6" w:themeColor="accent5"/>
            </w:tcBorders>
            <w:vAlign w:val="center"/>
          </w:tcPr>
          <w:p w:rsidR="009A73F1" w:rsidRPr="00004872" w:rsidRDefault="00C3056C" w:rsidP="00BA504A">
            <w:pPr>
              <w:jc w:val="center"/>
              <w:rPr>
                <w:rFonts w:cs="Arial"/>
                <w:color w:val="auto"/>
                <w:sz w:val="20"/>
                <w:szCs w:val="20"/>
                <w:highlight w:val="yellow"/>
              </w:rPr>
            </w:pPr>
            <w:r w:rsidRPr="004C47B8">
              <w:rPr>
                <w:rFonts w:cs="Arial"/>
                <w:color w:val="auto"/>
                <w:sz w:val="20"/>
                <w:szCs w:val="20"/>
              </w:rPr>
              <w:t>42.3</w:t>
            </w:r>
          </w:p>
        </w:tc>
        <w:tc>
          <w:tcPr>
            <w:tcW w:w="1276" w:type="dxa"/>
            <w:tcBorders>
              <w:top w:val="single" w:sz="4" w:space="0" w:color="4BACC6" w:themeColor="accent5"/>
            </w:tcBorders>
            <w:vAlign w:val="center"/>
          </w:tcPr>
          <w:p w:rsidR="009A73F1" w:rsidRPr="00004872" w:rsidRDefault="00C3056C" w:rsidP="00BA504A">
            <w:pPr>
              <w:jc w:val="center"/>
              <w:cnfStyle w:val="010000000000"/>
              <w:rPr>
                <w:rFonts w:cs="Arial"/>
                <w:color w:val="auto"/>
                <w:sz w:val="20"/>
                <w:szCs w:val="20"/>
                <w:highlight w:val="yellow"/>
              </w:rPr>
            </w:pPr>
            <w:r w:rsidRPr="00253965">
              <w:rPr>
                <w:rFonts w:cs="Arial"/>
                <w:color w:val="auto"/>
                <w:sz w:val="20"/>
                <w:szCs w:val="20"/>
              </w:rPr>
              <w:t>31.</w:t>
            </w:r>
            <w:r w:rsidR="004C47B8" w:rsidRPr="00253965">
              <w:rPr>
                <w:rFonts w:cs="Arial"/>
                <w:color w:val="auto"/>
                <w:sz w:val="20"/>
                <w:szCs w:val="20"/>
              </w:rPr>
              <w:t>6</w:t>
            </w:r>
          </w:p>
        </w:tc>
        <w:tc>
          <w:tcPr>
            <w:cnfStyle w:val="000010000000"/>
            <w:tcW w:w="1276" w:type="dxa"/>
            <w:gridSpan w:val="2"/>
            <w:tcBorders>
              <w:top w:val="single" w:sz="4" w:space="0" w:color="4BACC6" w:themeColor="accent5"/>
            </w:tcBorders>
            <w:vAlign w:val="center"/>
          </w:tcPr>
          <w:p w:rsidR="009A73F1" w:rsidRPr="009A73F1" w:rsidRDefault="003C6E06" w:rsidP="00BA504A">
            <w:pPr>
              <w:jc w:val="center"/>
              <w:rPr>
                <w:rFonts w:cs="Arial"/>
                <w:color w:val="auto"/>
                <w:sz w:val="20"/>
                <w:szCs w:val="20"/>
              </w:rPr>
            </w:pPr>
            <w:r>
              <w:rPr>
                <w:rFonts w:cs="Arial"/>
                <w:color w:val="auto"/>
                <w:sz w:val="20"/>
                <w:szCs w:val="20"/>
              </w:rPr>
              <w:t>0.1</w:t>
            </w:r>
          </w:p>
        </w:tc>
        <w:tc>
          <w:tcPr>
            <w:tcW w:w="1276" w:type="dxa"/>
            <w:tcBorders>
              <w:top w:val="single" w:sz="4" w:space="0" w:color="4BACC6" w:themeColor="accent5"/>
            </w:tcBorders>
            <w:vAlign w:val="center"/>
          </w:tcPr>
          <w:p w:rsidR="009A73F1" w:rsidRPr="009A73F1" w:rsidRDefault="003C6E06" w:rsidP="003C6E06">
            <w:pPr>
              <w:jc w:val="center"/>
              <w:cnfStyle w:val="010000000000"/>
              <w:rPr>
                <w:rFonts w:cs="Arial"/>
                <w:color w:val="auto"/>
                <w:sz w:val="20"/>
                <w:szCs w:val="20"/>
              </w:rPr>
            </w:pPr>
            <w:r>
              <w:rPr>
                <w:rFonts w:cs="Arial"/>
                <w:color w:val="auto"/>
                <w:sz w:val="20"/>
                <w:szCs w:val="20"/>
              </w:rPr>
              <w:t>8.2</w:t>
            </w:r>
          </w:p>
        </w:tc>
        <w:tc>
          <w:tcPr>
            <w:cnfStyle w:val="000010000000"/>
            <w:tcW w:w="1134" w:type="dxa"/>
            <w:tcBorders>
              <w:top w:val="single" w:sz="4" w:space="0" w:color="4BACC6" w:themeColor="accent5"/>
            </w:tcBorders>
            <w:vAlign w:val="center"/>
          </w:tcPr>
          <w:p w:rsidR="009A73F1" w:rsidRPr="009A73F1" w:rsidRDefault="003C6E06" w:rsidP="00BA504A">
            <w:pPr>
              <w:jc w:val="center"/>
              <w:rPr>
                <w:rFonts w:cs="Arial"/>
                <w:color w:val="auto"/>
                <w:sz w:val="20"/>
                <w:szCs w:val="20"/>
              </w:rPr>
            </w:pPr>
            <w:r>
              <w:rPr>
                <w:rFonts w:cs="Arial"/>
                <w:color w:val="auto"/>
                <w:sz w:val="20"/>
                <w:szCs w:val="20"/>
              </w:rPr>
              <w:t>28.8</w:t>
            </w:r>
          </w:p>
        </w:tc>
        <w:tc>
          <w:tcPr>
            <w:cnfStyle w:val="000100000010"/>
            <w:tcW w:w="1134" w:type="dxa"/>
            <w:gridSpan w:val="2"/>
            <w:tcBorders>
              <w:top w:val="single" w:sz="4" w:space="0" w:color="4BACC6" w:themeColor="accent5"/>
            </w:tcBorders>
          </w:tcPr>
          <w:p w:rsidR="009A73F1" w:rsidRPr="009A73F1" w:rsidRDefault="004C47B8" w:rsidP="00BA504A">
            <w:pPr>
              <w:jc w:val="center"/>
              <w:rPr>
                <w:rFonts w:cs="Arial"/>
                <w:color w:val="auto"/>
                <w:sz w:val="20"/>
                <w:szCs w:val="20"/>
              </w:rPr>
            </w:pPr>
            <w:r>
              <w:rPr>
                <w:rFonts w:cs="Arial"/>
                <w:color w:val="auto"/>
                <w:sz w:val="20"/>
                <w:szCs w:val="20"/>
              </w:rPr>
              <w:t>111.0</w:t>
            </w:r>
          </w:p>
        </w:tc>
      </w:tr>
    </w:tbl>
    <w:p w:rsidR="00A57A31" w:rsidRDefault="00A57A31">
      <w:pPr>
        <w:rPr>
          <w:color w:val="548DD4" w:themeColor="text2" w:themeTint="99"/>
        </w:rPr>
      </w:pPr>
    </w:p>
    <w:p w:rsidR="00572839" w:rsidRDefault="00572839">
      <w:pPr>
        <w:rPr>
          <w:color w:val="548DD4" w:themeColor="text2" w:themeTint="99"/>
        </w:rPr>
      </w:pPr>
    </w:p>
    <w:p w:rsidR="00572839" w:rsidRDefault="00572839">
      <w:pPr>
        <w:rPr>
          <w:color w:val="548DD4" w:themeColor="text2" w:themeTint="99"/>
        </w:rPr>
      </w:pPr>
    </w:p>
    <w:p w:rsidR="00572839" w:rsidRDefault="00572839">
      <w:pPr>
        <w:rPr>
          <w:color w:val="548DD4" w:themeColor="text2" w:themeTint="99"/>
        </w:rPr>
      </w:pPr>
    </w:p>
    <w:p w:rsidR="00572839" w:rsidRPr="00D42E0B" w:rsidRDefault="00572839">
      <w:pPr>
        <w:rPr>
          <w:color w:val="548DD4" w:themeColor="text2" w:themeTint="99"/>
        </w:rPr>
      </w:pPr>
    </w:p>
    <w:tbl>
      <w:tblPr>
        <w:tblStyle w:val="ListTable3-Accent51"/>
        <w:tblW w:w="15168" w:type="dxa"/>
        <w:tblInd w:w="-459" w:type="dxa"/>
        <w:tblBorders>
          <w:insideH w:val="single" w:sz="4" w:space="0" w:color="4BACC6" w:themeColor="accent5"/>
          <w:insideV w:val="single" w:sz="4" w:space="0" w:color="4BACC6" w:themeColor="accent5"/>
        </w:tblBorders>
        <w:tblLayout w:type="fixed"/>
        <w:tblLook w:val="01E0"/>
      </w:tblPr>
      <w:tblGrid>
        <w:gridCol w:w="2410"/>
        <w:gridCol w:w="10631"/>
        <w:gridCol w:w="2127"/>
      </w:tblGrid>
      <w:tr w:rsidR="008D6AA9" w:rsidRPr="009A73F1" w:rsidTr="008D6AA9">
        <w:trPr>
          <w:cnfStyle w:val="100000000000"/>
          <w:trHeight w:val="405"/>
        </w:trPr>
        <w:tc>
          <w:tcPr>
            <w:cnfStyle w:val="001000000100"/>
            <w:tcW w:w="15168" w:type="dxa"/>
            <w:gridSpan w:val="3"/>
            <w:tcBorders>
              <w:bottom w:val="none" w:sz="0" w:space="0" w:color="auto"/>
              <w:right w:val="none" w:sz="0" w:space="0" w:color="auto"/>
            </w:tcBorders>
          </w:tcPr>
          <w:p w:rsidR="008D6AA9" w:rsidRPr="009A73F1" w:rsidRDefault="008D6AA9" w:rsidP="008D6AA9">
            <w:pPr>
              <w:pStyle w:val="BodyText"/>
              <w:jc w:val="center"/>
              <w:rPr>
                <w:rFonts w:cs="Arial"/>
                <w:color w:val="auto"/>
                <w:sz w:val="22"/>
                <w:szCs w:val="22"/>
              </w:rPr>
            </w:pPr>
            <w:r w:rsidRPr="009A73F1">
              <w:rPr>
                <w:rFonts w:cs="Arial"/>
                <w:color w:val="auto"/>
                <w:sz w:val="22"/>
                <w:szCs w:val="22"/>
              </w:rPr>
              <w:lastRenderedPageBreak/>
              <w:t>Reconciliation of Directorate Income and Expenditure to Cost of Services in the Comprehensive Income and Expenditure Statement</w:t>
            </w:r>
          </w:p>
        </w:tc>
      </w:tr>
      <w:tr w:rsidR="008D6AA9" w:rsidRPr="009A73F1" w:rsidTr="008D6AA9">
        <w:trPr>
          <w:cnfStyle w:val="000000100000"/>
          <w:trHeight w:val="405"/>
        </w:trPr>
        <w:tc>
          <w:tcPr>
            <w:cnfStyle w:val="001000000000"/>
            <w:tcW w:w="2410" w:type="dxa"/>
            <w:tcBorders>
              <w:top w:val="none" w:sz="0" w:space="0" w:color="auto"/>
              <w:bottom w:val="none" w:sz="0" w:space="0" w:color="auto"/>
              <w:right w:val="none" w:sz="0" w:space="0" w:color="auto"/>
            </w:tcBorders>
            <w:shd w:val="clear" w:color="auto" w:fill="4BACC6" w:themeFill="accent5"/>
          </w:tcPr>
          <w:p w:rsidR="008D6AA9" w:rsidRPr="009A73F1" w:rsidRDefault="008D6AA9" w:rsidP="008D6AA9">
            <w:pPr>
              <w:pStyle w:val="BodyText"/>
              <w:spacing w:line="240" w:lineRule="auto"/>
              <w:jc w:val="center"/>
              <w:rPr>
                <w:rFonts w:cs="Arial"/>
                <w:b w:val="0"/>
                <w:color w:val="auto"/>
                <w:sz w:val="18"/>
                <w:szCs w:val="18"/>
              </w:rPr>
            </w:pPr>
            <w:r w:rsidRPr="009A73F1">
              <w:rPr>
                <w:rFonts w:cs="Arial"/>
                <w:b w:val="0"/>
                <w:color w:val="auto"/>
                <w:sz w:val="18"/>
                <w:szCs w:val="18"/>
              </w:rPr>
              <w:t>201</w:t>
            </w:r>
            <w:r w:rsidR="009A73F1" w:rsidRPr="009A73F1">
              <w:rPr>
                <w:rFonts w:cs="Arial"/>
                <w:b w:val="0"/>
                <w:color w:val="auto"/>
                <w:sz w:val="18"/>
                <w:szCs w:val="18"/>
              </w:rPr>
              <w:t>4</w:t>
            </w:r>
            <w:r w:rsidRPr="009A73F1">
              <w:rPr>
                <w:rFonts w:cs="Arial"/>
                <w:b w:val="0"/>
                <w:color w:val="auto"/>
                <w:sz w:val="18"/>
                <w:szCs w:val="18"/>
              </w:rPr>
              <w:t>/1</w:t>
            </w:r>
            <w:r w:rsidR="009A73F1" w:rsidRPr="009A73F1">
              <w:rPr>
                <w:rFonts w:cs="Arial"/>
                <w:b w:val="0"/>
                <w:color w:val="auto"/>
                <w:sz w:val="18"/>
                <w:szCs w:val="18"/>
              </w:rPr>
              <w:t>5</w:t>
            </w:r>
            <w:r w:rsidRPr="009A73F1">
              <w:rPr>
                <w:rFonts w:cs="Arial"/>
                <w:b w:val="0"/>
                <w:color w:val="auto"/>
                <w:sz w:val="18"/>
                <w:szCs w:val="18"/>
              </w:rPr>
              <w:t xml:space="preserve"> </w:t>
            </w:r>
          </w:p>
          <w:p w:rsidR="008D6AA9" w:rsidRPr="009A73F1" w:rsidRDefault="008D6AA9" w:rsidP="008D6AA9">
            <w:pPr>
              <w:pStyle w:val="BodyText"/>
              <w:jc w:val="center"/>
              <w:rPr>
                <w:rFonts w:cs="Arial"/>
                <w:color w:val="auto"/>
                <w:sz w:val="20"/>
                <w:szCs w:val="20"/>
              </w:rPr>
            </w:pPr>
            <w:r w:rsidRPr="009A73F1">
              <w:rPr>
                <w:rFonts w:cs="Arial"/>
                <w:b w:val="0"/>
                <w:color w:val="auto"/>
                <w:sz w:val="18"/>
                <w:szCs w:val="18"/>
              </w:rPr>
              <w:t>£m</w:t>
            </w:r>
          </w:p>
        </w:tc>
        <w:tc>
          <w:tcPr>
            <w:cnfStyle w:val="000010000000"/>
            <w:tcW w:w="10631" w:type="dxa"/>
            <w:tcBorders>
              <w:top w:val="none" w:sz="0" w:space="0" w:color="auto"/>
              <w:left w:val="none" w:sz="0" w:space="0" w:color="auto"/>
              <w:bottom w:val="none" w:sz="0" w:space="0" w:color="auto"/>
              <w:right w:val="none" w:sz="0" w:space="0" w:color="auto"/>
            </w:tcBorders>
            <w:shd w:val="clear" w:color="auto" w:fill="4BACC6" w:themeFill="accent5"/>
          </w:tcPr>
          <w:p w:rsidR="008D6AA9" w:rsidRPr="009A73F1" w:rsidRDefault="008D6AA9" w:rsidP="00773DED">
            <w:pPr>
              <w:pStyle w:val="BodyText"/>
              <w:spacing w:line="240" w:lineRule="auto"/>
              <w:rPr>
                <w:rFonts w:cs="Arial"/>
                <w:color w:val="auto"/>
                <w:sz w:val="20"/>
                <w:szCs w:val="20"/>
              </w:rPr>
            </w:pPr>
            <w:r w:rsidRPr="009A73F1">
              <w:rPr>
                <w:rFonts w:cs="Arial"/>
                <w:color w:val="auto"/>
                <w:sz w:val="20"/>
                <w:szCs w:val="20"/>
              </w:rPr>
              <w:t>This reconciliation shows how the figures in the analysis of directorate income and expenditure relate to the amounts included in the Comprehensive Income and Expenditure Statement</w:t>
            </w:r>
          </w:p>
        </w:tc>
        <w:tc>
          <w:tcPr>
            <w:cnfStyle w:val="000100000000"/>
            <w:tcW w:w="2127" w:type="dxa"/>
            <w:tcBorders>
              <w:top w:val="none" w:sz="0" w:space="0" w:color="auto"/>
              <w:left w:val="none" w:sz="0" w:space="0" w:color="auto"/>
              <w:bottom w:val="none" w:sz="0" w:space="0" w:color="auto"/>
            </w:tcBorders>
            <w:shd w:val="clear" w:color="auto" w:fill="4BACC6" w:themeFill="accent5"/>
          </w:tcPr>
          <w:p w:rsidR="008D6AA9" w:rsidRPr="009A73F1" w:rsidRDefault="008D6AA9" w:rsidP="008D6AA9">
            <w:pPr>
              <w:pStyle w:val="BodyText"/>
              <w:spacing w:line="240" w:lineRule="auto"/>
              <w:jc w:val="center"/>
              <w:rPr>
                <w:rFonts w:cs="Arial"/>
                <w:b w:val="0"/>
                <w:color w:val="auto"/>
                <w:sz w:val="18"/>
                <w:szCs w:val="18"/>
              </w:rPr>
            </w:pPr>
            <w:r w:rsidRPr="009A73F1">
              <w:rPr>
                <w:rFonts w:cs="Arial"/>
                <w:b w:val="0"/>
                <w:color w:val="auto"/>
                <w:sz w:val="18"/>
                <w:szCs w:val="18"/>
              </w:rPr>
              <w:t>201</w:t>
            </w:r>
            <w:r w:rsidR="009A73F1" w:rsidRPr="009A73F1">
              <w:rPr>
                <w:rFonts w:cs="Arial"/>
                <w:b w:val="0"/>
                <w:color w:val="auto"/>
                <w:sz w:val="18"/>
                <w:szCs w:val="18"/>
              </w:rPr>
              <w:t>5</w:t>
            </w:r>
            <w:r w:rsidRPr="009A73F1">
              <w:rPr>
                <w:rFonts w:cs="Arial"/>
                <w:b w:val="0"/>
                <w:color w:val="auto"/>
                <w:sz w:val="18"/>
                <w:szCs w:val="18"/>
              </w:rPr>
              <w:t>/1</w:t>
            </w:r>
            <w:r w:rsidR="009A73F1" w:rsidRPr="009A73F1">
              <w:rPr>
                <w:rFonts w:cs="Arial"/>
                <w:b w:val="0"/>
                <w:color w:val="auto"/>
                <w:sz w:val="18"/>
                <w:szCs w:val="18"/>
              </w:rPr>
              <w:t>6</w:t>
            </w:r>
            <w:r w:rsidRPr="009A73F1">
              <w:rPr>
                <w:rFonts w:cs="Arial"/>
                <w:b w:val="0"/>
                <w:color w:val="auto"/>
                <w:sz w:val="18"/>
                <w:szCs w:val="18"/>
              </w:rPr>
              <w:t xml:space="preserve"> </w:t>
            </w:r>
          </w:p>
          <w:p w:rsidR="008D6AA9" w:rsidRPr="009A73F1" w:rsidRDefault="008D6AA9" w:rsidP="008D6AA9">
            <w:pPr>
              <w:pStyle w:val="BodyText"/>
              <w:spacing w:line="240" w:lineRule="auto"/>
              <w:jc w:val="center"/>
              <w:rPr>
                <w:rFonts w:cs="Arial"/>
                <w:color w:val="auto"/>
                <w:sz w:val="20"/>
                <w:szCs w:val="20"/>
              </w:rPr>
            </w:pPr>
            <w:r w:rsidRPr="009A73F1">
              <w:rPr>
                <w:rFonts w:cs="Arial"/>
                <w:b w:val="0"/>
                <w:color w:val="auto"/>
                <w:sz w:val="18"/>
                <w:szCs w:val="18"/>
              </w:rPr>
              <w:t>£m</w:t>
            </w:r>
          </w:p>
        </w:tc>
      </w:tr>
      <w:tr w:rsidR="009A73F1" w:rsidRPr="009A73F1" w:rsidTr="008D6AA9">
        <w:trPr>
          <w:trHeight w:val="405"/>
        </w:trPr>
        <w:tc>
          <w:tcPr>
            <w:cnfStyle w:val="001000000000"/>
            <w:tcW w:w="2410" w:type="dxa"/>
            <w:tcBorders>
              <w:right w:val="none" w:sz="0" w:space="0" w:color="auto"/>
            </w:tcBorders>
          </w:tcPr>
          <w:p w:rsidR="009A73F1" w:rsidRPr="009A73F1" w:rsidRDefault="009A73F1" w:rsidP="009A73F1">
            <w:pPr>
              <w:pStyle w:val="BodyText"/>
              <w:jc w:val="center"/>
              <w:rPr>
                <w:rFonts w:cs="Arial"/>
                <w:b w:val="0"/>
                <w:color w:val="auto"/>
                <w:sz w:val="20"/>
                <w:szCs w:val="20"/>
              </w:rPr>
            </w:pPr>
            <w:r w:rsidRPr="009A73F1">
              <w:rPr>
                <w:rFonts w:cs="Arial"/>
                <w:b w:val="0"/>
                <w:color w:val="auto"/>
                <w:sz w:val="20"/>
                <w:szCs w:val="20"/>
              </w:rPr>
              <w:t>116.4</w:t>
            </w:r>
          </w:p>
        </w:tc>
        <w:tc>
          <w:tcPr>
            <w:cnfStyle w:val="000010000000"/>
            <w:tcW w:w="10631" w:type="dxa"/>
            <w:tcBorders>
              <w:left w:val="none" w:sz="0" w:space="0" w:color="auto"/>
              <w:right w:val="none" w:sz="0" w:space="0" w:color="auto"/>
            </w:tcBorders>
          </w:tcPr>
          <w:p w:rsidR="009A73F1" w:rsidRPr="009A73F1" w:rsidRDefault="009A73F1" w:rsidP="00AD418E">
            <w:pPr>
              <w:pStyle w:val="BodyText"/>
              <w:rPr>
                <w:rFonts w:cs="Arial"/>
                <w:b/>
                <w:color w:val="auto"/>
                <w:sz w:val="20"/>
                <w:szCs w:val="20"/>
              </w:rPr>
            </w:pPr>
            <w:r w:rsidRPr="009A73F1">
              <w:rPr>
                <w:rFonts w:cs="Arial"/>
                <w:b/>
                <w:color w:val="auto"/>
                <w:sz w:val="20"/>
                <w:szCs w:val="20"/>
              </w:rPr>
              <w:t>Net expenditure in the Directorate Analysis</w:t>
            </w:r>
          </w:p>
        </w:tc>
        <w:tc>
          <w:tcPr>
            <w:cnfStyle w:val="000100000000"/>
            <w:tcW w:w="2127" w:type="dxa"/>
            <w:tcBorders>
              <w:left w:val="none" w:sz="0" w:space="0" w:color="auto"/>
            </w:tcBorders>
          </w:tcPr>
          <w:p w:rsidR="009A73F1" w:rsidRPr="009A73F1" w:rsidRDefault="00847BB9" w:rsidP="000A51FE">
            <w:pPr>
              <w:pStyle w:val="BodyText"/>
              <w:jc w:val="center"/>
              <w:rPr>
                <w:rFonts w:cs="Arial"/>
                <w:color w:val="auto"/>
                <w:sz w:val="20"/>
                <w:szCs w:val="20"/>
              </w:rPr>
            </w:pPr>
            <w:r>
              <w:rPr>
                <w:rFonts w:cs="Arial"/>
                <w:color w:val="auto"/>
                <w:sz w:val="20"/>
                <w:szCs w:val="20"/>
              </w:rPr>
              <w:t>111.0</w:t>
            </w:r>
          </w:p>
        </w:tc>
      </w:tr>
      <w:tr w:rsidR="009A73F1" w:rsidRPr="009A73F1" w:rsidTr="008D6AA9">
        <w:trPr>
          <w:cnfStyle w:val="000000100000"/>
          <w:trHeight w:val="327"/>
        </w:trPr>
        <w:tc>
          <w:tcPr>
            <w:cnfStyle w:val="001000000000"/>
            <w:tcW w:w="2410" w:type="dxa"/>
            <w:tcBorders>
              <w:top w:val="none" w:sz="0" w:space="0" w:color="auto"/>
              <w:bottom w:val="none" w:sz="0" w:space="0" w:color="auto"/>
              <w:right w:val="none" w:sz="0" w:space="0" w:color="auto"/>
            </w:tcBorders>
          </w:tcPr>
          <w:p w:rsidR="009A73F1" w:rsidRPr="009A73F1" w:rsidRDefault="009A73F1" w:rsidP="009A73F1">
            <w:pPr>
              <w:pStyle w:val="BodyText"/>
              <w:jc w:val="center"/>
              <w:rPr>
                <w:rFonts w:cs="Arial"/>
                <w:b w:val="0"/>
                <w:color w:val="auto"/>
                <w:sz w:val="20"/>
                <w:szCs w:val="20"/>
              </w:rPr>
            </w:pPr>
            <w:r w:rsidRPr="009A73F1">
              <w:rPr>
                <w:rFonts w:cs="Arial"/>
                <w:b w:val="0"/>
                <w:color w:val="auto"/>
                <w:sz w:val="20"/>
                <w:szCs w:val="20"/>
              </w:rPr>
              <w:t>17.0</w:t>
            </w:r>
          </w:p>
        </w:tc>
        <w:tc>
          <w:tcPr>
            <w:cnfStyle w:val="000010000000"/>
            <w:tcW w:w="10631" w:type="dxa"/>
            <w:tcBorders>
              <w:top w:val="none" w:sz="0" w:space="0" w:color="auto"/>
              <w:left w:val="none" w:sz="0" w:space="0" w:color="auto"/>
              <w:bottom w:val="none" w:sz="0" w:space="0" w:color="auto"/>
              <w:right w:val="none" w:sz="0" w:space="0" w:color="auto"/>
            </w:tcBorders>
          </w:tcPr>
          <w:p w:rsidR="009A73F1" w:rsidRPr="009A73F1" w:rsidRDefault="009A73F1" w:rsidP="00AD418E">
            <w:pPr>
              <w:pStyle w:val="BodyText"/>
              <w:rPr>
                <w:rFonts w:cs="Arial"/>
                <w:color w:val="auto"/>
                <w:sz w:val="20"/>
                <w:szCs w:val="20"/>
              </w:rPr>
            </w:pPr>
            <w:r w:rsidRPr="009A73F1">
              <w:rPr>
                <w:rFonts w:cs="Arial"/>
                <w:color w:val="auto"/>
                <w:sz w:val="20"/>
                <w:szCs w:val="20"/>
              </w:rPr>
              <w:t>Amounts in the Comprehensive Income and Expenditure Statement not reported to management in the Analysis</w:t>
            </w:r>
          </w:p>
        </w:tc>
        <w:tc>
          <w:tcPr>
            <w:cnfStyle w:val="000100000000"/>
            <w:tcW w:w="2127" w:type="dxa"/>
            <w:tcBorders>
              <w:top w:val="none" w:sz="0" w:space="0" w:color="auto"/>
              <w:left w:val="none" w:sz="0" w:space="0" w:color="auto"/>
              <w:bottom w:val="none" w:sz="0" w:space="0" w:color="auto"/>
            </w:tcBorders>
          </w:tcPr>
          <w:p w:rsidR="009A73F1" w:rsidRPr="009A73F1" w:rsidRDefault="005E7C2D" w:rsidP="000A51FE">
            <w:pPr>
              <w:pStyle w:val="BodyText"/>
              <w:jc w:val="center"/>
              <w:rPr>
                <w:rFonts w:cs="Arial"/>
                <w:color w:val="auto"/>
                <w:sz w:val="20"/>
                <w:szCs w:val="20"/>
              </w:rPr>
            </w:pPr>
            <w:r>
              <w:rPr>
                <w:rFonts w:cs="Arial"/>
                <w:color w:val="auto"/>
                <w:sz w:val="20"/>
                <w:szCs w:val="20"/>
              </w:rPr>
              <w:t>14.5</w:t>
            </w:r>
          </w:p>
        </w:tc>
      </w:tr>
      <w:tr w:rsidR="009A73F1" w:rsidRPr="009A73F1" w:rsidTr="008D6AA9">
        <w:trPr>
          <w:trHeight w:val="263"/>
        </w:trPr>
        <w:tc>
          <w:tcPr>
            <w:cnfStyle w:val="001000000000"/>
            <w:tcW w:w="2410" w:type="dxa"/>
            <w:tcBorders>
              <w:right w:val="none" w:sz="0" w:space="0" w:color="auto"/>
            </w:tcBorders>
          </w:tcPr>
          <w:p w:rsidR="009A73F1" w:rsidRPr="009A73F1" w:rsidRDefault="009A73F1" w:rsidP="009A73F1">
            <w:pPr>
              <w:pStyle w:val="BodyText"/>
              <w:jc w:val="center"/>
              <w:rPr>
                <w:rFonts w:cs="Arial"/>
                <w:b w:val="0"/>
                <w:color w:val="auto"/>
                <w:sz w:val="20"/>
                <w:szCs w:val="20"/>
              </w:rPr>
            </w:pPr>
            <w:r w:rsidRPr="009A73F1">
              <w:rPr>
                <w:rFonts w:cs="Arial"/>
                <w:b w:val="0"/>
                <w:color w:val="auto"/>
                <w:sz w:val="20"/>
                <w:szCs w:val="20"/>
              </w:rPr>
              <w:t>(3.5)</w:t>
            </w:r>
          </w:p>
        </w:tc>
        <w:tc>
          <w:tcPr>
            <w:cnfStyle w:val="000010000000"/>
            <w:tcW w:w="10631" w:type="dxa"/>
            <w:tcBorders>
              <w:left w:val="none" w:sz="0" w:space="0" w:color="auto"/>
              <w:right w:val="none" w:sz="0" w:space="0" w:color="auto"/>
            </w:tcBorders>
          </w:tcPr>
          <w:p w:rsidR="009A73F1" w:rsidRPr="009A73F1" w:rsidRDefault="009A73F1" w:rsidP="00AD418E">
            <w:pPr>
              <w:pStyle w:val="BodyText"/>
              <w:rPr>
                <w:rFonts w:cs="Arial"/>
                <w:color w:val="auto"/>
                <w:sz w:val="20"/>
                <w:szCs w:val="20"/>
              </w:rPr>
            </w:pPr>
            <w:r w:rsidRPr="009A73F1">
              <w:rPr>
                <w:rFonts w:cs="Arial"/>
                <w:color w:val="auto"/>
                <w:sz w:val="20"/>
                <w:szCs w:val="20"/>
              </w:rPr>
              <w:t>Amounts included in the Analysis not included in the Comprehensive Income and Expenditure Statement</w:t>
            </w:r>
          </w:p>
        </w:tc>
        <w:tc>
          <w:tcPr>
            <w:cnfStyle w:val="000100000000"/>
            <w:tcW w:w="2127" w:type="dxa"/>
            <w:tcBorders>
              <w:left w:val="none" w:sz="0" w:space="0" w:color="auto"/>
            </w:tcBorders>
          </w:tcPr>
          <w:p w:rsidR="009A73F1" w:rsidRPr="009A73F1" w:rsidRDefault="005E7C2D" w:rsidP="00294C6C">
            <w:pPr>
              <w:pStyle w:val="BodyText"/>
              <w:jc w:val="center"/>
              <w:rPr>
                <w:rFonts w:cs="Arial"/>
                <w:color w:val="auto"/>
                <w:sz w:val="20"/>
                <w:szCs w:val="20"/>
              </w:rPr>
            </w:pPr>
            <w:r>
              <w:rPr>
                <w:rFonts w:cs="Arial"/>
                <w:color w:val="auto"/>
                <w:sz w:val="20"/>
                <w:szCs w:val="20"/>
              </w:rPr>
              <w:t>(3.0)</w:t>
            </w:r>
          </w:p>
        </w:tc>
      </w:tr>
      <w:tr w:rsidR="009A73F1" w:rsidRPr="009A73F1" w:rsidTr="008D6AA9">
        <w:trPr>
          <w:cnfStyle w:val="010000000000"/>
          <w:trHeight w:val="274"/>
        </w:trPr>
        <w:tc>
          <w:tcPr>
            <w:cnfStyle w:val="001000000001"/>
            <w:tcW w:w="2410" w:type="dxa"/>
            <w:tcBorders>
              <w:top w:val="none" w:sz="0" w:space="0" w:color="auto"/>
              <w:right w:val="none" w:sz="0" w:space="0" w:color="auto"/>
            </w:tcBorders>
          </w:tcPr>
          <w:p w:rsidR="009A73F1" w:rsidRPr="009A73F1" w:rsidRDefault="009A73F1" w:rsidP="009A73F1">
            <w:pPr>
              <w:pStyle w:val="BodyText"/>
              <w:jc w:val="center"/>
              <w:rPr>
                <w:rFonts w:cs="Arial"/>
                <w:b w:val="0"/>
                <w:color w:val="auto"/>
                <w:sz w:val="20"/>
                <w:szCs w:val="20"/>
              </w:rPr>
            </w:pPr>
            <w:r w:rsidRPr="009A73F1">
              <w:rPr>
                <w:rFonts w:cs="Arial"/>
                <w:b w:val="0"/>
                <w:color w:val="auto"/>
                <w:sz w:val="20"/>
                <w:szCs w:val="20"/>
              </w:rPr>
              <w:t>129.9</w:t>
            </w:r>
          </w:p>
        </w:tc>
        <w:tc>
          <w:tcPr>
            <w:cnfStyle w:val="000010000000"/>
            <w:tcW w:w="10631" w:type="dxa"/>
            <w:tcBorders>
              <w:top w:val="none" w:sz="0" w:space="0" w:color="auto"/>
              <w:left w:val="none" w:sz="0" w:space="0" w:color="auto"/>
              <w:right w:val="none" w:sz="0" w:space="0" w:color="auto"/>
            </w:tcBorders>
          </w:tcPr>
          <w:p w:rsidR="009A73F1" w:rsidRPr="009A73F1" w:rsidRDefault="009A73F1" w:rsidP="00AD418E">
            <w:pPr>
              <w:pStyle w:val="BodyText"/>
              <w:rPr>
                <w:rFonts w:cs="Arial"/>
                <w:color w:val="auto"/>
                <w:sz w:val="20"/>
                <w:szCs w:val="20"/>
              </w:rPr>
            </w:pPr>
            <w:r w:rsidRPr="009A73F1">
              <w:rPr>
                <w:rFonts w:cs="Arial"/>
                <w:color w:val="auto"/>
                <w:sz w:val="20"/>
                <w:szCs w:val="20"/>
              </w:rPr>
              <w:t>Cost of Services in Comprehensive Income and Expenditure Statement</w:t>
            </w:r>
          </w:p>
        </w:tc>
        <w:tc>
          <w:tcPr>
            <w:cnfStyle w:val="000100000010"/>
            <w:tcW w:w="2127" w:type="dxa"/>
            <w:tcBorders>
              <w:top w:val="none" w:sz="0" w:space="0" w:color="auto"/>
              <w:left w:val="none" w:sz="0" w:space="0" w:color="auto"/>
            </w:tcBorders>
          </w:tcPr>
          <w:p w:rsidR="009A73F1" w:rsidRPr="009A73F1" w:rsidRDefault="005E7C2D" w:rsidP="00294C6C">
            <w:pPr>
              <w:pStyle w:val="BodyText"/>
              <w:jc w:val="center"/>
              <w:rPr>
                <w:rFonts w:cs="Arial"/>
                <w:color w:val="auto"/>
                <w:sz w:val="20"/>
                <w:szCs w:val="20"/>
              </w:rPr>
            </w:pPr>
            <w:r>
              <w:rPr>
                <w:rFonts w:cs="Arial"/>
                <w:color w:val="auto"/>
                <w:sz w:val="20"/>
                <w:szCs w:val="20"/>
              </w:rPr>
              <w:t>122.5</w:t>
            </w:r>
          </w:p>
        </w:tc>
      </w:tr>
    </w:tbl>
    <w:p w:rsidR="00031AF6" w:rsidRDefault="00031AF6" w:rsidP="008121B1">
      <w:pPr>
        <w:spacing w:line="240" w:lineRule="auto"/>
        <w:rPr>
          <w:color w:val="548DD4" w:themeColor="text2" w:themeTint="99"/>
        </w:rPr>
      </w:pPr>
    </w:p>
    <w:p w:rsidR="00572839" w:rsidRDefault="00572839" w:rsidP="008121B1">
      <w:pPr>
        <w:spacing w:line="240" w:lineRule="auto"/>
        <w:rPr>
          <w:color w:val="548DD4" w:themeColor="text2" w:themeTint="99"/>
        </w:rPr>
      </w:pPr>
    </w:p>
    <w:p w:rsidR="00572839" w:rsidRDefault="00572839" w:rsidP="008121B1">
      <w:pPr>
        <w:spacing w:line="240" w:lineRule="auto"/>
        <w:rPr>
          <w:color w:val="548DD4" w:themeColor="text2" w:themeTint="99"/>
        </w:rPr>
      </w:pPr>
    </w:p>
    <w:p w:rsidR="00572839" w:rsidRDefault="00572839" w:rsidP="008121B1">
      <w:pPr>
        <w:spacing w:line="240" w:lineRule="auto"/>
        <w:rPr>
          <w:color w:val="548DD4" w:themeColor="text2" w:themeTint="99"/>
        </w:rPr>
      </w:pPr>
    </w:p>
    <w:p w:rsidR="00572839" w:rsidRDefault="00572839" w:rsidP="008121B1">
      <w:pPr>
        <w:spacing w:line="240" w:lineRule="auto"/>
        <w:rPr>
          <w:color w:val="548DD4" w:themeColor="text2" w:themeTint="99"/>
        </w:rPr>
      </w:pPr>
    </w:p>
    <w:p w:rsidR="00572839" w:rsidRDefault="00572839" w:rsidP="008121B1">
      <w:pPr>
        <w:spacing w:line="240" w:lineRule="auto"/>
        <w:rPr>
          <w:color w:val="548DD4" w:themeColor="text2" w:themeTint="99"/>
        </w:rPr>
      </w:pPr>
    </w:p>
    <w:p w:rsidR="00572839" w:rsidRDefault="00572839" w:rsidP="008121B1">
      <w:pPr>
        <w:spacing w:line="240" w:lineRule="auto"/>
        <w:rPr>
          <w:color w:val="548DD4" w:themeColor="text2" w:themeTint="99"/>
        </w:rPr>
      </w:pPr>
    </w:p>
    <w:p w:rsidR="00572839" w:rsidRDefault="00572839" w:rsidP="008121B1">
      <w:pPr>
        <w:spacing w:line="240" w:lineRule="auto"/>
        <w:rPr>
          <w:color w:val="548DD4" w:themeColor="text2" w:themeTint="99"/>
        </w:rPr>
      </w:pPr>
    </w:p>
    <w:p w:rsidR="00572839" w:rsidRDefault="00572839" w:rsidP="008121B1">
      <w:pPr>
        <w:spacing w:line="240" w:lineRule="auto"/>
        <w:rPr>
          <w:color w:val="548DD4" w:themeColor="text2" w:themeTint="99"/>
        </w:rPr>
      </w:pPr>
    </w:p>
    <w:p w:rsidR="00572839" w:rsidRDefault="00572839" w:rsidP="008121B1">
      <w:pPr>
        <w:spacing w:line="240" w:lineRule="auto"/>
        <w:rPr>
          <w:color w:val="548DD4" w:themeColor="text2" w:themeTint="99"/>
        </w:rPr>
      </w:pPr>
    </w:p>
    <w:p w:rsidR="00572839" w:rsidRPr="00D42E0B" w:rsidRDefault="00572839" w:rsidP="008121B1">
      <w:pPr>
        <w:spacing w:line="240" w:lineRule="auto"/>
        <w:rPr>
          <w:color w:val="548DD4" w:themeColor="text2" w:themeTint="99"/>
        </w:rPr>
      </w:pPr>
    </w:p>
    <w:tbl>
      <w:tblPr>
        <w:tblStyle w:val="ListTable3-Accent51"/>
        <w:tblW w:w="15593" w:type="dxa"/>
        <w:tblInd w:w="-459" w:type="dxa"/>
        <w:tblBorders>
          <w:insideH w:val="single" w:sz="4" w:space="0" w:color="4BACC6" w:themeColor="accent5"/>
          <w:insideV w:val="single" w:sz="4" w:space="0" w:color="4BACC6" w:themeColor="accent5"/>
        </w:tblBorders>
        <w:tblLayout w:type="fixed"/>
        <w:tblLook w:val="01E0"/>
      </w:tblPr>
      <w:tblGrid>
        <w:gridCol w:w="851"/>
        <w:gridCol w:w="1417"/>
        <w:gridCol w:w="851"/>
        <w:gridCol w:w="850"/>
        <w:gridCol w:w="851"/>
        <w:gridCol w:w="992"/>
        <w:gridCol w:w="4063"/>
        <w:gridCol w:w="898"/>
        <w:gridCol w:w="1276"/>
        <w:gridCol w:w="851"/>
        <w:gridCol w:w="992"/>
        <w:gridCol w:w="850"/>
        <w:gridCol w:w="851"/>
      </w:tblGrid>
      <w:tr w:rsidR="004E51DD" w:rsidRPr="009A73F1" w:rsidTr="00AC27C2">
        <w:trPr>
          <w:cnfStyle w:val="100000000000"/>
          <w:trHeight w:hRule="exact" w:val="577"/>
        </w:trPr>
        <w:tc>
          <w:tcPr>
            <w:cnfStyle w:val="001000000100"/>
            <w:tcW w:w="15593" w:type="dxa"/>
            <w:gridSpan w:val="13"/>
            <w:tcBorders>
              <w:bottom w:val="none" w:sz="0" w:space="0" w:color="auto"/>
              <w:right w:val="none" w:sz="0" w:space="0" w:color="auto"/>
            </w:tcBorders>
          </w:tcPr>
          <w:p w:rsidR="004E51DD" w:rsidRPr="009A73F1" w:rsidRDefault="004E51DD" w:rsidP="00031AF6">
            <w:pPr>
              <w:pStyle w:val="BodyText"/>
              <w:rPr>
                <w:rFonts w:cs="Arial"/>
                <w:b w:val="0"/>
                <w:color w:val="auto"/>
                <w:sz w:val="20"/>
                <w:szCs w:val="20"/>
              </w:rPr>
            </w:pPr>
            <w:r w:rsidRPr="009A73F1">
              <w:rPr>
                <w:rFonts w:cs="Arial"/>
                <w:color w:val="auto"/>
                <w:sz w:val="22"/>
                <w:szCs w:val="22"/>
              </w:rPr>
              <w:lastRenderedPageBreak/>
              <w:t>Reconciliation of Directorate Income and Expenditure to subjective analysis of the surplus or deficit on the Provision of Services in the Comprehensive Income and Expenditure Statement</w:t>
            </w:r>
          </w:p>
        </w:tc>
      </w:tr>
      <w:tr w:rsidR="004E51DD" w:rsidRPr="009A73F1" w:rsidTr="00AC27C2">
        <w:trPr>
          <w:cnfStyle w:val="000000100000"/>
          <w:trHeight w:hRule="exact" w:val="508"/>
        </w:trPr>
        <w:tc>
          <w:tcPr>
            <w:cnfStyle w:val="001000000000"/>
            <w:tcW w:w="15593" w:type="dxa"/>
            <w:gridSpan w:val="13"/>
            <w:tcBorders>
              <w:top w:val="none" w:sz="0" w:space="0" w:color="auto"/>
              <w:bottom w:val="none" w:sz="0" w:space="0" w:color="auto"/>
              <w:right w:val="none" w:sz="0" w:space="0" w:color="auto"/>
            </w:tcBorders>
            <w:shd w:val="clear" w:color="auto" w:fill="4BACC6" w:themeFill="accent5"/>
          </w:tcPr>
          <w:p w:rsidR="004E51DD" w:rsidRPr="009A73F1" w:rsidRDefault="004E51DD" w:rsidP="004E51DD">
            <w:pPr>
              <w:rPr>
                <w:rFonts w:cs="Arial"/>
                <w:b w:val="0"/>
                <w:color w:val="auto"/>
                <w:sz w:val="20"/>
                <w:szCs w:val="20"/>
              </w:rPr>
            </w:pPr>
            <w:r w:rsidRPr="009A73F1">
              <w:rPr>
                <w:rFonts w:cs="Arial"/>
                <w:b w:val="0"/>
                <w:color w:val="auto"/>
                <w:sz w:val="20"/>
                <w:szCs w:val="20"/>
              </w:rPr>
              <w:t>This reconciliation shows how the figures in the analysis of directorate income and expenditure relate to a subjective analysis of the Surplus or Deficit on the Provision of Services included in the Comprehensive Income and Expenditure Statement</w:t>
            </w:r>
            <w:r w:rsidR="00031AF6" w:rsidRPr="009A73F1">
              <w:rPr>
                <w:rFonts w:cs="Arial"/>
                <w:b w:val="0"/>
                <w:color w:val="auto"/>
                <w:sz w:val="20"/>
                <w:szCs w:val="20"/>
              </w:rPr>
              <w:t xml:space="preserve"> (C I&amp;E)</w:t>
            </w:r>
            <w:r w:rsidRPr="009A73F1">
              <w:rPr>
                <w:rFonts w:cs="Arial"/>
                <w:b w:val="0"/>
                <w:color w:val="auto"/>
                <w:sz w:val="20"/>
                <w:szCs w:val="20"/>
              </w:rPr>
              <w:t>.</w:t>
            </w:r>
          </w:p>
        </w:tc>
      </w:tr>
      <w:tr w:rsidR="008D6AA9" w:rsidRPr="009A73F1" w:rsidTr="00AC27C2">
        <w:trPr>
          <w:cantSplit/>
          <w:trHeight w:hRule="exact" w:val="90"/>
        </w:trPr>
        <w:tc>
          <w:tcPr>
            <w:cnfStyle w:val="001000000000"/>
            <w:tcW w:w="5812" w:type="dxa"/>
            <w:gridSpan w:val="6"/>
            <w:tcBorders>
              <w:right w:val="none" w:sz="0" w:space="0" w:color="auto"/>
            </w:tcBorders>
            <w:shd w:val="clear" w:color="auto" w:fill="4BACC6" w:themeFill="accent5"/>
          </w:tcPr>
          <w:p w:rsidR="008D6AA9" w:rsidRPr="009A73F1" w:rsidRDefault="008D6AA9" w:rsidP="008D6AA9">
            <w:pPr>
              <w:pStyle w:val="BodyText"/>
              <w:jc w:val="center"/>
              <w:rPr>
                <w:rFonts w:cs="Arial"/>
                <w:color w:val="auto"/>
                <w:sz w:val="18"/>
                <w:szCs w:val="18"/>
              </w:rPr>
            </w:pPr>
          </w:p>
        </w:tc>
        <w:tc>
          <w:tcPr>
            <w:cnfStyle w:val="000010000000"/>
            <w:tcW w:w="4063" w:type="dxa"/>
            <w:tcBorders>
              <w:left w:val="none" w:sz="0" w:space="0" w:color="auto"/>
              <w:right w:val="none" w:sz="0" w:space="0" w:color="auto"/>
            </w:tcBorders>
            <w:shd w:val="clear" w:color="auto" w:fill="4BACC6" w:themeFill="accent5"/>
          </w:tcPr>
          <w:p w:rsidR="008D6AA9" w:rsidRPr="009A73F1" w:rsidRDefault="008D6AA9" w:rsidP="008D6AA9">
            <w:pPr>
              <w:pStyle w:val="BodyText"/>
              <w:jc w:val="center"/>
              <w:rPr>
                <w:rFonts w:cs="Arial"/>
                <w:b/>
                <w:color w:val="auto"/>
                <w:sz w:val="18"/>
                <w:szCs w:val="18"/>
              </w:rPr>
            </w:pPr>
          </w:p>
        </w:tc>
        <w:tc>
          <w:tcPr>
            <w:cnfStyle w:val="000100000000"/>
            <w:tcW w:w="5718" w:type="dxa"/>
            <w:gridSpan w:val="6"/>
            <w:tcBorders>
              <w:left w:val="none" w:sz="0" w:space="0" w:color="auto"/>
            </w:tcBorders>
            <w:shd w:val="clear" w:color="auto" w:fill="4BACC6" w:themeFill="accent5"/>
          </w:tcPr>
          <w:p w:rsidR="008D6AA9" w:rsidRPr="009A73F1" w:rsidRDefault="008D6AA9" w:rsidP="008D6AA9">
            <w:pPr>
              <w:pStyle w:val="BodyText"/>
              <w:jc w:val="center"/>
              <w:rPr>
                <w:rFonts w:cs="Arial"/>
                <w:b w:val="0"/>
                <w:color w:val="auto"/>
                <w:sz w:val="18"/>
                <w:szCs w:val="18"/>
              </w:rPr>
            </w:pPr>
          </w:p>
        </w:tc>
      </w:tr>
      <w:tr w:rsidR="00773DED" w:rsidRPr="009A73F1" w:rsidTr="00AC27C2">
        <w:trPr>
          <w:cnfStyle w:val="000000100000"/>
          <w:cantSplit/>
          <w:trHeight w:hRule="exact" w:val="275"/>
        </w:trPr>
        <w:tc>
          <w:tcPr>
            <w:cnfStyle w:val="001000000000"/>
            <w:tcW w:w="5812" w:type="dxa"/>
            <w:gridSpan w:val="6"/>
            <w:shd w:val="clear" w:color="auto" w:fill="4BACC6" w:themeFill="accent5"/>
          </w:tcPr>
          <w:p w:rsidR="00773DED" w:rsidRPr="009A73F1" w:rsidRDefault="00773DED" w:rsidP="009E778C">
            <w:pPr>
              <w:pStyle w:val="BodyText"/>
              <w:jc w:val="center"/>
              <w:rPr>
                <w:rFonts w:cs="Arial"/>
                <w:color w:val="auto"/>
                <w:sz w:val="18"/>
                <w:szCs w:val="18"/>
              </w:rPr>
            </w:pPr>
            <w:r w:rsidRPr="009A73F1">
              <w:rPr>
                <w:rFonts w:cs="Arial"/>
                <w:color w:val="auto"/>
                <w:sz w:val="18"/>
                <w:szCs w:val="18"/>
              </w:rPr>
              <w:t>2014</w:t>
            </w:r>
            <w:r w:rsidR="009A73F1" w:rsidRPr="009A73F1">
              <w:rPr>
                <w:rFonts w:cs="Arial"/>
                <w:color w:val="auto"/>
                <w:sz w:val="18"/>
                <w:szCs w:val="18"/>
              </w:rPr>
              <w:t>/15</w:t>
            </w:r>
          </w:p>
        </w:tc>
        <w:tc>
          <w:tcPr>
            <w:cnfStyle w:val="000010000000"/>
            <w:tcW w:w="4063" w:type="dxa"/>
            <w:shd w:val="clear" w:color="auto" w:fill="4BACC6" w:themeFill="accent5"/>
          </w:tcPr>
          <w:p w:rsidR="00773DED" w:rsidRPr="009A73F1" w:rsidRDefault="00773DED" w:rsidP="00773DED">
            <w:pPr>
              <w:pStyle w:val="BodyText"/>
              <w:jc w:val="center"/>
              <w:rPr>
                <w:rFonts w:cs="Arial"/>
                <w:b/>
                <w:color w:val="auto"/>
                <w:sz w:val="18"/>
                <w:szCs w:val="18"/>
              </w:rPr>
            </w:pPr>
          </w:p>
        </w:tc>
        <w:tc>
          <w:tcPr>
            <w:cnfStyle w:val="000100000000"/>
            <w:tcW w:w="5718" w:type="dxa"/>
            <w:gridSpan w:val="6"/>
            <w:shd w:val="clear" w:color="auto" w:fill="4BACC6" w:themeFill="accent5"/>
          </w:tcPr>
          <w:p w:rsidR="00773DED" w:rsidRPr="009A73F1" w:rsidRDefault="00773DED" w:rsidP="009A73F1">
            <w:pPr>
              <w:pStyle w:val="BodyText"/>
              <w:jc w:val="center"/>
              <w:rPr>
                <w:rFonts w:cs="Arial"/>
                <w:color w:val="auto"/>
                <w:sz w:val="18"/>
                <w:szCs w:val="18"/>
              </w:rPr>
            </w:pPr>
            <w:r w:rsidRPr="009A73F1">
              <w:rPr>
                <w:rFonts w:cs="Arial"/>
                <w:color w:val="auto"/>
                <w:sz w:val="18"/>
                <w:szCs w:val="18"/>
              </w:rPr>
              <w:t>201</w:t>
            </w:r>
            <w:r w:rsidR="009A73F1" w:rsidRPr="009A73F1">
              <w:rPr>
                <w:rFonts w:cs="Arial"/>
                <w:color w:val="auto"/>
                <w:sz w:val="18"/>
                <w:szCs w:val="18"/>
              </w:rPr>
              <w:t>5</w:t>
            </w:r>
            <w:r w:rsidRPr="009A73F1">
              <w:rPr>
                <w:rFonts w:cs="Arial"/>
                <w:color w:val="auto"/>
                <w:sz w:val="18"/>
                <w:szCs w:val="18"/>
              </w:rPr>
              <w:t>/1</w:t>
            </w:r>
            <w:r w:rsidR="009A73F1" w:rsidRPr="009A73F1">
              <w:rPr>
                <w:rFonts w:cs="Arial"/>
                <w:color w:val="auto"/>
                <w:sz w:val="18"/>
                <w:szCs w:val="18"/>
              </w:rPr>
              <w:t>6</w:t>
            </w:r>
          </w:p>
        </w:tc>
      </w:tr>
      <w:tr w:rsidR="00D94FB8" w:rsidRPr="009A73F1" w:rsidTr="00AC27C2">
        <w:trPr>
          <w:cantSplit/>
          <w:trHeight w:hRule="exact" w:val="1409"/>
        </w:trPr>
        <w:tc>
          <w:tcPr>
            <w:cnfStyle w:val="001000000000"/>
            <w:tcW w:w="851" w:type="dxa"/>
            <w:shd w:val="clear" w:color="auto" w:fill="4BACC6" w:themeFill="accent5"/>
            <w:textDirection w:val="btLr"/>
          </w:tcPr>
          <w:p w:rsidR="004E51DD" w:rsidRPr="009A73F1" w:rsidRDefault="004E51DD" w:rsidP="00031AF6">
            <w:pPr>
              <w:pStyle w:val="BodyText"/>
              <w:ind w:left="113" w:right="113"/>
              <w:jc w:val="center"/>
              <w:rPr>
                <w:rFonts w:cs="Arial"/>
                <w:b w:val="0"/>
                <w:color w:val="auto"/>
                <w:sz w:val="18"/>
                <w:szCs w:val="18"/>
              </w:rPr>
            </w:pPr>
            <w:r w:rsidRPr="009A73F1">
              <w:rPr>
                <w:rFonts w:cs="Arial"/>
                <w:b w:val="0"/>
                <w:color w:val="auto"/>
                <w:sz w:val="18"/>
                <w:szCs w:val="18"/>
              </w:rPr>
              <w:t>Directorate Analysis</w:t>
            </w:r>
          </w:p>
        </w:tc>
        <w:tc>
          <w:tcPr>
            <w:cnfStyle w:val="000010000000"/>
            <w:tcW w:w="1417" w:type="dxa"/>
            <w:shd w:val="clear" w:color="auto" w:fill="4BACC6" w:themeFill="accent5"/>
            <w:textDirection w:val="btLr"/>
          </w:tcPr>
          <w:p w:rsidR="004E51DD" w:rsidRPr="009A73F1" w:rsidRDefault="004E51DD" w:rsidP="00031AF6">
            <w:pPr>
              <w:pStyle w:val="BodyText"/>
              <w:ind w:left="113" w:right="113"/>
              <w:jc w:val="center"/>
              <w:rPr>
                <w:rFonts w:cs="Arial"/>
                <w:color w:val="auto"/>
                <w:sz w:val="18"/>
                <w:szCs w:val="18"/>
              </w:rPr>
            </w:pPr>
            <w:r w:rsidRPr="009A73F1">
              <w:rPr>
                <w:rFonts w:cs="Arial"/>
                <w:color w:val="auto"/>
                <w:sz w:val="18"/>
                <w:szCs w:val="18"/>
              </w:rPr>
              <w:t>Amounts not reported to management for decision making</w:t>
            </w:r>
          </w:p>
        </w:tc>
        <w:tc>
          <w:tcPr>
            <w:tcW w:w="851" w:type="dxa"/>
            <w:shd w:val="clear" w:color="auto" w:fill="4BACC6" w:themeFill="accent5"/>
            <w:textDirection w:val="btLr"/>
          </w:tcPr>
          <w:p w:rsidR="004E51DD" w:rsidRPr="009A73F1" w:rsidRDefault="004E51DD" w:rsidP="00031AF6">
            <w:pPr>
              <w:pStyle w:val="BodyText"/>
              <w:ind w:left="113" w:right="113"/>
              <w:jc w:val="center"/>
              <w:cnfStyle w:val="000000000000"/>
              <w:rPr>
                <w:rFonts w:cs="Arial"/>
                <w:color w:val="auto"/>
                <w:sz w:val="18"/>
                <w:szCs w:val="18"/>
              </w:rPr>
            </w:pPr>
            <w:r w:rsidRPr="009A73F1">
              <w:rPr>
                <w:rFonts w:cs="Arial"/>
                <w:color w:val="auto"/>
                <w:sz w:val="18"/>
                <w:szCs w:val="18"/>
              </w:rPr>
              <w:t xml:space="preserve">Amounts not included in </w:t>
            </w:r>
            <w:r w:rsidR="00031AF6" w:rsidRPr="009A73F1">
              <w:rPr>
                <w:rFonts w:cs="Arial"/>
                <w:color w:val="auto"/>
                <w:sz w:val="18"/>
                <w:szCs w:val="18"/>
              </w:rPr>
              <w:t>C</w:t>
            </w:r>
            <w:r w:rsidRPr="009A73F1">
              <w:rPr>
                <w:rFonts w:cs="Arial"/>
                <w:color w:val="auto"/>
                <w:sz w:val="18"/>
                <w:szCs w:val="18"/>
              </w:rPr>
              <w:t>I&amp;E</w:t>
            </w:r>
          </w:p>
        </w:tc>
        <w:tc>
          <w:tcPr>
            <w:cnfStyle w:val="000010000000"/>
            <w:tcW w:w="850" w:type="dxa"/>
            <w:shd w:val="clear" w:color="auto" w:fill="4BACC6" w:themeFill="accent5"/>
            <w:textDirection w:val="btLr"/>
          </w:tcPr>
          <w:p w:rsidR="004E51DD" w:rsidRPr="009A73F1" w:rsidRDefault="004E51DD" w:rsidP="00031AF6">
            <w:pPr>
              <w:pStyle w:val="BodyText"/>
              <w:ind w:left="113" w:right="113"/>
              <w:jc w:val="center"/>
              <w:rPr>
                <w:rFonts w:cs="Arial"/>
                <w:color w:val="auto"/>
                <w:sz w:val="18"/>
                <w:szCs w:val="18"/>
              </w:rPr>
            </w:pPr>
            <w:r w:rsidRPr="009A73F1">
              <w:rPr>
                <w:rFonts w:cs="Arial"/>
                <w:color w:val="auto"/>
                <w:sz w:val="18"/>
                <w:szCs w:val="18"/>
              </w:rPr>
              <w:t>Cost of Services</w:t>
            </w:r>
          </w:p>
        </w:tc>
        <w:tc>
          <w:tcPr>
            <w:tcW w:w="851" w:type="dxa"/>
            <w:shd w:val="clear" w:color="auto" w:fill="4BACC6" w:themeFill="accent5"/>
            <w:textDirection w:val="btLr"/>
          </w:tcPr>
          <w:p w:rsidR="004E51DD" w:rsidRPr="009A73F1" w:rsidRDefault="004E51DD" w:rsidP="00031AF6">
            <w:pPr>
              <w:pStyle w:val="BodyText"/>
              <w:ind w:left="113" w:right="113"/>
              <w:jc w:val="center"/>
              <w:cnfStyle w:val="000000000000"/>
              <w:rPr>
                <w:rFonts w:cs="Arial"/>
                <w:color w:val="auto"/>
                <w:sz w:val="18"/>
                <w:szCs w:val="18"/>
              </w:rPr>
            </w:pPr>
            <w:r w:rsidRPr="009A73F1">
              <w:rPr>
                <w:rFonts w:cs="Arial"/>
                <w:color w:val="auto"/>
                <w:sz w:val="18"/>
                <w:szCs w:val="18"/>
              </w:rPr>
              <w:t>Corporate Amounts</w:t>
            </w:r>
          </w:p>
        </w:tc>
        <w:tc>
          <w:tcPr>
            <w:cnfStyle w:val="000010000000"/>
            <w:tcW w:w="992" w:type="dxa"/>
            <w:shd w:val="clear" w:color="auto" w:fill="4BACC6" w:themeFill="accent5"/>
            <w:textDirection w:val="btLr"/>
          </w:tcPr>
          <w:p w:rsidR="004E51DD" w:rsidRPr="009A73F1" w:rsidRDefault="004E51DD" w:rsidP="00031AF6">
            <w:pPr>
              <w:pStyle w:val="BodyText"/>
              <w:ind w:left="113" w:right="113"/>
              <w:jc w:val="center"/>
              <w:rPr>
                <w:rFonts w:cs="Arial"/>
                <w:color w:val="auto"/>
                <w:sz w:val="18"/>
                <w:szCs w:val="18"/>
              </w:rPr>
            </w:pPr>
            <w:r w:rsidRPr="009A73F1">
              <w:rPr>
                <w:rFonts w:cs="Arial"/>
                <w:color w:val="auto"/>
                <w:sz w:val="18"/>
                <w:szCs w:val="18"/>
              </w:rPr>
              <w:t>Total</w:t>
            </w:r>
          </w:p>
        </w:tc>
        <w:tc>
          <w:tcPr>
            <w:tcW w:w="4063" w:type="dxa"/>
            <w:shd w:val="clear" w:color="auto" w:fill="4BACC6" w:themeFill="accent5"/>
            <w:textDirection w:val="btLr"/>
          </w:tcPr>
          <w:p w:rsidR="004E51DD" w:rsidRPr="009A73F1" w:rsidRDefault="004E51DD" w:rsidP="00031AF6">
            <w:pPr>
              <w:pStyle w:val="BodyText"/>
              <w:ind w:left="113" w:right="113"/>
              <w:jc w:val="center"/>
              <w:cnfStyle w:val="000000000000"/>
              <w:rPr>
                <w:rFonts w:cs="Arial"/>
                <w:b/>
                <w:color w:val="auto"/>
                <w:sz w:val="18"/>
                <w:szCs w:val="18"/>
              </w:rPr>
            </w:pPr>
            <w:r w:rsidRPr="009A73F1">
              <w:rPr>
                <w:rFonts w:cs="Arial"/>
                <w:b/>
                <w:color w:val="auto"/>
                <w:sz w:val="18"/>
                <w:szCs w:val="18"/>
              </w:rPr>
              <w:t>2014/15</w:t>
            </w:r>
          </w:p>
        </w:tc>
        <w:tc>
          <w:tcPr>
            <w:cnfStyle w:val="000010000000"/>
            <w:tcW w:w="898" w:type="dxa"/>
            <w:shd w:val="clear" w:color="auto" w:fill="4BACC6" w:themeFill="accent5"/>
            <w:textDirection w:val="btLr"/>
          </w:tcPr>
          <w:p w:rsidR="004E51DD" w:rsidRPr="009A73F1" w:rsidRDefault="004E51DD" w:rsidP="00031AF6">
            <w:pPr>
              <w:pStyle w:val="BodyText"/>
              <w:ind w:left="113" w:right="113"/>
              <w:jc w:val="center"/>
              <w:rPr>
                <w:rFonts w:cs="Arial"/>
                <w:color w:val="auto"/>
                <w:sz w:val="18"/>
                <w:szCs w:val="18"/>
              </w:rPr>
            </w:pPr>
            <w:r w:rsidRPr="009A73F1">
              <w:rPr>
                <w:rFonts w:cs="Arial"/>
                <w:color w:val="auto"/>
                <w:sz w:val="18"/>
                <w:szCs w:val="18"/>
              </w:rPr>
              <w:t>Directorate Analysis</w:t>
            </w:r>
          </w:p>
        </w:tc>
        <w:tc>
          <w:tcPr>
            <w:tcW w:w="1276" w:type="dxa"/>
            <w:shd w:val="clear" w:color="auto" w:fill="4BACC6" w:themeFill="accent5"/>
            <w:textDirection w:val="btLr"/>
          </w:tcPr>
          <w:p w:rsidR="004E51DD" w:rsidRPr="009A73F1" w:rsidRDefault="004E51DD" w:rsidP="00031AF6">
            <w:pPr>
              <w:pStyle w:val="BodyText"/>
              <w:ind w:left="113" w:right="113"/>
              <w:jc w:val="center"/>
              <w:cnfStyle w:val="000000000000"/>
              <w:rPr>
                <w:rFonts w:cs="Arial"/>
                <w:color w:val="auto"/>
                <w:sz w:val="18"/>
                <w:szCs w:val="18"/>
              </w:rPr>
            </w:pPr>
            <w:r w:rsidRPr="009A73F1">
              <w:rPr>
                <w:rFonts w:cs="Arial"/>
                <w:color w:val="auto"/>
                <w:sz w:val="16"/>
                <w:szCs w:val="16"/>
              </w:rPr>
              <w:t>Amounts not reported to management for decision</w:t>
            </w:r>
            <w:r w:rsidRPr="009A73F1">
              <w:rPr>
                <w:rFonts w:cs="Arial"/>
                <w:color w:val="auto"/>
                <w:sz w:val="18"/>
                <w:szCs w:val="18"/>
              </w:rPr>
              <w:t xml:space="preserve"> </w:t>
            </w:r>
            <w:r w:rsidRPr="009A73F1">
              <w:rPr>
                <w:rFonts w:cs="Arial"/>
                <w:color w:val="auto"/>
                <w:sz w:val="16"/>
                <w:szCs w:val="16"/>
              </w:rPr>
              <w:t>making</w:t>
            </w:r>
          </w:p>
        </w:tc>
        <w:tc>
          <w:tcPr>
            <w:cnfStyle w:val="000010000000"/>
            <w:tcW w:w="851" w:type="dxa"/>
            <w:shd w:val="clear" w:color="auto" w:fill="4BACC6" w:themeFill="accent5"/>
            <w:textDirection w:val="btLr"/>
          </w:tcPr>
          <w:p w:rsidR="004E51DD" w:rsidRPr="009A73F1" w:rsidRDefault="004E51DD" w:rsidP="00031AF6">
            <w:pPr>
              <w:pStyle w:val="BodyText"/>
              <w:ind w:left="113" w:right="113"/>
              <w:jc w:val="center"/>
              <w:rPr>
                <w:rFonts w:cs="Arial"/>
                <w:color w:val="auto"/>
                <w:sz w:val="18"/>
                <w:szCs w:val="18"/>
              </w:rPr>
            </w:pPr>
            <w:r w:rsidRPr="009A73F1">
              <w:rPr>
                <w:rFonts w:cs="Arial"/>
                <w:color w:val="auto"/>
                <w:sz w:val="18"/>
                <w:szCs w:val="18"/>
              </w:rPr>
              <w:t>Amounts not included in I&amp;E</w:t>
            </w:r>
          </w:p>
        </w:tc>
        <w:tc>
          <w:tcPr>
            <w:tcW w:w="992" w:type="dxa"/>
            <w:shd w:val="clear" w:color="auto" w:fill="4BACC6" w:themeFill="accent5"/>
            <w:textDirection w:val="btLr"/>
          </w:tcPr>
          <w:p w:rsidR="004E51DD" w:rsidRPr="009A73F1" w:rsidRDefault="004E51DD" w:rsidP="00031AF6">
            <w:pPr>
              <w:pStyle w:val="BodyText"/>
              <w:ind w:left="113" w:right="113"/>
              <w:jc w:val="center"/>
              <w:cnfStyle w:val="000000000000"/>
              <w:rPr>
                <w:rFonts w:cs="Arial"/>
                <w:b/>
                <w:color w:val="auto"/>
                <w:sz w:val="18"/>
                <w:szCs w:val="18"/>
              </w:rPr>
            </w:pPr>
            <w:r w:rsidRPr="009A73F1">
              <w:rPr>
                <w:rFonts w:cs="Arial"/>
                <w:b/>
                <w:color w:val="auto"/>
                <w:sz w:val="18"/>
                <w:szCs w:val="18"/>
              </w:rPr>
              <w:t>Cost of Services</w:t>
            </w:r>
          </w:p>
        </w:tc>
        <w:tc>
          <w:tcPr>
            <w:cnfStyle w:val="000010000000"/>
            <w:tcW w:w="850" w:type="dxa"/>
            <w:shd w:val="clear" w:color="auto" w:fill="4BACC6" w:themeFill="accent5"/>
            <w:textDirection w:val="btLr"/>
          </w:tcPr>
          <w:p w:rsidR="004E51DD" w:rsidRPr="009A73F1" w:rsidRDefault="004E51DD" w:rsidP="00031AF6">
            <w:pPr>
              <w:pStyle w:val="BodyText"/>
              <w:ind w:left="113" w:right="113"/>
              <w:jc w:val="center"/>
              <w:rPr>
                <w:rFonts w:cs="Arial"/>
                <w:color w:val="auto"/>
                <w:sz w:val="18"/>
                <w:szCs w:val="18"/>
              </w:rPr>
            </w:pPr>
            <w:r w:rsidRPr="009A73F1">
              <w:rPr>
                <w:rFonts w:cs="Arial"/>
                <w:color w:val="auto"/>
                <w:sz w:val="18"/>
                <w:szCs w:val="18"/>
              </w:rPr>
              <w:t>Corporate Amounts</w:t>
            </w:r>
          </w:p>
        </w:tc>
        <w:tc>
          <w:tcPr>
            <w:cnfStyle w:val="000100000000"/>
            <w:tcW w:w="851" w:type="dxa"/>
            <w:shd w:val="clear" w:color="auto" w:fill="4BACC6" w:themeFill="accent5"/>
            <w:textDirection w:val="btLr"/>
          </w:tcPr>
          <w:p w:rsidR="004E51DD" w:rsidRPr="009A73F1" w:rsidRDefault="004E51DD" w:rsidP="00031AF6">
            <w:pPr>
              <w:pStyle w:val="BodyText"/>
              <w:ind w:left="113" w:right="113"/>
              <w:jc w:val="center"/>
              <w:rPr>
                <w:rFonts w:cs="Arial"/>
                <w:color w:val="auto"/>
                <w:sz w:val="18"/>
                <w:szCs w:val="18"/>
              </w:rPr>
            </w:pPr>
            <w:r w:rsidRPr="009A73F1">
              <w:rPr>
                <w:rFonts w:cs="Arial"/>
                <w:color w:val="auto"/>
                <w:sz w:val="18"/>
                <w:szCs w:val="18"/>
              </w:rPr>
              <w:t>Total</w:t>
            </w:r>
          </w:p>
        </w:tc>
      </w:tr>
      <w:tr w:rsidR="00D94FB8" w:rsidRPr="009A73F1" w:rsidTr="00AC27C2">
        <w:trPr>
          <w:cnfStyle w:val="000000100000"/>
          <w:trHeight w:hRule="exact" w:val="284"/>
        </w:trPr>
        <w:tc>
          <w:tcPr>
            <w:cnfStyle w:val="001000000000"/>
            <w:tcW w:w="851" w:type="dxa"/>
            <w:shd w:val="clear" w:color="auto" w:fill="4BACC6" w:themeFill="accent5"/>
          </w:tcPr>
          <w:p w:rsidR="004E51DD" w:rsidRPr="009A73F1" w:rsidRDefault="004E51DD" w:rsidP="004E51DD">
            <w:pPr>
              <w:pStyle w:val="BodyText"/>
              <w:jc w:val="center"/>
              <w:rPr>
                <w:rFonts w:cs="Arial"/>
                <w:b w:val="0"/>
                <w:color w:val="auto"/>
                <w:sz w:val="20"/>
                <w:szCs w:val="20"/>
              </w:rPr>
            </w:pPr>
            <w:r w:rsidRPr="009A73F1">
              <w:rPr>
                <w:rFonts w:cs="Arial"/>
                <w:b w:val="0"/>
                <w:color w:val="auto"/>
                <w:sz w:val="20"/>
                <w:szCs w:val="20"/>
              </w:rPr>
              <w:t>£m</w:t>
            </w:r>
          </w:p>
        </w:tc>
        <w:tc>
          <w:tcPr>
            <w:cnfStyle w:val="000010000000"/>
            <w:tcW w:w="1417" w:type="dxa"/>
            <w:shd w:val="clear" w:color="auto" w:fill="4BACC6" w:themeFill="accent5"/>
          </w:tcPr>
          <w:p w:rsidR="004E51DD" w:rsidRPr="009A73F1" w:rsidRDefault="004E51DD" w:rsidP="004E51DD">
            <w:pPr>
              <w:pStyle w:val="BodyText"/>
              <w:jc w:val="center"/>
              <w:rPr>
                <w:rFonts w:cs="Arial"/>
                <w:color w:val="auto"/>
                <w:sz w:val="20"/>
                <w:szCs w:val="20"/>
              </w:rPr>
            </w:pPr>
            <w:r w:rsidRPr="009A73F1">
              <w:rPr>
                <w:rFonts w:cs="Arial"/>
                <w:color w:val="auto"/>
                <w:sz w:val="20"/>
                <w:szCs w:val="20"/>
              </w:rPr>
              <w:t>£m</w:t>
            </w:r>
          </w:p>
        </w:tc>
        <w:tc>
          <w:tcPr>
            <w:tcW w:w="851" w:type="dxa"/>
            <w:shd w:val="clear" w:color="auto" w:fill="4BACC6" w:themeFill="accent5"/>
          </w:tcPr>
          <w:p w:rsidR="004E51DD" w:rsidRPr="009A73F1" w:rsidRDefault="004E51DD" w:rsidP="004E51DD">
            <w:pPr>
              <w:pStyle w:val="BodyText"/>
              <w:jc w:val="center"/>
              <w:cnfStyle w:val="000000100000"/>
              <w:rPr>
                <w:rFonts w:cs="Arial"/>
                <w:color w:val="auto"/>
                <w:sz w:val="20"/>
                <w:szCs w:val="20"/>
              </w:rPr>
            </w:pPr>
            <w:r w:rsidRPr="009A73F1">
              <w:rPr>
                <w:rFonts w:cs="Arial"/>
                <w:color w:val="auto"/>
                <w:sz w:val="20"/>
                <w:szCs w:val="20"/>
              </w:rPr>
              <w:t>£m</w:t>
            </w:r>
          </w:p>
        </w:tc>
        <w:tc>
          <w:tcPr>
            <w:cnfStyle w:val="000010000000"/>
            <w:tcW w:w="850" w:type="dxa"/>
            <w:shd w:val="clear" w:color="auto" w:fill="4BACC6" w:themeFill="accent5"/>
          </w:tcPr>
          <w:p w:rsidR="004E51DD" w:rsidRPr="009A73F1" w:rsidRDefault="004E51DD" w:rsidP="004E51DD">
            <w:pPr>
              <w:pStyle w:val="BodyText"/>
              <w:jc w:val="center"/>
              <w:rPr>
                <w:rFonts w:cs="Arial"/>
                <w:color w:val="auto"/>
                <w:sz w:val="20"/>
                <w:szCs w:val="20"/>
              </w:rPr>
            </w:pPr>
            <w:r w:rsidRPr="009A73F1">
              <w:rPr>
                <w:rFonts w:cs="Arial"/>
                <w:color w:val="auto"/>
                <w:sz w:val="20"/>
                <w:szCs w:val="20"/>
              </w:rPr>
              <w:t>£m</w:t>
            </w:r>
          </w:p>
        </w:tc>
        <w:tc>
          <w:tcPr>
            <w:tcW w:w="851" w:type="dxa"/>
            <w:shd w:val="clear" w:color="auto" w:fill="4BACC6" w:themeFill="accent5"/>
          </w:tcPr>
          <w:p w:rsidR="004E51DD" w:rsidRPr="009A73F1" w:rsidRDefault="004E51DD" w:rsidP="004E51DD">
            <w:pPr>
              <w:pStyle w:val="BodyText"/>
              <w:jc w:val="center"/>
              <w:cnfStyle w:val="000000100000"/>
              <w:rPr>
                <w:rFonts w:cs="Arial"/>
                <w:color w:val="auto"/>
                <w:sz w:val="20"/>
                <w:szCs w:val="20"/>
              </w:rPr>
            </w:pPr>
            <w:r w:rsidRPr="009A73F1">
              <w:rPr>
                <w:rFonts w:cs="Arial"/>
                <w:color w:val="auto"/>
                <w:sz w:val="20"/>
                <w:szCs w:val="20"/>
              </w:rPr>
              <w:t>£m</w:t>
            </w:r>
          </w:p>
        </w:tc>
        <w:tc>
          <w:tcPr>
            <w:cnfStyle w:val="000010000000"/>
            <w:tcW w:w="992" w:type="dxa"/>
            <w:shd w:val="clear" w:color="auto" w:fill="4BACC6" w:themeFill="accent5"/>
          </w:tcPr>
          <w:p w:rsidR="004E51DD" w:rsidRPr="009A73F1" w:rsidRDefault="004E51DD" w:rsidP="004E51DD">
            <w:pPr>
              <w:pStyle w:val="BodyText"/>
              <w:jc w:val="center"/>
              <w:rPr>
                <w:rFonts w:cs="Arial"/>
                <w:color w:val="auto"/>
                <w:sz w:val="20"/>
                <w:szCs w:val="20"/>
              </w:rPr>
            </w:pPr>
            <w:r w:rsidRPr="009A73F1">
              <w:rPr>
                <w:rFonts w:cs="Arial"/>
                <w:color w:val="auto"/>
                <w:sz w:val="20"/>
                <w:szCs w:val="20"/>
              </w:rPr>
              <w:t>£m</w:t>
            </w:r>
          </w:p>
        </w:tc>
        <w:tc>
          <w:tcPr>
            <w:tcW w:w="4063" w:type="dxa"/>
            <w:shd w:val="clear" w:color="auto" w:fill="4BACC6" w:themeFill="accent5"/>
          </w:tcPr>
          <w:p w:rsidR="004E51DD" w:rsidRPr="009A73F1" w:rsidRDefault="004E51DD" w:rsidP="00BB4C86">
            <w:pPr>
              <w:pStyle w:val="BodyText"/>
              <w:cnfStyle w:val="000000100000"/>
              <w:rPr>
                <w:rFonts w:cs="Arial"/>
                <w:b/>
                <w:color w:val="auto"/>
                <w:sz w:val="20"/>
                <w:szCs w:val="20"/>
              </w:rPr>
            </w:pPr>
          </w:p>
        </w:tc>
        <w:tc>
          <w:tcPr>
            <w:cnfStyle w:val="000010000000"/>
            <w:tcW w:w="898" w:type="dxa"/>
            <w:shd w:val="clear" w:color="auto" w:fill="4BACC6" w:themeFill="accent5"/>
          </w:tcPr>
          <w:p w:rsidR="004E51DD" w:rsidRPr="009A73F1" w:rsidRDefault="004E51DD" w:rsidP="00CE6D72">
            <w:pPr>
              <w:pStyle w:val="BodyText"/>
              <w:jc w:val="center"/>
              <w:rPr>
                <w:rFonts w:cs="Arial"/>
                <w:color w:val="auto"/>
                <w:sz w:val="20"/>
                <w:szCs w:val="20"/>
              </w:rPr>
            </w:pPr>
            <w:r w:rsidRPr="009A73F1">
              <w:rPr>
                <w:rFonts w:cs="Arial"/>
                <w:color w:val="auto"/>
                <w:sz w:val="20"/>
                <w:szCs w:val="20"/>
              </w:rPr>
              <w:t>£m</w:t>
            </w:r>
          </w:p>
        </w:tc>
        <w:tc>
          <w:tcPr>
            <w:tcW w:w="1276" w:type="dxa"/>
            <w:shd w:val="clear" w:color="auto" w:fill="4BACC6" w:themeFill="accent5"/>
          </w:tcPr>
          <w:p w:rsidR="004E51DD" w:rsidRPr="009A73F1" w:rsidRDefault="004E51DD" w:rsidP="00CE6D72">
            <w:pPr>
              <w:pStyle w:val="BodyText"/>
              <w:jc w:val="center"/>
              <w:cnfStyle w:val="000000100000"/>
              <w:rPr>
                <w:rFonts w:cs="Arial"/>
                <w:color w:val="auto"/>
                <w:sz w:val="20"/>
                <w:szCs w:val="20"/>
              </w:rPr>
            </w:pPr>
            <w:r w:rsidRPr="009A73F1">
              <w:rPr>
                <w:rFonts w:cs="Arial"/>
                <w:color w:val="auto"/>
                <w:sz w:val="20"/>
                <w:szCs w:val="20"/>
              </w:rPr>
              <w:t>£m</w:t>
            </w:r>
          </w:p>
        </w:tc>
        <w:tc>
          <w:tcPr>
            <w:cnfStyle w:val="000010000000"/>
            <w:tcW w:w="851" w:type="dxa"/>
            <w:shd w:val="clear" w:color="auto" w:fill="4BACC6" w:themeFill="accent5"/>
          </w:tcPr>
          <w:p w:rsidR="004E51DD" w:rsidRPr="009A73F1" w:rsidRDefault="004E51DD" w:rsidP="00CE6D72">
            <w:pPr>
              <w:pStyle w:val="BodyText"/>
              <w:jc w:val="center"/>
              <w:rPr>
                <w:rFonts w:cs="Arial"/>
                <w:color w:val="auto"/>
                <w:sz w:val="20"/>
                <w:szCs w:val="20"/>
              </w:rPr>
            </w:pPr>
            <w:r w:rsidRPr="009A73F1">
              <w:rPr>
                <w:rFonts w:cs="Arial"/>
                <w:color w:val="auto"/>
                <w:sz w:val="20"/>
                <w:szCs w:val="20"/>
              </w:rPr>
              <w:t>£m</w:t>
            </w:r>
          </w:p>
        </w:tc>
        <w:tc>
          <w:tcPr>
            <w:tcW w:w="992" w:type="dxa"/>
            <w:shd w:val="clear" w:color="auto" w:fill="4BACC6" w:themeFill="accent5"/>
          </w:tcPr>
          <w:p w:rsidR="004E51DD" w:rsidRPr="009A73F1" w:rsidRDefault="004E51DD" w:rsidP="00CE6D72">
            <w:pPr>
              <w:pStyle w:val="BodyText"/>
              <w:jc w:val="center"/>
              <w:cnfStyle w:val="000000100000"/>
              <w:rPr>
                <w:rFonts w:cs="Arial"/>
                <w:color w:val="auto"/>
                <w:sz w:val="20"/>
                <w:szCs w:val="20"/>
              </w:rPr>
            </w:pPr>
            <w:r w:rsidRPr="009A73F1">
              <w:rPr>
                <w:rFonts w:cs="Arial"/>
                <w:color w:val="auto"/>
                <w:sz w:val="20"/>
                <w:szCs w:val="20"/>
              </w:rPr>
              <w:t>£m</w:t>
            </w:r>
          </w:p>
        </w:tc>
        <w:tc>
          <w:tcPr>
            <w:cnfStyle w:val="000010000000"/>
            <w:tcW w:w="850" w:type="dxa"/>
            <w:shd w:val="clear" w:color="auto" w:fill="4BACC6" w:themeFill="accent5"/>
          </w:tcPr>
          <w:p w:rsidR="004E51DD" w:rsidRPr="009A73F1" w:rsidRDefault="004E51DD" w:rsidP="00CE6D72">
            <w:pPr>
              <w:pStyle w:val="BodyText"/>
              <w:jc w:val="center"/>
              <w:rPr>
                <w:rFonts w:cs="Arial"/>
                <w:color w:val="auto"/>
                <w:sz w:val="20"/>
                <w:szCs w:val="20"/>
              </w:rPr>
            </w:pPr>
            <w:r w:rsidRPr="009A73F1">
              <w:rPr>
                <w:rFonts w:cs="Arial"/>
                <w:color w:val="auto"/>
                <w:sz w:val="20"/>
                <w:szCs w:val="20"/>
              </w:rPr>
              <w:t>£m</w:t>
            </w:r>
          </w:p>
        </w:tc>
        <w:tc>
          <w:tcPr>
            <w:cnfStyle w:val="000100000000"/>
            <w:tcW w:w="851" w:type="dxa"/>
            <w:shd w:val="clear" w:color="auto" w:fill="4BACC6" w:themeFill="accent5"/>
          </w:tcPr>
          <w:p w:rsidR="004E51DD" w:rsidRPr="009A73F1" w:rsidRDefault="004E51DD" w:rsidP="00CE6D72">
            <w:pPr>
              <w:pStyle w:val="BodyText"/>
              <w:jc w:val="center"/>
              <w:rPr>
                <w:rFonts w:cs="Arial"/>
                <w:b w:val="0"/>
                <w:color w:val="auto"/>
                <w:sz w:val="20"/>
                <w:szCs w:val="20"/>
              </w:rPr>
            </w:pPr>
            <w:r w:rsidRPr="009A73F1">
              <w:rPr>
                <w:rFonts w:cs="Arial"/>
                <w:b w:val="0"/>
                <w:color w:val="auto"/>
                <w:sz w:val="20"/>
                <w:szCs w:val="20"/>
              </w:rPr>
              <w:t>£m</w:t>
            </w:r>
          </w:p>
        </w:tc>
      </w:tr>
      <w:tr w:rsidR="009A73F1" w:rsidRPr="009A73F1" w:rsidTr="00AC27C2">
        <w:trPr>
          <w:trHeight w:hRule="exact" w:val="330"/>
        </w:trPr>
        <w:tc>
          <w:tcPr>
            <w:cnfStyle w:val="001000000000"/>
            <w:tcW w:w="851" w:type="dxa"/>
            <w:tcBorders>
              <w:right w:val="none" w:sz="0" w:space="0" w:color="auto"/>
            </w:tcBorders>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(45.5)</w:t>
            </w:r>
          </w:p>
        </w:tc>
        <w:tc>
          <w:tcPr>
            <w:cnfStyle w:val="000010000000"/>
            <w:tcW w:w="1417"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0.1</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13.0</w:t>
            </w:r>
          </w:p>
        </w:tc>
        <w:tc>
          <w:tcPr>
            <w:cnfStyle w:val="000010000000"/>
            <w:tcW w:w="850"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(32.4)</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(1.9)</w:t>
            </w:r>
          </w:p>
        </w:tc>
        <w:tc>
          <w:tcPr>
            <w:cnfStyle w:val="000010000000"/>
            <w:tcW w:w="992"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(34.3)</w:t>
            </w:r>
          </w:p>
        </w:tc>
        <w:tc>
          <w:tcPr>
            <w:tcW w:w="4063" w:type="dxa"/>
            <w:vAlign w:val="center"/>
          </w:tcPr>
          <w:p w:rsidR="009A73F1" w:rsidRPr="009A73F1" w:rsidRDefault="009A73F1" w:rsidP="00DD4207">
            <w:pPr>
              <w:pStyle w:val="BodyText"/>
              <w:cnfStyle w:val="000000000000"/>
              <w:rPr>
                <w:rFonts w:cs="Arial"/>
                <w:color w:val="auto"/>
                <w:sz w:val="20"/>
                <w:szCs w:val="20"/>
              </w:rPr>
            </w:pPr>
            <w:r w:rsidRPr="009A73F1">
              <w:rPr>
                <w:rFonts w:cs="Arial"/>
                <w:color w:val="auto"/>
                <w:sz w:val="20"/>
                <w:szCs w:val="20"/>
              </w:rPr>
              <w:t>Fees, charges &amp; other service income</w:t>
            </w:r>
          </w:p>
        </w:tc>
        <w:tc>
          <w:tcPr>
            <w:cnfStyle w:val="000010000000"/>
            <w:tcW w:w="898" w:type="dxa"/>
            <w:tcBorders>
              <w:left w:val="none" w:sz="0" w:space="0" w:color="auto"/>
              <w:right w:val="none" w:sz="0" w:space="0" w:color="auto"/>
            </w:tcBorders>
            <w:vAlign w:val="center"/>
          </w:tcPr>
          <w:p w:rsidR="009A73F1" w:rsidRPr="000D414D" w:rsidRDefault="00847BB9" w:rsidP="000D414D">
            <w:pPr>
              <w:pStyle w:val="BodyText"/>
              <w:jc w:val="center"/>
              <w:rPr>
                <w:rFonts w:cs="Arial"/>
                <w:color w:val="auto"/>
                <w:sz w:val="20"/>
                <w:szCs w:val="20"/>
              </w:rPr>
            </w:pPr>
            <w:r w:rsidRPr="000D414D">
              <w:rPr>
                <w:rFonts w:cs="Arial"/>
                <w:color w:val="auto"/>
                <w:sz w:val="20"/>
                <w:szCs w:val="20"/>
              </w:rPr>
              <w:t>(54.</w:t>
            </w:r>
            <w:r w:rsidR="000D414D" w:rsidRPr="000D414D">
              <w:rPr>
                <w:rFonts w:cs="Arial"/>
                <w:color w:val="auto"/>
                <w:sz w:val="20"/>
                <w:szCs w:val="20"/>
              </w:rPr>
              <w:t>6</w:t>
            </w:r>
            <w:r w:rsidRPr="000D414D">
              <w:rPr>
                <w:rFonts w:cs="Arial"/>
                <w:color w:val="auto"/>
                <w:sz w:val="20"/>
                <w:szCs w:val="20"/>
              </w:rPr>
              <w:t>)</w:t>
            </w:r>
          </w:p>
        </w:tc>
        <w:tc>
          <w:tcPr>
            <w:tcW w:w="1276" w:type="dxa"/>
            <w:vAlign w:val="center"/>
          </w:tcPr>
          <w:p w:rsidR="009A73F1" w:rsidRPr="0089380A" w:rsidRDefault="00280292" w:rsidP="00DD4207">
            <w:pPr>
              <w:pStyle w:val="BodyText"/>
              <w:jc w:val="center"/>
              <w:cnfStyle w:val="000000000000"/>
              <w:rPr>
                <w:rFonts w:cs="Arial"/>
                <w:color w:val="auto"/>
                <w:sz w:val="20"/>
                <w:szCs w:val="20"/>
              </w:rPr>
            </w:pPr>
            <w:r w:rsidRPr="0089380A">
              <w:rPr>
                <w:rFonts w:cs="Arial"/>
                <w:color w:val="auto"/>
                <w:sz w:val="20"/>
                <w:szCs w:val="20"/>
              </w:rPr>
              <w:t>(10.6)</w:t>
            </w:r>
          </w:p>
        </w:tc>
        <w:tc>
          <w:tcPr>
            <w:cnfStyle w:val="000010000000"/>
            <w:tcW w:w="851" w:type="dxa"/>
            <w:tcBorders>
              <w:left w:val="none" w:sz="0" w:space="0" w:color="auto"/>
              <w:right w:val="none" w:sz="0" w:space="0" w:color="auto"/>
            </w:tcBorders>
            <w:vAlign w:val="center"/>
          </w:tcPr>
          <w:p w:rsidR="009A73F1" w:rsidRPr="0089380A" w:rsidRDefault="00280292" w:rsidP="0089380A">
            <w:pPr>
              <w:pStyle w:val="BodyText"/>
              <w:jc w:val="center"/>
              <w:rPr>
                <w:rFonts w:cs="Arial"/>
                <w:color w:val="auto"/>
                <w:sz w:val="20"/>
                <w:szCs w:val="20"/>
              </w:rPr>
            </w:pPr>
            <w:r w:rsidRPr="0089380A">
              <w:rPr>
                <w:rFonts w:cs="Arial"/>
                <w:color w:val="auto"/>
                <w:sz w:val="20"/>
                <w:szCs w:val="20"/>
              </w:rPr>
              <w:t>34.</w:t>
            </w:r>
            <w:r w:rsidR="0089380A" w:rsidRPr="0089380A">
              <w:rPr>
                <w:rFonts w:cs="Arial"/>
                <w:color w:val="auto"/>
                <w:sz w:val="20"/>
                <w:szCs w:val="20"/>
              </w:rPr>
              <w:t>9</w:t>
            </w:r>
          </w:p>
        </w:tc>
        <w:tc>
          <w:tcPr>
            <w:tcW w:w="992" w:type="dxa"/>
            <w:vAlign w:val="center"/>
          </w:tcPr>
          <w:p w:rsidR="009A73F1" w:rsidRPr="0089380A" w:rsidRDefault="00847BB9" w:rsidP="0089380A">
            <w:pPr>
              <w:pStyle w:val="BodyText"/>
              <w:jc w:val="center"/>
              <w:cnfStyle w:val="000000000000"/>
              <w:rPr>
                <w:rFonts w:cs="Arial"/>
                <w:b/>
                <w:color w:val="auto"/>
                <w:sz w:val="20"/>
                <w:szCs w:val="20"/>
              </w:rPr>
            </w:pPr>
            <w:r w:rsidRPr="0089380A">
              <w:rPr>
                <w:rFonts w:cs="Arial"/>
                <w:b/>
                <w:color w:val="auto"/>
                <w:sz w:val="20"/>
                <w:szCs w:val="20"/>
              </w:rPr>
              <w:t>(30.</w:t>
            </w:r>
            <w:r w:rsidR="0089380A" w:rsidRPr="0089380A">
              <w:rPr>
                <w:rFonts w:cs="Arial"/>
                <w:b/>
                <w:color w:val="auto"/>
                <w:sz w:val="20"/>
                <w:szCs w:val="20"/>
              </w:rPr>
              <w:t>3</w:t>
            </w:r>
            <w:r w:rsidRPr="0089380A">
              <w:rPr>
                <w:rFonts w:cs="Arial"/>
                <w:b/>
                <w:color w:val="auto"/>
                <w:sz w:val="20"/>
                <w:szCs w:val="20"/>
              </w:rPr>
              <w:t>)</w:t>
            </w:r>
          </w:p>
        </w:tc>
        <w:tc>
          <w:tcPr>
            <w:cnfStyle w:val="000010000000"/>
            <w:tcW w:w="850" w:type="dxa"/>
            <w:tcBorders>
              <w:left w:val="none" w:sz="0" w:space="0" w:color="auto"/>
              <w:right w:val="none" w:sz="0" w:space="0" w:color="auto"/>
            </w:tcBorders>
            <w:vAlign w:val="center"/>
          </w:tcPr>
          <w:p w:rsidR="009A73F1" w:rsidRPr="0089380A" w:rsidRDefault="00847BB9" w:rsidP="00C90835">
            <w:pPr>
              <w:pStyle w:val="BodyText"/>
              <w:jc w:val="center"/>
              <w:rPr>
                <w:rFonts w:cs="Arial"/>
                <w:color w:val="auto"/>
                <w:sz w:val="20"/>
                <w:szCs w:val="20"/>
              </w:rPr>
            </w:pPr>
            <w:r w:rsidRPr="0089380A">
              <w:rPr>
                <w:rFonts w:cs="Arial"/>
                <w:color w:val="auto"/>
                <w:sz w:val="20"/>
                <w:szCs w:val="20"/>
              </w:rPr>
              <w:t>(0.6)</w:t>
            </w:r>
          </w:p>
        </w:tc>
        <w:tc>
          <w:tcPr>
            <w:cnfStyle w:val="000100000000"/>
            <w:tcW w:w="851" w:type="dxa"/>
            <w:tcBorders>
              <w:left w:val="none" w:sz="0" w:space="0" w:color="auto"/>
            </w:tcBorders>
            <w:vAlign w:val="center"/>
          </w:tcPr>
          <w:p w:rsidR="009A73F1" w:rsidRPr="0089380A" w:rsidRDefault="00847BB9" w:rsidP="0089380A">
            <w:pPr>
              <w:pStyle w:val="BodyText"/>
              <w:jc w:val="center"/>
              <w:rPr>
                <w:rFonts w:cs="Arial"/>
                <w:color w:val="auto"/>
                <w:sz w:val="20"/>
                <w:szCs w:val="20"/>
              </w:rPr>
            </w:pPr>
            <w:r w:rsidRPr="0089380A">
              <w:rPr>
                <w:rFonts w:cs="Arial"/>
                <w:color w:val="auto"/>
                <w:sz w:val="20"/>
                <w:szCs w:val="20"/>
              </w:rPr>
              <w:t>(3</w:t>
            </w:r>
            <w:r w:rsidR="0089380A" w:rsidRPr="0089380A">
              <w:rPr>
                <w:rFonts w:cs="Arial"/>
                <w:color w:val="auto"/>
                <w:sz w:val="20"/>
                <w:szCs w:val="20"/>
              </w:rPr>
              <w:t>0</w:t>
            </w:r>
            <w:r w:rsidRPr="0089380A">
              <w:rPr>
                <w:rFonts w:cs="Arial"/>
                <w:color w:val="auto"/>
                <w:sz w:val="20"/>
                <w:szCs w:val="20"/>
              </w:rPr>
              <w:t>.</w:t>
            </w:r>
            <w:r w:rsidR="0089380A" w:rsidRPr="0089380A">
              <w:rPr>
                <w:rFonts w:cs="Arial"/>
                <w:color w:val="auto"/>
                <w:sz w:val="20"/>
                <w:szCs w:val="20"/>
              </w:rPr>
              <w:t>9</w:t>
            </w:r>
            <w:r w:rsidRPr="0089380A">
              <w:rPr>
                <w:rFonts w:cs="Arial"/>
                <w:color w:val="auto"/>
                <w:sz w:val="20"/>
                <w:szCs w:val="20"/>
              </w:rPr>
              <w:t>)</w:t>
            </w:r>
          </w:p>
        </w:tc>
      </w:tr>
      <w:tr w:rsidR="009A73F1" w:rsidRPr="009A73F1" w:rsidTr="00AC27C2">
        <w:trPr>
          <w:cnfStyle w:val="000000100000"/>
          <w:trHeight w:hRule="exact" w:val="351"/>
        </w:trPr>
        <w:tc>
          <w:tcPr>
            <w:cnfStyle w:val="001000000000"/>
            <w:tcW w:w="851"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0</w:t>
            </w:r>
          </w:p>
        </w:tc>
        <w:tc>
          <w:tcPr>
            <w:cnfStyle w:val="000010000000"/>
            <w:tcW w:w="1417"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0</w:t>
            </w:r>
          </w:p>
        </w:tc>
        <w:tc>
          <w:tcPr>
            <w:cnfStyle w:val="000010000000"/>
            <w:tcW w:w="850"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(1.7)</w:t>
            </w:r>
          </w:p>
        </w:tc>
        <w:tc>
          <w:tcPr>
            <w:cnfStyle w:val="000010000000"/>
            <w:tcW w:w="992"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(1.7)</w:t>
            </w:r>
          </w:p>
        </w:tc>
        <w:tc>
          <w:tcPr>
            <w:tcW w:w="4063" w:type="dxa"/>
            <w:vAlign w:val="center"/>
          </w:tcPr>
          <w:p w:rsidR="009A73F1" w:rsidRPr="009A73F1" w:rsidRDefault="009A73F1" w:rsidP="00DD4207">
            <w:pPr>
              <w:pStyle w:val="BodyText"/>
              <w:cnfStyle w:val="000000100000"/>
              <w:rPr>
                <w:rFonts w:cs="Arial"/>
                <w:color w:val="auto"/>
                <w:sz w:val="20"/>
                <w:szCs w:val="20"/>
              </w:rPr>
            </w:pPr>
            <w:r w:rsidRPr="009A73F1">
              <w:rPr>
                <w:rFonts w:cs="Arial"/>
                <w:color w:val="auto"/>
                <w:sz w:val="20"/>
                <w:szCs w:val="20"/>
              </w:rPr>
              <w:t>Interest and investment income</w:t>
            </w:r>
          </w:p>
        </w:tc>
        <w:tc>
          <w:tcPr>
            <w:cnfStyle w:val="000010000000"/>
            <w:tcW w:w="898" w:type="dxa"/>
            <w:vAlign w:val="center"/>
          </w:tcPr>
          <w:p w:rsidR="009A73F1" w:rsidRPr="000D414D" w:rsidRDefault="00847BB9" w:rsidP="00DD4207">
            <w:pPr>
              <w:pStyle w:val="BodyText"/>
              <w:jc w:val="center"/>
              <w:rPr>
                <w:rFonts w:cs="Arial"/>
                <w:color w:val="auto"/>
                <w:sz w:val="20"/>
                <w:szCs w:val="20"/>
              </w:rPr>
            </w:pPr>
            <w:r w:rsidRPr="000D414D">
              <w:rPr>
                <w:rFonts w:cs="Arial"/>
                <w:color w:val="auto"/>
                <w:sz w:val="20"/>
                <w:szCs w:val="20"/>
              </w:rPr>
              <w:t>0</w:t>
            </w:r>
          </w:p>
        </w:tc>
        <w:tc>
          <w:tcPr>
            <w:tcW w:w="1276" w:type="dxa"/>
            <w:vAlign w:val="center"/>
          </w:tcPr>
          <w:p w:rsidR="009A73F1" w:rsidRPr="0089380A" w:rsidRDefault="00280292" w:rsidP="00DD4207">
            <w:pPr>
              <w:pStyle w:val="BodyText"/>
              <w:jc w:val="center"/>
              <w:cnfStyle w:val="000000100000"/>
              <w:rPr>
                <w:rFonts w:cs="Arial"/>
                <w:color w:val="auto"/>
                <w:sz w:val="20"/>
                <w:szCs w:val="20"/>
              </w:rPr>
            </w:pPr>
            <w:r w:rsidRPr="0089380A">
              <w:rPr>
                <w:rFonts w:cs="Arial"/>
                <w:color w:val="auto"/>
                <w:sz w:val="20"/>
                <w:szCs w:val="20"/>
              </w:rPr>
              <w:t>0</w:t>
            </w:r>
          </w:p>
        </w:tc>
        <w:tc>
          <w:tcPr>
            <w:cnfStyle w:val="000010000000"/>
            <w:tcW w:w="851" w:type="dxa"/>
            <w:vAlign w:val="center"/>
          </w:tcPr>
          <w:p w:rsidR="009A73F1" w:rsidRPr="0089380A" w:rsidRDefault="00280292" w:rsidP="00DD4207">
            <w:pPr>
              <w:pStyle w:val="BodyText"/>
              <w:jc w:val="center"/>
              <w:rPr>
                <w:rFonts w:cs="Arial"/>
                <w:color w:val="auto"/>
                <w:sz w:val="20"/>
                <w:szCs w:val="20"/>
              </w:rPr>
            </w:pPr>
            <w:r w:rsidRPr="0089380A">
              <w:rPr>
                <w:rFonts w:cs="Arial"/>
                <w:color w:val="auto"/>
                <w:sz w:val="20"/>
                <w:szCs w:val="20"/>
              </w:rPr>
              <w:t>0</w:t>
            </w:r>
          </w:p>
        </w:tc>
        <w:tc>
          <w:tcPr>
            <w:tcW w:w="992" w:type="dxa"/>
            <w:vAlign w:val="center"/>
          </w:tcPr>
          <w:p w:rsidR="009A73F1" w:rsidRPr="0089380A" w:rsidRDefault="00847BB9" w:rsidP="00DD4207">
            <w:pPr>
              <w:pStyle w:val="BodyText"/>
              <w:jc w:val="center"/>
              <w:cnfStyle w:val="000000100000"/>
              <w:rPr>
                <w:rFonts w:cs="Arial"/>
                <w:b/>
                <w:color w:val="auto"/>
                <w:sz w:val="20"/>
                <w:szCs w:val="20"/>
              </w:rPr>
            </w:pPr>
            <w:r w:rsidRPr="0089380A">
              <w:rPr>
                <w:rFonts w:cs="Arial"/>
                <w:b/>
                <w:color w:val="auto"/>
                <w:sz w:val="20"/>
                <w:szCs w:val="20"/>
              </w:rPr>
              <w:t>0</w:t>
            </w:r>
          </w:p>
        </w:tc>
        <w:tc>
          <w:tcPr>
            <w:cnfStyle w:val="000010000000"/>
            <w:tcW w:w="850" w:type="dxa"/>
            <w:vAlign w:val="center"/>
          </w:tcPr>
          <w:p w:rsidR="009A73F1" w:rsidRPr="0089380A" w:rsidRDefault="00A52598" w:rsidP="00824CE0">
            <w:pPr>
              <w:pStyle w:val="BodyText"/>
              <w:jc w:val="center"/>
              <w:rPr>
                <w:rFonts w:cs="Arial"/>
                <w:color w:val="auto"/>
                <w:sz w:val="20"/>
                <w:szCs w:val="20"/>
              </w:rPr>
            </w:pPr>
            <w:r w:rsidRPr="0089380A">
              <w:rPr>
                <w:rFonts w:cs="Arial"/>
                <w:color w:val="auto"/>
                <w:sz w:val="20"/>
                <w:szCs w:val="20"/>
              </w:rPr>
              <w:t>(2.6)</w:t>
            </w:r>
          </w:p>
        </w:tc>
        <w:tc>
          <w:tcPr>
            <w:cnfStyle w:val="000100000000"/>
            <w:tcW w:w="851" w:type="dxa"/>
            <w:vAlign w:val="center"/>
          </w:tcPr>
          <w:p w:rsidR="009A73F1" w:rsidRPr="0089380A" w:rsidRDefault="00A52598" w:rsidP="00824CE0">
            <w:pPr>
              <w:pStyle w:val="BodyText"/>
              <w:jc w:val="center"/>
              <w:rPr>
                <w:rFonts w:cs="Arial"/>
                <w:color w:val="auto"/>
                <w:sz w:val="20"/>
                <w:szCs w:val="20"/>
              </w:rPr>
            </w:pPr>
            <w:r w:rsidRPr="0089380A">
              <w:rPr>
                <w:rFonts w:cs="Arial"/>
                <w:color w:val="auto"/>
                <w:sz w:val="20"/>
                <w:szCs w:val="20"/>
              </w:rPr>
              <w:t>(2.6)</w:t>
            </w:r>
          </w:p>
        </w:tc>
      </w:tr>
      <w:tr w:rsidR="009A73F1" w:rsidRPr="009A73F1" w:rsidTr="00AC27C2">
        <w:trPr>
          <w:trHeight w:hRule="exact" w:val="271"/>
        </w:trPr>
        <w:tc>
          <w:tcPr>
            <w:cnfStyle w:val="001000000000"/>
            <w:tcW w:w="851" w:type="dxa"/>
            <w:tcBorders>
              <w:right w:val="none" w:sz="0" w:space="0" w:color="auto"/>
            </w:tcBorders>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0</w:t>
            </w:r>
          </w:p>
        </w:tc>
        <w:tc>
          <w:tcPr>
            <w:cnfStyle w:val="000010000000"/>
            <w:tcW w:w="1417"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0</w:t>
            </w:r>
          </w:p>
        </w:tc>
        <w:tc>
          <w:tcPr>
            <w:cnfStyle w:val="000010000000"/>
            <w:tcW w:w="850"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(52.8)</w:t>
            </w:r>
          </w:p>
        </w:tc>
        <w:tc>
          <w:tcPr>
            <w:cnfStyle w:val="000010000000"/>
            <w:tcW w:w="992"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(52.8)</w:t>
            </w:r>
          </w:p>
        </w:tc>
        <w:tc>
          <w:tcPr>
            <w:tcW w:w="4063" w:type="dxa"/>
            <w:vAlign w:val="center"/>
          </w:tcPr>
          <w:p w:rsidR="009A73F1" w:rsidRPr="009A73F1" w:rsidRDefault="009A73F1" w:rsidP="00DD4207">
            <w:pPr>
              <w:pStyle w:val="BodyText"/>
              <w:cnfStyle w:val="000000000000"/>
              <w:rPr>
                <w:rFonts w:cs="Arial"/>
                <w:color w:val="auto"/>
                <w:sz w:val="20"/>
                <w:szCs w:val="20"/>
              </w:rPr>
            </w:pPr>
            <w:r w:rsidRPr="009A73F1">
              <w:rPr>
                <w:rFonts w:cs="Arial"/>
                <w:color w:val="auto"/>
                <w:sz w:val="20"/>
                <w:szCs w:val="20"/>
              </w:rPr>
              <w:t>Income from council tax</w:t>
            </w:r>
          </w:p>
        </w:tc>
        <w:tc>
          <w:tcPr>
            <w:cnfStyle w:val="000010000000"/>
            <w:tcW w:w="898" w:type="dxa"/>
            <w:tcBorders>
              <w:left w:val="none" w:sz="0" w:space="0" w:color="auto"/>
              <w:right w:val="none" w:sz="0" w:space="0" w:color="auto"/>
            </w:tcBorders>
            <w:vAlign w:val="center"/>
          </w:tcPr>
          <w:p w:rsidR="009A73F1" w:rsidRPr="000D414D" w:rsidRDefault="00847BB9" w:rsidP="00DD4207">
            <w:pPr>
              <w:pStyle w:val="BodyText"/>
              <w:jc w:val="center"/>
              <w:rPr>
                <w:rFonts w:cs="Arial"/>
                <w:color w:val="auto"/>
                <w:sz w:val="20"/>
                <w:szCs w:val="20"/>
              </w:rPr>
            </w:pPr>
            <w:r w:rsidRPr="000D414D">
              <w:rPr>
                <w:rFonts w:cs="Arial"/>
                <w:color w:val="auto"/>
                <w:sz w:val="20"/>
                <w:szCs w:val="20"/>
              </w:rPr>
              <w:t>0</w:t>
            </w:r>
          </w:p>
        </w:tc>
        <w:tc>
          <w:tcPr>
            <w:tcW w:w="1276" w:type="dxa"/>
            <w:vAlign w:val="center"/>
          </w:tcPr>
          <w:p w:rsidR="009A73F1" w:rsidRPr="0089380A" w:rsidRDefault="00280292" w:rsidP="00DD4207">
            <w:pPr>
              <w:pStyle w:val="BodyText"/>
              <w:jc w:val="center"/>
              <w:cnfStyle w:val="000000000000"/>
              <w:rPr>
                <w:rFonts w:cs="Arial"/>
                <w:color w:val="auto"/>
                <w:sz w:val="20"/>
                <w:szCs w:val="20"/>
              </w:rPr>
            </w:pPr>
            <w:r w:rsidRPr="0089380A">
              <w:rPr>
                <w:rFonts w:cs="Arial"/>
                <w:color w:val="auto"/>
                <w:sz w:val="20"/>
                <w:szCs w:val="20"/>
              </w:rPr>
              <w:t>0</w:t>
            </w:r>
          </w:p>
        </w:tc>
        <w:tc>
          <w:tcPr>
            <w:cnfStyle w:val="000010000000"/>
            <w:tcW w:w="851" w:type="dxa"/>
            <w:tcBorders>
              <w:left w:val="none" w:sz="0" w:space="0" w:color="auto"/>
              <w:right w:val="none" w:sz="0" w:space="0" w:color="auto"/>
            </w:tcBorders>
            <w:vAlign w:val="center"/>
          </w:tcPr>
          <w:p w:rsidR="009A73F1" w:rsidRPr="0089380A" w:rsidRDefault="00280292" w:rsidP="00DD4207">
            <w:pPr>
              <w:pStyle w:val="BodyText"/>
              <w:jc w:val="center"/>
              <w:rPr>
                <w:rFonts w:cs="Arial"/>
                <w:color w:val="auto"/>
                <w:sz w:val="20"/>
                <w:szCs w:val="20"/>
              </w:rPr>
            </w:pPr>
            <w:r w:rsidRPr="0089380A">
              <w:rPr>
                <w:rFonts w:cs="Arial"/>
                <w:color w:val="auto"/>
                <w:sz w:val="20"/>
                <w:szCs w:val="20"/>
              </w:rPr>
              <w:t>0</w:t>
            </w:r>
          </w:p>
        </w:tc>
        <w:tc>
          <w:tcPr>
            <w:tcW w:w="992" w:type="dxa"/>
            <w:vAlign w:val="center"/>
          </w:tcPr>
          <w:p w:rsidR="009A73F1" w:rsidRPr="0089380A" w:rsidRDefault="00847BB9" w:rsidP="00DD4207">
            <w:pPr>
              <w:pStyle w:val="BodyText"/>
              <w:jc w:val="center"/>
              <w:cnfStyle w:val="000000000000"/>
              <w:rPr>
                <w:rFonts w:cs="Arial"/>
                <w:b/>
                <w:color w:val="auto"/>
                <w:sz w:val="20"/>
                <w:szCs w:val="20"/>
              </w:rPr>
            </w:pPr>
            <w:r w:rsidRPr="0089380A">
              <w:rPr>
                <w:rFonts w:cs="Arial"/>
                <w:b/>
                <w:color w:val="auto"/>
                <w:sz w:val="20"/>
                <w:szCs w:val="20"/>
              </w:rPr>
              <w:t>0</w:t>
            </w:r>
          </w:p>
        </w:tc>
        <w:tc>
          <w:tcPr>
            <w:cnfStyle w:val="000010000000"/>
            <w:tcW w:w="850" w:type="dxa"/>
            <w:tcBorders>
              <w:left w:val="none" w:sz="0" w:space="0" w:color="auto"/>
              <w:right w:val="none" w:sz="0" w:space="0" w:color="auto"/>
            </w:tcBorders>
            <w:vAlign w:val="center"/>
          </w:tcPr>
          <w:p w:rsidR="009A73F1" w:rsidRPr="0089380A" w:rsidRDefault="00A52598" w:rsidP="00DD4207">
            <w:pPr>
              <w:pStyle w:val="BodyText"/>
              <w:jc w:val="center"/>
              <w:rPr>
                <w:rFonts w:cs="Arial"/>
                <w:color w:val="auto"/>
                <w:sz w:val="20"/>
                <w:szCs w:val="20"/>
              </w:rPr>
            </w:pPr>
            <w:r w:rsidRPr="0089380A">
              <w:rPr>
                <w:rFonts w:cs="Arial"/>
                <w:color w:val="auto"/>
                <w:sz w:val="20"/>
                <w:szCs w:val="20"/>
              </w:rPr>
              <w:t>(54.4)</w:t>
            </w:r>
          </w:p>
        </w:tc>
        <w:tc>
          <w:tcPr>
            <w:cnfStyle w:val="000100000000"/>
            <w:tcW w:w="851" w:type="dxa"/>
            <w:tcBorders>
              <w:left w:val="none" w:sz="0" w:space="0" w:color="auto"/>
            </w:tcBorders>
            <w:vAlign w:val="center"/>
          </w:tcPr>
          <w:p w:rsidR="009A73F1" w:rsidRPr="0089380A" w:rsidRDefault="00A52598" w:rsidP="00DD4207">
            <w:pPr>
              <w:pStyle w:val="BodyText"/>
              <w:jc w:val="center"/>
              <w:rPr>
                <w:rFonts w:cs="Arial"/>
                <w:color w:val="auto"/>
                <w:sz w:val="20"/>
                <w:szCs w:val="20"/>
              </w:rPr>
            </w:pPr>
            <w:r w:rsidRPr="0089380A">
              <w:rPr>
                <w:rFonts w:cs="Arial"/>
                <w:color w:val="auto"/>
                <w:sz w:val="20"/>
                <w:szCs w:val="20"/>
              </w:rPr>
              <w:t>(54.4)</w:t>
            </w:r>
          </w:p>
        </w:tc>
      </w:tr>
      <w:tr w:rsidR="009A73F1" w:rsidRPr="009A73F1" w:rsidTr="00AC27C2">
        <w:trPr>
          <w:cnfStyle w:val="000000100000"/>
          <w:trHeight w:hRule="exact" w:val="387"/>
        </w:trPr>
        <w:tc>
          <w:tcPr>
            <w:cnfStyle w:val="001000000000"/>
            <w:tcW w:w="851"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(133.5)</w:t>
            </w:r>
          </w:p>
        </w:tc>
        <w:tc>
          <w:tcPr>
            <w:cnfStyle w:val="000010000000"/>
            <w:tcW w:w="1417"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4.8</w:t>
            </w:r>
          </w:p>
        </w:tc>
        <w:tc>
          <w:tcPr>
            <w:cnfStyle w:val="000010000000"/>
            <w:tcW w:w="850"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(128.7)</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(79.9)</w:t>
            </w:r>
          </w:p>
        </w:tc>
        <w:tc>
          <w:tcPr>
            <w:cnfStyle w:val="000010000000"/>
            <w:tcW w:w="992"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(208.6)</w:t>
            </w:r>
          </w:p>
        </w:tc>
        <w:tc>
          <w:tcPr>
            <w:tcW w:w="4063" w:type="dxa"/>
            <w:vAlign w:val="center"/>
          </w:tcPr>
          <w:p w:rsidR="009A73F1" w:rsidRPr="009A73F1" w:rsidRDefault="009A73F1" w:rsidP="00DD4207">
            <w:pPr>
              <w:pStyle w:val="BodyText"/>
              <w:cnfStyle w:val="000000100000"/>
              <w:rPr>
                <w:rFonts w:cs="Arial"/>
                <w:color w:val="auto"/>
                <w:sz w:val="20"/>
                <w:szCs w:val="20"/>
              </w:rPr>
            </w:pPr>
            <w:r w:rsidRPr="009A73F1">
              <w:rPr>
                <w:rFonts w:cs="Arial"/>
                <w:color w:val="auto"/>
                <w:sz w:val="20"/>
                <w:szCs w:val="20"/>
              </w:rPr>
              <w:t>Government grants and contributions</w:t>
            </w:r>
          </w:p>
        </w:tc>
        <w:tc>
          <w:tcPr>
            <w:cnfStyle w:val="000010000000"/>
            <w:tcW w:w="898" w:type="dxa"/>
            <w:vAlign w:val="center"/>
          </w:tcPr>
          <w:p w:rsidR="009A73F1" w:rsidRPr="000D414D" w:rsidRDefault="00847BB9" w:rsidP="00DD4207">
            <w:pPr>
              <w:pStyle w:val="BodyText"/>
              <w:jc w:val="center"/>
              <w:rPr>
                <w:rFonts w:cs="Arial"/>
                <w:color w:val="auto"/>
                <w:sz w:val="20"/>
                <w:szCs w:val="20"/>
              </w:rPr>
            </w:pPr>
            <w:r w:rsidRPr="000D414D">
              <w:rPr>
                <w:rFonts w:cs="Arial"/>
                <w:color w:val="auto"/>
                <w:sz w:val="20"/>
                <w:szCs w:val="20"/>
              </w:rPr>
              <w:t>(130.9)</w:t>
            </w:r>
          </w:p>
        </w:tc>
        <w:tc>
          <w:tcPr>
            <w:tcW w:w="1276" w:type="dxa"/>
            <w:vAlign w:val="center"/>
          </w:tcPr>
          <w:p w:rsidR="009A73F1" w:rsidRPr="0089380A" w:rsidRDefault="00280292" w:rsidP="00DD4207">
            <w:pPr>
              <w:pStyle w:val="BodyText"/>
              <w:jc w:val="center"/>
              <w:cnfStyle w:val="000000100000"/>
              <w:rPr>
                <w:rFonts w:cs="Arial"/>
                <w:color w:val="auto"/>
                <w:sz w:val="20"/>
                <w:szCs w:val="20"/>
              </w:rPr>
            </w:pPr>
            <w:r w:rsidRPr="0089380A">
              <w:rPr>
                <w:rFonts w:cs="Arial"/>
                <w:color w:val="auto"/>
                <w:sz w:val="20"/>
                <w:szCs w:val="20"/>
              </w:rPr>
              <w:t>(2.3)</w:t>
            </w:r>
          </w:p>
        </w:tc>
        <w:tc>
          <w:tcPr>
            <w:cnfStyle w:val="000010000000"/>
            <w:tcW w:w="851" w:type="dxa"/>
            <w:vAlign w:val="center"/>
          </w:tcPr>
          <w:p w:rsidR="009A73F1" w:rsidRPr="0089380A" w:rsidRDefault="00280292" w:rsidP="00DD4207">
            <w:pPr>
              <w:pStyle w:val="BodyText"/>
              <w:jc w:val="center"/>
              <w:rPr>
                <w:rFonts w:cs="Arial"/>
                <w:color w:val="auto"/>
                <w:sz w:val="20"/>
                <w:szCs w:val="20"/>
              </w:rPr>
            </w:pPr>
            <w:r w:rsidRPr="0089380A">
              <w:rPr>
                <w:rFonts w:cs="Arial"/>
                <w:color w:val="auto"/>
                <w:sz w:val="20"/>
                <w:szCs w:val="20"/>
              </w:rPr>
              <w:t>2.7</w:t>
            </w:r>
          </w:p>
        </w:tc>
        <w:tc>
          <w:tcPr>
            <w:tcW w:w="992" w:type="dxa"/>
            <w:vAlign w:val="center"/>
          </w:tcPr>
          <w:p w:rsidR="009A73F1" w:rsidRPr="0089380A" w:rsidRDefault="00847BB9" w:rsidP="00DD4207">
            <w:pPr>
              <w:pStyle w:val="BodyText"/>
              <w:jc w:val="center"/>
              <w:cnfStyle w:val="000000100000"/>
              <w:rPr>
                <w:rFonts w:cs="Arial"/>
                <w:b/>
                <w:color w:val="auto"/>
                <w:sz w:val="20"/>
                <w:szCs w:val="20"/>
              </w:rPr>
            </w:pPr>
            <w:r w:rsidRPr="0089380A">
              <w:rPr>
                <w:rFonts w:cs="Arial"/>
                <w:b/>
                <w:color w:val="auto"/>
                <w:sz w:val="20"/>
                <w:szCs w:val="20"/>
              </w:rPr>
              <w:t>(130.5)</w:t>
            </w:r>
          </w:p>
        </w:tc>
        <w:tc>
          <w:tcPr>
            <w:cnfStyle w:val="000010000000"/>
            <w:tcW w:w="850" w:type="dxa"/>
            <w:vAlign w:val="center"/>
          </w:tcPr>
          <w:p w:rsidR="009A73F1" w:rsidRPr="0089380A" w:rsidRDefault="00A52598" w:rsidP="0089380A">
            <w:pPr>
              <w:pStyle w:val="BodyText"/>
              <w:jc w:val="center"/>
              <w:rPr>
                <w:rFonts w:cs="Arial"/>
                <w:color w:val="auto"/>
                <w:sz w:val="20"/>
                <w:szCs w:val="20"/>
              </w:rPr>
            </w:pPr>
            <w:r w:rsidRPr="0089380A">
              <w:rPr>
                <w:rFonts w:cs="Arial"/>
                <w:color w:val="auto"/>
                <w:sz w:val="20"/>
                <w:szCs w:val="20"/>
              </w:rPr>
              <w:t>(67.</w:t>
            </w:r>
            <w:r w:rsidR="0089380A" w:rsidRPr="0089380A">
              <w:rPr>
                <w:rFonts w:cs="Arial"/>
                <w:color w:val="auto"/>
                <w:sz w:val="20"/>
                <w:szCs w:val="20"/>
              </w:rPr>
              <w:t>4</w:t>
            </w:r>
            <w:r w:rsidRPr="0089380A">
              <w:rPr>
                <w:rFonts w:cs="Arial"/>
                <w:color w:val="auto"/>
                <w:sz w:val="20"/>
                <w:szCs w:val="20"/>
              </w:rPr>
              <w:t>)</w:t>
            </w:r>
          </w:p>
        </w:tc>
        <w:tc>
          <w:tcPr>
            <w:cnfStyle w:val="000100000000"/>
            <w:tcW w:w="851" w:type="dxa"/>
            <w:vAlign w:val="center"/>
          </w:tcPr>
          <w:p w:rsidR="009A73F1" w:rsidRPr="0089380A" w:rsidRDefault="00A52598" w:rsidP="0089380A">
            <w:pPr>
              <w:pStyle w:val="BodyText"/>
              <w:jc w:val="center"/>
              <w:rPr>
                <w:rFonts w:cs="Arial"/>
                <w:color w:val="auto"/>
                <w:sz w:val="20"/>
                <w:szCs w:val="20"/>
              </w:rPr>
            </w:pPr>
            <w:r w:rsidRPr="0089380A">
              <w:rPr>
                <w:rFonts w:cs="Arial"/>
                <w:color w:val="auto"/>
                <w:sz w:val="20"/>
                <w:szCs w:val="20"/>
              </w:rPr>
              <w:t>(197.</w:t>
            </w:r>
            <w:r w:rsidR="0089380A" w:rsidRPr="0089380A">
              <w:rPr>
                <w:rFonts w:cs="Arial"/>
                <w:color w:val="auto"/>
                <w:sz w:val="20"/>
                <w:szCs w:val="20"/>
              </w:rPr>
              <w:t>9</w:t>
            </w:r>
            <w:r w:rsidRPr="0089380A">
              <w:rPr>
                <w:rFonts w:cs="Arial"/>
                <w:color w:val="auto"/>
                <w:sz w:val="20"/>
                <w:szCs w:val="20"/>
              </w:rPr>
              <w:t>)</w:t>
            </w:r>
          </w:p>
        </w:tc>
      </w:tr>
      <w:tr w:rsidR="009A73F1" w:rsidRPr="009A73F1" w:rsidTr="00AC27C2">
        <w:trPr>
          <w:trHeight w:hRule="exact" w:val="284"/>
        </w:trPr>
        <w:tc>
          <w:tcPr>
            <w:cnfStyle w:val="001000000000"/>
            <w:tcW w:w="851" w:type="dxa"/>
            <w:tcBorders>
              <w:right w:val="none" w:sz="0" w:space="0" w:color="auto"/>
            </w:tcBorders>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(179.0)</w:t>
            </w:r>
          </w:p>
        </w:tc>
        <w:tc>
          <w:tcPr>
            <w:cnfStyle w:val="000010000000"/>
            <w:tcW w:w="1417"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0.1</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17.8</w:t>
            </w:r>
          </w:p>
        </w:tc>
        <w:tc>
          <w:tcPr>
            <w:cnfStyle w:val="000010000000"/>
            <w:tcW w:w="850"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(161.1)</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(136.3)</w:t>
            </w:r>
          </w:p>
        </w:tc>
        <w:tc>
          <w:tcPr>
            <w:cnfStyle w:val="000010000000"/>
            <w:tcW w:w="992"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(297.4)</w:t>
            </w:r>
          </w:p>
        </w:tc>
        <w:tc>
          <w:tcPr>
            <w:tcW w:w="4063" w:type="dxa"/>
            <w:vAlign w:val="center"/>
          </w:tcPr>
          <w:p w:rsidR="009A73F1" w:rsidRPr="009A73F1" w:rsidRDefault="009A73F1" w:rsidP="00DD4207">
            <w:pPr>
              <w:pStyle w:val="BodyText"/>
              <w:cnfStyle w:val="000000000000"/>
              <w:rPr>
                <w:rFonts w:cs="Arial"/>
                <w:b/>
                <w:color w:val="auto"/>
                <w:sz w:val="20"/>
                <w:szCs w:val="20"/>
              </w:rPr>
            </w:pPr>
            <w:r w:rsidRPr="009A73F1">
              <w:rPr>
                <w:rFonts w:cs="Arial"/>
                <w:b/>
                <w:color w:val="auto"/>
                <w:sz w:val="20"/>
                <w:szCs w:val="20"/>
              </w:rPr>
              <w:t>Total Income</w:t>
            </w:r>
          </w:p>
        </w:tc>
        <w:tc>
          <w:tcPr>
            <w:cnfStyle w:val="000010000000"/>
            <w:tcW w:w="898" w:type="dxa"/>
            <w:tcBorders>
              <w:left w:val="none" w:sz="0" w:space="0" w:color="auto"/>
              <w:right w:val="none" w:sz="0" w:space="0" w:color="auto"/>
            </w:tcBorders>
            <w:vAlign w:val="center"/>
          </w:tcPr>
          <w:p w:rsidR="009A73F1" w:rsidRPr="000D414D" w:rsidRDefault="00847BB9" w:rsidP="000D414D">
            <w:pPr>
              <w:pStyle w:val="BodyText"/>
              <w:jc w:val="center"/>
              <w:rPr>
                <w:rFonts w:cs="Arial"/>
                <w:b/>
                <w:color w:val="auto"/>
                <w:sz w:val="20"/>
                <w:szCs w:val="20"/>
              </w:rPr>
            </w:pPr>
            <w:r w:rsidRPr="000D414D">
              <w:rPr>
                <w:rFonts w:cs="Arial"/>
                <w:b/>
                <w:color w:val="auto"/>
                <w:sz w:val="20"/>
                <w:szCs w:val="20"/>
              </w:rPr>
              <w:t>(185.</w:t>
            </w:r>
            <w:r w:rsidR="000D414D" w:rsidRPr="000D414D">
              <w:rPr>
                <w:rFonts w:cs="Arial"/>
                <w:b/>
                <w:color w:val="auto"/>
                <w:sz w:val="20"/>
                <w:szCs w:val="20"/>
              </w:rPr>
              <w:t>5</w:t>
            </w:r>
            <w:r w:rsidRPr="000D414D">
              <w:rPr>
                <w:rFonts w:cs="Arial"/>
                <w:b/>
                <w:color w:val="auto"/>
                <w:sz w:val="20"/>
                <w:szCs w:val="20"/>
              </w:rPr>
              <w:t>)</w:t>
            </w:r>
          </w:p>
        </w:tc>
        <w:tc>
          <w:tcPr>
            <w:tcW w:w="1276" w:type="dxa"/>
            <w:vAlign w:val="center"/>
          </w:tcPr>
          <w:p w:rsidR="009A73F1" w:rsidRPr="0089380A" w:rsidRDefault="00280292" w:rsidP="00DD4207">
            <w:pPr>
              <w:pStyle w:val="BodyText"/>
              <w:jc w:val="center"/>
              <w:cnfStyle w:val="000000000000"/>
              <w:rPr>
                <w:rFonts w:cs="Arial"/>
                <w:b/>
                <w:color w:val="auto"/>
                <w:sz w:val="20"/>
                <w:szCs w:val="20"/>
              </w:rPr>
            </w:pPr>
            <w:r w:rsidRPr="0089380A">
              <w:rPr>
                <w:rFonts w:cs="Arial"/>
                <w:b/>
                <w:color w:val="auto"/>
                <w:sz w:val="20"/>
                <w:szCs w:val="20"/>
              </w:rPr>
              <w:t>(12.9)</w:t>
            </w:r>
          </w:p>
        </w:tc>
        <w:tc>
          <w:tcPr>
            <w:cnfStyle w:val="000010000000"/>
            <w:tcW w:w="851" w:type="dxa"/>
            <w:tcBorders>
              <w:left w:val="none" w:sz="0" w:space="0" w:color="auto"/>
              <w:right w:val="none" w:sz="0" w:space="0" w:color="auto"/>
            </w:tcBorders>
            <w:vAlign w:val="center"/>
          </w:tcPr>
          <w:p w:rsidR="009A73F1" w:rsidRPr="000D414D" w:rsidRDefault="00280292" w:rsidP="0089380A">
            <w:pPr>
              <w:pStyle w:val="BodyText"/>
              <w:jc w:val="center"/>
              <w:rPr>
                <w:rFonts w:cs="Arial"/>
                <w:b/>
                <w:color w:val="auto"/>
                <w:sz w:val="20"/>
                <w:szCs w:val="20"/>
                <w:highlight w:val="yellow"/>
              </w:rPr>
            </w:pPr>
            <w:r w:rsidRPr="0089380A">
              <w:rPr>
                <w:rFonts w:cs="Arial"/>
                <w:b/>
                <w:color w:val="auto"/>
                <w:sz w:val="20"/>
                <w:szCs w:val="20"/>
              </w:rPr>
              <w:t>37.</w:t>
            </w:r>
            <w:r w:rsidR="0089380A" w:rsidRPr="0089380A">
              <w:rPr>
                <w:rFonts w:cs="Arial"/>
                <w:b/>
                <w:color w:val="auto"/>
                <w:sz w:val="20"/>
                <w:szCs w:val="20"/>
              </w:rPr>
              <w:t>6</w:t>
            </w:r>
          </w:p>
        </w:tc>
        <w:tc>
          <w:tcPr>
            <w:tcW w:w="992" w:type="dxa"/>
            <w:vAlign w:val="center"/>
          </w:tcPr>
          <w:p w:rsidR="009A73F1" w:rsidRPr="0089380A" w:rsidRDefault="00847BB9" w:rsidP="000D414D">
            <w:pPr>
              <w:pStyle w:val="BodyText"/>
              <w:jc w:val="center"/>
              <w:cnfStyle w:val="000000000000"/>
              <w:rPr>
                <w:rFonts w:cs="Arial"/>
                <w:b/>
                <w:color w:val="auto"/>
                <w:sz w:val="20"/>
                <w:szCs w:val="20"/>
              </w:rPr>
            </w:pPr>
            <w:r w:rsidRPr="0089380A">
              <w:rPr>
                <w:rFonts w:cs="Arial"/>
                <w:b/>
                <w:color w:val="auto"/>
                <w:sz w:val="20"/>
                <w:szCs w:val="20"/>
              </w:rPr>
              <w:t>(160.</w:t>
            </w:r>
            <w:r w:rsidR="000D414D" w:rsidRPr="0089380A">
              <w:rPr>
                <w:rFonts w:cs="Arial"/>
                <w:b/>
                <w:color w:val="auto"/>
                <w:sz w:val="20"/>
                <w:szCs w:val="20"/>
              </w:rPr>
              <w:t>8</w:t>
            </w:r>
            <w:r w:rsidRPr="0089380A">
              <w:rPr>
                <w:rFonts w:cs="Arial"/>
                <w:b/>
                <w:color w:val="auto"/>
                <w:sz w:val="20"/>
                <w:szCs w:val="20"/>
              </w:rPr>
              <w:t>)</w:t>
            </w:r>
          </w:p>
        </w:tc>
        <w:tc>
          <w:tcPr>
            <w:cnfStyle w:val="000010000000"/>
            <w:tcW w:w="850" w:type="dxa"/>
            <w:tcBorders>
              <w:left w:val="none" w:sz="0" w:space="0" w:color="auto"/>
              <w:right w:val="none" w:sz="0" w:space="0" w:color="auto"/>
            </w:tcBorders>
            <w:vAlign w:val="center"/>
          </w:tcPr>
          <w:p w:rsidR="009A73F1" w:rsidRPr="0089380A" w:rsidRDefault="00A52598" w:rsidP="000D414D">
            <w:pPr>
              <w:pStyle w:val="BodyText"/>
              <w:jc w:val="center"/>
              <w:rPr>
                <w:rFonts w:cs="Arial"/>
                <w:b/>
                <w:color w:val="auto"/>
                <w:sz w:val="20"/>
                <w:szCs w:val="20"/>
              </w:rPr>
            </w:pPr>
            <w:r w:rsidRPr="0089380A">
              <w:rPr>
                <w:rFonts w:cs="Arial"/>
                <w:b/>
                <w:color w:val="auto"/>
                <w:sz w:val="20"/>
                <w:szCs w:val="20"/>
              </w:rPr>
              <w:t>(</w:t>
            </w:r>
            <w:r w:rsidR="00D87F9F" w:rsidRPr="0089380A">
              <w:rPr>
                <w:rFonts w:cs="Arial"/>
                <w:b/>
                <w:color w:val="auto"/>
                <w:sz w:val="20"/>
                <w:szCs w:val="20"/>
              </w:rPr>
              <w:t>12</w:t>
            </w:r>
            <w:r w:rsidR="000D414D" w:rsidRPr="0089380A">
              <w:rPr>
                <w:rFonts w:cs="Arial"/>
                <w:b/>
                <w:color w:val="auto"/>
                <w:sz w:val="20"/>
                <w:szCs w:val="20"/>
              </w:rPr>
              <w:t>5</w:t>
            </w:r>
            <w:r w:rsidR="00D87F9F" w:rsidRPr="0089380A">
              <w:rPr>
                <w:rFonts w:cs="Arial"/>
                <w:b/>
                <w:color w:val="auto"/>
                <w:sz w:val="20"/>
                <w:szCs w:val="20"/>
              </w:rPr>
              <w:t>.</w:t>
            </w:r>
            <w:r w:rsidR="000D414D" w:rsidRPr="0089380A">
              <w:rPr>
                <w:rFonts w:cs="Arial"/>
                <w:b/>
                <w:color w:val="auto"/>
                <w:sz w:val="20"/>
                <w:szCs w:val="20"/>
              </w:rPr>
              <w:t>0</w:t>
            </w:r>
            <w:r w:rsidRPr="0089380A">
              <w:rPr>
                <w:rFonts w:cs="Arial"/>
                <w:b/>
                <w:color w:val="auto"/>
                <w:sz w:val="20"/>
                <w:szCs w:val="20"/>
              </w:rPr>
              <w:t>)</w:t>
            </w:r>
          </w:p>
        </w:tc>
        <w:tc>
          <w:tcPr>
            <w:cnfStyle w:val="000100000000"/>
            <w:tcW w:w="851" w:type="dxa"/>
            <w:tcBorders>
              <w:left w:val="none" w:sz="0" w:space="0" w:color="auto"/>
            </w:tcBorders>
            <w:vAlign w:val="center"/>
          </w:tcPr>
          <w:p w:rsidR="009A73F1" w:rsidRPr="0089380A" w:rsidRDefault="00A52598" w:rsidP="00D87F9F">
            <w:pPr>
              <w:pStyle w:val="BodyText"/>
              <w:jc w:val="center"/>
              <w:rPr>
                <w:rFonts w:cs="Arial"/>
                <w:color w:val="auto"/>
                <w:sz w:val="20"/>
                <w:szCs w:val="20"/>
              </w:rPr>
            </w:pPr>
            <w:r w:rsidRPr="0089380A">
              <w:rPr>
                <w:rFonts w:cs="Arial"/>
                <w:color w:val="auto"/>
                <w:sz w:val="20"/>
                <w:szCs w:val="20"/>
              </w:rPr>
              <w:t>(285.</w:t>
            </w:r>
            <w:r w:rsidR="00D87F9F" w:rsidRPr="0089380A">
              <w:rPr>
                <w:rFonts w:cs="Arial"/>
                <w:color w:val="auto"/>
                <w:sz w:val="20"/>
                <w:szCs w:val="20"/>
              </w:rPr>
              <w:t>8</w:t>
            </w:r>
            <w:r w:rsidRPr="0089380A">
              <w:rPr>
                <w:rFonts w:cs="Arial"/>
                <w:color w:val="auto"/>
                <w:sz w:val="20"/>
                <w:szCs w:val="20"/>
              </w:rPr>
              <w:t>)</w:t>
            </w:r>
          </w:p>
        </w:tc>
      </w:tr>
      <w:tr w:rsidR="009A73F1" w:rsidRPr="009A73F1" w:rsidTr="00AC27C2">
        <w:trPr>
          <w:cnfStyle w:val="000000100000"/>
          <w:trHeight w:hRule="exact" w:val="278"/>
        </w:trPr>
        <w:tc>
          <w:tcPr>
            <w:cnfStyle w:val="001000000000"/>
            <w:tcW w:w="851"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63.7</w:t>
            </w:r>
          </w:p>
        </w:tc>
        <w:tc>
          <w:tcPr>
            <w:cnfStyle w:val="000010000000"/>
            <w:tcW w:w="1417"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(1.6)</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0</w:t>
            </w:r>
          </w:p>
        </w:tc>
        <w:tc>
          <w:tcPr>
            <w:cnfStyle w:val="000010000000"/>
            <w:tcW w:w="850"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62.1</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0</w:t>
            </w:r>
          </w:p>
        </w:tc>
        <w:tc>
          <w:tcPr>
            <w:cnfStyle w:val="000010000000"/>
            <w:tcW w:w="992"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62.1</w:t>
            </w:r>
          </w:p>
        </w:tc>
        <w:tc>
          <w:tcPr>
            <w:tcW w:w="4063" w:type="dxa"/>
            <w:vAlign w:val="center"/>
          </w:tcPr>
          <w:p w:rsidR="009A73F1" w:rsidRPr="009A73F1" w:rsidRDefault="009A73F1" w:rsidP="00DD4207">
            <w:pPr>
              <w:pStyle w:val="BodyText"/>
              <w:cnfStyle w:val="000000100000"/>
              <w:rPr>
                <w:rFonts w:cs="Arial"/>
                <w:color w:val="auto"/>
                <w:sz w:val="20"/>
                <w:szCs w:val="20"/>
              </w:rPr>
            </w:pPr>
            <w:r w:rsidRPr="009A73F1">
              <w:rPr>
                <w:rFonts w:cs="Arial"/>
                <w:color w:val="auto"/>
                <w:sz w:val="20"/>
                <w:szCs w:val="20"/>
              </w:rPr>
              <w:t>Employee expenses</w:t>
            </w:r>
          </w:p>
        </w:tc>
        <w:tc>
          <w:tcPr>
            <w:cnfStyle w:val="000010000000"/>
            <w:tcW w:w="898" w:type="dxa"/>
            <w:vAlign w:val="center"/>
          </w:tcPr>
          <w:p w:rsidR="009A73F1" w:rsidRPr="000D414D" w:rsidRDefault="00847BB9" w:rsidP="00DD4207">
            <w:pPr>
              <w:pStyle w:val="BodyText"/>
              <w:jc w:val="center"/>
              <w:rPr>
                <w:rFonts w:cs="Arial"/>
                <w:color w:val="auto"/>
                <w:sz w:val="20"/>
                <w:szCs w:val="20"/>
              </w:rPr>
            </w:pPr>
            <w:r w:rsidRPr="000D414D">
              <w:rPr>
                <w:rFonts w:cs="Arial"/>
                <w:color w:val="auto"/>
                <w:sz w:val="20"/>
                <w:szCs w:val="20"/>
              </w:rPr>
              <w:t>60.8</w:t>
            </w:r>
          </w:p>
        </w:tc>
        <w:tc>
          <w:tcPr>
            <w:tcW w:w="1276" w:type="dxa"/>
            <w:vAlign w:val="center"/>
          </w:tcPr>
          <w:p w:rsidR="009A73F1" w:rsidRPr="0089380A" w:rsidRDefault="00280292" w:rsidP="00DD4207">
            <w:pPr>
              <w:pStyle w:val="BodyText"/>
              <w:jc w:val="center"/>
              <w:cnfStyle w:val="000000100000"/>
              <w:rPr>
                <w:rFonts w:cs="Arial"/>
                <w:color w:val="auto"/>
                <w:sz w:val="20"/>
                <w:szCs w:val="20"/>
              </w:rPr>
            </w:pPr>
            <w:r w:rsidRPr="0089380A">
              <w:rPr>
                <w:rFonts w:cs="Arial"/>
                <w:color w:val="auto"/>
                <w:sz w:val="20"/>
                <w:szCs w:val="20"/>
              </w:rPr>
              <w:t>8.1</w:t>
            </w:r>
          </w:p>
        </w:tc>
        <w:tc>
          <w:tcPr>
            <w:cnfStyle w:val="000010000000"/>
            <w:tcW w:w="851" w:type="dxa"/>
            <w:vAlign w:val="center"/>
          </w:tcPr>
          <w:p w:rsidR="009A73F1" w:rsidRPr="0089380A" w:rsidRDefault="00280292" w:rsidP="00DD4207">
            <w:pPr>
              <w:pStyle w:val="BodyText"/>
              <w:jc w:val="center"/>
              <w:rPr>
                <w:rFonts w:cs="Arial"/>
                <w:color w:val="auto"/>
                <w:sz w:val="20"/>
                <w:szCs w:val="20"/>
              </w:rPr>
            </w:pPr>
            <w:r w:rsidRPr="0089380A">
              <w:rPr>
                <w:rFonts w:cs="Arial"/>
                <w:color w:val="auto"/>
                <w:sz w:val="20"/>
                <w:szCs w:val="20"/>
              </w:rPr>
              <w:t>(6.9)</w:t>
            </w:r>
          </w:p>
        </w:tc>
        <w:tc>
          <w:tcPr>
            <w:tcW w:w="992" w:type="dxa"/>
            <w:vAlign w:val="center"/>
          </w:tcPr>
          <w:p w:rsidR="009A73F1" w:rsidRPr="0089380A" w:rsidRDefault="00A52598" w:rsidP="00DD4207">
            <w:pPr>
              <w:pStyle w:val="BodyText"/>
              <w:jc w:val="center"/>
              <w:cnfStyle w:val="000000100000"/>
              <w:rPr>
                <w:rFonts w:cs="Arial"/>
                <w:b/>
                <w:color w:val="auto"/>
                <w:sz w:val="20"/>
                <w:szCs w:val="20"/>
              </w:rPr>
            </w:pPr>
            <w:r w:rsidRPr="0089380A">
              <w:rPr>
                <w:rFonts w:cs="Arial"/>
                <w:b/>
                <w:color w:val="auto"/>
                <w:sz w:val="20"/>
                <w:szCs w:val="20"/>
              </w:rPr>
              <w:t>62.0</w:t>
            </w:r>
          </w:p>
        </w:tc>
        <w:tc>
          <w:tcPr>
            <w:cnfStyle w:val="000010000000"/>
            <w:tcW w:w="850" w:type="dxa"/>
            <w:vAlign w:val="center"/>
          </w:tcPr>
          <w:p w:rsidR="009A73F1" w:rsidRPr="0089380A" w:rsidRDefault="00A52598" w:rsidP="00DD4207">
            <w:pPr>
              <w:pStyle w:val="BodyText"/>
              <w:jc w:val="center"/>
              <w:rPr>
                <w:rFonts w:cs="Arial"/>
                <w:color w:val="auto"/>
                <w:sz w:val="20"/>
                <w:szCs w:val="20"/>
              </w:rPr>
            </w:pPr>
            <w:r w:rsidRPr="0089380A">
              <w:rPr>
                <w:rFonts w:cs="Arial"/>
                <w:color w:val="auto"/>
                <w:sz w:val="20"/>
                <w:szCs w:val="20"/>
              </w:rPr>
              <w:t>0</w:t>
            </w:r>
          </w:p>
        </w:tc>
        <w:tc>
          <w:tcPr>
            <w:cnfStyle w:val="000100000000"/>
            <w:tcW w:w="851" w:type="dxa"/>
            <w:vAlign w:val="center"/>
          </w:tcPr>
          <w:p w:rsidR="009A73F1" w:rsidRPr="0089380A" w:rsidRDefault="00A52598" w:rsidP="00DD4207">
            <w:pPr>
              <w:pStyle w:val="BodyText"/>
              <w:jc w:val="center"/>
              <w:rPr>
                <w:rFonts w:cs="Arial"/>
                <w:b w:val="0"/>
                <w:color w:val="auto"/>
                <w:sz w:val="20"/>
                <w:szCs w:val="20"/>
              </w:rPr>
            </w:pPr>
            <w:r w:rsidRPr="0089380A">
              <w:rPr>
                <w:rFonts w:cs="Arial"/>
                <w:b w:val="0"/>
                <w:color w:val="auto"/>
                <w:sz w:val="20"/>
                <w:szCs w:val="20"/>
              </w:rPr>
              <w:t>62.0</w:t>
            </w:r>
          </w:p>
        </w:tc>
      </w:tr>
      <w:tr w:rsidR="009A73F1" w:rsidRPr="009A73F1" w:rsidTr="00AC27C2">
        <w:trPr>
          <w:trHeight w:hRule="exact" w:val="323"/>
        </w:trPr>
        <w:tc>
          <w:tcPr>
            <w:cnfStyle w:val="001000000000"/>
            <w:tcW w:w="851" w:type="dxa"/>
            <w:tcBorders>
              <w:right w:val="none" w:sz="0" w:space="0" w:color="auto"/>
            </w:tcBorders>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231.7</w:t>
            </w:r>
          </w:p>
        </w:tc>
        <w:tc>
          <w:tcPr>
            <w:cnfStyle w:val="000010000000"/>
            <w:tcW w:w="1417"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6.7</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(21.3)</w:t>
            </w:r>
          </w:p>
        </w:tc>
        <w:tc>
          <w:tcPr>
            <w:cnfStyle w:val="000010000000"/>
            <w:tcW w:w="850"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217.1</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0.3</w:t>
            </w:r>
          </w:p>
        </w:tc>
        <w:tc>
          <w:tcPr>
            <w:cnfStyle w:val="000010000000"/>
            <w:tcW w:w="992"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217.4</w:t>
            </w:r>
          </w:p>
        </w:tc>
        <w:tc>
          <w:tcPr>
            <w:tcW w:w="4063" w:type="dxa"/>
            <w:vAlign w:val="center"/>
          </w:tcPr>
          <w:p w:rsidR="009A73F1" w:rsidRPr="009A73F1" w:rsidRDefault="009A73F1" w:rsidP="00DD4207">
            <w:pPr>
              <w:pStyle w:val="BodyText"/>
              <w:cnfStyle w:val="000000000000"/>
              <w:rPr>
                <w:rFonts w:cs="Arial"/>
                <w:color w:val="auto"/>
                <w:sz w:val="20"/>
                <w:szCs w:val="20"/>
              </w:rPr>
            </w:pPr>
            <w:r w:rsidRPr="009A73F1">
              <w:rPr>
                <w:rFonts w:cs="Arial"/>
                <w:color w:val="auto"/>
                <w:sz w:val="20"/>
                <w:szCs w:val="20"/>
              </w:rPr>
              <w:t>Other service expenses</w:t>
            </w:r>
          </w:p>
        </w:tc>
        <w:tc>
          <w:tcPr>
            <w:cnfStyle w:val="000010000000"/>
            <w:tcW w:w="898" w:type="dxa"/>
            <w:tcBorders>
              <w:left w:val="none" w:sz="0" w:space="0" w:color="auto"/>
              <w:right w:val="none" w:sz="0" w:space="0" w:color="auto"/>
            </w:tcBorders>
            <w:vAlign w:val="center"/>
          </w:tcPr>
          <w:p w:rsidR="009A73F1" w:rsidRPr="000D414D" w:rsidRDefault="00847BB9" w:rsidP="000D414D">
            <w:pPr>
              <w:pStyle w:val="BodyText"/>
              <w:jc w:val="center"/>
              <w:rPr>
                <w:rFonts w:cs="Arial"/>
                <w:color w:val="auto"/>
                <w:sz w:val="20"/>
                <w:szCs w:val="20"/>
              </w:rPr>
            </w:pPr>
            <w:r w:rsidRPr="000D414D">
              <w:rPr>
                <w:rFonts w:cs="Arial"/>
                <w:color w:val="auto"/>
                <w:sz w:val="20"/>
                <w:szCs w:val="20"/>
              </w:rPr>
              <w:t>235.</w:t>
            </w:r>
            <w:r w:rsidR="000D414D" w:rsidRPr="000D414D">
              <w:rPr>
                <w:rFonts w:cs="Arial"/>
                <w:color w:val="auto"/>
                <w:sz w:val="20"/>
                <w:szCs w:val="20"/>
              </w:rPr>
              <w:t>7</w:t>
            </w:r>
          </w:p>
        </w:tc>
        <w:tc>
          <w:tcPr>
            <w:tcW w:w="1276" w:type="dxa"/>
            <w:vAlign w:val="center"/>
          </w:tcPr>
          <w:p w:rsidR="009A73F1" w:rsidRPr="0089380A" w:rsidRDefault="00280292" w:rsidP="00DD4207">
            <w:pPr>
              <w:pStyle w:val="BodyText"/>
              <w:jc w:val="center"/>
              <w:cnfStyle w:val="000000000000"/>
              <w:rPr>
                <w:rFonts w:cs="Arial"/>
                <w:color w:val="auto"/>
                <w:sz w:val="20"/>
                <w:szCs w:val="20"/>
              </w:rPr>
            </w:pPr>
            <w:r w:rsidRPr="0089380A">
              <w:rPr>
                <w:rFonts w:cs="Arial"/>
                <w:color w:val="auto"/>
                <w:sz w:val="20"/>
                <w:szCs w:val="20"/>
              </w:rPr>
              <w:t>2.7</w:t>
            </w:r>
          </w:p>
        </w:tc>
        <w:tc>
          <w:tcPr>
            <w:cnfStyle w:val="000010000000"/>
            <w:tcW w:w="851" w:type="dxa"/>
            <w:tcBorders>
              <w:left w:val="none" w:sz="0" w:space="0" w:color="auto"/>
              <w:right w:val="none" w:sz="0" w:space="0" w:color="auto"/>
            </w:tcBorders>
            <w:vAlign w:val="center"/>
          </w:tcPr>
          <w:p w:rsidR="009A73F1" w:rsidRPr="0089380A" w:rsidRDefault="00280292" w:rsidP="0089380A">
            <w:pPr>
              <w:pStyle w:val="BodyText"/>
              <w:jc w:val="center"/>
              <w:rPr>
                <w:rFonts w:cs="Arial"/>
                <w:color w:val="auto"/>
                <w:sz w:val="20"/>
                <w:szCs w:val="20"/>
              </w:rPr>
            </w:pPr>
            <w:r w:rsidRPr="0089380A">
              <w:rPr>
                <w:rFonts w:cs="Arial"/>
                <w:color w:val="auto"/>
                <w:sz w:val="20"/>
                <w:szCs w:val="20"/>
              </w:rPr>
              <w:t>(33.</w:t>
            </w:r>
            <w:r w:rsidR="0089380A">
              <w:rPr>
                <w:rFonts w:cs="Arial"/>
                <w:color w:val="auto"/>
                <w:sz w:val="20"/>
                <w:szCs w:val="20"/>
              </w:rPr>
              <w:t>7</w:t>
            </w:r>
            <w:r w:rsidRPr="0089380A">
              <w:rPr>
                <w:rFonts w:cs="Arial"/>
                <w:color w:val="auto"/>
                <w:sz w:val="20"/>
                <w:szCs w:val="20"/>
              </w:rPr>
              <w:t>)</w:t>
            </w:r>
          </w:p>
        </w:tc>
        <w:tc>
          <w:tcPr>
            <w:tcW w:w="992" w:type="dxa"/>
            <w:vAlign w:val="center"/>
          </w:tcPr>
          <w:p w:rsidR="009A73F1" w:rsidRPr="0089380A" w:rsidRDefault="00847BB9" w:rsidP="0089380A">
            <w:pPr>
              <w:pStyle w:val="BodyText"/>
              <w:jc w:val="center"/>
              <w:cnfStyle w:val="000000000000"/>
              <w:rPr>
                <w:rFonts w:cs="Arial"/>
                <w:b/>
                <w:color w:val="auto"/>
                <w:sz w:val="20"/>
                <w:szCs w:val="20"/>
              </w:rPr>
            </w:pPr>
            <w:r w:rsidRPr="0089380A">
              <w:rPr>
                <w:rFonts w:cs="Arial"/>
                <w:b/>
                <w:color w:val="auto"/>
                <w:sz w:val="20"/>
                <w:szCs w:val="20"/>
              </w:rPr>
              <w:t>20</w:t>
            </w:r>
            <w:r w:rsidR="00A52598" w:rsidRPr="0089380A">
              <w:rPr>
                <w:rFonts w:cs="Arial"/>
                <w:b/>
                <w:color w:val="auto"/>
                <w:sz w:val="20"/>
                <w:szCs w:val="20"/>
              </w:rPr>
              <w:t>4</w:t>
            </w:r>
            <w:r w:rsidRPr="0089380A">
              <w:rPr>
                <w:rFonts w:cs="Arial"/>
                <w:b/>
                <w:color w:val="auto"/>
                <w:sz w:val="20"/>
                <w:szCs w:val="20"/>
              </w:rPr>
              <w:t>.</w:t>
            </w:r>
            <w:r w:rsidR="0089380A">
              <w:rPr>
                <w:rFonts w:cs="Arial"/>
                <w:b/>
                <w:color w:val="auto"/>
                <w:sz w:val="20"/>
                <w:szCs w:val="20"/>
              </w:rPr>
              <w:t>7</w:t>
            </w:r>
          </w:p>
        </w:tc>
        <w:tc>
          <w:tcPr>
            <w:cnfStyle w:val="000010000000"/>
            <w:tcW w:w="850" w:type="dxa"/>
            <w:tcBorders>
              <w:left w:val="none" w:sz="0" w:space="0" w:color="auto"/>
              <w:right w:val="none" w:sz="0" w:space="0" w:color="auto"/>
            </w:tcBorders>
            <w:vAlign w:val="center"/>
          </w:tcPr>
          <w:p w:rsidR="009A73F1" w:rsidRPr="0089380A" w:rsidRDefault="00A52598" w:rsidP="0089380A">
            <w:pPr>
              <w:pStyle w:val="BodyText"/>
              <w:jc w:val="center"/>
              <w:rPr>
                <w:rFonts w:cs="Arial"/>
                <w:color w:val="auto"/>
                <w:sz w:val="20"/>
                <w:szCs w:val="20"/>
              </w:rPr>
            </w:pPr>
            <w:r w:rsidRPr="0089380A">
              <w:rPr>
                <w:rFonts w:cs="Arial"/>
                <w:color w:val="auto"/>
                <w:sz w:val="20"/>
                <w:szCs w:val="20"/>
              </w:rPr>
              <w:t>1.</w:t>
            </w:r>
            <w:r w:rsidR="0089380A">
              <w:rPr>
                <w:rFonts w:cs="Arial"/>
                <w:color w:val="auto"/>
                <w:sz w:val="20"/>
                <w:szCs w:val="20"/>
              </w:rPr>
              <w:t>4</w:t>
            </w:r>
          </w:p>
        </w:tc>
        <w:tc>
          <w:tcPr>
            <w:cnfStyle w:val="000100000000"/>
            <w:tcW w:w="851" w:type="dxa"/>
            <w:tcBorders>
              <w:left w:val="none" w:sz="0" w:space="0" w:color="auto"/>
            </w:tcBorders>
            <w:vAlign w:val="center"/>
          </w:tcPr>
          <w:p w:rsidR="009A73F1" w:rsidRPr="0089380A" w:rsidRDefault="00A52598" w:rsidP="00206738">
            <w:pPr>
              <w:pStyle w:val="BodyText"/>
              <w:jc w:val="center"/>
              <w:rPr>
                <w:rFonts w:cs="Arial"/>
                <w:b w:val="0"/>
                <w:color w:val="auto"/>
                <w:sz w:val="20"/>
                <w:szCs w:val="20"/>
              </w:rPr>
            </w:pPr>
            <w:r w:rsidRPr="0089380A">
              <w:rPr>
                <w:rFonts w:cs="Arial"/>
                <w:b w:val="0"/>
                <w:color w:val="auto"/>
                <w:sz w:val="20"/>
                <w:szCs w:val="20"/>
              </w:rPr>
              <w:t>206.1</w:t>
            </w:r>
          </w:p>
        </w:tc>
      </w:tr>
      <w:tr w:rsidR="009A73F1" w:rsidRPr="009A73F1" w:rsidTr="00AC27C2">
        <w:trPr>
          <w:cnfStyle w:val="000000100000"/>
          <w:trHeight w:hRule="exact" w:val="363"/>
        </w:trPr>
        <w:tc>
          <w:tcPr>
            <w:cnfStyle w:val="001000000000"/>
            <w:tcW w:w="851"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0</w:t>
            </w:r>
          </w:p>
        </w:tc>
        <w:tc>
          <w:tcPr>
            <w:cnfStyle w:val="000010000000"/>
            <w:tcW w:w="1417"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11.8</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0</w:t>
            </w:r>
          </w:p>
        </w:tc>
        <w:tc>
          <w:tcPr>
            <w:cnfStyle w:val="000010000000"/>
            <w:tcW w:w="850"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11.8</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0</w:t>
            </w:r>
          </w:p>
        </w:tc>
        <w:tc>
          <w:tcPr>
            <w:cnfStyle w:val="000010000000"/>
            <w:tcW w:w="992"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11.8</w:t>
            </w:r>
          </w:p>
        </w:tc>
        <w:tc>
          <w:tcPr>
            <w:tcW w:w="4063" w:type="dxa"/>
            <w:vAlign w:val="center"/>
          </w:tcPr>
          <w:p w:rsidR="009A73F1" w:rsidRPr="009A73F1" w:rsidRDefault="009A73F1" w:rsidP="00DD4207">
            <w:pPr>
              <w:pStyle w:val="BodyText"/>
              <w:cnfStyle w:val="000000100000"/>
              <w:rPr>
                <w:rFonts w:cs="Arial"/>
                <w:color w:val="auto"/>
                <w:sz w:val="20"/>
                <w:szCs w:val="20"/>
              </w:rPr>
            </w:pPr>
            <w:r w:rsidRPr="009A73F1">
              <w:rPr>
                <w:rFonts w:cs="Arial"/>
                <w:color w:val="auto"/>
                <w:sz w:val="20"/>
                <w:szCs w:val="20"/>
              </w:rPr>
              <w:t>Depreciation, amortisation and impairment</w:t>
            </w:r>
          </w:p>
        </w:tc>
        <w:tc>
          <w:tcPr>
            <w:cnfStyle w:val="000010000000"/>
            <w:tcW w:w="898" w:type="dxa"/>
            <w:vAlign w:val="center"/>
          </w:tcPr>
          <w:p w:rsidR="009A73F1" w:rsidRPr="000D414D" w:rsidRDefault="00847BB9" w:rsidP="00DD4207">
            <w:pPr>
              <w:pStyle w:val="BodyText"/>
              <w:jc w:val="center"/>
              <w:rPr>
                <w:rFonts w:cs="Arial"/>
                <w:color w:val="auto"/>
                <w:sz w:val="20"/>
                <w:szCs w:val="20"/>
              </w:rPr>
            </w:pPr>
            <w:r w:rsidRPr="000D414D">
              <w:rPr>
                <w:rFonts w:cs="Arial"/>
                <w:color w:val="auto"/>
                <w:sz w:val="20"/>
                <w:szCs w:val="20"/>
              </w:rPr>
              <w:t>0</w:t>
            </w:r>
          </w:p>
          <w:p w:rsidR="00847BB9" w:rsidRPr="000D414D" w:rsidRDefault="00847BB9" w:rsidP="00DD4207">
            <w:pPr>
              <w:pStyle w:val="BodyText"/>
              <w:jc w:val="center"/>
              <w:rPr>
                <w:rFonts w:cs="Arial"/>
                <w:color w:val="auto"/>
                <w:sz w:val="20"/>
                <w:szCs w:val="20"/>
              </w:rPr>
            </w:pPr>
          </w:p>
        </w:tc>
        <w:tc>
          <w:tcPr>
            <w:tcW w:w="1276" w:type="dxa"/>
            <w:vAlign w:val="center"/>
          </w:tcPr>
          <w:p w:rsidR="009A73F1" w:rsidRPr="000D414D" w:rsidRDefault="00280292" w:rsidP="00DD4207">
            <w:pPr>
              <w:pStyle w:val="BodyText"/>
              <w:jc w:val="center"/>
              <w:cnfStyle w:val="000000100000"/>
              <w:rPr>
                <w:rFonts w:cs="Arial"/>
                <w:color w:val="auto"/>
                <w:sz w:val="20"/>
                <w:szCs w:val="20"/>
              </w:rPr>
            </w:pPr>
            <w:r w:rsidRPr="000D414D">
              <w:rPr>
                <w:rFonts w:cs="Arial"/>
                <w:color w:val="auto"/>
                <w:sz w:val="20"/>
                <w:szCs w:val="20"/>
              </w:rPr>
              <w:t>16.6</w:t>
            </w:r>
          </w:p>
        </w:tc>
        <w:tc>
          <w:tcPr>
            <w:cnfStyle w:val="000010000000"/>
            <w:tcW w:w="851" w:type="dxa"/>
            <w:vAlign w:val="center"/>
          </w:tcPr>
          <w:p w:rsidR="009A73F1" w:rsidRPr="000D414D" w:rsidRDefault="00E315F7" w:rsidP="00E315F7">
            <w:pPr>
              <w:pStyle w:val="BodyText"/>
              <w:jc w:val="center"/>
              <w:rPr>
                <w:rFonts w:cs="Arial"/>
                <w:color w:val="auto"/>
                <w:sz w:val="20"/>
                <w:szCs w:val="20"/>
              </w:rPr>
            </w:pPr>
            <w:r w:rsidRPr="000D414D">
              <w:rPr>
                <w:rFonts w:cs="Arial"/>
                <w:color w:val="auto"/>
                <w:sz w:val="20"/>
                <w:szCs w:val="20"/>
              </w:rPr>
              <w:t>0</w:t>
            </w:r>
          </w:p>
        </w:tc>
        <w:tc>
          <w:tcPr>
            <w:tcW w:w="992" w:type="dxa"/>
            <w:vAlign w:val="center"/>
          </w:tcPr>
          <w:p w:rsidR="009A73F1" w:rsidRPr="000D414D" w:rsidRDefault="00847BB9" w:rsidP="00DD4207">
            <w:pPr>
              <w:pStyle w:val="BodyText"/>
              <w:jc w:val="center"/>
              <w:cnfStyle w:val="000000100000"/>
              <w:rPr>
                <w:rFonts w:cs="Arial"/>
                <w:b/>
                <w:color w:val="auto"/>
                <w:sz w:val="20"/>
                <w:szCs w:val="20"/>
              </w:rPr>
            </w:pPr>
            <w:r w:rsidRPr="000D414D">
              <w:rPr>
                <w:rFonts w:cs="Arial"/>
                <w:b/>
                <w:color w:val="auto"/>
                <w:sz w:val="20"/>
                <w:szCs w:val="20"/>
              </w:rPr>
              <w:t>16.6</w:t>
            </w:r>
          </w:p>
        </w:tc>
        <w:tc>
          <w:tcPr>
            <w:cnfStyle w:val="000010000000"/>
            <w:tcW w:w="850" w:type="dxa"/>
            <w:vAlign w:val="center"/>
          </w:tcPr>
          <w:p w:rsidR="009A73F1" w:rsidRPr="000D414D" w:rsidRDefault="00A52598" w:rsidP="00DD4207">
            <w:pPr>
              <w:pStyle w:val="BodyText"/>
              <w:jc w:val="center"/>
              <w:rPr>
                <w:rFonts w:cs="Arial"/>
                <w:color w:val="auto"/>
                <w:sz w:val="20"/>
                <w:szCs w:val="20"/>
              </w:rPr>
            </w:pPr>
            <w:r w:rsidRPr="000D414D">
              <w:rPr>
                <w:rFonts w:cs="Arial"/>
                <w:color w:val="auto"/>
                <w:sz w:val="20"/>
                <w:szCs w:val="20"/>
              </w:rPr>
              <w:t>0</w:t>
            </w:r>
          </w:p>
        </w:tc>
        <w:tc>
          <w:tcPr>
            <w:cnfStyle w:val="000100000000"/>
            <w:tcW w:w="851" w:type="dxa"/>
            <w:vAlign w:val="center"/>
          </w:tcPr>
          <w:p w:rsidR="009A73F1" w:rsidRPr="000D414D" w:rsidRDefault="00A52598" w:rsidP="00DD4207">
            <w:pPr>
              <w:pStyle w:val="BodyText"/>
              <w:jc w:val="center"/>
              <w:rPr>
                <w:rFonts w:cs="Arial"/>
                <w:b w:val="0"/>
                <w:color w:val="auto"/>
                <w:sz w:val="20"/>
                <w:szCs w:val="20"/>
              </w:rPr>
            </w:pPr>
            <w:r w:rsidRPr="000D414D">
              <w:rPr>
                <w:rFonts w:cs="Arial"/>
                <w:b w:val="0"/>
                <w:color w:val="auto"/>
                <w:sz w:val="20"/>
                <w:szCs w:val="20"/>
              </w:rPr>
              <w:t>16.6</w:t>
            </w:r>
          </w:p>
        </w:tc>
      </w:tr>
      <w:tr w:rsidR="009A73F1" w:rsidRPr="009A73F1" w:rsidTr="00AC27C2">
        <w:trPr>
          <w:trHeight w:hRule="exact" w:val="297"/>
        </w:trPr>
        <w:tc>
          <w:tcPr>
            <w:cnfStyle w:val="001000000000"/>
            <w:tcW w:w="851" w:type="dxa"/>
            <w:tcBorders>
              <w:right w:val="none" w:sz="0" w:space="0" w:color="auto"/>
            </w:tcBorders>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0</w:t>
            </w:r>
          </w:p>
        </w:tc>
        <w:tc>
          <w:tcPr>
            <w:cnfStyle w:val="000010000000"/>
            <w:tcW w:w="1417"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0</w:t>
            </w:r>
          </w:p>
        </w:tc>
        <w:tc>
          <w:tcPr>
            <w:cnfStyle w:val="000010000000"/>
            <w:tcW w:w="850"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11.7</w:t>
            </w:r>
          </w:p>
        </w:tc>
        <w:tc>
          <w:tcPr>
            <w:cnfStyle w:val="000010000000"/>
            <w:tcW w:w="992"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11.7</w:t>
            </w:r>
          </w:p>
        </w:tc>
        <w:tc>
          <w:tcPr>
            <w:tcW w:w="4063" w:type="dxa"/>
            <w:vAlign w:val="center"/>
          </w:tcPr>
          <w:p w:rsidR="009A73F1" w:rsidRPr="009A73F1" w:rsidRDefault="009A73F1" w:rsidP="00DD4207">
            <w:pPr>
              <w:pStyle w:val="BodyText"/>
              <w:cnfStyle w:val="000000000000"/>
              <w:rPr>
                <w:rFonts w:cs="Arial"/>
                <w:color w:val="auto"/>
                <w:sz w:val="20"/>
                <w:szCs w:val="20"/>
              </w:rPr>
            </w:pPr>
            <w:r w:rsidRPr="009A73F1">
              <w:rPr>
                <w:rFonts w:cs="Arial"/>
                <w:color w:val="auto"/>
                <w:sz w:val="20"/>
                <w:szCs w:val="20"/>
              </w:rPr>
              <w:t>Interest Payments</w:t>
            </w:r>
          </w:p>
        </w:tc>
        <w:tc>
          <w:tcPr>
            <w:cnfStyle w:val="000010000000"/>
            <w:tcW w:w="898" w:type="dxa"/>
            <w:tcBorders>
              <w:left w:val="none" w:sz="0" w:space="0" w:color="auto"/>
              <w:right w:val="none" w:sz="0" w:space="0" w:color="auto"/>
            </w:tcBorders>
            <w:vAlign w:val="center"/>
          </w:tcPr>
          <w:p w:rsidR="009A73F1" w:rsidRPr="000D414D" w:rsidRDefault="00847BB9" w:rsidP="00DD4207">
            <w:pPr>
              <w:pStyle w:val="BodyText"/>
              <w:jc w:val="center"/>
              <w:rPr>
                <w:rFonts w:cs="Arial"/>
                <w:color w:val="auto"/>
                <w:sz w:val="20"/>
                <w:szCs w:val="20"/>
              </w:rPr>
            </w:pPr>
            <w:r w:rsidRPr="000D414D">
              <w:rPr>
                <w:rFonts w:cs="Arial"/>
                <w:color w:val="auto"/>
                <w:sz w:val="20"/>
                <w:szCs w:val="20"/>
              </w:rPr>
              <w:t>0</w:t>
            </w:r>
          </w:p>
        </w:tc>
        <w:tc>
          <w:tcPr>
            <w:tcW w:w="1276" w:type="dxa"/>
            <w:vAlign w:val="center"/>
          </w:tcPr>
          <w:p w:rsidR="009A73F1" w:rsidRPr="000D414D" w:rsidRDefault="00280292" w:rsidP="00DD4207">
            <w:pPr>
              <w:pStyle w:val="BodyText"/>
              <w:jc w:val="center"/>
              <w:cnfStyle w:val="000000000000"/>
              <w:rPr>
                <w:rFonts w:cs="Arial"/>
                <w:color w:val="auto"/>
                <w:sz w:val="20"/>
                <w:szCs w:val="20"/>
              </w:rPr>
            </w:pPr>
            <w:r w:rsidRPr="000D414D">
              <w:rPr>
                <w:rFonts w:cs="Arial"/>
                <w:color w:val="auto"/>
                <w:sz w:val="20"/>
                <w:szCs w:val="20"/>
              </w:rPr>
              <w:t>0</w:t>
            </w:r>
          </w:p>
        </w:tc>
        <w:tc>
          <w:tcPr>
            <w:cnfStyle w:val="000010000000"/>
            <w:tcW w:w="851" w:type="dxa"/>
            <w:tcBorders>
              <w:left w:val="none" w:sz="0" w:space="0" w:color="auto"/>
              <w:right w:val="none" w:sz="0" w:space="0" w:color="auto"/>
            </w:tcBorders>
            <w:vAlign w:val="center"/>
          </w:tcPr>
          <w:p w:rsidR="009A73F1" w:rsidRPr="000D414D" w:rsidRDefault="00280292" w:rsidP="00DD4207">
            <w:pPr>
              <w:pStyle w:val="BodyText"/>
              <w:jc w:val="center"/>
              <w:rPr>
                <w:rFonts w:cs="Arial"/>
                <w:color w:val="auto"/>
                <w:sz w:val="20"/>
                <w:szCs w:val="20"/>
              </w:rPr>
            </w:pPr>
            <w:r w:rsidRPr="000D414D">
              <w:rPr>
                <w:rFonts w:cs="Arial"/>
                <w:color w:val="auto"/>
                <w:sz w:val="20"/>
                <w:szCs w:val="20"/>
              </w:rPr>
              <w:t>0</w:t>
            </w:r>
          </w:p>
        </w:tc>
        <w:tc>
          <w:tcPr>
            <w:tcW w:w="992" w:type="dxa"/>
            <w:vAlign w:val="center"/>
          </w:tcPr>
          <w:p w:rsidR="009A73F1" w:rsidRPr="000D414D" w:rsidRDefault="00847BB9" w:rsidP="00DD4207">
            <w:pPr>
              <w:pStyle w:val="BodyText"/>
              <w:jc w:val="center"/>
              <w:cnfStyle w:val="000000000000"/>
              <w:rPr>
                <w:rFonts w:cs="Arial"/>
                <w:b/>
                <w:color w:val="auto"/>
                <w:sz w:val="20"/>
                <w:szCs w:val="20"/>
              </w:rPr>
            </w:pPr>
            <w:r w:rsidRPr="000D414D">
              <w:rPr>
                <w:rFonts w:cs="Arial"/>
                <w:b/>
                <w:color w:val="auto"/>
                <w:sz w:val="20"/>
                <w:szCs w:val="20"/>
              </w:rPr>
              <w:t>0</w:t>
            </w:r>
          </w:p>
        </w:tc>
        <w:tc>
          <w:tcPr>
            <w:cnfStyle w:val="000010000000"/>
            <w:tcW w:w="850" w:type="dxa"/>
            <w:tcBorders>
              <w:left w:val="none" w:sz="0" w:space="0" w:color="auto"/>
              <w:right w:val="none" w:sz="0" w:space="0" w:color="auto"/>
            </w:tcBorders>
            <w:vAlign w:val="center"/>
          </w:tcPr>
          <w:p w:rsidR="009A73F1" w:rsidRPr="000D414D" w:rsidRDefault="00A52598" w:rsidP="0089380A">
            <w:pPr>
              <w:pStyle w:val="BodyText"/>
              <w:jc w:val="center"/>
              <w:rPr>
                <w:rFonts w:cs="Arial"/>
                <w:color w:val="auto"/>
                <w:sz w:val="20"/>
                <w:szCs w:val="20"/>
              </w:rPr>
            </w:pPr>
            <w:r w:rsidRPr="000D414D">
              <w:rPr>
                <w:rFonts w:cs="Arial"/>
                <w:color w:val="auto"/>
                <w:sz w:val="20"/>
                <w:szCs w:val="20"/>
              </w:rPr>
              <w:t>13.</w:t>
            </w:r>
            <w:r w:rsidR="0089380A">
              <w:rPr>
                <w:rFonts w:cs="Arial"/>
                <w:color w:val="auto"/>
                <w:sz w:val="20"/>
                <w:szCs w:val="20"/>
              </w:rPr>
              <w:t>1</w:t>
            </w:r>
          </w:p>
        </w:tc>
        <w:tc>
          <w:tcPr>
            <w:cnfStyle w:val="000100000000"/>
            <w:tcW w:w="851" w:type="dxa"/>
            <w:tcBorders>
              <w:left w:val="none" w:sz="0" w:space="0" w:color="auto"/>
            </w:tcBorders>
            <w:vAlign w:val="center"/>
          </w:tcPr>
          <w:p w:rsidR="009A73F1" w:rsidRPr="000D414D" w:rsidRDefault="00A52598" w:rsidP="0089380A">
            <w:pPr>
              <w:pStyle w:val="BodyText"/>
              <w:jc w:val="center"/>
              <w:rPr>
                <w:rFonts w:cs="Arial"/>
                <w:b w:val="0"/>
                <w:color w:val="auto"/>
                <w:sz w:val="20"/>
                <w:szCs w:val="20"/>
              </w:rPr>
            </w:pPr>
            <w:r w:rsidRPr="000D414D">
              <w:rPr>
                <w:rFonts w:cs="Arial"/>
                <w:b w:val="0"/>
                <w:color w:val="auto"/>
                <w:sz w:val="20"/>
                <w:szCs w:val="20"/>
              </w:rPr>
              <w:t>13.</w:t>
            </w:r>
            <w:r w:rsidR="0089380A">
              <w:rPr>
                <w:rFonts w:cs="Arial"/>
                <w:b w:val="0"/>
                <w:color w:val="auto"/>
                <w:sz w:val="20"/>
                <w:szCs w:val="20"/>
              </w:rPr>
              <w:t>1</w:t>
            </w:r>
          </w:p>
        </w:tc>
      </w:tr>
      <w:tr w:rsidR="009A73F1" w:rsidRPr="009A73F1" w:rsidTr="00AC27C2">
        <w:trPr>
          <w:cnfStyle w:val="000000100000"/>
          <w:trHeight w:hRule="exact" w:val="427"/>
        </w:trPr>
        <w:tc>
          <w:tcPr>
            <w:cnfStyle w:val="001000000000"/>
            <w:tcW w:w="851"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0</w:t>
            </w:r>
          </w:p>
        </w:tc>
        <w:tc>
          <w:tcPr>
            <w:cnfStyle w:val="000010000000"/>
            <w:tcW w:w="1417"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0</w:t>
            </w:r>
          </w:p>
        </w:tc>
        <w:tc>
          <w:tcPr>
            <w:cnfStyle w:val="000010000000"/>
            <w:tcW w:w="850"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0.2</w:t>
            </w:r>
          </w:p>
        </w:tc>
        <w:tc>
          <w:tcPr>
            <w:cnfStyle w:val="000010000000"/>
            <w:tcW w:w="992"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0.2</w:t>
            </w:r>
          </w:p>
        </w:tc>
        <w:tc>
          <w:tcPr>
            <w:tcW w:w="4063" w:type="dxa"/>
            <w:vAlign w:val="center"/>
          </w:tcPr>
          <w:p w:rsidR="009A73F1" w:rsidRPr="009A73F1" w:rsidRDefault="009A73F1" w:rsidP="00DD4207">
            <w:pPr>
              <w:pStyle w:val="BodyText"/>
              <w:cnfStyle w:val="000000100000"/>
              <w:rPr>
                <w:rFonts w:cs="Arial"/>
                <w:color w:val="auto"/>
                <w:sz w:val="20"/>
                <w:szCs w:val="20"/>
              </w:rPr>
            </w:pPr>
            <w:r w:rsidRPr="009A73F1">
              <w:rPr>
                <w:rFonts w:cs="Arial"/>
                <w:color w:val="auto"/>
                <w:sz w:val="20"/>
                <w:szCs w:val="20"/>
              </w:rPr>
              <w:t>Precepts &amp; Levies</w:t>
            </w:r>
          </w:p>
        </w:tc>
        <w:tc>
          <w:tcPr>
            <w:cnfStyle w:val="000010000000"/>
            <w:tcW w:w="898" w:type="dxa"/>
            <w:vAlign w:val="center"/>
          </w:tcPr>
          <w:p w:rsidR="009A73F1" w:rsidRPr="000D414D" w:rsidRDefault="00847BB9" w:rsidP="00DD4207">
            <w:pPr>
              <w:pStyle w:val="BodyText"/>
              <w:jc w:val="center"/>
              <w:rPr>
                <w:rFonts w:cs="Arial"/>
                <w:color w:val="auto"/>
                <w:sz w:val="20"/>
                <w:szCs w:val="20"/>
              </w:rPr>
            </w:pPr>
            <w:r w:rsidRPr="000D414D">
              <w:rPr>
                <w:rFonts w:cs="Arial"/>
                <w:color w:val="auto"/>
                <w:sz w:val="20"/>
                <w:szCs w:val="20"/>
              </w:rPr>
              <w:t>0</w:t>
            </w:r>
          </w:p>
        </w:tc>
        <w:tc>
          <w:tcPr>
            <w:tcW w:w="1276" w:type="dxa"/>
            <w:vAlign w:val="center"/>
          </w:tcPr>
          <w:p w:rsidR="009A73F1" w:rsidRPr="000D414D" w:rsidRDefault="00280292" w:rsidP="00DD4207">
            <w:pPr>
              <w:pStyle w:val="BodyText"/>
              <w:jc w:val="center"/>
              <w:cnfStyle w:val="000000100000"/>
              <w:rPr>
                <w:rFonts w:cs="Arial"/>
                <w:color w:val="auto"/>
                <w:sz w:val="20"/>
                <w:szCs w:val="20"/>
              </w:rPr>
            </w:pPr>
            <w:r w:rsidRPr="000D414D">
              <w:rPr>
                <w:rFonts w:cs="Arial"/>
                <w:color w:val="auto"/>
                <w:sz w:val="20"/>
                <w:szCs w:val="20"/>
              </w:rPr>
              <w:t>0</w:t>
            </w:r>
          </w:p>
        </w:tc>
        <w:tc>
          <w:tcPr>
            <w:cnfStyle w:val="000010000000"/>
            <w:tcW w:w="851" w:type="dxa"/>
            <w:vAlign w:val="center"/>
          </w:tcPr>
          <w:p w:rsidR="009A73F1" w:rsidRPr="000D414D" w:rsidRDefault="00280292" w:rsidP="00DD4207">
            <w:pPr>
              <w:pStyle w:val="BodyText"/>
              <w:jc w:val="center"/>
              <w:rPr>
                <w:rFonts w:cs="Arial"/>
                <w:color w:val="auto"/>
                <w:sz w:val="20"/>
                <w:szCs w:val="20"/>
              </w:rPr>
            </w:pPr>
            <w:r w:rsidRPr="000D414D">
              <w:rPr>
                <w:rFonts w:cs="Arial"/>
                <w:color w:val="auto"/>
                <w:sz w:val="20"/>
                <w:szCs w:val="20"/>
              </w:rPr>
              <w:t>0</w:t>
            </w:r>
          </w:p>
        </w:tc>
        <w:tc>
          <w:tcPr>
            <w:tcW w:w="992" w:type="dxa"/>
            <w:vAlign w:val="center"/>
          </w:tcPr>
          <w:p w:rsidR="009A73F1" w:rsidRPr="000D414D" w:rsidRDefault="00847BB9" w:rsidP="00DD4207">
            <w:pPr>
              <w:pStyle w:val="BodyText"/>
              <w:jc w:val="center"/>
              <w:cnfStyle w:val="000000100000"/>
              <w:rPr>
                <w:rFonts w:cs="Arial"/>
                <w:b/>
                <w:color w:val="auto"/>
                <w:sz w:val="20"/>
                <w:szCs w:val="20"/>
              </w:rPr>
            </w:pPr>
            <w:r w:rsidRPr="000D414D">
              <w:rPr>
                <w:rFonts w:cs="Arial"/>
                <w:b/>
                <w:color w:val="auto"/>
                <w:sz w:val="20"/>
                <w:szCs w:val="20"/>
              </w:rPr>
              <w:t>0</w:t>
            </w:r>
          </w:p>
        </w:tc>
        <w:tc>
          <w:tcPr>
            <w:cnfStyle w:val="000010000000"/>
            <w:tcW w:w="850" w:type="dxa"/>
            <w:vAlign w:val="center"/>
          </w:tcPr>
          <w:p w:rsidR="009A73F1" w:rsidRPr="000D414D" w:rsidRDefault="00A52598" w:rsidP="00DD4207">
            <w:pPr>
              <w:pStyle w:val="BodyText"/>
              <w:jc w:val="center"/>
              <w:rPr>
                <w:rFonts w:cs="Arial"/>
                <w:color w:val="auto"/>
                <w:sz w:val="20"/>
                <w:szCs w:val="20"/>
              </w:rPr>
            </w:pPr>
            <w:r w:rsidRPr="000D414D">
              <w:rPr>
                <w:rFonts w:cs="Arial"/>
                <w:color w:val="auto"/>
                <w:sz w:val="20"/>
                <w:szCs w:val="20"/>
              </w:rPr>
              <w:t>0.2</w:t>
            </w:r>
          </w:p>
        </w:tc>
        <w:tc>
          <w:tcPr>
            <w:cnfStyle w:val="000100000000"/>
            <w:tcW w:w="851" w:type="dxa"/>
            <w:vAlign w:val="center"/>
          </w:tcPr>
          <w:p w:rsidR="009A73F1" w:rsidRPr="000D414D" w:rsidRDefault="00A52598" w:rsidP="00DD4207">
            <w:pPr>
              <w:pStyle w:val="BodyText"/>
              <w:jc w:val="center"/>
              <w:rPr>
                <w:rFonts w:cs="Arial"/>
                <w:b w:val="0"/>
                <w:color w:val="auto"/>
                <w:sz w:val="20"/>
                <w:szCs w:val="20"/>
              </w:rPr>
            </w:pPr>
            <w:r w:rsidRPr="000D414D">
              <w:rPr>
                <w:rFonts w:cs="Arial"/>
                <w:b w:val="0"/>
                <w:color w:val="auto"/>
                <w:sz w:val="20"/>
                <w:szCs w:val="20"/>
              </w:rPr>
              <w:t>0.2</w:t>
            </w:r>
          </w:p>
        </w:tc>
      </w:tr>
      <w:tr w:rsidR="009A73F1" w:rsidRPr="009A73F1" w:rsidTr="00AC27C2">
        <w:trPr>
          <w:trHeight w:hRule="exact" w:val="575"/>
        </w:trPr>
        <w:tc>
          <w:tcPr>
            <w:cnfStyle w:val="001000000000"/>
            <w:tcW w:w="851" w:type="dxa"/>
            <w:tcBorders>
              <w:right w:val="none" w:sz="0" w:space="0" w:color="auto"/>
            </w:tcBorders>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0</w:t>
            </w:r>
          </w:p>
        </w:tc>
        <w:tc>
          <w:tcPr>
            <w:cnfStyle w:val="000010000000"/>
            <w:tcW w:w="1417"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0</w:t>
            </w:r>
          </w:p>
        </w:tc>
        <w:tc>
          <w:tcPr>
            <w:cnfStyle w:val="000010000000"/>
            <w:tcW w:w="850"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0</w:t>
            </w:r>
          </w:p>
        </w:tc>
        <w:tc>
          <w:tcPr>
            <w:tcW w:w="851" w:type="dxa"/>
            <w:vAlign w:val="center"/>
          </w:tcPr>
          <w:p w:rsidR="009A73F1" w:rsidRPr="009E778C" w:rsidRDefault="009A73F1" w:rsidP="009A73F1">
            <w:pPr>
              <w:pStyle w:val="BodyText"/>
              <w:jc w:val="center"/>
              <w:cnfStyle w:val="000000000000"/>
              <w:rPr>
                <w:rFonts w:cs="Arial"/>
                <w:color w:val="auto"/>
                <w:sz w:val="20"/>
                <w:szCs w:val="20"/>
              </w:rPr>
            </w:pPr>
            <w:r w:rsidRPr="009E778C">
              <w:rPr>
                <w:rFonts w:cs="Arial"/>
                <w:color w:val="auto"/>
                <w:sz w:val="20"/>
                <w:szCs w:val="20"/>
              </w:rPr>
              <w:t>11.3</w:t>
            </w:r>
          </w:p>
        </w:tc>
        <w:tc>
          <w:tcPr>
            <w:cnfStyle w:val="000010000000"/>
            <w:tcW w:w="992" w:type="dxa"/>
            <w:tcBorders>
              <w:left w:val="none" w:sz="0" w:space="0" w:color="auto"/>
              <w:right w:val="none" w:sz="0" w:space="0" w:color="auto"/>
            </w:tcBorders>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11.3</w:t>
            </w:r>
          </w:p>
        </w:tc>
        <w:tc>
          <w:tcPr>
            <w:tcW w:w="4063" w:type="dxa"/>
            <w:vAlign w:val="center"/>
          </w:tcPr>
          <w:p w:rsidR="009A73F1" w:rsidRPr="009A73F1" w:rsidRDefault="009A73F1" w:rsidP="00DD4207">
            <w:pPr>
              <w:pStyle w:val="BodyText"/>
              <w:cnfStyle w:val="000000000000"/>
              <w:rPr>
                <w:rFonts w:cs="Arial"/>
                <w:color w:val="auto"/>
                <w:sz w:val="20"/>
                <w:szCs w:val="20"/>
              </w:rPr>
            </w:pPr>
            <w:r w:rsidRPr="009A73F1">
              <w:rPr>
                <w:rFonts w:cs="Arial"/>
                <w:color w:val="auto"/>
                <w:sz w:val="20"/>
                <w:szCs w:val="20"/>
              </w:rPr>
              <w:t>Gain or Loss on Disposal of Non Current Assets</w:t>
            </w:r>
          </w:p>
        </w:tc>
        <w:tc>
          <w:tcPr>
            <w:cnfStyle w:val="000010000000"/>
            <w:tcW w:w="898" w:type="dxa"/>
            <w:tcBorders>
              <w:left w:val="none" w:sz="0" w:space="0" w:color="auto"/>
              <w:right w:val="none" w:sz="0" w:space="0" w:color="auto"/>
            </w:tcBorders>
            <w:vAlign w:val="center"/>
          </w:tcPr>
          <w:p w:rsidR="009A73F1" w:rsidRPr="000D414D" w:rsidRDefault="00847BB9" w:rsidP="00DD4207">
            <w:pPr>
              <w:pStyle w:val="BodyText"/>
              <w:jc w:val="center"/>
              <w:rPr>
                <w:rFonts w:cs="Arial"/>
                <w:color w:val="auto"/>
                <w:sz w:val="20"/>
                <w:szCs w:val="20"/>
              </w:rPr>
            </w:pPr>
            <w:r w:rsidRPr="000D414D">
              <w:rPr>
                <w:rFonts w:cs="Arial"/>
                <w:color w:val="auto"/>
                <w:sz w:val="20"/>
                <w:szCs w:val="20"/>
              </w:rPr>
              <w:t>0</w:t>
            </w:r>
          </w:p>
        </w:tc>
        <w:tc>
          <w:tcPr>
            <w:tcW w:w="1276" w:type="dxa"/>
            <w:vAlign w:val="center"/>
          </w:tcPr>
          <w:p w:rsidR="009A73F1" w:rsidRPr="0089380A" w:rsidRDefault="00280292" w:rsidP="00DD4207">
            <w:pPr>
              <w:pStyle w:val="BodyText"/>
              <w:jc w:val="center"/>
              <w:cnfStyle w:val="000000000000"/>
              <w:rPr>
                <w:rFonts w:cs="Arial"/>
                <w:color w:val="auto"/>
                <w:sz w:val="20"/>
                <w:szCs w:val="20"/>
              </w:rPr>
            </w:pPr>
            <w:r w:rsidRPr="0089380A">
              <w:rPr>
                <w:rFonts w:cs="Arial"/>
                <w:color w:val="auto"/>
                <w:sz w:val="20"/>
                <w:szCs w:val="20"/>
              </w:rPr>
              <w:t>0</w:t>
            </w:r>
          </w:p>
        </w:tc>
        <w:tc>
          <w:tcPr>
            <w:cnfStyle w:val="000010000000"/>
            <w:tcW w:w="851" w:type="dxa"/>
            <w:tcBorders>
              <w:left w:val="none" w:sz="0" w:space="0" w:color="auto"/>
              <w:right w:val="none" w:sz="0" w:space="0" w:color="auto"/>
            </w:tcBorders>
            <w:vAlign w:val="center"/>
          </w:tcPr>
          <w:p w:rsidR="009A73F1" w:rsidRPr="0089380A" w:rsidRDefault="00280292" w:rsidP="00DD4207">
            <w:pPr>
              <w:pStyle w:val="BodyText"/>
              <w:jc w:val="center"/>
              <w:rPr>
                <w:rFonts w:cs="Arial"/>
                <w:color w:val="auto"/>
                <w:sz w:val="20"/>
                <w:szCs w:val="20"/>
              </w:rPr>
            </w:pPr>
            <w:r w:rsidRPr="0089380A">
              <w:rPr>
                <w:rFonts w:cs="Arial"/>
                <w:color w:val="auto"/>
                <w:sz w:val="20"/>
                <w:szCs w:val="20"/>
              </w:rPr>
              <w:t>0</w:t>
            </w:r>
          </w:p>
        </w:tc>
        <w:tc>
          <w:tcPr>
            <w:tcW w:w="992" w:type="dxa"/>
            <w:vAlign w:val="center"/>
          </w:tcPr>
          <w:p w:rsidR="009A73F1" w:rsidRPr="0089380A" w:rsidRDefault="00847BB9" w:rsidP="00DD4207">
            <w:pPr>
              <w:pStyle w:val="BodyText"/>
              <w:jc w:val="center"/>
              <w:cnfStyle w:val="000000000000"/>
              <w:rPr>
                <w:rFonts w:cs="Arial"/>
                <w:b/>
                <w:color w:val="auto"/>
                <w:sz w:val="20"/>
                <w:szCs w:val="20"/>
              </w:rPr>
            </w:pPr>
            <w:r w:rsidRPr="0089380A">
              <w:rPr>
                <w:rFonts w:cs="Arial"/>
                <w:b/>
                <w:color w:val="auto"/>
                <w:sz w:val="20"/>
                <w:szCs w:val="20"/>
              </w:rPr>
              <w:t>0</w:t>
            </w:r>
          </w:p>
        </w:tc>
        <w:tc>
          <w:tcPr>
            <w:cnfStyle w:val="000010000000"/>
            <w:tcW w:w="850" w:type="dxa"/>
            <w:tcBorders>
              <w:left w:val="none" w:sz="0" w:space="0" w:color="auto"/>
              <w:right w:val="none" w:sz="0" w:space="0" w:color="auto"/>
            </w:tcBorders>
            <w:vAlign w:val="center"/>
          </w:tcPr>
          <w:p w:rsidR="009A73F1" w:rsidRPr="0089380A" w:rsidRDefault="00A52598" w:rsidP="00DD4207">
            <w:pPr>
              <w:pStyle w:val="BodyText"/>
              <w:jc w:val="center"/>
              <w:rPr>
                <w:rFonts w:cs="Arial"/>
                <w:color w:val="auto"/>
                <w:sz w:val="20"/>
                <w:szCs w:val="20"/>
              </w:rPr>
            </w:pPr>
            <w:r w:rsidRPr="0089380A">
              <w:rPr>
                <w:rFonts w:cs="Arial"/>
                <w:color w:val="auto"/>
                <w:sz w:val="20"/>
                <w:szCs w:val="20"/>
              </w:rPr>
              <w:t>14.2</w:t>
            </w:r>
          </w:p>
        </w:tc>
        <w:tc>
          <w:tcPr>
            <w:cnfStyle w:val="000100000000"/>
            <w:tcW w:w="851" w:type="dxa"/>
            <w:tcBorders>
              <w:left w:val="none" w:sz="0" w:space="0" w:color="auto"/>
            </w:tcBorders>
            <w:vAlign w:val="center"/>
          </w:tcPr>
          <w:p w:rsidR="009A73F1" w:rsidRPr="0089380A" w:rsidRDefault="00A52598" w:rsidP="00DD4207">
            <w:pPr>
              <w:pStyle w:val="BodyText"/>
              <w:jc w:val="center"/>
              <w:rPr>
                <w:rFonts w:cs="Arial"/>
                <w:b w:val="0"/>
                <w:color w:val="auto"/>
                <w:sz w:val="20"/>
                <w:szCs w:val="20"/>
              </w:rPr>
            </w:pPr>
            <w:r w:rsidRPr="0089380A">
              <w:rPr>
                <w:rFonts w:cs="Arial"/>
                <w:b w:val="0"/>
                <w:color w:val="auto"/>
                <w:sz w:val="20"/>
                <w:szCs w:val="20"/>
              </w:rPr>
              <w:t>14.2</w:t>
            </w:r>
          </w:p>
        </w:tc>
      </w:tr>
      <w:tr w:rsidR="009A73F1" w:rsidRPr="009A73F1" w:rsidTr="00AC27C2">
        <w:trPr>
          <w:cnfStyle w:val="000000100000"/>
          <w:trHeight w:hRule="exact" w:val="284"/>
        </w:trPr>
        <w:tc>
          <w:tcPr>
            <w:cnfStyle w:val="001000000000"/>
            <w:tcW w:w="851"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295.4</w:t>
            </w:r>
          </w:p>
        </w:tc>
        <w:tc>
          <w:tcPr>
            <w:cnfStyle w:val="000010000000"/>
            <w:tcW w:w="1417"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16.9</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(21.3)</w:t>
            </w:r>
          </w:p>
        </w:tc>
        <w:tc>
          <w:tcPr>
            <w:cnfStyle w:val="000010000000"/>
            <w:tcW w:w="850"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291.0</w:t>
            </w:r>
          </w:p>
        </w:tc>
        <w:tc>
          <w:tcPr>
            <w:tcW w:w="851" w:type="dxa"/>
            <w:vAlign w:val="center"/>
          </w:tcPr>
          <w:p w:rsidR="009A73F1" w:rsidRPr="009E778C" w:rsidRDefault="009A73F1" w:rsidP="009A73F1">
            <w:pPr>
              <w:pStyle w:val="BodyText"/>
              <w:jc w:val="center"/>
              <w:cnfStyle w:val="000000100000"/>
              <w:rPr>
                <w:rFonts w:cs="Arial"/>
                <w:color w:val="auto"/>
                <w:sz w:val="20"/>
                <w:szCs w:val="20"/>
              </w:rPr>
            </w:pPr>
            <w:r w:rsidRPr="009E778C">
              <w:rPr>
                <w:rFonts w:cs="Arial"/>
                <w:color w:val="auto"/>
                <w:sz w:val="20"/>
                <w:szCs w:val="20"/>
              </w:rPr>
              <w:t>23.5</w:t>
            </w:r>
          </w:p>
        </w:tc>
        <w:tc>
          <w:tcPr>
            <w:cnfStyle w:val="000010000000"/>
            <w:tcW w:w="992" w:type="dxa"/>
            <w:vAlign w:val="center"/>
          </w:tcPr>
          <w:p w:rsidR="009A73F1" w:rsidRPr="009E778C" w:rsidRDefault="009A73F1" w:rsidP="009A73F1">
            <w:pPr>
              <w:pStyle w:val="BodyText"/>
              <w:jc w:val="center"/>
              <w:rPr>
                <w:rFonts w:cs="Arial"/>
                <w:color w:val="auto"/>
                <w:sz w:val="20"/>
                <w:szCs w:val="20"/>
              </w:rPr>
            </w:pPr>
            <w:r w:rsidRPr="009E778C">
              <w:rPr>
                <w:rFonts w:cs="Arial"/>
                <w:color w:val="auto"/>
                <w:sz w:val="20"/>
                <w:szCs w:val="20"/>
              </w:rPr>
              <w:t>314.5</w:t>
            </w:r>
          </w:p>
        </w:tc>
        <w:tc>
          <w:tcPr>
            <w:tcW w:w="4063" w:type="dxa"/>
            <w:vAlign w:val="center"/>
          </w:tcPr>
          <w:p w:rsidR="009A73F1" w:rsidRPr="009A73F1" w:rsidRDefault="009A73F1" w:rsidP="00DD4207">
            <w:pPr>
              <w:pStyle w:val="BodyText"/>
              <w:cnfStyle w:val="000000100000"/>
              <w:rPr>
                <w:rFonts w:cs="Arial"/>
                <w:b/>
                <w:color w:val="auto"/>
                <w:sz w:val="20"/>
                <w:szCs w:val="20"/>
              </w:rPr>
            </w:pPr>
            <w:r w:rsidRPr="009A73F1">
              <w:rPr>
                <w:rFonts w:cs="Arial"/>
                <w:b/>
                <w:color w:val="auto"/>
                <w:sz w:val="20"/>
                <w:szCs w:val="20"/>
              </w:rPr>
              <w:t>Total expenditure</w:t>
            </w:r>
          </w:p>
        </w:tc>
        <w:tc>
          <w:tcPr>
            <w:cnfStyle w:val="000010000000"/>
            <w:tcW w:w="898" w:type="dxa"/>
            <w:vAlign w:val="center"/>
          </w:tcPr>
          <w:p w:rsidR="009A73F1" w:rsidRPr="000D414D" w:rsidRDefault="00847BB9" w:rsidP="000D414D">
            <w:pPr>
              <w:pStyle w:val="BodyText"/>
              <w:jc w:val="center"/>
              <w:rPr>
                <w:rFonts w:cs="Arial"/>
                <w:b/>
                <w:color w:val="auto"/>
                <w:sz w:val="20"/>
                <w:szCs w:val="20"/>
                <w:highlight w:val="yellow"/>
              </w:rPr>
            </w:pPr>
            <w:r w:rsidRPr="000D414D">
              <w:rPr>
                <w:rFonts w:cs="Arial"/>
                <w:b/>
                <w:color w:val="auto"/>
                <w:sz w:val="20"/>
                <w:szCs w:val="20"/>
              </w:rPr>
              <w:t>296.</w:t>
            </w:r>
            <w:r w:rsidR="000D414D" w:rsidRPr="000D414D">
              <w:rPr>
                <w:rFonts w:cs="Arial"/>
                <w:b/>
                <w:color w:val="auto"/>
                <w:sz w:val="20"/>
                <w:szCs w:val="20"/>
              </w:rPr>
              <w:t>5</w:t>
            </w:r>
          </w:p>
        </w:tc>
        <w:tc>
          <w:tcPr>
            <w:tcW w:w="1276" w:type="dxa"/>
            <w:vAlign w:val="center"/>
          </w:tcPr>
          <w:p w:rsidR="009A73F1" w:rsidRPr="0089380A" w:rsidRDefault="00280292" w:rsidP="00DD4207">
            <w:pPr>
              <w:pStyle w:val="BodyText"/>
              <w:jc w:val="center"/>
              <w:cnfStyle w:val="000000100000"/>
              <w:rPr>
                <w:rFonts w:cs="Arial"/>
                <w:b/>
                <w:color w:val="auto"/>
                <w:sz w:val="20"/>
                <w:szCs w:val="20"/>
              </w:rPr>
            </w:pPr>
            <w:r w:rsidRPr="0089380A">
              <w:rPr>
                <w:rFonts w:cs="Arial"/>
                <w:b/>
                <w:color w:val="auto"/>
                <w:sz w:val="20"/>
                <w:szCs w:val="20"/>
              </w:rPr>
              <w:t>27.4</w:t>
            </w:r>
          </w:p>
        </w:tc>
        <w:tc>
          <w:tcPr>
            <w:cnfStyle w:val="000010000000"/>
            <w:tcW w:w="851" w:type="dxa"/>
            <w:vAlign w:val="center"/>
          </w:tcPr>
          <w:p w:rsidR="009A73F1" w:rsidRPr="0089380A" w:rsidRDefault="00280292" w:rsidP="0089380A">
            <w:pPr>
              <w:pStyle w:val="BodyText"/>
              <w:jc w:val="center"/>
              <w:rPr>
                <w:rFonts w:cs="Arial"/>
                <w:b/>
                <w:color w:val="auto"/>
                <w:sz w:val="20"/>
                <w:szCs w:val="20"/>
              </w:rPr>
            </w:pPr>
            <w:r w:rsidRPr="0089380A">
              <w:rPr>
                <w:rFonts w:cs="Arial"/>
                <w:b/>
                <w:color w:val="auto"/>
                <w:sz w:val="20"/>
                <w:szCs w:val="20"/>
              </w:rPr>
              <w:t>(40.</w:t>
            </w:r>
            <w:r w:rsidR="0089380A" w:rsidRPr="0089380A">
              <w:rPr>
                <w:rFonts w:cs="Arial"/>
                <w:b/>
                <w:color w:val="auto"/>
                <w:sz w:val="20"/>
                <w:szCs w:val="20"/>
              </w:rPr>
              <w:t>6</w:t>
            </w:r>
            <w:r w:rsidRPr="0089380A">
              <w:rPr>
                <w:rFonts w:cs="Arial"/>
                <w:b/>
                <w:color w:val="auto"/>
                <w:sz w:val="20"/>
                <w:szCs w:val="20"/>
              </w:rPr>
              <w:t>)</w:t>
            </w:r>
          </w:p>
        </w:tc>
        <w:tc>
          <w:tcPr>
            <w:tcW w:w="992" w:type="dxa"/>
            <w:vAlign w:val="center"/>
          </w:tcPr>
          <w:p w:rsidR="009A73F1" w:rsidRPr="0089380A" w:rsidRDefault="00847BB9" w:rsidP="000D414D">
            <w:pPr>
              <w:pStyle w:val="BodyText"/>
              <w:jc w:val="center"/>
              <w:cnfStyle w:val="000000100000"/>
              <w:rPr>
                <w:rFonts w:cs="Arial"/>
                <w:b/>
                <w:color w:val="auto"/>
                <w:sz w:val="20"/>
                <w:szCs w:val="20"/>
              </w:rPr>
            </w:pPr>
            <w:r w:rsidRPr="0089380A">
              <w:rPr>
                <w:rFonts w:cs="Arial"/>
                <w:b/>
                <w:color w:val="auto"/>
                <w:sz w:val="20"/>
                <w:szCs w:val="20"/>
              </w:rPr>
              <w:t>283.</w:t>
            </w:r>
            <w:r w:rsidR="000D414D" w:rsidRPr="0089380A">
              <w:rPr>
                <w:rFonts w:cs="Arial"/>
                <w:b/>
                <w:color w:val="auto"/>
                <w:sz w:val="20"/>
                <w:szCs w:val="20"/>
              </w:rPr>
              <w:t>3</w:t>
            </w:r>
          </w:p>
        </w:tc>
        <w:tc>
          <w:tcPr>
            <w:cnfStyle w:val="000010000000"/>
            <w:tcW w:w="850" w:type="dxa"/>
            <w:vAlign w:val="center"/>
          </w:tcPr>
          <w:p w:rsidR="009A73F1" w:rsidRPr="0089380A" w:rsidRDefault="00A52598" w:rsidP="000D414D">
            <w:pPr>
              <w:pStyle w:val="BodyText"/>
              <w:jc w:val="center"/>
              <w:rPr>
                <w:rFonts w:cs="Arial"/>
                <w:b/>
                <w:color w:val="auto"/>
                <w:sz w:val="20"/>
                <w:szCs w:val="20"/>
              </w:rPr>
            </w:pPr>
            <w:r w:rsidRPr="0089380A">
              <w:rPr>
                <w:rFonts w:cs="Arial"/>
                <w:b/>
                <w:color w:val="auto"/>
                <w:sz w:val="20"/>
                <w:szCs w:val="20"/>
              </w:rPr>
              <w:t>28.</w:t>
            </w:r>
            <w:r w:rsidR="000D414D" w:rsidRPr="0089380A">
              <w:rPr>
                <w:rFonts w:cs="Arial"/>
                <w:b/>
                <w:color w:val="auto"/>
                <w:sz w:val="20"/>
                <w:szCs w:val="20"/>
              </w:rPr>
              <w:t>9</w:t>
            </w:r>
          </w:p>
        </w:tc>
        <w:tc>
          <w:tcPr>
            <w:cnfStyle w:val="000100000000"/>
            <w:tcW w:w="851" w:type="dxa"/>
            <w:vAlign w:val="center"/>
          </w:tcPr>
          <w:p w:rsidR="009A73F1" w:rsidRPr="0089380A" w:rsidRDefault="00A52598" w:rsidP="00DD4207">
            <w:pPr>
              <w:pStyle w:val="BodyText"/>
              <w:jc w:val="center"/>
              <w:rPr>
                <w:rFonts w:cs="Arial"/>
                <w:color w:val="auto"/>
                <w:sz w:val="20"/>
                <w:szCs w:val="20"/>
              </w:rPr>
            </w:pPr>
            <w:r w:rsidRPr="0089380A">
              <w:rPr>
                <w:rFonts w:cs="Arial"/>
                <w:color w:val="auto"/>
                <w:sz w:val="20"/>
                <w:szCs w:val="20"/>
              </w:rPr>
              <w:t>312.2</w:t>
            </w:r>
          </w:p>
        </w:tc>
      </w:tr>
      <w:tr w:rsidR="009A73F1" w:rsidRPr="009A73F1" w:rsidTr="00AC27C2">
        <w:trPr>
          <w:cnfStyle w:val="010000000000"/>
          <w:trHeight w:hRule="exact" w:val="650"/>
        </w:trPr>
        <w:tc>
          <w:tcPr>
            <w:cnfStyle w:val="001000000001"/>
            <w:tcW w:w="851"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116.4</w:t>
            </w:r>
          </w:p>
        </w:tc>
        <w:tc>
          <w:tcPr>
            <w:cnfStyle w:val="000010000000"/>
            <w:tcW w:w="1417"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17.0</w:t>
            </w:r>
          </w:p>
        </w:tc>
        <w:tc>
          <w:tcPr>
            <w:tcW w:w="851" w:type="dxa"/>
            <w:vAlign w:val="center"/>
          </w:tcPr>
          <w:p w:rsidR="009A73F1" w:rsidRPr="009E778C" w:rsidRDefault="009A73F1" w:rsidP="009A73F1">
            <w:pPr>
              <w:pStyle w:val="BodyText"/>
              <w:jc w:val="center"/>
              <w:cnfStyle w:val="010000000000"/>
              <w:rPr>
                <w:rFonts w:cs="Arial"/>
                <w:b w:val="0"/>
                <w:color w:val="auto"/>
                <w:sz w:val="20"/>
                <w:szCs w:val="20"/>
              </w:rPr>
            </w:pPr>
            <w:r w:rsidRPr="009E778C">
              <w:rPr>
                <w:rFonts w:cs="Arial"/>
                <w:b w:val="0"/>
                <w:color w:val="auto"/>
                <w:sz w:val="20"/>
                <w:szCs w:val="20"/>
              </w:rPr>
              <w:t>(3.5)</w:t>
            </w:r>
          </w:p>
        </w:tc>
        <w:tc>
          <w:tcPr>
            <w:cnfStyle w:val="000010000000"/>
            <w:tcW w:w="850"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129.9</w:t>
            </w:r>
          </w:p>
        </w:tc>
        <w:tc>
          <w:tcPr>
            <w:tcW w:w="851" w:type="dxa"/>
            <w:vAlign w:val="center"/>
          </w:tcPr>
          <w:p w:rsidR="009A73F1" w:rsidRPr="009E778C" w:rsidRDefault="009A73F1" w:rsidP="009A73F1">
            <w:pPr>
              <w:pStyle w:val="BodyText"/>
              <w:jc w:val="center"/>
              <w:cnfStyle w:val="010000000000"/>
              <w:rPr>
                <w:rFonts w:cs="Arial"/>
                <w:b w:val="0"/>
                <w:color w:val="auto"/>
                <w:sz w:val="20"/>
                <w:szCs w:val="20"/>
              </w:rPr>
            </w:pPr>
            <w:r w:rsidRPr="009E778C">
              <w:rPr>
                <w:rFonts w:cs="Arial"/>
                <w:b w:val="0"/>
                <w:color w:val="auto"/>
                <w:sz w:val="20"/>
                <w:szCs w:val="20"/>
              </w:rPr>
              <w:t>(112.8)</w:t>
            </w:r>
          </w:p>
        </w:tc>
        <w:tc>
          <w:tcPr>
            <w:cnfStyle w:val="000010000000"/>
            <w:tcW w:w="992" w:type="dxa"/>
            <w:vAlign w:val="center"/>
          </w:tcPr>
          <w:p w:rsidR="009A73F1" w:rsidRPr="009E778C" w:rsidRDefault="009A73F1" w:rsidP="009A73F1">
            <w:pPr>
              <w:pStyle w:val="BodyText"/>
              <w:jc w:val="center"/>
              <w:rPr>
                <w:rFonts w:cs="Arial"/>
                <w:b w:val="0"/>
                <w:color w:val="auto"/>
                <w:sz w:val="20"/>
                <w:szCs w:val="20"/>
              </w:rPr>
            </w:pPr>
            <w:r w:rsidRPr="009E778C">
              <w:rPr>
                <w:rFonts w:cs="Arial"/>
                <w:b w:val="0"/>
                <w:color w:val="auto"/>
                <w:sz w:val="20"/>
                <w:szCs w:val="20"/>
              </w:rPr>
              <w:t>17.1</w:t>
            </w:r>
          </w:p>
        </w:tc>
        <w:tc>
          <w:tcPr>
            <w:tcW w:w="4063" w:type="dxa"/>
            <w:vAlign w:val="center"/>
          </w:tcPr>
          <w:p w:rsidR="009A73F1" w:rsidRPr="009A73F1" w:rsidRDefault="009A73F1" w:rsidP="00DD4207">
            <w:pPr>
              <w:pStyle w:val="BodyText"/>
              <w:cnfStyle w:val="010000000000"/>
              <w:rPr>
                <w:rFonts w:cs="Arial"/>
                <w:color w:val="auto"/>
                <w:sz w:val="20"/>
                <w:szCs w:val="20"/>
              </w:rPr>
            </w:pPr>
            <w:r w:rsidRPr="009A73F1">
              <w:rPr>
                <w:rFonts w:cs="Arial"/>
                <w:color w:val="auto"/>
                <w:sz w:val="20"/>
                <w:szCs w:val="20"/>
              </w:rPr>
              <w:t>(Surplus)/Deficit deficit on the provision of services</w:t>
            </w:r>
          </w:p>
        </w:tc>
        <w:tc>
          <w:tcPr>
            <w:cnfStyle w:val="000010000000"/>
            <w:tcW w:w="898" w:type="dxa"/>
            <w:vAlign w:val="center"/>
          </w:tcPr>
          <w:p w:rsidR="009A73F1" w:rsidRPr="000D414D" w:rsidRDefault="00847BB9" w:rsidP="00DD4207">
            <w:pPr>
              <w:pStyle w:val="BodyText"/>
              <w:jc w:val="center"/>
              <w:rPr>
                <w:rFonts w:cs="Arial"/>
                <w:color w:val="auto"/>
                <w:sz w:val="20"/>
                <w:szCs w:val="20"/>
              </w:rPr>
            </w:pPr>
            <w:r w:rsidRPr="000D414D">
              <w:rPr>
                <w:rFonts w:cs="Arial"/>
                <w:color w:val="auto"/>
                <w:sz w:val="20"/>
                <w:szCs w:val="20"/>
              </w:rPr>
              <w:t>111.0</w:t>
            </w:r>
          </w:p>
        </w:tc>
        <w:tc>
          <w:tcPr>
            <w:tcW w:w="1276" w:type="dxa"/>
            <w:vAlign w:val="center"/>
          </w:tcPr>
          <w:p w:rsidR="009A73F1" w:rsidRPr="000D414D" w:rsidRDefault="00280292" w:rsidP="00DD4207">
            <w:pPr>
              <w:pStyle w:val="BodyText"/>
              <w:jc w:val="center"/>
              <w:cnfStyle w:val="010000000000"/>
              <w:rPr>
                <w:rFonts w:cs="Arial"/>
                <w:color w:val="auto"/>
                <w:sz w:val="20"/>
                <w:szCs w:val="20"/>
              </w:rPr>
            </w:pPr>
            <w:r w:rsidRPr="000D414D">
              <w:rPr>
                <w:rFonts w:cs="Arial"/>
                <w:color w:val="auto"/>
                <w:sz w:val="20"/>
                <w:szCs w:val="20"/>
              </w:rPr>
              <w:t>14.5</w:t>
            </w:r>
          </w:p>
        </w:tc>
        <w:tc>
          <w:tcPr>
            <w:cnfStyle w:val="000010000000"/>
            <w:tcW w:w="851" w:type="dxa"/>
            <w:vAlign w:val="center"/>
          </w:tcPr>
          <w:p w:rsidR="009A73F1" w:rsidRPr="000D414D" w:rsidRDefault="00280292" w:rsidP="007A6FA0">
            <w:pPr>
              <w:pStyle w:val="BodyText"/>
              <w:jc w:val="center"/>
              <w:rPr>
                <w:rFonts w:cs="Arial"/>
                <w:color w:val="auto"/>
                <w:sz w:val="20"/>
                <w:szCs w:val="20"/>
              </w:rPr>
            </w:pPr>
            <w:r w:rsidRPr="000D414D">
              <w:rPr>
                <w:rFonts w:cs="Arial"/>
                <w:color w:val="auto"/>
                <w:sz w:val="20"/>
                <w:szCs w:val="20"/>
              </w:rPr>
              <w:t>(3.0)</w:t>
            </w:r>
          </w:p>
        </w:tc>
        <w:tc>
          <w:tcPr>
            <w:tcW w:w="992" w:type="dxa"/>
            <w:vAlign w:val="center"/>
          </w:tcPr>
          <w:p w:rsidR="009A73F1" w:rsidRPr="000D414D" w:rsidRDefault="00847BB9" w:rsidP="00B72983">
            <w:pPr>
              <w:pStyle w:val="BodyText"/>
              <w:jc w:val="center"/>
              <w:cnfStyle w:val="010000000000"/>
              <w:rPr>
                <w:rFonts w:cs="Arial"/>
                <w:color w:val="auto"/>
                <w:sz w:val="20"/>
                <w:szCs w:val="20"/>
              </w:rPr>
            </w:pPr>
            <w:r w:rsidRPr="000D414D">
              <w:rPr>
                <w:rFonts w:cs="Arial"/>
                <w:color w:val="auto"/>
                <w:sz w:val="20"/>
                <w:szCs w:val="20"/>
              </w:rPr>
              <w:t>122.5</w:t>
            </w:r>
          </w:p>
        </w:tc>
        <w:tc>
          <w:tcPr>
            <w:cnfStyle w:val="000010000000"/>
            <w:tcW w:w="850" w:type="dxa"/>
            <w:vAlign w:val="center"/>
          </w:tcPr>
          <w:p w:rsidR="009A73F1" w:rsidRPr="000D414D" w:rsidRDefault="00DE7098" w:rsidP="00D87F9F">
            <w:pPr>
              <w:pStyle w:val="BodyText"/>
              <w:jc w:val="center"/>
              <w:rPr>
                <w:rFonts w:cs="Arial"/>
                <w:color w:val="auto"/>
                <w:sz w:val="20"/>
                <w:szCs w:val="20"/>
              </w:rPr>
            </w:pPr>
            <w:r w:rsidRPr="000D414D">
              <w:rPr>
                <w:rFonts w:cs="Arial"/>
                <w:color w:val="auto"/>
                <w:sz w:val="20"/>
                <w:szCs w:val="20"/>
              </w:rPr>
              <w:t>(</w:t>
            </w:r>
            <w:r w:rsidR="00A52598" w:rsidRPr="000D414D">
              <w:rPr>
                <w:rFonts w:cs="Arial"/>
                <w:color w:val="auto"/>
                <w:sz w:val="20"/>
                <w:szCs w:val="20"/>
              </w:rPr>
              <w:t>96.</w:t>
            </w:r>
            <w:r w:rsidR="00D87F9F" w:rsidRPr="000D414D">
              <w:rPr>
                <w:rFonts w:cs="Arial"/>
                <w:color w:val="auto"/>
                <w:sz w:val="20"/>
                <w:szCs w:val="20"/>
              </w:rPr>
              <w:t>1</w:t>
            </w:r>
            <w:r w:rsidRPr="000D414D">
              <w:rPr>
                <w:rFonts w:cs="Arial"/>
                <w:color w:val="auto"/>
                <w:sz w:val="20"/>
                <w:szCs w:val="20"/>
              </w:rPr>
              <w:t>)</w:t>
            </w:r>
          </w:p>
        </w:tc>
        <w:tc>
          <w:tcPr>
            <w:cnfStyle w:val="000100000010"/>
            <w:tcW w:w="851" w:type="dxa"/>
            <w:vAlign w:val="center"/>
          </w:tcPr>
          <w:p w:rsidR="009A73F1" w:rsidRPr="000D414D" w:rsidRDefault="00A52598" w:rsidP="00D87F9F">
            <w:pPr>
              <w:pStyle w:val="BodyText"/>
              <w:jc w:val="center"/>
              <w:rPr>
                <w:rFonts w:cs="Arial"/>
                <w:color w:val="auto"/>
                <w:sz w:val="20"/>
                <w:szCs w:val="20"/>
              </w:rPr>
            </w:pPr>
            <w:r w:rsidRPr="000D414D">
              <w:rPr>
                <w:rFonts w:cs="Arial"/>
                <w:color w:val="auto"/>
                <w:sz w:val="20"/>
                <w:szCs w:val="20"/>
              </w:rPr>
              <w:t>26.</w:t>
            </w:r>
            <w:r w:rsidR="00D87F9F" w:rsidRPr="000D414D">
              <w:rPr>
                <w:rFonts w:cs="Arial"/>
                <w:color w:val="auto"/>
                <w:sz w:val="20"/>
                <w:szCs w:val="20"/>
              </w:rPr>
              <w:t>4</w:t>
            </w:r>
          </w:p>
        </w:tc>
      </w:tr>
    </w:tbl>
    <w:p w:rsidR="008121B1" w:rsidRPr="00D42E0B" w:rsidRDefault="008121B1" w:rsidP="008121B1">
      <w:pPr>
        <w:spacing w:after="0" w:line="240" w:lineRule="auto"/>
        <w:rPr>
          <w:bCs/>
          <w:color w:val="548DD4" w:themeColor="text2" w:themeTint="99"/>
        </w:rPr>
      </w:pPr>
    </w:p>
    <w:p w:rsidR="008121B1" w:rsidRPr="00D42E0B" w:rsidRDefault="008121B1" w:rsidP="008121B1">
      <w:pPr>
        <w:spacing w:after="0" w:line="240" w:lineRule="auto"/>
        <w:rPr>
          <w:bCs/>
          <w:color w:val="548DD4" w:themeColor="text2" w:themeTint="99"/>
        </w:rPr>
        <w:sectPr w:rsidR="008121B1" w:rsidRPr="00D42E0B" w:rsidSect="001A3F09">
          <w:pgSz w:w="16838" w:h="11906" w:orient="landscape" w:code="9"/>
          <w:pgMar w:top="1440" w:right="1440" w:bottom="1440" w:left="1440" w:header="544" w:footer="544" w:gutter="0"/>
          <w:cols w:space="708"/>
          <w:titlePg/>
          <w:docGrid w:linePitch="360"/>
        </w:sectPr>
      </w:pPr>
    </w:p>
    <w:p w:rsidR="00E51139" w:rsidRPr="00B644DE" w:rsidRDefault="005C68D8" w:rsidP="008121B1">
      <w:pPr>
        <w:pStyle w:val="Subtitle"/>
        <w:ind w:left="567" w:hanging="567"/>
        <w:rPr>
          <w:b/>
          <w:color w:val="auto"/>
          <w:sz w:val="22"/>
          <w:szCs w:val="22"/>
        </w:rPr>
      </w:pPr>
      <w:r w:rsidRPr="00B644DE">
        <w:rPr>
          <w:b/>
          <w:color w:val="auto"/>
          <w:sz w:val="22"/>
          <w:szCs w:val="22"/>
        </w:rPr>
        <w:lastRenderedPageBreak/>
        <w:t>2</w:t>
      </w:r>
      <w:r w:rsidR="000A1BAE" w:rsidRPr="00B644DE">
        <w:rPr>
          <w:b/>
          <w:color w:val="auto"/>
          <w:sz w:val="22"/>
          <w:szCs w:val="22"/>
        </w:rPr>
        <w:t>5</w:t>
      </w:r>
      <w:r w:rsidR="008121B1" w:rsidRPr="00B644DE">
        <w:rPr>
          <w:b/>
          <w:color w:val="auto"/>
          <w:sz w:val="22"/>
          <w:szCs w:val="22"/>
        </w:rPr>
        <w:t>.</w:t>
      </w:r>
      <w:r w:rsidR="00E51139" w:rsidRPr="00B644DE">
        <w:rPr>
          <w:b/>
          <w:color w:val="auto"/>
          <w:sz w:val="22"/>
          <w:szCs w:val="22"/>
        </w:rPr>
        <w:tab/>
        <w:t>Pooled Budgets</w:t>
      </w:r>
    </w:p>
    <w:p w:rsidR="002D2769" w:rsidRPr="002D2769" w:rsidRDefault="002D2769" w:rsidP="008121B1">
      <w:pPr>
        <w:pStyle w:val="CodeNotesExampleHead"/>
        <w:widowControl w:val="0"/>
        <w:ind w:left="567"/>
        <w:rPr>
          <w:rFonts w:cs="Arial"/>
          <w:b w:val="0"/>
          <w:color w:val="auto"/>
          <w:sz w:val="20"/>
          <w:szCs w:val="20"/>
          <w:u w:val="single"/>
          <w:lang w:eastAsia="en-GB"/>
        </w:rPr>
      </w:pPr>
      <w:r w:rsidRPr="002D2769">
        <w:rPr>
          <w:rFonts w:cs="Arial"/>
          <w:b w:val="0"/>
          <w:color w:val="auto"/>
          <w:sz w:val="20"/>
          <w:szCs w:val="20"/>
          <w:u w:val="single"/>
          <w:lang w:eastAsia="en-GB"/>
        </w:rPr>
        <w:t>Joint Equipment Store</w:t>
      </w:r>
    </w:p>
    <w:p w:rsidR="002D2769" w:rsidRDefault="002D2769" w:rsidP="008121B1">
      <w:pPr>
        <w:pStyle w:val="CodeNotesExampleHead"/>
        <w:widowControl w:val="0"/>
        <w:ind w:left="567"/>
        <w:rPr>
          <w:rFonts w:cs="Arial"/>
          <w:b w:val="0"/>
          <w:color w:val="auto"/>
          <w:sz w:val="20"/>
          <w:szCs w:val="20"/>
          <w:lang w:eastAsia="en-GB"/>
        </w:rPr>
      </w:pPr>
    </w:p>
    <w:p w:rsidR="002B7CA0" w:rsidRPr="0069110B" w:rsidRDefault="00E51139" w:rsidP="008121B1">
      <w:pPr>
        <w:pStyle w:val="CodeNotesExampleHead"/>
        <w:widowControl w:val="0"/>
        <w:ind w:left="567"/>
        <w:rPr>
          <w:rFonts w:cs="Arial"/>
          <w:b w:val="0"/>
          <w:color w:val="auto"/>
          <w:sz w:val="20"/>
          <w:szCs w:val="20"/>
          <w:lang w:eastAsia="en-GB"/>
        </w:rPr>
      </w:pPr>
      <w:r w:rsidRPr="00B644DE">
        <w:rPr>
          <w:rFonts w:cs="Arial"/>
          <w:b w:val="0"/>
          <w:color w:val="auto"/>
          <w:sz w:val="20"/>
          <w:szCs w:val="20"/>
          <w:lang w:eastAsia="en-GB"/>
        </w:rPr>
        <w:t xml:space="preserve">Under section 75 of the NHS Act 2006, the Council </w:t>
      </w:r>
      <w:r w:rsidR="00BE6A7D" w:rsidRPr="00B644DE">
        <w:rPr>
          <w:rFonts w:cs="Arial"/>
          <w:b w:val="0"/>
          <w:color w:val="auto"/>
          <w:sz w:val="20"/>
          <w:szCs w:val="20"/>
          <w:lang w:eastAsia="en-GB"/>
        </w:rPr>
        <w:t>has</w:t>
      </w:r>
      <w:r w:rsidRPr="00B644DE">
        <w:rPr>
          <w:rFonts w:cs="Arial"/>
          <w:b w:val="0"/>
          <w:color w:val="auto"/>
          <w:sz w:val="20"/>
          <w:szCs w:val="20"/>
          <w:lang w:eastAsia="en-GB"/>
        </w:rPr>
        <w:t xml:space="preserve"> a pooled budget arrangement with </w:t>
      </w:r>
      <w:r w:rsidR="00BE6A7D" w:rsidRPr="00B644DE">
        <w:rPr>
          <w:rFonts w:cs="Arial"/>
          <w:b w:val="0"/>
          <w:color w:val="auto"/>
          <w:sz w:val="20"/>
          <w:szCs w:val="20"/>
          <w:lang w:eastAsia="en-GB"/>
        </w:rPr>
        <w:t>NHS South Devon and Torbay Clinical Commissioning Group (CCG)</w:t>
      </w:r>
      <w:r w:rsidRPr="00B644DE">
        <w:rPr>
          <w:rFonts w:cs="Arial"/>
          <w:b w:val="0"/>
          <w:color w:val="auto"/>
          <w:sz w:val="20"/>
          <w:szCs w:val="20"/>
          <w:lang w:eastAsia="en-GB"/>
        </w:rPr>
        <w:t xml:space="preserve"> for the joint provision of an equipment store for the purchase and distribution of items to meet the social care and health needs of people living in the Torbay area. The Council and </w:t>
      </w:r>
      <w:r w:rsidR="00456C4B" w:rsidRPr="00B644DE">
        <w:rPr>
          <w:rFonts w:cs="Arial"/>
          <w:b w:val="0"/>
          <w:color w:val="auto"/>
          <w:sz w:val="20"/>
          <w:szCs w:val="20"/>
          <w:lang w:eastAsia="en-GB"/>
        </w:rPr>
        <w:t>the CCG</w:t>
      </w:r>
      <w:r w:rsidRPr="00B644DE">
        <w:rPr>
          <w:rFonts w:cs="Arial"/>
          <w:b w:val="0"/>
          <w:color w:val="auto"/>
          <w:sz w:val="20"/>
          <w:szCs w:val="20"/>
          <w:lang w:eastAsia="en-GB"/>
        </w:rPr>
        <w:t xml:space="preserve"> have an agreement in place for funding these with </w:t>
      </w:r>
      <w:r w:rsidR="001C5EB7" w:rsidRPr="00B644DE">
        <w:rPr>
          <w:rFonts w:cs="Arial"/>
          <w:b w:val="0"/>
          <w:color w:val="auto"/>
          <w:sz w:val="20"/>
          <w:szCs w:val="20"/>
          <w:lang w:eastAsia="en-GB"/>
        </w:rPr>
        <w:t>each</w:t>
      </w:r>
      <w:r w:rsidRPr="00B644DE">
        <w:rPr>
          <w:rFonts w:cs="Arial"/>
          <w:b w:val="0"/>
          <w:color w:val="auto"/>
          <w:sz w:val="20"/>
          <w:szCs w:val="20"/>
          <w:lang w:eastAsia="en-GB"/>
        </w:rPr>
        <w:t xml:space="preserve"> contributing funds to the agreed budget equal to a 50% split</w:t>
      </w:r>
      <w:r w:rsidR="001C5EB7" w:rsidRPr="00B644DE">
        <w:rPr>
          <w:rFonts w:cs="Arial"/>
          <w:b w:val="0"/>
          <w:color w:val="auto"/>
          <w:sz w:val="20"/>
          <w:szCs w:val="20"/>
          <w:lang w:eastAsia="en-GB"/>
        </w:rPr>
        <w:t>.</w:t>
      </w:r>
      <w:r w:rsidRPr="00B644DE">
        <w:rPr>
          <w:rFonts w:cs="Arial"/>
          <w:b w:val="0"/>
          <w:color w:val="auto"/>
          <w:sz w:val="20"/>
          <w:szCs w:val="20"/>
          <w:lang w:eastAsia="en-GB"/>
        </w:rPr>
        <w:t xml:space="preserve">  </w:t>
      </w:r>
      <w:r w:rsidRPr="0069110B">
        <w:rPr>
          <w:rFonts w:cs="Arial"/>
          <w:b w:val="0"/>
          <w:color w:val="auto"/>
          <w:sz w:val="20"/>
          <w:szCs w:val="20"/>
          <w:lang w:eastAsia="en-GB"/>
        </w:rPr>
        <w:t xml:space="preserve">The pooled budget is hosted by the Council as the lead </w:t>
      </w:r>
      <w:r w:rsidR="00BE6A7D" w:rsidRPr="0069110B">
        <w:rPr>
          <w:rFonts w:cs="Arial"/>
          <w:b w:val="0"/>
          <w:color w:val="auto"/>
          <w:sz w:val="20"/>
          <w:szCs w:val="20"/>
          <w:lang w:eastAsia="en-GB"/>
        </w:rPr>
        <w:t>body</w:t>
      </w:r>
      <w:r w:rsidRPr="0069110B">
        <w:rPr>
          <w:rFonts w:cs="Arial"/>
          <w:b w:val="0"/>
          <w:color w:val="auto"/>
          <w:sz w:val="20"/>
          <w:szCs w:val="20"/>
          <w:lang w:eastAsia="en-GB"/>
        </w:rPr>
        <w:t xml:space="preserve"> on behalf of the two partners to the agreement.</w:t>
      </w:r>
      <w:r w:rsidR="00A34492" w:rsidRPr="0069110B">
        <w:rPr>
          <w:rFonts w:cs="Arial"/>
          <w:b w:val="0"/>
          <w:color w:val="auto"/>
          <w:sz w:val="20"/>
          <w:szCs w:val="20"/>
          <w:lang w:eastAsia="en-GB"/>
        </w:rPr>
        <w:t xml:space="preserve"> The </w:t>
      </w:r>
      <w:r w:rsidR="00742351" w:rsidRPr="0069110B">
        <w:rPr>
          <w:rFonts w:cs="Arial"/>
          <w:b w:val="0"/>
          <w:color w:val="auto"/>
          <w:sz w:val="20"/>
          <w:szCs w:val="20"/>
          <w:lang w:eastAsia="en-GB"/>
        </w:rPr>
        <w:t>total expenditure on the pooled</w:t>
      </w:r>
      <w:r w:rsidR="00A34492" w:rsidRPr="0069110B">
        <w:rPr>
          <w:rFonts w:cs="Arial"/>
          <w:b w:val="0"/>
          <w:color w:val="auto"/>
          <w:sz w:val="20"/>
          <w:szCs w:val="20"/>
          <w:lang w:eastAsia="en-GB"/>
        </w:rPr>
        <w:t xml:space="preserve"> budget for 201</w:t>
      </w:r>
      <w:r w:rsidR="009A73F1" w:rsidRPr="0069110B">
        <w:rPr>
          <w:rFonts w:cs="Arial"/>
          <w:b w:val="0"/>
          <w:color w:val="auto"/>
          <w:sz w:val="20"/>
          <w:szCs w:val="20"/>
          <w:lang w:eastAsia="en-GB"/>
        </w:rPr>
        <w:t>5</w:t>
      </w:r>
      <w:r w:rsidR="00A34492" w:rsidRPr="0069110B">
        <w:rPr>
          <w:rFonts w:cs="Arial"/>
          <w:b w:val="0"/>
          <w:color w:val="auto"/>
          <w:sz w:val="20"/>
          <w:szCs w:val="20"/>
          <w:lang w:eastAsia="en-GB"/>
        </w:rPr>
        <w:t>/1</w:t>
      </w:r>
      <w:r w:rsidR="009A73F1" w:rsidRPr="0069110B">
        <w:rPr>
          <w:rFonts w:cs="Arial"/>
          <w:b w:val="0"/>
          <w:color w:val="auto"/>
          <w:sz w:val="20"/>
          <w:szCs w:val="20"/>
          <w:lang w:eastAsia="en-GB"/>
        </w:rPr>
        <w:t>6</w:t>
      </w:r>
      <w:r w:rsidR="00A34492" w:rsidRPr="0069110B">
        <w:rPr>
          <w:rFonts w:cs="Arial"/>
          <w:b w:val="0"/>
          <w:color w:val="auto"/>
          <w:sz w:val="20"/>
          <w:szCs w:val="20"/>
          <w:lang w:eastAsia="en-GB"/>
        </w:rPr>
        <w:t xml:space="preserve"> was </w:t>
      </w:r>
      <w:r w:rsidR="006F3F43" w:rsidRPr="0069110B">
        <w:rPr>
          <w:rFonts w:cs="Arial"/>
          <w:b w:val="0"/>
          <w:color w:val="auto"/>
          <w:sz w:val="20"/>
          <w:szCs w:val="20"/>
          <w:lang w:eastAsia="en-GB"/>
        </w:rPr>
        <w:t>£1.</w:t>
      </w:r>
      <w:r w:rsidR="0069110B" w:rsidRPr="0069110B">
        <w:rPr>
          <w:rFonts w:cs="Arial"/>
          <w:b w:val="0"/>
          <w:color w:val="auto"/>
          <w:sz w:val="20"/>
          <w:szCs w:val="20"/>
          <w:lang w:eastAsia="en-GB"/>
        </w:rPr>
        <w:t>3</w:t>
      </w:r>
      <w:r w:rsidR="006F3F43" w:rsidRPr="0069110B">
        <w:rPr>
          <w:rFonts w:cs="Arial"/>
          <w:b w:val="0"/>
          <w:color w:val="auto"/>
          <w:sz w:val="20"/>
          <w:szCs w:val="20"/>
          <w:lang w:eastAsia="en-GB"/>
        </w:rPr>
        <w:t>m (</w:t>
      </w:r>
      <w:r w:rsidR="00742351" w:rsidRPr="0069110B">
        <w:rPr>
          <w:rFonts w:cs="Arial"/>
          <w:b w:val="0"/>
          <w:color w:val="auto"/>
          <w:sz w:val="20"/>
          <w:szCs w:val="20"/>
          <w:lang w:eastAsia="en-GB"/>
        </w:rPr>
        <w:t>£1.</w:t>
      </w:r>
      <w:r w:rsidR="009A73F1" w:rsidRPr="0069110B">
        <w:rPr>
          <w:rFonts w:cs="Arial"/>
          <w:b w:val="0"/>
          <w:color w:val="auto"/>
          <w:sz w:val="20"/>
          <w:szCs w:val="20"/>
          <w:lang w:eastAsia="en-GB"/>
        </w:rPr>
        <w:t>9</w:t>
      </w:r>
      <w:r w:rsidR="00742351" w:rsidRPr="0069110B">
        <w:rPr>
          <w:rFonts w:cs="Arial"/>
          <w:b w:val="0"/>
          <w:color w:val="auto"/>
          <w:sz w:val="20"/>
          <w:szCs w:val="20"/>
          <w:lang w:eastAsia="en-GB"/>
        </w:rPr>
        <w:t>m</w:t>
      </w:r>
      <w:r w:rsidR="006F3F43" w:rsidRPr="0069110B">
        <w:rPr>
          <w:rFonts w:cs="Arial"/>
          <w:b w:val="0"/>
          <w:color w:val="auto"/>
          <w:sz w:val="20"/>
          <w:szCs w:val="20"/>
          <w:lang w:eastAsia="en-GB"/>
        </w:rPr>
        <w:t xml:space="preserve"> 1</w:t>
      </w:r>
      <w:r w:rsidR="009A73F1" w:rsidRPr="0069110B">
        <w:rPr>
          <w:rFonts w:cs="Arial"/>
          <w:b w:val="0"/>
          <w:color w:val="auto"/>
          <w:sz w:val="20"/>
          <w:szCs w:val="20"/>
          <w:lang w:eastAsia="en-GB"/>
        </w:rPr>
        <w:t>4</w:t>
      </w:r>
      <w:r w:rsidR="006F3F43" w:rsidRPr="0069110B">
        <w:rPr>
          <w:rFonts w:cs="Arial"/>
          <w:b w:val="0"/>
          <w:color w:val="auto"/>
          <w:sz w:val="20"/>
          <w:szCs w:val="20"/>
          <w:lang w:eastAsia="en-GB"/>
        </w:rPr>
        <w:t>/1</w:t>
      </w:r>
      <w:r w:rsidR="009A73F1" w:rsidRPr="0069110B">
        <w:rPr>
          <w:rFonts w:cs="Arial"/>
          <w:b w:val="0"/>
          <w:color w:val="auto"/>
          <w:sz w:val="20"/>
          <w:szCs w:val="20"/>
          <w:lang w:eastAsia="en-GB"/>
        </w:rPr>
        <w:t>5</w:t>
      </w:r>
      <w:r w:rsidR="006F3F43" w:rsidRPr="0069110B">
        <w:rPr>
          <w:rFonts w:cs="Arial"/>
          <w:b w:val="0"/>
          <w:color w:val="auto"/>
          <w:sz w:val="20"/>
          <w:szCs w:val="20"/>
          <w:lang w:eastAsia="en-GB"/>
        </w:rPr>
        <w:t>)</w:t>
      </w:r>
      <w:r w:rsidR="00742351" w:rsidRPr="0069110B">
        <w:rPr>
          <w:rFonts w:cs="Arial"/>
          <w:b w:val="0"/>
          <w:color w:val="auto"/>
          <w:sz w:val="20"/>
          <w:szCs w:val="20"/>
          <w:lang w:eastAsia="en-GB"/>
        </w:rPr>
        <w:t xml:space="preserve">, of which </w:t>
      </w:r>
      <w:r w:rsidR="0069110B" w:rsidRPr="0069110B">
        <w:rPr>
          <w:rFonts w:cs="Arial"/>
          <w:b w:val="0"/>
          <w:color w:val="auto"/>
          <w:sz w:val="20"/>
          <w:szCs w:val="20"/>
          <w:lang w:eastAsia="en-GB"/>
        </w:rPr>
        <w:t xml:space="preserve">50% </w:t>
      </w:r>
      <w:r w:rsidR="006F3F43" w:rsidRPr="0069110B">
        <w:rPr>
          <w:rFonts w:cs="Arial"/>
          <w:b w:val="0"/>
          <w:color w:val="auto"/>
          <w:sz w:val="20"/>
          <w:szCs w:val="20"/>
          <w:lang w:eastAsia="en-GB"/>
        </w:rPr>
        <w:t>£0.</w:t>
      </w:r>
      <w:r w:rsidR="0069110B" w:rsidRPr="0069110B">
        <w:rPr>
          <w:rFonts w:cs="Arial"/>
          <w:b w:val="0"/>
          <w:color w:val="auto"/>
          <w:sz w:val="20"/>
          <w:szCs w:val="20"/>
          <w:lang w:eastAsia="en-GB"/>
        </w:rPr>
        <w:t>65</w:t>
      </w:r>
      <w:r w:rsidR="006F3F43" w:rsidRPr="0069110B">
        <w:rPr>
          <w:rFonts w:cs="Arial"/>
          <w:b w:val="0"/>
          <w:color w:val="auto"/>
          <w:sz w:val="20"/>
          <w:szCs w:val="20"/>
          <w:lang w:eastAsia="en-GB"/>
        </w:rPr>
        <w:t>m (</w:t>
      </w:r>
      <w:r w:rsidR="009A73F1" w:rsidRPr="0069110B">
        <w:rPr>
          <w:rFonts w:cs="Arial"/>
          <w:b w:val="0"/>
          <w:color w:val="auto"/>
          <w:sz w:val="20"/>
          <w:szCs w:val="20"/>
          <w:lang w:eastAsia="en-GB"/>
        </w:rPr>
        <w:t>£0.9</w:t>
      </w:r>
      <w:r w:rsidR="00742351" w:rsidRPr="0069110B">
        <w:rPr>
          <w:rFonts w:cs="Arial"/>
          <w:b w:val="0"/>
          <w:color w:val="auto"/>
          <w:sz w:val="20"/>
          <w:szCs w:val="20"/>
          <w:lang w:eastAsia="en-GB"/>
        </w:rPr>
        <w:t xml:space="preserve">m </w:t>
      </w:r>
      <w:r w:rsidR="006F3F43" w:rsidRPr="0069110B">
        <w:rPr>
          <w:rFonts w:cs="Arial"/>
          <w:b w:val="0"/>
          <w:color w:val="auto"/>
          <w:sz w:val="20"/>
          <w:szCs w:val="20"/>
          <w:lang w:eastAsia="en-GB"/>
        </w:rPr>
        <w:t>1</w:t>
      </w:r>
      <w:r w:rsidR="009A73F1" w:rsidRPr="0069110B">
        <w:rPr>
          <w:rFonts w:cs="Arial"/>
          <w:b w:val="0"/>
          <w:color w:val="auto"/>
          <w:sz w:val="20"/>
          <w:szCs w:val="20"/>
          <w:lang w:eastAsia="en-GB"/>
        </w:rPr>
        <w:t>4</w:t>
      </w:r>
      <w:r w:rsidR="006F3F43" w:rsidRPr="0069110B">
        <w:rPr>
          <w:rFonts w:cs="Arial"/>
          <w:b w:val="0"/>
          <w:color w:val="auto"/>
          <w:sz w:val="20"/>
          <w:szCs w:val="20"/>
          <w:lang w:eastAsia="en-GB"/>
        </w:rPr>
        <w:t>/1</w:t>
      </w:r>
      <w:r w:rsidR="009A73F1" w:rsidRPr="0069110B">
        <w:rPr>
          <w:rFonts w:cs="Arial"/>
          <w:b w:val="0"/>
          <w:color w:val="auto"/>
          <w:sz w:val="20"/>
          <w:szCs w:val="20"/>
          <w:lang w:eastAsia="en-GB"/>
        </w:rPr>
        <w:t>5</w:t>
      </w:r>
      <w:r w:rsidR="006F3F43" w:rsidRPr="0069110B">
        <w:rPr>
          <w:rFonts w:cs="Arial"/>
          <w:b w:val="0"/>
          <w:color w:val="auto"/>
          <w:sz w:val="20"/>
          <w:szCs w:val="20"/>
          <w:lang w:eastAsia="en-GB"/>
        </w:rPr>
        <w:t xml:space="preserve">) </w:t>
      </w:r>
      <w:r w:rsidR="00A34492" w:rsidRPr="0069110B">
        <w:rPr>
          <w:rFonts w:cs="Arial"/>
          <w:b w:val="0"/>
          <w:color w:val="auto"/>
          <w:sz w:val="20"/>
          <w:szCs w:val="20"/>
          <w:lang w:eastAsia="en-GB"/>
        </w:rPr>
        <w:t>was borne by the Council.</w:t>
      </w:r>
    </w:p>
    <w:p w:rsidR="008121B1" w:rsidRDefault="008121B1" w:rsidP="008121B1">
      <w:pPr>
        <w:pStyle w:val="CodeNotesExampleHead"/>
        <w:widowControl w:val="0"/>
        <w:ind w:left="567"/>
        <w:rPr>
          <w:rFonts w:cs="Arial"/>
          <w:b w:val="0"/>
          <w:color w:val="548DD4" w:themeColor="text2" w:themeTint="99"/>
          <w:sz w:val="20"/>
          <w:szCs w:val="20"/>
          <w:lang w:eastAsia="en-GB"/>
        </w:rPr>
      </w:pPr>
    </w:p>
    <w:p w:rsidR="002D2769" w:rsidRPr="002D2769" w:rsidRDefault="002D2769" w:rsidP="00B644DE">
      <w:pPr>
        <w:pStyle w:val="CodeNotesExampleHead"/>
        <w:widowControl w:val="0"/>
        <w:ind w:left="567"/>
        <w:rPr>
          <w:rFonts w:cs="Arial"/>
          <w:b w:val="0"/>
          <w:color w:val="auto"/>
          <w:sz w:val="20"/>
          <w:szCs w:val="20"/>
          <w:u w:val="single"/>
          <w:lang w:eastAsia="en-GB"/>
        </w:rPr>
      </w:pPr>
      <w:r w:rsidRPr="002D2769">
        <w:rPr>
          <w:rFonts w:cs="Arial"/>
          <w:b w:val="0"/>
          <w:color w:val="auto"/>
          <w:sz w:val="20"/>
          <w:szCs w:val="20"/>
          <w:u w:val="single"/>
          <w:lang w:eastAsia="en-GB"/>
        </w:rPr>
        <w:t>Better Care Fund</w:t>
      </w:r>
    </w:p>
    <w:p w:rsidR="002D2769" w:rsidRDefault="002D2769" w:rsidP="00B644DE">
      <w:pPr>
        <w:pStyle w:val="CodeNotesExampleHead"/>
        <w:widowControl w:val="0"/>
        <w:ind w:left="567"/>
        <w:rPr>
          <w:rFonts w:cs="Arial"/>
          <w:b w:val="0"/>
          <w:color w:val="auto"/>
          <w:sz w:val="20"/>
          <w:szCs w:val="20"/>
          <w:lang w:eastAsia="en-GB"/>
        </w:rPr>
      </w:pPr>
    </w:p>
    <w:p w:rsidR="00B644DE" w:rsidRPr="00D42E0B" w:rsidRDefault="007E33E1" w:rsidP="00B644DE">
      <w:pPr>
        <w:pStyle w:val="CodeNotesExampleHead"/>
        <w:widowControl w:val="0"/>
        <w:ind w:left="567"/>
        <w:rPr>
          <w:rFonts w:cs="Arial"/>
          <w:b w:val="0"/>
          <w:color w:val="548DD4" w:themeColor="text2" w:themeTint="99"/>
          <w:sz w:val="20"/>
          <w:szCs w:val="20"/>
          <w:lang w:eastAsia="en-GB"/>
        </w:rPr>
      </w:pPr>
      <w:r w:rsidRPr="00B644DE">
        <w:rPr>
          <w:rFonts w:cs="Arial"/>
          <w:b w:val="0"/>
          <w:color w:val="auto"/>
          <w:sz w:val="20"/>
          <w:szCs w:val="20"/>
          <w:lang w:eastAsia="en-GB"/>
        </w:rPr>
        <w:t>Under section 75 of the NHS Act 2006, the Council has a pooled budget arrangement with NHS South Devon and Torbay Clinical Commissioning Group (CCG) for the revenue elements</w:t>
      </w:r>
      <w:r>
        <w:rPr>
          <w:rFonts w:cs="Arial"/>
          <w:b w:val="0"/>
          <w:color w:val="auto"/>
          <w:sz w:val="20"/>
          <w:szCs w:val="20"/>
          <w:lang w:eastAsia="en-GB"/>
        </w:rPr>
        <w:t xml:space="preserve"> of</w:t>
      </w:r>
      <w:r w:rsidRPr="00B644DE">
        <w:rPr>
          <w:rFonts w:cs="Arial"/>
          <w:b w:val="0"/>
          <w:color w:val="auto"/>
          <w:sz w:val="20"/>
          <w:szCs w:val="20"/>
          <w:lang w:eastAsia="en-GB"/>
        </w:rPr>
        <w:t xml:space="preserve"> the Better Care Fund for the integrated supply of social care and health needs of people living in the Torbay </w:t>
      </w:r>
      <w:r w:rsidRPr="00C352FE">
        <w:rPr>
          <w:rFonts w:cs="Arial"/>
          <w:b w:val="0"/>
          <w:color w:val="auto"/>
          <w:sz w:val="20"/>
          <w:szCs w:val="20"/>
          <w:lang w:eastAsia="en-GB"/>
        </w:rPr>
        <w:t xml:space="preserve">area. </w:t>
      </w:r>
      <w:r w:rsidR="00B644DE" w:rsidRPr="00C352FE">
        <w:rPr>
          <w:rFonts w:cs="Arial"/>
          <w:b w:val="0"/>
          <w:color w:val="auto"/>
          <w:sz w:val="20"/>
          <w:szCs w:val="20"/>
          <w:lang w:eastAsia="en-GB"/>
        </w:rPr>
        <w:t>The Council and the CCG have an agreement in place</w:t>
      </w:r>
      <w:r w:rsidR="00C352FE">
        <w:rPr>
          <w:rFonts w:cs="Arial"/>
          <w:b w:val="0"/>
          <w:color w:val="auto"/>
          <w:sz w:val="20"/>
          <w:szCs w:val="20"/>
          <w:lang w:eastAsia="en-GB"/>
        </w:rPr>
        <w:t xml:space="preserve">. The </w:t>
      </w:r>
      <w:r>
        <w:rPr>
          <w:rFonts w:cs="Arial"/>
          <w:b w:val="0"/>
          <w:color w:val="auto"/>
          <w:sz w:val="20"/>
          <w:szCs w:val="20"/>
          <w:lang w:eastAsia="en-GB"/>
        </w:rPr>
        <w:t>agreement</w:t>
      </w:r>
      <w:r w:rsidR="00C352FE">
        <w:rPr>
          <w:rFonts w:cs="Arial"/>
          <w:b w:val="0"/>
          <w:color w:val="auto"/>
          <w:sz w:val="20"/>
          <w:szCs w:val="20"/>
          <w:lang w:eastAsia="en-GB"/>
        </w:rPr>
        <w:t xml:space="preserve"> is that 100% of the </w:t>
      </w:r>
      <w:r>
        <w:rPr>
          <w:rFonts w:cs="Arial"/>
          <w:b w:val="0"/>
          <w:color w:val="auto"/>
          <w:sz w:val="20"/>
          <w:szCs w:val="20"/>
          <w:lang w:eastAsia="en-GB"/>
        </w:rPr>
        <w:t>contributions</w:t>
      </w:r>
      <w:r w:rsidR="00C352FE">
        <w:rPr>
          <w:rFonts w:cs="Arial"/>
          <w:b w:val="0"/>
          <w:color w:val="auto"/>
          <w:sz w:val="20"/>
          <w:szCs w:val="20"/>
          <w:lang w:eastAsia="en-GB"/>
        </w:rPr>
        <w:t xml:space="preserve"> are funded by the CCG</w:t>
      </w:r>
      <w:r w:rsidR="00DA3051">
        <w:rPr>
          <w:rFonts w:cs="Arial"/>
          <w:b w:val="0"/>
          <w:color w:val="auto"/>
          <w:sz w:val="20"/>
          <w:szCs w:val="20"/>
          <w:lang w:eastAsia="en-GB"/>
        </w:rPr>
        <w:t xml:space="preserve"> </w:t>
      </w:r>
      <w:r w:rsidR="00C352FE">
        <w:rPr>
          <w:rFonts w:cs="Arial"/>
          <w:b w:val="0"/>
          <w:color w:val="auto"/>
          <w:sz w:val="20"/>
          <w:szCs w:val="20"/>
          <w:lang w:eastAsia="en-GB"/>
        </w:rPr>
        <w:t xml:space="preserve">with a 50/50 risk share of any under/overspends in the year. </w:t>
      </w:r>
      <w:r w:rsidR="00B644DE" w:rsidRPr="00C352FE">
        <w:rPr>
          <w:rFonts w:cs="Arial"/>
          <w:b w:val="0"/>
          <w:color w:val="auto"/>
          <w:sz w:val="20"/>
          <w:szCs w:val="20"/>
          <w:lang w:eastAsia="en-GB"/>
        </w:rPr>
        <w:t xml:space="preserve"> The pooled budget is hosted by the C</w:t>
      </w:r>
      <w:r w:rsidR="00C352FE" w:rsidRPr="00C352FE">
        <w:rPr>
          <w:rFonts w:cs="Arial"/>
          <w:b w:val="0"/>
          <w:color w:val="auto"/>
          <w:sz w:val="20"/>
          <w:szCs w:val="20"/>
          <w:lang w:eastAsia="en-GB"/>
        </w:rPr>
        <w:t>CG</w:t>
      </w:r>
      <w:r w:rsidR="00B644DE" w:rsidRPr="00C352FE">
        <w:rPr>
          <w:rFonts w:cs="Arial"/>
          <w:b w:val="0"/>
          <w:color w:val="auto"/>
          <w:sz w:val="20"/>
          <w:szCs w:val="20"/>
          <w:lang w:eastAsia="en-GB"/>
        </w:rPr>
        <w:t xml:space="preserve"> as the lead body on behalf of the two partners to</w:t>
      </w:r>
      <w:r w:rsidR="00B644DE" w:rsidRPr="001E1E95">
        <w:rPr>
          <w:rFonts w:cs="Arial"/>
          <w:b w:val="0"/>
          <w:color w:val="auto"/>
          <w:sz w:val="20"/>
          <w:szCs w:val="20"/>
          <w:lang w:eastAsia="en-GB"/>
        </w:rPr>
        <w:t xml:space="preserve"> the agreement. The total expenditure on the pooled budget for 2015/16 was £</w:t>
      </w:r>
      <w:r w:rsidR="00A53009" w:rsidRPr="001E1E95">
        <w:rPr>
          <w:rFonts w:cs="Arial"/>
          <w:b w:val="0"/>
          <w:color w:val="auto"/>
          <w:sz w:val="20"/>
          <w:szCs w:val="20"/>
          <w:lang w:eastAsia="en-GB"/>
        </w:rPr>
        <w:t>10.5</w:t>
      </w:r>
      <w:r w:rsidR="00B644DE" w:rsidRPr="001E1E95">
        <w:rPr>
          <w:rFonts w:cs="Arial"/>
          <w:b w:val="0"/>
          <w:color w:val="auto"/>
          <w:sz w:val="20"/>
          <w:szCs w:val="20"/>
          <w:lang w:eastAsia="en-GB"/>
        </w:rPr>
        <w:t>m (</w:t>
      </w:r>
      <w:r w:rsidR="00490201" w:rsidRPr="001E1E95">
        <w:rPr>
          <w:rFonts w:cs="Arial"/>
          <w:b w:val="0"/>
          <w:color w:val="auto"/>
          <w:sz w:val="20"/>
          <w:szCs w:val="20"/>
          <w:lang w:eastAsia="en-GB"/>
        </w:rPr>
        <w:t xml:space="preserve">n/a </w:t>
      </w:r>
      <w:r w:rsidR="00B644DE" w:rsidRPr="001E1E95">
        <w:rPr>
          <w:rFonts w:cs="Arial"/>
          <w:b w:val="0"/>
          <w:color w:val="auto"/>
          <w:sz w:val="20"/>
          <w:szCs w:val="20"/>
          <w:lang w:eastAsia="en-GB"/>
        </w:rPr>
        <w:t>14/15), of which £</w:t>
      </w:r>
      <w:r w:rsidR="00490201" w:rsidRPr="001E1E95">
        <w:rPr>
          <w:rFonts w:cs="Arial"/>
          <w:b w:val="0"/>
          <w:color w:val="auto"/>
          <w:sz w:val="20"/>
          <w:szCs w:val="20"/>
          <w:lang w:eastAsia="en-GB"/>
        </w:rPr>
        <w:t>3.0</w:t>
      </w:r>
      <w:r w:rsidR="00B644DE" w:rsidRPr="001E1E95">
        <w:rPr>
          <w:rFonts w:cs="Arial"/>
          <w:b w:val="0"/>
          <w:color w:val="auto"/>
          <w:sz w:val="20"/>
          <w:szCs w:val="20"/>
          <w:lang w:eastAsia="en-GB"/>
        </w:rPr>
        <w:t>m (</w:t>
      </w:r>
      <w:r w:rsidR="00490201" w:rsidRPr="001E1E95">
        <w:rPr>
          <w:rFonts w:cs="Arial"/>
          <w:b w:val="0"/>
          <w:color w:val="auto"/>
          <w:sz w:val="20"/>
          <w:szCs w:val="20"/>
          <w:lang w:eastAsia="en-GB"/>
        </w:rPr>
        <w:t xml:space="preserve">n/a </w:t>
      </w:r>
      <w:r w:rsidR="00B644DE" w:rsidRPr="001E1E95">
        <w:rPr>
          <w:rFonts w:cs="Arial"/>
          <w:b w:val="0"/>
          <w:color w:val="auto"/>
          <w:sz w:val="20"/>
          <w:szCs w:val="20"/>
          <w:lang w:eastAsia="en-GB"/>
        </w:rPr>
        <w:t xml:space="preserve">14/15) was </w:t>
      </w:r>
      <w:r w:rsidR="00490201" w:rsidRPr="001E1E95">
        <w:rPr>
          <w:rFonts w:cs="Arial"/>
          <w:b w:val="0"/>
          <w:color w:val="auto"/>
          <w:sz w:val="20"/>
          <w:szCs w:val="20"/>
          <w:lang w:eastAsia="en-GB"/>
        </w:rPr>
        <w:t xml:space="preserve">paid </w:t>
      </w:r>
      <w:r w:rsidR="001C0245">
        <w:rPr>
          <w:rFonts w:cs="Arial"/>
          <w:b w:val="0"/>
          <w:color w:val="auto"/>
          <w:sz w:val="20"/>
          <w:szCs w:val="20"/>
          <w:lang w:eastAsia="en-GB"/>
        </w:rPr>
        <w:t xml:space="preserve">to </w:t>
      </w:r>
      <w:r w:rsidR="00490201" w:rsidRPr="001E1E95">
        <w:rPr>
          <w:rFonts w:cs="Arial"/>
          <w:b w:val="0"/>
          <w:color w:val="auto"/>
          <w:sz w:val="20"/>
          <w:szCs w:val="20"/>
          <w:lang w:eastAsia="en-GB"/>
        </w:rPr>
        <w:t xml:space="preserve">the </w:t>
      </w:r>
      <w:r w:rsidRPr="001E1E95">
        <w:rPr>
          <w:rFonts w:cs="Arial"/>
          <w:b w:val="0"/>
          <w:color w:val="auto"/>
          <w:sz w:val="20"/>
          <w:szCs w:val="20"/>
          <w:lang w:eastAsia="en-GB"/>
        </w:rPr>
        <w:t>Council</w:t>
      </w:r>
      <w:r w:rsidR="00490201" w:rsidRPr="001E1E95">
        <w:rPr>
          <w:rFonts w:cs="Arial"/>
          <w:b w:val="0"/>
          <w:color w:val="auto"/>
          <w:sz w:val="20"/>
          <w:szCs w:val="20"/>
          <w:lang w:eastAsia="en-GB"/>
        </w:rPr>
        <w:t xml:space="preserve"> to </w:t>
      </w:r>
      <w:r w:rsidRPr="001E1E95">
        <w:rPr>
          <w:rFonts w:cs="Arial"/>
          <w:b w:val="0"/>
          <w:color w:val="auto"/>
          <w:sz w:val="20"/>
          <w:szCs w:val="20"/>
          <w:lang w:eastAsia="en-GB"/>
        </w:rPr>
        <w:t>commission</w:t>
      </w:r>
      <w:r w:rsidR="00490201" w:rsidRPr="001E1E95">
        <w:rPr>
          <w:rFonts w:cs="Arial"/>
          <w:b w:val="0"/>
          <w:color w:val="auto"/>
          <w:sz w:val="20"/>
          <w:szCs w:val="20"/>
          <w:lang w:eastAsia="en-GB"/>
        </w:rPr>
        <w:t xml:space="preserve"> adult social care services</w:t>
      </w:r>
      <w:r w:rsidR="00D95A9E" w:rsidRPr="001E1E95">
        <w:rPr>
          <w:rFonts w:cs="Arial"/>
          <w:b w:val="0"/>
          <w:color w:val="auto"/>
          <w:sz w:val="20"/>
          <w:szCs w:val="20"/>
          <w:lang w:eastAsia="en-GB"/>
        </w:rPr>
        <w:t xml:space="preserve"> and £7.5m </w:t>
      </w:r>
      <w:r w:rsidR="008626BD">
        <w:rPr>
          <w:rFonts w:cs="Arial"/>
          <w:b w:val="0"/>
          <w:color w:val="auto"/>
          <w:sz w:val="20"/>
          <w:szCs w:val="20"/>
          <w:lang w:eastAsia="en-GB"/>
        </w:rPr>
        <w:t xml:space="preserve">(n/a 14/15) </w:t>
      </w:r>
      <w:r w:rsidR="00D95A9E" w:rsidRPr="001E1E95">
        <w:rPr>
          <w:rFonts w:cs="Arial"/>
          <w:b w:val="0"/>
          <w:color w:val="auto"/>
          <w:sz w:val="20"/>
          <w:szCs w:val="20"/>
          <w:lang w:eastAsia="en-GB"/>
        </w:rPr>
        <w:t xml:space="preserve">was used by the CCG to </w:t>
      </w:r>
      <w:r w:rsidRPr="001E1E95">
        <w:rPr>
          <w:rFonts w:cs="Arial"/>
          <w:b w:val="0"/>
          <w:color w:val="auto"/>
          <w:sz w:val="20"/>
          <w:szCs w:val="20"/>
          <w:lang w:eastAsia="en-GB"/>
        </w:rPr>
        <w:t>commission</w:t>
      </w:r>
      <w:r w:rsidR="00D95A9E" w:rsidRPr="001E1E95">
        <w:rPr>
          <w:rFonts w:cs="Arial"/>
          <w:b w:val="0"/>
          <w:color w:val="auto"/>
          <w:sz w:val="20"/>
          <w:szCs w:val="20"/>
          <w:lang w:eastAsia="en-GB"/>
        </w:rPr>
        <w:t xml:space="preserve"> </w:t>
      </w:r>
      <w:r w:rsidRPr="001E1E95">
        <w:rPr>
          <w:rFonts w:cs="Arial"/>
          <w:b w:val="0"/>
          <w:color w:val="auto"/>
          <w:sz w:val="20"/>
          <w:szCs w:val="20"/>
          <w:lang w:eastAsia="en-GB"/>
        </w:rPr>
        <w:t>health</w:t>
      </w:r>
      <w:r w:rsidR="00D95A9E" w:rsidRPr="001E1E95">
        <w:rPr>
          <w:rFonts w:cs="Arial"/>
          <w:b w:val="0"/>
          <w:color w:val="auto"/>
          <w:sz w:val="20"/>
          <w:szCs w:val="20"/>
          <w:lang w:eastAsia="en-GB"/>
        </w:rPr>
        <w:t xml:space="preserve"> related services.</w:t>
      </w:r>
    </w:p>
    <w:p w:rsidR="008121B1" w:rsidRPr="00D42E0B" w:rsidRDefault="008121B1" w:rsidP="008121B1">
      <w:pPr>
        <w:pStyle w:val="CodeNotesExampleHead"/>
        <w:widowControl w:val="0"/>
        <w:ind w:left="567"/>
        <w:rPr>
          <w:rFonts w:cs="Arial"/>
          <w:b w:val="0"/>
          <w:color w:val="548DD4" w:themeColor="text2" w:themeTint="99"/>
          <w:sz w:val="20"/>
          <w:szCs w:val="20"/>
          <w:lang w:eastAsia="en-GB"/>
        </w:rPr>
      </w:pPr>
    </w:p>
    <w:p w:rsidR="00E51139" w:rsidRPr="00DA10BC" w:rsidRDefault="005C68D8" w:rsidP="008121B1">
      <w:pPr>
        <w:pStyle w:val="Subtitle"/>
        <w:ind w:left="567" w:hanging="567"/>
        <w:rPr>
          <w:b/>
          <w:color w:val="auto"/>
          <w:sz w:val="22"/>
          <w:szCs w:val="22"/>
        </w:rPr>
      </w:pPr>
      <w:r w:rsidRPr="00DA10BC">
        <w:rPr>
          <w:b/>
          <w:color w:val="auto"/>
          <w:sz w:val="22"/>
          <w:szCs w:val="22"/>
        </w:rPr>
        <w:t>2</w:t>
      </w:r>
      <w:r w:rsidR="000A1BAE" w:rsidRPr="00DA10BC">
        <w:rPr>
          <w:b/>
          <w:color w:val="auto"/>
          <w:sz w:val="22"/>
          <w:szCs w:val="22"/>
        </w:rPr>
        <w:t>6</w:t>
      </w:r>
      <w:r w:rsidR="00E51139" w:rsidRPr="00DA10BC">
        <w:rPr>
          <w:b/>
          <w:color w:val="auto"/>
          <w:sz w:val="22"/>
          <w:szCs w:val="22"/>
        </w:rPr>
        <w:t>.</w:t>
      </w:r>
      <w:r w:rsidR="00E51139" w:rsidRPr="00DA10BC">
        <w:rPr>
          <w:b/>
          <w:color w:val="auto"/>
          <w:sz w:val="22"/>
          <w:szCs w:val="22"/>
        </w:rPr>
        <w:tab/>
        <w:t>Members’ Allowances</w:t>
      </w:r>
    </w:p>
    <w:p w:rsidR="00E51139" w:rsidRPr="00DA10BC" w:rsidRDefault="00E51139" w:rsidP="00A34492">
      <w:pPr>
        <w:pStyle w:val="CodeNotesExampleHead"/>
        <w:widowControl w:val="0"/>
        <w:ind w:left="567"/>
        <w:outlineLvl w:val="0"/>
        <w:rPr>
          <w:rFonts w:cs="Arial"/>
          <w:b w:val="0"/>
          <w:color w:val="auto"/>
          <w:sz w:val="20"/>
          <w:szCs w:val="20"/>
          <w:lang w:eastAsia="en-GB"/>
        </w:rPr>
      </w:pPr>
      <w:r w:rsidRPr="00DA10BC">
        <w:rPr>
          <w:rFonts w:cs="Arial"/>
          <w:b w:val="0"/>
          <w:color w:val="auto"/>
          <w:sz w:val="20"/>
          <w:szCs w:val="20"/>
          <w:lang w:eastAsia="en-GB"/>
        </w:rPr>
        <w:t xml:space="preserve">Under the Council’s Members Allowances scheme </w:t>
      </w:r>
      <w:r w:rsidR="00A34492" w:rsidRPr="00DA10BC">
        <w:rPr>
          <w:rFonts w:cs="Arial"/>
          <w:b w:val="0"/>
          <w:color w:val="auto"/>
          <w:sz w:val="20"/>
          <w:szCs w:val="20"/>
          <w:lang w:eastAsia="en-GB"/>
        </w:rPr>
        <w:t>£</w:t>
      </w:r>
      <w:r w:rsidR="00617F5B" w:rsidRPr="00DA10BC">
        <w:rPr>
          <w:rFonts w:cs="Arial"/>
          <w:b w:val="0"/>
          <w:color w:val="auto"/>
          <w:sz w:val="20"/>
          <w:szCs w:val="20"/>
          <w:lang w:eastAsia="en-GB"/>
        </w:rPr>
        <w:t>4</w:t>
      </w:r>
      <w:r w:rsidR="00DA10BC" w:rsidRPr="00DA10BC">
        <w:rPr>
          <w:rFonts w:cs="Arial"/>
          <w:b w:val="0"/>
          <w:color w:val="auto"/>
          <w:sz w:val="20"/>
          <w:szCs w:val="20"/>
          <w:lang w:eastAsia="en-GB"/>
        </w:rPr>
        <w:t>32</w:t>
      </w:r>
      <w:r w:rsidR="00617F5B" w:rsidRPr="00DA10BC">
        <w:rPr>
          <w:rFonts w:cs="Arial"/>
          <w:b w:val="0"/>
          <w:color w:val="auto"/>
          <w:sz w:val="20"/>
          <w:szCs w:val="20"/>
          <w:lang w:eastAsia="en-GB"/>
        </w:rPr>
        <w:t>,000</w:t>
      </w:r>
      <w:r w:rsidR="00A34492" w:rsidRPr="00DA10BC">
        <w:rPr>
          <w:rFonts w:cs="Arial"/>
          <w:b w:val="0"/>
          <w:color w:val="auto"/>
          <w:sz w:val="20"/>
          <w:szCs w:val="20"/>
          <w:lang w:eastAsia="en-GB"/>
        </w:rPr>
        <w:t xml:space="preserve"> (£4</w:t>
      </w:r>
      <w:r w:rsidR="009A73F1" w:rsidRPr="00DA10BC">
        <w:rPr>
          <w:rFonts w:cs="Arial"/>
          <w:b w:val="0"/>
          <w:color w:val="auto"/>
          <w:sz w:val="20"/>
          <w:szCs w:val="20"/>
          <w:lang w:eastAsia="en-GB"/>
        </w:rPr>
        <w:t>29</w:t>
      </w:r>
      <w:r w:rsidR="00A34492" w:rsidRPr="00DA10BC">
        <w:rPr>
          <w:rFonts w:cs="Arial"/>
          <w:b w:val="0"/>
          <w:color w:val="auto"/>
          <w:sz w:val="20"/>
          <w:szCs w:val="20"/>
          <w:lang w:eastAsia="en-GB"/>
        </w:rPr>
        <w:t>,000 201</w:t>
      </w:r>
      <w:r w:rsidR="009A73F1" w:rsidRPr="00DA10BC">
        <w:rPr>
          <w:rFonts w:cs="Arial"/>
          <w:b w:val="0"/>
          <w:color w:val="auto"/>
          <w:sz w:val="20"/>
          <w:szCs w:val="20"/>
          <w:lang w:eastAsia="en-GB"/>
        </w:rPr>
        <w:t>4</w:t>
      </w:r>
      <w:r w:rsidR="00A34492" w:rsidRPr="00DA10BC">
        <w:rPr>
          <w:rFonts w:cs="Arial"/>
          <w:b w:val="0"/>
          <w:color w:val="auto"/>
          <w:sz w:val="20"/>
          <w:szCs w:val="20"/>
          <w:lang w:eastAsia="en-GB"/>
        </w:rPr>
        <w:t>/1</w:t>
      </w:r>
      <w:r w:rsidR="009A73F1" w:rsidRPr="00DA10BC">
        <w:rPr>
          <w:rFonts w:cs="Arial"/>
          <w:b w:val="0"/>
          <w:color w:val="auto"/>
          <w:sz w:val="20"/>
          <w:szCs w:val="20"/>
          <w:lang w:eastAsia="en-GB"/>
        </w:rPr>
        <w:t>5</w:t>
      </w:r>
      <w:r w:rsidR="00A34492" w:rsidRPr="00DA10BC">
        <w:rPr>
          <w:rFonts w:cs="Arial"/>
          <w:b w:val="0"/>
          <w:color w:val="auto"/>
          <w:sz w:val="20"/>
          <w:szCs w:val="20"/>
          <w:lang w:eastAsia="en-GB"/>
        </w:rPr>
        <w:t xml:space="preserve">) </w:t>
      </w:r>
      <w:r w:rsidRPr="00DA10BC">
        <w:rPr>
          <w:rFonts w:cs="Arial"/>
          <w:b w:val="0"/>
          <w:color w:val="auto"/>
          <w:sz w:val="20"/>
          <w:szCs w:val="20"/>
          <w:lang w:eastAsia="en-GB"/>
        </w:rPr>
        <w:t>w</w:t>
      </w:r>
      <w:r w:rsidR="00A70FCC" w:rsidRPr="00DA10BC">
        <w:rPr>
          <w:rFonts w:cs="Arial"/>
          <w:b w:val="0"/>
          <w:color w:val="auto"/>
          <w:sz w:val="20"/>
          <w:szCs w:val="20"/>
          <w:lang w:eastAsia="en-GB"/>
        </w:rPr>
        <w:t>ere</w:t>
      </w:r>
      <w:r w:rsidRPr="00DA10BC">
        <w:rPr>
          <w:rFonts w:cs="Arial"/>
          <w:b w:val="0"/>
          <w:color w:val="auto"/>
          <w:sz w:val="20"/>
          <w:szCs w:val="20"/>
          <w:lang w:eastAsia="en-GB"/>
        </w:rPr>
        <w:t xml:space="preserve"> paid to members of the Council during the year</w:t>
      </w:r>
      <w:r w:rsidR="00A34492" w:rsidRPr="00DA10BC">
        <w:rPr>
          <w:rFonts w:cs="Arial"/>
          <w:b w:val="0"/>
          <w:color w:val="auto"/>
          <w:sz w:val="20"/>
          <w:szCs w:val="20"/>
          <w:lang w:eastAsia="en-GB"/>
        </w:rPr>
        <w:t>. In addition £</w:t>
      </w:r>
      <w:r w:rsidR="00DA10BC" w:rsidRPr="00DA10BC">
        <w:rPr>
          <w:rFonts w:cs="Arial"/>
          <w:b w:val="0"/>
          <w:color w:val="auto"/>
          <w:sz w:val="20"/>
          <w:szCs w:val="20"/>
          <w:lang w:eastAsia="en-GB"/>
        </w:rPr>
        <w:t>4</w:t>
      </w:r>
      <w:r w:rsidR="00617F5B" w:rsidRPr="00DA10BC">
        <w:rPr>
          <w:rFonts w:cs="Arial"/>
          <w:b w:val="0"/>
          <w:color w:val="auto"/>
          <w:sz w:val="20"/>
          <w:szCs w:val="20"/>
          <w:lang w:eastAsia="en-GB"/>
        </w:rPr>
        <w:t>,000</w:t>
      </w:r>
      <w:r w:rsidR="00A34492" w:rsidRPr="00DA10BC">
        <w:rPr>
          <w:rFonts w:cs="Arial"/>
          <w:b w:val="0"/>
          <w:color w:val="auto"/>
          <w:sz w:val="20"/>
          <w:szCs w:val="20"/>
          <w:lang w:eastAsia="en-GB"/>
        </w:rPr>
        <w:t xml:space="preserve"> of approved expenses </w:t>
      </w:r>
      <w:r w:rsidR="007E33E1" w:rsidRPr="00DA10BC">
        <w:rPr>
          <w:rFonts w:cs="Arial"/>
          <w:b w:val="0"/>
          <w:color w:val="auto"/>
          <w:sz w:val="20"/>
          <w:szCs w:val="20"/>
          <w:lang w:eastAsia="en-GB"/>
        </w:rPr>
        <w:t>was</w:t>
      </w:r>
      <w:r w:rsidR="00A34492" w:rsidRPr="00DA10BC">
        <w:rPr>
          <w:rFonts w:cs="Arial"/>
          <w:b w:val="0"/>
          <w:color w:val="auto"/>
          <w:sz w:val="20"/>
          <w:szCs w:val="20"/>
          <w:lang w:eastAsia="en-GB"/>
        </w:rPr>
        <w:t xml:space="preserve"> paid (£</w:t>
      </w:r>
      <w:r w:rsidR="009A73F1" w:rsidRPr="00DA10BC">
        <w:rPr>
          <w:rFonts w:cs="Arial"/>
          <w:b w:val="0"/>
          <w:color w:val="auto"/>
          <w:sz w:val="20"/>
          <w:szCs w:val="20"/>
          <w:lang w:eastAsia="en-GB"/>
        </w:rPr>
        <w:t>3</w:t>
      </w:r>
      <w:r w:rsidR="00A34492" w:rsidRPr="00DA10BC">
        <w:rPr>
          <w:rFonts w:cs="Arial"/>
          <w:b w:val="0"/>
          <w:color w:val="auto"/>
          <w:sz w:val="20"/>
          <w:szCs w:val="20"/>
          <w:lang w:eastAsia="en-GB"/>
        </w:rPr>
        <w:t>,000 201</w:t>
      </w:r>
      <w:r w:rsidR="009A73F1" w:rsidRPr="00DA10BC">
        <w:rPr>
          <w:rFonts w:cs="Arial"/>
          <w:b w:val="0"/>
          <w:color w:val="auto"/>
          <w:sz w:val="20"/>
          <w:szCs w:val="20"/>
          <w:lang w:eastAsia="en-GB"/>
        </w:rPr>
        <w:t>4</w:t>
      </w:r>
      <w:r w:rsidR="00A34492" w:rsidRPr="00DA10BC">
        <w:rPr>
          <w:rFonts w:cs="Arial"/>
          <w:b w:val="0"/>
          <w:color w:val="auto"/>
          <w:sz w:val="20"/>
          <w:szCs w:val="20"/>
          <w:lang w:eastAsia="en-GB"/>
        </w:rPr>
        <w:t>/1</w:t>
      </w:r>
      <w:r w:rsidR="009A73F1" w:rsidRPr="00DA10BC">
        <w:rPr>
          <w:rFonts w:cs="Arial"/>
          <w:b w:val="0"/>
          <w:color w:val="auto"/>
          <w:sz w:val="20"/>
          <w:szCs w:val="20"/>
          <w:lang w:eastAsia="en-GB"/>
        </w:rPr>
        <w:t>5</w:t>
      </w:r>
      <w:r w:rsidR="00A34492" w:rsidRPr="00DA10BC">
        <w:rPr>
          <w:rFonts w:cs="Arial"/>
          <w:b w:val="0"/>
          <w:color w:val="auto"/>
          <w:sz w:val="20"/>
          <w:szCs w:val="20"/>
          <w:lang w:eastAsia="en-GB"/>
        </w:rPr>
        <w:t xml:space="preserve">). </w:t>
      </w:r>
      <w:r w:rsidRPr="00DA10BC">
        <w:rPr>
          <w:rFonts w:cs="Arial"/>
          <w:b w:val="0"/>
          <w:color w:val="auto"/>
          <w:sz w:val="20"/>
          <w:szCs w:val="20"/>
          <w:lang w:eastAsia="en-GB"/>
        </w:rPr>
        <w:t xml:space="preserve">The current Allowances’ scheme can be found on the Council’s website at </w:t>
      </w:r>
    </w:p>
    <w:p w:rsidR="00A34492" w:rsidRPr="00DA10BC" w:rsidRDefault="00A34492" w:rsidP="00A34492">
      <w:pPr>
        <w:pStyle w:val="CodeNotesExampleHead"/>
        <w:widowControl w:val="0"/>
        <w:ind w:left="567"/>
        <w:outlineLvl w:val="0"/>
        <w:rPr>
          <w:color w:val="auto"/>
          <w:sz w:val="20"/>
          <w:szCs w:val="20"/>
        </w:rPr>
      </w:pPr>
    </w:p>
    <w:p w:rsidR="00E51139" w:rsidRDefault="00C555E7" w:rsidP="00C75CB3">
      <w:pPr>
        <w:pStyle w:val="BodyTextIndent"/>
        <w:ind w:left="567"/>
      </w:pPr>
      <w:hyperlink r:id="rId43" w:history="1">
        <w:r w:rsidR="00436163" w:rsidRPr="00436163">
          <w:rPr>
            <w:rStyle w:val="Hyperlink"/>
          </w:rPr>
          <w:t>Browse - Constitution</w:t>
        </w:r>
      </w:hyperlink>
    </w:p>
    <w:p w:rsidR="00436163" w:rsidRPr="00D42E0B" w:rsidRDefault="00436163" w:rsidP="00C75CB3">
      <w:pPr>
        <w:pStyle w:val="BodyTextIndent"/>
        <w:ind w:left="567"/>
        <w:rPr>
          <w:color w:val="548DD4" w:themeColor="text2" w:themeTint="99"/>
          <w:sz w:val="20"/>
          <w:szCs w:val="20"/>
        </w:rPr>
      </w:pPr>
    </w:p>
    <w:p w:rsidR="00E51139" w:rsidRPr="001B74D7" w:rsidRDefault="005C68D8" w:rsidP="00403335">
      <w:pPr>
        <w:pStyle w:val="Subtitle"/>
        <w:ind w:left="567" w:hanging="567"/>
        <w:rPr>
          <w:b/>
          <w:color w:val="auto"/>
          <w:sz w:val="22"/>
          <w:szCs w:val="22"/>
        </w:rPr>
      </w:pPr>
      <w:bookmarkStart w:id="2" w:name="OLE_LINK1"/>
      <w:r w:rsidRPr="001B74D7">
        <w:rPr>
          <w:b/>
          <w:color w:val="auto"/>
          <w:sz w:val="22"/>
          <w:szCs w:val="22"/>
        </w:rPr>
        <w:t>2</w:t>
      </w:r>
      <w:r w:rsidR="000A1BAE" w:rsidRPr="001B74D7">
        <w:rPr>
          <w:b/>
          <w:color w:val="auto"/>
          <w:sz w:val="22"/>
          <w:szCs w:val="22"/>
        </w:rPr>
        <w:t>7</w:t>
      </w:r>
      <w:r w:rsidR="00E51139" w:rsidRPr="001B74D7">
        <w:rPr>
          <w:b/>
          <w:color w:val="auto"/>
          <w:sz w:val="22"/>
          <w:szCs w:val="22"/>
        </w:rPr>
        <w:t>.</w:t>
      </w:r>
      <w:r w:rsidR="00E51139" w:rsidRPr="001B74D7">
        <w:rPr>
          <w:b/>
          <w:color w:val="auto"/>
          <w:sz w:val="22"/>
          <w:szCs w:val="22"/>
        </w:rPr>
        <w:tab/>
        <w:t xml:space="preserve">Officers’ Remuneration </w:t>
      </w:r>
    </w:p>
    <w:p w:rsidR="00E51139" w:rsidRDefault="00E51139" w:rsidP="003C5E34">
      <w:pPr>
        <w:pStyle w:val="CodeNotesExampleHead"/>
        <w:widowControl w:val="0"/>
        <w:ind w:left="567"/>
        <w:rPr>
          <w:rFonts w:cs="Arial"/>
          <w:b w:val="0"/>
          <w:color w:val="auto"/>
          <w:sz w:val="20"/>
          <w:szCs w:val="20"/>
          <w:lang w:eastAsia="en-GB"/>
        </w:rPr>
      </w:pPr>
      <w:r w:rsidRPr="001B74D7">
        <w:rPr>
          <w:rFonts w:cs="Arial"/>
          <w:b w:val="0"/>
          <w:color w:val="auto"/>
          <w:sz w:val="20"/>
          <w:szCs w:val="20"/>
          <w:lang w:eastAsia="en-GB"/>
        </w:rPr>
        <w:t>The remuneration paid to the Council’s senior employees is as follows:</w:t>
      </w: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Default="00320187" w:rsidP="003C5E34">
      <w:pPr>
        <w:pStyle w:val="CodeNotesExampleHead"/>
        <w:widowControl w:val="0"/>
        <w:ind w:left="567"/>
        <w:rPr>
          <w:rFonts w:cs="Arial"/>
          <w:b w:val="0"/>
          <w:color w:val="auto"/>
          <w:sz w:val="20"/>
          <w:szCs w:val="20"/>
          <w:lang w:eastAsia="en-GB"/>
        </w:rPr>
      </w:pPr>
    </w:p>
    <w:p w:rsidR="00320187" w:rsidRPr="001B74D7" w:rsidRDefault="00320187" w:rsidP="003C5E34">
      <w:pPr>
        <w:pStyle w:val="CodeNotesExampleHead"/>
        <w:widowControl w:val="0"/>
        <w:ind w:left="567"/>
        <w:rPr>
          <w:rFonts w:cs="Arial"/>
          <w:b w:val="0"/>
          <w:color w:val="auto"/>
          <w:sz w:val="20"/>
          <w:szCs w:val="20"/>
          <w:lang w:eastAsia="en-GB"/>
        </w:rPr>
      </w:pPr>
    </w:p>
    <w:p w:rsidR="00E51139" w:rsidRPr="001B74D7" w:rsidRDefault="00E51139" w:rsidP="003C5E34">
      <w:pPr>
        <w:pStyle w:val="CodeNotesExampleHead"/>
        <w:widowControl w:val="0"/>
        <w:ind w:left="567"/>
        <w:rPr>
          <w:rFonts w:cs="Arial"/>
          <w:b w:val="0"/>
          <w:color w:val="auto"/>
          <w:sz w:val="20"/>
          <w:szCs w:val="20"/>
          <w:lang w:eastAsia="en-GB"/>
        </w:rPr>
      </w:pPr>
    </w:p>
    <w:tbl>
      <w:tblPr>
        <w:tblStyle w:val="ListTable3-Accent51"/>
        <w:tblW w:w="9072" w:type="dxa"/>
        <w:tblLayout w:type="fixed"/>
        <w:tblLook w:val="01E0"/>
      </w:tblPr>
      <w:tblGrid>
        <w:gridCol w:w="2268"/>
        <w:gridCol w:w="993"/>
        <w:gridCol w:w="992"/>
        <w:gridCol w:w="1134"/>
        <w:gridCol w:w="1276"/>
        <w:gridCol w:w="1417"/>
        <w:gridCol w:w="992"/>
      </w:tblGrid>
      <w:tr w:rsidR="004A3CDB" w:rsidRPr="001E609C" w:rsidTr="001C0245">
        <w:trPr>
          <w:cnfStyle w:val="100000000000"/>
          <w:trHeight w:val="944"/>
        </w:trPr>
        <w:tc>
          <w:tcPr>
            <w:cnfStyle w:val="001000000100"/>
            <w:tcW w:w="2268" w:type="dxa"/>
          </w:tcPr>
          <w:p w:rsidR="00E51139" w:rsidRPr="001E609C" w:rsidRDefault="00E51139" w:rsidP="003C5E34">
            <w:pPr>
              <w:widowControl w:val="0"/>
              <w:spacing w:before="60" w:after="60" w:line="240" w:lineRule="auto"/>
              <w:jc w:val="center"/>
              <w:rPr>
                <w:rStyle w:val="ParaNumber"/>
                <w:rFonts w:ascii="Arial" w:hAnsi="Arial" w:cs="Arial"/>
                <w:color w:val="auto"/>
                <w:sz w:val="20"/>
                <w:szCs w:val="20"/>
              </w:rPr>
            </w:pPr>
          </w:p>
        </w:tc>
        <w:tc>
          <w:tcPr>
            <w:cnfStyle w:val="000010000000"/>
            <w:tcW w:w="993" w:type="dxa"/>
          </w:tcPr>
          <w:p w:rsidR="00E51139" w:rsidRPr="001E609C" w:rsidRDefault="00E51139" w:rsidP="003C5E34">
            <w:pPr>
              <w:widowControl w:val="0"/>
              <w:spacing w:before="60" w:after="60" w:line="240" w:lineRule="auto"/>
              <w:jc w:val="center"/>
              <w:rPr>
                <w:rStyle w:val="ParaNumber"/>
                <w:rFonts w:ascii="Arial" w:hAnsi="Arial" w:cs="Arial"/>
                <w:b w:val="0"/>
                <w:color w:val="auto"/>
                <w:sz w:val="20"/>
                <w:szCs w:val="20"/>
              </w:rPr>
            </w:pPr>
          </w:p>
        </w:tc>
        <w:tc>
          <w:tcPr>
            <w:tcW w:w="992" w:type="dxa"/>
          </w:tcPr>
          <w:p w:rsidR="00E51139" w:rsidRPr="001E609C" w:rsidRDefault="00E51139" w:rsidP="003C5E34">
            <w:pPr>
              <w:widowControl w:val="0"/>
              <w:spacing w:before="60" w:after="60" w:line="240" w:lineRule="auto"/>
              <w:jc w:val="center"/>
              <w:cnfStyle w:val="100000000000"/>
              <w:rPr>
                <w:rStyle w:val="ParaNumber"/>
                <w:rFonts w:ascii="Arial" w:hAnsi="Arial" w:cs="Arial"/>
                <w:b w:val="0"/>
                <w:color w:val="auto"/>
                <w:sz w:val="20"/>
                <w:szCs w:val="20"/>
              </w:rPr>
            </w:pPr>
            <w:r w:rsidRPr="001E609C">
              <w:rPr>
                <w:rStyle w:val="ParaNumber"/>
                <w:rFonts w:ascii="Arial" w:hAnsi="Arial" w:cs="Arial"/>
                <w:b w:val="0"/>
                <w:color w:val="auto"/>
                <w:sz w:val="20"/>
                <w:szCs w:val="20"/>
              </w:rPr>
              <w:t>Salary</w:t>
            </w:r>
          </w:p>
          <w:p w:rsidR="00403335" w:rsidRPr="001E609C" w:rsidRDefault="00403335" w:rsidP="003C5E34">
            <w:pPr>
              <w:widowControl w:val="0"/>
              <w:spacing w:before="60" w:after="60" w:line="240" w:lineRule="auto"/>
              <w:jc w:val="center"/>
              <w:cnfStyle w:val="100000000000"/>
              <w:rPr>
                <w:rStyle w:val="ParaNumber"/>
                <w:rFonts w:ascii="Arial" w:hAnsi="Arial" w:cs="Arial"/>
                <w:b w:val="0"/>
                <w:color w:val="auto"/>
                <w:sz w:val="20"/>
                <w:szCs w:val="20"/>
              </w:rPr>
            </w:pPr>
          </w:p>
          <w:p w:rsidR="00E51139" w:rsidRPr="001E609C" w:rsidRDefault="00E51139" w:rsidP="00403335">
            <w:pPr>
              <w:widowControl w:val="0"/>
              <w:spacing w:before="60" w:after="60" w:line="240" w:lineRule="auto"/>
              <w:cnfStyle w:val="100000000000"/>
              <w:rPr>
                <w:rStyle w:val="ParaNumber"/>
                <w:rFonts w:ascii="Arial" w:hAnsi="Arial" w:cs="Arial"/>
                <w:b w:val="0"/>
                <w:color w:val="auto"/>
                <w:sz w:val="20"/>
                <w:szCs w:val="20"/>
              </w:rPr>
            </w:pPr>
          </w:p>
        </w:tc>
        <w:tc>
          <w:tcPr>
            <w:cnfStyle w:val="000010000000"/>
            <w:tcW w:w="1134" w:type="dxa"/>
          </w:tcPr>
          <w:p w:rsidR="00E51139" w:rsidRPr="001E609C" w:rsidRDefault="00E51139" w:rsidP="003C5E34">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 xml:space="preserve">Expenses  </w:t>
            </w:r>
          </w:p>
          <w:p w:rsidR="00E51139" w:rsidRPr="001E609C" w:rsidRDefault="00E51139" w:rsidP="00403335">
            <w:pPr>
              <w:widowControl w:val="0"/>
              <w:spacing w:before="60" w:after="60" w:line="240" w:lineRule="auto"/>
              <w:rPr>
                <w:rStyle w:val="ParaNumber"/>
                <w:rFonts w:ascii="Arial" w:hAnsi="Arial" w:cs="Arial"/>
                <w:b w:val="0"/>
                <w:color w:val="auto"/>
                <w:sz w:val="20"/>
                <w:szCs w:val="20"/>
              </w:rPr>
            </w:pPr>
          </w:p>
        </w:tc>
        <w:tc>
          <w:tcPr>
            <w:tcW w:w="1276" w:type="dxa"/>
          </w:tcPr>
          <w:p w:rsidR="00E51139" w:rsidRPr="001E609C" w:rsidRDefault="00E51139" w:rsidP="00403335">
            <w:pPr>
              <w:widowControl w:val="0"/>
              <w:spacing w:before="60" w:after="60" w:line="240" w:lineRule="auto"/>
              <w:jc w:val="center"/>
              <w:cnfStyle w:val="100000000000"/>
              <w:rPr>
                <w:rStyle w:val="ParaNumber"/>
                <w:rFonts w:ascii="Arial" w:hAnsi="Arial" w:cs="Arial"/>
                <w:b w:val="0"/>
                <w:color w:val="auto"/>
                <w:sz w:val="20"/>
                <w:szCs w:val="20"/>
              </w:rPr>
            </w:pPr>
            <w:r w:rsidRPr="001E609C">
              <w:rPr>
                <w:rStyle w:val="ParaNumber"/>
                <w:rFonts w:ascii="Arial" w:hAnsi="Arial" w:cs="Arial"/>
                <w:b w:val="0"/>
                <w:color w:val="auto"/>
                <w:sz w:val="20"/>
                <w:szCs w:val="20"/>
              </w:rPr>
              <w:t>Compen-sation for Loss of Office</w:t>
            </w:r>
          </w:p>
        </w:tc>
        <w:tc>
          <w:tcPr>
            <w:cnfStyle w:val="000010000000"/>
            <w:tcW w:w="1417" w:type="dxa"/>
          </w:tcPr>
          <w:p w:rsidR="00E51139" w:rsidRPr="001E609C" w:rsidRDefault="00E51139" w:rsidP="00403335">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Pension Contribution at “common rate”</w:t>
            </w:r>
          </w:p>
        </w:tc>
        <w:tc>
          <w:tcPr>
            <w:cnfStyle w:val="000100001000"/>
            <w:tcW w:w="992" w:type="dxa"/>
          </w:tcPr>
          <w:p w:rsidR="00E51139" w:rsidRPr="001E609C" w:rsidRDefault="00E51139" w:rsidP="003C5E34">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Total</w:t>
            </w:r>
          </w:p>
          <w:p w:rsidR="00E51139" w:rsidRPr="001E609C" w:rsidRDefault="00E51139" w:rsidP="003C5E34">
            <w:pPr>
              <w:widowControl w:val="0"/>
              <w:spacing w:before="60" w:after="60" w:line="240" w:lineRule="auto"/>
              <w:jc w:val="center"/>
              <w:rPr>
                <w:rStyle w:val="ParaNumber"/>
                <w:rFonts w:ascii="Arial" w:hAnsi="Arial" w:cs="Arial"/>
                <w:b w:val="0"/>
                <w:color w:val="auto"/>
                <w:sz w:val="20"/>
                <w:szCs w:val="20"/>
              </w:rPr>
            </w:pPr>
          </w:p>
        </w:tc>
      </w:tr>
      <w:tr w:rsidR="004A3CDB" w:rsidRPr="001E609C" w:rsidTr="001C0245">
        <w:trPr>
          <w:cnfStyle w:val="000000100000"/>
          <w:trHeight w:val="318"/>
        </w:trPr>
        <w:tc>
          <w:tcPr>
            <w:cnfStyle w:val="001000000000"/>
            <w:tcW w:w="2268" w:type="dxa"/>
            <w:shd w:val="clear" w:color="auto" w:fill="4BACC6" w:themeFill="accent5"/>
          </w:tcPr>
          <w:p w:rsidR="00403335" w:rsidRPr="001E609C" w:rsidRDefault="00403335" w:rsidP="00D80758">
            <w:pPr>
              <w:widowControl w:val="0"/>
              <w:spacing w:before="60" w:after="60" w:line="240" w:lineRule="auto"/>
              <w:rPr>
                <w:rStyle w:val="ParaNumber"/>
                <w:rFonts w:ascii="Arial" w:hAnsi="Arial" w:cs="Arial"/>
                <w:b w:val="0"/>
                <w:color w:val="auto"/>
                <w:sz w:val="20"/>
                <w:szCs w:val="20"/>
              </w:rPr>
            </w:pPr>
          </w:p>
        </w:tc>
        <w:tc>
          <w:tcPr>
            <w:cnfStyle w:val="000010000000"/>
            <w:tcW w:w="993" w:type="dxa"/>
            <w:shd w:val="clear" w:color="auto" w:fill="4BACC6" w:themeFill="accent5"/>
          </w:tcPr>
          <w:p w:rsidR="00403335" w:rsidRPr="001E609C" w:rsidRDefault="00403335" w:rsidP="00D80758">
            <w:pPr>
              <w:widowControl w:val="0"/>
              <w:spacing w:before="60" w:after="60" w:line="240" w:lineRule="auto"/>
              <w:jc w:val="center"/>
              <w:rPr>
                <w:rStyle w:val="ParaNumber"/>
                <w:rFonts w:ascii="Arial" w:hAnsi="Arial" w:cs="Arial"/>
                <w:color w:val="auto"/>
                <w:sz w:val="20"/>
                <w:szCs w:val="20"/>
              </w:rPr>
            </w:pPr>
          </w:p>
        </w:tc>
        <w:tc>
          <w:tcPr>
            <w:tcW w:w="992" w:type="dxa"/>
            <w:shd w:val="clear" w:color="auto" w:fill="4BACC6" w:themeFill="accent5"/>
          </w:tcPr>
          <w:p w:rsidR="00403335" w:rsidRPr="001E609C" w:rsidRDefault="00403335" w:rsidP="00D80758">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£000’s</w:t>
            </w:r>
          </w:p>
        </w:tc>
        <w:tc>
          <w:tcPr>
            <w:cnfStyle w:val="000010000000"/>
            <w:tcW w:w="1134" w:type="dxa"/>
            <w:shd w:val="clear" w:color="auto" w:fill="4BACC6" w:themeFill="accent5"/>
          </w:tcPr>
          <w:p w:rsidR="00403335" w:rsidRPr="001E609C" w:rsidRDefault="00403335" w:rsidP="00D80758">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£000’s</w:t>
            </w:r>
          </w:p>
        </w:tc>
        <w:tc>
          <w:tcPr>
            <w:tcW w:w="1276" w:type="dxa"/>
            <w:shd w:val="clear" w:color="auto" w:fill="4BACC6" w:themeFill="accent5"/>
          </w:tcPr>
          <w:p w:rsidR="00403335" w:rsidRPr="001E609C" w:rsidRDefault="00403335" w:rsidP="00D80758">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£000’s</w:t>
            </w:r>
          </w:p>
        </w:tc>
        <w:tc>
          <w:tcPr>
            <w:cnfStyle w:val="000010000000"/>
            <w:tcW w:w="1417" w:type="dxa"/>
            <w:shd w:val="clear" w:color="auto" w:fill="4BACC6" w:themeFill="accent5"/>
          </w:tcPr>
          <w:p w:rsidR="00403335" w:rsidRPr="001E609C" w:rsidRDefault="00403335" w:rsidP="00D80758">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£000’s</w:t>
            </w:r>
          </w:p>
        </w:tc>
        <w:tc>
          <w:tcPr>
            <w:cnfStyle w:val="000100000000"/>
            <w:tcW w:w="992" w:type="dxa"/>
            <w:shd w:val="clear" w:color="auto" w:fill="4BACC6" w:themeFill="accent5"/>
          </w:tcPr>
          <w:p w:rsidR="00403335" w:rsidRPr="001E609C" w:rsidRDefault="00403335" w:rsidP="00D80758">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£000’s</w:t>
            </w:r>
          </w:p>
        </w:tc>
      </w:tr>
      <w:tr w:rsidR="004A3CDB" w:rsidRPr="001E609C" w:rsidTr="001C0245">
        <w:trPr>
          <w:trHeight w:val="318"/>
        </w:trPr>
        <w:tc>
          <w:tcPr>
            <w:cnfStyle w:val="001000000000"/>
            <w:tcW w:w="2268" w:type="dxa"/>
            <w:vMerge w:val="restart"/>
          </w:tcPr>
          <w:p w:rsidR="00D80758" w:rsidRPr="001E609C" w:rsidRDefault="00D80758" w:rsidP="00EE4204">
            <w:pPr>
              <w:widowControl w:val="0"/>
              <w:spacing w:before="60" w:after="60" w:line="240" w:lineRule="auto"/>
              <w:rPr>
                <w:rStyle w:val="ParaNumber"/>
                <w:rFonts w:ascii="Arial" w:hAnsi="Arial" w:cs="Arial"/>
                <w:b w:val="0"/>
                <w:color w:val="auto"/>
                <w:sz w:val="20"/>
                <w:szCs w:val="20"/>
              </w:rPr>
            </w:pPr>
            <w:r w:rsidRPr="001E609C">
              <w:rPr>
                <w:rStyle w:val="ParaNumber"/>
                <w:rFonts w:ascii="Arial" w:hAnsi="Arial" w:cs="Arial"/>
                <w:b w:val="0"/>
                <w:color w:val="auto"/>
                <w:sz w:val="20"/>
                <w:szCs w:val="20"/>
              </w:rPr>
              <w:t xml:space="preserve">Steve Parrock - Executive Director </w:t>
            </w:r>
          </w:p>
        </w:tc>
        <w:tc>
          <w:tcPr>
            <w:cnfStyle w:val="000010000000"/>
            <w:tcW w:w="993" w:type="dxa"/>
          </w:tcPr>
          <w:p w:rsidR="00D80758" w:rsidRPr="001E609C" w:rsidRDefault="00D80758" w:rsidP="009A73F1">
            <w:pPr>
              <w:widowControl w:val="0"/>
              <w:spacing w:before="60" w:after="60" w:line="240" w:lineRule="auto"/>
              <w:jc w:val="center"/>
              <w:rPr>
                <w:rStyle w:val="ParaNumber"/>
                <w:rFonts w:ascii="Arial" w:hAnsi="Arial" w:cs="Arial"/>
                <w:b/>
                <w:color w:val="auto"/>
                <w:sz w:val="20"/>
                <w:szCs w:val="20"/>
              </w:rPr>
            </w:pPr>
            <w:r w:rsidRPr="001E609C">
              <w:rPr>
                <w:rStyle w:val="ParaNumber"/>
                <w:rFonts w:ascii="Arial" w:hAnsi="Arial" w:cs="Arial"/>
                <w:b/>
                <w:color w:val="auto"/>
                <w:sz w:val="20"/>
                <w:szCs w:val="20"/>
              </w:rPr>
              <w:t>201</w:t>
            </w:r>
            <w:r w:rsidR="009A73F1" w:rsidRPr="001E609C">
              <w:rPr>
                <w:rStyle w:val="ParaNumber"/>
                <w:rFonts w:ascii="Arial" w:hAnsi="Arial" w:cs="Arial"/>
                <w:b/>
                <w:color w:val="auto"/>
                <w:sz w:val="20"/>
                <w:szCs w:val="20"/>
              </w:rPr>
              <w:t>5</w:t>
            </w:r>
            <w:r w:rsidRPr="001E609C">
              <w:rPr>
                <w:rStyle w:val="ParaNumber"/>
                <w:rFonts w:ascii="Arial" w:hAnsi="Arial" w:cs="Arial"/>
                <w:b/>
                <w:color w:val="auto"/>
                <w:sz w:val="20"/>
                <w:szCs w:val="20"/>
              </w:rPr>
              <w:t>/1</w:t>
            </w:r>
            <w:r w:rsidR="009A73F1" w:rsidRPr="001E609C">
              <w:rPr>
                <w:rStyle w:val="ParaNumber"/>
                <w:rFonts w:ascii="Arial" w:hAnsi="Arial" w:cs="Arial"/>
                <w:b/>
                <w:color w:val="auto"/>
                <w:sz w:val="20"/>
                <w:szCs w:val="20"/>
              </w:rPr>
              <w:t>6</w:t>
            </w:r>
          </w:p>
        </w:tc>
        <w:tc>
          <w:tcPr>
            <w:tcW w:w="992" w:type="dxa"/>
          </w:tcPr>
          <w:p w:rsidR="00D80758" w:rsidRPr="001E609C" w:rsidRDefault="00FE5BF3" w:rsidP="00D80758">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137</w:t>
            </w:r>
          </w:p>
        </w:tc>
        <w:tc>
          <w:tcPr>
            <w:cnfStyle w:val="000010000000"/>
            <w:tcW w:w="1134" w:type="dxa"/>
          </w:tcPr>
          <w:p w:rsidR="00D80758" w:rsidRPr="001E609C" w:rsidRDefault="00FE5BF3" w:rsidP="00D80758">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0</w:t>
            </w:r>
          </w:p>
        </w:tc>
        <w:tc>
          <w:tcPr>
            <w:tcW w:w="1276" w:type="dxa"/>
          </w:tcPr>
          <w:p w:rsidR="00D80758" w:rsidRPr="001E609C" w:rsidRDefault="00FE5BF3" w:rsidP="00D80758">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0</w:t>
            </w:r>
          </w:p>
        </w:tc>
        <w:tc>
          <w:tcPr>
            <w:cnfStyle w:val="000010000000"/>
            <w:tcW w:w="1417" w:type="dxa"/>
          </w:tcPr>
          <w:p w:rsidR="00D80758" w:rsidRPr="001E609C" w:rsidRDefault="00FE5BF3" w:rsidP="00D80758">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13</w:t>
            </w:r>
          </w:p>
        </w:tc>
        <w:tc>
          <w:tcPr>
            <w:cnfStyle w:val="000100000000"/>
            <w:tcW w:w="992" w:type="dxa"/>
          </w:tcPr>
          <w:p w:rsidR="00D80758" w:rsidRPr="001E609C" w:rsidRDefault="00FE5BF3" w:rsidP="00D80758">
            <w:pPr>
              <w:widowControl w:val="0"/>
              <w:spacing w:before="60" w:after="60" w:line="240" w:lineRule="auto"/>
              <w:jc w:val="center"/>
              <w:rPr>
                <w:rStyle w:val="ParaNumber"/>
                <w:rFonts w:ascii="Arial" w:hAnsi="Arial" w:cs="Arial"/>
                <w:color w:val="auto"/>
                <w:sz w:val="20"/>
                <w:szCs w:val="20"/>
              </w:rPr>
            </w:pPr>
            <w:r>
              <w:rPr>
                <w:rStyle w:val="ParaNumber"/>
                <w:rFonts w:ascii="Arial" w:hAnsi="Arial" w:cs="Arial"/>
                <w:color w:val="auto"/>
                <w:sz w:val="20"/>
                <w:szCs w:val="20"/>
              </w:rPr>
              <w:t>150</w:t>
            </w:r>
          </w:p>
        </w:tc>
      </w:tr>
      <w:tr w:rsidR="009A73F1" w:rsidRPr="001E609C" w:rsidTr="001C0245">
        <w:trPr>
          <w:cnfStyle w:val="000000100000"/>
          <w:trHeight w:val="318"/>
        </w:trPr>
        <w:tc>
          <w:tcPr>
            <w:cnfStyle w:val="001000000000"/>
            <w:tcW w:w="2268" w:type="dxa"/>
          </w:tcPr>
          <w:p w:rsidR="009A73F1" w:rsidRPr="001E609C" w:rsidRDefault="009A73F1" w:rsidP="00D80758">
            <w:pPr>
              <w:widowControl w:val="0"/>
              <w:spacing w:before="60" w:after="60" w:line="240" w:lineRule="auto"/>
              <w:rPr>
                <w:rStyle w:val="ParaNumber"/>
                <w:rFonts w:ascii="Arial" w:hAnsi="Arial" w:cs="Arial"/>
                <w:b w:val="0"/>
                <w:color w:val="auto"/>
                <w:sz w:val="20"/>
                <w:szCs w:val="20"/>
              </w:rPr>
            </w:pPr>
          </w:p>
        </w:tc>
        <w:tc>
          <w:tcPr>
            <w:cnfStyle w:val="000010000000"/>
            <w:tcW w:w="993" w:type="dxa"/>
          </w:tcPr>
          <w:p w:rsidR="009A73F1" w:rsidRPr="001E609C" w:rsidRDefault="009A73F1" w:rsidP="009A73F1">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2014/15</w:t>
            </w:r>
          </w:p>
        </w:tc>
        <w:tc>
          <w:tcPr>
            <w:tcW w:w="992" w:type="dxa"/>
          </w:tcPr>
          <w:p w:rsidR="009A73F1" w:rsidRPr="001E609C" w:rsidRDefault="009A73F1" w:rsidP="009A73F1">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137</w:t>
            </w:r>
          </w:p>
        </w:tc>
        <w:tc>
          <w:tcPr>
            <w:cnfStyle w:val="000010000000"/>
            <w:tcW w:w="1134" w:type="dxa"/>
          </w:tcPr>
          <w:p w:rsidR="009A73F1" w:rsidRPr="001E609C" w:rsidRDefault="009A73F1" w:rsidP="009A73F1">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tcW w:w="1276" w:type="dxa"/>
          </w:tcPr>
          <w:p w:rsidR="009A73F1" w:rsidRPr="001E609C" w:rsidRDefault="009A73F1" w:rsidP="009A73F1">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cnfStyle w:val="000010000000"/>
            <w:tcW w:w="1417" w:type="dxa"/>
          </w:tcPr>
          <w:p w:rsidR="009A73F1" w:rsidRPr="001E609C" w:rsidRDefault="009A73F1" w:rsidP="009A73F1">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13</w:t>
            </w:r>
          </w:p>
        </w:tc>
        <w:tc>
          <w:tcPr>
            <w:cnfStyle w:val="000100000000"/>
            <w:tcW w:w="992" w:type="dxa"/>
          </w:tcPr>
          <w:p w:rsidR="009A73F1" w:rsidRPr="001E609C" w:rsidRDefault="009A73F1" w:rsidP="009A73F1">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150</w:t>
            </w:r>
          </w:p>
        </w:tc>
      </w:tr>
      <w:tr w:rsidR="009A73F1" w:rsidRPr="001E609C" w:rsidTr="001C0245">
        <w:trPr>
          <w:trHeight w:val="522"/>
        </w:trPr>
        <w:tc>
          <w:tcPr>
            <w:cnfStyle w:val="001000000000"/>
            <w:tcW w:w="2268" w:type="dxa"/>
            <w:vMerge w:val="restart"/>
          </w:tcPr>
          <w:p w:rsidR="009A73F1" w:rsidRPr="001E609C" w:rsidRDefault="009A73F1" w:rsidP="009054CB">
            <w:pPr>
              <w:widowControl w:val="0"/>
              <w:spacing w:before="60" w:after="60" w:line="240" w:lineRule="auto"/>
              <w:rPr>
                <w:rStyle w:val="ParaNumber"/>
                <w:rFonts w:ascii="Arial" w:hAnsi="Arial" w:cs="Arial"/>
                <w:b w:val="0"/>
                <w:color w:val="auto"/>
                <w:sz w:val="20"/>
                <w:szCs w:val="20"/>
              </w:rPr>
            </w:pPr>
            <w:r w:rsidRPr="001E609C">
              <w:rPr>
                <w:rStyle w:val="ParaNumber"/>
                <w:rFonts w:ascii="Arial" w:hAnsi="Arial" w:cs="Arial"/>
                <w:b w:val="0"/>
                <w:color w:val="auto"/>
                <w:sz w:val="20"/>
                <w:szCs w:val="20"/>
              </w:rPr>
              <w:t>Director of Adult</w:t>
            </w:r>
            <w:r w:rsidR="009054CB">
              <w:rPr>
                <w:rStyle w:val="ParaNumber"/>
                <w:rFonts w:ascii="Arial" w:hAnsi="Arial" w:cs="Arial"/>
                <w:b w:val="0"/>
                <w:color w:val="auto"/>
                <w:sz w:val="20"/>
                <w:szCs w:val="20"/>
              </w:rPr>
              <w:t xml:space="preserve"> Social Care</w:t>
            </w:r>
          </w:p>
        </w:tc>
        <w:tc>
          <w:tcPr>
            <w:cnfStyle w:val="000010000000"/>
            <w:tcW w:w="993" w:type="dxa"/>
          </w:tcPr>
          <w:p w:rsidR="009A73F1" w:rsidRPr="001E609C" w:rsidRDefault="001E609C" w:rsidP="004A3CDB">
            <w:pPr>
              <w:widowControl w:val="0"/>
              <w:spacing w:before="60" w:after="60" w:line="240" w:lineRule="auto"/>
              <w:jc w:val="center"/>
              <w:rPr>
                <w:rStyle w:val="ParaNumber"/>
                <w:rFonts w:ascii="Arial" w:hAnsi="Arial" w:cs="Arial"/>
                <w:b/>
                <w:color w:val="auto"/>
                <w:sz w:val="20"/>
                <w:szCs w:val="20"/>
              </w:rPr>
            </w:pPr>
            <w:r w:rsidRPr="001E609C">
              <w:rPr>
                <w:rStyle w:val="ParaNumber"/>
                <w:rFonts w:ascii="Arial" w:hAnsi="Arial" w:cs="Arial"/>
                <w:b/>
                <w:color w:val="auto"/>
                <w:sz w:val="20"/>
                <w:szCs w:val="20"/>
              </w:rPr>
              <w:t>2015/16</w:t>
            </w:r>
          </w:p>
        </w:tc>
        <w:tc>
          <w:tcPr>
            <w:tcW w:w="992" w:type="dxa"/>
          </w:tcPr>
          <w:p w:rsidR="009A73F1" w:rsidRPr="001E609C" w:rsidRDefault="00FE5BF3" w:rsidP="00D80758">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92</w:t>
            </w:r>
          </w:p>
        </w:tc>
        <w:tc>
          <w:tcPr>
            <w:cnfStyle w:val="000010000000"/>
            <w:tcW w:w="1134" w:type="dxa"/>
          </w:tcPr>
          <w:p w:rsidR="009A73F1" w:rsidRPr="001E609C" w:rsidRDefault="00FE5BF3" w:rsidP="00D80758">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1</w:t>
            </w:r>
          </w:p>
        </w:tc>
        <w:tc>
          <w:tcPr>
            <w:tcW w:w="1276" w:type="dxa"/>
          </w:tcPr>
          <w:p w:rsidR="009A73F1" w:rsidRPr="001E609C" w:rsidRDefault="00FE5BF3" w:rsidP="00D80758">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0</w:t>
            </w:r>
          </w:p>
        </w:tc>
        <w:tc>
          <w:tcPr>
            <w:cnfStyle w:val="000010000000"/>
            <w:tcW w:w="1417" w:type="dxa"/>
          </w:tcPr>
          <w:p w:rsidR="009A73F1" w:rsidRPr="001E609C" w:rsidRDefault="00FE5BF3" w:rsidP="00D80758">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12</w:t>
            </w:r>
          </w:p>
        </w:tc>
        <w:tc>
          <w:tcPr>
            <w:cnfStyle w:val="000100000000"/>
            <w:tcW w:w="992" w:type="dxa"/>
          </w:tcPr>
          <w:p w:rsidR="009A73F1" w:rsidRPr="001E609C" w:rsidRDefault="00FE5BF3" w:rsidP="00D80758">
            <w:pPr>
              <w:widowControl w:val="0"/>
              <w:spacing w:before="60" w:after="60" w:line="240" w:lineRule="auto"/>
              <w:jc w:val="center"/>
              <w:rPr>
                <w:rStyle w:val="ParaNumber"/>
                <w:rFonts w:ascii="Arial" w:hAnsi="Arial" w:cs="Arial"/>
                <w:color w:val="auto"/>
                <w:sz w:val="20"/>
                <w:szCs w:val="20"/>
              </w:rPr>
            </w:pPr>
            <w:r>
              <w:rPr>
                <w:rStyle w:val="ParaNumber"/>
                <w:rFonts w:ascii="Arial" w:hAnsi="Arial" w:cs="Arial"/>
                <w:color w:val="auto"/>
                <w:sz w:val="20"/>
                <w:szCs w:val="20"/>
              </w:rPr>
              <w:t>105</w:t>
            </w:r>
          </w:p>
        </w:tc>
      </w:tr>
      <w:tr w:rsidR="009A73F1" w:rsidRPr="001E609C" w:rsidTr="001C0245">
        <w:trPr>
          <w:cnfStyle w:val="000000100000"/>
          <w:trHeight w:val="522"/>
        </w:trPr>
        <w:tc>
          <w:tcPr>
            <w:cnfStyle w:val="001000000000"/>
            <w:tcW w:w="2268" w:type="dxa"/>
          </w:tcPr>
          <w:p w:rsidR="009A73F1" w:rsidRPr="001E609C" w:rsidRDefault="009A73F1" w:rsidP="0061474B">
            <w:pPr>
              <w:widowControl w:val="0"/>
              <w:spacing w:before="60" w:after="60" w:line="240" w:lineRule="auto"/>
              <w:rPr>
                <w:rStyle w:val="ParaNumber"/>
                <w:rFonts w:ascii="Arial" w:hAnsi="Arial" w:cs="Arial"/>
                <w:b w:val="0"/>
                <w:color w:val="auto"/>
                <w:sz w:val="20"/>
                <w:szCs w:val="20"/>
              </w:rPr>
            </w:pPr>
          </w:p>
        </w:tc>
        <w:tc>
          <w:tcPr>
            <w:cnfStyle w:val="000010000000"/>
            <w:tcW w:w="993" w:type="dxa"/>
          </w:tcPr>
          <w:p w:rsidR="009A73F1" w:rsidRPr="001E609C" w:rsidRDefault="009A73F1" w:rsidP="009A73F1">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2014/15</w:t>
            </w:r>
          </w:p>
        </w:tc>
        <w:tc>
          <w:tcPr>
            <w:tcW w:w="992" w:type="dxa"/>
          </w:tcPr>
          <w:p w:rsidR="009A73F1" w:rsidRPr="001E609C" w:rsidRDefault="009A73F1" w:rsidP="009A73F1">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88</w:t>
            </w:r>
          </w:p>
        </w:tc>
        <w:tc>
          <w:tcPr>
            <w:cnfStyle w:val="000010000000"/>
            <w:tcW w:w="1134" w:type="dxa"/>
          </w:tcPr>
          <w:p w:rsidR="009A73F1" w:rsidRPr="001E609C" w:rsidRDefault="009A73F1" w:rsidP="009A73F1">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w:t>
            </w:r>
          </w:p>
        </w:tc>
        <w:tc>
          <w:tcPr>
            <w:tcW w:w="1276" w:type="dxa"/>
          </w:tcPr>
          <w:p w:rsidR="009A73F1" w:rsidRPr="001E609C" w:rsidRDefault="009A73F1" w:rsidP="009A73F1">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cnfStyle w:val="000010000000"/>
            <w:tcW w:w="1417" w:type="dxa"/>
          </w:tcPr>
          <w:p w:rsidR="009A73F1" w:rsidRPr="001E609C" w:rsidRDefault="009A73F1" w:rsidP="009A73F1">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12</w:t>
            </w:r>
          </w:p>
        </w:tc>
        <w:tc>
          <w:tcPr>
            <w:cnfStyle w:val="000100000000"/>
            <w:tcW w:w="992" w:type="dxa"/>
          </w:tcPr>
          <w:p w:rsidR="009A73F1" w:rsidRPr="001E609C" w:rsidRDefault="009A73F1" w:rsidP="009A73F1">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101</w:t>
            </w:r>
          </w:p>
        </w:tc>
      </w:tr>
      <w:tr w:rsidR="009A73F1" w:rsidRPr="001E609C" w:rsidTr="001C0245">
        <w:trPr>
          <w:trHeight w:val="354"/>
        </w:trPr>
        <w:tc>
          <w:tcPr>
            <w:cnfStyle w:val="001000000000"/>
            <w:tcW w:w="2268" w:type="dxa"/>
            <w:vMerge w:val="restart"/>
          </w:tcPr>
          <w:p w:rsidR="009A73F1" w:rsidRPr="001E609C" w:rsidRDefault="009A73F1" w:rsidP="008B25E8">
            <w:pPr>
              <w:widowControl w:val="0"/>
              <w:spacing w:before="60" w:after="60"/>
              <w:rPr>
                <w:rStyle w:val="ParaNumber"/>
                <w:rFonts w:ascii="Arial" w:hAnsi="Arial" w:cs="Arial"/>
                <w:b w:val="0"/>
                <w:color w:val="auto"/>
                <w:sz w:val="20"/>
                <w:szCs w:val="20"/>
              </w:rPr>
            </w:pPr>
            <w:r w:rsidRPr="001E609C">
              <w:rPr>
                <w:rStyle w:val="ParaNumber"/>
                <w:rFonts w:ascii="Arial" w:hAnsi="Arial" w:cs="Arial"/>
                <w:b w:val="0"/>
                <w:color w:val="auto"/>
                <w:sz w:val="20"/>
                <w:szCs w:val="20"/>
              </w:rPr>
              <w:t xml:space="preserve">Director of Children’s Services </w:t>
            </w:r>
            <w:r w:rsidR="00323E2C" w:rsidRPr="008B25E8">
              <w:rPr>
                <w:rStyle w:val="ParaNumber"/>
                <w:rFonts w:ascii="Arial" w:hAnsi="Arial" w:cs="Arial"/>
                <w:b w:val="0"/>
                <w:color w:val="auto"/>
                <w:sz w:val="20"/>
                <w:szCs w:val="20"/>
              </w:rPr>
              <w:t>(from</w:t>
            </w:r>
            <w:r w:rsidR="008B25E8" w:rsidRPr="008B25E8">
              <w:rPr>
                <w:rStyle w:val="ParaNumber"/>
                <w:rFonts w:ascii="Arial" w:hAnsi="Arial" w:cs="Arial"/>
                <w:b w:val="0"/>
                <w:color w:val="auto"/>
                <w:sz w:val="20"/>
                <w:szCs w:val="20"/>
              </w:rPr>
              <w:t xml:space="preserve"> August 2015</w:t>
            </w:r>
            <w:r w:rsidR="00323E2C" w:rsidRPr="008B25E8">
              <w:rPr>
                <w:rStyle w:val="ParaNumber"/>
                <w:rFonts w:ascii="Arial" w:hAnsi="Arial" w:cs="Arial"/>
                <w:b w:val="0"/>
                <w:color w:val="auto"/>
                <w:sz w:val="20"/>
                <w:szCs w:val="20"/>
              </w:rPr>
              <w:t>)</w:t>
            </w:r>
            <w:r w:rsidR="00DB1F69">
              <w:rPr>
                <w:rStyle w:val="ParaNumber"/>
                <w:rFonts w:ascii="Arial" w:hAnsi="Arial" w:cs="Arial"/>
                <w:b w:val="0"/>
                <w:color w:val="auto"/>
                <w:sz w:val="20"/>
                <w:szCs w:val="20"/>
              </w:rPr>
              <w:t xml:space="preserve"> </w:t>
            </w:r>
          </w:p>
        </w:tc>
        <w:tc>
          <w:tcPr>
            <w:cnfStyle w:val="000010000000"/>
            <w:tcW w:w="993" w:type="dxa"/>
          </w:tcPr>
          <w:p w:rsidR="009A73F1" w:rsidRPr="001E609C" w:rsidRDefault="009A73F1" w:rsidP="001E609C">
            <w:pPr>
              <w:widowControl w:val="0"/>
              <w:spacing w:before="60" w:after="60" w:line="240" w:lineRule="auto"/>
              <w:jc w:val="center"/>
              <w:rPr>
                <w:rStyle w:val="ParaNumber"/>
                <w:rFonts w:ascii="Arial" w:hAnsi="Arial" w:cs="Arial"/>
                <w:b/>
                <w:color w:val="auto"/>
                <w:sz w:val="20"/>
                <w:szCs w:val="20"/>
              </w:rPr>
            </w:pPr>
            <w:r w:rsidRPr="001E609C">
              <w:rPr>
                <w:rStyle w:val="ParaNumber"/>
                <w:rFonts w:ascii="Arial" w:hAnsi="Arial" w:cs="Arial"/>
                <w:b/>
                <w:color w:val="auto"/>
                <w:sz w:val="20"/>
                <w:szCs w:val="20"/>
              </w:rPr>
              <w:t>201</w:t>
            </w:r>
            <w:r w:rsidR="001E609C" w:rsidRPr="001E609C">
              <w:rPr>
                <w:rStyle w:val="ParaNumber"/>
                <w:rFonts w:ascii="Arial" w:hAnsi="Arial" w:cs="Arial"/>
                <w:b/>
                <w:color w:val="auto"/>
                <w:sz w:val="20"/>
                <w:szCs w:val="20"/>
              </w:rPr>
              <w:t>5</w:t>
            </w:r>
            <w:r w:rsidRPr="001E609C">
              <w:rPr>
                <w:rStyle w:val="ParaNumber"/>
                <w:rFonts w:ascii="Arial" w:hAnsi="Arial" w:cs="Arial"/>
                <w:b/>
                <w:color w:val="auto"/>
                <w:sz w:val="20"/>
                <w:szCs w:val="20"/>
              </w:rPr>
              <w:t>/1</w:t>
            </w:r>
            <w:r w:rsidR="001E609C" w:rsidRPr="001E609C">
              <w:rPr>
                <w:rStyle w:val="ParaNumber"/>
                <w:rFonts w:ascii="Arial" w:hAnsi="Arial" w:cs="Arial"/>
                <w:b/>
                <w:color w:val="auto"/>
                <w:sz w:val="20"/>
                <w:szCs w:val="20"/>
              </w:rPr>
              <w:t>6</w:t>
            </w:r>
          </w:p>
        </w:tc>
        <w:tc>
          <w:tcPr>
            <w:tcW w:w="992" w:type="dxa"/>
          </w:tcPr>
          <w:p w:rsidR="009A73F1" w:rsidRPr="001E609C" w:rsidRDefault="008B25E8" w:rsidP="00060A7C">
            <w:pPr>
              <w:widowControl w:val="0"/>
              <w:spacing w:before="60" w:after="60"/>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45</w:t>
            </w:r>
          </w:p>
        </w:tc>
        <w:tc>
          <w:tcPr>
            <w:cnfStyle w:val="000010000000"/>
            <w:tcW w:w="1134" w:type="dxa"/>
          </w:tcPr>
          <w:p w:rsidR="009A73F1" w:rsidRPr="001E609C" w:rsidRDefault="008B25E8" w:rsidP="00060A7C">
            <w:pPr>
              <w:widowControl w:val="0"/>
              <w:spacing w:before="60" w:after="60"/>
              <w:jc w:val="center"/>
              <w:rPr>
                <w:rStyle w:val="ParaNumber"/>
                <w:rFonts w:ascii="Arial" w:hAnsi="Arial" w:cs="Arial"/>
                <w:b/>
                <w:color w:val="auto"/>
                <w:sz w:val="20"/>
                <w:szCs w:val="20"/>
              </w:rPr>
            </w:pPr>
            <w:r>
              <w:rPr>
                <w:rStyle w:val="ParaNumber"/>
                <w:rFonts w:ascii="Arial" w:hAnsi="Arial" w:cs="Arial"/>
                <w:b/>
                <w:color w:val="auto"/>
                <w:sz w:val="20"/>
                <w:szCs w:val="20"/>
              </w:rPr>
              <w:t>0</w:t>
            </w:r>
          </w:p>
        </w:tc>
        <w:tc>
          <w:tcPr>
            <w:tcW w:w="1276" w:type="dxa"/>
          </w:tcPr>
          <w:p w:rsidR="009A73F1" w:rsidRPr="001E609C" w:rsidRDefault="008B25E8" w:rsidP="00060A7C">
            <w:pPr>
              <w:widowControl w:val="0"/>
              <w:spacing w:before="60" w:after="60"/>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0</w:t>
            </w:r>
          </w:p>
        </w:tc>
        <w:tc>
          <w:tcPr>
            <w:cnfStyle w:val="000010000000"/>
            <w:tcW w:w="1417" w:type="dxa"/>
          </w:tcPr>
          <w:p w:rsidR="009A73F1" w:rsidRPr="001E609C" w:rsidRDefault="008B25E8" w:rsidP="00060A7C">
            <w:pPr>
              <w:widowControl w:val="0"/>
              <w:spacing w:before="60" w:after="60"/>
              <w:jc w:val="center"/>
              <w:rPr>
                <w:rStyle w:val="ParaNumber"/>
                <w:rFonts w:ascii="Arial" w:hAnsi="Arial" w:cs="Arial"/>
                <w:b/>
                <w:color w:val="auto"/>
                <w:sz w:val="20"/>
                <w:szCs w:val="20"/>
              </w:rPr>
            </w:pPr>
            <w:r>
              <w:rPr>
                <w:rStyle w:val="ParaNumber"/>
                <w:rFonts w:ascii="Arial" w:hAnsi="Arial" w:cs="Arial"/>
                <w:b/>
                <w:color w:val="auto"/>
                <w:sz w:val="20"/>
                <w:szCs w:val="20"/>
              </w:rPr>
              <w:t>0</w:t>
            </w:r>
          </w:p>
        </w:tc>
        <w:tc>
          <w:tcPr>
            <w:cnfStyle w:val="000100000000"/>
            <w:tcW w:w="992" w:type="dxa"/>
          </w:tcPr>
          <w:p w:rsidR="009A73F1" w:rsidRPr="001E609C" w:rsidRDefault="008B25E8" w:rsidP="00060A7C">
            <w:pPr>
              <w:widowControl w:val="0"/>
              <w:spacing w:before="60" w:after="60"/>
              <w:jc w:val="center"/>
              <w:rPr>
                <w:rStyle w:val="ParaNumber"/>
                <w:rFonts w:ascii="Arial" w:hAnsi="Arial" w:cs="Arial"/>
                <w:color w:val="auto"/>
                <w:sz w:val="20"/>
                <w:szCs w:val="20"/>
              </w:rPr>
            </w:pPr>
            <w:r>
              <w:rPr>
                <w:rStyle w:val="ParaNumber"/>
                <w:rFonts w:ascii="Arial" w:hAnsi="Arial" w:cs="Arial"/>
                <w:color w:val="auto"/>
                <w:sz w:val="20"/>
                <w:szCs w:val="20"/>
              </w:rPr>
              <w:t>45</w:t>
            </w:r>
          </w:p>
        </w:tc>
      </w:tr>
      <w:tr w:rsidR="00167DC5" w:rsidRPr="001E609C" w:rsidTr="001C0245">
        <w:trPr>
          <w:cnfStyle w:val="000000100000"/>
          <w:trHeight w:val="354"/>
        </w:trPr>
        <w:tc>
          <w:tcPr>
            <w:cnfStyle w:val="001000000000"/>
            <w:tcW w:w="2268" w:type="dxa"/>
          </w:tcPr>
          <w:p w:rsidR="00167DC5" w:rsidRPr="001E609C" w:rsidRDefault="00167DC5" w:rsidP="00D67AE9">
            <w:pPr>
              <w:widowControl w:val="0"/>
              <w:spacing w:before="60" w:after="60"/>
              <w:rPr>
                <w:rStyle w:val="ParaNumber"/>
                <w:rFonts w:ascii="Arial" w:hAnsi="Arial" w:cs="Arial"/>
                <w:b w:val="0"/>
                <w:color w:val="auto"/>
                <w:sz w:val="20"/>
                <w:szCs w:val="20"/>
              </w:rPr>
            </w:pPr>
            <w:r w:rsidRPr="001E609C">
              <w:rPr>
                <w:rStyle w:val="ParaNumber"/>
                <w:rFonts w:ascii="Arial" w:hAnsi="Arial" w:cs="Arial"/>
                <w:b w:val="0"/>
                <w:color w:val="auto"/>
                <w:sz w:val="20"/>
                <w:szCs w:val="20"/>
              </w:rPr>
              <w:t xml:space="preserve">Director of Children’s </w:t>
            </w:r>
            <w:r w:rsidRPr="00D67AE9">
              <w:rPr>
                <w:rStyle w:val="ParaNumber"/>
                <w:rFonts w:ascii="Arial" w:hAnsi="Arial" w:cs="Arial"/>
                <w:b w:val="0"/>
                <w:color w:val="auto"/>
                <w:sz w:val="20"/>
                <w:szCs w:val="20"/>
              </w:rPr>
              <w:t xml:space="preserve">Services (to </w:t>
            </w:r>
            <w:r w:rsidR="00D67AE9">
              <w:rPr>
                <w:rStyle w:val="ParaNumber"/>
                <w:rFonts w:ascii="Arial" w:hAnsi="Arial" w:cs="Arial"/>
                <w:b w:val="0"/>
                <w:color w:val="auto"/>
                <w:sz w:val="20"/>
                <w:szCs w:val="20"/>
              </w:rPr>
              <w:t>July 2015)</w:t>
            </w:r>
            <w:r w:rsidRPr="00D67AE9">
              <w:rPr>
                <w:rStyle w:val="ParaNumber"/>
                <w:rFonts w:ascii="Arial" w:hAnsi="Arial" w:cs="Arial"/>
                <w:b w:val="0"/>
                <w:color w:val="auto"/>
                <w:sz w:val="20"/>
                <w:szCs w:val="20"/>
              </w:rPr>
              <w:t>*</w:t>
            </w:r>
            <w:r>
              <w:rPr>
                <w:rStyle w:val="ParaNumber"/>
                <w:rFonts w:ascii="Arial" w:hAnsi="Arial" w:cs="Arial"/>
                <w:b w:val="0"/>
                <w:color w:val="auto"/>
                <w:sz w:val="20"/>
                <w:szCs w:val="20"/>
              </w:rPr>
              <w:t xml:space="preserve"> </w:t>
            </w:r>
          </w:p>
        </w:tc>
        <w:tc>
          <w:tcPr>
            <w:cnfStyle w:val="000010000000"/>
            <w:tcW w:w="993" w:type="dxa"/>
          </w:tcPr>
          <w:p w:rsidR="00167DC5" w:rsidRPr="001E609C" w:rsidRDefault="00167DC5" w:rsidP="00F82E5E">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2015/16</w:t>
            </w:r>
          </w:p>
        </w:tc>
        <w:tc>
          <w:tcPr>
            <w:tcW w:w="992" w:type="dxa"/>
          </w:tcPr>
          <w:p w:rsidR="00167DC5" w:rsidRPr="001E609C" w:rsidRDefault="00167DC5" w:rsidP="001E609C">
            <w:pPr>
              <w:widowControl w:val="0"/>
              <w:spacing w:before="60" w:after="60"/>
              <w:jc w:val="center"/>
              <w:cnfStyle w:val="000000100000"/>
              <w:rPr>
                <w:rStyle w:val="ParaNumber"/>
                <w:rFonts w:ascii="Arial" w:hAnsi="Arial" w:cs="Arial"/>
                <w:color w:val="auto"/>
                <w:sz w:val="20"/>
                <w:szCs w:val="20"/>
              </w:rPr>
            </w:pPr>
            <w:r>
              <w:rPr>
                <w:rStyle w:val="ParaNumber"/>
                <w:rFonts w:ascii="Arial" w:hAnsi="Arial" w:cs="Arial"/>
                <w:color w:val="auto"/>
                <w:sz w:val="20"/>
                <w:szCs w:val="20"/>
              </w:rPr>
              <w:t>-</w:t>
            </w:r>
          </w:p>
        </w:tc>
        <w:tc>
          <w:tcPr>
            <w:cnfStyle w:val="000010000000"/>
            <w:tcW w:w="1134" w:type="dxa"/>
          </w:tcPr>
          <w:p w:rsidR="00167DC5" w:rsidRPr="001E609C" w:rsidRDefault="00167DC5" w:rsidP="001E609C">
            <w:pPr>
              <w:widowControl w:val="0"/>
              <w:spacing w:before="60" w:after="60"/>
              <w:jc w:val="center"/>
              <w:rPr>
                <w:rStyle w:val="ParaNumber"/>
                <w:rFonts w:ascii="Arial" w:hAnsi="Arial" w:cs="Arial"/>
                <w:color w:val="auto"/>
                <w:sz w:val="20"/>
                <w:szCs w:val="20"/>
              </w:rPr>
            </w:pPr>
            <w:r>
              <w:rPr>
                <w:rStyle w:val="ParaNumber"/>
                <w:rFonts w:ascii="Arial" w:hAnsi="Arial" w:cs="Arial"/>
                <w:color w:val="auto"/>
                <w:sz w:val="20"/>
                <w:szCs w:val="20"/>
              </w:rPr>
              <w:t>-</w:t>
            </w:r>
          </w:p>
        </w:tc>
        <w:tc>
          <w:tcPr>
            <w:tcW w:w="1276" w:type="dxa"/>
          </w:tcPr>
          <w:p w:rsidR="00167DC5" w:rsidRPr="001E609C" w:rsidRDefault="00167DC5" w:rsidP="001E609C">
            <w:pPr>
              <w:widowControl w:val="0"/>
              <w:spacing w:before="60" w:after="60"/>
              <w:jc w:val="center"/>
              <w:cnfStyle w:val="000000100000"/>
              <w:rPr>
                <w:rStyle w:val="ParaNumber"/>
                <w:rFonts w:ascii="Arial" w:hAnsi="Arial" w:cs="Arial"/>
                <w:color w:val="auto"/>
                <w:sz w:val="20"/>
                <w:szCs w:val="20"/>
              </w:rPr>
            </w:pPr>
            <w:r>
              <w:rPr>
                <w:rStyle w:val="ParaNumber"/>
                <w:rFonts w:ascii="Arial" w:hAnsi="Arial" w:cs="Arial"/>
                <w:color w:val="auto"/>
                <w:sz w:val="20"/>
                <w:szCs w:val="20"/>
              </w:rPr>
              <w:t>-</w:t>
            </w:r>
          </w:p>
        </w:tc>
        <w:tc>
          <w:tcPr>
            <w:cnfStyle w:val="000010000000"/>
            <w:tcW w:w="1417" w:type="dxa"/>
          </w:tcPr>
          <w:p w:rsidR="00167DC5" w:rsidRPr="001E609C" w:rsidRDefault="00167DC5" w:rsidP="001E609C">
            <w:pPr>
              <w:widowControl w:val="0"/>
              <w:spacing w:before="60" w:after="60"/>
              <w:jc w:val="center"/>
              <w:rPr>
                <w:rStyle w:val="ParaNumber"/>
                <w:rFonts w:ascii="Arial" w:hAnsi="Arial" w:cs="Arial"/>
                <w:color w:val="auto"/>
                <w:sz w:val="20"/>
                <w:szCs w:val="20"/>
              </w:rPr>
            </w:pPr>
            <w:r>
              <w:rPr>
                <w:rStyle w:val="ParaNumber"/>
                <w:rFonts w:ascii="Arial" w:hAnsi="Arial" w:cs="Arial"/>
                <w:color w:val="auto"/>
                <w:sz w:val="20"/>
                <w:szCs w:val="20"/>
              </w:rPr>
              <w:t>-</w:t>
            </w:r>
          </w:p>
        </w:tc>
        <w:tc>
          <w:tcPr>
            <w:cnfStyle w:val="000100000000"/>
            <w:tcW w:w="992" w:type="dxa"/>
          </w:tcPr>
          <w:p w:rsidR="00167DC5" w:rsidRPr="001E609C" w:rsidRDefault="00167DC5" w:rsidP="001E609C">
            <w:pPr>
              <w:widowControl w:val="0"/>
              <w:spacing w:before="60" w:after="60"/>
              <w:jc w:val="center"/>
              <w:rPr>
                <w:rStyle w:val="ParaNumber"/>
                <w:rFonts w:ascii="Arial" w:hAnsi="Arial" w:cs="Arial"/>
                <w:color w:val="auto"/>
                <w:sz w:val="20"/>
                <w:szCs w:val="20"/>
              </w:rPr>
            </w:pPr>
            <w:r>
              <w:rPr>
                <w:rStyle w:val="ParaNumber"/>
                <w:rFonts w:ascii="Arial" w:hAnsi="Arial" w:cs="Arial"/>
                <w:color w:val="auto"/>
                <w:sz w:val="20"/>
                <w:szCs w:val="20"/>
              </w:rPr>
              <w:t>-</w:t>
            </w:r>
          </w:p>
        </w:tc>
      </w:tr>
      <w:tr w:rsidR="00167DC5" w:rsidRPr="001E609C" w:rsidTr="001C0245">
        <w:trPr>
          <w:trHeight w:val="354"/>
        </w:trPr>
        <w:tc>
          <w:tcPr>
            <w:cnfStyle w:val="001000000000"/>
            <w:tcW w:w="2268" w:type="dxa"/>
          </w:tcPr>
          <w:p w:rsidR="00167DC5" w:rsidRPr="001E609C" w:rsidRDefault="00167DC5" w:rsidP="00B12F20">
            <w:pPr>
              <w:widowControl w:val="0"/>
              <w:spacing w:before="60" w:after="60"/>
              <w:rPr>
                <w:rStyle w:val="ParaNumber"/>
                <w:rFonts w:ascii="Arial" w:hAnsi="Arial" w:cs="Arial"/>
                <w:b w:val="0"/>
                <w:color w:val="auto"/>
                <w:sz w:val="20"/>
                <w:szCs w:val="20"/>
              </w:rPr>
            </w:pPr>
          </w:p>
        </w:tc>
        <w:tc>
          <w:tcPr>
            <w:cnfStyle w:val="000010000000"/>
            <w:tcW w:w="993"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2014/15</w:t>
            </w:r>
          </w:p>
        </w:tc>
        <w:tc>
          <w:tcPr>
            <w:tcW w:w="992" w:type="dxa"/>
          </w:tcPr>
          <w:p w:rsidR="00167DC5" w:rsidRPr="001E609C" w:rsidRDefault="00167DC5" w:rsidP="001E609C">
            <w:pPr>
              <w:widowControl w:val="0"/>
              <w:spacing w:before="60" w:after="60"/>
              <w:jc w:val="center"/>
              <w:cnfStyle w:val="000000000000"/>
              <w:rPr>
                <w:rStyle w:val="ParaNumber"/>
                <w:rFonts w:ascii="Arial" w:hAnsi="Arial" w:cs="Arial"/>
                <w:color w:val="auto"/>
                <w:sz w:val="20"/>
                <w:szCs w:val="20"/>
              </w:rPr>
            </w:pPr>
            <w:r w:rsidRPr="001E609C">
              <w:rPr>
                <w:rStyle w:val="ParaNumber"/>
                <w:rFonts w:ascii="Arial" w:hAnsi="Arial" w:cs="Arial"/>
                <w:color w:val="auto"/>
                <w:sz w:val="20"/>
                <w:szCs w:val="20"/>
              </w:rPr>
              <w:t>111</w:t>
            </w:r>
          </w:p>
        </w:tc>
        <w:tc>
          <w:tcPr>
            <w:cnfStyle w:val="000010000000"/>
            <w:tcW w:w="1134" w:type="dxa"/>
          </w:tcPr>
          <w:p w:rsidR="00167DC5" w:rsidRPr="001E609C" w:rsidRDefault="00167DC5" w:rsidP="001E609C">
            <w:pPr>
              <w:widowControl w:val="0"/>
              <w:spacing w:before="60" w:after="60"/>
              <w:jc w:val="center"/>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tcW w:w="1276" w:type="dxa"/>
          </w:tcPr>
          <w:p w:rsidR="00167DC5" w:rsidRPr="001E609C" w:rsidRDefault="00167DC5" w:rsidP="001E609C">
            <w:pPr>
              <w:widowControl w:val="0"/>
              <w:spacing w:before="60" w:after="60"/>
              <w:jc w:val="center"/>
              <w:cnfStyle w:val="000000000000"/>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cnfStyle w:val="000010000000"/>
            <w:tcW w:w="1417" w:type="dxa"/>
          </w:tcPr>
          <w:p w:rsidR="00167DC5" w:rsidRPr="001E609C" w:rsidRDefault="00167DC5" w:rsidP="001E609C">
            <w:pPr>
              <w:widowControl w:val="0"/>
              <w:spacing w:before="60" w:after="60"/>
              <w:jc w:val="center"/>
              <w:rPr>
                <w:rStyle w:val="ParaNumber"/>
                <w:rFonts w:ascii="Arial" w:hAnsi="Arial" w:cs="Arial"/>
                <w:color w:val="auto"/>
                <w:sz w:val="20"/>
                <w:szCs w:val="20"/>
              </w:rPr>
            </w:pPr>
            <w:r w:rsidRPr="001E609C">
              <w:rPr>
                <w:rStyle w:val="ParaNumber"/>
                <w:rFonts w:ascii="Arial" w:hAnsi="Arial" w:cs="Arial"/>
                <w:color w:val="auto"/>
                <w:sz w:val="20"/>
                <w:szCs w:val="20"/>
              </w:rPr>
              <w:t>14</w:t>
            </w:r>
          </w:p>
        </w:tc>
        <w:tc>
          <w:tcPr>
            <w:cnfStyle w:val="000100000000"/>
            <w:tcW w:w="992" w:type="dxa"/>
          </w:tcPr>
          <w:p w:rsidR="00167DC5" w:rsidRPr="001E609C" w:rsidRDefault="00167DC5" w:rsidP="001E609C">
            <w:pPr>
              <w:widowControl w:val="0"/>
              <w:spacing w:before="60" w:after="60"/>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125</w:t>
            </w:r>
          </w:p>
        </w:tc>
      </w:tr>
      <w:tr w:rsidR="008A77B4" w:rsidRPr="001E609C" w:rsidTr="001C0245">
        <w:trPr>
          <w:cnfStyle w:val="000000100000"/>
        </w:trPr>
        <w:tc>
          <w:tcPr>
            <w:cnfStyle w:val="001000000000"/>
            <w:tcW w:w="2268" w:type="dxa"/>
          </w:tcPr>
          <w:p w:rsidR="008A77B4" w:rsidRPr="001E609C" w:rsidRDefault="008A77B4" w:rsidP="0050448D">
            <w:pPr>
              <w:widowControl w:val="0"/>
              <w:spacing w:before="60" w:after="60" w:line="240" w:lineRule="auto"/>
              <w:rPr>
                <w:rStyle w:val="ParaNumber"/>
                <w:rFonts w:ascii="Arial" w:hAnsi="Arial" w:cs="Arial"/>
                <w:b w:val="0"/>
                <w:color w:val="auto"/>
                <w:sz w:val="20"/>
                <w:szCs w:val="20"/>
              </w:rPr>
            </w:pPr>
            <w:r>
              <w:rPr>
                <w:rStyle w:val="ParaNumber"/>
                <w:rFonts w:ascii="Arial" w:hAnsi="Arial" w:cs="Arial"/>
                <w:b w:val="0"/>
                <w:color w:val="auto"/>
                <w:sz w:val="20"/>
                <w:szCs w:val="20"/>
              </w:rPr>
              <w:t xml:space="preserve">Assistant Director –Community &amp; Customer Services (from </w:t>
            </w:r>
            <w:r w:rsidR="0050448D">
              <w:rPr>
                <w:rStyle w:val="ParaNumber"/>
                <w:rFonts w:ascii="Arial" w:hAnsi="Arial" w:cs="Arial"/>
                <w:b w:val="0"/>
                <w:color w:val="auto"/>
                <w:sz w:val="20"/>
                <w:szCs w:val="20"/>
              </w:rPr>
              <w:t>May</w:t>
            </w:r>
            <w:r>
              <w:rPr>
                <w:rStyle w:val="ParaNumber"/>
                <w:rFonts w:ascii="Arial" w:hAnsi="Arial" w:cs="Arial"/>
                <w:b w:val="0"/>
                <w:color w:val="auto"/>
                <w:sz w:val="20"/>
                <w:szCs w:val="20"/>
              </w:rPr>
              <w:t xml:space="preserve"> 2015)</w:t>
            </w:r>
          </w:p>
        </w:tc>
        <w:tc>
          <w:tcPr>
            <w:cnfStyle w:val="000010000000"/>
            <w:tcW w:w="993" w:type="dxa"/>
          </w:tcPr>
          <w:p w:rsidR="008A77B4" w:rsidRPr="001E609C" w:rsidRDefault="00765DFC" w:rsidP="001E609C">
            <w:pPr>
              <w:widowControl w:val="0"/>
              <w:spacing w:before="60" w:after="60" w:line="240" w:lineRule="auto"/>
              <w:jc w:val="center"/>
              <w:rPr>
                <w:rStyle w:val="ParaNumber"/>
                <w:rFonts w:ascii="Arial" w:hAnsi="Arial" w:cs="Arial"/>
                <w:b/>
                <w:color w:val="auto"/>
                <w:sz w:val="20"/>
                <w:szCs w:val="20"/>
              </w:rPr>
            </w:pPr>
            <w:r w:rsidRPr="001E609C">
              <w:rPr>
                <w:rStyle w:val="ParaNumber"/>
                <w:rFonts w:ascii="Arial" w:hAnsi="Arial" w:cs="Arial"/>
                <w:b/>
                <w:color w:val="auto"/>
                <w:sz w:val="20"/>
                <w:szCs w:val="20"/>
              </w:rPr>
              <w:t>2015/16</w:t>
            </w:r>
          </w:p>
        </w:tc>
        <w:tc>
          <w:tcPr>
            <w:tcW w:w="992" w:type="dxa"/>
          </w:tcPr>
          <w:p w:rsidR="008A77B4" w:rsidRDefault="002D5E7E" w:rsidP="00060A7C">
            <w:pPr>
              <w:widowControl w:val="0"/>
              <w:spacing w:before="60" w:after="60" w:line="240" w:lineRule="auto"/>
              <w:jc w:val="center"/>
              <w:cnfStyle w:val="000000100000"/>
              <w:rPr>
                <w:rStyle w:val="ParaNumber"/>
                <w:rFonts w:ascii="Arial" w:hAnsi="Arial" w:cs="Arial"/>
                <w:b/>
                <w:color w:val="auto"/>
                <w:sz w:val="20"/>
                <w:szCs w:val="20"/>
              </w:rPr>
            </w:pPr>
            <w:r>
              <w:rPr>
                <w:rStyle w:val="ParaNumber"/>
                <w:rFonts w:ascii="Arial" w:hAnsi="Arial" w:cs="Arial"/>
                <w:b/>
                <w:color w:val="auto"/>
                <w:sz w:val="20"/>
                <w:szCs w:val="20"/>
              </w:rPr>
              <w:t>7</w:t>
            </w:r>
            <w:r w:rsidR="0050448D">
              <w:rPr>
                <w:rStyle w:val="ParaNumber"/>
                <w:rFonts w:ascii="Arial" w:hAnsi="Arial" w:cs="Arial"/>
                <w:b/>
                <w:color w:val="auto"/>
                <w:sz w:val="20"/>
                <w:szCs w:val="20"/>
              </w:rPr>
              <w:t>4</w:t>
            </w:r>
          </w:p>
        </w:tc>
        <w:tc>
          <w:tcPr>
            <w:cnfStyle w:val="000010000000"/>
            <w:tcW w:w="1134" w:type="dxa"/>
          </w:tcPr>
          <w:p w:rsidR="008A77B4" w:rsidRDefault="002D5E7E"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0</w:t>
            </w:r>
          </w:p>
        </w:tc>
        <w:tc>
          <w:tcPr>
            <w:tcW w:w="1276" w:type="dxa"/>
          </w:tcPr>
          <w:p w:rsidR="008A77B4" w:rsidRDefault="002D5E7E" w:rsidP="00060A7C">
            <w:pPr>
              <w:widowControl w:val="0"/>
              <w:spacing w:before="60" w:after="60" w:line="240" w:lineRule="auto"/>
              <w:jc w:val="center"/>
              <w:cnfStyle w:val="000000100000"/>
              <w:rPr>
                <w:rStyle w:val="ParaNumber"/>
                <w:rFonts w:ascii="Arial" w:hAnsi="Arial" w:cs="Arial"/>
                <w:b/>
                <w:color w:val="auto"/>
                <w:sz w:val="20"/>
                <w:szCs w:val="20"/>
              </w:rPr>
            </w:pPr>
            <w:r>
              <w:rPr>
                <w:rStyle w:val="ParaNumber"/>
                <w:rFonts w:ascii="Arial" w:hAnsi="Arial" w:cs="Arial"/>
                <w:b/>
                <w:color w:val="auto"/>
                <w:sz w:val="20"/>
                <w:szCs w:val="20"/>
              </w:rPr>
              <w:t>0</w:t>
            </w:r>
          </w:p>
        </w:tc>
        <w:tc>
          <w:tcPr>
            <w:cnfStyle w:val="000010000000"/>
            <w:tcW w:w="1417" w:type="dxa"/>
          </w:tcPr>
          <w:p w:rsidR="008A77B4" w:rsidRDefault="0050448D" w:rsidP="0050448D">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9</w:t>
            </w:r>
          </w:p>
        </w:tc>
        <w:tc>
          <w:tcPr>
            <w:cnfStyle w:val="000100000000"/>
            <w:tcW w:w="992" w:type="dxa"/>
          </w:tcPr>
          <w:p w:rsidR="008A77B4" w:rsidRDefault="002D5E7E" w:rsidP="0050448D">
            <w:pPr>
              <w:widowControl w:val="0"/>
              <w:spacing w:before="60" w:after="60" w:line="240" w:lineRule="auto"/>
              <w:jc w:val="center"/>
              <w:rPr>
                <w:rStyle w:val="ParaNumber"/>
                <w:rFonts w:ascii="Arial" w:hAnsi="Arial" w:cs="Arial"/>
                <w:color w:val="auto"/>
                <w:sz w:val="20"/>
                <w:szCs w:val="20"/>
              </w:rPr>
            </w:pPr>
            <w:r>
              <w:rPr>
                <w:rStyle w:val="ParaNumber"/>
                <w:rFonts w:ascii="Arial" w:hAnsi="Arial" w:cs="Arial"/>
                <w:color w:val="auto"/>
                <w:sz w:val="20"/>
                <w:szCs w:val="20"/>
              </w:rPr>
              <w:t>8</w:t>
            </w:r>
            <w:r w:rsidR="0050448D">
              <w:rPr>
                <w:rStyle w:val="ParaNumber"/>
                <w:rFonts w:ascii="Arial" w:hAnsi="Arial" w:cs="Arial"/>
                <w:color w:val="auto"/>
                <w:sz w:val="20"/>
                <w:szCs w:val="20"/>
              </w:rPr>
              <w:t>3</w:t>
            </w:r>
          </w:p>
        </w:tc>
      </w:tr>
      <w:tr w:rsidR="00765DFC" w:rsidRPr="001E609C" w:rsidTr="001C0245">
        <w:tc>
          <w:tcPr>
            <w:cnfStyle w:val="001000000000"/>
            <w:tcW w:w="2268" w:type="dxa"/>
          </w:tcPr>
          <w:p w:rsidR="00765DFC" w:rsidRDefault="00765DFC" w:rsidP="008A77B4">
            <w:pPr>
              <w:widowControl w:val="0"/>
              <w:spacing w:before="60" w:after="60" w:line="240" w:lineRule="auto"/>
              <w:rPr>
                <w:rStyle w:val="ParaNumber"/>
                <w:rFonts w:ascii="Arial" w:hAnsi="Arial" w:cs="Arial"/>
                <w:b w:val="0"/>
                <w:color w:val="auto"/>
                <w:sz w:val="20"/>
                <w:szCs w:val="20"/>
              </w:rPr>
            </w:pPr>
          </w:p>
        </w:tc>
        <w:tc>
          <w:tcPr>
            <w:cnfStyle w:val="000010000000"/>
            <w:tcW w:w="993" w:type="dxa"/>
          </w:tcPr>
          <w:p w:rsidR="00765DFC" w:rsidRPr="001E609C" w:rsidRDefault="00765DFC" w:rsidP="001E609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2014/15</w:t>
            </w:r>
          </w:p>
        </w:tc>
        <w:tc>
          <w:tcPr>
            <w:tcW w:w="992" w:type="dxa"/>
          </w:tcPr>
          <w:p w:rsidR="00765DFC" w:rsidRDefault="00765DFC" w:rsidP="00060A7C">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w:t>
            </w:r>
          </w:p>
        </w:tc>
        <w:tc>
          <w:tcPr>
            <w:cnfStyle w:val="000010000000"/>
            <w:tcW w:w="1134" w:type="dxa"/>
          </w:tcPr>
          <w:p w:rsidR="00765DFC" w:rsidRDefault="00765DFC"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w:t>
            </w:r>
          </w:p>
        </w:tc>
        <w:tc>
          <w:tcPr>
            <w:tcW w:w="1276" w:type="dxa"/>
          </w:tcPr>
          <w:p w:rsidR="00765DFC" w:rsidRDefault="00765DFC" w:rsidP="00060A7C">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w:t>
            </w:r>
          </w:p>
        </w:tc>
        <w:tc>
          <w:tcPr>
            <w:cnfStyle w:val="000010000000"/>
            <w:tcW w:w="1417" w:type="dxa"/>
          </w:tcPr>
          <w:p w:rsidR="00765DFC" w:rsidRDefault="00765DFC"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w:t>
            </w:r>
          </w:p>
        </w:tc>
        <w:tc>
          <w:tcPr>
            <w:cnfStyle w:val="000100000000"/>
            <w:tcW w:w="992" w:type="dxa"/>
          </w:tcPr>
          <w:p w:rsidR="00765DFC" w:rsidRDefault="00765DFC" w:rsidP="00BF1959">
            <w:pPr>
              <w:widowControl w:val="0"/>
              <w:spacing w:before="60" w:after="60" w:line="240" w:lineRule="auto"/>
              <w:jc w:val="center"/>
              <w:rPr>
                <w:rStyle w:val="ParaNumber"/>
                <w:rFonts w:ascii="Arial" w:hAnsi="Arial" w:cs="Arial"/>
                <w:color w:val="auto"/>
                <w:sz w:val="20"/>
                <w:szCs w:val="20"/>
              </w:rPr>
            </w:pPr>
            <w:r>
              <w:rPr>
                <w:rStyle w:val="ParaNumber"/>
                <w:rFonts w:ascii="Arial" w:hAnsi="Arial" w:cs="Arial"/>
                <w:color w:val="auto"/>
                <w:sz w:val="20"/>
                <w:szCs w:val="20"/>
              </w:rPr>
              <w:t>-</w:t>
            </w:r>
          </w:p>
        </w:tc>
      </w:tr>
      <w:tr w:rsidR="00167DC5" w:rsidRPr="001E609C" w:rsidTr="001C0245">
        <w:trPr>
          <w:cnfStyle w:val="000000100000"/>
        </w:trPr>
        <w:tc>
          <w:tcPr>
            <w:cnfStyle w:val="001000000000"/>
            <w:tcW w:w="2268" w:type="dxa"/>
            <w:vMerge w:val="restart"/>
          </w:tcPr>
          <w:p w:rsidR="00167DC5" w:rsidRPr="001E609C" w:rsidRDefault="00167DC5" w:rsidP="00741564">
            <w:pPr>
              <w:widowControl w:val="0"/>
              <w:spacing w:before="60" w:after="60" w:line="240" w:lineRule="auto"/>
              <w:rPr>
                <w:rStyle w:val="ParaNumber"/>
                <w:rFonts w:ascii="Arial" w:hAnsi="Arial" w:cs="Arial"/>
                <w:b w:val="0"/>
                <w:color w:val="auto"/>
                <w:sz w:val="20"/>
                <w:szCs w:val="20"/>
              </w:rPr>
            </w:pPr>
            <w:r w:rsidRPr="001E609C">
              <w:rPr>
                <w:rStyle w:val="ParaNumber"/>
                <w:rFonts w:ascii="Arial" w:hAnsi="Arial" w:cs="Arial"/>
                <w:b w:val="0"/>
                <w:color w:val="auto"/>
                <w:sz w:val="20"/>
                <w:szCs w:val="20"/>
              </w:rPr>
              <w:t xml:space="preserve">Director of Place </w:t>
            </w:r>
            <w:r>
              <w:rPr>
                <w:rStyle w:val="ParaNumber"/>
                <w:rFonts w:ascii="Arial" w:hAnsi="Arial" w:cs="Arial"/>
                <w:b w:val="0"/>
                <w:color w:val="auto"/>
                <w:sz w:val="20"/>
                <w:szCs w:val="20"/>
              </w:rPr>
              <w:t>(to April 2015)</w:t>
            </w:r>
          </w:p>
        </w:tc>
        <w:tc>
          <w:tcPr>
            <w:cnfStyle w:val="000010000000"/>
            <w:tcW w:w="993" w:type="dxa"/>
          </w:tcPr>
          <w:p w:rsidR="00167DC5" w:rsidRPr="001E609C" w:rsidRDefault="00167DC5" w:rsidP="001E609C">
            <w:pPr>
              <w:widowControl w:val="0"/>
              <w:spacing w:before="60" w:after="60" w:line="240" w:lineRule="auto"/>
              <w:jc w:val="center"/>
              <w:rPr>
                <w:rStyle w:val="ParaNumber"/>
                <w:rFonts w:ascii="Arial" w:hAnsi="Arial" w:cs="Arial"/>
                <w:b/>
                <w:color w:val="auto"/>
                <w:sz w:val="20"/>
                <w:szCs w:val="20"/>
              </w:rPr>
            </w:pPr>
            <w:r w:rsidRPr="001E609C">
              <w:rPr>
                <w:rStyle w:val="ParaNumber"/>
                <w:rFonts w:ascii="Arial" w:hAnsi="Arial" w:cs="Arial"/>
                <w:b/>
                <w:color w:val="auto"/>
                <w:sz w:val="20"/>
                <w:szCs w:val="20"/>
              </w:rPr>
              <w:t>2015/16</w:t>
            </w:r>
          </w:p>
        </w:tc>
        <w:tc>
          <w:tcPr>
            <w:tcW w:w="992" w:type="dxa"/>
          </w:tcPr>
          <w:p w:rsidR="00167DC5" w:rsidRPr="001E609C" w:rsidRDefault="00FE5BF3" w:rsidP="00060A7C">
            <w:pPr>
              <w:widowControl w:val="0"/>
              <w:spacing w:before="60" w:after="60" w:line="240" w:lineRule="auto"/>
              <w:jc w:val="center"/>
              <w:cnfStyle w:val="000000100000"/>
              <w:rPr>
                <w:rStyle w:val="ParaNumber"/>
                <w:rFonts w:ascii="Arial" w:hAnsi="Arial" w:cs="Arial"/>
                <w:b/>
                <w:color w:val="auto"/>
                <w:sz w:val="20"/>
                <w:szCs w:val="20"/>
              </w:rPr>
            </w:pPr>
            <w:r>
              <w:rPr>
                <w:rStyle w:val="ParaNumber"/>
                <w:rFonts w:ascii="Arial" w:hAnsi="Arial" w:cs="Arial"/>
                <w:b/>
                <w:color w:val="auto"/>
                <w:sz w:val="20"/>
                <w:szCs w:val="20"/>
              </w:rPr>
              <w:t>31</w:t>
            </w:r>
          </w:p>
        </w:tc>
        <w:tc>
          <w:tcPr>
            <w:cnfStyle w:val="000010000000"/>
            <w:tcW w:w="1134" w:type="dxa"/>
          </w:tcPr>
          <w:p w:rsidR="00167DC5" w:rsidRPr="001E609C" w:rsidRDefault="00FE5BF3"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0</w:t>
            </w:r>
          </w:p>
        </w:tc>
        <w:tc>
          <w:tcPr>
            <w:tcW w:w="1276" w:type="dxa"/>
          </w:tcPr>
          <w:p w:rsidR="00167DC5" w:rsidRPr="001E609C" w:rsidRDefault="00FE5BF3" w:rsidP="00060A7C">
            <w:pPr>
              <w:widowControl w:val="0"/>
              <w:spacing w:before="60" w:after="60" w:line="240" w:lineRule="auto"/>
              <w:jc w:val="center"/>
              <w:cnfStyle w:val="000000100000"/>
              <w:rPr>
                <w:rStyle w:val="ParaNumber"/>
                <w:rFonts w:ascii="Arial" w:hAnsi="Arial" w:cs="Arial"/>
                <w:b/>
                <w:color w:val="auto"/>
                <w:sz w:val="20"/>
                <w:szCs w:val="20"/>
              </w:rPr>
            </w:pPr>
            <w:r>
              <w:rPr>
                <w:rStyle w:val="ParaNumber"/>
                <w:rFonts w:ascii="Arial" w:hAnsi="Arial" w:cs="Arial"/>
                <w:b/>
                <w:color w:val="auto"/>
                <w:sz w:val="20"/>
                <w:szCs w:val="20"/>
              </w:rPr>
              <w:t>41</w:t>
            </w:r>
          </w:p>
        </w:tc>
        <w:tc>
          <w:tcPr>
            <w:cnfStyle w:val="000010000000"/>
            <w:tcW w:w="1417" w:type="dxa"/>
          </w:tcPr>
          <w:p w:rsidR="00167DC5" w:rsidRPr="001E609C" w:rsidRDefault="00FE5BF3"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1</w:t>
            </w:r>
          </w:p>
        </w:tc>
        <w:tc>
          <w:tcPr>
            <w:cnfStyle w:val="000100000000"/>
            <w:tcW w:w="992" w:type="dxa"/>
          </w:tcPr>
          <w:p w:rsidR="00167DC5" w:rsidRPr="001E609C" w:rsidRDefault="00FE5BF3" w:rsidP="00BF1959">
            <w:pPr>
              <w:widowControl w:val="0"/>
              <w:spacing w:before="60" w:after="60" w:line="240" w:lineRule="auto"/>
              <w:jc w:val="center"/>
              <w:rPr>
                <w:rStyle w:val="ParaNumber"/>
                <w:rFonts w:ascii="Arial" w:hAnsi="Arial" w:cs="Arial"/>
                <w:color w:val="auto"/>
                <w:sz w:val="20"/>
                <w:szCs w:val="20"/>
              </w:rPr>
            </w:pPr>
            <w:r>
              <w:rPr>
                <w:rStyle w:val="ParaNumber"/>
                <w:rFonts w:ascii="Arial" w:hAnsi="Arial" w:cs="Arial"/>
                <w:color w:val="auto"/>
                <w:sz w:val="20"/>
                <w:szCs w:val="20"/>
              </w:rPr>
              <w:t>73</w:t>
            </w:r>
          </w:p>
        </w:tc>
      </w:tr>
      <w:tr w:rsidR="00167DC5" w:rsidRPr="001E609C" w:rsidTr="001C0245">
        <w:tc>
          <w:tcPr>
            <w:cnfStyle w:val="001000000000"/>
            <w:tcW w:w="2268" w:type="dxa"/>
          </w:tcPr>
          <w:p w:rsidR="00167DC5" w:rsidRPr="001E609C" w:rsidRDefault="00167DC5" w:rsidP="003C5E34">
            <w:pPr>
              <w:widowControl w:val="0"/>
              <w:spacing w:before="60" w:after="60" w:line="240" w:lineRule="auto"/>
              <w:rPr>
                <w:rStyle w:val="ParaNumber"/>
                <w:rFonts w:ascii="Arial" w:hAnsi="Arial" w:cs="Arial"/>
                <w:color w:val="auto"/>
                <w:sz w:val="20"/>
                <w:szCs w:val="20"/>
              </w:rPr>
            </w:pPr>
          </w:p>
        </w:tc>
        <w:tc>
          <w:tcPr>
            <w:cnfStyle w:val="000010000000"/>
            <w:tcW w:w="993"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2014/15</w:t>
            </w:r>
          </w:p>
        </w:tc>
        <w:tc>
          <w:tcPr>
            <w:tcW w:w="992" w:type="dxa"/>
          </w:tcPr>
          <w:p w:rsidR="00167DC5" w:rsidRPr="001E609C" w:rsidRDefault="00167DC5" w:rsidP="001E609C">
            <w:pPr>
              <w:widowControl w:val="0"/>
              <w:spacing w:before="60" w:after="60" w:line="240" w:lineRule="auto"/>
              <w:jc w:val="center"/>
              <w:cnfStyle w:val="000000000000"/>
              <w:rPr>
                <w:rStyle w:val="ParaNumber"/>
                <w:rFonts w:ascii="Arial" w:hAnsi="Arial" w:cs="Arial"/>
                <w:color w:val="auto"/>
                <w:sz w:val="20"/>
                <w:szCs w:val="20"/>
              </w:rPr>
            </w:pPr>
            <w:r w:rsidRPr="001E609C">
              <w:rPr>
                <w:rStyle w:val="ParaNumber"/>
                <w:rFonts w:ascii="Arial" w:hAnsi="Arial" w:cs="Arial"/>
                <w:color w:val="auto"/>
                <w:sz w:val="20"/>
                <w:szCs w:val="20"/>
              </w:rPr>
              <w:t>88</w:t>
            </w:r>
          </w:p>
        </w:tc>
        <w:tc>
          <w:tcPr>
            <w:cnfStyle w:val="000010000000"/>
            <w:tcW w:w="1134"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w:t>
            </w:r>
          </w:p>
        </w:tc>
        <w:tc>
          <w:tcPr>
            <w:tcW w:w="1276" w:type="dxa"/>
          </w:tcPr>
          <w:p w:rsidR="00167DC5" w:rsidRPr="001E609C" w:rsidRDefault="00167DC5" w:rsidP="001E609C">
            <w:pPr>
              <w:widowControl w:val="0"/>
              <w:spacing w:before="60" w:after="60" w:line="240" w:lineRule="auto"/>
              <w:jc w:val="center"/>
              <w:cnfStyle w:val="000000000000"/>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cnfStyle w:val="000010000000"/>
            <w:tcW w:w="1417"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12</w:t>
            </w:r>
          </w:p>
        </w:tc>
        <w:tc>
          <w:tcPr>
            <w:cnfStyle w:val="000100000000"/>
            <w:tcW w:w="992" w:type="dxa"/>
          </w:tcPr>
          <w:p w:rsidR="00167DC5" w:rsidRPr="001E609C" w:rsidRDefault="00167DC5" w:rsidP="001E609C">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101</w:t>
            </w:r>
          </w:p>
        </w:tc>
      </w:tr>
      <w:tr w:rsidR="00167DC5" w:rsidRPr="001E609C" w:rsidTr="001C0245">
        <w:trPr>
          <w:cnfStyle w:val="000000100000"/>
        </w:trPr>
        <w:tc>
          <w:tcPr>
            <w:cnfStyle w:val="001000000000"/>
            <w:tcW w:w="2268" w:type="dxa"/>
          </w:tcPr>
          <w:p w:rsidR="00167DC5" w:rsidRPr="001E609C" w:rsidRDefault="00167DC5" w:rsidP="00F82E5E">
            <w:pPr>
              <w:widowControl w:val="0"/>
              <w:spacing w:before="60" w:after="60" w:line="240" w:lineRule="auto"/>
              <w:rPr>
                <w:rStyle w:val="ParaNumber"/>
                <w:rFonts w:ascii="Arial" w:hAnsi="Arial" w:cs="Arial"/>
                <w:b w:val="0"/>
                <w:color w:val="auto"/>
                <w:sz w:val="20"/>
                <w:szCs w:val="20"/>
              </w:rPr>
            </w:pPr>
            <w:r w:rsidRPr="001E609C">
              <w:rPr>
                <w:rStyle w:val="ParaNumber"/>
                <w:rFonts w:ascii="Arial" w:hAnsi="Arial" w:cs="Arial"/>
                <w:b w:val="0"/>
                <w:color w:val="auto"/>
                <w:sz w:val="20"/>
                <w:szCs w:val="20"/>
              </w:rPr>
              <w:t>Chief Finance Officer (s151)</w:t>
            </w:r>
            <w:r>
              <w:rPr>
                <w:rStyle w:val="ParaNumber"/>
                <w:rFonts w:ascii="Arial" w:hAnsi="Arial" w:cs="Arial"/>
                <w:b w:val="0"/>
                <w:color w:val="auto"/>
                <w:sz w:val="20"/>
                <w:szCs w:val="20"/>
              </w:rPr>
              <w:t xml:space="preserve"> from May 2015</w:t>
            </w:r>
          </w:p>
        </w:tc>
        <w:tc>
          <w:tcPr>
            <w:cnfStyle w:val="000010000000"/>
            <w:tcW w:w="993" w:type="dxa"/>
          </w:tcPr>
          <w:p w:rsidR="00167DC5" w:rsidRPr="001E609C" w:rsidRDefault="00167DC5" w:rsidP="00F82E5E">
            <w:pPr>
              <w:widowControl w:val="0"/>
              <w:spacing w:before="60" w:after="60" w:line="240" w:lineRule="auto"/>
              <w:jc w:val="center"/>
              <w:rPr>
                <w:rStyle w:val="ParaNumber"/>
                <w:rFonts w:ascii="Arial" w:hAnsi="Arial" w:cs="Arial"/>
                <w:b/>
                <w:color w:val="auto"/>
                <w:sz w:val="20"/>
                <w:szCs w:val="20"/>
              </w:rPr>
            </w:pPr>
            <w:r w:rsidRPr="001E609C">
              <w:rPr>
                <w:rStyle w:val="ParaNumber"/>
                <w:rFonts w:ascii="Arial" w:hAnsi="Arial" w:cs="Arial"/>
                <w:b/>
                <w:color w:val="auto"/>
                <w:sz w:val="20"/>
                <w:szCs w:val="20"/>
              </w:rPr>
              <w:t>2015/16</w:t>
            </w:r>
          </w:p>
        </w:tc>
        <w:tc>
          <w:tcPr>
            <w:tcW w:w="992" w:type="dxa"/>
          </w:tcPr>
          <w:p w:rsidR="00167DC5" w:rsidRPr="001E609C" w:rsidRDefault="003F6109" w:rsidP="00060A7C">
            <w:pPr>
              <w:widowControl w:val="0"/>
              <w:spacing w:before="60" w:after="60" w:line="240" w:lineRule="auto"/>
              <w:jc w:val="center"/>
              <w:cnfStyle w:val="000000100000"/>
              <w:rPr>
                <w:rStyle w:val="ParaNumber"/>
                <w:rFonts w:ascii="Arial" w:hAnsi="Arial" w:cs="Arial"/>
                <w:b/>
                <w:color w:val="auto"/>
                <w:sz w:val="20"/>
                <w:szCs w:val="20"/>
              </w:rPr>
            </w:pPr>
            <w:r>
              <w:rPr>
                <w:rStyle w:val="ParaNumber"/>
                <w:rFonts w:ascii="Arial" w:hAnsi="Arial" w:cs="Arial"/>
                <w:b/>
                <w:color w:val="auto"/>
                <w:sz w:val="20"/>
                <w:szCs w:val="20"/>
              </w:rPr>
              <w:t>56</w:t>
            </w:r>
          </w:p>
        </w:tc>
        <w:tc>
          <w:tcPr>
            <w:cnfStyle w:val="000010000000"/>
            <w:tcW w:w="1134" w:type="dxa"/>
          </w:tcPr>
          <w:p w:rsidR="00167DC5" w:rsidRPr="001E609C" w:rsidRDefault="003F6109"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0</w:t>
            </w:r>
          </w:p>
        </w:tc>
        <w:tc>
          <w:tcPr>
            <w:tcW w:w="1276" w:type="dxa"/>
          </w:tcPr>
          <w:p w:rsidR="00167DC5" w:rsidRPr="001E609C" w:rsidRDefault="003F6109" w:rsidP="00060A7C">
            <w:pPr>
              <w:widowControl w:val="0"/>
              <w:spacing w:before="60" w:after="60" w:line="240" w:lineRule="auto"/>
              <w:jc w:val="center"/>
              <w:cnfStyle w:val="000000100000"/>
              <w:rPr>
                <w:rStyle w:val="ParaNumber"/>
                <w:rFonts w:ascii="Arial" w:hAnsi="Arial" w:cs="Arial"/>
                <w:b/>
                <w:color w:val="auto"/>
                <w:sz w:val="20"/>
                <w:szCs w:val="20"/>
              </w:rPr>
            </w:pPr>
            <w:r>
              <w:rPr>
                <w:rStyle w:val="ParaNumber"/>
                <w:rFonts w:ascii="Arial" w:hAnsi="Arial" w:cs="Arial"/>
                <w:b/>
                <w:color w:val="auto"/>
                <w:sz w:val="20"/>
                <w:szCs w:val="20"/>
              </w:rPr>
              <w:t>0</w:t>
            </w:r>
          </w:p>
        </w:tc>
        <w:tc>
          <w:tcPr>
            <w:cnfStyle w:val="000010000000"/>
            <w:tcW w:w="1417" w:type="dxa"/>
          </w:tcPr>
          <w:p w:rsidR="00167DC5" w:rsidRPr="001E609C" w:rsidRDefault="003F6109"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7</w:t>
            </w:r>
          </w:p>
        </w:tc>
        <w:tc>
          <w:tcPr>
            <w:cnfStyle w:val="000100000000"/>
            <w:tcW w:w="992" w:type="dxa"/>
          </w:tcPr>
          <w:p w:rsidR="00167DC5" w:rsidRPr="001E609C" w:rsidRDefault="003F6109" w:rsidP="00060A7C">
            <w:pPr>
              <w:widowControl w:val="0"/>
              <w:spacing w:before="60" w:after="60" w:line="240" w:lineRule="auto"/>
              <w:jc w:val="center"/>
              <w:rPr>
                <w:rStyle w:val="ParaNumber"/>
                <w:rFonts w:ascii="Arial" w:hAnsi="Arial" w:cs="Arial"/>
                <w:color w:val="auto"/>
                <w:sz w:val="20"/>
                <w:szCs w:val="20"/>
              </w:rPr>
            </w:pPr>
            <w:r>
              <w:rPr>
                <w:rStyle w:val="ParaNumber"/>
                <w:rFonts w:ascii="Arial" w:hAnsi="Arial" w:cs="Arial"/>
                <w:color w:val="auto"/>
                <w:sz w:val="20"/>
                <w:szCs w:val="20"/>
              </w:rPr>
              <w:t>63</w:t>
            </w:r>
          </w:p>
        </w:tc>
      </w:tr>
      <w:tr w:rsidR="00167DC5" w:rsidRPr="001E609C" w:rsidTr="001C0245">
        <w:tc>
          <w:tcPr>
            <w:cnfStyle w:val="001000000000"/>
            <w:tcW w:w="2268" w:type="dxa"/>
            <w:vMerge w:val="restart"/>
          </w:tcPr>
          <w:p w:rsidR="00167DC5" w:rsidRPr="001E609C" w:rsidRDefault="00167DC5" w:rsidP="00060A7C">
            <w:pPr>
              <w:widowControl w:val="0"/>
              <w:spacing w:before="60" w:after="60" w:line="240" w:lineRule="auto"/>
              <w:rPr>
                <w:rStyle w:val="ParaNumber"/>
                <w:rFonts w:ascii="Arial" w:hAnsi="Arial" w:cs="Arial"/>
                <w:b w:val="0"/>
                <w:color w:val="auto"/>
                <w:sz w:val="20"/>
                <w:szCs w:val="20"/>
              </w:rPr>
            </w:pPr>
            <w:r w:rsidRPr="001E609C">
              <w:rPr>
                <w:rStyle w:val="ParaNumber"/>
                <w:rFonts w:ascii="Arial" w:hAnsi="Arial" w:cs="Arial"/>
                <w:b w:val="0"/>
                <w:color w:val="auto"/>
                <w:sz w:val="20"/>
                <w:szCs w:val="20"/>
              </w:rPr>
              <w:t>Chief Finance Officer (s151)</w:t>
            </w:r>
            <w:r>
              <w:rPr>
                <w:rStyle w:val="ParaNumber"/>
                <w:rFonts w:ascii="Arial" w:hAnsi="Arial" w:cs="Arial"/>
                <w:b w:val="0"/>
                <w:color w:val="auto"/>
                <w:sz w:val="20"/>
                <w:szCs w:val="20"/>
              </w:rPr>
              <w:t xml:space="preserve">  to April 2015</w:t>
            </w:r>
          </w:p>
        </w:tc>
        <w:tc>
          <w:tcPr>
            <w:cnfStyle w:val="000010000000"/>
            <w:tcW w:w="993" w:type="dxa"/>
          </w:tcPr>
          <w:p w:rsidR="00167DC5" w:rsidRPr="001E609C" w:rsidRDefault="00167DC5" w:rsidP="004A3CDB">
            <w:pPr>
              <w:widowControl w:val="0"/>
              <w:spacing w:before="60" w:after="60" w:line="240" w:lineRule="auto"/>
              <w:jc w:val="center"/>
              <w:rPr>
                <w:rStyle w:val="ParaNumber"/>
                <w:rFonts w:ascii="Arial" w:hAnsi="Arial" w:cs="Arial"/>
                <w:b/>
                <w:color w:val="auto"/>
                <w:sz w:val="20"/>
                <w:szCs w:val="20"/>
              </w:rPr>
            </w:pPr>
            <w:r w:rsidRPr="001E609C">
              <w:rPr>
                <w:rStyle w:val="ParaNumber"/>
                <w:rFonts w:ascii="Arial" w:hAnsi="Arial" w:cs="Arial"/>
                <w:b/>
                <w:color w:val="auto"/>
                <w:sz w:val="20"/>
                <w:szCs w:val="20"/>
              </w:rPr>
              <w:t>2015/16</w:t>
            </w:r>
          </w:p>
        </w:tc>
        <w:tc>
          <w:tcPr>
            <w:tcW w:w="992" w:type="dxa"/>
          </w:tcPr>
          <w:p w:rsidR="00167DC5" w:rsidRPr="001E609C" w:rsidRDefault="00FE5BF3" w:rsidP="00FE5BF3">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26</w:t>
            </w:r>
          </w:p>
        </w:tc>
        <w:tc>
          <w:tcPr>
            <w:cnfStyle w:val="000010000000"/>
            <w:tcW w:w="1134" w:type="dxa"/>
          </w:tcPr>
          <w:p w:rsidR="00167DC5" w:rsidRPr="001E609C" w:rsidRDefault="00FE5BF3"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0</w:t>
            </w:r>
          </w:p>
        </w:tc>
        <w:tc>
          <w:tcPr>
            <w:tcW w:w="1276" w:type="dxa"/>
          </w:tcPr>
          <w:p w:rsidR="00167DC5" w:rsidRPr="001E609C" w:rsidRDefault="00FE5BF3" w:rsidP="00060A7C">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56</w:t>
            </w:r>
          </w:p>
        </w:tc>
        <w:tc>
          <w:tcPr>
            <w:cnfStyle w:val="000010000000"/>
            <w:tcW w:w="1417" w:type="dxa"/>
          </w:tcPr>
          <w:p w:rsidR="00167DC5" w:rsidRPr="001E609C" w:rsidRDefault="00FE5BF3"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1</w:t>
            </w:r>
          </w:p>
        </w:tc>
        <w:tc>
          <w:tcPr>
            <w:cnfStyle w:val="000100000000"/>
            <w:tcW w:w="992" w:type="dxa"/>
          </w:tcPr>
          <w:p w:rsidR="00167DC5" w:rsidRPr="001E609C" w:rsidRDefault="00FE5BF3" w:rsidP="00060A7C">
            <w:pPr>
              <w:widowControl w:val="0"/>
              <w:spacing w:before="60" w:after="60" w:line="240" w:lineRule="auto"/>
              <w:jc w:val="center"/>
              <w:rPr>
                <w:rStyle w:val="ParaNumber"/>
                <w:rFonts w:ascii="Arial" w:hAnsi="Arial" w:cs="Arial"/>
                <w:color w:val="auto"/>
                <w:sz w:val="20"/>
                <w:szCs w:val="20"/>
              </w:rPr>
            </w:pPr>
            <w:r>
              <w:rPr>
                <w:rStyle w:val="ParaNumber"/>
                <w:rFonts w:ascii="Arial" w:hAnsi="Arial" w:cs="Arial"/>
                <w:color w:val="auto"/>
                <w:sz w:val="20"/>
                <w:szCs w:val="20"/>
              </w:rPr>
              <w:t>83</w:t>
            </w:r>
          </w:p>
        </w:tc>
      </w:tr>
      <w:tr w:rsidR="00167DC5" w:rsidRPr="001E609C" w:rsidTr="001C0245">
        <w:trPr>
          <w:cnfStyle w:val="000000100000"/>
        </w:trPr>
        <w:tc>
          <w:tcPr>
            <w:cnfStyle w:val="001000000000"/>
            <w:tcW w:w="2268" w:type="dxa"/>
          </w:tcPr>
          <w:p w:rsidR="00167DC5" w:rsidRPr="001E609C" w:rsidRDefault="00167DC5" w:rsidP="003C5E34">
            <w:pPr>
              <w:widowControl w:val="0"/>
              <w:spacing w:before="60" w:after="60" w:line="240" w:lineRule="auto"/>
              <w:rPr>
                <w:rStyle w:val="ParaNumber"/>
                <w:rFonts w:ascii="Arial" w:hAnsi="Arial" w:cs="Arial"/>
                <w:color w:val="auto"/>
                <w:sz w:val="20"/>
                <w:szCs w:val="20"/>
              </w:rPr>
            </w:pPr>
          </w:p>
        </w:tc>
        <w:tc>
          <w:tcPr>
            <w:cnfStyle w:val="000010000000"/>
            <w:tcW w:w="993"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2014/15</w:t>
            </w:r>
          </w:p>
        </w:tc>
        <w:tc>
          <w:tcPr>
            <w:tcW w:w="992" w:type="dxa"/>
          </w:tcPr>
          <w:p w:rsidR="00167DC5" w:rsidRPr="001E609C" w:rsidRDefault="00167DC5" w:rsidP="001E609C">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79</w:t>
            </w:r>
          </w:p>
        </w:tc>
        <w:tc>
          <w:tcPr>
            <w:cnfStyle w:val="000010000000"/>
            <w:tcW w:w="1134"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tcW w:w="1276" w:type="dxa"/>
          </w:tcPr>
          <w:p w:rsidR="00167DC5" w:rsidRPr="001E609C" w:rsidRDefault="00167DC5" w:rsidP="001E609C">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cnfStyle w:val="000010000000"/>
            <w:tcW w:w="1417"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10</w:t>
            </w:r>
          </w:p>
        </w:tc>
        <w:tc>
          <w:tcPr>
            <w:cnfStyle w:val="000100000000"/>
            <w:tcW w:w="992" w:type="dxa"/>
          </w:tcPr>
          <w:p w:rsidR="00167DC5" w:rsidRPr="001E609C" w:rsidRDefault="00167DC5" w:rsidP="001E609C">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89</w:t>
            </w:r>
          </w:p>
        </w:tc>
      </w:tr>
      <w:tr w:rsidR="00167DC5" w:rsidRPr="001E609C" w:rsidTr="001C0245">
        <w:trPr>
          <w:trHeight w:val="318"/>
        </w:trPr>
        <w:tc>
          <w:tcPr>
            <w:cnfStyle w:val="001000000000"/>
            <w:tcW w:w="2268" w:type="dxa"/>
            <w:vMerge w:val="restart"/>
          </w:tcPr>
          <w:p w:rsidR="00167DC5" w:rsidRPr="001E609C" w:rsidRDefault="00167DC5" w:rsidP="00326542">
            <w:pPr>
              <w:widowControl w:val="0"/>
              <w:spacing w:before="60" w:after="60" w:line="240" w:lineRule="auto"/>
              <w:rPr>
                <w:rStyle w:val="ParaNumber"/>
                <w:rFonts w:ascii="Arial" w:hAnsi="Arial" w:cs="Arial"/>
                <w:bCs w:val="0"/>
                <w:color w:val="auto"/>
                <w:sz w:val="20"/>
                <w:szCs w:val="20"/>
              </w:rPr>
            </w:pPr>
            <w:r w:rsidRPr="001E609C">
              <w:rPr>
                <w:rStyle w:val="ParaNumber"/>
                <w:rFonts w:ascii="Arial" w:hAnsi="Arial" w:cs="Arial"/>
                <w:b w:val="0"/>
                <w:color w:val="auto"/>
                <w:sz w:val="20"/>
                <w:szCs w:val="20"/>
              </w:rPr>
              <w:t xml:space="preserve">Director of Public Health </w:t>
            </w:r>
          </w:p>
          <w:p w:rsidR="00167DC5" w:rsidRPr="001E609C" w:rsidRDefault="00167DC5" w:rsidP="003C5E34">
            <w:pPr>
              <w:widowControl w:val="0"/>
              <w:spacing w:before="60" w:after="60" w:line="240" w:lineRule="auto"/>
              <w:rPr>
                <w:rStyle w:val="ParaNumber"/>
                <w:rFonts w:ascii="Arial" w:hAnsi="Arial" w:cs="Arial"/>
                <w:b w:val="0"/>
                <w:color w:val="auto"/>
                <w:sz w:val="20"/>
                <w:szCs w:val="20"/>
              </w:rPr>
            </w:pPr>
          </w:p>
        </w:tc>
        <w:tc>
          <w:tcPr>
            <w:cnfStyle w:val="000010000000"/>
            <w:tcW w:w="993" w:type="dxa"/>
          </w:tcPr>
          <w:p w:rsidR="00167DC5" w:rsidRPr="001E609C" w:rsidRDefault="00167DC5" w:rsidP="001E609C">
            <w:pPr>
              <w:widowControl w:val="0"/>
              <w:spacing w:before="60" w:after="60" w:line="240" w:lineRule="auto"/>
              <w:jc w:val="center"/>
              <w:rPr>
                <w:rStyle w:val="ParaNumber"/>
                <w:rFonts w:ascii="Arial" w:hAnsi="Arial" w:cs="Arial"/>
                <w:b/>
                <w:color w:val="auto"/>
                <w:sz w:val="20"/>
                <w:szCs w:val="20"/>
              </w:rPr>
            </w:pPr>
            <w:r w:rsidRPr="001E609C">
              <w:rPr>
                <w:rStyle w:val="ParaNumber"/>
                <w:rFonts w:ascii="Arial" w:hAnsi="Arial" w:cs="Arial"/>
                <w:b/>
                <w:color w:val="auto"/>
                <w:sz w:val="20"/>
                <w:szCs w:val="20"/>
              </w:rPr>
              <w:t>2015/16</w:t>
            </w:r>
          </w:p>
        </w:tc>
        <w:tc>
          <w:tcPr>
            <w:tcW w:w="992" w:type="dxa"/>
          </w:tcPr>
          <w:p w:rsidR="00167DC5" w:rsidRPr="001E609C" w:rsidRDefault="00FE5BF3" w:rsidP="00F52F70">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95</w:t>
            </w:r>
          </w:p>
        </w:tc>
        <w:tc>
          <w:tcPr>
            <w:cnfStyle w:val="000010000000"/>
            <w:tcW w:w="1134" w:type="dxa"/>
          </w:tcPr>
          <w:p w:rsidR="00167DC5" w:rsidRPr="001E609C" w:rsidRDefault="00FE5BF3" w:rsidP="00F52F70">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0</w:t>
            </w:r>
          </w:p>
        </w:tc>
        <w:tc>
          <w:tcPr>
            <w:tcW w:w="1276" w:type="dxa"/>
          </w:tcPr>
          <w:p w:rsidR="00167DC5" w:rsidRPr="001E609C" w:rsidRDefault="00FE5BF3" w:rsidP="00F52F70">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0</w:t>
            </w:r>
          </w:p>
        </w:tc>
        <w:tc>
          <w:tcPr>
            <w:cnfStyle w:val="000010000000"/>
            <w:tcW w:w="1417" w:type="dxa"/>
          </w:tcPr>
          <w:p w:rsidR="00167DC5" w:rsidRPr="001E609C" w:rsidRDefault="00FE5BF3" w:rsidP="00F52F70">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13</w:t>
            </w:r>
          </w:p>
        </w:tc>
        <w:tc>
          <w:tcPr>
            <w:cnfStyle w:val="000100000000"/>
            <w:tcW w:w="992" w:type="dxa"/>
          </w:tcPr>
          <w:p w:rsidR="00167DC5" w:rsidRPr="001E609C" w:rsidRDefault="00FE5BF3" w:rsidP="00F52F70">
            <w:pPr>
              <w:widowControl w:val="0"/>
              <w:spacing w:before="60" w:after="60" w:line="240" w:lineRule="auto"/>
              <w:jc w:val="center"/>
              <w:rPr>
                <w:rStyle w:val="ParaNumber"/>
                <w:rFonts w:ascii="Arial" w:hAnsi="Arial" w:cs="Arial"/>
                <w:color w:val="auto"/>
                <w:sz w:val="20"/>
                <w:szCs w:val="20"/>
              </w:rPr>
            </w:pPr>
            <w:r>
              <w:rPr>
                <w:rStyle w:val="ParaNumber"/>
                <w:rFonts w:ascii="Arial" w:hAnsi="Arial" w:cs="Arial"/>
                <w:color w:val="auto"/>
                <w:sz w:val="20"/>
                <w:szCs w:val="20"/>
              </w:rPr>
              <w:t>108</w:t>
            </w:r>
          </w:p>
        </w:tc>
      </w:tr>
      <w:tr w:rsidR="00167DC5" w:rsidRPr="001E609C" w:rsidTr="001C0245">
        <w:trPr>
          <w:cnfStyle w:val="000000100000"/>
          <w:trHeight w:val="318"/>
        </w:trPr>
        <w:tc>
          <w:tcPr>
            <w:cnfStyle w:val="001000000000"/>
            <w:tcW w:w="2268" w:type="dxa"/>
            <w:vMerge/>
          </w:tcPr>
          <w:p w:rsidR="00167DC5" w:rsidRPr="001E609C" w:rsidRDefault="00167DC5" w:rsidP="003C5E34">
            <w:pPr>
              <w:widowControl w:val="0"/>
              <w:spacing w:before="60" w:after="60" w:line="240" w:lineRule="auto"/>
              <w:rPr>
                <w:rStyle w:val="ParaNumber"/>
                <w:rFonts w:ascii="Arial" w:hAnsi="Arial" w:cs="Arial"/>
                <w:color w:val="auto"/>
                <w:sz w:val="20"/>
                <w:szCs w:val="20"/>
              </w:rPr>
            </w:pPr>
          </w:p>
        </w:tc>
        <w:tc>
          <w:tcPr>
            <w:cnfStyle w:val="000010000000"/>
            <w:tcW w:w="993"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2014/15</w:t>
            </w:r>
          </w:p>
        </w:tc>
        <w:tc>
          <w:tcPr>
            <w:tcW w:w="992" w:type="dxa"/>
          </w:tcPr>
          <w:p w:rsidR="00167DC5" w:rsidRPr="001E609C" w:rsidRDefault="00167DC5" w:rsidP="001E609C">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98</w:t>
            </w:r>
          </w:p>
        </w:tc>
        <w:tc>
          <w:tcPr>
            <w:cnfStyle w:val="000010000000"/>
            <w:tcW w:w="1134"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w:t>
            </w:r>
          </w:p>
        </w:tc>
        <w:tc>
          <w:tcPr>
            <w:tcW w:w="1276" w:type="dxa"/>
          </w:tcPr>
          <w:p w:rsidR="00167DC5" w:rsidRPr="001E609C" w:rsidRDefault="00167DC5" w:rsidP="001E609C">
            <w:pPr>
              <w:widowControl w:val="0"/>
              <w:spacing w:before="60" w:after="60" w:line="240" w:lineRule="auto"/>
              <w:jc w:val="center"/>
              <w:cnfStyle w:val="000000100000"/>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cnfStyle w:val="000010000000"/>
            <w:tcW w:w="1417"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14</w:t>
            </w:r>
          </w:p>
        </w:tc>
        <w:tc>
          <w:tcPr>
            <w:cnfStyle w:val="000100000000"/>
            <w:tcW w:w="992" w:type="dxa"/>
          </w:tcPr>
          <w:p w:rsidR="00167DC5" w:rsidRPr="001E609C" w:rsidRDefault="00167DC5" w:rsidP="001E609C">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113</w:t>
            </w:r>
          </w:p>
        </w:tc>
      </w:tr>
      <w:tr w:rsidR="00167DC5" w:rsidRPr="001E609C" w:rsidTr="001C0245">
        <w:trPr>
          <w:trHeight w:val="318"/>
        </w:trPr>
        <w:tc>
          <w:tcPr>
            <w:cnfStyle w:val="001000000000"/>
            <w:tcW w:w="2268" w:type="dxa"/>
            <w:vMerge w:val="restart"/>
          </w:tcPr>
          <w:p w:rsidR="00167DC5" w:rsidRPr="001E609C" w:rsidRDefault="00AC4B8F" w:rsidP="00B17DB8">
            <w:pPr>
              <w:widowControl w:val="0"/>
              <w:spacing w:before="60" w:after="60" w:line="240" w:lineRule="auto"/>
              <w:rPr>
                <w:rStyle w:val="ParaNumber"/>
                <w:rFonts w:ascii="Arial" w:hAnsi="Arial" w:cs="Arial"/>
                <w:b w:val="0"/>
                <w:color w:val="auto"/>
                <w:sz w:val="20"/>
                <w:szCs w:val="20"/>
              </w:rPr>
            </w:pPr>
            <w:r>
              <w:rPr>
                <w:rStyle w:val="ParaNumber"/>
                <w:rFonts w:ascii="Arial" w:hAnsi="Arial" w:cs="Arial"/>
                <w:b w:val="0"/>
                <w:color w:val="auto"/>
                <w:sz w:val="20"/>
                <w:szCs w:val="20"/>
              </w:rPr>
              <w:t>Assi</w:t>
            </w:r>
            <w:r w:rsidR="00C04EC1">
              <w:rPr>
                <w:rStyle w:val="ParaNumber"/>
                <w:rFonts w:ascii="Arial" w:hAnsi="Arial" w:cs="Arial"/>
                <w:b w:val="0"/>
                <w:color w:val="auto"/>
                <w:sz w:val="20"/>
                <w:szCs w:val="20"/>
              </w:rPr>
              <w:t>s</w:t>
            </w:r>
            <w:r>
              <w:rPr>
                <w:rStyle w:val="ParaNumber"/>
                <w:rFonts w:ascii="Arial" w:hAnsi="Arial" w:cs="Arial"/>
                <w:b w:val="0"/>
                <w:color w:val="auto"/>
                <w:sz w:val="20"/>
                <w:szCs w:val="20"/>
              </w:rPr>
              <w:t xml:space="preserve">tant Director </w:t>
            </w:r>
            <w:r w:rsidR="00C04EC1">
              <w:rPr>
                <w:rStyle w:val="ParaNumber"/>
                <w:rFonts w:ascii="Arial" w:hAnsi="Arial" w:cs="Arial"/>
                <w:b w:val="0"/>
                <w:color w:val="auto"/>
                <w:sz w:val="20"/>
                <w:szCs w:val="20"/>
              </w:rPr>
              <w:t>-</w:t>
            </w:r>
            <w:r>
              <w:rPr>
                <w:rStyle w:val="ParaNumber"/>
                <w:rFonts w:ascii="Arial" w:hAnsi="Arial" w:cs="Arial"/>
                <w:b w:val="0"/>
                <w:color w:val="auto"/>
                <w:sz w:val="20"/>
                <w:szCs w:val="20"/>
              </w:rPr>
              <w:t xml:space="preserve">Commercial &amp; Business Services </w:t>
            </w:r>
            <w:r w:rsidR="00C04EC1">
              <w:rPr>
                <w:rStyle w:val="ParaNumber"/>
                <w:rFonts w:ascii="Arial" w:hAnsi="Arial" w:cs="Arial"/>
                <w:b w:val="0"/>
                <w:color w:val="auto"/>
                <w:sz w:val="20"/>
                <w:szCs w:val="20"/>
              </w:rPr>
              <w:t xml:space="preserve">(from </w:t>
            </w:r>
            <w:r w:rsidR="00B17DB8">
              <w:rPr>
                <w:rStyle w:val="ParaNumber"/>
                <w:rFonts w:ascii="Arial" w:hAnsi="Arial" w:cs="Arial"/>
                <w:b w:val="0"/>
                <w:color w:val="auto"/>
                <w:sz w:val="20"/>
                <w:szCs w:val="20"/>
              </w:rPr>
              <w:t>May</w:t>
            </w:r>
            <w:r w:rsidR="00C04EC1">
              <w:rPr>
                <w:rStyle w:val="ParaNumber"/>
                <w:rFonts w:ascii="Arial" w:hAnsi="Arial" w:cs="Arial"/>
                <w:b w:val="0"/>
                <w:color w:val="auto"/>
                <w:sz w:val="20"/>
                <w:szCs w:val="20"/>
              </w:rPr>
              <w:t xml:space="preserve"> 2015) </w:t>
            </w:r>
            <w:r>
              <w:rPr>
                <w:rStyle w:val="ParaNumber"/>
                <w:rFonts w:ascii="Arial" w:hAnsi="Arial" w:cs="Arial"/>
                <w:b w:val="0"/>
                <w:color w:val="auto"/>
                <w:sz w:val="20"/>
                <w:szCs w:val="20"/>
              </w:rPr>
              <w:t xml:space="preserve">&amp; </w:t>
            </w:r>
            <w:r w:rsidR="00167DC5" w:rsidRPr="001E609C">
              <w:rPr>
                <w:rStyle w:val="ParaNumber"/>
                <w:rFonts w:ascii="Arial" w:hAnsi="Arial" w:cs="Arial"/>
                <w:b w:val="0"/>
                <w:color w:val="auto"/>
                <w:sz w:val="20"/>
                <w:szCs w:val="20"/>
              </w:rPr>
              <w:t xml:space="preserve">Monitoring Officer </w:t>
            </w:r>
          </w:p>
        </w:tc>
        <w:tc>
          <w:tcPr>
            <w:cnfStyle w:val="000010000000"/>
            <w:tcW w:w="993" w:type="dxa"/>
          </w:tcPr>
          <w:p w:rsidR="00167DC5" w:rsidRPr="001E609C" w:rsidRDefault="00167DC5" w:rsidP="001E609C">
            <w:pPr>
              <w:widowControl w:val="0"/>
              <w:spacing w:before="60" w:after="60" w:line="240" w:lineRule="auto"/>
              <w:jc w:val="center"/>
              <w:rPr>
                <w:rStyle w:val="ParaNumber"/>
                <w:rFonts w:ascii="Arial" w:hAnsi="Arial" w:cs="Arial"/>
                <w:b/>
                <w:color w:val="auto"/>
                <w:sz w:val="20"/>
                <w:szCs w:val="20"/>
              </w:rPr>
            </w:pPr>
            <w:r w:rsidRPr="001E609C">
              <w:rPr>
                <w:rStyle w:val="ParaNumber"/>
                <w:rFonts w:ascii="Arial" w:hAnsi="Arial" w:cs="Arial"/>
                <w:b/>
                <w:color w:val="auto"/>
                <w:sz w:val="20"/>
                <w:szCs w:val="20"/>
              </w:rPr>
              <w:t>2015/16</w:t>
            </w:r>
          </w:p>
        </w:tc>
        <w:tc>
          <w:tcPr>
            <w:tcW w:w="992" w:type="dxa"/>
          </w:tcPr>
          <w:p w:rsidR="00167DC5" w:rsidRPr="001E609C" w:rsidRDefault="00FE5BF3" w:rsidP="00060A7C">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80</w:t>
            </w:r>
          </w:p>
        </w:tc>
        <w:tc>
          <w:tcPr>
            <w:cnfStyle w:val="000010000000"/>
            <w:tcW w:w="1134" w:type="dxa"/>
          </w:tcPr>
          <w:p w:rsidR="00167DC5" w:rsidRPr="001E609C" w:rsidRDefault="00FE5BF3"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0</w:t>
            </w:r>
          </w:p>
        </w:tc>
        <w:tc>
          <w:tcPr>
            <w:tcW w:w="1276" w:type="dxa"/>
          </w:tcPr>
          <w:p w:rsidR="00167DC5" w:rsidRPr="001E609C" w:rsidRDefault="00FE5BF3" w:rsidP="00060A7C">
            <w:pPr>
              <w:widowControl w:val="0"/>
              <w:spacing w:before="60" w:after="60" w:line="240" w:lineRule="auto"/>
              <w:jc w:val="center"/>
              <w:cnfStyle w:val="000000000000"/>
              <w:rPr>
                <w:rStyle w:val="ParaNumber"/>
                <w:rFonts w:ascii="Arial" w:hAnsi="Arial" w:cs="Arial"/>
                <w:b/>
                <w:color w:val="auto"/>
                <w:sz w:val="20"/>
                <w:szCs w:val="20"/>
              </w:rPr>
            </w:pPr>
            <w:r>
              <w:rPr>
                <w:rStyle w:val="ParaNumber"/>
                <w:rFonts w:ascii="Arial" w:hAnsi="Arial" w:cs="Arial"/>
                <w:b/>
                <w:color w:val="auto"/>
                <w:sz w:val="20"/>
                <w:szCs w:val="20"/>
              </w:rPr>
              <w:t>0</w:t>
            </w:r>
          </w:p>
        </w:tc>
        <w:tc>
          <w:tcPr>
            <w:cnfStyle w:val="000010000000"/>
            <w:tcW w:w="1417" w:type="dxa"/>
          </w:tcPr>
          <w:p w:rsidR="00167DC5" w:rsidRPr="001E609C" w:rsidRDefault="00FE5BF3" w:rsidP="00060A7C">
            <w:pPr>
              <w:widowControl w:val="0"/>
              <w:spacing w:before="60" w:after="60" w:line="240" w:lineRule="auto"/>
              <w:jc w:val="center"/>
              <w:rPr>
                <w:rStyle w:val="ParaNumber"/>
                <w:rFonts w:ascii="Arial" w:hAnsi="Arial" w:cs="Arial"/>
                <w:b/>
                <w:color w:val="auto"/>
                <w:sz w:val="20"/>
                <w:szCs w:val="20"/>
              </w:rPr>
            </w:pPr>
            <w:r>
              <w:rPr>
                <w:rStyle w:val="ParaNumber"/>
                <w:rFonts w:ascii="Arial" w:hAnsi="Arial" w:cs="Arial"/>
                <w:b/>
                <w:color w:val="auto"/>
                <w:sz w:val="20"/>
                <w:szCs w:val="20"/>
              </w:rPr>
              <w:t>10</w:t>
            </w:r>
          </w:p>
        </w:tc>
        <w:tc>
          <w:tcPr>
            <w:cnfStyle w:val="000100000000"/>
            <w:tcW w:w="992" w:type="dxa"/>
          </w:tcPr>
          <w:p w:rsidR="00167DC5" w:rsidRPr="00C04EC1" w:rsidRDefault="00FE5BF3" w:rsidP="00060A7C">
            <w:pPr>
              <w:widowControl w:val="0"/>
              <w:spacing w:before="60" w:after="60" w:line="240" w:lineRule="auto"/>
              <w:jc w:val="center"/>
              <w:rPr>
                <w:rStyle w:val="ParaNumber"/>
                <w:rFonts w:ascii="Arial" w:hAnsi="Arial" w:cs="Arial"/>
                <w:bCs w:val="0"/>
                <w:color w:val="auto"/>
                <w:sz w:val="20"/>
                <w:szCs w:val="20"/>
              </w:rPr>
            </w:pPr>
            <w:r w:rsidRPr="00C04EC1">
              <w:rPr>
                <w:rStyle w:val="ParaNumber"/>
                <w:rFonts w:ascii="Arial" w:hAnsi="Arial" w:cs="Arial"/>
                <w:bCs w:val="0"/>
                <w:color w:val="auto"/>
                <w:sz w:val="20"/>
                <w:szCs w:val="20"/>
              </w:rPr>
              <w:t>90</w:t>
            </w:r>
          </w:p>
        </w:tc>
      </w:tr>
      <w:tr w:rsidR="00167DC5" w:rsidRPr="001E609C" w:rsidTr="001C0245">
        <w:trPr>
          <w:cnfStyle w:val="010000000000"/>
          <w:trHeight w:val="318"/>
        </w:trPr>
        <w:tc>
          <w:tcPr>
            <w:cnfStyle w:val="001000000001"/>
            <w:tcW w:w="2268" w:type="dxa"/>
            <w:vMerge/>
          </w:tcPr>
          <w:p w:rsidR="00167DC5" w:rsidRPr="001E609C" w:rsidRDefault="00167DC5" w:rsidP="003C5E34">
            <w:pPr>
              <w:widowControl w:val="0"/>
              <w:spacing w:before="60" w:after="60" w:line="240" w:lineRule="auto"/>
              <w:rPr>
                <w:rStyle w:val="ParaNumber"/>
                <w:rFonts w:ascii="Arial" w:hAnsi="Arial" w:cs="Arial"/>
                <w:color w:val="auto"/>
                <w:sz w:val="20"/>
                <w:szCs w:val="20"/>
              </w:rPr>
            </w:pPr>
          </w:p>
        </w:tc>
        <w:tc>
          <w:tcPr>
            <w:cnfStyle w:val="000010000000"/>
            <w:tcW w:w="993"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2014/15</w:t>
            </w:r>
          </w:p>
        </w:tc>
        <w:tc>
          <w:tcPr>
            <w:tcW w:w="992" w:type="dxa"/>
          </w:tcPr>
          <w:p w:rsidR="00167DC5" w:rsidRPr="001E609C" w:rsidRDefault="00167DC5" w:rsidP="001E609C">
            <w:pPr>
              <w:widowControl w:val="0"/>
              <w:spacing w:before="60" w:after="60" w:line="240" w:lineRule="auto"/>
              <w:jc w:val="center"/>
              <w:cnfStyle w:val="010000000000"/>
              <w:rPr>
                <w:rStyle w:val="ParaNumber"/>
                <w:rFonts w:ascii="Arial" w:hAnsi="Arial" w:cs="Arial"/>
                <w:color w:val="auto"/>
                <w:sz w:val="20"/>
                <w:szCs w:val="20"/>
              </w:rPr>
            </w:pPr>
            <w:r w:rsidRPr="001E609C">
              <w:rPr>
                <w:rStyle w:val="ParaNumber"/>
                <w:rFonts w:ascii="Arial" w:hAnsi="Arial" w:cs="Arial"/>
                <w:color w:val="auto"/>
                <w:sz w:val="20"/>
                <w:szCs w:val="20"/>
              </w:rPr>
              <w:t>74</w:t>
            </w:r>
          </w:p>
        </w:tc>
        <w:tc>
          <w:tcPr>
            <w:cnfStyle w:val="000010000000"/>
            <w:tcW w:w="1134"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w:t>
            </w:r>
          </w:p>
        </w:tc>
        <w:tc>
          <w:tcPr>
            <w:tcW w:w="1276" w:type="dxa"/>
          </w:tcPr>
          <w:p w:rsidR="00167DC5" w:rsidRPr="001E609C" w:rsidRDefault="00167DC5" w:rsidP="001E609C">
            <w:pPr>
              <w:widowControl w:val="0"/>
              <w:spacing w:before="60" w:after="60" w:line="240" w:lineRule="auto"/>
              <w:jc w:val="center"/>
              <w:cnfStyle w:val="010000000000"/>
              <w:rPr>
                <w:rStyle w:val="ParaNumber"/>
                <w:rFonts w:ascii="Arial" w:hAnsi="Arial" w:cs="Arial"/>
                <w:color w:val="auto"/>
                <w:sz w:val="20"/>
                <w:szCs w:val="20"/>
              </w:rPr>
            </w:pPr>
            <w:r w:rsidRPr="001E609C">
              <w:rPr>
                <w:rStyle w:val="ParaNumber"/>
                <w:rFonts w:ascii="Arial" w:hAnsi="Arial" w:cs="Arial"/>
                <w:color w:val="auto"/>
                <w:sz w:val="20"/>
                <w:szCs w:val="20"/>
              </w:rPr>
              <w:t>0</w:t>
            </w:r>
          </w:p>
        </w:tc>
        <w:tc>
          <w:tcPr>
            <w:cnfStyle w:val="000010000000"/>
            <w:tcW w:w="1417" w:type="dxa"/>
          </w:tcPr>
          <w:p w:rsidR="00167DC5" w:rsidRPr="001E609C" w:rsidRDefault="00167DC5" w:rsidP="001E609C">
            <w:pPr>
              <w:widowControl w:val="0"/>
              <w:spacing w:before="60" w:after="60" w:line="240" w:lineRule="auto"/>
              <w:jc w:val="center"/>
              <w:rPr>
                <w:rStyle w:val="ParaNumber"/>
                <w:rFonts w:ascii="Arial" w:hAnsi="Arial" w:cs="Arial"/>
                <w:color w:val="auto"/>
                <w:sz w:val="20"/>
                <w:szCs w:val="20"/>
              </w:rPr>
            </w:pPr>
            <w:r w:rsidRPr="001E609C">
              <w:rPr>
                <w:rStyle w:val="ParaNumber"/>
                <w:rFonts w:ascii="Arial" w:hAnsi="Arial" w:cs="Arial"/>
                <w:color w:val="auto"/>
                <w:sz w:val="20"/>
                <w:szCs w:val="20"/>
              </w:rPr>
              <w:t>10</w:t>
            </w:r>
          </w:p>
        </w:tc>
        <w:tc>
          <w:tcPr>
            <w:cnfStyle w:val="000100000010"/>
            <w:tcW w:w="992" w:type="dxa"/>
          </w:tcPr>
          <w:p w:rsidR="00167DC5" w:rsidRPr="001E609C" w:rsidRDefault="00167DC5" w:rsidP="001E609C">
            <w:pPr>
              <w:widowControl w:val="0"/>
              <w:spacing w:before="60" w:after="60" w:line="240" w:lineRule="auto"/>
              <w:jc w:val="center"/>
              <w:rPr>
                <w:rStyle w:val="ParaNumber"/>
                <w:rFonts w:ascii="Arial" w:hAnsi="Arial" w:cs="Arial"/>
                <w:b w:val="0"/>
                <w:color w:val="auto"/>
                <w:sz w:val="20"/>
                <w:szCs w:val="20"/>
              </w:rPr>
            </w:pPr>
            <w:r w:rsidRPr="001E609C">
              <w:rPr>
                <w:rStyle w:val="ParaNumber"/>
                <w:rFonts w:ascii="Arial" w:hAnsi="Arial" w:cs="Arial"/>
                <w:b w:val="0"/>
                <w:color w:val="auto"/>
                <w:sz w:val="20"/>
                <w:szCs w:val="20"/>
              </w:rPr>
              <w:t>85</w:t>
            </w:r>
          </w:p>
        </w:tc>
      </w:tr>
    </w:tbl>
    <w:p w:rsidR="002F43B9" w:rsidRPr="00D42E0B" w:rsidRDefault="002F43B9" w:rsidP="00E95BB6">
      <w:pPr>
        <w:pStyle w:val="CodeNotesExampleHead"/>
        <w:widowControl w:val="0"/>
        <w:ind w:left="1440" w:hanging="1080"/>
        <w:rPr>
          <w:rFonts w:cs="Arial"/>
          <w:b w:val="0"/>
          <w:color w:val="548DD4" w:themeColor="text2" w:themeTint="99"/>
          <w:sz w:val="20"/>
          <w:szCs w:val="20"/>
          <w:lang w:eastAsia="en-GB"/>
        </w:rPr>
      </w:pPr>
    </w:p>
    <w:p w:rsidR="00DB1F69" w:rsidRDefault="00DB1F69" w:rsidP="00845AAC">
      <w:pPr>
        <w:pStyle w:val="CodeNotesExampleHead"/>
        <w:widowControl w:val="0"/>
        <w:ind w:left="567"/>
        <w:rPr>
          <w:rFonts w:cs="Arial"/>
          <w:b w:val="0"/>
          <w:color w:val="548DD4" w:themeColor="text2" w:themeTint="99"/>
          <w:sz w:val="20"/>
          <w:szCs w:val="20"/>
          <w:lang w:eastAsia="en-GB"/>
        </w:rPr>
      </w:pPr>
    </w:p>
    <w:p w:rsidR="00DB1F69" w:rsidRDefault="00DB1F69" w:rsidP="00845AAC">
      <w:pPr>
        <w:pStyle w:val="CodeNotesExampleHead"/>
        <w:widowControl w:val="0"/>
        <w:ind w:left="567"/>
        <w:rPr>
          <w:rFonts w:cs="Arial"/>
          <w:b w:val="0"/>
          <w:color w:val="auto"/>
          <w:sz w:val="20"/>
          <w:szCs w:val="20"/>
          <w:lang w:eastAsia="en-GB"/>
        </w:rPr>
      </w:pPr>
      <w:r w:rsidRPr="004F5687">
        <w:rPr>
          <w:rFonts w:cs="Arial"/>
          <w:b w:val="0"/>
          <w:color w:val="auto"/>
          <w:sz w:val="20"/>
          <w:szCs w:val="20"/>
          <w:lang w:eastAsia="en-GB"/>
        </w:rPr>
        <w:t xml:space="preserve">* For the period from April to </w:t>
      </w:r>
      <w:r w:rsidR="00A77EB7" w:rsidRPr="004F5687">
        <w:rPr>
          <w:rFonts w:cs="Arial"/>
          <w:b w:val="0"/>
          <w:color w:val="auto"/>
          <w:sz w:val="20"/>
          <w:szCs w:val="20"/>
          <w:lang w:eastAsia="en-GB"/>
        </w:rPr>
        <w:t>August</w:t>
      </w:r>
      <w:r w:rsidRPr="004F5687">
        <w:rPr>
          <w:rFonts w:cs="Arial"/>
          <w:b w:val="0"/>
          <w:color w:val="auto"/>
          <w:sz w:val="20"/>
          <w:szCs w:val="20"/>
          <w:lang w:eastAsia="en-GB"/>
        </w:rPr>
        <w:t xml:space="preserve"> 2015 the </w:t>
      </w:r>
      <w:r w:rsidR="00823A42" w:rsidRPr="004F5687">
        <w:rPr>
          <w:rFonts w:cs="Arial"/>
          <w:b w:val="0"/>
          <w:color w:val="auto"/>
          <w:sz w:val="20"/>
          <w:szCs w:val="20"/>
          <w:lang w:eastAsia="en-GB"/>
        </w:rPr>
        <w:t>Cou</w:t>
      </w:r>
      <w:r w:rsidR="00AE1A5F" w:rsidRPr="004F5687">
        <w:rPr>
          <w:rFonts w:cs="Arial"/>
          <w:b w:val="0"/>
          <w:color w:val="auto"/>
          <w:sz w:val="20"/>
          <w:szCs w:val="20"/>
          <w:lang w:eastAsia="en-GB"/>
        </w:rPr>
        <w:t>ncil's</w:t>
      </w:r>
      <w:r w:rsidR="00823A42" w:rsidRPr="004F5687">
        <w:rPr>
          <w:rFonts w:cs="Arial"/>
          <w:b w:val="0"/>
          <w:color w:val="auto"/>
          <w:sz w:val="20"/>
          <w:szCs w:val="20"/>
          <w:lang w:eastAsia="en-GB"/>
        </w:rPr>
        <w:t xml:space="preserve"> </w:t>
      </w:r>
      <w:r w:rsidRPr="004F5687">
        <w:rPr>
          <w:rFonts w:cs="Arial"/>
          <w:b w:val="0"/>
          <w:color w:val="auto"/>
          <w:sz w:val="20"/>
          <w:szCs w:val="20"/>
          <w:lang w:eastAsia="en-GB"/>
        </w:rPr>
        <w:t>Director of Childr</w:t>
      </w:r>
      <w:r w:rsidR="00D93901" w:rsidRPr="004F5687">
        <w:rPr>
          <w:rFonts w:cs="Arial"/>
          <w:b w:val="0"/>
          <w:color w:val="auto"/>
          <w:sz w:val="20"/>
          <w:szCs w:val="20"/>
          <w:lang w:eastAsia="en-GB"/>
        </w:rPr>
        <w:t>ens</w:t>
      </w:r>
      <w:r w:rsidRPr="004F5687">
        <w:rPr>
          <w:rFonts w:cs="Arial"/>
          <w:b w:val="0"/>
          <w:color w:val="auto"/>
          <w:sz w:val="20"/>
          <w:szCs w:val="20"/>
          <w:lang w:eastAsia="en-GB"/>
        </w:rPr>
        <w:t xml:space="preserve"> Services was employed under an agency basis.</w:t>
      </w:r>
      <w:r w:rsidRPr="00DB1F69">
        <w:rPr>
          <w:rFonts w:cs="Arial"/>
          <w:b w:val="0"/>
          <w:color w:val="auto"/>
          <w:sz w:val="20"/>
          <w:szCs w:val="20"/>
          <w:lang w:eastAsia="en-GB"/>
        </w:rPr>
        <w:t xml:space="preserve"> </w:t>
      </w:r>
      <w:r w:rsidR="00167DC5">
        <w:rPr>
          <w:rFonts w:cs="Arial"/>
          <w:b w:val="0"/>
          <w:color w:val="auto"/>
          <w:sz w:val="20"/>
          <w:szCs w:val="20"/>
          <w:lang w:eastAsia="en-GB"/>
        </w:rPr>
        <w:t xml:space="preserve"> </w:t>
      </w:r>
    </w:p>
    <w:p w:rsidR="00090753" w:rsidRDefault="00090753" w:rsidP="00845AAC">
      <w:pPr>
        <w:pStyle w:val="CodeNotesExampleHead"/>
        <w:widowControl w:val="0"/>
        <w:ind w:left="567"/>
        <w:rPr>
          <w:rFonts w:cs="Arial"/>
          <w:b w:val="0"/>
          <w:color w:val="548DD4" w:themeColor="text2" w:themeTint="99"/>
          <w:sz w:val="20"/>
          <w:szCs w:val="20"/>
          <w:lang w:eastAsia="en-GB"/>
        </w:rPr>
      </w:pPr>
    </w:p>
    <w:p w:rsidR="004A3CDB" w:rsidRPr="00686785" w:rsidRDefault="004A3CDB" w:rsidP="00845AAC">
      <w:pPr>
        <w:pStyle w:val="CodeNotesExampleHead"/>
        <w:widowControl w:val="0"/>
        <w:ind w:left="567"/>
        <w:rPr>
          <w:rFonts w:cs="Arial"/>
          <w:b w:val="0"/>
          <w:color w:val="auto"/>
          <w:sz w:val="20"/>
          <w:szCs w:val="20"/>
          <w:lang w:eastAsia="en-GB"/>
        </w:rPr>
      </w:pPr>
      <w:r w:rsidRPr="00686785">
        <w:rPr>
          <w:rFonts w:cs="Arial"/>
          <w:b w:val="0"/>
          <w:color w:val="auto"/>
          <w:sz w:val="20"/>
          <w:szCs w:val="20"/>
          <w:lang w:eastAsia="en-GB"/>
        </w:rPr>
        <w:t xml:space="preserve">The number of employees, including the senor officers disclosed above, receiving more than £50,000 remuneration, excluding employer’s pension contributions, while employed by Torbay Council is set out in the table below in bands of £5,000. Remuneration for these purposes includes all sums paid or receivable by an employee and sums due by way of and the money </w:t>
      </w:r>
      <w:r w:rsidRPr="00686785">
        <w:rPr>
          <w:rFonts w:cs="Arial"/>
          <w:b w:val="0"/>
          <w:color w:val="auto"/>
          <w:sz w:val="20"/>
          <w:szCs w:val="20"/>
          <w:lang w:eastAsia="en-GB"/>
        </w:rPr>
        <w:lastRenderedPageBreak/>
        <w:t>value of any other benefits received other than in cash.   School employees are reducing linked to conversion to Academy status. Employees had a pay award in 201</w:t>
      </w:r>
      <w:r w:rsidR="001E609C" w:rsidRPr="00686785">
        <w:rPr>
          <w:rFonts w:cs="Arial"/>
          <w:b w:val="0"/>
          <w:color w:val="auto"/>
          <w:sz w:val="20"/>
          <w:szCs w:val="20"/>
          <w:lang w:eastAsia="en-GB"/>
        </w:rPr>
        <w:t>5</w:t>
      </w:r>
      <w:r w:rsidRPr="00686785">
        <w:rPr>
          <w:rFonts w:cs="Arial"/>
          <w:b w:val="0"/>
          <w:color w:val="auto"/>
          <w:sz w:val="20"/>
          <w:szCs w:val="20"/>
          <w:lang w:eastAsia="en-GB"/>
        </w:rPr>
        <w:t>/1</w:t>
      </w:r>
      <w:r w:rsidR="001E609C" w:rsidRPr="00686785">
        <w:rPr>
          <w:rFonts w:cs="Arial"/>
          <w:b w:val="0"/>
          <w:color w:val="auto"/>
          <w:sz w:val="20"/>
          <w:szCs w:val="20"/>
          <w:lang w:eastAsia="en-GB"/>
        </w:rPr>
        <w:t>6</w:t>
      </w:r>
      <w:r w:rsidRPr="00686785">
        <w:rPr>
          <w:rFonts w:cs="Arial"/>
          <w:b w:val="0"/>
          <w:color w:val="auto"/>
          <w:sz w:val="20"/>
          <w:szCs w:val="20"/>
          <w:lang w:eastAsia="en-GB"/>
        </w:rPr>
        <w:t xml:space="preserve"> which </w:t>
      </w:r>
      <w:r w:rsidR="0025588B" w:rsidRPr="00686785">
        <w:rPr>
          <w:rFonts w:cs="Arial"/>
          <w:b w:val="0"/>
          <w:color w:val="auto"/>
          <w:sz w:val="20"/>
          <w:szCs w:val="20"/>
          <w:lang w:eastAsia="en-GB"/>
        </w:rPr>
        <w:t xml:space="preserve">would impact on the </w:t>
      </w:r>
      <w:r w:rsidRPr="00686785">
        <w:rPr>
          <w:rFonts w:cs="Arial"/>
          <w:b w:val="0"/>
          <w:color w:val="auto"/>
          <w:sz w:val="20"/>
          <w:szCs w:val="20"/>
          <w:lang w:eastAsia="en-GB"/>
        </w:rPr>
        <w:t>lower band as the banding has not been inflated.</w:t>
      </w:r>
    </w:p>
    <w:p w:rsidR="004A3CDB" w:rsidRPr="00D42E0B" w:rsidRDefault="004A3CDB" w:rsidP="00E95BB6">
      <w:pPr>
        <w:pStyle w:val="CodeNotesExampleHead"/>
        <w:widowControl w:val="0"/>
        <w:ind w:left="1440" w:hanging="1080"/>
        <w:rPr>
          <w:rFonts w:cs="Arial"/>
          <w:b w:val="0"/>
          <w:color w:val="548DD4" w:themeColor="text2" w:themeTint="99"/>
          <w:sz w:val="20"/>
          <w:szCs w:val="20"/>
          <w:lang w:eastAsia="en-GB"/>
        </w:rPr>
      </w:pPr>
    </w:p>
    <w:tbl>
      <w:tblPr>
        <w:tblStyle w:val="ListTable3-Accent51"/>
        <w:tblW w:w="9356" w:type="dxa"/>
        <w:tblInd w:w="675" w:type="dxa"/>
        <w:tblLayout w:type="fixed"/>
        <w:tblLook w:val="0000"/>
      </w:tblPr>
      <w:tblGrid>
        <w:gridCol w:w="993"/>
        <w:gridCol w:w="1134"/>
        <w:gridCol w:w="1275"/>
        <w:gridCol w:w="2268"/>
        <w:gridCol w:w="1134"/>
        <w:gridCol w:w="1134"/>
        <w:gridCol w:w="1418"/>
      </w:tblGrid>
      <w:tr w:rsidR="002B7CA0" w:rsidRPr="001E609C" w:rsidTr="00032AE8">
        <w:trPr>
          <w:cnfStyle w:val="000000100000"/>
          <w:trHeight w:val="377"/>
        </w:trPr>
        <w:tc>
          <w:tcPr>
            <w:cnfStyle w:val="000010000000"/>
            <w:tcW w:w="3402" w:type="dxa"/>
            <w:gridSpan w:val="3"/>
            <w:shd w:val="clear" w:color="auto" w:fill="4BACC6" w:themeFill="accent5"/>
          </w:tcPr>
          <w:p w:rsidR="002B7CA0" w:rsidRPr="001E609C" w:rsidRDefault="002B7CA0" w:rsidP="004A3CDB">
            <w:pPr>
              <w:pStyle w:val="BodyTextIndent"/>
              <w:ind w:left="0"/>
              <w:jc w:val="center"/>
              <w:rPr>
                <w:color w:val="auto"/>
                <w:sz w:val="20"/>
                <w:szCs w:val="20"/>
              </w:rPr>
            </w:pPr>
            <w:r w:rsidRPr="001E609C">
              <w:rPr>
                <w:color w:val="auto"/>
                <w:sz w:val="20"/>
                <w:szCs w:val="20"/>
              </w:rPr>
              <w:t xml:space="preserve">Number of Employees by </w:t>
            </w:r>
            <w:r w:rsidR="00032AE8" w:rsidRPr="001E609C">
              <w:rPr>
                <w:color w:val="auto"/>
                <w:sz w:val="20"/>
                <w:szCs w:val="20"/>
              </w:rPr>
              <w:t>E</w:t>
            </w:r>
            <w:r w:rsidRPr="001E609C">
              <w:rPr>
                <w:color w:val="auto"/>
                <w:sz w:val="20"/>
                <w:szCs w:val="20"/>
              </w:rPr>
              <w:t>mployer</w:t>
            </w:r>
          </w:p>
          <w:p w:rsidR="002B7CA0" w:rsidRPr="001E609C" w:rsidRDefault="002B7CA0" w:rsidP="001E609C">
            <w:pPr>
              <w:pStyle w:val="BodyTextIndent"/>
              <w:ind w:left="0"/>
              <w:jc w:val="center"/>
              <w:rPr>
                <w:b/>
                <w:color w:val="auto"/>
                <w:sz w:val="20"/>
                <w:szCs w:val="20"/>
              </w:rPr>
            </w:pPr>
            <w:r w:rsidRPr="001E609C">
              <w:rPr>
                <w:color w:val="auto"/>
                <w:sz w:val="20"/>
                <w:szCs w:val="20"/>
              </w:rPr>
              <w:t>201</w:t>
            </w:r>
            <w:r w:rsidR="001E609C" w:rsidRPr="001E609C">
              <w:rPr>
                <w:color w:val="auto"/>
                <w:sz w:val="20"/>
                <w:szCs w:val="20"/>
              </w:rPr>
              <w:t>4</w:t>
            </w:r>
            <w:r w:rsidRPr="001E609C">
              <w:rPr>
                <w:color w:val="auto"/>
                <w:sz w:val="20"/>
                <w:szCs w:val="20"/>
              </w:rPr>
              <w:t>/1</w:t>
            </w:r>
            <w:r w:rsidR="001E609C" w:rsidRPr="001E609C">
              <w:rPr>
                <w:color w:val="auto"/>
                <w:sz w:val="20"/>
                <w:szCs w:val="20"/>
              </w:rPr>
              <w:t>5</w:t>
            </w:r>
          </w:p>
        </w:tc>
        <w:tc>
          <w:tcPr>
            <w:tcW w:w="2268" w:type="dxa"/>
            <w:shd w:val="clear" w:color="auto" w:fill="4BACC6" w:themeFill="accent5"/>
          </w:tcPr>
          <w:p w:rsidR="002B7CA0" w:rsidRPr="001E609C" w:rsidRDefault="002B7CA0" w:rsidP="004A3CDB">
            <w:pPr>
              <w:pStyle w:val="BodyTextIndent"/>
              <w:ind w:left="0"/>
              <w:jc w:val="center"/>
              <w:cnfStyle w:val="000000100000"/>
              <w:rPr>
                <w:b/>
                <w:color w:val="auto"/>
                <w:sz w:val="20"/>
                <w:szCs w:val="20"/>
              </w:rPr>
            </w:pPr>
            <w:r w:rsidRPr="001E609C">
              <w:rPr>
                <w:b/>
                <w:color w:val="auto"/>
                <w:sz w:val="20"/>
                <w:szCs w:val="20"/>
              </w:rPr>
              <w:t>Remuneration Band</w:t>
            </w:r>
          </w:p>
        </w:tc>
        <w:tc>
          <w:tcPr>
            <w:cnfStyle w:val="000010000000"/>
            <w:tcW w:w="3686" w:type="dxa"/>
            <w:gridSpan w:val="3"/>
            <w:shd w:val="clear" w:color="auto" w:fill="4BACC6" w:themeFill="accent5"/>
          </w:tcPr>
          <w:p w:rsidR="002B7CA0" w:rsidRPr="001E609C" w:rsidRDefault="00032AE8" w:rsidP="00032AE8">
            <w:pPr>
              <w:pStyle w:val="BodyTextIndent"/>
              <w:ind w:left="0"/>
              <w:rPr>
                <w:b/>
                <w:color w:val="auto"/>
                <w:sz w:val="20"/>
                <w:szCs w:val="20"/>
              </w:rPr>
            </w:pPr>
            <w:r w:rsidRPr="001E609C">
              <w:rPr>
                <w:b/>
                <w:color w:val="auto"/>
                <w:sz w:val="20"/>
                <w:szCs w:val="20"/>
              </w:rPr>
              <w:t>Number of Employees by E</w:t>
            </w:r>
            <w:r w:rsidR="002B7CA0" w:rsidRPr="001E609C">
              <w:rPr>
                <w:b/>
                <w:color w:val="auto"/>
                <w:sz w:val="20"/>
                <w:szCs w:val="20"/>
              </w:rPr>
              <w:t>mployer</w:t>
            </w:r>
          </w:p>
          <w:p w:rsidR="002B7CA0" w:rsidRPr="001E609C" w:rsidRDefault="002B7CA0" w:rsidP="001E609C">
            <w:pPr>
              <w:pStyle w:val="BodyTextIndent"/>
              <w:ind w:left="0"/>
              <w:jc w:val="center"/>
              <w:rPr>
                <w:b/>
                <w:color w:val="auto"/>
                <w:sz w:val="20"/>
                <w:szCs w:val="20"/>
              </w:rPr>
            </w:pPr>
            <w:r w:rsidRPr="001E609C">
              <w:rPr>
                <w:b/>
                <w:color w:val="auto"/>
                <w:sz w:val="20"/>
                <w:szCs w:val="20"/>
              </w:rPr>
              <w:t>201</w:t>
            </w:r>
            <w:r w:rsidR="001E609C" w:rsidRPr="001E609C">
              <w:rPr>
                <w:b/>
                <w:color w:val="auto"/>
                <w:sz w:val="20"/>
                <w:szCs w:val="20"/>
              </w:rPr>
              <w:t>5</w:t>
            </w:r>
            <w:r w:rsidRPr="001E609C">
              <w:rPr>
                <w:b/>
                <w:color w:val="auto"/>
                <w:sz w:val="20"/>
                <w:szCs w:val="20"/>
              </w:rPr>
              <w:t>/1</w:t>
            </w:r>
            <w:r w:rsidR="001E609C" w:rsidRPr="001E609C">
              <w:rPr>
                <w:b/>
                <w:color w:val="auto"/>
                <w:sz w:val="20"/>
                <w:szCs w:val="20"/>
              </w:rPr>
              <w:t>6</w:t>
            </w:r>
          </w:p>
        </w:tc>
      </w:tr>
      <w:tr w:rsidR="004A3CDB" w:rsidRPr="001E609C" w:rsidTr="00032AE8">
        <w:trPr>
          <w:trHeight w:val="182"/>
        </w:trPr>
        <w:tc>
          <w:tcPr>
            <w:cnfStyle w:val="000010000000"/>
            <w:tcW w:w="993" w:type="dxa"/>
            <w:shd w:val="clear" w:color="auto" w:fill="4BACC6" w:themeFill="accent5"/>
          </w:tcPr>
          <w:p w:rsidR="002B7CA0" w:rsidRPr="001E609C" w:rsidRDefault="002B7CA0" w:rsidP="004A3CDB">
            <w:pPr>
              <w:pStyle w:val="BodyTextIndent"/>
              <w:ind w:left="0"/>
              <w:jc w:val="center"/>
              <w:rPr>
                <w:color w:val="auto"/>
                <w:sz w:val="20"/>
                <w:szCs w:val="20"/>
              </w:rPr>
            </w:pPr>
            <w:r w:rsidRPr="001E609C">
              <w:rPr>
                <w:color w:val="auto"/>
                <w:sz w:val="20"/>
                <w:szCs w:val="20"/>
              </w:rPr>
              <w:t>Council</w:t>
            </w:r>
          </w:p>
        </w:tc>
        <w:tc>
          <w:tcPr>
            <w:tcW w:w="1134" w:type="dxa"/>
            <w:shd w:val="clear" w:color="auto" w:fill="4BACC6" w:themeFill="accent5"/>
          </w:tcPr>
          <w:p w:rsidR="002B7CA0" w:rsidRPr="001E609C" w:rsidRDefault="002B7CA0" w:rsidP="004A3CDB">
            <w:pPr>
              <w:pStyle w:val="BodyTextIndent"/>
              <w:ind w:left="0"/>
              <w:jc w:val="center"/>
              <w:cnfStyle w:val="000000000000"/>
              <w:rPr>
                <w:color w:val="auto"/>
                <w:sz w:val="20"/>
                <w:szCs w:val="20"/>
              </w:rPr>
            </w:pPr>
            <w:r w:rsidRPr="001E609C">
              <w:rPr>
                <w:color w:val="auto"/>
                <w:sz w:val="20"/>
                <w:szCs w:val="20"/>
              </w:rPr>
              <w:t>Schools -</w:t>
            </w:r>
          </w:p>
          <w:p w:rsidR="002B7CA0" w:rsidRPr="001E609C" w:rsidRDefault="002B7CA0" w:rsidP="004A3CDB">
            <w:pPr>
              <w:pStyle w:val="BodyTextIndent"/>
              <w:ind w:left="0"/>
              <w:jc w:val="center"/>
              <w:cnfStyle w:val="000000000000"/>
              <w:rPr>
                <w:color w:val="auto"/>
                <w:sz w:val="20"/>
                <w:szCs w:val="20"/>
              </w:rPr>
            </w:pPr>
            <w:r w:rsidRPr="001E609C">
              <w:rPr>
                <w:color w:val="auto"/>
                <w:sz w:val="20"/>
                <w:szCs w:val="20"/>
              </w:rPr>
              <w:t>Council</w:t>
            </w:r>
          </w:p>
          <w:p w:rsidR="002B7CA0" w:rsidRPr="001E609C" w:rsidRDefault="002B7CA0" w:rsidP="004A3CDB">
            <w:pPr>
              <w:pStyle w:val="BodyTextIndent"/>
              <w:ind w:left="0"/>
              <w:jc w:val="center"/>
              <w:cnfStyle w:val="000000000000"/>
              <w:rPr>
                <w:color w:val="auto"/>
                <w:sz w:val="20"/>
                <w:szCs w:val="20"/>
              </w:rPr>
            </w:pPr>
          </w:p>
        </w:tc>
        <w:tc>
          <w:tcPr>
            <w:cnfStyle w:val="000010000000"/>
            <w:tcW w:w="1275" w:type="dxa"/>
            <w:shd w:val="clear" w:color="auto" w:fill="4BACC6" w:themeFill="accent5"/>
          </w:tcPr>
          <w:p w:rsidR="002B7CA0" w:rsidRPr="001E609C" w:rsidRDefault="002B7CA0" w:rsidP="004A3CDB">
            <w:pPr>
              <w:pStyle w:val="BodyTextIndent"/>
              <w:ind w:left="0"/>
              <w:jc w:val="center"/>
              <w:rPr>
                <w:color w:val="auto"/>
                <w:sz w:val="20"/>
                <w:szCs w:val="20"/>
              </w:rPr>
            </w:pPr>
            <w:r w:rsidRPr="001E609C">
              <w:rPr>
                <w:color w:val="auto"/>
                <w:sz w:val="20"/>
                <w:szCs w:val="20"/>
              </w:rPr>
              <w:t>Schools -</w:t>
            </w:r>
          </w:p>
          <w:p w:rsidR="002B7CA0" w:rsidRPr="001E609C" w:rsidRDefault="002B7CA0" w:rsidP="004A3CDB">
            <w:pPr>
              <w:pStyle w:val="BodyTextIndent"/>
              <w:ind w:left="0"/>
              <w:jc w:val="center"/>
              <w:rPr>
                <w:color w:val="auto"/>
                <w:sz w:val="20"/>
                <w:szCs w:val="20"/>
              </w:rPr>
            </w:pPr>
            <w:r w:rsidRPr="001E609C">
              <w:rPr>
                <w:color w:val="auto"/>
                <w:sz w:val="20"/>
                <w:szCs w:val="20"/>
              </w:rPr>
              <w:t>Governing Body</w:t>
            </w:r>
          </w:p>
        </w:tc>
        <w:tc>
          <w:tcPr>
            <w:tcW w:w="2268" w:type="dxa"/>
            <w:shd w:val="clear" w:color="auto" w:fill="4BACC6" w:themeFill="accent5"/>
          </w:tcPr>
          <w:p w:rsidR="002B7CA0" w:rsidRPr="001E609C" w:rsidRDefault="002B7CA0" w:rsidP="004A3CDB">
            <w:pPr>
              <w:pStyle w:val="BodyTextIndent"/>
              <w:ind w:left="0"/>
              <w:jc w:val="center"/>
              <w:cnfStyle w:val="000000000000"/>
              <w:rPr>
                <w:color w:val="auto"/>
                <w:sz w:val="20"/>
                <w:szCs w:val="20"/>
              </w:rPr>
            </w:pPr>
          </w:p>
        </w:tc>
        <w:tc>
          <w:tcPr>
            <w:cnfStyle w:val="000010000000"/>
            <w:tcW w:w="1134" w:type="dxa"/>
            <w:shd w:val="clear" w:color="auto" w:fill="4BACC6" w:themeFill="accent5"/>
          </w:tcPr>
          <w:p w:rsidR="002B7CA0" w:rsidRPr="001E609C" w:rsidRDefault="002B7CA0" w:rsidP="004A3CDB">
            <w:pPr>
              <w:pStyle w:val="BodyTextIndent"/>
              <w:ind w:left="0"/>
              <w:jc w:val="center"/>
              <w:rPr>
                <w:b/>
                <w:color w:val="auto"/>
                <w:sz w:val="20"/>
                <w:szCs w:val="20"/>
              </w:rPr>
            </w:pPr>
            <w:r w:rsidRPr="001E609C">
              <w:rPr>
                <w:b/>
                <w:color w:val="auto"/>
                <w:sz w:val="20"/>
                <w:szCs w:val="20"/>
              </w:rPr>
              <w:t>Council</w:t>
            </w:r>
          </w:p>
        </w:tc>
        <w:tc>
          <w:tcPr>
            <w:tcW w:w="1134" w:type="dxa"/>
            <w:shd w:val="clear" w:color="auto" w:fill="4BACC6" w:themeFill="accent5"/>
          </w:tcPr>
          <w:p w:rsidR="002B7CA0" w:rsidRPr="001E609C" w:rsidRDefault="002B7CA0" w:rsidP="004A3CDB">
            <w:pPr>
              <w:pStyle w:val="BodyTextIndent"/>
              <w:ind w:left="0"/>
              <w:jc w:val="center"/>
              <w:cnfStyle w:val="000000000000"/>
              <w:rPr>
                <w:b/>
                <w:color w:val="auto"/>
                <w:sz w:val="20"/>
                <w:szCs w:val="20"/>
              </w:rPr>
            </w:pPr>
            <w:r w:rsidRPr="001E609C">
              <w:rPr>
                <w:b/>
                <w:color w:val="auto"/>
                <w:sz w:val="20"/>
                <w:szCs w:val="20"/>
              </w:rPr>
              <w:t>Schools -</w:t>
            </w:r>
          </w:p>
          <w:p w:rsidR="002B7CA0" w:rsidRPr="001E609C" w:rsidRDefault="001C0245" w:rsidP="004A3CDB">
            <w:pPr>
              <w:pStyle w:val="BodyTextIndent"/>
              <w:ind w:left="0"/>
              <w:jc w:val="center"/>
              <w:cnfStyle w:val="000000000000"/>
              <w:rPr>
                <w:b/>
                <w:color w:val="auto"/>
                <w:sz w:val="20"/>
                <w:szCs w:val="20"/>
              </w:rPr>
            </w:pPr>
            <w:r>
              <w:rPr>
                <w:b/>
                <w:color w:val="auto"/>
                <w:sz w:val="20"/>
                <w:szCs w:val="20"/>
              </w:rPr>
              <w:t xml:space="preserve">Council </w:t>
            </w:r>
          </w:p>
        </w:tc>
        <w:tc>
          <w:tcPr>
            <w:cnfStyle w:val="000010000000"/>
            <w:tcW w:w="1418" w:type="dxa"/>
            <w:shd w:val="clear" w:color="auto" w:fill="4BACC6" w:themeFill="accent5"/>
          </w:tcPr>
          <w:p w:rsidR="002B7CA0" w:rsidRPr="001E609C" w:rsidRDefault="002B7CA0" w:rsidP="004A3CDB">
            <w:pPr>
              <w:pStyle w:val="BodyTextIndent"/>
              <w:ind w:left="0"/>
              <w:jc w:val="center"/>
              <w:rPr>
                <w:b/>
                <w:color w:val="auto"/>
                <w:sz w:val="20"/>
                <w:szCs w:val="20"/>
              </w:rPr>
            </w:pPr>
            <w:r w:rsidRPr="001E609C">
              <w:rPr>
                <w:b/>
                <w:color w:val="auto"/>
                <w:sz w:val="20"/>
                <w:szCs w:val="20"/>
              </w:rPr>
              <w:t>Schools -</w:t>
            </w:r>
          </w:p>
          <w:p w:rsidR="002B7CA0" w:rsidRPr="001E609C" w:rsidRDefault="001C0245" w:rsidP="004A3CDB">
            <w:pPr>
              <w:pStyle w:val="BodyTextIndent"/>
              <w:ind w:left="0"/>
              <w:jc w:val="center"/>
              <w:rPr>
                <w:b/>
                <w:color w:val="auto"/>
                <w:sz w:val="20"/>
                <w:szCs w:val="20"/>
              </w:rPr>
            </w:pPr>
            <w:r>
              <w:rPr>
                <w:b/>
                <w:color w:val="auto"/>
                <w:sz w:val="20"/>
                <w:szCs w:val="20"/>
              </w:rPr>
              <w:t xml:space="preserve">Governing Body </w:t>
            </w:r>
          </w:p>
        </w:tc>
      </w:tr>
      <w:tr w:rsidR="001E609C" w:rsidRPr="001E609C" w:rsidTr="00032AE8">
        <w:trPr>
          <w:cnfStyle w:val="000000100000"/>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9</w:t>
            </w:r>
          </w:p>
        </w:tc>
        <w:tc>
          <w:tcPr>
            <w:tcW w:w="1134" w:type="dxa"/>
          </w:tcPr>
          <w:p w:rsidR="001E609C" w:rsidRPr="001E609C" w:rsidRDefault="001E609C" w:rsidP="001E609C">
            <w:pPr>
              <w:autoSpaceDE w:val="0"/>
              <w:autoSpaceDN w:val="0"/>
              <w:adjustRightInd w:val="0"/>
              <w:spacing w:after="0" w:line="240" w:lineRule="auto"/>
              <w:jc w:val="center"/>
              <w:cnfStyle w:val="000000100000"/>
              <w:rPr>
                <w:rFonts w:cs="Arial"/>
                <w:color w:val="auto"/>
                <w:sz w:val="20"/>
                <w:szCs w:val="20"/>
                <w:lang w:eastAsia="en-GB"/>
              </w:rPr>
            </w:pPr>
            <w:r w:rsidRPr="001E609C">
              <w:rPr>
                <w:rFonts w:cs="Arial"/>
                <w:color w:val="auto"/>
                <w:sz w:val="20"/>
                <w:szCs w:val="20"/>
                <w:lang w:eastAsia="en-GB"/>
              </w:rPr>
              <w:t>2</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9</w:t>
            </w:r>
          </w:p>
        </w:tc>
        <w:tc>
          <w:tcPr>
            <w:tcW w:w="2268" w:type="dxa"/>
          </w:tcPr>
          <w:p w:rsidR="001E609C" w:rsidRPr="001E609C" w:rsidRDefault="001E609C" w:rsidP="004A3CDB">
            <w:pPr>
              <w:pStyle w:val="BodyTextIndent"/>
              <w:ind w:left="0"/>
              <w:jc w:val="center"/>
              <w:cnfStyle w:val="000000100000"/>
              <w:rPr>
                <w:color w:val="auto"/>
                <w:sz w:val="20"/>
                <w:szCs w:val="20"/>
              </w:rPr>
            </w:pPr>
            <w:r w:rsidRPr="001E609C">
              <w:rPr>
                <w:color w:val="auto"/>
                <w:sz w:val="20"/>
                <w:szCs w:val="20"/>
              </w:rPr>
              <w:t>£50,000 to £54,999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4</w:t>
            </w:r>
          </w:p>
        </w:tc>
        <w:tc>
          <w:tcPr>
            <w:tcW w:w="1134" w:type="dxa"/>
          </w:tcPr>
          <w:p w:rsidR="001E609C" w:rsidRPr="001E609C" w:rsidRDefault="002C0F22" w:rsidP="004A3CDB">
            <w:pPr>
              <w:autoSpaceDE w:val="0"/>
              <w:autoSpaceDN w:val="0"/>
              <w:adjustRightInd w:val="0"/>
              <w:spacing w:after="0" w:line="240" w:lineRule="auto"/>
              <w:jc w:val="center"/>
              <w:cnfStyle w:val="000000100000"/>
              <w:rPr>
                <w:rFonts w:cs="Arial"/>
                <w:b/>
                <w:color w:val="auto"/>
                <w:sz w:val="20"/>
                <w:szCs w:val="20"/>
                <w:lang w:eastAsia="en-GB"/>
              </w:rPr>
            </w:pPr>
            <w:r>
              <w:rPr>
                <w:rFonts w:cs="Arial"/>
                <w:b/>
                <w:color w:val="auto"/>
                <w:sz w:val="20"/>
                <w:szCs w:val="20"/>
                <w:lang w:eastAsia="en-GB"/>
              </w:rPr>
              <w:t>1</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9</w:t>
            </w:r>
          </w:p>
        </w:tc>
      </w:tr>
      <w:tr w:rsidR="001E609C" w:rsidRPr="001E609C" w:rsidTr="00032AE8">
        <w:trPr>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12</w:t>
            </w:r>
          </w:p>
        </w:tc>
        <w:tc>
          <w:tcPr>
            <w:tcW w:w="1134" w:type="dxa"/>
          </w:tcPr>
          <w:p w:rsidR="001E609C" w:rsidRPr="001E609C" w:rsidRDefault="001E609C" w:rsidP="001E609C">
            <w:pPr>
              <w:autoSpaceDE w:val="0"/>
              <w:autoSpaceDN w:val="0"/>
              <w:adjustRightInd w:val="0"/>
              <w:spacing w:after="0" w:line="240" w:lineRule="auto"/>
              <w:jc w:val="center"/>
              <w:cnfStyle w:val="000000000000"/>
              <w:rPr>
                <w:rFonts w:cs="Arial"/>
                <w:color w:val="auto"/>
                <w:sz w:val="20"/>
                <w:szCs w:val="20"/>
                <w:lang w:eastAsia="en-GB"/>
              </w:rPr>
            </w:pPr>
            <w:r w:rsidRPr="001E609C">
              <w:rPr>
                <w:rFonts w:cs="Arial"/>
                <w:color w:val="auto"/>
                <w:sz w:val="20"/>
                <w:szCs w:val="20"/>
                <w:lang w:eastAsia="en-GB"/>
              </w:rPr>
              <w:t>4</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3</w:t>
            </w:r>
          </w:p>
        </w:tc>
        <w:tc>
          <w:tcPr>
            <w:tcW w:w="2268" w:type="dxa"/>
          </w:tcPr>
          <w:p w:rsidR="001E609C" w:rsidRPr="001E609C" w:rsidRDefault="001E609C" w:rsidP="004A3CDB">
            <w:pPr>
              <w:pStyle w:val="BodyTextIndent"/>
              <w:ind w:left="0"/>
              <w:jc w:val="center"/>
              <w:cnfStyle w:val="000000000000"/>
              <w:rPr>
                <w:color w:val="auto"/>
                <w:sz w:val="20"/>
                <w:szCs w:val="20"/>
              </w:rPr>
            </w:pPr>
            <w:r w:rsidRPr="001E609C">
              <w:rPr>
                <w:color w:val="auto"/>
                <w:sz w:val="20"/>
                <w:szCs w:val="20"/>
              </w:rPr>
              <w:t>£55,000 to £59,999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12</w:t>
            </w:r>
          </w:p>
        </w:tc>
        <w:tc>
          <w:tcPr>
            <w:tcW w:w="1134" w:type="dxa"/>
          </w:tcPr>
          <w:p w:rsidR="001E609C" w:rsidRPr="001E609C" w:rsidRDefault="002C0F22" w:rsidP="004A3CDB">
            <w:pPr>
              <w:autoSpaceDE w:val="0"/>
              <w:autoSpaceDN w:val="0"/>
              <w:adjustRightInd w:val="0"/>
              <w:spacing w:after="0" w:line="240" w:lineRule="auto"/>
              <w:jc w:val="center"/>
              <w:cnfStyle w:val="000000000000"/>
              <w:rPr>
                <w:rFonts w:cs="Arial"/>
                <w:b/>
                <w:color w:val="auto"/>
                <w:sz w:val="20"/>
                <w:szCs w:val="20"/>
                <w:lang w:eastAsia="en-GB"/>
              </w:rPr>
            </w:pPr>
            <w:r>
              <w:rPr>
                <w:rFonts w:cs="Arial"/>
                <w:b/>
                <w:color w:val="auto"/>
                <w:sz w:val="20"/>
                <w:szCs w:val="20"/>
                <w:lang w:eastAsia="en-GB"/>
              </w:rPr>
              <w:t>4</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2</w:t>
            </w:r>
          </w:p>
        </w:tc>
      </w:tr>
      <w:tr w:rsidR="001E609C" w:rsidRPr="001E609C" w:rsidTr="00032AE8">
        <w:trPr>
          <w:cnfStyle w:val="000000100000"/>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5</w:t>
            </w:r>
          </w:p>
        </w:tc>
        <w:tc>
          <w:tcPr>
            <w:tcW w:w="1134" w:type="dxa"/>
          </w:tcPr>
          <w:p w:rsidR="001E609C" w:rsidRPr="001E609C" w:rsidRDefault="001E609C" w:rsidP="001E609C">
            <w:pPr>
              <w:autoSpaceDE w:val="0"/>
              <w:autoSpaceDN w:val="0"/>
              <w:adjustRightInd w:val="0"/>
              <w:spacing w:after="0" w:line="240" w:lineRule="auto"/>
              <w:jc w:val="center"/>
              <w:cnfStyle w:val="000000100000"/>
              <w:rPr>
                <w:rFonts w:cs="Arial"/>
                <w:color w:val="auto"/>
                <w:sz w:val="20"/>
                <w:szCs w:val="20"/>
                <w:lang w:eastAsia="en-GB"/>
              </w:rPr>
            </w:pPr>
            <w:r w:rsidRPr="001E609C">
              <w:rPr>
                <w:rFonts w:cs="Arial"/>
                <w:color w:val="auto"/>
                <w:sz w:val="20"/>
                <w:szCs w:val="20"/>
                <w:lang w:eastAsia="en-GB"/>
              </w:rPr>
              <w:t>2</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3</w:t>
            </w:r>
          </w:p>
        </w:tc>
        <w:tc>
          <w:tcPr>
            <w:tcW w:w="2268" w:type="dxa"/>
          </w:tcPr>
          <w:p w:rsidR="001E609C" w:rsidRPr="001E609C" w:rsidRDefault="001E609C" w:rsidP="004A3CDB">
            <w:pPr>
              <w:pStyle w:val="BodyTextIndent"/>
              <w:ind w:left="0"/>
              <w:jc w:val="center"/>
              <w:cnfStyle w:val="000000100000"/>
              <w:rPr>
                <w:color w:val="auto"/>
                <w:sz w:val="20"/>
                <w:szCs w:val="20"/>
              </w:rPr>
            </w:pPr>
            <w:r w:rsidRPr="001E609C">
              <w:rPr>
                <w:color w:val="auto"/>
                <w:sz w:val="20"/>
                <w:szCs w:val="20"/>
              </w:rPr>
              <w:t>£60,000 to £64,999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4</w:t>
            </w:r>
          </w:p>
        </w:tc>
        <w:tc>
          <w:tcPr>
            <w:tcW w:w="1134" w:type="dxa"/>
          </w:tcPr>
          <w:p w:rsidR="001E609C" w:rsidRPr="001E609C" w:rsidRDefault="002C0F22" w:rsidP="004A3CDB">
            <w:pPr>
              <w:autoSpaceDE w:val="0"/>
              <w:autoSpaceDN w:val="0"/>
              <w:adjustRightInd w:val="0"/>
              <w:spacing w:after="0" w:line="240" w:lineRule="auto"/>
              <w:jc w:val="center"/>
              <w:cnfStyle w:val="000000100000"/>
              <w:rPr>
                <w:rFonts w:cs="Arial"/>
                <w:b/>
                <w:color w:val="auto"/>
                <w:sz w:val="20"/>
                <w:szCs w:val="20"/>
                <w:lang w:eastAsia="en-GB"/>
              </w:rPr>
            </w:pPr>
            <w:r>
              <w:rPr>
                <w:rFonts w:cs="Arial"/>
                <w:b/>
                <w:color w:val="auto"/>
                <w:sz w:val="20"/>
                <w:szCs w:val="20"/>
                <w:lang w:eastAsia="en-GB"/>
              </w:rPr>
              <w:t>2</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4</w:t>
            </w:r>
          </w:p>
        </w:tc>
      </w:tr>
      <w:tr w:rsidR="001E609C" w:rsidRPr="001E609C" w:rsidTr="00032AE8">
        <w:trPr>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2</w:t>
            </w:r>
          </w:p>
        </w:tc>
        <w:tc>
          <w:tcPr>
            <w:tcW w:w="1134" w:type="dxa"/>
          </w:tcPr>
          <w:p w:rsidR="001E609C" w:rsidRPr="001E609C" w:rsidRDefault="001E609C" w:rsidP="001E609C">
            <w:pPr>
              <w:autoSpaceDE w:val="0"/>
              <w:autoSpaceDN w:val="0"/>
              <w:adjustRightInd w:val="0"/>
              <w:spacing w:after="0" w:line="240" w:lineRule="auto"/>
              <w:jc w:val="center"/>
              <w:cnfStyle w:val="000000000000"/>
              <w:rPr>
                <w:rFonts w:cs="Arial"/>
                <w:color w:val="auto"/>
                <w:sz w:val="20"/>
                <w:szCs w:val="20"/>
                <w:lang w:eastAsia="en-GB"/>
              </w:rPr>
            </w:pPr>
            <w:r w:rsidRPr="001E609C">
              <w:rPr>
                <w:rFonts w:cs="Arial"/>
                <w:color w:val="auto"/>
                <w:sz w:val="20"/>
                <w:szCs w:val="20"/>
                <w:lang w:eastAsia="en-GB"/>
              </w:rPr>
              <w:t>1</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3</w:t>
            </w:r>
          </w:p>
        </w:tc>
        <w:tc>
          <w:tcPr>
            <w:tcW w:w="2268" w:type="dxa"/>
          </w:tcPr>
          <w:p w:rsidR="001E609C" w:rsidRPr="001E609C" w:rsidRDefault="001E609C" w:rsidP="004A3CDB">
            <w:pPr>
              <w:pStyle w:val="BodyTextIndent"/>
              <w:ind w:left="0"/>
              <w:jc w:val="center"/>
              <w:cnfStyle w:val="000000000000"/>
              <w:rPr>
                <w:color w:val="auto"/>
                <w:sz w:val="20"/>
                <w:szCs w:val="20"/>
              </w:rPr>
            </w:pPr>
            <w:r w:rsidRPr="001E609C">
              <w:rPr>
                <w:color w:val="auto"/>
                <w:sz w:val="20"/>
                <w:szCs w:val="20"/>
              </w:rPr>
              <w:t>£65,000 to £69,999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6</w:t>
            </w:r>
          </w:p>
        </w:tc>
        <w:tc>
          <w:tcPr>
            <w:tcW w:w="1134" w:type="dxa"/>
          </w:tcPr>
          <w:p w:rsidR="001E609C" w:rsidRPr="001E609C" w:rsidRDefault="002C0F22" w:rsidP="004A3CDB">
            <w:pPr>
              <w:autoSpaceDE w:val="0"/>
              <w:autoSpaceDN w:val="0"/>
              <w:adjustRightInd w:val="0"/>
              <w:spacing w:after="0" w:line="240" w:lineRule="auto"/>
              <w:jc w:val="center"/>
              <w:cnfStyle w:val="0000000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2</w:t>
            </w:r>
          </w:p>
        </w:tc>
      </w:tr>
      <w:tr w:rsidR="001E609C" w:rsidRPr="001E609C" w:rsidTr="00032AE8">
        <w:trPr>
          <w:cnfStyle w:val="000000100000"/>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4</w:t>
            </w:r>
          </w:p>
        </w:tc>
        <w:tc>
          <w:tcPr>
            <w:tcW w:w="1134" w:type="dxa"/>
          </w:tcPr>
          <w:p w:rsidR="001E609C" w:rsidRPr="001E609C" w:rsidRDefault="001E609C" w:rsidP="001E609C">
            <w:pPr>
              <w:autoSpaceDE w:val="0"/>
              <w:autoSpaceDN w:val="0"/>
              <w:adjustRightInd w:val="0"/>
              <w:spacing w:after="0" w:line="240" w:lineRule="auto"/>
              <w:jc w:val="center"/>
              <w:cnfStyle w:val="000000100000"/>
              <w:rPr>
                <w:rFonts w:cs="Arial"/>
                <w:color w:val="auto"/>
                <w:sz w:val="20"/>
                <w:szCs w:val="20"/>
                <w:lang w:eastAsia="en-GB"/>
              </w:rPr>
            </w:pPr>
            <w:r w:rsidRPr="001E609C">
              <w:rPr>
                <w:rFonts w:cs="Arial"/>
                <w:color w:val="auto"/>
                <w:sz w:val="20"/>
                <w:szCs w:val="20"/>
                <w:lang w:eastAsia="en-GB"/>
              </w:rPr>
              <w:t>2</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1</w:t>
            </w:r>
          </w:p>
        </w:tc>
        <w:tc>
          <w:tcPr>
            <w:tcW w:w="2268" w:type="dxa"/>
          </w:tcPr>
          <w:p w:rsidR="001E609C" w:rsidRPr="001E609C" w:rsidRDefault="001E609C" w:rsidP="004A3CDB">
            <w:pPr>
              <w:pStyle w:val="BodyTextIndent"/>
              <w:ind w:left="0"/>
              <w:jc w:val="center"/>
              <w:cnfStyle w:val="000000100000"/>
              <w:rPr>
                <w:color w:val="auto"/>
                <w:sz w:val="20"/>
                <w:szCs w:val="20"/>
              </w:rPr>
            </w:pPr>
            <w:r w:rsidRPr="001E609C">
              <w:rPr>
                <w:color w:val="auto"/>
                <w:sz w:val="20"/>
                <w:szCs w:val="20"/>
              </w:rPr>
              <w:t>£70,000 to £74,999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3</w:t>
            </w:r>
          </w:p>
        </w:tc>
        <w:tc>
          <w:tcPr>
            <w:tcW w:w="1134" w:type="dxa"/>
          </w:tcPr>
          <w:p w:rsidR="001E609C" w:rsidRPr="001E609C" w:rsidRDefault="002C0F22" w:rsidP="004A3CDB">
            <w:pPr>
              <w:autoSpaceDE w:val="0"/>
              <w:autoSpaceDN w:val="0"/>
              <w:adjustRightInd w:val="0"/>
              <w:spacing w:after="0" w:line="240" w:lineRule="auto"/>
              <w:jc w:val="center"/>
              <w:cnfStyle w:val="0000001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r>
      <w:tr w:rsidR="001E609C" w:rsidRPr="001E609C" w:rsidTr="00032AE8">
        <w:trPr>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2</w:t>
            </w:r>
          </w:p>
        </w:tc>
        <w:tc>
          <w:tcPr>
            <w:tcW w:w="1134" w:type="dxa"/>
          </w:tcPr>
          <w:p w:rsidR="001E609C" w:rsidRPr="001E609C" w:rsidRDefault="001E609C" w:rsidP="001E609C">
            <w:pPr>
              <w:autoSpaceDE w:val="0"/>
              <w:autoSpaceDN w:val="0"/>
              <w:adjustRightInd w:val="0"/>
              <w:spacing w:after="0" w:line="240" w:lineRule="auto"/>
              <w:jc w:val="center"/>
              <w:cnfStyle w:val="000000000000"/>
              <w:rPr>
                <w:rFonts w:cs="Arial"/>
                <w:color w:val="auto"/>
                <w:sz w:val="20"/>
                <w:szCs w:val="20"/>
                <w:lang w:eastAsia="en-GB"/>
              </w:rPr>
            </w:pPr>
            <w:r w:rsidRPr="001E609C">
              <w:rPr>
                <w:rFonts w:cs="Arial"/>
                <w:color w:val="auto"/>
                <w:sz w:val="20"/>
                <w:szCs w:val="20"/>
                <w:lang w:eastAsia="en-GB"/>
              </w:rPr>
              <w:t>1</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000000"/>
              <w:rPr>
                <w:color w:val="auto"/>
                <w:sz w:val="20"/>
                <w:szCs w:val="20"/>
              </w:rPr>
            </w:pPr>
            <w:r w:rsidRPr="001E609C">
              <w:rPr>
                <w:color w:val="auto"/>
                <w:sz w:val="20"/>
                <w:szCs w:val="20"/>
              </w:rPr>
              <w:t>£75,000 to £79,999</w:t>
            </w:r>
          </w:p>
        </w:tc>
        <w:tc>
          <w:tcPr>
            <w:cnfStyle w:val="000010000000"/>
            <w:tcW w:w="1134" w:type="dxa"/>
          </w:tcPr>
          <w:p w:rsidR="001E609C" w:rsidRPr="001E609C" w:rsidRDefault="002C0F22" w:rsidP="002C4CE8">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2</w:t>
            </w:r>
          </w:p>
        </w:tc>
        <w:tc>
          <w:tcPr>
            <w:tcW w:w="1134" w:type="dxa"/>
          </w:tcPr>
          <w:p w:rsidR="001E609C" w:rsidRPr="001E609C" w:rsidRDefault="002C0F22" w:rsidP="002C4CE8">
            <w:pPr>
              <w:autoSpaceDE w:val="0"/>
              <w:autoSpaceDN w:val="0"/>
              <w:adjustRightInd w:val="0"/>
              <w:spacing w:after="0" w:line="240" w:lineRule="auto"/>
              <w:jc w:val="center"/>
              <w:cnfStyle w:val="000000000000"/>
              <w:rPr>
                <w:rFonts w:cs="Arial"/>
                <w:b/>
                <w:color w:val="auto"/>
                <w:sz w:val="20"/>
                <w:szCs w:val="20"/>
                <w:lang w:eastAsia="en-GB"/>
              </w:rPr>
            </w:pPr>
            <w:r>
              <w:rPr>
                <w:rFonts w:cs="Arial"/>
                <w:b/>
                <w:color w:val="auto"/>
                <w:sz w:val="20"/>
                <w:szCs w:val="20"/>
                <w:lang w:eastAsia="en-GB"/>
              </w:rPr>
              <w:t>1</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1</w:t>
            </w:r>
          </w:p>
        </w:tc>
      </w:tr>
      <w:tr w:rsidR="001E609C" w:rsidRPr="001E609C" w:rsidTr="00032AE8">
        <w:trPr>
          <w:cnfStyle w:val="000000100000"/>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1134" w:type="dxa"/>
          </w:tcPr>
          <w:p w:rsidR="001E609C" w:rsidRPr="001E609C" w:rsidRDefault="001E609C" w:rsidP="001E609C">
            <w:pPr>
              <w:autoSpaceDE w:val="0"/>
              <w:autoSpaceDN w:val="0"/>
              <w:adjustRightInd w:val="0"/>
              <w:spacing w:after="0" w:line="240" w:lineRule="auto"/>
              <w:jc w:val="center"/>
              <w:cnfStyle w:val="000000100000"/>
              <w:rPr>
                <w:rFonts w:cs="Arial"/>
                <w:color w:val="auto"/>
                <w:sz w:val="20"/>
                <w:szCs w:val="20"/>
                <w:lang w:eastAsia="en-GB"/>
              </w:rPr>
            </w:pPr>
            <w:r w:rsidRPr="001E609C">
              <w:rPr>
                <w:rFonts w:cs="Arial"/>
                <w:color w:val="auto"/>
                <w:sz w:val="20"/>
                <w:szCs w:val="20"/>
                <w:lang w:eastAsia="en-GB"/>
              </w:rPr>
              <w:t>0</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100000"/>
              <w:rPr>
                <w:color w:val="auto"/>
                <w:sz w:val="20"/>
                <w:szCs w:val="20"/>
              </w:rPr>
            </w:pPr>
            <w:r w:rsidRPr="001E609C">
              <w:rPr>
                <w:color w:val="auto"/>
                <w:sz w:val="20"/>
                <w:szCs w:val="20"/>
              </w:rPr>
              <w:t>£80,000 to £84,999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2</w:t>
            </w:r>
          </w:p>
        </w:tc>
        <w:tc>
          <w:tcPr>
            <w:tcW w:w="1134" w:type="dxa"/>
          </w:tcPr>
          <w:p w:rsidR="001E609C" w:rsidRPr="001E609C" w:rsidRDefault="002C0F22" w:rsidP="004A3CDB">
            <w:pPr>
              <w:autoSpaceDE w:val="0"/>
              <w:autoSpaceDN w:val="0"/>
              <w:adjustRightInd w:val="0"/>
              <w:spacing w:after="0" w:line="240" w:lineRule="auto"/>
              <w:jc w:val="center"/>
              <w:cnfStyle w:val="000000100000"/>
              <w:rPr>
                <w:rFonts w:cs="Arial"/>
                <w:b/>
                <w:color w:val="auto"/>
                <w:sz w:val="20"/>
                <w:szCs w:val="20"/>
                <w:lang w:eastAsia="en-GB"/>
              </w:rPr>
            </w:pPr>
            <w:r>
              <w:rPr>
                <w:rFonts w:cs="Arial"/>
                <w:b/>
                <w:color w:val="auto"/>
                <w:sz w:val="20"/>
                <w:szCs w:val="20"/>
                <w:lang w:eastAsia="en-GB"/>
              </w:rPr>
              <w:t>1</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r>
      <w:tr w:rsidR="001E609C" w:rsidRPr="001E609C" w:rsidTr="00032AE8">
        <w:trPr>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2</w:t>
            </w:r>
          </w:p>
        </w:tc>
        <w:tc>
          <w:tcPr>
            <w:tcW w:w="1134" w:type="dxa"/>
          </w:tcPr>
          <w:p w:rsidR="001E609C" w:rsidRPr="001E609C" w:rsidRDefault="001E609C" w:rsidP="001E609C">
            <w:pPr>
              <w:autoSpaceDE w:val="0"/>
              <w:autoSpaceDN w:val="0"/>
              <w:adjustRightInd w:val="0"/>
              <w:spacing w:after="0" w:line="240" w:lineRule="auto"/>
              <w:jc w:val="center"/>
              <w:cnfStyle w:val="000000000000"/>
              <w:rPr>
                <w:rFonts w:cs="Arial"/>
                <w:color w:val="auto"/>
                <w:sz w:val="20"/>
                <w:szCs w:val="20"/>
                <w:lang w:eastAsia="en-GB"/>
              </w:rPr>
            </w:pPr>
            <w:r w:rsidRPr="001E609C">
              <w:rPr>
                <w:rFonts w:cs="Arial"/>
                <w:color w:val="auto"/>
                <w:sz w:val="20"/>
                <w:szCs w:val="20"/>
                <w:lang w:eastAsia="en-GB"/>
              </w:rPr>
              <w:t>0</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000000"/>
              <w:rPr>
                <w:color w:val="auto"/>
                <w:sz w:val="20"/>
                <w:szCs w:val="20"/>
              </w:rPr>
            </w:pPr>
            <w:r w:rsidRPr="001E609C">
              <w:rPr>
                <w:color w:val="auto"/>
                <w:sz w:val="20"/>
                <w:szCs w:val="20"/>
              </w:rPr>
              <w:t xml:space="preserve">£85,000 to £89,999 </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c>
          <w:tcPr>
            <w:tcW w:w="1134" w:type="dxa"/>
          </w:tcPr>
          <w:p w:rsidR="001E609C" w:rsidRPr="001E609C" w:rsidRDefault="002C0F22" w:rsidP="004A3CDB">
            <w:pPr>
              <w:autoSpaceDE w:val="0"/>
              <w:autoSpaceDN w:val="0"/>
              <w:adjustRightInd w:val="0"/>
              <w:spacing w:after="0" w:line="240" w:lineRule="auto"/>
              <w:jc w:val="center"/>
              <w:cnfStyle w:val="0000000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r>
      <w:tr w:rsidR="001E609C" w:rsidRPr="001E609C" w:rsidTr="00032AE8">
        <w:trPr>
          <w:cnfStyle w:val="000000100000"/>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1134" w:type="dxa"/>
          </w:tcPr>
          <w:p w:rsidR="001E609C" w:rsidRPr="001E609C" w:rsidRDefault="001E609C" w:rsidP="001E609C">
            <w:pPr>
              <w:autoSpaceDE w:val="0"/>
              <w:autoSpaceDN w:val="0"/>
              <w:adjustRightInd w:val="0"/>
              <w:spacing w:after="0" w:line="240" w:lineRule="auto"/>
              <w:jc w:val="center"/>
              <w:cnfStyle w:val="000000100000"/>
              <w:rPr>
                <w:rFonts w:cs="Arial"/>
                <w:color w:val="auto"/>
                <w:sz w:val="20"/>
                <w:szCs w:val="20"/>
                <w:lang w:eastAsia="en-GB"/>
              </w:rPr>
            </w:pPr>
            <w:r w:rsidRPr="001E609C">
              <w:rPr>
                <w:rFonts w:cs="Arial"/>
                <w:color w:val="auto"/>
                <w:sz w:val="20"/>
                <w:szCs w:val="20"/>
                <w:lang w:eastAsia="en-GB"/>
              </w:rPr>
              <w:t>0</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100000"/>
              <w:rPr>
                <w:color w:val="auto"/>
                <w:sz w:val="20"/>
                <w:szCs w:val="20"/>
              </w:rPr>
            </w:pPr>
            <w:r w:rsidRPr="001E609C">
              <w:rPr>
                <w:color w:val="auto"/>
                <w:sz w:val="20"/>
                <w:szCs w:val="20"/>
              </w:rPr>
              <w:t>£90,000 to £94,999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2</w:t>
            </w:r>
          </w:p>
        </w:tc>
        <w:tc>
          <w:tcPr>
            <w:tcW w:w="1134" w:type="dxa"/>
          </w:tcPr>
          <w:p w:rsidR="001E609C" w:rsidRPr="001E609C" w:rsidRDefault="002C0F22" w:rsidP="004A3CDB">
            <w:pPr>
              <w:autoSpaceDE w:val="0"/>
              <w:autoSpaceDN w:val="0"/>
              <w:adjustRightInd w:val="0"/>
              <w:spacing w:after="0" w:line="240" w:lineRule="auto"/>
              <w:jc w:val="center"/>
              <w:cnfStyle w:val="0000001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r>
      <w:tr w:rsidR="001E609C" w:rsidRPr="001E609C" w:rsidTr="00032AE8">
        <w:trPr>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1</w:t>
            </w:r>
          </w:p>
        </w:tc>
        <w:tc>
          <w:tcPr>
            <w:tcW w:w="1134" w:type="dxa"/>
          </w:tcPr>
          <w:p w:rsidR="001E609C" w:rsidRPr="001E609C" w:rsidRDefault="001E609C" w:rsidP="001E609C">
            <w:pPr>
              <w:autoSpaceDE w:val="0"/>
              <w:autoSpaceDN w:val="0"/>
              <w:adjustRightInd w:val="0"/>
              <w:spacing w:after="0" w:line="240" w:lineRule="auto"/>
              <w:jc w:val="center"/>
              <w:cnfStyle w:val="000000000000"/>
              <w:rPr>
                <w:rFonts w:cs="Arial"/>
                <w:color w:val="auto"/>
                <w:sz w:val="20"/>
                <w:szCs w:val="20"/>
                <w:lang w:eastAsia="en-GB"/>
              </w:rPr>
            </w:pPr>
            <w:r w:rsidRPr="001E609C">
              <w:rPr>
                <w:rFonts w:cs="Arial"/>
                <w:color w:val="auto"/>
                <w:sz w:val="20"/>
                <w:szCs w:val="20"/>
                <w:lang w:eastAsia="en-GB"/>
              </w:rPr>
              <w:t>0</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000000"/>
              <w:rPr>
                <w:color w:val="auto"/>
                <w:sz w:val="20"/>
                <w:szCs w:val="20"/>
              </w:rPr>
            </w:pPr>
            <w:r w:rsidRPr="001E609C">
              <w:rPr>
                <w:color w:val="auto"/>
                <w:sz w:val="20"/>
                <w:szCs w:val="20"/>
              </w:rPr>
              <w:t>£95,000 to £99,999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1</w:t>
            </w:r>
          </w:p>
        </w:tc>
        <w:tc>
          <w:tcPr>
            <w:tcW w:w="1134" w:type="dxa"/>
          </w:tcPr>
          <w:p w:rsidR="001E609C" w:rsidRPr="001E609C" w:rsidRDefault="002C0F22" w:rsidP="004A3CDB">
            <w:pPr>
              <w:autoSpaceDE w:val="0"/>
              <w:autoSpaceDN w:val="0"/>
              <w:adjustRightInd w:val="0"/>
              <w:spacing w:after="0" w:line="240" w:lineRule="auto"/>
              <w:jc w:val="center"/>
              <w:cnfStyle w:val="0000000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1</w:t>
            </w:r>
          </w:p>
        </w:tc>
      </w:tr>
      <w:tr w:rsidR="001E609C" w:rsidRPr="001E609C" w:rsidTr="00032AE8">
        <w:trPr>
          <w:cnfStyle w:val="000000100000"/>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1134" w:type="dxa"/>
          </w:tcPr>
          <w:p w:rsidR="001E609C" w:rsidRPr="001E609C" w:rsidRDefault="001E609C" w:rsidP="001E609C">
            <w:pPr>
              <w:autoSpaceDE w:val="0"/>
              <w:autoSpaceDN w:val="0"/>
              <w:adjustRightInd w:val="0"/>
              <w:spacing w:after="0" w:line="240" w:lineRule="auto"/>
              <w:jc w:val="center"/>
              <w:cnfStyle w:val="000000100000"/>
              <w:rPr>
                <w:rFonts w:cs="Arial"/>
                <w:color w:val="auto"/>
                <w:sz w:val="20"/>
                <w:szCs w:val="20"/>
                <w:lang w:eastAsia="en-GB"/>
              </w:rPr>
            </w:pPr>
            <w:r w:rsidRPr="001E609C">
              <w:rPr>
                <w:rFonts w:cs="Arial"/>
                <w:color w:val="auto"/>
                <w:sz w:val="20"/>
                <w:szCs w:val="20"/>
                <w:lang w:eastAsia="en-GB"/>
              </w:rPr>
              <w:t>0</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100000"/>
              <w:rPr>
                <w:color w:val="auto"/>
                <w:sz w:val="20"/>
                <w:szCs w:val="20"/>
              </w:rPr>
            </w:pPr>
            <w:r w:rsidRPr="001E609C">
              <w:rPr>
                <w:color w:val="auto"/>
                <w:sz w:val="20"/>
                <w:szCs w:val="20"/>
              </w:rPr>
              <w:t>£100,000 to £104,999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c>
          <w:tcPr>
            <w:tcW w:w="1134" w:type="dxa"/>
          </w:tcPr>
          <w:p w:rsidR="001E609C" w:rsidRPr="001E609C" w:rsidRDefault="002C0F22" w:rsidP="004A3CDB">
            <w:pPr>
              <w:autoSpaceDE w:val="0"/>
              <w:autoSpaceDN w:val="0"/>
              <w:adjustRightInd w:val="0"/>
              <w:spacing w:after="0" w:line="240" w:lineRule="auto"/>
              <w:jc w:val="center"/>
              <w:cnfStyle w:val="0000001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r>
      <w:tr w:rsidR="001E609C" w:rsidRPr="001E609C" w:rsidTr="00032AE8">
        <w:trPr>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1134" w:type="dxa"/>
          </w:tcPr>
          <w:p w:rsidR="001E609C" w:rsidRPr="001E609C" w:rsidRDefault="001E609C" w:rsidP="001E609C">
            <w:pPr>
              <w:autoSpaceDE w:val="0"/>
              <w:autoSpaceDN w:val="0"/>
              <w:adjustRightInd w:val="0"/>
              <w:spacing w:after="0" w:line="240" w:lineRule="auto"/>
              <w:jc w:val="center"/>
              <w:cnfStyle w:val="000000000000"/>
              <w:rPr>
                <w:rFonts w:cs="Arial"/>
                <w:color w:val="auto"/>
                <w:sz w:val="20"/>
                <w:szCs w:val="20"/>
                <w:lang w:eastAsia="en-GB"/>
              </w:rPr>
            </w:pPr>
            <w:r w:rsidRPr="001E609C">
              <w:rPr>
                <w:rFonts w:cs="Arial"/>
                <w:color w:val="auto"/>
                <w:sz w:val="20"/>
                <w:szCs w:val="20"/>
                <w:lang w:eastAsia="en-GB"/>
              </w:rPr>
              <w:t>0</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000000"/>
              <w:rPr>
                <w:color w:val="auto"/>
                <w:sz w:val="20"/>
                <w:szCs w:val="20"/>
              </w:rPr>
            </w:pPr>
            <w:r w:rsidRPr="001E609C">
              <w:rPr>
                <w:color w:val="auto"/>
                <w:sz w:val="20"/>
                <w:szCs w:val="20"/>
              </w:rPr>
              <w:t>£105,000 to £109,999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c>
          <w:tcPr>
            <w:tcW w:w="1134" w:type="dxa"/>
          </w:tcPr>
          <w:p w:rsidR="001E609C" w:rsidRPr="001E609C" w:rsidRDefault="002C0F22" w:rsidP="004A3CDB">
            <w:pPr>
              <w:autoSpaceDE w:val="0"/>
              <w:autoSpaceDN w:val="0"/>
              <w:adjustRightInd w:val="0"/>
              <w:spacing w:after="0" w:line="240" w:lineRule="auto"/>
              <w:jc w:val="center"/>
              <w:cnfStyle w:val="0000000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r>
      <w:tr w:rsidR="001E609C" w:rsidRPr="001E609C" w:rsidTr="00032AE8">
        <w:trPr>
          <w:cnfStyle w:val="000000100000"/>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1</w:t>
            </w:r>
          </w:p>
        </w:tc>
        <w:tc>
          <w:tcPr>
            <w:tcW w:w="1134" w:type="dxa"/>
          </w:tcPr>
          <w:p w:rsidR="001E609C" w:rsidRPr="001E609C" w:rsidRDefault="001E609C" w:rsidP="001E609C">
            <w:pPr>
              <w:autoSpaceDE w:val="0"/>
              <w:autoSpaceDN w:val="0"/>
              <w:adjustRightInd w:val="0"/>
              <w:spacing w:after="0" w:line="240" w:lineRule="auto"/>
              <w:jc w:val="center"/>
              <w:cnfStyle w:val="000000100000"/>
              <w:rPr>
                <w:rFonts w:cs="Arial"/>
                <w:color w:val="auto"/>
                <w:sz w:val="20"/>
                <w:szCs w:val="20"/>
                <w:lang w:eastAsia="en-GB"/>
              </w:rPr>
            </w:pPr>
            <w:r w:rsidRPr="001E609C">
              <w:rPr>
                <w:rFonts w:cs="Arial"/>
                <w:color w:val="auto"/>
                <w:sz w:val="20"/>
                <w:szCs w:val="20"/>
                <w:lang w:eastAsia="en-GB"/>
              </w:rPr>
              <w:t>0</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100000"/>
              <w:rPr>
                <w:color w:val="auto"/>
                <w:sz w:val="20"/>
                <w:szCs w:val="20"/>
              </w:rPr>
            </w:pPr>
            <w:r w:rsidRPr="001E609C">
              <w:rPr>
                <w:color w:val="auto"/>
                <w:sz w:val="20"/>
                <w:szCs w:val="20"/>
              </w:rPr>
              <w:t>£110,000 to £114,999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c>
          <w:tcPr>
            <w:tcW w:w="1134" w:type="dxa"/>
          </w:tcPr>
          <w:p w:rsidR="001E609C" w:rsidRPr="001E609C" w:rsidRDefault="002C0F22" w:rsidP="004A3CDB">
            <w:pPr>
              <w:autoSpaceDE w:val="0"/>
              <w:autoSpaceDN w:val="0"/>
              <w:adjustRightInd w:val="0"/>
              <w:spacing w:after="0" w:line="240" w:lineRule="auto"/>
              <w:jc w:val="center"/>
              <w:cnfStyle w:val="0000001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r>
      <w:tr w:rsidR="001E609C" w:rsidRPr="001E609C" w:rsidTr="00032AE8">
        <w:trPr>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1134" w:type="dxa"/>
          </w:tcPr>
          <w:p w:rsidR="001E609C" w:rsidRPr="001E609C" w:rsidRDefault="001E609C" w:rsidP="001E609C">
            <w:pPr>
              <w:autoSpaceDE w:val="0"/>
              <w:autoSpaceDN w:val="0"/>
              <w:adjustRightInd w:val="0"/>
              <w:spacing w:after="0" w:line="240" w:lineRule="auto"/>
              <w:jc w:val="center"/>
              <w:cnfStyle w:val="000000000000"/>
              <w:rPr>
                <w:rFonts w:cs="Arial"/>
                <w:color w:val="auto"/>
                <w:sz w:val="20"/>
                <w:szCs w:val="20"/>
                <w:lang w:eastAsia="en-GB"/>
              </w:rPr>
            </w:pPr>
            <w:r w:rsidRPr="001E609C">
              <w:rPr>
                <w:rFonts w:cs="Arial"/>
                <w:color w:val="auto"/>
                <w:sz w:val="20"/>
                <w:szCs w:val="20"/>
                <w:lang w:eastAsia="en-GB"/>
              </w:rPr>
              <w:t>0</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000000"/>
              <w:rPr>
                <w:color w:val="auto"/>
                <w:sz w:val="20"/>
                <w:szCs w:val="20"/>
              </w:rPr>
            </w:pPr>
            <w:r w:rsidRPr="001E609C">
              <w:rPr>
                <w:color w:val="auto"/>
                <w:sz w:val="20"/>
                <w:szCs w:val="20"/>
              </w:rPr>
              <w:t>£120,000 to £124,999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c>
          <w:tcPr>
            <w:tcW w:w="1134" w:type="dxa"/>
          </w:tcPr>
          <w:p w:rsidR="001E609C" w:rsidRPr="001E609C" w:rsidRDefault="002C0F22" w:rsidP="004A3CDB">
            <w:pPr>
              <w:autoSpaceDE w:val="0"/>
              <w:autoSpaceDN w:val="0"/>
              <w:adjustRightInd w:val="0"/>
              <w:spacing w:after="0" w:line="240" w:lineRule="auto"/>
              <w:jc w:val="center"/>
              <w:cnfStyle w:val="0000000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r>
      <w:tr w:rsidR="001E609C" w:rsidRPr="001E609C" w:rsidTr="00032AE8">
        <w:trPr>
          <w:cnfStyle w:val="000000100000"/>
          <w:trHeight w:val="182"/>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1</w:t>
            </w:r>
          </w:p>
        </w:tc>
        <w:tc>
          <w:tcPr>
            <w:tcW w:w="1134" w:type="dxa"/>
          </w:tcPr>
          <w:p w:rsidR="001E609C" w:rsidRPr="001E609C" w:rsidRDefault="001E609C" w:rsidP="001E609C">
            <w:pPr>
              <w:autoSpaceDE w:val="0"/>
              <w:autoSpaceDN w:val="0"/>
              <w:adjustRightInd w:val="0"/>
              <w:spacing w:after="0" w:line="240" w:lineRule="auto"/>
              <w:jc w:val="center"/>
              <w:cnfStyle w:val="000000100000"/>
              <w:rPr>
                <w:rFonts w:cs="Arial"/>
                <w:color w:val="auto"/>
                <w:sz w:val="20"/>
                <w:szCs w:val="20"/>
                <w:lang w:eastAsia="en-GB"/>
              </w:rPr>
            </w:pPr>
            <w:r w:rsidRPr="001E609C">
              <w:rPr>
                <w:rFonts w:cs="Arial"/>
                <w:color w:val="auto"/>
                <w:sz w:val="20"/>
                <w:szCs w:val="20"/>
                <w:lang w:eastAsia="en-GB"/>
              </w:rPr>
              <w:t>0</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color w:val="auto"/>
                <w:sz w:val="20"/>
                <w:szCs w:val="20"/>
                <w:lang w:eastAsia="en-GB"/>
              </w:rPr>
            </w:pPr>
            <w:r w:rsidRPr="001E609C">
              <w:rPr>
                <w:rFonts w:cs="Arial"/>
                <w:color w:val="auto"/>
                <w:sz w:val="20"/>
                <w:szCs w:val="20"/>
                <w:lang w:eastAsia="en-GB"/>
              </w:rPr>
              <w:t>0</w:t>
            </w:r>
          </w:p>
        </w:tc>
        <w:tc>
          <w:tcPr>
            <w:tcW w:w="2268" w:type="dxa"/>
          </w:tcPr>
          <w:p w:rsidR="001E609C" w:rsidRPr="001E609C" w:rsidRDefault="001E609C" w:rsidP="004A3CDB">
            <w:pPr>
              <w:pStyle w:val="BodyTextIndent"/>
              <w:ind w:left="0"/>
              <w:jc w:val="center"/>
              <w:cnfStyle w:val="000000100000"/>
              <w:rPr>
                <w:color w:val="auto"/>
                <w:sz w:val="20"/>
                <w:szCs w:val="20"/>
              </w:rPr>
            </w:pPr>
            <w:r w:rsidRPr="001E609C">
              <w:rPr>
                <w:color w:val="auto"/>
                <w:sz w:val="20"/>
                <w:szCs w:val="20"/>
              </w:rPr>
              <w:t>£135,000 to £139,999</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1</w:t>
            </w:r>
          </w:p>
        </w:tc>
        <w:tc>
          <w:tcPr>
            <w:tcW w:w="1134" w:type="dxa"/>
          </w:tcPr>
          <w:p w:rsidR="001E609C" w:rsidRPr="001E609C" w:rsidRDefault="002C0F22" w:rsidP="004A3CDB">
            <w:pPr>
              <w:autoSpaceDE w:val="0"/>
              <w:autoSpaceDN w:val="0"/>
              <w:adjustRightInd w:val="0"/>
              <w:spacing w:after="0" w:line="240" w:lineRule="auto"/>
              <w:jc w:val="center"/>
              <w:cnfStyle w:val="000000100000"/>
              <w:rPr>
                <w:rFonts w:cs="Arial"/>
                <w:b/>
                <w:color w:val="auto"/>
                <w:sz w:val="20"/>
                <w:szCs w:val="20"/>
                <w:lang w:eastAsia="en-GB"/>
              </w:rPr>
            </w:pPr>
            <w:r>
              <w:rPr>
                <w:rFonts w:cs="Arial"/>
                <w:b/>
                <w:color w:val="auto"/>
                <w:sz w:val="20"/>
                <w:szCs w:val="20"/>
                <w:lang w:eastAsia="en-GB"/>
              </w:rPr>
              <w:t>0</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color w:val="auto"/>
                <w:sz w:val="20"/>
                <w:szCs w:val="20"/>
                <w:lang w:eastAsia="en-GB"/>
              </w:rPr>
            </w:pPr>
            <w:r>
              <w:rPr>
                <w:rFonts w:cs="Arial"/>
                <w:b/>
                <w:color w:val="auto"/>
                <w:sz w:val="20"/>
                <w:szCs w:val="20"/>
                <w:lang w:eastAsia="en-GB"/>
              </w:rPr>
              <w:t>0</w:t>
            </w:r>
          </w:p>
        </w:tc>
      </w:tr>
      <w:tr w:rsidR="001E609C" w:rsidRPr="001E609C" w:rsidTr="000429CB">
        <w:trPr>
          <w:trHeight w:val="390"/>
        </w:trPr>
        <w:tc>
          <w:tcPr>
            <w:cnfStyle w:val="000010000000"/>
            <w:tcW w:w="993" w:type="dxa"/>
          </w:tcPr>
          <w:p w:rsidR="001E609C" w:rsidRPr="001E609C" w:rsidRDefault="001E609C" w:rsidP="001E609C">
            <w:pPr>
              <w:autoSpaceDE w:val="0"/>
              <w:autoSpaceDN w:val="0"/>
              <w:adjustRightInd w:val="0"/>
              <w:spacing w:after="0" w:line="240" w:lineRule="auto"/>
              <w:jc w:val="center"/>
              <w:rPr>
                <w:rFonts w:cs="Arial"/>
                <w:bCs/>
                <w:color w:val="auto"/>
                <w:sz w:val="20"/>
                <w:szCs w:val="20"/>
                <w:lang w:eastAsia="en-GB"/>
              </w:rPr>
            </w:pPr>
            <w:r w:rsidRPr="001E609C">
              <w:rPr>
                <w:rFonts w:cs="Arial"/>
                <w:bCs/>
                <w:color w:val="auto"/>
                <w:sz w:val="20"/>
                <w:szCs w:val="20"/>
                <w:lang w:eastAsia="en-GB"/>
              </w:rPr>
              <w:t>39</w:t>
            </w:r>
          </w:p>
        </w:tc>
        <w:tc>
          <w:tcPr>
            <w:tcW w:w="1134" w:type="dxa"/>
          </w:tcPr>
          <w:p w:rsidR="001E609C" w:rsidRPr="001E609C" w:rsidRDefault="001E609C" w:rsidP="001E609C">
            <w:pPr>
              <w:autoSpaceDE w:val="0"/>
              <w:autoSpaceDN w:val="0"/>
              <w:adjustRightInd w:val="0"/>
              <w:spacing w:after="0" w:line="240" w:lineRule="auto"/>
              <w:jc w:val="center"/>
              <w:cnfStyle w:val="000000000000"/>
              <w:rPr>
                <w:rFonts w:cs="Arial"/>
                <w:bCs/>
                <w:color w:val="auto"/>
                <w:sz w:val="20"/>
                <w:szCs w:val="20"/>
                <w:lang w:eastAsia="en-GB"/>
              </w:rPr>
            </w:pPr>
            <w:r w:rsidRPr="001E609C">
              <w:rPr>
                <w:rFonts w:cs="Arial"/>
                <w:bCs/>
                <w:color w:val="auto"/>
                <w:sz w:val="20"/>
                <w:szCs w:val="20"/>
                <w:lang w:eastAsia="en-GB"/>
              </w:rPr>
              <w:t>12</w:t>
            </w:r>
          </w:p>
        </w:tc>
        <w:tc>
          <w:tcPr>
            <w:cnfStyle w:val="000010000000"/>
            <w:tcW w:w="1275" w:type="dxa"/>
          </w:tcPr>
          <w:p w:rsidR="001E609C" w:rsidRPr="001E609C" w:rsidRDefault="001E609C" w:rsidP="001E609C">
            <w:pPr>
              <w:autoSpaceDE w:val="0"/>
              <w:autoSpaceDN w:val="0"/>
              <w:adjustRightInd w:val="0"/>
              <w:spacing w:after="0" w:line="240" w:lineRule="auto"/>
              <w:jc w:val="center"/>
              <w:rPr>
                <w:rFonts w:cs="Arial"/>
                <w:bCs/>
                <w:color w:val="auto"/>
                <w:sz w:val="20"/>
                <w:szCs w:val="20"/>
                <w:lang w:eastAsia="en-GB"/>
              </w:rPr>
            </w:pPr>
            <w:r w:rsidRPr="001E609C">
              <w:rPr>
                <w:rFonts w:cs="Arial"/>
                <w:bCs/>
                <w:color w:val="auto"/>
                <w:sz w:val="20"/>
                <w:szCs w:val="20"/>
                <w:lang w:eastAsia="en-GB"/>
              </w:rPr>
              <w:t>19</w:t>
            </w:r>
          </w:p>
        </w:tc>
        <w:tc>
          <w:tcPr>
            <w:tcW w:w="2268" w:type="dxa"/>
          </w:tcPr>
          <w:p w:rsidR="001E609C" w:rsidRPr="001E609C" w:rsidRDefault="001E609C" w:rsidP="00032AE8">
            <w:pPr>
              <w:pStyle w:val="BodyTextIndent"/>
              <w:ind w:left="0"/>
              <w:jc w:val="center"/>
              <w:cnfStyle w:val="000000000000"/>
              <w:rPr>
                <w:color w:val="auto"/>
                <w:sz w:val="20"/>
                <w:szCs w:val="20"/>
              </w:rPr>
            </w:pPr>
            <w:r w:rsidRPr="001E609C">
              <w:rPr>
                <w:color w:val="auto"/>
                <w:sz w:val="20"/>
                <w:szCs w:val="20"/>
              </w:rPr>
              <w:t>Total</w:t>
            </w:r>
          </w:p>
        </w:tc>
        <w:tc>
          <w:tcPr>
            <w:cnfStyle w:val="000010000000"/>
            <w:tcW w:w="1134" w:type="dxa"/>
          </w:tcPr>
          <w:p w:rsidR="001E609C" w:rsidRPr="001E609C" w:rsidRDefault="002C0F22" w:rsidP="004A3CDB">
            <w:pPr>
              <w:autoSpaceDE w:val="0"/>
              <w:autoSpaceDN w:val="0"/>
              <w:adjustRightInd w:val="0"/>
              <w:spacing w:after="0" w:line="240" w:lineRule="auto"/>
              <w:jc w:val="center"/>
              <w:rPr>
                <w:rFonts w:cs="Arial"/>
                <w:b/>
                <w:bCs/>
                <w:color w:val="auto"/>
                <w:sz w:val="20"/>
                <w:szCs w:val="20"/>
                <w:lang w:eastAsia="en-GB"/>
              </w:rPr>
            </w:pPr>
            <w:r>
              <w:rPr>
                <w:rFonts w:cs="Arial"/>
                <w:b/>
                <w:bCs/>
                <w:color w:val="auto"/>
                <w:sz w:val="20"/>
                <w:szCs w:val="20"/>
                <w:lang w:eastAsia="en-GB"/>
              </w:rPr>
              <w:t>37</w:t>
            </w:r>
          </w:p>
        </w:tc>
        <w:tc>
          <w:tcPr>
            <w:tcW w:w="1134" w:type="dxa"/>
          </w:tcPr>
          <w:p w:rsidR="001E609C" w:rsidRPr="001E609C" w:rsidRDefault="002C0F22" w:rsidP="004A3CDB">
            <w:pPr>
              <w:autoSpaceDE w:val="0"/>
              <w:autoSpaceDN w:val="0"/>
              <w:adjustRightInd w:val="0"/>
              <w:spacing w:after="0" w:line="240" w:lineRule="auto"/>
              <w:jc w:val="center"/>
              <w:cnfStyle w:val="000000000000"/>
              <w:rPr>
                <w:rFonts w:cs="Arial"/>
                <w:b/>
                <w:bCs/>
                <w:color w:val="auto"/>
                <w:sz w:val="20"/>
                <w:szCs w:val="20"/>
                <w:lang w:eastAsia="en-GB"/>
              </w:rPr>
            </w:pPr>
            <w:r>
              <w:rPr>
                <w:rFonts w:cs="Arial"/>
                <w:b/>
                <w:bCs/>
                <w:color w:val="auto"/>
                <w:sz w:val="20"/>
                <w:szCs w:val="20"/>
                <w:lang w:eastAsia="en-GB"/>
              </w:rPr>
              <w:t>9</w:t>
            </w:r>
          </w:p>
        </w:tc>
        <w:tc>
          <w:tcPr>
            <w:cnfStyle w:val="000010000000"/>
            <w:tcW w:w="1418" w:type="dxa"/>
          </w:tcPr>
          <w:p w:rsidR="001E609C" w:rsidRPr="001E609C" w:rsidRDefault="002C0F22" w:rsidP="004A3CDB">
            <w:pPr>
              <w:autoSpaceDE w:val="0"/>
              <w:autoSpaceDN w:val="0"/>
              <w:adjustRightInd w:val="0"/>
              <w:spacing w:after="0" w:line="240" w:lineRule="auto"/>
              <w:jc w:val="center"/>
              <w:rPr>
                <w:rFonts w:cs="Arial"/>
                <w:b/>
                <w:bCs/>
                <w:color w:val="auto"/>
                <w:sz w:val="20"/>
                <w:szCs w:val="20"/>
                <w:lang w:eastAsia="en-GB"/>
              </w:rPr>
            </w:pPr>
            <w:r>
              <w:rPr>
                <w:rFonts w:cs="Arial"/>
                <w:b/>
                <w:bCs/>
                <w:color w:val="auto"/>
                <w:sz w:val="20"/>
                <w:szCs w:val="20"/>
                <w:lang w:eastAsia="en-GB"/>
              </w:rPr>
              <w:t>19</w:t>
            </w:r>
          </w:p>
        </w:tc>
      </w:tr>
    </w:tbl>
    <w:p w:rsidR="000429CB" w:rsidRPr="00D42E0B" w:rsidRDefault="000429CB" w:rsidP="00157BFF">
      <w:pPr>
        <w:pStyle w:val="BodyTextIndent"/>
        <w:ind w:left="0"/>
        <w:rPr>
          <w:color w:val="548DD4" w:themeColor="text2" w:themeTint="99"/>
          <w:sz w:val="19"/>
          <w:szCs w:val="19"/>
        </w:rPr>
      </w:pPr>
    </w:p>
    <w:bookmarkEnd w:id="2"/>
    <w:p w:rsidR="00E51139" w:rsidRPr="001E609C" w:rsidRDefault="005C68D8" w:rsidP="004A3CDB">
      <w:pPr>
        <w:pStyle w:val="Subtitle"/>
        <w:ind w:left="567" w:hanging="567"/>
        <w:rPr>
          <w:b/>
          <w:color w:val="auto"/>
          <w:sz w:val="22"/>
          <w:szCs w:val="22"/>
        </w:rPr>
      </w:pPr>
      <w:r w:rsidRPr="001E609C">
        <w:rPr>
          <w:b/>
          <w:color w:val="auto"/>
          <w:sz w:val="22"/>
          <w:szCs w:val="22"/>
        </w:rPr>
        <w:t>2</w:t>
      </w:r>
      <w:r w:rsidR="000A1BAE" w:rsidRPr="001E609C">
        <w:rPr>
          <w:b/>
          <w:color w:val="auto"/>
          <w:sz w:val="22"/>
          <w:szCs w:val="22"/>
        </w:rPr>
        <w:t>8</w:t>
      </w:r>
      <w:r w:rsidR="00E51139" w:rsidRPr="001E609C">
        <w:rPr>
          <w:b/>
          <w:color w:val="auto"/>
          <w:sz w:val="22"/>
          <w:szCs w:val="22"/>
        </w:rPr>
        <w:t>.</w:t>
      </w:r>
      <w:r w:rsidR="00E51139" w:rsidRPr="001E609C">
        <w:rPr>
          <w:b/>
          <w:color w:val="auto"/>
          <w:sz w:val="22"/>
          <w:szCs w:val="22"/>
        </w:rPr>
        <w:tab/>
        <w:t>External Audit Costs</w:t>
      </w:r>
    </w:p>
    <w:p w:rsidR="00E51139" w:rsidRPr="001E609C" w:rsidRDefault="00E51139" w:rsidP="003C5E34">
      <w:pPr>
        <w:pStyle w:val="CodeNotesExampleHead"/>
        <w:widowControl w:val="0"/>
        <w:ind w:left="567"/>
        <w:rPr>
          <w:rFonts w:cs="Arial"/>
          <w:b w:val="0"/>
          <w:color w:val="auto"/>
          <w:sz w:val="20"/>
          <w:szCs w:val="20"/>
          <w:lang w:eastAsia="en-GB"/>
        </w:rPr>
      </w:pPr>
      <w:r w:rsidRPr="001E609C">
        <w:rPr>
          <w:rFonts w:cs="Arial"/>
          <w:b w:val="0"/>
          <w:color w:val="auto"/>
          <w:sz w:val="20"/>
          <w:szCs w:val="20"/>
          <w:lang w:eastAsia="en-GB"/>
        </w:rPr>
        <w:t>The Council will incur the following costs in relation to the audit of the Statement of Accounts, certification of grant claims and statutory inspections and to non-audit services provided by the Council’s appointed external auditors who are Grant Thornton.</w:t>
      </w:r>
    </w:p>
    <w:p w:rsidR="005121CA" w:rsidRPr="00D42E0B" w:rsidRDefault="005121CA" w:rsidP="003C5E34">
      <w:pPr>
        <w:pStyle w:val="CodeNotesExampleHead"/>
        <w:widowControl w:val="0"/>
        <w:ind w:left="567"/>
        <w:rPr>
          <w:rFonts w:cs="Arial"/>
          <w:b w:val="0"/>
          <w:color w:val="548DD4" w:themeColor="text2" w:themeTint="99"/>
          <w:sz w:val="20"/>
          <w:szCs w:val="20"/>
          <w:lang w:eastAsia="en-GB"/>
        </w:rPr>
      </w:pPr>
    </w:p>
    <w:p w:rsidR="00E51139" w:rsidRPr="00D42E0B" w:rsidRDefault="00E51139" w:rsidP="003C5E34">
      <w:pPr>
        <w:pStyle w:val="CodeNotesExampleHead"/>
        <w:widowControl w:val="0"/>
        <w:rPr>
          <w:rFonts w:cs="Arial"/>
          <w:b w:val="0"/>
          <w:color w:val="548DD4" w:themeColor="text2" w:themeTint="99"/>
          <w:sz w:val="20"/>
          <w:szCs w:val="20"/>
        </w:rPr>
      </w:pPr>
    </w:p>
    <w:tbl>
      <w:tblPr>
        <w:tblStyle w:val="ListTable3-Accent51"/>
        <w:tblW w:w="8366" w:type="dxa"/>
        <w:tblInd w:w="673" w:type="dxa"/>
        <w:tblLook w:val="0000"/>
      </w:tblPr>
      <w:tblGrid>
        <w:gridCol w:w="1081"/>
        <w:gridCol w:w="6151"/>
        <w:gridCol w:w="1134"/>
      </w:tblGrid>
      <w:tr w:rsidR="00945F4F" w:rsidRPr="001E609C" w:rsidTr="000429CB">
        <w:trPr>
          <w:cnfStyle w:val="000000100000"/>
          <w:trHeight w:val="60"/>
        </w:trPr>
        <w:tc>
          <w:tcPr>
            <w:cnfStyle w:val="000010000000"/>
            <w:tcW w:w="1081" w:type="dxa"/>
            <w:shd w:val="clear" w:color="auto" w:fill="4BACC6" w:themeFill="accent5"/>
          </w:tcPr>
          <w:p w:rsidR="00945F4F" w:rsidRPr="001E609C" w:rsidRDefault="00945F4F" w:rsidP="00810536">
            <w:pPr>
              <w:widowControl w:val="0"/>
              <w:spacing w:after="0" w:line="240" w:lineRule="auto"/>
              <w:ind w:right="142"/>
              <w:jc w:val="center"/>
              <w:rPr>
                <w:rFonts w:cs="Arial"/>
                <w:color w:val="auto"/>
                <w:sz w:val="20"/>
                <w:szCs w:val="20"/>
                <w:lang w:eastAsia="en-GB"/>
              </w:rPr>
            </w:pPr>
            <w:r w:rsidRPr="001E609C">
              <w:rPr>
                <w:rFonts w:cs="Arial"/>
                <w:color w:val="auto"/>
                <w:sz w:val="20"/>
                <w:szCs w:val="20"/>
                <w:lang w:eastAsia="en-GB"/>
              </w:rPr>
              <w:t>201</w:t>
            </w:r>
            <w:r w:rsidR="001E609C" w:rsidRPr="001E609C">
              <w:rPr>
                <w:rFonts w:cs="Arial"/>
                <w:color w:val="auto"/>
                <w:sz w:val="20"/>
                <w:szCs w:val="20"/>
                <w:lang w:eastAsia="en-GB"/>
              </w:rPr>
              <w:t>4</w:t>
            </w:r>
            <w:r w:rsidRPr="001E609C">
              <w:rPr>
                <w:rFonts w:cs="Arial"/>
                <w:color w:val="auto"/>
                <w:sz w:val="20"/>
                <w:szCs w:val="20"/>
                <w:lang w:eastAsia="en-GB"/>
              </w:rPr>
              <w:t>/1</w:t>
            </w:r>
            <w:r w:rsidR="001E609C" w:rsidRPr="001E609C">
              <w:rPr>
                <w:rFonts w:cs="Arial"/>
                <w:color w:val="auto"/>
                <w:sz w:val="20"/>
                <w:szCs w:val="20"/>
                <w:lang w:eastAsia="en-GB"/>
              </w:rPr>
              <w:t>5</w:t>
            </w:r>
          </w:p>
          <w:p w:rsidR="00945F4F" w:rsidRPr="001E609C" w:rsidRDefault="00945F4F" w:rsidP="00810536">
            <w:pPr>
              <w:widowControl w:val="0"/>
              <w:spacing w:after="0" w:line="240" w:lineRule="auto"/>
              <w:ind w:right="142"/>
              <w:jc w:val="center"/>
              <w:rPr>
                <w:rFonts w:cs="Arial"/>
                <w:color w:val="auto"/>
                <w:sz w:val="20"/>
                <w:szCs w:val="20"/>
                <w:lang w:eastAsia="en-GB"/>
              </w:rPr>
            </w:pPr>
            <w:r w:rsidRPr="001E609C">
              <w:rPr>
                <w:rFonts w:cs="Arial"/>
                <w:color w:val="auto"/>
                <w:sz w:val="20"/>
                <w:szCs w:val="20"/>
                <w:lang w:eastAsia="en-GB"/>
              </w:rPr>
              <w:t>£000</w:t>
            </w:r>
          </w:p>
          <w:p w:rsidR="00C639A4" w:rsidRPr="001E609C" w:rsidRDefault="00C639A4" w:rsidP="00810536">
            <w:pPr>
              <w:widowControl w:val="0"/>
              <w:spacing w:after="0" w:line="240" w:lineRule="auto"/>
              <w:ind w:right="142"/>
              <w:jc w:val="center"/>
              <w:rPr>
                <w:rFonts w:cs="Arial"/>
                <w:color w:val="auto"/>
                <w:sz w:val="20"/>
                <w:szCs w:val="20"/>
                <w:lang w:eastAsia="en-GB"/>
              </w:rPr>
            </w:pPr>
          </w:p>
        </w:tc>
        <w:tc>
          <w:tcPr>
            <w:tcW w:w="6151" w:type="dxa"/>
            <w:shd w:val="clear" w:color="auto" w:fill="4BACC6" w:themeFill="accent5"/>
          </w:tcPr>
          <w:p w:rsidR="00945F4F" w:rsidRPr="001E609C" w:rsidRDefault="00945F4F" w:rsidP="003C5E34">
            <w:pPr>
              <w:widowControl w:val="0"/>
              <w:spacing w:after="0" w:line="240" w:lineRule="auto"/>
              <w:jc w:val="center"/>
              <w:cnfStyle w:val="000000100000"/>
              <w:rPr>
                <w:rFonts w:cs="Arial"/>
                <w:color w:val="auto"/>
                <w:sz w:val="20"/>
                <w:szCs w:val="20"/>
                <w:lang w:eastAsia="en-GB"/>
              </w:rPr>
            </w:pPr>
          </w:p>
        </w:tc>
        <w:tc>
          <w:tcPr>
            <w:cnfStyle w:val="000010000000"/>
            <w:tcW w:w="1134" w:type="dxa"/>
            <w:shd w:val="clear" w:color="auto" w:fill="4BACC6" w:themeFill="accent5"/>
          </w:tcPr>
          <w:p w:rsidR="00945F4F" w:rsidRPr="001E609C" w:rsidRDefault="00945F4F" w:rsidP="003C5E34">
            <w:pPr>
              <w:widowControl w:val="0"/>
              <w:spacing w:after="0" w:line="240" w:lineRule="auto"/>
              <w:ind w:right="142"/>
              <w:jc w:val="center"/>
              <w:rPr>
                <w:rFonts w:cs="Arial"/>
                <w:b/>
                <w:color w:val="auto"/>
                <w:sz w:val="20"/>
                <w:szCs w:val="20"/>
                <w:lang w:eastAsia="en-GB"/>
              </w:rPr>
            </w:pPr>
            <w:r w:rsidRPr="001E609C">
              <w:rPr>
                <w:rFonts w:cs="Arial"/>
                <w:b/>
                <w:color w:val="auto"/>
                <w:sz w:val="20"/>
                <w:szCs w:val="20"/>
                <w:lang w:eastAsia="en-GB"/>
              </w:rPr>
              <w:t>201</w:t>
            </w:r>
            <w:r w:rsidR="00BA33B9" w:rsidRPr="001E609C">
              <w:rPr>
                <w:rFonts w:cs="Arial"/>
                <w:b/>
                <w:color w:val="auto"/>
                <w:sz w:val="20"/>
                <w:szCs w:val="20"/>
                <w:lang w:eastAsia="en-GB"/>
              </w:rPr>
              <w:t>5</w:t>
            </w:r>
            <w:r w:rsidR="001E609C" w:rsidRPr="001E609C">
              <w:rPr>
                <w:rFonts w:cs="Arial"/>
                <w:b/>
                <w:color w:val="auto"/>
                <w:sz w:val="20"/>
                <w:szCs w:val="20"/>
                <w:lang w:eastAsia="en-GB"/>
              </w:rPr>
              <w:t>/16</w:t>
            </w:r>
          </w:p>
          <w:p w:rsidR="00945F4F" w:rsidRPr="001E609C" w:rsidRDefault="00945F4F" w:rsidP="003C5E34">
            <w:pPr>
              <w:widowControl w:val="0"/>
              <w:spacing w:after="0" w:line="240" w:lineRule="auto"/>
              <w:ind w:right="142"/>
              <w:jc w:val="center"/>
              <w:rPr>
                <w:rFonts w:cs="Arial"/>
                <w:b/>
                <w:color w:val="auto"/>
                <w:sz w:val="20"/>
                <w:szCs w:val="20"/>
                <w:lang w:eastAsia="en-GB"/>
              </w:rPr>
            </w:pPr>
            <w:r w:rsidRPr="001E609C">
              <w:rPr>
                <w:rFonts w:cs="Arial"/>
                <w:b/>
                <w:color w:val="auto"/>
                <w:sz w:val="20"/>
                <w:szCs w:val="20"/>
                <w:lang w:eastAsia="en-GB"/>
              </w:rPr>
              <w:t>£000</w:t>
            </w:r>
          </w:p>
        </w:tc>
      </w:tr>
      <w:tr w:rsidR="001E609C" w:rsidRPr="001E609C" w:rsidTr="00DD4207">
        <w:trPr>
          <w:trHeight w:val="454"/>
        </w:trPr>
        <w:tc>
          <w:tcPr>
            <w:cnfStyle w:val="000010000000"/>
            <w:tcW w:w="1081" w:type="dxa"/>
            <w:vAlign w:val="center"/>
          </w:tcPr>
          <w:p w:rsidR="001E609C" w:rsidRPr="001E609C" w:rsidRDefault="001E609C" w:rsidP="001E609C">
            <w:pPr>
              <w:widowControl w:val="0"/>
              <w:spacing w:after="0" w:line="240" w:lineRule="auto"/>
              <w:ind w:right="142"/>
              <w:jc w:val="center"/>
              <w:rPr>
                <w:rFonts w:cs="Arial"/>
                <w:b/>
                <w:color w:val="auto"/>
                <w:sz w:val="20"/>
                <w:szCs w:val="20"/>
                <w:lang w:eastAsia="en-GB"/>
              </w:rPr>
            </w:pPr>
            <w:r w:rsidRPr="001E609C">
              <w:rPr>
                <w:rFonts w:cs="Arial"/>
                <w:b/>
                <w:color w:val="auto"/>
                <w:sz w:val="20"/>
                <w:szCs w:val="20"/>
                <w:lang w:eastAsia="en-GB"/>
              </w:rPr>
              <w:t>136</w:t>
            </w:r>
          </w:p>
        </w:tc>
        <w:tc>
          <w:tcPr>
            <w:tcW w:w="6151" w:type="dxa"/>
            <w:vAlign w:val="center"/>
          </w:tcPr>
          <w:p w:rsidR="001E609C" w:rsidRPr="001E609C" w:rsidRDefault="001E609C" w:rsidP="00DD4207">
            <w:pPr>
              <w:widowControl w:val="0"/>
              <w:spacing w:after="0" w:line="240" w:lineRule="auto"/>
              <w:cnfStyle w:val="000000000000"/>
              <w:rPr>
                <w:rFonts w:cs="Arial"/>
                <w:color w:val="auto"/>
                <w:sz w:val="20"/>
                <w:szCs w:val="20"/>
                <w:lang w:eastAsia="en-GB"/>
              </w:rPr>
            </w:pPr>
            <w:r w:rsidRPr="001E609C">
              <w:rPr>
                <w:rFonts w:cs="Arial"/>
                <w:color w:val="auto"/>
                <w:sz w:val="20"/>
                <w:szCs w:val="20"/>
                <w:lang w:eastAsia="en-GB"/>
              </w:rPr>
              <w:t>Fees payable to Grant Thornton with regard to external audit services carried out by the appointed auditor for the year</w:t>
            </w:r>
          </w:p>
        </w:tc>
        <w:tc>
          <w:tcPr>
            <w:cnfStyle w:val="000010000000"/>
            <w:tcW w:w="1134" w:type="dxa"/>
            <w:vAlign w:val="center"/>
          </w:tcPr>
          <w:p w:rsidR="001E609C" w:rsidRPr="001E609C" w:rsidRDefault="00BD08B3" w:rsidP="00DD4207">
            <w:pPr>
              <w:widowControl w:val="0"/>
              <w:spacing w:after="0" w:line="240" w:lineRule="auto"/>
              <w:ind w:right="142"/>
              <w:jc w:val="center"/>
              <w:rPr>
                <w:rFonts w:cs="Arial"/>
                <w:b/>
                <w:color w:val="auto"/>
                <w:sz w:val="20"/>
                <w:szCs w:val="20"/>
                <w:lang w:eastAsia="en-GB"/>
              </w:rPr>
            </w:pPr>
            <w:r>
              <w:rPr>
                <w:rFonts w:cs="Arial"/>
                <w:b/>
                <w:color w:val="auto"/>
                <w:sz w:val="20"/>
                <w:szCs w:val="20"/>
                <w:lang w:eastAsia="en-GB"/>
              </w:rPr>
              <w:t>102</w:t>
            </w:r>
          </w:p>
        </w:tc>
      </w:tr>
      <w:tr w:rsidR="001E609C" w:rsidRPr="001E609C" w:rsidTr="00DD4207">
        <w:trPr>
          <w:cnfStyle w:val="000000100000"/>
          <w:trHeight w:val="367"/>
        </w:trPr>
        <w:tc>
          <w:tcPr>
            <w:cnfStyle w:val="000010000000"/>
            <w:tcW w:w="1081" w:type="dxa"/>
            <w:vAlign w:val="center"/>
          </w:tcPr>
          <w:p w:rsidR="001E609C" w:rsidRPr="001E609C" w:rsidRDefault="001E609C" w:rsidP="001E609C">
            <w:pPr>
              <w:widowControl w:val="0"/>
              <w:spacing w:after="0" w:line="240" w:lineRule="auto"/>
              <w:ind w:right="142"/>
              <w:jc w:val="center"/>
              <w:rPr>
                <w:rFonts w:cs="Arial"/>
                <w:b/>
                <w:color w:val="auto"/>
                <w:sz w:val="20"/>
                <w:szCs w:val="20"/>
                <w:lang w:eastAsia="en-GB"/>
              </w:rPr>
            </w:pPr>
            <w:r w:rsidRPr="001E609C">
              <w:rPr>
                <w:rFonts w:cs="Arial"/>
                <w:b/>
                <w:color w:val="auto"/>
                <w:sz w:val="20"/>
                <w:szCs w:val="20"/>
                <w:lang w:eastAsia="en-GB"/>
              </w:rPr>
              <w:t>(14)</w:t>
            </w:r>
          </w:p>
        </w:tc>
        <w:tc>
          <w:tcPr>
            <w:tcW w:w="6151" w:type="dxa"/>
            <w:vAlign w:val="center"/>
          </w:tcPr>
          <w:p w:rsidR="001E609C" w:rsidRPr="001E609C" w:rsidRDefault="001E609C" w:rsidP="00DD4207">
            <w:pPr>
              <w:widowControl w:val="0"/>
              <w:spacing w:after="0" w:line="240" w:lineRule="auto"/>
              <w:cnfStyle w:val="000000100000"/>
              <w:rPr>
                <w:rFonts w:cs="Arial"/>
                <w:color w:val="auto"/>
                <w:sz w:val="20"/>
                <w:szCs w:val="20"/>
                <w:lang w:eastAsia="en-GB"/>
              </w:rPr>
            </w:pPr>
            <w:r w:rsidRPr="001E609C">
              <w:rPr>
                <w:rFonts w:cs="Arial"/>
                <w:color w:val="auto"/>
                <w:sz w:val="20"/>
                <w:szCs w:val="20"/>
                <w:lang w:eastAsia="en-GB"/>
              </w:rPr>
              <w:t>External Audit Fee Rebate from Audit Commission</w:t>
            </w:r>
          </w:p>
        </w:tc>
        <w:tc>
          <w:tcPr>
            <w:cnfStyle w:val="000010000000"/>
            <w:tcW w:w="1134" w:type="dxa"/>
            <w:vAlign w:val="center"/>
          </w:tcPr>
          <w:p w:rsidR="001E609C" w:rsidRPr="001E609C" w:rsidRDefault="00BD08B3" w:rsidP="00DD4207">
            <w:pPr>
              <w:widowControl w:val="0"/>
              <w:spacing w:after="0" w:line="240" w:lineRule="auto"/>
              <w:ind w:right="142"/>
              <w:jc w:val="center"/>
              <w:rPr>
                <w:rFonts w:cs="Arial"/>
                <w:b/>
                <w:color w:val="auto"/>
                <w:sz w:val="20"/>
                <w:szCs w:val="20"/>
                <w:lang w:eastAsia="en-GB"/>
              </w:rPr>
            </w:pPr>
            <w:r>
              <w:rPr>
                <w:rFonts w:cs="Arial"/>
                <w:b/>
                <w:color w:val="auto"/>
                <w:sz w:val="20"/>
                <w:szCs w:val="20"/>
                <w:lang w:eastAsia="en-GB"/>
              </w:rPr>
              <w:t>0</w:t>
            </w:r>
          </w:p>
        </w:tc>
      </w:tr>
      <w:tr w:rsidR="001E609C" w:rsidRPr="001E609C" w:rsidTr="00DD4207">
        <w:trPr>
          <w:trHeight w:val="454"/>
        </w:trPr>
        <w:tc>
          <w:tcPr>
            <w:cnfStyle w:val="000010000000"/>
            <w:tcW w:w="1081" w:type="dxa"/>
            <w:vAlign w:val="center"/>
          </w:tcPr>
          <w:p w:rsidR="001E609C" w:rsidRPr="001E609C" w:rsidRDefault="001E609C" w:rsidP="001E609C">
            <w:pPr>
              <w:widowControl w:val="0"/>
              <w:spacing w:after="0" w:line="240" w:lineRule="auto"/>
              <w:ind w:right="142"/>
              <w:jc w:val="center"/>
              <w:rPr>
                <w:rFonts w:cs="Arial"/>
                <w:b/>
                <w:color w:val="auto"/>
                <w:sz w:val="20"/>
                <w:szCs w:val="20"/>
                <w:lang w:eastAsia="en-GB"/>
              </w:rPr>
            </w:pPr>
            <w:r w:rsidRPr="001E609C">
              <w:rPr>
                <w:rFonts w:cs="Arial"/>
                <w:b/>
                <w:color w:val="auto"/>
                <w:sz w:val="20"/>
                <w:szCs w:val="20"/>
                <w:lang w:eastAsia="en-GB"/>
              </w:rPr>
              <w:t>17</w:t>
            </w:r>
          </w:p>
        </w:tc>
        <w:tc>
          <w:tcPr>
            <w:tcW w:w="6151" w:type="dxa"/>
            <w:vAlign w:val="center"/>
          </w:tcPr>
          <w:p w:rsidR="001E609C" w:rsidRPr="001E609C" w:rsidRDefault="001E609C" w:rsidP="00DD4207">
            <w:pPr>
              <w:widowControl w:val="0"/>
              <w:spacing w:after="0" w:line="240" w:lineRule="auto"/>
              <w:cnfStyle w:val="000000000000"/>
              <w:rPr>
                <w:rFonts w:cs="Arial"/>
                <w:color w:val="auto"/>
                <w:sz w:val="20"/>
                <w:szCs w:val="20"/>
                <w:lang w:eastAsia="en-GB"/>
              </w:rPr>
            </w:pPr>
            <w:r w:rsidRPr="001E609C">
              <w:rPr>
                <w:rFonts w:cs="Arial"/>
                <w:color w:val="auto"/>
                <w:sz w:val="20"/>
                <w:szCs w:val="20"/>
                <w:lang w:eastAsia="en-GB"/>
              </w:rPr>
              <w:t>Fees payable to Grant Thornton for the certification of grant claims and returns for the year</w:t>
            </w:r>
          </w:p>
        </w:tc>
        <w:tc>
          <w:tcPr>
            <w:cnfStyle w:val="000010000000"/>
            <w:tcW w:w="1134" w:type="dxa"/>
            <w:vAlign w:val="center"/>
          </w:tcPr>
          <w:p w:rsidR="001E609C" w:rsidRPr="001E609C" w:rsidRDefault="00BD08B3" w:rsidP="00DD4207">
            <w:pPr>
              <w:widowControl w:val="0"/>
              <w:spacing w:after="0" w:line="240" w:lineRule="auto"/>
              <w:ind w:right="142"/>
              <w:jc w:val="center"/>
              <w:rPr>
                <w:rFonts w:cs="Arial"/>
                <w:b/>
                <w:color w:val="auto"/>
                <w:sz w:val="20"/>
                <w:szCs w:val="20"/>
                <w:lang w:eastAsia="en-GB"/>
              </w:rPr>
            </w:pPr>
            <w:r>
              <w:rPr>
                <w:rFonts w:cs="Arial"/>
                <w:b/>
                <w:color w:val="auto"/>
                <w:sz w:val="20"/>
                <w:szCs w:val="20"/>
                <w:lang w:eastAsia="en-GB"/>
              </w:rPr>
              <w:t>12</w:t>
            </w:r>
          </w:p>
        </w:tc>
      </w:tr>
      <w:tr w:rsidR="001E609C" w:rsidRPr="001E609C" w:rsidTr="00DD4207">
        <w:trPr>
          <w:cnfStyle w:val="000000100000"/>
          <w:trHeight w:val="295"/>
        </w:trPr>
        <w:tc>
          <w:tcPr>
            <w:cnfStyle w:val="000010000000"/>
            <w:tcW w:w="1081" w:type="dxa"/>
            <w:vAlign w:val="center"/>
          </w:tcPr>
          <w:p w:rsidR="001E609C" w:rsidRPr="001E609C" w:rsidRDefault="001E609C" w:rsidP="001E609C">
            <w:pPr>
              <w:widowControl w:val="0"/>
              <w:spacing w:after="0" w:line="240" w:lineRule="auto"/>
              <w:ind w:right="142"/>
              <w:jc w:val="center"/>
              <w:rPr>
                <w:rFonts w:cs="Arial"/>
                <w:b/>
                <w:color w:val="auto"/>
                <w:sz w:val="20"/>
                <w:szCs w:val="20"/>
                <w:lang w:eastAsia="en-GB"/>
              </w:rPr>
            </w:pPr>
            <w:r w:rsidRPr="001E609C">
              <w:rPr>
                <w:rFonts w:cs="Arial"/>
                <w:b/>
                <w:color w:val="auto"/>
                <w:sz w:val="20"/>
                <w:szCs w:val="20"/>
                <w:lang w:eastAsia="en-GB"/>
              </w:rPr>
              <w:t>139</w:t>
            </w:r>
          </w:p>
        </w:tc>
        <w:tc>
          <w:tcPr>
            <w:tcW w:w="6151" w:type="dxa"/>
            <w:vAlign w:val="center"/>
          </w:tcPr>
          <w:p w:rsidR="001E609C" w:rsidRPr="001E609C" w:rsidRDefault="001E609C" w:rsidP="00DD4207">
            <w:pPr>
              <w:widowControl w:val="0"/>
              <w:spacing w:after="0" w:line="240" w:lineRule="auto"/>
              <w:cnfStyle w:val="000000100000"/>
              <w:rPr>
                <w:rFonts w:cs="Arial"/>
                <w:b/>
                <w:color w:val="auto"/>
                <w:sz w:val="20"/>
                <w:szCs w:val="20"/>
                <w:lang w:eastAsia="en-GB"/>
              </w:rPr>
            </w:pPr>
            <w:r w:rsidRPr="001E609C">
              <w:rPr>
                <w:rFonts w:cs="Arial"/>
                <w:b/>
                <w:color w:val="auto"/>
                <w:sz w:val="20"/>
                <w:szCs w:val="20"/>
                <w:lang w:eastAsia="en-GB"/>
              </w:rPr>
              <w:t>Total</w:t>
            </w:r>
          </w:p>
        </w:tc>
        <w:tc>
          <w:tcPr>
            <w:cnfStyle w:val="000010000000"/>
            <w:tcW w:w="1134" w:type="dxa"/>
            <w:vAlign w:val="center"/>
          </w:tcPr>
          <w:p w:rsidR="001E609C" w:rsidRPr="001E609C" w:rsidRDefault="00BD08B3" w:rsidP="00DD4207">
            <w:pPr>
              <w:widowControl w:val="0"/>
              <w:spacing w:after="0" w:line="240" w:lineRule="auto"/>
              <w:ind w:right="142"/>
              <w:jc w:val="center"/>
              <w:rPr>
                <w:rFonts w:cs="Arial"/>
                <w:b/>
                <w:color w:val="auto"/>
                <w:sz w:val="20"/>
                <w:szCs w:val="20"/>
                <w:lang w:eastAsia="en-GB"/>
              </w:rPr>
            </w:pPr>
            <w:r>
              <w:rPr>
                <w:rFonts w:cs="Arial"/>
                <w:b/>
                <w:color w:val="auto"/>
                <w:sz w:val="20"/>
                <w:szCs w:val="20"/>
                <w:lang w:eastAsia="en-GB"/>
              </w:rPr>
              <w:t>114</w:t>
            </w:r>
          </w:p>
        </w:tc>
      </w:tr>
    </w:tbl>
    <w:p w:rsidR="00E51139" w:rsidRPr="00D42E0B" w:rsidRDefault="00E51139" w:rsidP="003C5E34">
      <w:pPr>
        <w:pStyle w:val="CodeNotesExampleHead"/>
        <w:widowControl w:val="0"/>
        <w:ind w:left="567"/>
        <w:rPr>
          <w:rFonts w:cs="Arial"/>
          <w:b w:val="0"/>
          <w:color w:val="548DD4" w:themeColor="text2" w:themeTint="99"/>
          <w:sz w:val="20"/>
          <w:szCs w:val="20"/>
          <w:lang w:eastAsia="en-GB"/>
        </w:rPr>
      </w:pPr>
    </w:p>
    <w:p w:rsidR="007636E5" w:rsidRPr="00D42E0B" w:rsidRDefault="007636E5" w:rsidP="003C5E34">
      <w:pPr>
        <w:pStyle w:val="CodeNotesExampleHead"/>
        <w:widowControl w:val="0"/>
        <w:ind w:left="567"/>
        <w:rPr>
          <w:rFonts w:cs="Arial"/>
          <w:b w:val="0"/>
          <w:color w:val="548DD4" w:themeColor="text2" w:themeTint="99"/>
          <w:sz w:val="20"/>
          <w:szCs w:val="20"/>
          <w:lang w:eastAsia="en-GB"/>
        </w:rPr>
      </w:pPr>
    </w:p>
    <w:p w:rsidR="00320187" w:rsidRDefault="00320187" w:rsidP="007636E5">
      <w:pPr>
        <w:pStyle w:val="Subtitle"/>
        <w:ind w:left="567" w:hanging="567"/>
        <w:rPr>
          <w:b/>
          <w:color w:val="auto"/>
          <w:sz w:val="22"/>
          <w:szCs w:val="22"/>
        </w:rPr>
      </w:pPr>
    </w:p>
    <w:p w:rsidR="00E51139" w:rsidRPr="00397717" w:rsidRDefault="000A1BAE" w:rsidP="007636E5">
      <w:pPr>
        <w:pStyle w:val="Subtitle"/>
        <w:ind w:left="567" w:hanging="567"/>
        <w:rPr>
          <w:b/>
          <w:color w:val="auto"/>
          <w:sz w:val="22"/>
          <w:szCs w:val="22"/>
        </w:rPr>
      </w:pPr>
      <w:r w:rsidRPr="00397717">
        <w:rPr>
          <w:b/>
          <w:color w:val="auto"/>
          <w:sz w:val="22"/>
          <w:szCs w:val="22"/>
        </w:rPr>
        <w:lastRenderedPageBreak/>
        <w:t>29</w:t>
      </w:r>
      <w:r w:rsidR="00845AAC" w:rsidRPr="00397717">
        <w:rPr>
          <w:b/>
          <w:color w:val="auto"/>
          <w:sz w:val="22"/>
          <w:szCs w:val="22"/>
        </w:rPr>
        <w:t>.</w:t>
      </w:r>
      <w:r w:rsidR="00845AAC" w:rsidRPr="00397717">
        <w:rPr>
          <w:b/>
          <w:color w:val="auto"/>
          <w:sz w:val="22"/>
          <w:szCs w:val="22"/>
        </w:rPr>
        <w:tab/>
      </w:r>
      <w:r w:rsidR="00E51139" w:rsidRPr="00397717">
        <w:rPr>
          <w:b/>
          <w:color w:val="auto"/>
          <w:sz w:val="22"/>
          <w:szCs w:val="22"/>
        </w:rPr>
        <w:t>Dedicated Schools Grant (DSG)</w:t>
      </w:r>
    </w:p>
    <w:p w:rsidR="00E51139" w:rsidRPr="00397717" w:rsidRDefault="00E51139" w:rsidP="00845AAC">
      <w:pPr>
        <w:pStyle w:val="BodyTextIndent"/>
        <w:tabs>
          <w:tab w:val="left" w:pos="567"/>
        </w:tabs>
        <w:ind w:left="567"/>
        <w:rPr>
          <w:rFonts w:cs="Arial"/>
          <w:color w:val="auto"/>
          <w:sz w:val="20"/>
          <w:szCs w:val="20"/>
          <w:lang w:eastAsia="en-GB"/>
        </w:rPr>
      </w:pPr>
      <w:r w:rsidRPr="00397717">
        <w:rPr>
          <w:rFonts w:cs="Arial"/>
          <w:color w:val="auto"/>
          <w:sz w:val="20"/>
          <w:szCs w:val="20"/>
          <w:lang w:eastAsia="en-GB"/>
        </w:rPr>
        <w:t xml:space="preserve">The Council’s expenditure on schools is primarily funded by grant monies provided by the Department for Education, the Dedicated Schools Grant (DSG). An element of the DSG is recouped by the Department to fund academy schools in the Council’s area. </w:t>
      </w:r>
    </w:p>
    <w:p w:rsidR="00E51139" w:rsidRPr="00397717" w:rsidRDefault="00E51139" w:rsidP="00845AAC">
      <w:pPr>
        <w:pStyle w:val="BodyTextIndent"/>
        <w:tabs>
          <w:tab w:val="left" w:pos="567"/>
        </w:tabs>
        <w:ind w:left="567"/>
        <w:rPr>
          <w:rFonts w:cs="Arial"/>
          <w:color w:val="auto"/>
          <w:sz w:val="20"/>
          <w:szCs w:val="20"/>
          <w:lang w:eastAsia="en-GB"/>
        </w:rPr>
      </w:pPr>
      <w:r w:rsidRPr="00397717">
        <w:rPr>
          <w:rFonts w:cs="Arial"/>
          <w:color w:val="auto"/>
          <w:sz w:val="20"/>
          <w:szCs w:val="20"/>
          <w:lang w:eastAsia="en-GB"/>
        </w:rPr>
        <w:t xml:space="preserve">DSG is </w:t>
      </w:r>
      <w:r w:rsidR="007E33E1" w:rsidRPr="00397717">
        <w:rPr>
          <w:rFonts w:cs="Arial"/>
          <w:color w:val="auto"/>
          <w:sz w:val="20"/>
          <w:szCs w:val="20"/>
          <w:lang w:eastAsia="en-GB"/>
        </w:rPr>
        <w:t>ring fenced</w:t>
      </w:r>
      <w:r w:rsidRPr="00397717">
        <w:rPr>
          <w:rFonts w:cs="Arial"/>
          <w:color w:val="auto"/>
          <w:sz w:val="20"/>
          <w:szCs w:val="20"/>
          <w:lang w:eastAsia="en-GB"/>
        </w:rPr>
        <w:t xml:space="preserve"> and can only be applied to meet expenditure properly included in the Schools’ budget, as defined in the School Finance (England) Regulations 2011. The Schools’ Budget includes elements for a range of educational services provided on a Council wide basis and for the individual Schools’ Budget, which is divided into a budget share f</w:t>
      </w:r>
      <w:r w:rsidR="00BF3E7D" w:rsidRPr="00397717">
        <w:rPr>
          <w:rFonts w:cs="Arial"/>
          <w:color w:val="auto"/>
          <w:sz w:val="20"/>
          <w:szCs w:val="20"/>
          <w:lang w:eastAsia="en-GB"/>
        </w:rPr>
        <w:t>o</w:t>
      </w:r>
      <w:r w:rsidRPr="00397717">
        <w:rPr>
          <w:rFonts w:cs="Arial"/>
          <w:color w:val="auto"/>
          <w:sz w:val="20"/>
          <w:szCs w:val="20"/>
          <w:lang w:eastAsia="en-GB"/>
        </w:rPr>
        <w:t>r each maintained school.</w:t>
      </w:r>
    </w:p>
    <w:p w:rsidR="000429CB" w:rsidRPr="001E609C" w:rsidRDefault="00E51139" w:rsidP="00845AAC">
      <w:pPr>
        <w:pStyle w:val="BodyTextIndent"/>
        <w:tabs>
          <w:tab w:val="left" w:pos="567"/>
        </w:tabs>
        <w:ind w:left="567"/>
        <w:rPr>
          <w:rFonts w:cs="Arial"/>
          <w:color w:val="auto"/>
          <w:sz w:val="20"/>
          <w:szCs w:val="20"/>
          <w:lang w:eastAsia="en-GB"/>
        </w:rPr>
      </w:pPr>
      <w:r w:rsidRPr="001E609C">
        <w:rPr>
          <w:rFonts w:cs="Arial"/>
          <w:color w:val="auto"/>
          <w:sz w:val="20"/>
          <w:szCs w:val="20"/>
          <w:lang w:eastAsia="en-GB"/>
        </w:rPr>
        <w:t xml:space="preserve">Details of the deployment of DSG receivable for </w:t>
      </w:r>
      <w:r w:rsidR="00945F4F" w:rsidRPr="001E609C">
        <w:rPr>
          <w:rFonts w:cs="Arial"/>
          <w:color w:val="auto"/>
          <w:sz w:val="20"/>
          <w:szCs w:val="20"/>
          <w:lang w:eastAsia="en-GB"/>
        </w:rPr>
        <w:t>201</w:t>
      </w:r>
      <w:r w:rsidR="001E609C" w:rsidRPr="001E609C">
        <w:rPr>
          <w:rFonts w:cs="Arial"/>
          <w:color w:val="auto"/>
          <w:sz w:val="20"/>
          <w:szCs w:val="20"/>
          <w:lang w:eastAsia="en-GB"/>
        </w:rPr>
        <w:t>5</w:t>
      </w:r>
      <w:r w:rsidR="00945F4F" w:rsidRPr="001E609C">
        <w:rPr>
          <w:rFonts w:cs="Arial"/>
          <w:color w:val="auto"/>
          <w:sz w:val="20"/>
          <w:szCs w:val="20"/>
          <w:lang w:eastAsia="en-GB"/>
        </w:rPr>
        <w:t>/1</w:t>
      </w:r>
      <w:r w:rsidR="001E609C" w:rsidRPr="001E609C">
        <w:rPr>
          <w:rFonts w:cs="Arial"/>
          <w:color w:val="auto"/>
          <w:sz w:val="20"/>
          <w:szCs w:val="20"/>
          <w:lang w:eastAsia="en-GB"/>
        </w:rPr>
        <w:t>6</w:t>
      </w:r>
      <w:r w:rsidRPr="001E609C">
        <w:rPr>
          <w:rFonts w:cs="Arial"/>
          <w:color w:val="auto"/>
          <w:sz w:val="20"/>
          <w:szCs w:val="20"/>
          <w:lang w:eastAsia="en-GB"/>
        </w:rPr>
        <w:t xml:space="preserve"> are as follows:</w:t>
      </w:r>
    </w:p>
    <w:p w:rsidR="00845AAC" w:rsidRPr="00D42E0B" w:rsidRDefault="00845AAC" w:rsidP="00845AAC">
      <w:pPr>
        <w:pStyle w:val="BodyTextIndent"/>
        <w:tabs>
          <w:tab w:val="left" w:pos="567"/>
        </w:tabs>
        <w:ind w:left="567"/>
        <w:rPr>
          <w:rFonts w:cs="Arial"/>
          <w:color w:val="548DD4" w:themeColor="text2" w:themeTint="99"/>
          <w:sz w:val="20"/>
          <w:szCs w:val="20"/>
          <w:lang w:eastAsia="en-GB"/>
        </w:rPr>
      </w:pPr>
    </w:p>
    <w:tbl>
      <w:tblPr>
        <w:tblStyle w:val="ListTable3-Accent51"/>
        <w:tblW w:w="8931" w:type="dxa"/>
        <w:tblBorders>
          <w:insideH w:val="single" w:sz="4" w:space="0" w:color="4BACC6" w:themeColor="accent5"/>
          <w:insideV w:val="single" w:sz="4" w:space="0" w:color="4BACC6" w:themeColor="accent5"/>
        </w:tblBorders>
        <w:tblLook w:val="01E0"/>
      </w:tblPr>
      <w:tblGrid>
        <w:gridCol w:w="4678"/>
        <w:gridCol w:w="1559"/>
        <w:gridCol w:w="1560"/>
        <w:gridCol w:w="1134"/>
      </w:tblGrid>
      <w:tr w:rsidR="000429CB" w:rsidRPr="00065C6D" w:rsidTr="00320187">
        <w:trPr>
          <w:cnfStyle w:val="100000000000"/>
        </w:trPr>
        <w:tc>
          <w:tcPr>
            <w:cnfStyle w:val="001000000100"/>
            <w:tcW w:w="8931" w:type="dxa"/>
            <w:gridSpan w:val="4"/>
            <w:tcBorders>
              <w:bottom w:val="none" w:sz="0" w:space="0" w:color="auto"/>
              <w:right w:val="none" w:sz="0" w:space="0" w:color="auto"/>
            </w:tcBorders>
          </w:tcPr>
          <w:p w:rsidR="000429CB" w:rsidRPr="00065C6D" w:rsidRDefault="000429CB" w:rsidP="001E609C">
            <w:pPr>
              <w:pStyle w:val="exampleend0"/>
              <w:pBdr>
                <w:bottom w:val="none" w:sz="0" w:space="0" w:color="auto"/>
              </w:pBdr>
              <w:jc w:val="center"/>
              <w:rPr>
                <w:rFonts w:ascii="Arial" w:hAnsi="Arial"/>
                <w:color w:val="auto"/>
                <w:sz w:val="20"/>
                <w:szCs w:val="20"/>
              </w:rPr>
            </w:pPr>
            <w:r w:rsidRPr="00065C6D">
              <w:rPr>
                <w:rFonts w:ascii="Arial" w:hAnsi="Arial"/>
                <w:color w:val="auto"/>
                <w:sz w:val="20"/>
                <w:szCs w:val="20"/>
              </w:rPr>
              <w:t>Schools Budget Funded by Dedicated Schools Grant 2015</w:t>
            </w:r>
            <w:r w:rsidR="001E609C" w:rsidRPr="00065C6D">
              <w:rPr>
                <w:rFonts w:ascii="Arial" w:hAnsi="Arial"/>
                <w:color w:val="auto"/>
                <w:sz w:val="20"/>
                <w:szCs w:val="20"/>
              </w:rPr>
              <w:t>/16</w:t>
            </w:r>
          </w:p>
        </w:tc>
      </w:tr>
      <w:tr w:rsidR="000429CB" w:rsidRPr="00065C6D" w:rsidTr="00320187">
        <w:trPr>
          <w:cnfStyle w:val="000000100000"/>
          <w:trHeight w:val="641"/>
        </w:trPr>
        <w:tc>
          <w:tcPr>
            <w:cnfStyle w:val="001000000000"/>
            <w:tcW w:w="4678" w:type="dxa"/>
            <w:shd w:val="clear" w:color="auto" w:fill="4BACC6" w:themeFill="accent5"/>
          </w:tcPr>
          <w:p w:rsidR="000429CB" w:rsidRPr="00065C6D" w:rsidRDefault="000429CB" w:rsidP="006B437A">
            <w:pPr>
              <w:pStyle w:val="exampleend0"/>
              <w:pBdr>
                <w:bottom w:val="none" w:sz="0" w:space="0" w:color="auto"/>
              </w:pBdr>
              <w:jc w:val="center"/>
              <w:rPr>
                <w:rFonts w:ascii="Arial" w:hAnsi="Arial"/>
                <w:color w:val="auto"/>
                <w:sz w:val="20"/>
                <w:szCs w:val="20"/>
              </w:rPr>
            </w:pPr>
          </w:p>
        </w:tc>
        <w:tc>
          <w:tcPr>
            <w:cnfStyle w:val="000010000000"/>
            <w:tcW w:w="1559" w:type="dxa"/>
            <w:shd w:val="clear" w:color="auto" w:fill="4BACC6" w:themeFill="accent5"/>
          </w:tcPr>
          <w:p w:rsidR="006B437A" w:rsidRPr="00065C6D" w:rsidRDefault="000429CB" w:rsidP="006B437A">
            <w:pPr>
              <w:spacing w:before="100" w:after="100" w:line="276" w:lineRule="auto"/>
              <w:jc w:val="center"/>
              <w:rPr>
                <w:color w:val="auto"/>
                <w:sz w:val="18"/>
                <w:szCs w:val="18"/>
              </w:rPr>
            </w:pPr>
            <w:r w:rsidRPr="00065C6D">
              <w:rPr>
                <w:rFonts w:cs="Arial"/>
                <w:color w:val="auto"/>
                <w:sz w:val="18"/>
                <w:szCs w:val="18"/>
              </w:rPr>
              <w:t>Central Expenditure</w:t>
            </w:r>
          </w:p>
        </w:tc>
        <w:tc>
          <w:tcPr>
            <w:tcW w:w="1560" w:type="dxa"/>
            <w:shd w:val="clear" w:color="auto" w:fill="4BACC6" w:themeFill="accent5"/>
          </w:tcPr>
          <w:p w:rsidR="000429CB" w:rsidRPr="00065C6D" w:rsidRDefault="000429CB" w:rsidP="006B437A">
            <w:pPr>
              <w:spacing w:before="100" w:after="100" w:line="276" w:lineRule="auto"/>
              <w:jc w:val="center"/>
              <w:cnfStyle w:val="000000100000"/>
              <w:rPr>
                <w:rFonts w:cs="Arial"/>
                <w:color w:val="auto"/>
                <w:sz w:val="18"/>
                <w:szCs w:val="18"/>
              </w:rPr>
            </w:pPr>
            <w:r w:rsidRPr="00065C6D">
              <w:rPr>
                <w:rFonts w:cs="Arial"/>
                <w:color w:val="auto"/>
                <w:sz w:val="18"/>
                <w:szCs w:val="18"/>
              </w:rPr>
              <w:t>Individual Schools Budget</w:t>
            </w:r>
          </w:p>
        </w:tc>
        <w:tc>
          <w:tcPr>
            <w:cnfStyle w:val="000100000000"/>
            <w:tcW w:w="1134" w:type="dxa"/>
            <w:shd w:val="clear" w:color="auto" w:fill="4BACC6" w:themeFill="accent5"/>
          </w:tcPr>
          <w:p w:rsidR="000429CB" w:rsidRPr="00065C6D" w:rsidRDefault="000429CB" w:rsidP="006B437A">
            <w:pPr>
              <w:spacing w:before="100" w:after="100" w:line="276" w:lineRule="auto"/>
              <w:jc w:val="center"/>
              <w:rPr>
                <w:b w:val="0"/>
                <w:color w:val="auto"/>
                <w:sz w:val="18"/>
                <w:szCs w:val="18"/>
              </w:rPr>
            </w:pPr>
            <w:r w:rsidRPr="00065C6D">
              <w:rPr>
                <w:b w:val="0"/>
                <w:color w:val="auto"/>
                <w:sz w:val="18"/>
                <w:szCs w:val="18"/>
              </w:rPr>
              <w:t>Total</w:t>
            </w:r>
          </w:p>
        </w:tc>
      </w:tr>
      <w:tr w:rsidR="000429CB" w:rsidRPr="00065C6D" w:rsidTr="00320187">
        <w:trPr>
          <w:trHeight w:val="367"/>
        </w:trPr>
        <w:tc>
          <w:tcPr>
            <w:cnfStyle w:val="001000000000"/>
            <w:tcW w:w="4678" w:type="dxa"/>
            <w:shd w:val="clear" w:color="auto" w:fill="4BACC6" w:themeFill="accent5"/>
          </w:tcPr>
          <w:p w:rsidR="000429CB" w:rsidRPr="00065C6D" w:rsidRDefault="000429CB" w:rsidP="000429CB">
            <w:pPr>
              <w:spacing w:before="100" w:after="100"/>
              <w:rPr>
                <w:color w:val="auto"/>
                <w:sz w:val="20"/>
                <w:szCs w:val="20"/>
              </w:rPr>
            </w:pPr>
          </w:p>
        </w:tc>
        <w:tc>
          <w:tcPr>
            <w:cnfStyle w:val="000010000000"/>
            <w:tcW w:w="1559" w:type="dxa"/>
            <w:shd w:val="clear" w:color="auto" w:fill="4BACC6" w:themeFill="accent5"/>
          </w:tcPr>
          <w:p w:rsidR="000429CB" w:rsidRPr="00065C6D" w:rsidRDefault="000429CB" w:rsidP="000429CB">
            <w:pPr>
              <w:spacing w:before="100" w:after="100"/>
              <w:jc w:val="center"/>
              <w:rPr>
                <w:color w:val="auto"/>
                <w:sz w:val="18"/>
                <w:szCs w:val="18"/>
              </w:rPr>
            </w:pPr>
            <w:r w:rsidRPr="00065C6D">
              <w:rPr>
                <w:color w:val="auto"/>
                <w:sz w:val="18"/>
                <w:szCs w:val="18"/>
              </w:rPr>
              <w:t>£m</w:t>
            </w:r>
          </w:p>
        </w:tc>
        <w:tc>
          <w:tcPr>
            <w:tcW w:w="1560" w:type="dxa"/>
            <w:shd w:val="clear" w:color="auto" w:fill="4BACC6" w:themeFill="accent5"/>
          </w:tcPr>
          <w:p w:rsidR="000429CB" w:rsidRPr="00065C6D" w:rsidRDefault="000429CB" w:rsidP="000429CB">
            <w:pPr>
              <w:pStyle w:val="exampleend0"/>
              <w:pBdr>
                <w:bottom w:val="none" w:sz="0" w:space="0" w:color="auto"/>
              </w:pBdr>
              <w:jc w:val="center"/>
              <w:cnfStyle w:val="000000000000"/>
              <w:rPr>
                <w:rFonts w:ascii="Arial" w:hAnsi="Arial"/>
                <w:color w:val="auto"/>
                <w:sz w:val="18"/>
                <w:szCs w:val="18"/>
              </w:rPr>
            </w:pPr>
            <w:r w:rsidRPr="00065C6D">
              <w:rPr>
                <w:rFonts w:ascii="Arial" w:hAnsi="Arial"/>
                <w:color w:val="auto"/>
                <w:sz w:val="18"/>
                <w:szCs w:val="18"/>
              </w:rPr>
              <w:t>£m</w:t>
            </w:r>
          </w:p>
        </w:tc>
        <w:tc>
          <w:tcPr>
            <w:cnfStyle w:val="000100000000"/>
            <w:tcW w:w="1134" w:type="dxa"/>
            <w:shd w:val="clear" w:color="auto" w:fill="4BACC6" w:themeFill="accent5"/>
          </w:tcPr>
          <w:p w:rsidR="000429CB" w:rsidRPr="00065C6D" w:rsidRDefault="000429CB" w:rsidP="000429CB">
            <w:pPr>
              <w:pStyle w:val="exampleend0"/>
              <w:pBdr>
                <w:bottom w:val="none" w:sz="0" w:space="0" w:color="auto"/>
              </w:pBdr>
              <w:jc w:val="center"/>
              <w:rPr>
                <w:rFonts w:ascii="Arial" w:hAnsi="Arial"/>
                <w:b w:val="0"/>
                <w:color w:val="auto"/>
                <w:sz w:val="18"/>
                <w:szCs w:val="18"/>
              </w:rPr>
            </w:pPr>
            <w:r w:rsidRPr="00065C6D">
              <w:rPr>
                <w:rFonts w:ascii="Arial" w:hAnsi="Arial"/>
                <w:b w:val="0"/>
                <w:color w:val="auto"/>
                <w:sz w:val="18"/>
                <w:szCs w:val="18"/>
              </w:rPr>
              <w:t>£m</w:t>
            </w:r>
          </w:p>
        </w:tc>
      </w:tr>
      <w:tr w:rsidR="000429CB" w:rsidRPr="00065C6D" w:rsidTr="00320187">
        <w:trPr>
          <w:cnfStyle w:val="000000100000"/>
          <w:trHeight w:val="491"/>
        </w:trPr>
        <w:tc>
          <w:tcPr>
            <w:cnfStyle w:val="001000000000"/>
            <w:tcW w:w="4678" w:type="dxa"/>
            <w:tcBorders>
              <w:top w:val="none" w:sz="0" w:space="0" w:color="auto"/>
              <w:bottom w:val="none" w:sz="0" w:space="0" w:color="auto"/>
              <w:right w:val="none" w:sz="0" w:space="0" w:color="auto"/>
            </w:tcBorders>
          </w:tcPr>
          <w:p w:rsidR="000429CB" w:rsidRPr="00BD1287" w:rsidRDefault="000429CB" w:rsidP="001E609C">
            <w:pPr>
              <w:spacing w:before="100" w:after="100" w:line="240" w:lineRule="auto"/>
              <w:rPr>
                <w:b w:val="0"/>
                <w:color w:val="auto"/>
                <w:sz w:val="20"/>
                <w:szCs w:val="20"/>
              </w:rPr>
            </w:pPr>
            <w:r w:rsidRPr="00BD1287">
              <w:rPr>
                <w:b w:val="0"/>
                <w:color w:val="auto"/>
                <w:sz w:val="20"/>
                <w:szCs w:val="20"/>
              </w:rPr>
              <w:t>Final DSG for 201</w:t>
            </w:r>
            <w:r w:rsidR="006B437A" w:rsidRPr="00BD1287">
              <w:rPr>
                <w:b w:val="0"/>
                <w:color w:val="auto"/>
                <w:sz w:val="20"/>
                <w:szCs w:val="20"/>
              </w:rPr>
              <w:t>5</w:t>
            </w:r>
            <w:r w:rsidR="001E609C" w:rsidRPr="00BD1287">
              <w:rPr>
                <w:b w:val="0"/>
                <w:color w:val="auto"/>
                <w:sz w:val="20"/>
                <w:szCs w:val="20"/>
              </w:rPr>
              <w:t>/16</w:t>
            </w:r>
            <w:r w:rsidRPr="00BD1287">
              <w:rPr>
                <w:b w:val="0"/>
                <w:color w:val="auto"/>
                <w:sz w:val="20"/>
                <w:szCs w:val="20"/>
              </w:rPr>
              <w:t xml:space="preserve"> before Academy Recoupment</w:t>
            </w:r>
          </w:p>
        </w:tc>
        <w:tc>
          <w:tcPr>
            <w:cnfStyle w:val="000010000000"/>
            <w:tcW w:w="1559" w:type="dxa"/>
            <w:tcBorders>
              <w:top w:val="none" w:sz="0" w:space="0" w:color="auto"/>
              <w:left w:val="none" w:sz="0" w:space="0" w:color="auto"/>
              <w:bottom w:val="none" w:sz="0" w:space="0" w:color="auto"/>
              <w:right w:val="none" w:sz="0" w:space="0" w:color="auto"/>
            </w:tcBorders>
            <w:vAlign w:val="center"/>
          </w:tcPr>
          <w:p w:rsidR="000429CB" w:rsidRPr="00BD1287" w:rsidRDefault="00BD1287" w:rsidP="00CF4D5C">
            <w:pPr>
              <w:spacing w:line="240" w:lineRule="auto"/>
              <w:jc w:val="center"/>
              <w:rPr>
                <w:rFonts w:cs="Arial"/>
                <w:color w:val="auto"/>
                <w:sz w:val="20"/>
                <w:szCs w:val="20"/>
              </w:rPr>
            </w:pPr>
            <w:r w:rsidRPr="00BD1287">
              <w:rPr>
                <w:rFonts w:cs="Arial"/>
                <w:color w:val="auto"/>
                <w:sz w:val="20"/>
                <w:szCs w:val="20"/>
              </w:rPr>
              <w:t>22.1</w:t>
            </w:r>
          </w:p>
        </w:tc>
        <w:tc>
          <w:tcPr>
            <w:tcW w:w="1560" w:type="dxa"/>
            <w:tcBorders>
              <w:top w:val="none" w:sz="0" w:space="0" w:color="auto"/>
              <w:bottom w:val="none" w:sz="0" w:space="0" w:color="auto"/>
            </w:tcBorders>
            <w:vAlign w:val="center"/>
          </w:tcPr>
          <w:p w:rsidR="000429CB" w:rsidRPr="00BD1287" w:rsidRDefault="00BD1287" w:rsidP="00CF4D5C">
            <w:pPr>
              <w:spacing w:line="240" w:lineRule="auto"/>
              <w:jc w:val="center"/>
              <w:cnfStyle w:val="000000100000"/>
              <w:rPr>
                <w:rFonts w:cs="Arial"/>
                <w:color w:val="auto"/>
                <w:sz w:val="20"/>
                <w:szCs w:val="20"/>
              </w:rPr>
            </w:pPr>
            <w:r w:rsidRPr="00BD1287">
              <w:rPr>
                <w:rFonts w:cs="Arial"/>
                <w:color w:val="auto"/>
                <w:sz w:val="20"/>
                <w:szCs w:val="20"/>
              </w:rPr>
              <w:t>69.0</w:t>
            </w:r>
          </w:p>
        </w:tc>
        <w:tc>
          <w:tcPr>
            <w:cnfStyle w:val="000100000000"/>
            <w:tcW w:w="1134" w:type="dxa"/>
            <w:tcBorders>
              <w:top w:val="none" w:sz="0" w:space="0" w:color="auto"/>
              <w:left w:val="none" w:sz="0" w:space="0" w:color="auto"/>
              <w:bottom w:val="none" w:sz="0" w:space="0" w:color="auto"/>
            </w:tcBorders>
            <w:vAlign w:val="center"/>
          </w:tcPr>
          <w:p w:rsidR="000429CB" w:rsidRPr="00BD1287" w:rsidRDefault="00BD1287" w:rsidP="00CF4D5C">
            <w:pPr>
              <w:spacing w:line="240" w:lineRule="auto"/>
              <w:jc w:val="center"/>
              <w:rPr>
                <w:rFonts w:cs="Arial"/>
                <w:b w:val="0"/>
                <w:color w:val="auto"/>
                <w:sz w:val="20"/>
                <w:szCs w:val="20"/>
              </w:rPr>
            </w:pPr>
            <w:r w:rsidRPr="00BD1287">
              <w:rPr>
                <w:rFonts w:cs="Arial"/>
                <w:b w:val="0"/>
                <w:color w:val="auto"/>
                <w:sz w:val="20"/>
                <w:szCs w:val="20"/>
              </w:rPr>
              <w:t>91.1</w:t>
            </w:r>
          </w:p>
        </w:tc>
      </w:tr>
      <w:tr w:rsidR="000429CB" w:rsidRPr="00065C6D" w:rsidTr="00320187">
        <w:trPr>
          <w:trHeight w:val="170"/>
        </w:trPr>
        <w:tc>
          <w:tcPr>
            <w:cnfStyle w:val="001000000000"/>
            <w:tcW w:w="4678" w:type="dxa"/>
            <w:tcBorders>
              <w:right w:val="none" w:sz="0" w:space="0" w:color="auto"/>
            </w:tcBorders>
          </w:tcPr>
          <w:p w:rsidR="000429CB" w:rsidRPr="00BD1287" w:rsidRDefault="00BD1287" w:rsidP="001E609C">
            <w:pPr>
              <w:spacing w:before="100" w:after="100" w:line="240" w:lineRule="auto"/>
              <w:rPr>
                <w:b w:val="0"/>
                <w:color w:val="auto"/>
                <w:sz w:val="20"/>
                <w:szCs w:val="20"/>
              </w:rPr>
            </w:pPr>
            <w:r w:rsidRPr="00BD1287">
              <w:rPr>
                <w:b w:val="0"/>
                <w:color w:val="auto"/>
                <w:sz w:val="20"/>
                <w:szCs w:val="20"/>
              </w:rPr>
              <w:t xml:space="preserve">Less </w:t>
            </w:r>
            <w:r w:rsidR="000429CB" w:rsidRPr="00BD1287">
              <w:rPr>
                <w:b w:val="0"/>
                <w:color w:val="auto"/>
                <w:sz w:val="20"/>
                <w:szCs w:val="20"/>
              </w:rPr>
              <w:t>Academy figure recouped for 201</w:t>
            </w:r>
            <w:r w:rsidR="001E609C" w:rsidRPr="00BD1287">
              <w:rPr>
                <w:b w:val="0"/>
                <w:color w:val="auto"/>
                <w:sz w:val="20"/>
                <w:szCs w:val="20"/>
              </w:rPr>
              <w:t>5</w:t>
            </w:r>
            <w:r w:rsidR="000429CB" w:rsidRPr="00BD1287">
              <w:rPr>
                <w:b w:val="0"/>
                <w:color w:val="auto"/>
                <w:sz w:val="20"/>
                <w:szCs w:val="20"/>
              </w:rPr>
              <w:t>/</w:t>
            </w:r>
            <w:r w:rsidR="006B437A" w:rsidRPr="00BD1287">
              <w:rPr>
                <w:b w:val="0"/>
                <w:color w:val="auto"/>
                <w:sz w:val="20"/>
                <w:szCs w:val="20"/>
              </w:rPr>
              <w:t>1</w:t>
            </w:r>
            <w:r w:rsidR="001E609C" w:rsidRPr="00BD1287">
              <w:rPr>
                <w:b w:val="0"/>
                <w:color w:val="auto"/>
                <w:sz w:val="20"/>
                <w:szCs w:val="20"/>
              </w:rPr>
              <w:t>6</w:t>
            </w:r>
          </w:p>
        </w:tc>
        <w:tc>
          <w:tcPr>
            <w:cnfStyle w:val="000010000000"/>
            <w:tcW w:w="1559" w:type="dxa"/>
            <w:tcBorders>
              <w:left w:val="none" w:sz="0" w:space="0" w:color="auto"/>
              <w:right w:val="none" w:sz="0" w:space="0" w:color="auto"/>
            </w:tcBorders>
            <w:vAlign w:val="center"/>
          </w:tcPr>
          <w:p w:rsidR="000429CB" w:rsidRPr="00BD1287" w:rsidRDefault="00BD1287" w:rsidP="00CF4D5C">
            <w:pPr>
              <w:spacing w:line="240" w:lineRule="auto"/>
              <w:jc w:val="center"/>
              <w:rPr>
                <w:rFonts w:cs="Arial"/>
                <w:color w:val="auto"/>
                <w:sz w:val="20"/>
                <w:szCs w:val="20"/>
              </w:rPr>
            </w:pPr>
            <w:r w:rsidRPr="00BD1287">
              <w:rPr>
                <w:rFonts w:cs="Arial"/>
                <w:color w:val="auto"/>
                <w:sz w:val="20"/>
                <w:szCs w:val="20"/>
              </w:rPr>
              <w:t>(2.8)</w:t>
            </w:r>
          </w:p>
        </w:tc>
        <w:tc>
          <w:tcPr>
            <w:tcW w:w="1560" w:type="dxa"/>
            <w:vAlign w:val="center"/>
          </w:tcPr>
          <w:p w:rsidR="000429CB" w:rsidRPr="00BD1287" w:rsidRDefault="00BD1287" w:rsidP="00CF4D5C">
            <w:pPr>
              <w:spacing w:line="240" w:lineRule="auto"/>
              <w:jc w:val="center"/>
              <w:cnfStyle w:val="000000000000"/>
              <w:rPr>
                <w:rFonts w:cs="Arial"/>
                <w:color w:val="auto"/>
                <w:sz w:val="20"/>
                <w:szCs w:val="20"/>
              </w:rPr>
            </w:pPr>
            <w:r w:rsidRPr="00BD1287">
              <w:rPr>
                <w:rFonts w:cs="Arial"/>
                <w:color w:val="auto"/>
                <w:sz w:val="20"/>
                <w:szCs w:val="20"/>
              </w:rPr>
              <w:t>(49.0)</w:t>
            </w:r>
          </w:p>
        </w:tc>
        <w:tc>
          <w:tcPr>
            <w:cnfStyle w:val="000100000000"/>
            <w:tcW w:w="1134" w:type="dxa"/>
            <w:tcBorders>
              <w:left w:val="none" w:sz="0" w:space="0" w:color="auto"/>
            </w:tcBorders>
            <w:vAlign w:val="center"/>
          </w:tcPr>
          <w:p w:rsidR="000429CB" w:rsidRPr="00BD1287" w:rsidRDefault="00BD1287" w:rsidP="00CF4D5C">
            <w:pPr>
              <w:spacing w:line="240" w:lineRule="auto"/>
              <w:jc w:val="center"/>
              <w:rPr>
                <w:rFonts w:cs="Arial"/>
                <w:b w:val="0"/>
                <w:color w:val="auto"/>
                <w:sz w:val="20"/>
                <w:szCs w:val="20"/>
              </w:rPr>
            </w:pPr>
            <w:r w:rsidRPr="00BD1287">
              <w:rPr>
                <w:rFonts w:cs="Arial"/>
                <w:b w:val="0"/>
                <w:color w:val="auto"/>
                <w:sz w:val="20"/>
                <w:szCs w:val="20"/>
              </w:rPr>
              <w:t>(51.8)</w:t>
            </w:r>
          </w:p>
        </w:tc>
      </w:tr>
      <w:tr w:rsidR="000429CB" w:rsidRPr="00065C6D" w:rsidTr="00320187">
        <w:trPr>
          <w:cnfStyle w:val="000000100000"/>
          <w:trHeight w:val="170"/>
        </w:trPr>
        <w:tc>
          <w:tcPr>
            <w:cnfStyle w:val="001000000000"/>
            <w:tcW w:w="4678" w:type="dxa"/>
            <w:tcBorders>
              <w:top w:val="none" w:sz="0" w:space="0" w:color="auto"/>
              <w:bottom w:val="none" w:sz="0" w:space="0" w:color="auto"/>
              <w:right w:val="none" w:sz="0" w:space="0" w:color="auto"/>
            </w:tcBorders>
          </w:tcPr>
          <w:p w:rsidR="000429CB" w:rsidRPr="00BD1287" w:rsidRDefault="000429CB" w:rsidP="001E609C">
            <w:pPr>
              <w:spacing w:before="100" w:after="100" w:line="240" w:lineRule="auto"/>
              <w:rPr>
                <w:color w:val="auto"/>
                <w:sz w:val="20"/>
                <w:szCs w:val="20"/>
              </w:rPr>
            </w:pPr>
            <w:r w:rsidRPr="00BD1287">
              <w:rPr>
                <w:color w:val="auto"/>
                <w:sz w:val="20"/>
                <w:szCs w:val="20"/>
              </w:rPr>
              <w:t>Total DSG after Academy Recoupment for 201</w:t>
            </w:r>
            <w:r w:rsidR="001E609C" w:rsidRPr="00BD1287">
              <w:rPr>
                <w:color w:val="auto"/>
                <w:sz w:val="20"/>
                <w:szCs w:val="20"/>
              </w:rPr>
              <w:t>5</w:t>
            </w:r>
            <w:r w:rsidRPr="00BD1287">
              <w:rPr>
                <w:color w:val="auto"/>
                <w:sz w:val="20"/>
                <w:szCs w:val="20"/>
              </w:rPr>
              <w:t>/1</w:t>
            </w:r>
            <w:r w:rsidR="001E609C" w:rsidRPr="00BD1287">
              <w:rPr>
                <w:color w:val="auto"/>
                <w:sz w:val="20"/>
                <w:szCs w:val="20"/>
              </w:rPr>
              <w:t>6</w:t>
            </w:r>
            <w:r w:rsidR="00FD5F0C" w:rsidRPr="00BD1287">
              <w:rPr>
                <w:color w:val="auto"/>
                <w:sz w:val="20"/>
                <w:szCs w:val="20"/>
              </w:rPr>
              <w:t xml:space="preserve"> *</w:t>
            </w:r>
          </w:p>
        </w:tc>
        <w:tc>
          <w:tcPr>
            <w:cnfStyle w:val="000010000000"/>
            <w:tcW w:w="1559" w:type="dxa"/>
            <w:tcBorders>
              <w:top w:val="none" w:sz="0" w:space="0" w:color="auto"/>
              <w:left w:val="none" w:sz="0" w:space="0" w:color="auto"/>
              <w:bottom w:val="none" w:sz="0" w:space="0" w:color="auto"/>
              <w:right w:val="none" w:sz="0" w:space="0" w:color="auto"/>
            </w:tcBorders>
            <w:vAlign w:val="center"/>
          </w:tcPr>
          <w:p w:rsidR="000429CB" w:rsidRPr="00BD1287" w:rsidRDefault="00BD1287" w:rsidP="00CF4D5C">
            <w:pPr>
              <w:spacing w:line="240" w:lineRule="auto"/>
              <w:jc w:val="center"/>
              <w:rPr>
                <w:rFonts w:cs="Arial"/>
                <w:b/>
                <w:color w:val="auto"/>
                <w:sz w:val="20"/>
                <w:szCs w:val="20"/>
              </w:rPr>
            </w:pPr>
            <w:r w:rsidRPr="00BD1287">
              <w:rPr>
                <w:rFonts w:cs="Arial"/>
                <w:b/>
                <w:color w:val="auto"/>
                <w:sz w:val="20"/>
                <w:szCs w:val="20"/>
              </w:rPr>
              <w:t>19.3</w:t>
            </w:r>
          </w:p>
        </w:tc>
        <w:tc>
          <w:tcPr>
            <w:tcW w:w="1560" w:type="dxa"/>
            <w:tcBorders>
              <w:top w:val="none" w:sz="0" w:space="0" w:color="auto"/>
              <w:bottom w:val="none" w:sz="0" w:space="0" w:color="auto"/>
            </w:tcBorders>
            <w:vAlign w:val="center"/>
          </w:tcPr>
          <w:p w:rsidR="000429CB" w:rsidRPr="00BD1287" w:rsidRDefault="00BD1287" w:rsidP="00CF4D5C">
            <w:pPr>
              <w:spacing w:line="240" w:lineRule="auto"/>
              <w:jc w:val="center"/>
              <w:cnfStyle w:val="000000100000"/>
              <w:rPr>
                <w:rFonts w:cs="Arial"/>
                <w:b/>
                <w:color w:val="auto"/>
                <w:sz w:val="20"/>
                <w:szCs w:val="20"/>
              </w:rPr>
            </w:pPr>
            <w:r w:rsidRPr="00BD1287">
              <w:rPr>
                <w:rFonts w:cs="Arial"/>
                <w:b/>
                <w:color w:val="auto"/>
                <w:sz w:val="20"/>
                <w:szCs w:val="20"/>
              </w:rPr>
              <w:t>20.0</w:t>
            </w:r>
          </w:p>
        </w:tc>
        <w:tc>
          <w:tcPr>
            <w:cnfStyle w:val="000100000000"/>
            <w:tcW w:w="1134" w:type="dxa"/>
            <w:tcBorders>
              <w:top w:val="none" w:sz="0" w:space="0" w:color="auto"/>
              <w:left w:val="none" w:sz="0" w:space="0" w:color="auto"/>
              <w:bottom w:val="none" w:sz="0" w:space="0" w:color="auto"/>
            </w:tcBorders>
            <w:vAlign w:val="center"/>
          </w:tcPr>
          <w:p w:rsidR="000429CB" w:rsidRPr="00BD1287" w:rsidRDefault="00BD1287" w:rsidP="00CF4D5C">
            <w:pPr>
              <w:spacing w:line="240" w:lineRule="auto"/>
              <w:jc w:val="center"/>
              <w:rPr>
                <w:rFonts w:cs="Arial"/>
                <w:color w:val="auto"/>
                <w:sz w:val="20"/>
                <w:szCs w:val="20"/>
              </w:rPr>
            </w:pPr>
            <w:r w:rsidRPr="00BD1287">
              <w:rPr>
                <w:rFonts w:cs="Arial"/>
                <w:color w:val="auto"/>
                <w:sz w:val="20"/>
                <w:szCs w:val="20"/>
              </w:rPr>
              <w:t>39.3</w:t>
            </w:r>
          </w:p>
        </w:tc>
      </w:tr>
      <w:tr w:rsidR="00065C6D" w:rsidRPr="00065C6D" w:rsidTr="00320187">
        <w:trPr>
          <w:trHeight w:val="170"/>
        </w:trPr>
        <w:tc>
          <w:tcPr>
            <w:cnfStyle w:val="001000000000"/>
            <w:tcW w:w="4678" w:type="dxa"/>
            <w:tcBorders>
              <w:right w:val="none" w:sz="0" w:space="0" w:color="auto"/>
            </w:tcBorders>
          </w:tcPr>
          <w:p w:rsidR="00065C6D" w:rsidRPr="00BD1287" w:rsidRDefault="00065C6D" w:rsidP="001E609C">
            <w:pPr>
              <w:spacing w:before="100" w:after="100" w:line="240" w:lineRule="auto"/>
              <w:rPr>
                <w:b w:val="0"/>
                <w:color w:val="auto"/>
                <w:sz w:val="20"/>
                <w:szCs w:val="20"/>
              </w:rPr>
            </w:pPr>
            <w:r w:rsidRPr="00BD1287">
              <w:rPr>
                <w:b w:val="0"/>
                <w:color w:val="auto"/>
                <w:sz w:val="20"/>
                <w:szCs w:val="20"/>
              </w:rPr>
              <w:t>Bought Forward from 2014/15</w:t>
            </w:r>
          </w:p>
        </w:tc>
        <w:tc>
          <w:tcPr>
            <w:cnfStyle w:val="000010000000"/>
            <w:tcW w:w="1559" w:type="dxa"/>
            <w:tcBorders>
              <w:left w:val="none" w:sz="0" w:space="0" w:color="auto"/>
              <w:right w:val="none" w:sz="0" w:space="0" w:color="auto"/>
            </w:tcBorders>
            <w:vAlign w:val="center"/>
          </w:tcPr>
          <w:p w:rsidR="00065C6D" w:rsidRPr="00BD1287" w:rsidRDefault="00065C6D" w:rsidP="00CF4D5C">
            <w:pPr>
              <w:spacing w:line="240" w:lineRule="auto"/>
              <w:jc w:val="center"/>
              <w:rPr>
                <w:rFonts w:cs="Arial"/>
                <w:color w:val="auto"/>
                <w:sz w:val="20"/>
                <w:szCs w:val="20"/>
              </w:rPr>
            </w:pPr>
            <w:r w:rsidRPr="00BD1287">
              <w:rPr>
                <w:rFonts w:cs="Arial"/>
                <w:color w:val="auto"/>
                <w:sz w:val="20"/>
                <w:szCs w:val="20"/>
              </w:rPr>
              <w:t>0.2</w:t>
            </w:r>
          </w:p>
        </w:tc>
        <w:tc>
          <w:tcPr>
            <w:tcW w:w="1560" w:type="dxa"/>
            <w:vAlign w:val="center"/>
          </w:tcPr>
          <w:p w:rsidR="00065C6D" w:rsidRPr="00BD1287" w:rsidRDefault="00065C6D" w:rsidP="00CF4D5C">
            <w:pPr>
              <w:spacing w:line="240" w:lineRule="auto"/>
              <w:jc w:val="center"/>
              <w:cnfStyle w:val="000000000000"/>
              <w:rPr>
                <w:rFonts w:cs="Arial"/>
                <w:color w:val="auto"/>
                <w:sz w:val="20"/>
                <w:szCs w:val="20"/>
              </w:rPr>
            </w:pPr>
            <w:r w:rsidRPr="00BD1287">
              <w:rPr>
                <w:rFonts w:cs="Arial"/>
                <w:color w:val="auto"/>
                <w:sz w:val="20"/>
                <w:szCs w:val="20"/>
              </w:rPr>
              <w:t>0</w:t>
            </w:r>
          </w:p>
        </w:tc>
        <w:tc>
          <w:tcPr>
            <w:cnfStyle w:val="000100000000"/>
            <w:tcW w:w="1134" w:type="dxa"/>
            <w:tcBorders>
              <w:left w:val="none" w:sz="0" w:space="0" w:color="auto"/>
            </w:tcBorders>
            <w:vAlign w:val="center"/>
          </w:tcPr>
          <w:p w:rsidR="00065C6D" w:rsidRPr="00BD1287" w:rsidRDefault="00065C6D" w:rsidP="00CF4D5C">
            <w:pPr>
              <w:spacing w:line="240" w:lineRule="auto"/>
              <w:jc w:val="center"/>
              <w:rPr>
                <w:rFonts w:cs="Arial"/>
                <w:b w:val="0"/>
                <w:color w:val="auto"/>
                <w:sz w:val="20"/>
                <w:szCs w:val="20"/>
              </w:rPr>
            </w:pPr>
            <w:r w:rsidRPr="00BD1287">
              <w:rPr>
                <w:rFonts w:cs="Arial"/>
                <w:b w:val="0"/>
                <w:color w:val="auto"/>
                <w:sz w:val="20"/>
                <w:szCs w:val="20"/>
              </w:rPr>
              <w:t>0.2</w:t>
            </w:r>
          </w:p>
        </w:tc>
      </w:tr>
      <w:tr w:rsidR="00065C6D" w:rsidRPr="00065C6D" w:rsidTr="00320187">
        <w:trPr>
          <w:cnfStyle w:val="000000100000"/>
          <w:trHeight w:val="170"/>
        </w:trPr>
        <w:tc>
          <w:tcPr>
            <w:cnfStyle w:val="001000000000"/>
            <w:tcW w:w="4678" w:type="dxa"/>
            <w:tcBorders>
              <w:top w:val="none" w:sz="0" w:space="0" w:color="auto"/>
              <w:bottom w:val="none" w:sz="0" w:space="0" w:color="auto"/>
              <w:right w:val="none" w:sz="0" w:space="0" w:color="auto"/>
            </w:tcBorders>
          </w:tcPr>
          <w:p w:rsidR="00065C6D" w:rsidRPr="00BD1287" w:rsidRDefault="00065C6D" w:rsidP="001E609C">
            <w:pPr>
              <w:spacing w:before="100" w:after="100" w:line="240" w:lineRule="auto"/>
              <w:rPr>
                <w:b w:val="0"/>
                <w:color w:val="auto"/>
                <w:sz w:val="20"/>
                <w:szCs w:val="20"/>
              </w:rPr>
            </w:pPr>
            <w:r w:rsidRPr="00BD1287">
              <w:rPr>
                <w:b w:val="0"/>
                <w:color w:val="auto"/>
                <w:sz w:val="20"/>
                <w:szCs w:val="20"/>
              </w:rPr>
              <w:t>Agreed initial budgeted distribution in 2015/16</w:t>
            </w:r>
          </w:p>
        </w:tc>
        <w:tc>
          <w:tcPr>
            <w:cnfStyle w:val="000010000000"/>
            <w:tcW w:w="1559" w:type="dxa"/>
            <w:tcBorders>
              <w:top w:val="none" w:sz="0" w:space="0" w:color="auto"/>
              <w:left w:val="none" w:sz="0" w:space="0" w:color="auto"/>
              <w:bottom w:val="none" w:sz="0" w:space="0" w:color="auto"/>
              <w:right w:val="none" w:sz="0" w:space="0" w:color="auto"/>
            </w:tcBorders>
            <w:vAlign w:val="center"/>
          </w:tcPr>
          <w:p w:rsidR="00065C6D" w:rsidRPr="00BD1287" w:rsidRDefault="00BD1287" w:rsidP="00CF4D5C">
            <w:pPr>
              <w:spacing w:line="240" w:lineRule="auto"/>
              <w:jc w:val="center"/>
              <w:rPr>
                <w:rFonts w:cs="Arial"/>
                <w:color w:val="auto"/>
                <w:sz w:val="20"/>
                <w:szCs w:val="20"/>
              </w:rPr>
            </w:pPr>
            <w:r w:rsidRPr="00BD1287">
              <w:rPr>
                <w:rFonts w:cs="Arial"/>
                <w:color w:val="auto"/>
                <w:sz w:val="20"/>
                <w:szCs w:val="20"/>
              </w:rPr>
              <w:t>19.5</w:t>
            </w:r>
          </w:p>
        </w:tc>
        <w:tc>
          <w:tcPr>
            <w:tcW w:w="1560" w:type="dxa"/>
            <w:tcBorders>
              <w:top w:val="none" w:sz="0" w:space="0" w:color="auto"/>
              <w:bottom w:val="none" w:sz="0" w:space="0" w:color="auto"/>
            </w:tcBorders>
            <w:vAlign w:val="center"/>
          </w:tcPr>
          <w:p w:rsidR="00065C6D" w:rsidRPr="00BD1287" w:rsidRDefault="00BD1287" w:rsidP="00CF4D5C">
            <w:pPr>
              <w:spacing w:line="240" w:lineRule="auto"/>
              <w:jc w:val="center"/>
              <w:cnfStyle w:val="000000100000"/>
              <w:rPr>
                <w:rFonts w:cs="Arial"/>
                <w:color w:val="auto"/>
                <w:sz w:val="20"/>
                <w:szCs w:val="20"/>
              </w:rPr>
            </w:pPr>
            <w:r w:rsidRPr="00BD1287">
              <w:rPr>
                <w:rFonts w:cs="Arial"/>
                <w:color w:val="auto"/>
                <w:sz w:val="20"/>
                <w:szCs w:val="20"/>
              </w:rPr>
              <w:t>20.0</w:t>
            </w:r>
          </w:p>
        </w:tc>
        <w:tc>
          <w:tcPr>
            <w:cnfStyle w:val="000100000000"/>
            <w:tcW w:w="1134" w:type="dxa"/>
            <w:tcBorders>
              <w:top w:val="none" w:sz="0" w:space="0" w:color="auto"/>
              <w:left w:val="none" w:sz="0" w:space="0" w:color="auto"/>
              <w:bottom w:val="none" w:sz="0" w:space="0" w:color="auto"/>
            </w:tcBorders>
            <w:vAlign w:val="center"/>
          </w:tcPr>
          <w:p w:rsidR="00065C6D" w:rsidRPr="00BD1287" w:rsidRDefault="00BD1287" w:rsidP="00CF4D5C">
            <w:pPr>
              <w:spacing w:line="240" w:lineRule="auto"/>
              <w:jc w:val="center"/>
              <w:rPr>
                <w:rFonts w:cs="Arial"/>
                <w:b w:val="0"/>
                <w:color w:val="auto"/>
                <w:sz w:val="20"/>
                <w:szCs w:val="20"/>
              </w:rPr>
            </w:pPr>
            <w:r w:rsidRPr="00BD1287">
              <w:rPr>
                <w:rFonts w:cs="Arial"/>
                <w:b w:val="0"/>
                <w:color w:val="auto"/>
                <w:sz w:val="20"/>
                <w:szCs w:val="20"/>
              </w:rPr>
              <w:t>39.5</w:t>
            </w:r>
          </w:p>
        </w:tc>
      </w:tr>
      <w:tr w:rsidR="00065C6D" w:rsidRPr="00065C6D" w:rsidTr="00320187">
        <w:trPr>
          <w:trHeight w:val="170"/>
        </w:trPr>
        <w:tc>
          <w:tcPr>
            <w:cnfStyle w:val="001000000000"/>
            <w:tcW w:w="4678" w:type="dxa"/>
            <w:tcBorders>
              <w:right w:val="none" w:sz="0" w:space="0" w:color="auto"/>
            </w:tcBorders>
          </w:tcPr>
          <w:p w:rsidR="00065C6D" w:rsidRPr="00BD1287" w:rsidRDefault="00065C6D" w:rsidP="001E609C">
            <w:pPr>
              <w:spacing w:before="100" w:after="100" w:line="240" w:lineRule="auto"/>
              <w:rPr>
                <w:b w:val="0"/>
                <w:color w:val="auto"/>
                <w:sz w:val="20"/>
                <w:szCs w:val="20"/>
              </w:rPr>
            </w:pPr>
            <w:r w:rsidRPr="00BD1287">
              <w:rPr>
                <w:b w:val="0"/>
                <w:color w:val="auto"/>
                <w:sz w:val="20"/>
                <w:szCs w:val="20"/>
              </w:rPr>
              <w:t>Final budgeted distribution for 2015/16</w:t>
            </w:r>
          </w:p>
        </w:tc>
        <w:tc>
          <w:tcPr>
            <w:cnfStyle w:val="000010000000"/>
            <w:tcW w:w="1559" w:type="dxa"/>
            <w:tcBorders>
              <w:left w:val="none" w:sz="0" w:space="0" w:color="auto"/>
              <w:right w:val="none" w:sz="0" w:space="0" w:color="auto"/>
            </w:tcBorders>
            <w:vAlign w:val="center"/>
          </w:tcPr>
          <w:p w:rsidR="00065C6D" w:rsidRPr="00BD1287" w:rsidRDefault="00BD1287" w:rsidP="00CF4D5C">
            <w:pPr>
              <w:spacing w:line="240" w:lineRule="auto"/>
              <w:jc w:val="center"/>
              <w:rPr>
                <w:rFonts w:cs="Arial"/>
                <w:color w:val="auto"/>
                <w:sz w:val="20"/>
                <w:szCs w:val="20"/>
              </w:rPr>
            </w:pPr>
            <w:r w:rsidRPr="00BD1287">
              <w:rPr>
                <w:rFonts w:cs="Arial"/>
                <w:color w:val="auto"/>
                <w:sz w:val="20"/>
                <w:szCs w:val="20"/>
              </w:rPr>
              <w:t>19.5</w:t>
            </w:r>
          </w:p>
        </w:tc>
        <w:tc>
          <w:tcPr>
            <w:tcW w:w="1560" w:type="dxa"/>
            <w:vAlign w:val="center"/>
          </w:tcPr>
          <w:p w:rsidR="00065C6D" w:rsidRPr="00BD1287" w:rsidRDefault="00BD1287" w:rsidP="00CF4D5C">
            <w:pPr>
              <w:spacing w:line="240" w:lineRule="auto"/>
              <w:jc w:val="center"/>
              <w:cnfStyle w:val="000000000000"/>
              <w:rPr>
                <w:rFonts w:cs="Arial"/>
                <w:color w:val="auto"/>
                <w:sz w:val="20"/>
                <w:szCs w:val="20"/>
              </w:rPr>
            </w:pPr>
            <w:r w:rsidRPr="00BD1287">
              <w:rPr>
                <w:rFonts w:cs="Arial"/>
                <w:color w:val="auto"/>
                <w:sz w:val="20"/>
                <w:szCs w:val="20"/>
              </w:rPr>
              <w:t>20.0</w:t>
            </w:r>
          </w:p>
        </w:tc>
        <w:tc>
          <w:tcPr>
            <w:cnfStyle w:val="000100000000"/>
            <w:tcW w:w="1134" w:type="dxa"/>
            <w:tcBorders>
              <w:left w:val="none" w:sz="0" w:space="0" w:color="auto"/>
            </w:tcBorders>
            <w:vAlign w:val="center"/>
          </w:tcPr>
          <w:p w:rsidR="00065C6D" w:rsidRPr="00BD1287" w:rsidRDefault="00BD1287" w:rsidP="00CF4D5C">
            <w:pPr>
              <w:spacing w:line="240" w:lineRule="auto"/>
              <w:jc w:val="center"/>
              <w:rPr>
                <w:rFonts w:cs="Arial"/>
                <w:b w:val="0"/>
                <w:color w:val="auto"/>
                <w:sz w:val="20"/>
                <w:szCs w:val="20"/>
              </w:rPr>
            </w:pPr>
            <w:r w:rsidRPr="00BD1287">
              <w:rPr>
                <w:rFonts w:cs="Arial"/>
                <w:b w:val="0"/>
                <w:color w:val="auto"/>
                <w:sz w:val="20"/>
                <w:szCs w:val="20"/>
              </w:rPr>
              <w:t>39.5</w:t>
            </w:r>
          </w:p>
        </w:tc>
      </w:tr>
      <w:tr w:rsidR="00065C6D" w:rsidRPr="00065C6D" w:rsidTr="00320187">
        <w:trPr>
          <w:cnfStyle w:val="000000100000"/>
          <w:trHeight w:val="170"/>
        </w:trPr>
        <w:tc>
          <w:tcPr>
            <w:cnfStyle w:val="001000000000"/>
            <w:tcW w:w="4678" w:type="dxa"/>
            <w:tcBorders>
              <w:top w:val="none" w:sz="0" w:space="0" w:color="auto"/>
              <w:bottom w:val="none" w:sz="0" w:space="0" w:color="auto"/>
              <w:right w:val="none" w:sz="0" w:space="0" w:color="auto"/>
            </w:tcBorders>
          </w:tcPr>
          <w:p w:rsidR="00065C6D" w:rsidRPr="00BD1287" w:rsidRDefault="00065C6D" w:rsidP="000429CB">
            <w:pPr>
              <w:spacing w:before="100" w:after="100" w:line="240" w:lineRule="auto"/>
              <w:rPr>
                <w:b w:val="0"/>
                <w:color w:val="auto"/>
                <w:sz w:val="20"/>
                <w:szCs w:val="20"/>
              </w:rPr>
            </w:pPr>
            <w:r w:rsidRPr="00BD1287">
              <w:rPr>
                <w:b w:val="0"/>
                <w:color w:val="auto"/>
                <w:sz w:val="20"/>
                <w:szCs w:val="20"/>
              </w:rPr>
              <w:t>Less: Actual Central Expenditure</w:t>
            </w:r>
          </w:p>
        </w:tc>
        <w:tc>
          <w:tcPr>
            <w:cnfStyle w:val="000010000000"/>
            <w:tcW w:w="1559" w:type="dxa"/>
            <w:tcBorders>
              <w:top w:val="none" w:sz="0" w:space="0" w:color="auto"/>
              <w:left w:val="none" w:sz="0" w:space="0" w:color="auto"/>
              <w:bottom w:val="none" w:sz="0" w:space="0" w:color="auto"/>
              <w:right w:val="none" w:sz="0" w:space="0" w:color="auto"/>
            </w:tcBorders>
            <w:vAlign w:val="center"/>
          </w:tcPr>
          <w:p w:rsidR="00065C6D" w:rsidRPr="00BD1287" w:rsidRDefault="00BD1287" w:rsidP="00CF4D5C">
            <w:pPr>
              <w:spacing w:line="240" w:lineRule="auto"/>
              <w:jc w:val="center"/>
              <w:rPr>
                <w:rFonts w:cs="Arial"/>
                <w:color w:val="auto"/>
                <w:sz w:val="20"/>
                <w:szCs w:val="20"/>
              </w:rPr>
            </w:pPr>
            <w:r w:rsidRPr="00BD1287">
              <w:rPr>
                <w:rFonts w:cs="Arial"/>
                <w:color w:val="auto"/>
                <w:sz w:val="20"/>
                <w:szCs w:val="20"/>
              </w:rPr>
              <w:t>(19.4)</w:t>
            </w:r>
          </w:p>
        </w:tc>
        <w:tc>
          <w:tcPr>
            <w:tcW w:w="1560" w:type="dxa"/>
            <w:tcBorders>
              <w:top w:val="none" w:sz="0" w:space="0" w:color="auto"/>
              <w:bottom w:val="none" w:sz="0" w:space="0" w:color="auto"/>
            </w:tcBorders>
            <w:vAlign w:val="center"/>
          </w:tcPr>
          <w:p w:rsidR="00065C6D" w:rsidRPr="00BD1287" w:rsidRDefault="00BD1287" w:rsidP="00CF4D5C">
            <w:pPr>
              <w:spacing w:line="240" w:lineRule="auto"/>
              <w:jc w:val="center"/>
              <w:cnfStyle w:val="000000100000"/>
              <w:rPr>
                <w:rFonts w:cs="Arial"/>
                <w:color w:val="auto"/>
                <w:sz w:val="20"/>
                <w:szCs w:val="20"/>
              </w:rPr>
            </w:pPr>
            <w:r w:rsidRPr="00BD1287">
              <w:rPr>
                <w:rFonts w:cs="Arial"/>
                <w:color w:val="auto"/>
                <w:sz w:val="20"/>
                <w:szCs w:val="20"/>
              </w:rPr>
              <w:t>0</w:t>
            </w:r>
          </w:p>
        </w:tc>
        <w:tc>
          <w:tcPr>
            <w:cnfStyle w:val="000100000000"/>
            <w:tcW w:w="1134" w:type="dxa"/>
            <w:tcBorders>
              <w:top w:val="none" w:sz="0" w:space="0" w:color="auto"/>
              <w:left w:val="none" w:sz="0" w:space="0" w:color="auto"/>
              <w:bottom w:val="none" w:sz="0" w:space="0" w:color="auto"/>
            </w:tcBorders>
            <w:vAlign w:val="center"/>
          </w:tcPr>
          <w:p w:rsidR="00065C6D" w:rsidRPr="00BD1287" w:rsidRDefault="00BD1287" w:rsidP="00CF4D5C">
            <w:pPr>
              <w:spacing w:line="240" w:lineRule="auto"/>
              <w:jc w:val="center"/>
              <w:rPr>
                <w:rFonts w:cs="Arial"/>
                <w:b w:val="0"/>
                <w:color w:val="auto"/>
                <w:sz w:val="20"/>
                <w:szCs w:val="20"/>
              </w:rPr>
            </w:pPr>
            <w:r w:rsidRPr="00BD1287">
              <w:rPr>
                <w:rFonts w:cs="Arial"/>
                <w:b w:val="0"/>
                <w:color w:val="auto"/>
                <w:sz w:val="20"/>
                <w:szCs w:val="20"/>
              </w:rPr>
              <w:t>(19.4)</w:t>
            </w:r>
          </w:p>
        </w:tc>
      </w:tr>
      <w:tr w:rsidR="00065C6D" w:rsidRPr="00065C6D" w:rsidTr="00320187">
        <w:trPr>
          <w:trHeight w:val="170"/>
        </w:trPr>
        <w:tc>
          <w:tcPr>
            <w:cnfStyle w:val="001000000000"/>
            <w:tcW w:w="4678" w:type="dxa"/>
            <w:tcBorders>
              <w:right w:val="none" w:sz="0" w:space="0" w:color="auto"/>
            </w:tcBorders>
          </w:tcPr>
          <w:p w:rsidR="00065C6D" w:rsidRPr="00BD1287" w:rsidRDefault="00065C6D" w:rsidP="000429CB">
            <w:pPr>
              <w:spacing w:before="100" w:after="100" w:line="240" w:lineRule="auto"/>
              <w:rPr>
                <w:b w:val="0"/>
                <w:color w:val="auto"/>
                <w:sz w:val="20"/>
                <w:szCs w:val="20"/>
              </w:rPr>
            </w:pPr>
            <w:r w:rsidRPr="00BD1287">
              <w:rPr>
                <w:b w:val="0"/>
                <w:color w:val="auto"/>
                <w:sz w:val="20"/>
                <w:szCs w:val="20"/>
              </w:rPr>
              <w:t>Less: Actual ISB deployed to schools</w:t>
            </w:r>
          </w:p>
        </w:tc>
        <w:tc>
          <w:tcPr>
            <w:cnfStyle w:val="000010000000"/>
            <w:tcW w:w="1559" w:type="dxa"/>
            <w:tcBorders>
              <w:left w:val="none" w:sz="0" w:space="0" w:color="auto"/>
              <w:right w:val="none" w:sz="0" w:space="0" w:color="auto"/>
            </w:tcBorders>
            <w:vAlign w:val="center"/>
          </w:tcPr>
          <w:p w:rsidR="00065C6D" w:rsidRPr="00BD1287" w:rsidRDefault="00BD1287" w:rsidP="00CF4D5C">
            <w:pPr>
              <w:spacing w:line="240" w:lineRule="auto"/>
              <w:jc w:val="center"/>
              <w:rPr>
                <w:rFonts w:cs="Arial"/>
                <w:color w:val="auto"/>
                <w:sz w:val="20"/>
                <w:szCs w:val="20"/>
              </w:rPr>
            </w:pPr>
            <w:r w:rsidRPr="00BD1287">
              <w:rPr>
                <w:rFonts w:cs="Arial"/>
                <w:color w:val="auto"/>
                <w:sz w:val="20"/>
                <w:szCs w:val="20"/>
              </w:rPr>
              <w:t>0</w:t>
            </w:r>
          </w:p>
        </w:tc>
        <w:tc>
          <w:tcPr>
            <w:tcW w:w="1560" w:type="dxa"/>
            <w:vAlign w:val="center"/>
          </w:tcPr>
          <w:p w:rsidR="00065C6D" w:rsidRPr="00BD1287" w:rsidRDefault="00BD1287" w:rsidP="00CF4D5C">
            <w:pPr>
              <w:spacing w:line="240" w:lineRule="auto"/>
              <w:jc w:val="center"/>
              <w:cnfStyle w:val="000000000000"/>
              <w:rPr>
                <w:rFonts w:cs="Arial"/>
                <w:color w:val="auto"/>
                <w:sz w:val="20"/>
                <w:szCs w:val="20"/>
              </w:rPr>
            </w:pPr>
            <w:r w:rsidRPr="00BD1287">
              <w:rPr>
                <w:rFonts w:cs="Arial"/>
                <w:color w:val="auto"/>
                <w:sz w:val="20"/>
                <w:szCs w:val="20"/>
              </w:rPr>
              <w:t>(20.0)</w:t>
            </w:r>
          </w:p>
        </w:tc>
        <w:tc>
          <w:tcPr>
            <w:cnfStyle w:val="000100000000"/>
            <w:tcW w:w="1134" w:type="dxa"/>
            <w:tcBorders>
              <w:left w:val="none" w:sz="0" w:space="0" w:color="auto"/>
            </w:tcBorders>
            <w:vAlign w:val="center"/>
          </w:tcPr>
          <w:p w:rsidR="00065C6D" w:rsidRPr="00BD1287" w:rsidRDefault="00BD1287" w:rsidP="00CF4D5C">
            <w:pPr>
              <w:spacing w:line="240" w:lineRule="auto"/>
              <w:jc w:val="center"/>
              <w:rPr>
                <w:rFonts w:cs="Arial"/>
                <w:b w:val="0"/>
                <w:color w:val="auto"/>
                <w:sz w:val="20"/>
                <w:szCs w:val="20"/>
              </w:rPr>
            </w:pPr>
            <w:r w:rsidRPr="00BD1287">
              <w:rPr>
                <w:rFonts w:cs="Arial"/>
                <w:b w:val="0"/>
                <w:color w:val="auto"/>
                <w:sz w:val="20"/>
                <w:szCs w:val="20"/>
              </w:rPr>
              <w:t>(20.0)</w:t>
            </w:r>
          </w:p>
        </w:tc>
      </w:tr>
      <w:tr w:rsidR="00065C6D" w:rsidRPr="00065C6D" w:rsidTr="00320187">
        <w:trPr>
          <w:cnfStyle w:val="010000000000"/>
          <w:trHeight w:val="170"/>
        </w:trPr>
        <w:tc>
          <w:tcPr>
            <w:cnfStyle w:val="001000000001"/>
            <w:tcW w:w="4678" w:type="dxa"/>
            <w:tcBorders>
              <w:top w:val="none" w:sz="0" w:space="0" w:color="auto"/>
              <w:right w:val="none" w:sz="0" w:space="0" w:color="auto"/>
            </w:tcBorders>
          </w:tcPr>
          <w:p w:rsidR="00065C6D" w:rsidRPr="00BD1287" w:rsidRDefault="00065C6D" w:rsidP="006B437A">
            <w:pPr>
              <w:spacing w:before="100" w:after="100" w:line="240" w:lineRule="auto"/>
              <w:rPr>
                <w:color w:val="auto"/>
                <w:sz w:val="20"/>
                <w:szCs w:val="20"/>
              </w:rPr>
            </w:pPr>
            <w:r w:rsidRPr="00BD1287">
              <w:rPr>
                <w:color w:val="auto"/>
                <w:sz w:val="20"/>
                <w:szCs w:val="20"/>
              </w:rPr>
              <w:t>Carry forward to 2015/16</w:t>
            </w:r>
          </w:p>
        </w:tc>
        <w:tc>
          <w:tcPr>
            <w:cnfStyle w:val="000010000000"/>
            <w:tcW w:w="1559" w:type="dxa"/>
            <w:tcBorders>
              <w:top w:val="none" w:sz="0" w:space="0" w:color="auto"/>
              <w:left w:val="none" w:sz="0" w:space="0" w:color="auto"/>
              <w:right w:val="none" w:sz="0" w:space="0" w:color="auto"/>
            </w:tcBorders>
            <w:vAlign w:val="center"/>
          </w:tcPr>
          <w:p w:rsidR="00065C6D" w:rsidRPr="00BD1287" w:rsidRDefault="00BD1287" w:rsidP="00CF4D5C">
            <w:pPr>
              <w:spacing w:line="240" w:lineRule="auto"/>
              <w:jc w:val="center"/>
              <w:rPr>
                <w:rFonts w:cs="Arial"/>
                <w:color w:val="auto"/>
                <w:sz w:val="20"/>
                <w:szCs w:val="20"/>
              </w:rPr>
            </w:pPr>
            <w:r w:rsidRPr="00BD1287">
              <w:rPr>
                <w:rFonts w:cs="Arial"/>
                <w:color w:val="auto"/>
                <w:sz w:val="20"/>
                <w:szCs w:val="20"/>
              </w:rPr>
              <w:t>0.1</w:t>
            </w:r>
          </w:p>
        </w:tc>
        <w:tc>
          <w:tcPr>
            <w:tcW w:w="1560" w:type="dxa"/>
            <w:tcBorders>
              <w:top w:val="none" w:sz="0" w:space="0" w:color="auto"/>
            </w:tcBorders>
            <w:vAlign w:val="center"/>
          </w:tcPr>
          <w:p w:rsidR="00065C6D" w:rsidRPr="00BD1287" w:rsidRDefault="00BD1287" w:rsidP="00CF4D5C">
            <w:pPr>
              <w:spacing w:line="240" w:lineRule="auto"/>
              <w:jc w:val="center"/>
              <w:cnfStyle w:val="010000000000"/>
              <w:rPr>
                <w:rFonts w:cs="Arial"/>
                <w:color w:val="auto"/>
                <w:sz w:val="20"/>
                <w:szCs w:val="20"/>
              </w:rPr>
            </w:pPr>
            <w:r w:rsidRPr="00BD1287">
              <w:rPr>
                <w:rFonts w:cs="Arial"/>
                <w:color w:val="auto"/>
                <w:sz w:val="20"/>
                <w:szCs w:val="20"/>
              </w:rPr>
              <w:t>0</w:t>
            </w:r>
          </w:p>
        </w:tc>
        <w:tc>
          <w:tcPr>
            <w:cnfStyle w:val="000100000010"/>
            <w:tcW w:w="1134" w:type="dxa"/>
            <w:tcBorders>
              <w:top w:val="none" w:sz="0" w:space="0" w:color="auto"/>
              <w:left w:val="none" w:sz="0" w:space="0" w:color="auto"/>
            </w:tcBorders>
            <w:vAlign w:val="center"/>
          </w:tcPr>
          <w:p w:rsidR="00065C6D" w:rsidRPr="00BD1287" w:rsidRDefault="00BD1287" w:rsidP="00CF4D5C">
            <w:pPr>
              <w:spacing w:line="240" w:lineRule="auto"/>
              <w:jc w:val="center"/>
              <w:rPr>
                <w:rFonts w:cs="Arial"/>
                <w:color w:val="auto"/>
                <w:sz w:val="20"/>
                <w:szCs w:val="20"/>
              </w:rPr>
            </w:pPr>
            <w:r w:rsidRPr="00BD1287">
              <w:rPr>
                <w:rFonts w:cs="Arial"/>
                <w:color w:val="auto"/>
                <w:sz w:val="20"/>
                <w:szCs w:val="20"/>
              </w:rPr>
              <w:t>0.1</w:t>
            </w:r>
          </w:p>
        </w:tc>
      </w:tr>
    </w:tbl>
    <w:p w:rsidR="00E51139" w:rsidRPr="00397717" w:rsidRDefault="00E51139" w:rsidP="006B437A">
      <w:pPr>
        <w:pStyle w:val="ExampleSub"/>
        <w:keepNext w:val="0"/>
        <w:keepLines w:val="0"/>
        <w:spacing w:before="0" w:line="240" w:lineRule="auto"/>
        <w:ind w:left="0" w:firstLine="567"/>
        <w:rPr>
          <w:rFonts w:ascii="Arial" w:hAnsi="Arial" w:cs="Arial"/>
          <w:b w:val="0"/>
          <w:bCs w:val="0"/>
          <w:color w:val="auto"/>
          <w:sz w:val="20"/>
          <w:szCs w:val="20"/>
        </w:rPr>
      </w:pPr>
      <w:r w:rsidRPr="00397717">
        <w:rPr>
          <w:rFonts w:ascii="Arial" w:hAnsi="Arial" w:cs="Arial"/>
          <w:b w:val="0"/>
          <w:bCs w:val="0"/>
          <w:color w:val="auto"/>
          <w:sz w:val="20"/>
          <w:szCs w:val="20"/>
        </w:rPr>
        <w:t>*   Value of DSG reflected in Council’s Comprehensive Income and Expenditure Statement</w:t>
      </w:r>
    </w:p>
    <w:p w:rsidR="007636E5" w:rsidRPr="00D42E0B" w:rsidRDefault="007636E5" w:rsidP="006B437A">
      <w:pPr>
        <w:pStyle w:val="ExampleSub"/>
        <w:keepNext w:val="0"/>
        <w:keepLines w:val="0"/>
        <w:spacing w:before="0" w:line="240" w:lineRule="auto"/>
        <w:ind w:left="0" w:firstLine="567"/>
        <w:rPr>
          <w:rFonts w:ascii="Arial" w:hAnsi="Arial" w:cs="Arial"/>
          <w:b w:val="0"/>
          <w:bCs w:val="0"/>
          <w:color w:val="548DD4" w:themeColor="text2" w:themeTint="99"/>
          <w:sz w:val="20"/>
          <w:szCs w:val="20"/>
        </w:rPr>
      </w:pPr>
    </w:p>
    <w:p w:rsidR="00922D1C" w:rsidRPr="00D42E0B" w:rsidRDefault="00922D1C" w:rsidP="006B437A">
      <w:pPr>
        <w:pStyle w:val="ExampleSub"/>
        <w:keepNext w:val="0"/>
        <w:keepLines w:val="0"/>
        <w:spacing w:before="0" w:line="240" w:lineRule="auto"/>
        <w:ind w:left="0" w:firstLine="567"/>
        <w:rPr>
          <w:rFonts w:ascii="Arial" w:hAnsi="Arial" w:cs="Arial"/>
          <w:b w:val="0"/>
          <w:bCs w:val="0"/>
          <w:color w:val="548DD4" w:themeColor="text2" w:themeTint="99"/>
          <w:sz w:val="20"/>
          <w:szCs w:val="20"/>
        </w:rPr>
      </w:pPr>
    </w:p>
    <w:p w:rsidR="00E51139" w:rsidRPr="00065C6D" w:rsidRDefault="005C68D8" w:rsidP="00845AAC">
      <w:pPr>
        <w:pStyle w:val="Subtitle"/>
        <w:ind w:left="567" w:hanging="567"/>
        <w:rPr>
          <w:b/>
          <w:color w:val="auto"/>
          <w:sz w:val="22"/>
          <w:szCs w:val="22"/>
        </w:rPr>
      </w:pPr>
      <w:r w:rsidRPr="00065C6D">
        <w:rPr>
          <w:b/>
          <w:color w:val="auto"/>
          <w:sz w:val="22"/>
          <w:szCs w:val="22"/>
        </w:rPr>
        <w:t>3</w:t>
      </w:r>
      <w:r w:rsidR="000A1BAE" w:rsidRPr="00065C6D">
        <w:rPr>
          <w:b/>
          <w:color w:val="auto"/>
          <w:sz w:val="22"/>
          <w:szCs w:val="22"/>
        </w:rPr>
        <w:t>0</w:t>
      </w:r>
      <w:r w:rsidR="00E51139" w:rsidRPr="00065C6D">
        <w:rPr>
          <w:b/>
          <w:color w:val="auto"/>
          <w:sz w:val="22"/>
          <w:szCs w:val="22"/>
        </w:rPr>
        <w:t>.</w:t>
      </w:r>
      <w:r w:rsidR="00E51139" w:rsidRPr="00065C6D">
        <w:rPr>
          <w:b/>
          <w:color w:val="auto"/>
          <w:sz w:val="22"/>
          <w:szCs w:val="22"/>
        </w:rPr>
        <w:tab/>
        <w:t>Grant Income</w:t>
      </w:r>
    </w:p>
    <w:p w:rsidR="00E51139" w:rsidRDefault="00E51139" w:rsidP="003C5E34">
      <w:pPr>
        <w:pStyle w:val="CodeNotesExampleText"/>
        <w:widowControl w:val="0"/>
        <w:ind w:left="567"/>
        <w:outlineLvl w:val="0"/>
        <w:rPr>
          <w:rFonts w:cs="Arial"/>
          <w:color w:val="auto"/>
          <w:sz w:val="20"/>
          <w:szCs w:val="20"/>
        </w:rPr>
      </w:pPr>
      <w:r w:rsidRPr="00065C6D">
        <w:rPr>
          <w:rFonts w:cs="Arial"/>
          <w:color w:val="auto"/>
          <w:sz w:val="20"/>
          <w:szCs w:val="20"/>
          <w:lang w:eastAsia="en-GB"/>
        </w:rPr>
        <w:t>The Council credited the following grants and contributions to the Comprehensive Income and Expenditure Statement</w:t>
      </w:r>
      <w:r w:rsidRPr="00065C6D">
        <w:rPr>
          <w:rFonts w:cs="Arial"/>
          <w:color w:val="auto"/>
          <w:sz w:val="20"/>
          <w:szCs w:val="20"/>
        </w:rPr>
        <w:t xml:space="preserve">. </w:t>
      </w:r>
    </w:p>
    <w:p w:rsidR="00320187" w:rsidRDefault="00320187" w:rsidP="003C5E34">
      <w:pPr>
        <w:pStyle w:val="CodeNotesExampleText"/>
        <w:widowControl w:val="0"/>
        <w:ind w:left="567"/>
        <w:outlineLvl w:val="0"/>
        <w:rPr>
          <w:rFonts w:cs="Arial"/>
          <w:color w:val="auto"/>
          <w:sz w:val="20"/>
          <w:szCs w:val="20"/>
        </w:rPr>
      </w:pPr>
    </w:p>
    <w:p w:rsidR="00320187" w:rsidRDefault="00320187" w:rsidP="003C5E34">
      <w:pPr>
        <w:pStyle w:val="CodeNotesExampleText"/>
        <w:widowControl w:val="0"/>
        <w:ind w:left="567"/>
        <w:outlineLvl w:val="0"/>
        <w:rPr>
          <w:rFonts w:cs="Arial"/>
          <w:color w:val="auto"/>
          <w:sz w:val="20"/>
          <w:szCs w:val="20"/>
        </w:rPr>
      </w:pPr>
    </w:p>
    <w:p w:rsidR="00320187" w:rsidRDefault="00320187" w:rsidP="003C5E34">
      <w:pPr>
        <w:pStyle w:val="CodeNotesExampleText"/>
        <w:widowControl w:val="0"/>
        <w:ind w:left="567"/>
        <w:outlineLvl w:val="0"/>
        <w:rPr>
          <w:rFonts w:cs="Arial"/>
          <w:color w:val="auto"/>
          <w:sz w:val="20"/>
          <w:szCs w:val="20"/>
        </w:rPr>
      </w:pPr>
    </w:p>
    <w:p w:rsidR="00320187" w:rsidRDefault="00320187" w:rsidP="003C5E34">
      <w:pPr>
        <w:pStyle w:val="CodeNotesExampleText"/>
        <w:widowControl w:val="0"/>
        <w:ind w:left="567"/>
        <w:outlineLvl w:val="0"/>
        <w:rPr>
          <w:rFonts w:cs="Arial"/>
          <w:color w:val="auto"/>
          <w:sz w:val="20"/>
          <w:szCs w:val="20"/>
        </w:rPr>
      </w:pPr>
    </w:p>
    <w:p w:rsidR="00320187" w:rsidRDefault="00320187" w:rsidP="003C5E34">
      <w:pPr>
        <w:pStyle w:val="CodeNotesExampleText"/>
        <w:widowControl w:val="0"/>
        <w:ind w:left="567"/>
        <w:outlineLvl w:val="0"/>
        <w:rPr>
          <w:rFonts w:cs="Arial"/>
          <w:color w:val="auto"/>
          <w:sz w:val="20"/>
          <w:szCs w:val="20"/>
        </w:rPr>
      </w:pPr>
    </w:p>
    <w:p w:rsidR="00320187" w:rsidRDefault="00320187" w:rsidP="003C5E34">
      <w:pPr>
        <w:pStyle w:val="CodeNotesExampleText"/>
        <w:widowControl w:val="0"/>
        <w:ind w:left="567"/>
        <w:outlineLvl w:val="0"/>
        <w:rPr>
          <w:rFonts w:cs="Arial"/>
          <w:color w:val="auto"/>
          <w:sz w:val="20"/>
          <w:szCs w:val="20"/>
        </w:rPr>
      </w:pPr>
    </w:p>
    <w:p w:rsidR="00320187" w:rsidRDefault="00320187" w:rsidP="003C5E34">
      <w:pPr>
        <w:pStyle w:val="CodeNotesExampleText"/>
        <w:widowControl w:val="0"/>
        <w:ind w:left="567"/>
        <w:outlineLvl w:val="0"/>
        <w:rPr>
          <w:rFonts w:cs="Arial"/>
          <w:color w:val="auto"/>
          <w:sz w:val="20"/>
          <w:szCs w:val="20"/>
        </w:rPr>
      </w:pPr>
    </w:p>
    <w:p w:rsidR="00320187" w:rsidRDefault="00320187" w:rsidP="003C5E34">
      <w:pPr>
        <w:pStyle w:val="CodeNotesExampleText"/>
        <w:widowControl w:val="0"/>
        <w:ind w:left="567"/>
        <w:outlineLvl w:val="0"/>
        <w:rPr>
          <w:rFonts w:cs="Arial"/>
          <w:color w:val="auto"/>
          <w:sz w:val="20"/>
          <w:szCs w:val="20"/>
        </w:rPr>
      </w:pPr>
    </w:p>
    <w:p w:rsidR="00320187" w:rsidRPr="00065C6D" w:rsidRDefault="00320187" w:rsidP="003C5E34">
      <w:pPr>
        <w:pStyle w:val="CodeNotesExampleText"/>
        <w:widowControl w:val="0"/>
        <w:ind w:left="567"/>
        <w:outlineLvl w:val="0"/>
        <w:rPr>
          <w:rFonts w:cs="Arial"/>
          <w:color w:val="auto"/>
          <w:sz w:val="20"/>
          <w:szCs w:val="20"/>
        </w:rPr>
      </w:pPr>
    </w:p>
    <w:p w:rsidR="006E667C" w:rsidRPr="00D42E0B" w:rsidRDefault="006E667C" w:rsidP="003C5E34">
      <w:pPr>
        <w:pStyle w:val="CodeNotesExampleText"/>
        <w:widowControl w:val="0"/>
        <w:ind w:left="567"/>
        <w:outlineLvl w:val="0"/>
        <w:rPr>
          <w:rFonts w:cs="Arial"/>
          <w:color w:val="548DD4" w:themeColor="text2" w:themeTint="99"/>
          <w:sz w:val="20"/>
          <w:szCs w:val="20"/>
        </w:rPr>
      </w:pPr>
    </w:p>
    <w:tbl>
      <w:tblPr>
        <w:tblStyle w:val="ListTable3-Accent51"/>
        <w:tblW w:w="7737" w:type="dxa"/>
        <w:tblInd w:w="675" w:type="dxa"/>
        <w:tblLayout w:type="fixed"/>
        <w:tblLook w:val="0000"/>
      </w:tblPr>
      <w:tblGrid>
        <w:gridCol w:w="1742"/>
        <w:gridCol w:w="4820"/>
        <w:gridCol w:w="1175"/>
      </w:tblGrid>
      <w:tr w:rsidR="00845AAC" w:rsidRPr="00065C6D" w:rsidTr="00845AAC">
        <w:trPr>
          <w:cnfStyle w:val="000000100000"/>
          <w:trHeight w:val="60"/>
        </w:trPr>
        <w:tc>
          <w:tcPr>
            <w:cnfStyle w:val="000010000000"/>
            <w:tcW w:w="1742" w:type="dxa"/>
            <w:shd w:val="clear" w:color="auto" w:fill="4BACC6" w:themeFill="accent5"/>
          </w:tcPr>
          <w:p w:rsidR="00845AAC" w:rsidRPr="00065C6D" w:rsidRDefault="00845AAC" w:rsidP="00845AAC">
            <w:pPr>
              <w:pStyle w:val="TableRightBold"/>
              <w:ind w:right="142"/>
              <w:jc w:val="center"/>
              <w:rPr>
                <w:rStyle w:val="Bold"/>
                <w:rFonts w:ascii="Arial" w:hAnsi="Arial" w:cs="Arial"/>
                <w:bCs w:val="0"/>
                <w:color w:val="auto"/>
              </w:rPr>
            </w:pPr>
            <w:r w:rsidRPr="00065C6D">
              <w:rPr>
                <w:rStyle w:val="Bold"/>
                <w:rFonts w:ascii="Arial" w:hAnsi="Arial" w:cs="Arial"/>
                <w:bCs w:val="0"/>
                <w:color w:val="auto"/>
              </w:rPr>
              <w:lastRenderedPageBreak/>
              <w:t>2014</w:t>
            </w:r>
            <w:r w:rsidR="00065C6D" w:rsidRPr="00065C6D">
              <w:rPr>
                <w:rStyle w:val="Bold"/>
                <w:rFonts w:ascii="Arial" w:hAnsi="Arial" w:cs="Arial"/>
                <w:bCs w:val="0"/>
                <w:color w:val="auto"/>
              </w:rPr>
              <w:t>/15</w:t>
            </w:r>
            <w:r w:rsidR="002664EA" w:rsidRPr="00065C6D">
              <w:rPr>
                <w:rStyle w:val="Bold"/>
                <w:rFonts w:ascii="Arial" w:hAnsi="Arial" w:cs="Arial"/>
                <w:bCs w:val="0"/>
                <w:color w:val="auto"/>
              </w:rPr>
              <w:t xml:space="preserve"> restated</w:t>
            </w:r>
          </w:p>
          <w:p w:rsidR="00845AAC" w:rsidRPr="00065C6D" w:rsidRDefault="00845AAC" w:rsidP="00845AAC">
            <w:pPr>
              <w:pStyle w:val="TableRightBold"/>
              <w:ind w:right="142"/>
              <w:jc w:val="center"/>
              <w:rPr>
                <w:rStyle w:val="Bold"/>
                <w:rFonts w:ascii="Arial" w:hAnsi="Arial" w:cs="Arial"/>
                <w:color w:val="auto"/>
              </w:rPr>
            </w:pPr>
            <w:r w:rsidRPr="00065C6D">
              <w:rPr>
                <w:rStyle w:val="Bold"/>
                <w:rFonts w:ascii="Arial" w:hAnsi="Arial" w:cs="Arial"/>
                <w:bCs w:val="0"/>
                <w:color w:val="auto"/>
              </w:rPr>
              <w:t>£m</w:t>
            </w:r>
          </w:p>
        </w:tc>
        <w:tc>
          <w:tcPr>
            <w:tcW w:w="4820" w:type="dxa"/>
            <w:shd w:val="clear" w:color="auto" w:fill="4BACC6" w:themeFill="accent5"/>
          </w:tcPr>
          <w:p w:rsidR="00845AAC" w:rsidRPr="00065C6D" w:rsidRDefault="00845AAC" w:rsidP="00845AAC">
            <w:pPr>
              <w:pStyle w:val="TableText"/>
              <w:cnfStyle w:val="000000100000"/>
              <w:rPr>
                <w:rFonts w:ascii="Arial" w:hAnsi="Arial" w:cs="Arial"/>
                <w:b/>
                <w:color w:val="auto"/>
              </w:rPr>
            </w:pPr>
          </w:p>
        </w:tc>
        <w:tc>
          <w:tcPr>
            <w:cnfStyle w:val="000010000000"/>
            <w:tcW w:w="1175" w:type="dxa"/>
            <w:shd w:val="clear" w:color="auto" w:fill="4BACC6" w:themeFill="accent5"/>
          </w:tcPr>
          <w:p w:rsidR="00845AAC" w:rsidRPr="00065C6D" w:rsidRDefault="00065C6D" w:rsidP="00845AAC">
            <w:pPr>
              <w:pStyle w:val="TableRightBold"/>
              <w:ind w:right="142"/>
              <w:jc w:val="center"/>
              <w:rPr>
                <w:rStyle w:val="Bold"/>
                <w:rFonts w:ascii="Arial" w:hAnsi="Arial" w:cs="Arial"/>
                <w:b/>
                <w:bCs w:val="0"/>
                <w:color w:val="auto"/>
              </w:rPr>
            </w:pPr>
            <w:r w:rsidRPr="00065C6D">
              <w:rPr>
                <w:rStyle w:val="Bold"/>
                <w:rFonts w:ascii="Arial" w:hAnsi="Arial" w:cs="Arial"/>
                <w:b/>
                <w:bCs w:val="0"/>
                <w:color w:val="auto"/>
              </w:rPr>
              <w:t>2015</w:t>
            </w:r>
            <w:r w:rsidR="00845AAC" w:rsidRPr="00065C6D">
              <w:rPr>
                <w:rStyle w:val="Bold"/>
                <w:rFonts w:ascii="Arial" w:hAnsi="Arial" w:cs="Arial"/>
                <w:b/>
                <w:bCs w:val="0"/>
                <w:color w:val="auto"/>
              </w:rPr>
              <w:t>/1</w:t>
            </w:r>
            <w:r w:rsidRPr="00065C6D">
              <w:rPr>
                <w:rStyle w:val="Bold"/>
                <w:rFonts w:ascii="Arial" w:hAnsi="Arial" w:cs="Arial"/>
                <w:b/>
                <w:bCs w:val="0"/>
                <w:color w:val="auto"/>
              </w:rPr>
              <w:t>6</w:t>
            </w:r>
          </w:p>
          <w:p w:rsidR="00845AAC" w:rsidRPr="00065C6D" w:rsidRDefault="00845AAC" w:rsidP="00845AAC">
            <w:pPr>
              <w:pStyle w:val="TableRightBold"/>
              <w:ind w:right="142"/>
              <w:jc w:val="center"/>
              <w:rPr>
                <w:rStyle w:val="Bold"/>
                <w:rFonts w:ascii="Arial" w:hAnsi="Arial" w:cs="Arial"/>
                <w:color w:val="auto"/>
              </w:rPr>
            </w:pPr>
            <w:r w:rsidRPr="00065C6D">
              <w:rPr>
                <w:rStyle w:val="Bold"/>
                <w:rFonts w:ascii="Arial" w:hAnsi="Arial" w:cs="Arial"/>
                <w:bCs w:val="0"/>
                <w:color w:val="auto"/>
              </w:rPr>
              <w:t>£m</w:t>
            </w:r>
          </w:p>
        </w:tc>
      </w:tr>
      <w:tr w:rsidR="00196A82" w:rsidRPr="00065C6D" w:rsidTr="00845AAC">
        <w:trPr>
          <w:trHeight w:val="60"/>
        </w:trPr>
        <w:tc>
          <w:tcPr>
            <w:cnfStyle w:val="000010000000"/>
            <w:tcW w:w="1742" w:type="dxa"/>
          </w:tcPr>
          <w:p w:rsidR="00196A82" w:rsidRPr="00065C6D" w:rsidRDefault="00196A82" w:rsidP="00065C6D">
            <w:pPr>
              <w:pStyle w:val="TableRightBold"/>
              <w:ind w:right="142"/>
              <w:jc w:val="center"/>
              <w:rPr>
                <w:rStyle w:val="Bold"/>
                <w:rFonts w:ascii="Arial" w:hAnsi="Arial" w:cs="Arial"/>
                <w:color w:val="auto"/>
              </w:rPr>
            </w:pPr>
          </w:p>
        </w:tc>
        <w:tc>
          <w:tcPr>
            <w:tcW w:w="4820" w:type="dxa"/>
          </w:tcPr>
          <w:p w:rsidR="00196A82" w:rsidRPr="00065C6D" w:rsidRDefault="00196A82" w:rsidP="00845AAC">
            <w:pPr>
              <w:pStyle w:val="TableText"/>
              <w:ind w:left="66"/>
              <w:cnfStyle w:val="000000000000"/>
              <w:rPr>
                <w:rFonts w:ascii="Arial" w:hAnsi="Arial" w:cs="Arial"/>
                <w:color w:val="auto"/>
              </w:rPr>
            </w:pPr>
            <w:r w:rsidRPr="00065C6D">
              <w:rPr>
                <w:rFonts w:ascii="Arial" w:hAnsi="Arial" w:cs="Arial"/>
                <w:b/>
                <w:color w:val="auto"/>
              </w:rPr>
              <w:t>Credited to Taxation and Non Specific Grant Income</w:t>
            </w:r>
          </w:p>
        </w:tc>
        <w:tc>
          <w:tcPr>
            <w:cnfStyle w:val="000010000000"/>
            <w:tcW w:w="1175" w:type="dxa"/>
          </w:tcPr>
          <w:p w:rsidR="00196A82" w:rsidRDefault="00196A82" w:rsidP="00845AAC">
            <w:pPr>
              <w:pStyle w:val="TableRightBold"/>
              <w:ind w:right="142"/>
              <w:jc w:val="center"/>
              <w:rPr>
                <w:rStyle w:val="Bold"/>
                <w:rFonts w:ascii="Arial" w:hAnsi="Arial" w:cs="Arial"/>
                <w:color w:val="auto"/>
              </w:rPr>
            </w:pPr>
          </w:p>
        </w:tc>
      </w:tr>
      <w:tr w:rsidR="00065C6D" w:rsidRPr="00065C6D" w:rsidTr="00845AAC">
        <w:trPr>
          <w:cnfStyle w:val="000000100000"/>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35.3</w:t>
            </w:r>
          </w:p>
        </w:tc>
        <w:tc>
          <w:tcPr>
            <w:tcW w:w="4820" w:type="dxa"/>
          </w:tcPr>
          <w:p w:rsidR="00065C6D" w:rsidRPr="00065C6D" w:rsidRDefault="00065C6D" w:rsidP="00845AAC">
            <w:pPr>
              <w:pStyle w:val="TableText"/>
              <w:ind w:left="66"/>
              <w:cnfStyle w:val="000000100000"/>
              <w:rPr>
                <w:rFonts w:ascii="Arial" w:hAnsi="Arial" w:cs="Arial"/>
                <w:color w:val="auto"/>
              </w:rPr>
            </w:pPr>
            <w:r w:rsidRPr="00065C6D">
              <w:rPr>
                <w:rFonts w:ascii="Arial" w:hAnsi="Arial" w:cs="Arial"/>
                <w:color w:val="auto"/>
              </w:rPr>
              <w:t>Revenue Support Grant</w:t>
            </w:r>
          </w:p>
        </w:tc>
        <w:tc>
          <w:tcPr>
            <w:cnfStyle w:val="000010000000"/>
            <w:tcW w:w="1175" w:type="dxa"/>
          </w:tcPr>
          <w:p w:rsidR="00065C6D" w:rsidRPr="00065C6D" w:rsidRDefault="00580D03" w:rsidP="00845AAC">
            <w:pPr>
              <w:pStyle w:val="TableRightBold"/>
              <w:ind w:right="142"/>
              <w:jc w:val="center"/>
              <w:rPr>
                <w:rStyle w:val="Bold"/>
                <w:rFonts w:ascii="Arial" w:hAnsi="Arial" w:cs="Arial"/>
                <w:color w:val="auto"/>
              </w:rPr>
            </w:pPr>
            <w:r>
              <w:rPr>
                <w:rStyle w:val="Bold"/>
                <w:rFonts w:ascii="Arial" w:hAnsi="Arial" w:cs="Arial"/>
                <w:color w:val="auto"/>
              </w:rPr>
              <w:t>25.7</w:t>
            </w:r>
          </w:p>
        </w:tc>
      </w:tr>
      <w:tr w:rsidR="00065C6D" w:rsidRPr="00065C6D" w:rsidTr="00845AAC">
        <w:trPr>
          <w:trHeight w:val="60"/>
        </w:trPr>
        <w:tc>
          <w:tcPr>
            <w:cnfStyle w:val="000010000000"/>
            <w:tcW w:w="1742" w:type="dxa"/>
          </w:tcPr>
          <w:p w:rsidR="00065C6D" w:rsidRPr="007761CE" w:rsidRDefault="007761CE" w:rsidP="007761CE">
            <w:pPr>
              <w:pStyle w:val="TableRightBold"/>
              <w:ind w:right="142"/>
              <w:jc w:val="center"/>
              <w:rPr>
                <w:rStyle w:val="Bold"/>
                <w:rFonts w:ascii="Arial" w:hAnsi="Arial" w:cs="Arial"/>
                <w:color w:val="auto"/>
              </w:rPr>
            </w:pPr>
            <w:r w:rsidRPr="007761CE">
              <w:rPr>
                <w:rStyle w:val="Bold"/>
                <w:rFonts w:ascii="Arial" w:hAnsi="Arial" w:cs="Arial"/>
                <w:color w:val="auto"/>
              </w:rPr>
              <w:t>2.1</w:t>
            </w:r>
          </w:p>
        </w:tc>
        <w:tc>
          <w:tcPr>
            <w:tcW w:w="4820" w:type="dxa"/>
          </w:tcPr>
          <w:p w:rsidR="00065C6D" w:rsidRPr="007761CE" w:rsidRDefault="00065C6D" w:rsidP="007761CE">
            <w:pPr>
              <w:pStyle w:val="TableText"/>
              <w:ind w:left="66"/>
              <w:cnfStyle w:val="000000000000"/>
              <w:rPr>
                <w:rFonts w:ascii="Arial" w:hAnsi="Arial" w:cs="Arial"/>
                <w:color w:val="auto"/>
              </w:rPr>
            </w:pPr>
            <w:r w:rsidRPr="007761CE">
              <w:rPr>
                <w:rFonts w:ascii="Arial" w:hAnsi="Arial" w:cs="Arial"/>
                <w:color w:val="auto"/>
              </w:rPr>
              <w:t>Other General Grants</w:t>
            </w:r>
            <w:r w:rsidR="00EF2B14" w:rsidRPr="007761CE">
              <w:rPr>
                <w:rFonts w:ascii="Arial" w:hAnsi="Arial" w:cs="Arial"/>
                <w:color w:val="auto"/>
              </w:rPr>
              <w:t xml:space="preserve"> </w:t>
            </w:r>
          </w:p>
        </w:tc>
        <w:tc>
          <w:tcPr>
            <w:cnfStyle w:val="000010000000"/>
            <w:tcW w:w="1175" w:type="dxa"/>
          </w:tcPr>
          <w:p w:rsidR="00065C6D" w:rsidRPr="007761CE" w:rsidRDefault="007761CE" w:rsidP="007761CE">
            <w:pPr>
              <w:pStyle w:val="TableRightBold"/>
              <w:ind w:right="142"/>
              <w:jc w:val="center"/>
              <w:rPr>
                <w:rStyle w:val="Bold"/>
                <w:rFonts w:ascii="Arial" w:hAnsi="Arial" w:cs="Arial"/>
                <w:color w:val="auto"/>
              </w:rPr>
            </w:pPr>
            <w:r w:rsidRPr="007761CE">
              <w:rPr>
                <w:rStyle w:val="Bold"/>
                <w:rFonts w:ascii="Arial" w:hAnsi="Arial" w:cs="Arial"/>
                <w:color w:val="auto"/>
              </w:rPr>
              <w:t>0.3</w:t>
            </w:r>
          </w:p>
        </w:tc>
      </w:tr>
      <w:tr w:rsidR="00065C6D" w:rsidRPr="00065C6D" w:rsidTr="00845AAC">
        <w:trPr>
          <w:cnfStyle w:val="000000100000"/>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2.1</w:t>
            </w:r>
          </w:p>
        </w:tc>
        <w:tc>
          <w:tcPr>
            <w:tcW w:w="4820" w:type="dxa"/>
          </w:tcPr>
          <w:p w:rsidR="00065C6D" w:rsidRPr="00065C6D" w:rsidRDefault="00065C6D" w:rsidP="00845AAC">
            <w:pPr>
              <w:pStyle w:val="TableText"/>
              <w:ind w:left="66"/>
              <w:cnfStyle w:val="000000100000"/>
              <w:rPr>
                <w:rFonts w:ascii="Arial" w:hAnsi="Arial" w:cs="Arial"/>
                <w:color w:val="auto"/>
              </w:rPr>
            </w:pPr>
            <w:r w:rsidRPr="00065C6D">
              <w:rPr>
                <w:rFonts w:ascii="Arial" w:hAnsi="Arial" w:cs="Arial"/>
                <w:color w:val="auto"/>
              </w:rPr>
              <w:t>New Homes Bonus Grant</w:t>
            </w:r>
          </w:p>
        </w:tc>
        <w:tc>
          <w:tcPr>
            <w:cnfStyle w:val="000010000000"/>
            <w:tcW w:w="1175" w:type="dxa"/>
          </w:tcPr>
          <w:p w:rsidR="00065C6D" w:rsidRPr="007761CE" w:rsidRDefault="00580D03" w:rsidP="00845AAC">
            <w:pPr>
              <w:pStyle w:val="TableRightBold"/>
              <w:ind w:right="142"/>
              <w:jc w:val="center"/>
              <w:rPr>
                <w:rStyle w:val="Bold"/>
                <w:rFonts w:ascii="Arial" w:hAnsi="Arial" w:cs="Arial"/>
                <w:color w:val="auto"/>
              </w:rPr>
            </w:pPr>
            <w:r w:rsidRPr="007761CE">
              <w:rPr>
                <w:rStyle w:val="Bold"/>
                <w:rFonts w:ascii="Arial" w:hAnsi="Arial" w:cs="Arial"/>
                <w:color w:val="auto"/>
              </w:rPr>
              <w:t>2.6</w:t>
            </w:r>
          </w:p>
        </w:tc>
      </w:tr>
      <w:tr w:rsidR="00065C6D" w:rsidRPr="00065C6D" w:rsidTr="00845AAC">
        <w:trPr>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0.6</w:t>
            </w:r>
          </w:p>
        </w:tc>
        <w:tc>
          <w:tcPr>
            <w:tcW w:w="4820" w:type="dxa"/>
          </w:tcPr>
          <w:p w:rsidR="00065C6D" w:rsidRPr="00065C6D" w:rsidRDefault="00065C6D" w:rsidP="00845AAC">
            <w:pPr>
              <w:pStyle w:val="TableText"/>
              <w:ind w:left="66"/>
              <w:cnfStyle w:val="000000000000"/>
              <w:rPr>
                <w:rFonts w:ascii="Arial" w:hAnsi="Arial" w:cs="Arial"/>
                <w:color w:val="auto"/>
              </w:rPr>
            </w:pPr>
            <w:r w:rsidRPr="00065C6D">
              <w:rPr>
                <w:rFonts w:ascii="Arial" w:hAnsi="Arial" w:cs="Arial"/>
                <w:color w:val="auto"/>
              </w:rPr>
              <w:t>Council Tax Freeze Grant</w:t>
            </w:r>
          </w:p>
        </w:tc>
        <w:tc>
          <w:tcPr>
            <w:cnfStyle w:val="000010000000"/>
            <w:tcW w:w="1175" w:type="dxa"/>
          </w:tcPr>
          <w:p w:rsidR="00065C6D" w:rsidRPr="007761CE" w:rsidRDefault="00580D03" w:rsidP="00845AAC">
            <w:pPr>
              <w:pStyle w:val="TableRightBold"/>
              <w:ind w:right="142"/>
              <w:jc w:val="center"/>
              <w:rPr>
                <w:rStyle w:val="Bold"/>
                <w:rFonts w:ascii="Arial" w:hAnsi="Arial" w:cs="Arial"/>
                <w:color w:val="auto"/>
              </w:rPr>
            </w:pPr>
            <w:r w:rsidRPr="007761CE">
              <w:rPr>
                <w:rStyle w:val="Bold"/>
                <w:rFonts w:ascii="Arial" w:hAnsi="Arial" w:cs="Arial"/>
                <w:color w:val="auto"/>
              </w:rPr>
              <w:t>0.6</w:t>
            </w:r>
          </w:p>
        </w:tc>
      </w:tr>
      <w:tr w:rsidR="00065C6D" w:rsidRPr="00065C6D" w:rsidTr="00845AAC">
        <w:trPr>
          <w:cnfStyle w:val="000000100000"/>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29.4</w:t>
            </w:r>
          </w:p>
        </w:tc>
        <w:tc>
          <w:tcPr>
            <w:tcW w:w="4820" w:type="dxa"/>
          </w:tcPr>
          <w:p w:rsidR="00065C6D" w:rsidRPr="00065C6D" w:rsidRDefault="00065C6D" w:rsidP="002664EA">
            <w:pPr>
              <w:pStyle w:val="TableText"/>
              <w:ind w:left="66"/>
              <w:cnfStyle w:val="000000100000"/>
              <w:rPr>
                <w:rFonts w:ascii="Arial" w:hAnsi="Arial" w:cs="Arial"/>
                <w:color w:val="auto"/>
              </w:rPr>
            </w:pPr>
            <w:r w:rsidRPr="00065C6D">
              <w:rPr>
                <w:rFonts w:ascii="Arial" w:hAnsi="Arial" w:cs="Arial"/>
                <w:color w:val="auto"/>
              </w:rPr>
              <w:t>NNDR Retention Scheme</w:t>
            </w:r>
          </w:p>
        </w:tc>
        <w:tc>
          <w:tcPr>
            <w:cnfStyle w:val="000010000000"/>
            <w:tcW w:w="1175" w:type="dxa"/>
          </w:tcPr>
          <w:p w:rsidR="00065C6D" w:rsidRPr="007761CE" w:rsidRDefault="00580D03" w:rsidP="00845AAC">
            <w:pPr>
              <w:pStyle w:val="TableRightBold"/>
              <w:ind w:right="142"/>
              <w:jc w:val="center"/>
              <w:rPr>
                <w:rStyle w:val="Bold"/>
                <w:rFonts w:ascii="Arial" w:hAnsi="Arial" w:cs="Arial"/>
                <w:color w:val="auto"/>
              </w:rPr>
            </w:pPr>
            <w:r w:rsidRPr="007761CE">
              <w:rPr>
                <w:rStyle w:val="Bold"/>
                <w:rFonts w:ascii="Arial" w:hAnsi="Arial" w:cs="Arial"/>
                <w:color w:val="auto"/>
              </w:rPr>
              <w:t>30.7</w:t>
            </w:r>
          </w:p>
        </w:tc>
      </w:tr>
      <w:tr w:rsidR="00065C6D" w:rsidRPr="00065C6D" w:rsidTr="00845AAC">
        <w:trPr>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8.6</w:t>
            </w:r>
          </w:p>
        </w:tc>
        <w:tc>
          <w:tcPr>
            <w:tcW w:w="4820" w:type="dxa"/>
          </w:tcPr>
          <w:p w:rsidR="00065C6D" w:rsidRPr="00065C6D" w:rsidRDefault="00065C6D" w:rsidP="00845AAC">
            <w:pPr>
              <w:pStyle w:val="TableText"/>
              <w:ind w:left="66"/>
              <w:cnfStyle w:val="000000000000"/>
              <w:rPr>
                <w:rFonts w:ascii="Arial" w:hAnsi="Arial" w:cs="Arial"/>
                <w:color w:val="auto"/>
              </w:rPr>
            </w:pPr>
            <w:r w:rsidRPr="00065C6D">
              <w:rPr>
                <w:rFonts w:ascii="Arial" w:hAnsi="Arial" w:cs="Arial"/>
                <w:color w:val="auto"/>
              </w:rPr>
              <w:t>Capital Grants &amp; Contributions</w:t>
            </w:r>
          </w:p>
        </w:tc>
        <w:tc>
          <w:tcPr>
            <w:cnfStyle w:val="000010000000"/>
            <w:tcW w:w="1175" w:type="dxa"/>
          </w:tcPr>
          <w:p w:rsidR="00065C6D" w:rsidRPr="007761CE" w:rsidRDefault="00580D03" w:rsidP="00845AAC">
            <w:pPr>
              <w:pStyle w:val="TableRightBold"/>
              <w:ind w:right="142"/>
              <w:jc w:val="center"/>
              <w:rPr>
                <w:rStyle w:val="Bold"/>
                <w:rFonts w:ascii="Arial" w:hAnsi="Arial" w:cs="Arial"/>
                <w:color w:val="auto"/>
              </w:rPr>
            </w:pPr>
            <w:r w:rsidRPr="007761CE">
              <w:rPr>
                <w:rStyle w:val="Bold"/>
                <w:rFonts w:ascii="Arial" w:hAnsi="Arial" w:cs="Arial"/>
                <w:color w:val="auto"/>
              </w:rPr>
              <w:t>7.5</w:t>
            </w:r>
          </w:p>
        </w:tc>
      </w:tr>
      <w:tr w:rsidR="00065C6D" w:rsidRPr="00065C6D" w:rsidTr="00845AAC">
        <w:trPr>
          <w:cnfStyle w:val="000000100000"/>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b/>
                <w:color w:val="auto"/>
              </w:rPr>
            </w:pPr>
            <w:r w:rsidRPr="00065C6D">
              <w:rPr>
                <w:rStyle w:val="Bold"/>
                <w:rFonts w:ascii="Arial" w:hAnsi="Arial" w:cs="Arial"/>
                <w:b/>
                <w:color w:val="auto"/>
              </w:rPr>
              <w:t>78.1</w:t>
            </w:r>
          </w:p>
        </w:tc>
        <w:tc>
          <w:tcPr>
            <w:tcW w:w="4820" w:type="dxa"/>
          </w:tcPr>
          <w:p w:rsidR="00065C6D" w:rsidRPr="00065C6D" w:rsidRDefault="00196A82" w:rsidP="00845AAC">
            <w:pPr>
              <w:pStyle w:val="TableText"/>
              <w:ind w:left="66"/>
              <w:cnfStyle w:val="000000100000"/>
              <w:rPr>
                <w:rFonts w:ascii="Arial" w:hAnsi="Arial" w:cs="Arial"/>
                <w:b/>
                <w:color w:val="auto"/>
              </w:rPr>
            </w:pPr>
            <w:r>
              <w:rPr>
                <w:rFonts w:ascii="Arial" w:hAnsi="Arial" w:cs="Arial"/>
                <w:b/>
                <w:color w:val="auto"/>
              </w:rPr>
              <w:t xml:space="preserve">Sub </w:t>
            </w:r>
            <w:r w:rsidR="00065C6D" w:rsidRPr="00065C6D">
              <w:rPr>
                <w:rFonts w:ascii="Arial" w:hAnsi="Arial" w:cs="Arial"/>
                <w:b/>
                <w:color w:val="auto"/>
              </w:rPr>
              <w:t>Total</w:t>
            </w:r>
          </w:p>
        </w:tc>
        <w:tc>
          <w:tcPr>
            <w:cnfStyle w:val="000010000000"/>
            <w:tcW w:w="1175" w:type="dxa"/>
          </w:tcPr>
          <w:p w:rsidR="00065C6D" w:rsidRPr="00065C6D" w:rsidRDefault="007761CE" w:rsidP="00EA218C">
            <w:pPr>
              <w:pStyle w:val="TableRightBold"/>
              <w:ind w:right="142"/>
              <w:jc w:val="center"/>
              <w:rPr>
                <w:rStyle w:val="Bold"/>
                <w:rFonts w:ascii="Arial" w:hAnsi="Arial" w:cs="Arial"/>
                <w:b/>
                <w:color w:val="auto"/>
              </w:rPr>
            </w:pPr>
            <w:r>
              <w:rPr>
                <w:rStyle w:val="Bold"/>
                <w:rFonts w:ascii="Arial" w:hAnsi="Arial" w:cs="Arial"/>
                <w:b/>
                <w:color w:val="auto"/>
              </w:rPr>
              <w:t>67.4</w:t>
            </w:r>
          </w:p>
        </w:tc>
      </w:tr>
      <w:tr w:rsidR="00065C6D" w:rsidRPr="00065C6D" w:rsidTr="00845AAC">
        <w:trPr>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b/>
                <w:color w:val="auto"/>
              </w:rPr>
            </w:pPr>
          </w:p>
        </w:tc>
        <w:tc>
          <w:tcPr>
            <w:tcW w:w="4820" w:type="dxa"/>
          </w:tcPr>
          <w:p w:rsidR="00065C6D" w:rsidRPr="00065C6D" w:rsidRDefault="00065C6D" w:rsidP="00845AAC">
            <w:pPr>
              <w:pStyle w:val="TableText"/>
              <w:ind w:left="66"/>
              <w:cnfStyle w:val="000000000000"/>
              <w:rPr>
                <w:rFonts w:ascii="Arial" w:hAnsi="Arial" w:cs="Arial"/>
                <w:color w:val="auto"/>
              </w:rPr>
            </w:pPr>
            <w:r w:rsidRPr="00065C6D">
              <w:rPr>
                <w:rStyle w:val="Bold"/>
                <w:rFonts w:ascii="Arial" w:hAnsi="Arial" w:cs="Arial"/>
                <w:color w:val="auto"/>
              </w:rPr>
              <w:t>Credited to Cost of Services</w:t>
            </w:r>
          </w:p>
        </w:tc>
        <w:tc>
          <w:tcPr>
            <w:cnfStyle w:val="000010000000"/>
            <w:tcW w:w="1175" w:type="dxa"/>
          </w:tcPr>
          <w:p w:rsidR="00065C6D" w:rsidRPr="00065C6D" w:rsidRDefault="00065C6D" w:rsidP="00845AAC">
            <w:pPr>
              <w:pStyle w:val="TableRightBold"/>
              <w:ind w:right="142"/>
              <w:jc w:val="center"/>
              <w:rPr>
                <w:rStyle w:val="Bold"/>
                <w:rFonts w:ascii="Arial" w:hAnsi="Arial" w:cs="Arial"/>
                <w:b/>
                <w:color w:val="auto"/>
              </w:rPr>
            </w:pPr>
          </w:p>
        </w:tc>
      </w:tr>
      <w:tr w:rsidR="00065C6D" w:rsidRPr="00065C6D" w:rsidTr="00845AAC">
        <w:trPr>
          <w:cnfStyle w:val="000000100000"/>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41.7</w:t>
            </w:r>
          </w:p>
        </w:tc>
        <w:tc>
          <w:tcPr>
            <w:tcW w:w="4820" w:type="dxa"/>
          </w:tcPr>
          <w:p w:rsidR="00065C6D" w:rsidRPr="00065C6D" w:rsidRDefault="00065C6D" w:rsidP="00F40FD6">
            <w:pPr>
              <w:pStyle w:val="TableText"/>
              <w:ind w:left="66"/>
              <w:cnfStyle w:val="000000100000"/>
              <w:rPr>
                <w:rFonts w:ascii="Arial" w:hAnsi="Arial" w:cs="Arial"/>
                <w:color w:val="auto"/>
              </w:rPr>
            </w:pPr>
            <w:r w:rsidRPr="00065C6D">
              <w:rPr>
                <w:rFonts w:ascii="Arial" w:hAnsi="Arial" w:cs="Arial"/>
                <w:color w:val="auto"/>
              </w:rPr>
              <w:t>Dedicated Schools Grant (Dept of Education)</w:t>
            </w:r>
          </w:p>
        </w:tc>
        <w:tc>
          <w:tcPr>
            <w:cnfStyle w:val="000010000000"/>
            <w:tcW w:w="1175" w:type="dxa"/>
          </w:tcPr>
          <w:p w:rsidR="00065C6D" w:rsidRPr="00065C6D" w:rsidRDefault="00AE7740" w:rsidP="00845AAC">
            <w:pPr>
              <w:pStyle w:val="TableRightBold"/>
              <w:ind w:right="142"/>
              <w:jc w:val="center"/>
              <w:rPr>
                <w:rStyle w:val="Bold"/>
                <w:rFonts w:ascii="Arial" w:hAnsi="Arial" w:cs="Arial"/>
                <w:color w:val="auto"/>
              </w:rPr>
            </w:pPr>
            <w:r>
              <w:rPr>
                <w:rStyle w:val="Bold"/>
                <w:rFonts w:ascii="Arial" w:hAnsi="Arial" w:cs="Arial"/>
                <w:color w:val="auto"/>
              </w:rPr>
              <w:t>39.3</w:t>
            </w:r>
          </w:p>
        </w:tc>
      </w:tr>
      <w:tr w:rsidR="00065C6D" w:rsidRPr="00065C6D" w:rsidTr="00845AAC">
        <w:trPr>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68.6</w:t>
            </w:r>
          </w:p>
        </w:tc>
        <w:tc>
          <w:tcPr>
            <w:tcW w:w="4820" w:type="dxa"/>
          </w:tcPr>
          <w:p w:rsidR="00065C6D" w:rsidRPr="00065C6D" w:rsidRDefault="00065C6D" w:rsidP="005165E5">
            <w:pPr>
              <w:pStyle w:val="TableText"/>
              <w:ind w:left="66"/>
              <w:cnfStyle w:val="000000000000"/>
              <w:rPr>
                <w:rFonts w:ascii="Arial" w:hAnsi="Arial" w:cs="Arial"/>
                <w:color w:val="auto"/>
              </w:rPr>
            </w:pPr>
            <w:r w:rsidRPr="00065C6D">
              <w:rPr>
                <w:rFonts w:ascii="Arial" w:hAnsi="Arial" w:cs="Arial"/>
                <w:color w:val="auto"/>
              </w:rPr>
              <w:t>Benefit Subsidy &amp; Admin Grant (D</w:t>
            </w:r>
            <w:r w:rsidR="005165E5">
              <w:rPr>
                <w:rFonts w:ascii="Arial" w:hAnsi="Arial" w:cs="Arial"/>
                <w:color w:val="auto"/>
              </w:rPr>
              <w:t>WP</w:t>
            </w:r>
            <w:r w:rsidRPr="00065C6D">
              <w:rPr>
                <w:rFonts w:ascii="Arial" w:hAnsi="Arial" w:cs="Arial"/>
                <w:color w:val="auto"/>
              </w:rPr>
              <w:t>)</w:t>
            </w:r>
          </w:p>
        </w:tc>
        <w:tc>
          <w:tcPr>
            <w:cnfStyle w:val="000010000000"/>
            <w:tcW w:w="1175" w:type="dxa"/>
          </w:tcPr>
          <w:p w:rsidR="00065C6D" w:rsidRPr="00065C6D" w:rsidRDefault="00580D03" w:rsidP="00845AAC">
            <w:pPr>
              <w:pStyle w:val="TableRightBold"/>
              <w:ind w:right="142"/>
              <w:jc w:val="center"/>
              <w:rPr>
                <w:rStyle w:val="Bold"/>
                <w:rFonts w:ascii="Arial" w:hAnsi="Arial" w:cs="Arial"/>
                <w:color w:val="auto"/>
              </w:rPr>
            </w:pPr>
            <w:r>
              <w:rPr>
                <w:rStyle w:val="Bold"/>
                <w:rFonts w:ascii="Arial" w:hAnsi="Arial" w:cs="Arial"/>
                <w:color w:val="auto"/>
              </w:rPr>
              <w:t>67.7</w:t>
            </w:r>
          </w:p>
        </w:tc>
      </w:tr>
      <w:tr w:rsidR="00065C6D" w:rsidRPr="00065C6D" w:rsidTr="00845AAC">
        <w:trPr>
          <w:cnfStyle w:val="000000100000"/>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2.6</w:t>
            </w:r>
          </w:p>
        </w:tc>
        <w:tc>
          <w:tcPr>
            <w:tcW w:w="4820" w:type="dxa"/>
          </w:tcPr>
          <w:p w:rsidR="00065C6D" w:rsidRPr="00065C6D" w:rsidRDefault="00065C6D" w:rsidP="00845AAC">
            <w:pPr>
              <w:pStyle w:val="TableText"/>
              <w:ind w:left="66"/>
              <w:cnfStyle w:val="000000100000"/>
              <w:rPr>
                <w:rFonts w:ascii="Arial" w:hAnsi="Arial" w:cs="Arial"/>
                <w:color w:val="auto"/>
              </w:rPr>
            </w:pPr>
            <w:r w:rsidRPr="00065C6D">
              <w:rPr>
                <w:rFonts w:ascii="Arial" w:hAnsi="Arial" w:cs="Arial"/>
                <w:color w:val="auto"/>
              </w:rPr>
              <w:t>Pupil Premium</w:t>
            </w:r>
          </w:p>
        </w:tc>
        <w:tc>
          <w:tcPr>
            <w:cnfStyle w:val="000010000000"/>
            <w:tcW w:w="1175" w:type="dxa"/>
          </w:tcPr>
          <w:p w:rsidR="00065C6D" w:rsidRPr="00065C6D" w:rsidRDefault="00580D03" w:rsidP="00845AAC">
            <w:pPr>
              <w:pStyle w:val="TableRightBold"/>
              <w:ind w:right="142"/>
              <w:jc w:val="center"/>
              <w:rPr>
                <w:rStyle w:val="Bold"/>
                <w:rFonts w:ascii="Arial" w:hAnsi="Arial" w:cs="Arial"/>
                <w:color w:val="auto"/>
              </w:rPr>
            </w:pPr>
            <w:r>
              <w:rPr>
                <w:rStyle w:val="Bold"/>
                <w:rFonts w:ascii="Arial" w:hAnsi="Arial" w:cs="Arial"/>
                <w:color w:val="auto"/>
              </w:rPr>
              <w:t>2.2</w:t>
            </w:r>
          </w:p>
        </w:tc>
      </w:tr>
      <w:tr w:rsidR="00065C6D" w:rsidRPr="00065C6D" w:rsidTr="00845AAC">
        <w:trPr>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2.0</w:t>
            </w:r>
          </w:p>
        </w:tc>
        <w:tc>
          <w:tcPr>
            <w:tcW w:w="4820" w:type="dxa"/>
          </w:tcPr>
          <w:p w:rsidR="00065C6D" w:rsidRPr="00065C6D" w:rsidRDefault="00065C6D" w:rsidP="00845AAC">
            <w:pPr>
              <w:pStyle w:val="TableText"/>
              <w:ind w:left="66"/>
              <w:cnfStyle w:val="000000000000"/>
              <w:rPr>
                <w:rFonts w:ascii="Arial" w:hAnsi="Arial" w:cs="Arial"/>
                <w:color w:val="auto"/>
              </w:rPr>
            </w:pPr>
            <w:r w:rsidRPr="00065C6D">
              <w:rPr>
                <w:rFonts w:ascii="Arial" w:hAnsi="Arial" w:cs="Arial"/>
                <w:color w:val="auto"/>
              </w:rPr>
              <w:t>Post 16 Funding (Learning &amp; Skills Council)</w:t>
            </w:r>
          </w:p>
        </w:tc>
        <w:tc>
          <w:tcPr>
            <w:cnfStyle w:val="000010000000"/>
            <w:tcW w:w="1175" w:type="dxa"/>
          </w:tcPr>
          <w:p w:rsidR="00065C6D" w:rsidRPr="00065C6D" w:rsidRDefault="00580D03" w:rsidP="00845AAC">
            <w:pPr>
              <w:pStyle w:val="TableRightBold"/>
              <w:ind w:right="142"/>
              <w:jc w:val="center"/>
              <w:rPr>
                <w:rStyle w:val="Bold"/>
                <w:rFonts w:ascii="Arial" w:hAnsi="Arial" w:cs="Arial"/>
                <w:color w:val="auto"/>
              </w:rPr>
            </w:pPr>
            <w:r>
              <w:rPr>
                <w:rStyle w:val="Bold"/>
                <w:rFonts w:ascii="Arial" w:hAnsi="Arial" w:cs="Arial"/>
                <w:color w:val="auto"/>
              </w:rPr>
              <w:t>1.8</w:t>
            </w:r>
          </w:p>
        </w:tc>
      </w:tr>
      <w:tr w:rsidR="00065C6D" w:rsidRPr="00065C6D" w:rsidTr="00845AAC">
        <w:trPr>
          <w:cnfStyle w:val="000000100000"/>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7.4</w:t>
            </w:r>
          </w:p>
        </w:tc>
        <w:tc>
          <w:tcPr>
            <w:tcW w:w="4820" w:type="dxa"/>
          </w:tcPr>
          <w:p w:rsidR="00065C6D" w:rsidRPr="00065C6D" w:rsidRDefault="00065C6D" w:rsidP="00845AAC">
            <w:pPr>
              <w:pStyle w:val="TableText"/>
              <w:ind w:left="66"/>
              <w:cnfStyle w:val="000000100000"/>
              <w:rPr>
                <w:rFonts w:ascii="Arial" w:hAnsi="Arial" w:cs="Arial"/>
                <w:color w:val="auto"/>
              </w:rPr>
            </w:pPr>
            <w:r w:rsidRPr="00065C6D">
              <w:rPr>
                <w:rFonts w:ascii="Arial" w:hAnsi="Arial" w:cs="Arial"/>
                <w:color w:val="auto"/>
              </w:rPr>
              <w:t>Public Health Grant</w:t>
            </w:r>
          </w:p>
        </w:tc>
        <w:tc>
          <w:tcPr>
            <w:cnfStyle w:val="000010000000"/>
            <w:tcW w:w="1175" w:type="dxa"/>
          </w:tcPr>
          <w:p w:rsidR="00065C6D" w:rsidRPr="00065C6D" w:rsidRDefault="00580D03" w:rsidP="00845AAC">
            <w:pPr>
              <w:pStyle w:val="TableRightBold"/>
              <w:ind w:right="142"/>
              <w:jc w:val="center"/>
              <w:rPr>
                <w:rStyle w:val="Bold"/>
                <w:rFonts w:ascii="Arial" w:hAnsi="Arial" w:cs="Arial"/>
                <w:color w:val="auto"/>
              </w:rPr>
            </w:pPr>
            <w:r>
              <w:rPr>
                <w:rStyle w:val="Bold"/>
                <w:rFonts w:ascii="Arial" w:hAnsi="Arial" w:cs="Arial"/>
                <w:color w:val="auto"/>
              </w:rPr>
              <w:t>8.3</w:t>
            </w:r>
          </w:p>
        </w:tc>
      </w:tr>
      <w:tr w:rsidR="00065C6D" w:rsidRPr="00065C6D" w:rsidTr="00845AAC">
        <w:trPr>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6.6</w:t>
            </w:r>
          </w:p>
        </w:tc>
        <w:tc>
          <w:tcPr>
            <w:tcW w:w="4820" w:type="dxa"/>
          </w:tcPr>
          <w:p w:rsidR="00065C6D" w:rsidRPr="00065C6D" w:rsidRDefault="00065C6D" w:rsidP="00845AAC">
            <w:pPr>
              <w:pStyle w:val="TableText"/>
              <w:ind w:left="66"/>
              <w:cnfStyle w:val="000000000000"/>
              <w:rPr>
                <w:rFonts w:ascii="Arial" w:hAnsi="Arial" w:cs="Arial"/>
                <w:color w:val="auto"/>
              </w:rPr>
            </w:pPr>
            <w:r w:rsidRPr="00065C6D">
              <w:rPr>
                <w:rFonts w:ascii="Arial" w:hAnsi="Arial" w:cs="Arial"/>
                <w:color w:val="auto"/>
              </w:rPr>
              <w:t>Other Central Government Grants – Revenue</w:t>
            </w:r>
          </w:p>
        </w:tc>
        <w:tc>
          <w:tcPr>
            <w:cnfStyle w:val="000010000000"/>
            <w:tcW w:w="1175" w:type="dxa"/>
          </w:tcPr>
          <w:p w:rsidR="00065C6D" w:rsidRPr="00065C6D" w:rsidRDefault="007761CE" w:rsidP="00436BC4">
            <w:pPr>
              <w:pStyle w:val="TableRightBold"/>
              <w:ind w:right="142"/>
              <w:jc w:val="center"/>
              <w:rPr>
                <w:rStyle w:val="Bold"/>
                <w:rFonts w:ascii="Arial" w:hAnsi="Arial" w:cs="Arial"/>
                <w:color w:val="auto"/>
              </w:rPr>
            </w:pPr>
            <w:r>
              <w:rPr>
                <w:rStyle w:val="Bold"/>
                <w:rFonts w:ascii="Arial" w:hAnsi="Arial" w:cs="Arial"/>
                <w:color w:val="auto"/>
              </w:rPr>
              <w:t>9.</w:t>
            </w:r>
            <w:r w:rsidR="00436BC4">
              <w:rPr>
                <w:rStyle w:val="Bold"/>
                <w:rFonts w:ascii="Arial" w:hAnsi="Arial" w:cs="Arial"/>
                <w:color w:val="auto"/>
              </w:rPr>
              <w:t>1</w:t>
            </w:r>
          </w:p>
        </w:tc>
      </w:tr>
      <w:tr w:rsidR="00065C6D" w:rsidRPr="00065C6D" w:rsidTr="00845AAC">
        <w:trPr>
          <w:cnfStyle w:val="000000100000"/>
          <w:trHeight w:val="60"/>
        </w:trPr>
        <w:tc>
          <w:tcPr>
            <w:cnfStyle w:val="000010000000"/>
            <w:tcW w:w="1742" w:type="dxa"/>
          </w:tcPr>
          <w:p w:rsidR="00065C6D" w:rsidRPr="00065C6D" w:rsidRDefault="00065C6D" w:rsidP="00065C6D">
            <w:pPr>
              <w:pStyle w:val="TableRightBold"/>
              <w:ind w:right="142"/>
              <w:jc w:val="center"/>
              <w:rPr>
                <w:rStyle w:val="Bold"/>
                <w:rFonts w:ascii="Arial" w:hAnsi="Arial" w:cs="Arial"/>
                <w:color w:val="auto"/>
              </w:rPr>
            </w:pPr>
            <w:r w:rsidRPr="00065C6D">
              <w:rPr>
                <w:rStyle w:val="Bold"/>
                <w:rFonts w:ascii="Arial" w:hAnsi="Arial" w:cs="Arial"/>
                <w:color w:val="auto"/>
              </w:rPr>
              <w:t>1.1</w:t>
            </w:r>
          </w:p>
        </w:tc>
        <w:tc>
          <w:tcPr>
            <w:tcW w:w="4820" w:type="dxa"/>
          </w:tcPr>
          <w:p w:rsidR="00065C6D" w:rsidRPr="00065C6D" w:rsidRDefault="00065C6D" w:rsidP="00845AAC">
            <w:pPr>
              <w:pStyle w:val="TableText"/>
              <w:ind w:left="66"/>
              <w:cnfStyle w:val="000000100000"/>
              <w:rPr>
                <w:rFonts w:ascii="Arial" w:hAnsi="Arial" w:cs="Arial"/>
                <w:color w:val="auto"/>
              </w:rPr>
            </w:pPr>
            <w:r w:rsidRPr="00065C6D">
              <w:rPr>
                <w:rFonts w:ascii="Arial" w:hAnsi="Arial" w:cs="Arial"/>
                <w:color w:val="auto"/>
              </w:rPr>
              <w:t>Other Central Government Grants – Refcus *</w:t>
            </w:r>
          </w:p>
        </w:tc>
        <w:tc>
          <w:tcPr>
            <w:cnfStyle w:val="000010000000"/>
            <w:tcW w:w="1175" w:type="dxa"/>
          </w:tcPr>
          <w:p w:rsidR="00065C6D" w:rsidRPr="00065C6D" w:rsidRDefault="00580D03" w:rsidP="00AD067E">
            <w:pPr>
              <w:pStyle w:val="TableRightBold"/>
              <w:ind w:right="142"/>
              <w:jc w:val="center"/>
              <w:rPr>
                <w:rStyle w:val="Bold"/>
                <w:rFonts w:ascii="Arial" w:hAnsi="Arial" w:cs="Arial"/>
                <w:color w:val="auto"/>
              </w:rPr>
            </w:pPr>
            <w:r>
              <w:rPr>
                <w:rStyle w:val="Bold"/>
                <w:rFonts w:ascii="Arial" w:hAnsi="Arial" w:cs="Arial"/>
                <w:color w:val="auto"/>
              </w:rPr>
              <w:t>2.</w:t>
            </w:r>
            <w:r w:rsidR="00AD067E">
              <w:rPr>
                <w:rStyle w:val="Bold"/>
                <w:rFonts w:ascii="Arial" w:hAnsi="Arial" w:cs="Arial"/>
                <w:color w:val="auto"/>
              </w:rPr>
              <w:t>2</w:t>
            </w:r>
          </w:p>
        </w:tc>
      </w:tr>
      <w:tr w:rsidR="00196A82" w:rsidRPr="00065C6D" w:rsidTr="00845AAC">
        <w:trPr>
          <w:trHeight w:val="60"/>
        </w:trPr>
        <w:tc>
          <w:tcPr>
            <w:cnfStyle w:val="000010000000"/>
            <w:tcW w:w="1742" w:type="dxa"/>
          </w:tcPr>
          <w:p w:rsidR="00196A82" w:rsidRPr="00065C6D" w:rsidRDefault="00196A82" w:rsidP="00EA6482">
            <w:pPr>
              <w:pStyle w:val="TableRightBold"/>
              <w:ind w:right="142"/>
              <w:jc w:val="center"/>
              <w:rPr>
                <w:rStyle w:val="Bold"/>
                <w:rFonts w:ascii="Arial" w:hAnsi="Arial" w:cs="Arial"/>
                <w:b/>
                <w:color w:val="auto"/>
              </w:rPr>
            </w:pPr>
            <w:r>
              <w:rPr>
                <w:rStyle w:val="Bold"/>
                <w:rFonts w:ascii="Arial" w:hAnsi="Arial" w:cs="Arial"/>
                <w:b/>
                <w:color w:val="auto"/>
              </w:rPr>
              <w:t>130.0</w:t>
            </w:r>
          </w:p>
        </w:tc>
        <w:tc>
          <w:tcPr>
            <w:tcW w:w="4820" w:type="dxa"/>
          </w:tcPr>
          <w:p w:rsidR="00196A82" w:rsidRPr="00065C6D" w:rsidRDefault="00196A82" w:rsidP="00EA6482">
            <w:pPr>
              <w:pStyle w:val="TableText"/>
              <w:ind w:left="66"/>
              <w:cnfStyle w:val="000000000000"/>
              <w:rPr>
                <w:rFonts w:ascii="Arial" w:hAnsi="Arial" w:cs="Arial"/>
                <w:b/>
                <w:color w:val="auto"/>
              </w:rPr>
            </w:pPr>
            <w:r>
              <w:rPr>
                <w:rFonts w:ascii="Arial" w:hAnsi="Arial" w:cs="Arial"/>
                <w:b/>
                <w:color w:val="auto"/>
              </w:rPr>
              <w:t xml:space="preserve">Sub </w:t>
            </w:r>
            <w:r w:rsidRPr="00065C6D">
              <w:rPr>
                <w:rFonts w:ascii="Arial" w:hAnsi="Arial" w:cs="Arial"/>
                <w:b/>
                <w:color w:val="auto"/>
              </w:rPr>
              <w:t>Total</w:t>
            </w:r>
          </w:p>
        </w:tc>
        <w:tc>
          <w:tcPr>
            <w:cnfStyle w:val="000010000000"/>
            <w:tcW w:w="1175" w:type="dxa"/>
          </w:tcPr>
          <w:p w:rsidR="00196A82" w:rsidRPr="00065C6D" w:rsidRDefault="00196A82" w:rsidP="00436BC4">
            <w:pPr>
              <w:pStyle w:val="TableRightBold"/>
              <w:ind w:right="142"/>
              <w:jc w:val="center"/>
              <w:rPr>
                <w:rStyle w:val="Bold"/>
                <w:rFonts w:ascii="Arial" w:hAnsi="Arial" w:cs="Arial"/>
                <w:b/>
                <w:color w:val="auto"/>
              </w:rPr>
            </w:pPr>
            <w:r>
              <w:rPr>
                <w:rStyle w:val="Bold"/>
                <w:rFonts w:ascii="Arial" w:hAnsi="Arial" w:cs="Arial"/>
                <w:b/>
                <w:color w:val="auto"/>
              </w:rPr>
              <w:t>1</w:t>
            </w:r>
            <w:r w:rsidR="007761CE">
              <w:rPr>
                <w:rStyle w:val="Bold"/>
                <w:rFonts w:ascii="Arial" w:hAnsi="Arial" w:cs="Arial"/>
                <w:b/>
                <w:color w:val="auto"/>
              </w:rPr>
              <w:t>30.</w:t>
            </w:r>
            <w:r w:rsidR="00436BC4">
              <w:rPr>
                <w:rStyle w:val="Bold"/>
                <w:rFonts w:ascii="Arial" w:hAnsi="Arial" w:cs="Arial"/>
                <w:b/>
                <w:color w:val="auto"/>
              </w:rPr>
              <w:t>6</w:t>
            </w:r>
          </w:p>
        </w:tc>
      </w:tr>
      <w:tr w:rsidR="00196A82" w:rsidRPr="00065C6D" w:rsidTr="00845AAC">
        <w:trPr>
          <w:cnfStyle w:val="000000100000"/>
          <w:trHeight w:val="60"/>
        </w:trPr>
        <w:tc>
          <w:tcPr>
            <w:cnfStyle w:val="000010000000"/>
            <w:tcW w:w="1742" w:type="dxa"/>
          </w:tcPr>
          <w:p w:rsidR="00196A82" w:rsidRPr="00065C6D" w:rsidRDefault="00196A82" w:rsidP="00065C6D">
            <w:pPr>
              <w:pStyle w:val="TableRightBold"/>
              <w:ind w:right="142"/>
              <w:jc w:val="center"/>
              <w:rPr>
                <w:rStyle w:val="Bold"/>
                <w:rFonts w:ascii="Arial" w:hAnsi="Arial" w:cs="Arial"/>
                <w:b/>
                <w:color w:val="auto"/>
              </w:rPr>
            </w:pPr>
            <w:r>
              <w:rPr>
                <w:rStyle w:val="Bold"/>
                <w:rFonts w:ascii="Arial" w:hAnsi="Arial" w:cs="Arial"/>
                <w:b/>
                <w:color w:val="auto"/>
              </w:rPr>
              <w:t>208.1</w:t>
            </w:r>
          </w:p>
        </w:tc>
        <w:tc>
          <w:tcPr>
            <w:tcW w:w="4820" w:type="dxa"/>
          </w:tcPr>
          <w:p w:rsidR="00196A82" w:rsidRPr="00065C6D" w:rsidRDefault="00196A82" w:rsidP="00845AAC">
            <w:pPr>
              <w:pStyle w:val="TableText"/>
              <w:ind w:left="66"/>
              <w:cnfStyle w:val="000000100000"/>
              <w:rPr>
                <w:rFonts w:ascii="Arial" w:hAnsi="Arial" w:cs="Arial"/>
                <w:b/>
                <w:color w:val="auto"/>
              </w:rPr>
            </w:pPr>
            <w:r w:rsidRPr="00065C6D">
              <w:rPr>
                <w:rFonts w:ascii="Arial" w:hAnsi="Arial" w:cs="Arial"/>
                <w:b/>
                <w:color w:val="auto"/>
              </w:rPr>
              <w:t>Total</w:t>
            </w:r>
          </w:p>
        </w:tc>
        <w:tc>
          <w:tcPr>
            <w:cnfStyle w:val="000010000000"/>
            <w:tcW w:w="1175" w:type="dxa"/>
          </w:tcPr>
          <w:p w:rsidR="00196A82" w:rsidRPr="00065C6D" w:rsidRDefault="00196A82" w:rsidP="00436BC4">
            <w:pPr>
              <w:pStyle w:val="TableRightBold"/>
              <w:ind w:right="142"/>
              <w:jc w:val="center"/>
              <w:rPr>
                <w:rStyle w:val="Bold"/>
                <w:rFonts w:ascii="Arial" w:hAnsi="Arial" w:cs="Arial"/>
                <w:b/>
                <w:color w:val="auto"/>
              </w:rPr>
            </w:pPr>
            <w:r>
              <w:rPr>
                <w:rStyle w:val="Bold"/>
                <w:rFonts w:ascii="Arial" w:hAnsi="Arial" w:cs="Arial"/>
                <w:b/>
                <w:color w:val="auto"/>
              </w:rPr>
              <w:t>19</w:t>
            </w:r>
            <w:r w:rsidR="00436BC4">
              <w:rPr>
                <w:rStyle w:val="Bold"/>
                <w:rFonts w:ascii="Arial" w:hAnsi="Arial" w:cs="Arial"/>
                <w:b/>
                <w:color w:val="auto"/>
              </w:rPr>
              <w:t>8.0</w:t>
            </w:r>
          </w:p>
        </w:tc>
      </w:tr>
    </w:tbl>
    <w:p w:rsidR="00E51139" w:rsidRPr="00D42E0B" w:rsidRDefault="00E51139" w:rsidP="003C5E34">
      <w:pPr>
        <w:pStyle w:val="CodeNotesExampleText"/>
        <w:widowControl w:val="0"/>
        <w:ind w:left="567"/>
        <w:outlineLvl w:val="0"/>
        <w:rPr>
          <w:rFonts w:cs="Arial"/>
          <w:color w:val="548DD4" w:themeColor="text2" w:themeTint="99"/>
          <w:sz w:val="20"/>
          <w:szCs w:val="20"/>
        </w:rPr>
      </w:pPr>
    </w:p>
    <w:p w:rsidR="002B7CA0" w:rsidRPr="00D42E0B" w:rsidRDefault="002B7CA0" w:rsidP="00845AAC">
      <w:pPr>
        <w:pStyle w:val="CodeNotesExampleText"/>
        <w:widowControl w:val="0"/>
        <w:rPr>
          <w:rFonts w:cs="Arial"/>
          <w:color w:val="548DD4" w:themeColor="text2" w:themeTint="99"/>
          <w:sz w:val="20"/>
          <w:szCs w:val="20"/>
        </w:rPr>
      </w:pPr>
    </w:p>
    <w:p w:rsidR="00E51139" w:rsidRPr="00397717" w:rsidRDefault="00E51139" w:rsidP="00845AAC">
      <w:pPr>
        <w:pStyle w:val="CodeNotesExampleText"/>
        <w:widowControl w:val="0"/>
        <w:ind w:left="567"/>
        <w:outlineLvl w:val="0"/>
        <w:rPr>
          <w:rFonts w:cs="Arial"/>
          <w:color w:val="auto"/>
          <w:sz w:val="20"/>
          <w:szCs w:val="20"/>
          <w:lang w:eastAsia="en-GB"/>
        </w:rPr>
      </w:pPr>
      <w:r w:rsidRPr="00397717">
        <w:rPr>
          <w:rFonts w:cs="Arial"/>
          <w:color w:val="auto"/>
          <w:sz w:val="20"/>
          <w:szCs w:val="20"/>
          <w:lang w:eastAsia="en-GB"/>
        </w:rPr>
        <w:t xml:space="preserve">In addition the Council has received a number of grants and contributions that have yet to be recognised as income as they have conditions attached to them that will require the monies or property to be returned </w:t>
      </w:r>
      <w:r w:rsidR="00BD680D" w:rsidRPr="00397717">
        <w:rPr>
          <w:rFonts w:cs="Arial"/>
          <w:color w:val="auto"/>
          <w:sz w:val="20"/>
          <w:szCs w:val="20"/>
          <w:lang w:eastAsia="en-GB"/>
        </w:rPr>
        <w:t>if conditions not met</w:t>
      </w:r>
      <w:r w:rsidRPr="00397717">
        <w:rPr>
          <w:rFonts w:cs="Arial"/>
          <w:color w:val="auto"/>
          <w:sz w:val="20"/>
          <w:szCs w:val="20"/>
          <w:lang w:eastAsia="en-GB"/>
        </w:rPr>
        <w:t xml:space="preserve">. </w:t>
      </w:r>
    </w:p>
    <w:p w:rsidR="00B72AC1" w:rsidRPr="00397717" w:rsidRDefault="00B72AC1" w:rsidP="00845AAC">
      <w:pPr>
        <w:pStyle w:val="CodeNotesExampleText"/>
        <w:widowControl w:val="0"/>
        <w:ind w:left="567"/>
        <w:outlineLvl w:val="0"/>
        <w:rPr>
          <w:rFonts w:cs="Arial"/>
          <w:color w:val="auto"/>
          <w:sz w:val="20"/>
          <w:szCs w:val="20"/>
          <w:lang w:eastAsia="en-GB"/>
        </w:rPr>
      </w:pPr>
    </w:p>
    <w:p w:rsidR="00E51139" w:rsidRPr="00397717" w:rsidRDefault="00E51139" w:rsidP="00845AAC">
      <w:pPr>
        <w:pStyle w:val="CodeNotesExampleText"/>
        <w:widowControl w:val="0"/>
        <w:ind w:left="567"/>
        <w:outlineLvl w:val="0"/>
        <w:rPr>
          <w:rFonts w:cs="Arial"/>
          <w:color w:val="auto"/>
          <w:sz w:val="20"/>
          <w:szCs w:val="20"/>
          <w:lang w:eastAsia="en-GB"/>
        </w:rPr>
      </w:pPr>
      <w:r w:rsidRPr="00397717">
        <w:rPr>
          <w:rFonts w:cs="Arial"/>
          <w:color w:val="auto"/>
          <w:sz w:val="20"/>
          <w:szCs w:val="20"/>
          <w:lang w:eastAsia="en-GB"/>
        </w:rPr>
        <w:t xml:space="preserve">Note * Refcus Grants are Capital Grants that are used to fund “Revenue Expenditure Funded Under Statute” where the Council has to charge to revenue, capital expenditure where no asset is created, such as spend in relation to Foundation </w:t>
      </w:r>
      <w:r w:rsidR="003541E5" w:rsidRPr="00397717">
        <w:rPr>
          <w:rFonts w:cs="Arial"/>
          <w:color w:val="auto"/>
          <w:sz w:val="20"/>
          <w:szCs w:val="20"/>
          <w:lang w:eastAsia="en-GB"/>
        </w:rPr>
        <w:t xml:space="preserve">or Academy </w:t>
      </w:r>
      <w:r w:rsidRPr="00397717">
        <w:rPr>
          <w:rFonts w:cs="Arial"/>
          <w:color w:val="auto"/>
          <w:sz w:val="20"/>
          <w:szCs w:val="20"/>
          <w:lang w:eastAsia="en-GB"/>
        </w:rPr>
        <w:t>schools where the Council does not recognise the asset on its balance sheet.</w:t>
      </w:r>
    </w:p>
    <w:p w:rsidR="00845AAC" w:rsidRPr="00397717" w:rsidRDefault="00845AAC" w:rsidP="00845AAC">
      <w:pPr>
        <w:pStyle w:val="Subtitle"/>
        <w:ind w:left="567" w:hanging="567"/>
        <w:rPr>
          <w:b/>
          <w:color w:val="auto"/>
          <w:sz w:val="22"/>
          <w:szCs w:val="22"/>
        </w:rPr>
      </w:pPr>
    </w:p>
    <w:p w:rsidR="00E51139" w:rsidRPr="00397717" w:rsidRDefault="005C68D8" w:rsidP="00845AAC">
      <w:pPr>
        <w:pStyle w:val="Subtitle"/>
        <w:ind w:left="567" w:hanging="567"/>
        <w:rPr>
          <w:b/>
          <w:color w:val="auto"/>
          <w:sz w:val="22"/>
          <w:szCs w:val="22"/>
        </w:rPr>
      </w:pPr>
      <w:r w:rsidRPr="00397717">
        <w:rPr>
          <w:b/>
          <w:color w:val="auto"/>
          <w:sz w:val="22"/>
          <w:szCs w:val="22"/>
        </w:rPr>
        <w:t>3</w:t>
      </w:r>
      <w:r w:rsidR="000A1BAE" w:rsidRPr="00397717">
        <w:rPr>
          <w:b/>
          <w:color w:val="auto"/>
          <w:sz w:val="22"/>
          <w:szCs w:val="22"/>
        </w:rPr>
        <w:t>1</w:t>
      </w:r>
      <w:r w:rsidR="00E51139" w:rsidRPr="00397717">
        <w:rPr>
          <w:b/>
          <w:color w:val="auto"/>
          <w:sz w:val="22"/>
          <w:szCs w:val="22"/>
        </w:rPr>
        <w:t>.</w:t>
      </w:r>
      <w:r w:rsidR="00E51139" w:rsidRPr="00397717">
        <w:rPr>
          <w:b/>
          <w:color w:val="auto"/>
          <w:sz w:val="22"/>
          <w:szCs w:val="22"/>
        </w:rPr>
        <w:tab/>
        <w:t>Related Parties</w:t>
      </w:r>
    </w:p>
    <w:p w:rsidR="00E51139" w:rsidRPr="00397717" w:rsidRDefault="00E51139" w:rsidP="00845AAC">
      <w:pPr>
        <w:pStyle w:val="CodeNotesExampleText"/>
        <w:widowControl w:val="0"/>
        <w:ind w:left="567"/>
        <w:outlineLvl w:val="0"/>
        <w:rPr>
          <w:rFonts w:cs="Arial"/>
          <w:color w:val="auto"/>
          <w:sz w:val="20"/>
          <w:szCs w:val="20"/>
          <w:lang w:eastAsia="en-GB"/>
        </w:rPr>
      </w:pPr>
      <w:r w:rsidRPr="00397717">
        <w:rPr>
          <w:rFonts w:cs="Arial"/>
          <w:color w:val="auto"/>
          <w:sz w:val="20"/>
          <w:szCs w:val="20"/>
          <w:lang w:eastAsia="en-GB"/>
        </w:rPr>
        <w:t>The Council is required to disclose material transactions with related parties – bodies or individuals that have the potential to control or influence the Council or to be controlled or influenced by the Council.  Disclosure of these transactions allows readers to assess the extent to which the council might have been constrained in its ability to operate independently or might have secured the ability to limit another party’s ability to bargain freely with the Council. Any balances due to/from these related parties at the end of a financial year are included within the Council’s total debtor and creditor figures.</w:t>
      </w:r>
    </w:p>
    <w:p w:rsidR="00E51139" w:rsidRPr="00397717" w:rsidRDefault="00E51139" w:rsidP="003C5E34">
      <w:pPr>
        <w:pStyle w:val="CodeNotesExampleText"/>
        <w:widowControl w:val="0"/>
        <w:ind w:left="567"/>
        <w:rPr>
          <w:color w:val="auto"/>
          <w:sz w:val="20"/>
          <w:szCs w:val="20"/>
        </w:rPr>
      </w:pPr>
    </w:p>
    <w:p w:rsidR="00320187" w:rsidRDefault="00320187" w:rsidP="00053CD2">
      <w:pPr>
        <w:pStyle w:val="Default"/>
        <w:ind w:firstLine="567"/>
        <w:rPr>
          <w:rFonts w:ascii="Arial" w:hAnsi="Arial" w:cs="Arial"/>
          <w:bCs/>
          <w:color w:val="auto"/>
          <w:sz w:val="20"/>
          <w:szCs w:val="20"/>
          <w:u w:val="single"/>
        </w:rPr>
      </w:pPr>
    </w:p>
    <w:p w:rsidR="0025208D" w:rsidRDefault="0025208D" w:rsidP="00053CD2">
      <w:pPr>
        <w:pStyle w:val="Default"/>
        <w:ind w:firstLine="567"/>
        <w:rPr>
          <w:rFonts w:ascii="Arial" w:hAnsi="Arial" w:cs="Arial"/>
          <w:bCs/>
          <w:color w:val="auto"/>
          <w:sz w:val="20"/>
          <w:szCs w:val="20"/>
          <w:u w:val="single"/>
        </w:rPr>
      </w:pPr>
    </w:p>
    <w:p w:rsidR="0025208D" w:rsidRDefault="0025208D" w:rsidP="00053CD2">
      <w:pPr>
        <w:pStyle w:val="Default"/>
        <w:ind w:firstLine="567"/>
        <w:rPr>
          <w:rFonts w:ascii="Arial" w:hAnsi="Arial" w:cs="Arial"/>
          <w:bCs/>
          <w:color w:val="auto"/>
          <w:sz w:val="20"/>
          <w:szCs w:val="20"/>
          <w:u w:val="single"/>
        </w:rPr>
      </w:pPr>
    </w:p>
    <w:p w:rsidR="0025208D" w:rsidRDefault="0025208D" w:rsidP="00053CD2">
      <w:pPr>
        <w:pStyle w:val="Default"/>
        <w:ind w:firstLine="567"/>
        <w:rPr>
          <w:rFonts w:ascii="Arial" w:hAnsi="Arial" w:cs="Arial"/>
          <w:bCs/>
          <w:color w:val="auto"/>
          <w:sz w:val="20"/>
          <w:szCs w:val="20"/>
          <w:u w:val="single"/>
        </w:rPr>
      </w:pPr>
    </w:p>
    <w:p w:rsidR="00320187" w:rsidRDefault="00320187" w:rsidP="00053CD2">
      <w:pPr>
        <w:pStyle w:val="Default"/>
        <w:ind w:firstLine="567"/>
        <w:rPr>
          <w:rFonts w:ascii="Arial" w:hAnsi="Arial" w:cs="Arial"/>
          <w:bCs/>
          <w:color w:val="auto"/>
          <w:sz w:val="20"/>
          <w:szCs w:val="20"/>
          <w:u w:val="single"/>
        </w:rPr>
      </w:pPr>
    </w:p>
    <w:p w:rsidR="00E51139" w:rsidRPr="00397717" w:rsidRDefault="00E51139" w:rsidP="00053CD2">
      <w:pPr>
        <w:pStyle w:val="Default"/>
        <w:ind w:firstLine="567"/>
        <w:rPr>
          <w:rFonts w:ascii="Arial" w:hAnsi="Arial" w:cs="Arial"/>
          <w:bCs/>
          <w:color w:val="auto"/>
          <w:sz w:val="20"/>
          <w:szCs w:val="20"/>
          <w:u w:val="single"/>
        </w:rPr>
      </w:pPr>
      <w:r w:rsidRPr="00397717">
        <w:rPr>
          <w:rFonts w:ascii="Arial" w:hAnsi="Arial" w:cs="Arial"/>
          <w:bCs/>
          <w:color w:val="auto"/>
          <w:sz w:val="20"/>
          <w:szCs w:val="20"/>
          <w:u w:val="single"/>
        </w:rPr>
        <w:lastRenderedPageBreak/>
        <w:t xml:space="preserve">Interest in Companies </w:t>
      </w:r>
    </w:p>
    <w:p w:rsidR="00E51139" w:rsidRPr="00397717" w:rsidRDefault="00E51139" w:rsidP="0024521E">
      <w:pPr>
        <w:pStyle w:val="Default"/>
        <w:ind w:firstLine="720"/>
        <w:rPr>
          <w:rFonts w:ascii="Arial" w:hAnsi="Arial" w:cs="Arial"/>
          <w:color w:val="auto"/>
          <w:sz w:val="20"/>
          <w:szCs w:val="20"/>
        </w:rPr>
      </w:pPr>
    </w:p>
    <w:p w:rsidR="00E51139" w:rsidRPr="00397717" w:rsidRDefault="00E51139" w:rsidP="00053CD2">
      <w:pPr>
        <w:pStyle w:val="Default"/>
        <w:spacing w:line="240" w:lineRule="atLeast"/>
        <w:ind w:left="567"/>
        <w:rPr>
          <w:rFonts w:ascii="Arial" w:hAnsi="Arial" w:cs="Arial"/>
          <w:color w:val="auto"/>
          <w:sz w:val="20"/>
          <w:szCs w:val="20"/>
        </w:rPr>
      </w:pPr>
      <w:r w:rsidRPr="00397717">
        <w:rPr>
          <w:rFonts w:ascii="Arial" w:hAnsi="Arial" w:cs="Arial"/>
          <w:color w:val="auto"/>
          <w:sz w:val="20"/>
          <w:szCs w:val="20"/>
        </w:rPr>
        <w:t>The Council maintains involvement with a number of subsidiary and associated companies.</w:t>
      </w:r>
      <w:r w:rsidR="00C36601" w:rsidRPr="00397717">
        <w:rPr>
          <w:rFonts w:ascii="Arial" w:hAnsi="Arial" w:cs="Arial"/>
          <w:color w:val="auto"/>
          <w:sz w:val="20"/>
          <w:szCs w:val="20"/>
        </w:rPr>
        <w:t xml:space="preserve"> The impact of consolidation of these interests into group accounts is not </w:t>
      </w:r>
      <w:r w:rsidRPr="00397717">
        <w:rPr>
          <w:rFonts w:ascii="Arial" w:hAnsi="Arial" w:cs="Arial"/>
          <w:color w:val="auto"/>
          <w:sz w:val="20"/>
          <w:szCs w:val="20"/>
        </w:rPr>
        <w:t>material</w:t>
      </w:r>
      <w:r w:rsidR="00C36601" w:rsidRPr="00397717">
        <w:rPr>
          <w:rFonts w:ascii="Arial" w:hAnsi="Arial" w:cs="Arial"/>
          <w:color w:val="auto"/>
          <w:sz w:val="20"/>
          <w:szCs w:val="20"/>
        </w:rPr>
        <w:t>.</w:t>
      </w:r>
      <w:r w:rsidRPr="00397717">
        <w:rPr>
          <w:rFonts w:ascii="Arial" w:hAnsi="Arial" w:cs="Arial"/>
          <w:color w:val="auto"/>
          <w:sz w:val="20"/>
          <w:szCs w:val="20"/>
        </w:rPr>
        <w:t xml:space="preserve">  </w:t>
      </w:r>
    </w:p>
    <w:p w:rsidR="00E51139" w:rsidRPr="00397717" w:rsidRDefault="00E51139" w:rsidP="002636C4">
      <w:pPr>
        <w:pStyle w:val="Default"/>
        <w:rPr>
          <w:rFonts w:ascii="Arial" w:hAnsi="Arial" w:cs="Arial"/>
          <w:color w:val="auto"/>
          <w:sz w:val="18"/>
          <w:szCs w:val="18"/>
        </w:rPr>
      </w:pPr>
    </w:p>
    <w:p w:rsidR="00E51139" w:rsidRPr="00397717" w:rsidRDefault="00E51139" w:rsidP="00053CD2">
      <w:pPr>
        <w:pStyle w:val="Default"/>
        <w:ind w:left="567"/>
        <w:rPr>
          <w:bCs/>
          <w:color w:val="auto"/>
          <w:sz w:val="22"/>
          <w:szCs w:val="22"/>
        </w:rPr>
      </w:pPr>
      <w:r w:rsidRPr="00397717">
        <w:rPr>
          <w:rFonts w:ascii="Arial" w:hAnsi="Arial" w:cs="Arial"/>
          <w:color w:val="auto"/>
          <w:sz w:val="20"/>
          <w:szCs w:val="20"/>
        </w:rPr>
        <w:t xml:space="preserve">The Council has provided pension guarantees to the Torbay Economic Development Company, the English Riviera Tourism Company and </w:t>
      </w:r>
      <w:r w:rsidR="006B046C">
        <w:rPr>
          <w:rFonts w:ascii="Arial" w:hAnsi="Arial" w:cs="Arial"/>
          <w:color w:val="auto"/>
          <w:sz w:val="20"/>
          <w:szCs w:val="20"/>
        </w:rPr>
        <w:t xml:space="preserve">CSW Group Ltd </w:t>
      </w:r>
      <w:r w:rsidR="007E33E1">
        <w:rPr>
          <w:rFonts w:ascii="Arial" w:hAnsi="Arial" w:cs="Arial"/>
          <w:color w:val="auto"/>
          <w:sz w:val="20"/>
          <w:szCs w:val="20"/>
        </w:rPr>
        <w:t>(formally</w:t>
      </w:r>
      <w:r w:rsidR="007E33E1" w:rsidRPr="00397717">
        <w:rPr>
          <w:rFonts w:ascii="Arial" w:hAnsi="Arial" w:cs="Arial"/>
          <w:color w:val="auto"/>
          <w:sz w:val="20"/>
          <w:szCs w:val="20"/>
        </w:rPr>
        <w:t xml:space="preserve"> Careers</w:t>
      </w:r>
      <w:r w:rsidRPr="00397717">
        <w:rPr>
          <w:rFonts w:ascii="Arial" w:hAnsi="Arial" w:cs="Arial"/>
          <w:color w:val="auto"/>
          <w:sz w:val="20"/>
          <w:szCs w:val="20"/>
        </w:rPr>
        <w:t xml:space="preserve"> South West</w:t>
      </w:r>
      <w:r w:rsidR="006B046C">
        <w:rPr>
          <w:rFonts w:ascii="Arial" w:hAnsi="Arial" w:cs="Arial"/>
          <w:color w:val="auto"/>
          <w:sz w:val="20"/>
          <w:szCs w:val="20"/>
        </w:rPr>
        <w:t>)</w:t>
      </w:r>
      <w:r w:rsidRPr="00397717">
        <w:rPr>
          <w:rFonts w:ascii="Arial" w:hAnsi="Arial" w:cs="Arial"/>
          <w:color w:val="auto"/>
          <w:sz w:val="20"/>
          <w:szCs w:val="20"/>
        </w:rPr>
        <w:t xml:space="preserve">.  Further details are disclosed in note </w:t>
      </w:r>
      <w:r w:rsidR="004A5966" w:rsidRPr="00397717">
        <w:rPr>
          <w:rFonts w:ascii="Arial" w:hAnsi="Arial" w:cs="Arial"/>
          <w:color w:val="auto"/>
          <w:sz w:val="20"/>
          <w:szCs w:val="20"/>
        </w:rPr>
        <w:t>3</w:t>
      </w:r>
      <w:r w:rsidR="00E23A66" w:rsidRPr="00397717">
        <w:rPr>
          <w:rFonts w:ascii="Arial" w:hAnsi="Arial" w:cs="Arial"/>
          <w:color w:val="auto"/>
          <w:sz w:val="20"/>
          <w:szCs w:val="20"/>
        </w:rPr>
        <w:t>3</w:t>
      </w:r>
      <w:r w:rsidRPr="00397717">
        <w:rPr>
          <w:rFonts w:ascii="Arial" w:hAnsi="Arial" w:cs="Arial"/>
          <w:color w:val="auto"/>
          <w:sz w:val="20"/>
          <w:szCs w:val="20"/>
        </w:rPr>
        <w:t xml:space="preserve"> on Contingent Liabilities.</w:t>
      </w:r>
    </w:p>
    <w:p w:rsidR="0009755C" w:rsidRPr="00397717" w:rsidRDefault="0009755C" w:rsidP="00053CD2">
      <w:pPr>
        <w:pStyle w:val="examplebullet0"/>
        <w:spacing w:line="240" w:lineRule="atLeast"/>
        <w:ind w:left="567"/>
        <w:rPr>
          <w:rFonts w:ascii="Arial" w:hAnsi="Arial"/>
          <w:sz w:val="20"/>
          <w:szCs w:val="20"/>
        </w:rPr>
      </w:pPr>
      <w:r w:rsidRPr="00397717">
        <w:rPr>
          <w:rFonts w:ascii="Arial" w:hAnsi="Arial"/>
          <w:sz w:val="20"/>
          <w:szCs w:val="20"/>
        </w:rPr>
        <w:t>All the companies within the group have a reporting period end date of the 31st March</w:t>
      </w:r>
      <w:r w:rsidR="001538A7" w:rsidRPr="00397717">
        <w:rPr>
          <w:rFonts w:ascii="Arial" w:hAnsi="Arial"/>
          <w:sz w:val="20"/>
          <w:szCs w:val="20"/>
        </w:rPr>
        <w:t xml:space="preserve">, with exception of TOR2 which </w:t>
      </w:r>
      <w:r w:rsidR="002C5ABE" w:rsidRPr="00397717">
        <w:rPr>
          <w:rFonts w:ascii="Arial" w:hAnsi="Arial"/>
          <w:sz w:val="20"/>
          <w:szCs w:val="20"/>
        </w:rPr>
        <w:t xml:space="preserve">now </w:t>
      </w:r>
      <w:r w:rsidR="001538A7" w:rsidRPr="00397717">
        <w:rPr>
          <w:rFonts w:ascii="Arial" w:hAnsi="Arial"/>
          <w:sz w:val="20"/>
          <w:szCs w:val="20"/>
        </w:rPr>
        <w:t>has a 3</w:t>
      </w:r>
      <w:r w:rsidR="00053501" w:rsidRPr="00397717">
        <w:rPr>
          <w:rFonts w:ascii="Arial" w:hAnsi="Arial"/>
          <w:sz w:val="20"/>
          <w:szCs w:val="20"/>
        </w:rPr>
        <w:t>0</w:t>
      </w:r>
      <w:r w:rsidR="001538A7" w:rsidRPr="00397717">
        <w:rPr>
          <w:rFonts w:ascii="Arial" w:hAnsi="Arial"/>
          <w:sz w:val="20"/>
          <w:szCs w:val="20"/>
          <w:vertAlign w:val="superscript"/>
        </w:rPr>
        <w:t>st</w:t>
      </w:r>
      <w:r w:rsidR="001538A7" w:rsidRPr="00397717">
        <w:rPr>
          <w:rFonts w:ascii="Arial" w:hAnsi="Arial"/>
          <w:sz w:val="20"/>
          <w:szCs w:val="20"/>
        </w:rPr>
        <w:t xml:space="preserve"> Ju</w:t>
      </w:r>
      <w:r w:rsidR="00053501" w:rsidRPr="00397717">
        <w:rPr>
          <w:rFonts w:ascii="Arial" w:hAnsi="Arial"/>
          <w:sz w:val="20"/>
          <w:szCs w:val="20"/>
        </w:rPr>
        <w:t>ne</w:t>
      </w:r>
      <w:r w:rsidR="001538A7" w:rsidRPr="00397717">
        <w:rPr>
          <w:rFonts w:ascii="Arial" w:hAnsi="Arial"/>
          <w:sz w:val="20"/>
          <w:szCs w:val="20"/>
        </w:rPr>
        <w:t xml:space="preserve"> date to align with other Kier May Gurney companies</w:t>
      </w:r>
      <w:r w:rsidRPr="00397717">
        <w:rPr>
          <w:rFonts w:ascii="Arial" w:hAnsi="Arial"/>
          <w:sz w:val="20"/>
          <w:szCs w:val="20"/>
        </w:rPr>
        <w:t xml:space="preserve">. </w:t>
      </w:r>
      <w:r w:rsidR="00FF7E09" w:rsidRPr="00397717">
        <w:rPr>
          <w:rFonts w:ascii="Arial" w:hAnsi="Arial"/>
          <w:sz w:val="20"/>
          <w:szCs w:val="20"/>
        </w:rPr>
        <w:t>(Kier M</w:t>
      </w:r>
      <w:r w:rsidR="00236DF0" w:rsidRPr="00397717">
        <w:rPr>
          <w:rFonts w:ascii="Arial" w:hAnsi="Arial"/>
          <w:sz w:val="20"/>
          <w:szCs w:val="20"/>
        </w:rPr>
        <w:t>a</w:t>
      </w:r>
      <w:r w:rsidR="00FF7E09" w:rsidRPr="00397717">
        <w:rPr>
          <w:rFonts w:ascii="Arial" w:hAnsi="Arial"/>
          <w:sz w:val="20"/>
          <w:szCs w:val="20"/>
        </w:rPr>
        <w:t>y Gur</w:t>
      </w:r>
      <w:r w:rsidR="00236DF0" w:rsidRPr="00397717">
        <w:rPr>
          <w:rFonts w:ascii="Arial" w:hAnsi="Arial"/>
          <w:sz w:val="20"/>
          <w:szCs w:val="20"/>
        </w:rPr>
        <w:t>n</w:t>
      </w:r>
      <w:r w:rsidR="00FF7E09" w:rsidRPr="00397717">
        <w:rPr>
          <w:rFonts w:ascii="Arial" w:hAnsi="Arial"/>
          <w:sz w:val="20"/>
          <w:szCs w:val="20"/>
        </w:rPr>
        <w:t>ey own 80.01% of TOR2)</w:t>
      </w:r>
      <w:r w:rsidR="00922265" w:rsidRPr="00397717">
        <w:rPr>
          <w:rFonts w:ascii="Arial" w:hAnsi="Arial"/>
          <w:sz w:val="20"/>
          <w:szCs w:val="20"/>
        </w:rPr>
        <w:t>.</w:t>
      </w:r>
    </w:p>
    <w:p w:rsidR="0009755C" w:rsidRPr="00397717" w:rsidRDefault="0009755C" w:rsidP="00053CD2">
      <w:pPr>
        <w:pStyle w:val="examplebullet0"/>
        <w:spacing w:line="240" w:lineRule="atLeast"/>
        <w:ind w:left="567"/>
        <w:rPr>
          <w:rFonts w:ascii="Arial" w:hAnsi="Arial"/>
          <w:sz w:val="20"/>
          <w:szCs w:val="20"/>
        </w:rPr>
      </w:pPr>
      <w:r w:rsidRPr="00397717">
        <w:rPr>
          <w:rFonts w:ascii="Arial" w:hAnsi="Arial"/>
          <w:sz w:val="20"/>
          <w:szCs w:val="20"/>
        </w:rPr>
        <w:t>For those companies within the group that are ‘Limited by Guarantee and not having a share capital’ any surplus is reinvested into their activities.  The Torbay Economic Development Company Ltd (TEDC Ltd) is a private limited company; however the intention is that any surplus is reinvested into the service. TOR2 is also a private limited company where the Council is due a share of any profits (not applicable in 201</w:t>
      </w:r>
      <w:r w:rsidR="00D97D8F">
        <w:rPr>
          <w:rFonts w:ascii="Arial" w:hAnsi="Arial"/>
          <w:sz w:val="20"/>
          <w:szCs w:val="20"/>
        </w:rPr>
        <w:t>5</w:t>
      </w:r>
      <w:r w:rsidR="00C4101F" w:rsidRPr="00397717">
        <w:rPr>
          <w:rFonts w:ascii="Arial" w:hAnsi="Arial"/>
          <w:sz w:val="20"/>
          <w:szCs w:val="20"/>
        </w:rPr>
        <w:t>/1</w:t>
      </w:r>
      <w:r w:rsidR="00D97D8F">
        <w:rPr>
          <w:rFonts w:ascii="Arial" w:hAnsi="Arial"/>
          <w:sz w:val="20"/>
          <w:szCs w:val="20"/>
        </w:rPr>
        <w:t>6</w:t>
      </w:r>
      <w:r w:rsidRPr="00397717">
        <w:rPr>
          <w:rFonts w:ascii="Arial" w:hAnsi="Arial"/>
          <w:sz w:val="20"/>
          <w:szCs w:val="20"/>
        </w:rPr>
        <w:t xml:space="preserve">). </w:t>
      </w:r>
    </w:p>
    <w:p w:rsidR="0009755C" w:rsidRDefault="0009755C" w:rsidP="00053CD2">
      <w:pPr>
        <w:pStyle w:val="examplebullet0"/>
        <w:spacing w:line="240" w:lineRule="atLeast"/>
        <w:ind w:left="567"/>
        <w:rPr>
          <w:rFonts w:ascii="Arial" w:hAnsi="Arial"/>
          <w:sz w:val="20"/>
          <w:szCs w:val="20"/>
        </w:rPr>
      </w:pPr>
      <w:r w:rsidRPr="00397717">
        <w:rPr>
          <w:rFonts w:ascii="Arial" w:hAnsi="Arial"/>
          <w:sz w:val="20"/>
          <w:szCs w:val="20"/>
        </w:rPr>
        <w:t>The Council’s interest in TOR2 Ltd is less than the accounting presumption that a 20% holding in a company is necessary for significant influence. The Council has considered its relationship with this company and concluded that it does have significant influence over it due to the dependence it has on the Council. Therefore the company has been treated as associate.</w:t>
      </w:r>
      <w:r w:rsidR="0055643C" w:rsidRPr="00397717">
        <w:rPr>
          <w:rFonts w:ascii="Arial" w:hAnsi="Arial"/>
          <w:sz w:val="20"/>
          <w:szCs w:val="20"/>
        </w:rPr>
        <w:t xml:space="preserve"> </w:t>
      </w:r>
    </w:p>
    <w:p w:rsidR="004C2588" w:rsidRDefault="004C2588" w:rsidP="00053CD2">
      <w:pPr>
        <w:pStyle w:val="examplebullet0"/>
        <w:spacing w:line="240" w:lineRule="atLeast"/>
        <w:ind w:left="567"/>
        <w:rPr>
          <w:rFonts w:ascii="Arial" w:hAnsi="Arial"/>
          <w:sz w:val="20"/>
          <w:szCs w:val="20"/>
        </w:rPr>
      </w:pPr>
      <w:r>
        <w:rPr>
          <w:rFonts w:ascii="Arial" w:hAnsi="Arial"/>
          <w:sz w:val="20"/>
          <w:szCs w:val="20"/>
        </w:rPr>
        <w:t>During the year the Cou</w:t>
      </w:r>
      <w:r w:rsidR="009474AD">
        <w:rPr>
          <w:rFonts w:ascii="Arial" w:hAnsi="Arial"/>
          <w:sz w:val="20"/>
          <w:szCs w:val="20"/>
        </w:rPr>
        <w:t xml:space="preserve">ncil </w:t>
      </w:r>
      <w:r>
        <w:rPr>
          <w:rFonts w:ascii="Arial" w:hAnsi="Arial"/>
          <w:sz w:val="20"/>
          <w:szCs w:val="20"/>
        </w:rPr>
        <w:t>relinquished its 25% share in PLUSS to enable the com</w:t>
      </w:r>
      <w:r w:rsidR="00E259B8">
        <w:rPr>
          <w:rFonts w:ascii="Arial" w:hAnsi="Arial"/>
          <w:sz w:val="20"/>
          <w:szCs w:val="20"/>
        </w:rPr>
        <w:t>pany</w:t>
      </w:r>
      <w:r>
        <w:rPr>
          <w:rFonts w:ascii="Arial" w:hAnsi="Arial"/>
          <w:sz w:val="20"/>
          <w:szCs w:val="20"/>
        </w:rPr>
        <w:t xml:space="preserve"> to beco</w:t>
      </w:r>
      <w:r w:rsidR="0028016A">
        <w:rPr>
          <w:rFonts w:ascii="Arial" w:hAnsi="Arial"/>
          <w:sz w:val="20"/>
          <w:szCs w:val="20"/>
        </w:rPr>
        <w:t xml:space="preserve">me </w:t>
      </w:r>
      <w:r>
        <w:rPr>
          <w:rFonts w:ascii="Arial" w:hAnsi="Arial"/>
          <w:sz w:val="20"/>
          <w:szCs w:val="20"/>
        </w:rPr>
        <w:t xml:space="preserve">a </w:t>
      </w:r>
      <w:r w:rsidR="00E259B8">
        <w:rPr>
          <w:rFonts w:ascii="Arial" w:hAnsi="Arial"/>
          <w:sz w:val="20"/>
          <w:szCs w:val="20"/>
        </w:rPr>
        <w:t>stand</w:t>
      </w:r>
      <w:r w:rsidR="00212716">
        <w:rPr>
          <w:rFonts w:ascii="Arial" w:hAnsi="Arial"/>
          <w:sz w:val="20"/>
          <w:szCs w:val="20"/>
        </w:rPr>
        <w:t xml:space="preserve"> </w:t>
      </w:r>
      <w:r w:rsidR="00E259B8">
        <w:rPr>
          <w:rFonts w:ascii="Arial" w:hAnsi="Arial"/>
          <w:sz w:val="20"/>
          <w:szCs w:val="20"/>
        </w:rPr>
        <w:t>alone</w:t>
      </w:r>
      <w:r w:rsidR="00832108">
        <w:rPr>
          <w:rFonts w:ascii="Arial" w:hAnsi="Arial"/>
          <w:sz w:val="20"/>
          <w:szCs w:val="20"/>
        </w:rPr>
        <w:t xml:space="preserve"> </w:t>
      </w:r>
      <w:r>
        <w:rPr>
          <w:rFonts w:ascii="Arial" w:hAnsi="Arial"/>
          <w:sz w:val="20"/>
          <w:szCs w:val="20"/>
        </w:rPr>
        <w:t>comp</w:t>
      </w:r>
      <w:r w:rsidR="00832108">
        <w:rPr>
          <w:rFonts w:ascii="Arial" w:hAnsi="Arial"/>
          <w:sz w:val="20"/>
          <w:szCs w:val="20"/>
        </w:rPr>
        <w:t>any</w:t>
      </w:r>
      <w:r w:rsidR="0025208D">
        <w:rPr>
          <w:rFonts w:ascii="Arial" w:hAnsi="Arial"/>
          <w:sz w:val="20"/>
          <w:szCs w:val="20"/>
        </w:rPr>
        <w:t xml:space="preserve"> at nil consideration</w:t>
      </w:r>
      <w:r>
        <w:rPr>
          <w:rFonts w:ascii="Arial" w:hAnsi="Arial"/>
          <w:sz w:val="20"/>
          <w:szCs w:val="20"/>
        </w:rPr>
        <w:t>. At that point the Council's loan was repaid and its bank guarantee cancelled.</w:t>
      </w:r>
    </w:p>
    <w:p w:rsidR="0028016A" w:rsidRPr="000B4491" w:rsidRDefault="00E259B8" w:rsidP="00F10244">
      <w:pPr>
        <w:autoSpaceDE w:val="0"/>
        <w:autoSpaceDN w:val="0"/>
        <w:adjustRightInd w:val="0"/>
        <w:spacing w:after="0" w:line="240" w:lineRule="auto"/>
        <w:ind w:left="567"/>
        <w:rPr>
          <w:rFonts w:eastAsia="Times New Roman"/>
          <w:color w:val="auto"/>
          <w:sz w:val="20"/>
          <w:szCs w:val="20"/>
          <w:lang w:eastAsia="en-GB"/>
        </w:rPr>
      </w:pPr>
      <w:r w:rsidRPr="000B4491">
        <w:rPr>
          <w:rFonts w:eastAsia="Times New Roman"/>
          <w:color w:val="auto"/>
          <w:sz w:val="20"/>
          <w:szCs w:val="20"/>
          <w:lang w:eastAsia="en-GB"/>
        </w:rPr>
        <w:t>The Council was instrumental in establishing the Torbay Public Services Trust</w:t>
      </w:r>
      <w:r w:rsidR="00F10244" w:rsidRPr="000B4491">
        <w:rPr>
          <w:rFonts w:eastAsia="Times New Roman"/>
          <w:color w:val="auto"/>
          <w:sz w:val="20"/>
          <w:szCs w:val="20"/>
          <w:lang w:eastAsia="en-GB"/>
        </w:rPr>
        <w:t xml:space="preserve"> in 2015/16</w:t>
      </w:r>
      <w:r w:rsidRPr="000B4491">
        <w:rPr>
          <w:rFonts w:eastAsia="Times New Roman"/>
          <w:color w:val="auto"/>
          <w:sz w:val="20"/>
          <w:szCs w:val="20"/>
          <w:lang w:eastAsia="en-GB"/>
        </w:rPr>
        <w:t xml:space="preserve">. This is a company limited by guarantee owned equally by 6 public sector bodies in Torbay, of which one is the Council. </w:t>
      </w:r>
      <w:r w:rsidR="00F10244" w:rsidRPr="000B4491">
        <w:rPr>
          <w:rFonts w:eastAsia="Times New Roman"/>
          <w:color w:val="auto"/>
          <w:sz w:val="20"/>
          <w:szCs w:val="20"/>
          <w:lang w:eastAsia="en-GB"/>
        </w:rPr>
        <w:t xml:space="preserve"> The Members intend that the Trust shall provide a single co-ordinated local offer of help and support for children and families in Torbay using the shared skills and assets of the Members to improve their outcomes. The Trust will seek to attract finance and the Members shall use it to pool budgets and resources and to co-commission services. It is intended that this will achieve efficiencies, improve services and produce savings</w:t>
      </w:r>
      <w:r w:rsidR="00F56942">
        <w:rPr>
          <w:rFonts w:eastAsia="Times New Roman"/>
          <w:color w:val="auto"/>
          <w:sz w:val="20"/>
          <w:szCs w:val="20"/>
          <w:lang w:eastAsia="en-GB"/>
        </w:rPr>
        <w:t>.</w:t>
      </w:r>
      <w:r w:rsidR="00F10244" w:rsidRPr="000B4491">
        <w:rPr>
          <w:rFonts w:eastAsia="Times New Roman"/>
          <w:color w:val="auto"/>
          <w:sz w:val="20"/>
          <w:szCs w:val="20"/>
          <w:lang w:eastAsia="en-GB"/>
        </w:rPr>
        <w:t xml:space="preserve"> </w:t>
      </w:r>
      <w:r w:rsidRPr="000B4491">
        <w:rPr>
          <w:rFonts w:eastAsia="Times New Roman"/>
          <w:color w:val="auto"/>
          <w:sz w:val="20"/>
          <w:szCs w:val="20"/>
          <w:lang w:eastAsia="en-GB"/>
        </w:rPr>
        <w:t>The company was not trading in 2015/16.</w:t>
      </w:r>
    </w:p>
    <w:p w:rsidR="00F10244" w:rsidRDefault="00F10244" w:rsidP="00053CD2">
      <w:pPr>
        <w:autoSpaceDE w:val="0"/>
        <w:autoSpaceDN w:val="0"/>
        <w:spacing w:line="240" w:lineRule="auto"/>
        <w:ind w:left="567"/>
        <w:rPr>
          <w:color w:val="auto"/>
          <w:sz w:val="20"/>
          <w:szCs w:val="20"/>
          <w:lang w:eastAsia="en-GB"/>
        </w:rPr>
      </w:pPr>
    </w:p>
    <w:p w:rsidR="0009755C" w:rsidRPr="00397717" w:rsidRDefault="0009755C" w:rsidP="00053CD2">
      <w:pPr>
        <w:autoSpaceDE w:val="0"/>
        <w:autoSpaceDN w:val="0"/>
        <w:spacing w:line="240" w:lineRule="auto"/>
        <w:ind w:left="567"/>
        <w:rPr>
          <w:color w:val="auto"/>
          <w:sz w:val="20"/>
          <w:szCs w:val="20"/>
          <w:lang w:eastAsia="en-GB"/>
        </w:rPr>
      </w:pPr>
      <w:r w:rsidRPr="00397717">
        <w:rPr>
          <w:color w:val="auto"/>
          <w:sz w:val="20"/>
          <w:szCs w:val="20"/>
          <w:lang w:eastAsia="en-GB"/>
        </w:rPr>
        <w:t>As at the 31st March 201</w:t>
      </w:r>
      <w:r w:rsidR="00397717">
        <w:rPr>
          <w:color w:val="auto"/>
          <w:sz w:val="20"/>
          <w:szCs w:val="20"/>
          <w:lang w:eastAsia="en-GB"/>
        </w:rPr>
        <w:t>6</w:t>
      </w:r>
      <w:r w:rsidRPr="00397717">
        <w:rPr>
          <w:color w:val="auto"/>
          <w:sz w:val="20"/>
          <w:szCs w:val="20"/>
          <w:lang w:eastAsia="en-GB"/>
        </w:rPr>
        <w:t xml:space="preserve"> the net balances outstanding between members of the group were:- </w:t>
      </w:r>
    </w:p>
    <w:p w:rsidR="0009755C" w:rsidRPr="004B4EE9" w:rsidRDefault="0009755C" w:rsidP="003E10DE">
      <w:pPr>
        <w:pStyle w:val="ListParagraph"/>
        <w:numPr>
          <w:ilvl w:val="0"/>
          <w:numId w:val="24"/>
        </w:numPr>
        <w:autoSpaceDE w:val="0"/>
        <w:autoSpaceDN w:val="0"/>
        <w:spacing w:line="240" w:lineRule="auto"/>
        <w:rPr>
          <w:color w:val="auto"/>
          <w:sz w:val="20"/>
          <w:szCs w:val="20"/>
          <w:lang w:eastAsia="en-GB"/>
        </w:rPr>
      </w:pPr>
      <w:r w:rsidRPr="004B4EE9">
        <w:rPr>
          <w:color w:val="auto"/>
          <w:sz w:val="20"/>
          <w:szCs w:val="20"/>
          <w:lang w:eastAsia="en-GB"/>
        </w:rPr>
        <w:t>Torbay Council and TOR2 Ltd, a net £</w:t>
      </w:r>
      <w:r w:rsidR="00BF40F5" w:rsidRPr="004B4EE9">
        <w:rPr>
          <w:color w:val="auto"/>
          <w:sz w:val="20"/>
          <w:szCs w:val="20"/>
          <w:lang w:eastAsia="en-GB"/>
        </w:rPr>
        <w:t>0.6</w:t>
      </w:r>
      <w:r w:rsidRPr="004B4EE9">
        <w:rPr>
          <w:color w:val="auto"/>
          <w:sz w:val="20"/>
          <w:szCs w:val="20"/>
          <w:lang w:eastAsia="en-GB"/>
        </w:rPr>
        <w:t>m owed by the Council</w:t>
      </w:r>
    </w:p>
    <w:p w:rsidR="003B1A64" w:rsidRPr="00B57B59" w:rsidRDefault="0009755C" w:rsidP="003E10DE">
      <w:pPr>
        <w:pStyle w:val="ListParagraph"/>
        <w:numPr>
          <w:ilvl w:val="0"/>
          <w:numId w:val="24"/>
        </w:numPr>
        <w:autoSpaceDE w:val="0"/>
        <w:autoSpaceDN w:val="0"/>
        <w:spacing w:line="240" w:lineRule="auto"/>
        <w:rPr>
          <w:color w:val="auto"/>
          <w:sz w:val="20"/>
          <w:szCs w:val="20"/>
          <w:lang w:eastAsia="en-GB"/>
        </w:rPr>
        <w:sectPr w:rsidR="003B1A64" w:rsidRPr="00B57B59" w:rsidSect="001A3F09">
          <w:pgSz w:w="11906" w:h="16838" w:code="9"/>
          <w:pgMar w:top="1440" w:right="1440" w:bottom="1440" w:left="1440" w:header="544" w:footer="544" w:gutter="0"/>
          <w:cols w:space="708"/>
          <w:titlePg/>
          <w:docGrid w:linePitch="360"/>
        </w:sectPr>
      </w:pPr>
      <w:r w:rsidRPr="00B57B59">
        <w:rPr>
          <w:color w:val="auto"/>
          <w:sz w:val="20"/>
          <w:szCs w:val="20"/>
          <w:lang w:eastAsia="en-GB"/>
        </w:rPr>
        <w:t>Torbay Council and the Torbay Economic Development Company, a net £</w:t>
      </w:r>
      <w:r w:rsidR="0085192E" w:rsidRPr="00B57B59">
        <w:rPr>
          <w:color w:val="auto"/>
          <w:sz w:val="20"/>
          <w:szCs w:val="20"/>
          <w:lang w:eastAsia="en-GB"/>
        </w:rPr>
        <w:t>0.</w:t>
      </w:r>
      <w:r w:rsidR="00B57B59" w:rsidRPr="00B57B59">
        <w:rPr>
          <w:color w:val="auto"/>
          <w:sz w:val="20"/>
          <w:szCs w:val="20"/>
          <w:lang w:eastAsia="en-GB"/>
        </w:rPr>
        <w:t>3</w:t>
      </w:r>
      <w:r w:rsidRPr="00B57B59">
        <w:rPr>
          <w:color w:val="auto"/>
          <w:sz w:val="20"/>
          <w:szCs w:val="20"/>
          <w:lang w:eastAsia="en-GB"/>
        </w:rPr>
        <w:t>m owed by Torbay Council</w:t>
      </w:r>
      <w:r w:rsidR="00990787" w:rsidRPr="00B57B59">
        <w:rPr>
          <w:color w:val="auto"/>
          <w:sz w:val="20"/>
          <w:szCs w:val="20"/>
          <w:lang w:eastAsia="en-GB"/>
        </w:rPr>
        <w:t xml:space="preserve"> in addition to £</w:t>
      </w:r>
      <w:r w:rsidR="004B4EE9" w:rsidRPr="00B57B59">
        <w:rPr>
          <w:color w:val="auto"/>
          <w:sz w:val="20"/>
          <w:szCs w:val="20"/>
          <w:lang w:eastAsia="en-GB"/>
        </w:rPr>
        <w:t>0.8</w:t>
      </w:r>
      <w:r w:rsidR="00990787" w:rsidRPr="00B57B59">
        <w:rPr>
          <w:color w:val="auto"/>
          <w:sz w:val="20"/>
          <w:szCs w:val="20"/>
          <w:lang w:eastAsia="en-GB"/>
        </w:rPr>
        <w:t>m paid in advance</w:t>
      </w:r>
      <w:r w:rsidR="00B57B59" w:rsidRPr="00B57B59">
        <w:rPr>
          <w:color w:val="auto"/>
          <w:sz w:val="20"/>
          <w:szCs w:val="20"/>
          <w:lang w:eastAsia="en-GB"/>
        </w:rPr>
        <w:t xml:space="preserve"> and £1.0m loan advanced in year.</w:t>
      </w:r>
    </w:p>
    <w:tbl>
      <w:tblPr>
        <w:tblStyle w:val="ListTable3-Accent51"/>
        <w:tblpPr w:leftFromText="180" w:rightFromText="180" w:vertAnchor="text" w:horzAnchor="margin" w:tblpY="-59"/>
        <w:tblW w:w="14567" w:type="dxa"/>
        <w:tblBorders>
          <w:insideH w:val="single" w:sz="4" w:space="0" w:color="4BACC6" w:themeColor="accent5"/>
          <w:insideV w:val="single" w:sz="4" w:space="0" w:color="4BACC6" w:themeColor="accent5"/>
        </w:tblBorders>
        <w:tblLayout w:type="fixed"/>
        <w:tblLook w:val="01E0"/>
      </w:tblPr>
      <w:tblGrid>
        <w:gridCol w:w="1951"/>
        <w:gridCol w:w="1843"/>
        <w:gridCol w:w="1701"/>
        <w:gridCol w:w="3402"/>
        <w:gridCol w:w="1276"/>
        <w:gridCol w:w="4394"/>
      </w:tblGrid>
      <w:tr w:rsidR="00B93881" w:rsidRPr="00D42E0B" w:rsidTr="00B93881">
        <w:trPr>
          <w:cnfStyle w:val="100000000000"/>
          <w:trHeight w:val="699"/>
          <w:tblHeader/>
        </w:trPr>
        <w:tc>
          <w:tcPr>
            <w:cnfStyle w:val="001000000100"/>
            <w:tcW w:w="1951" w:type="dxa"/>
          </w:tcPr>
          <w:p w:rsidR="003B1A64" w:rsidRPr="00FB71F9" w:rsidRDefault="003B1A64" w:rsidP="003B1A64">
            <w:pPr>
              <w:pStyle w:val="BodyText"/>
              <w:widowControl w:val="0"/>
              <w:jc w:val="center"/>
              <w:rPr>
                <w:rFonts w:cs="Arial"/>
                <w:b w:val="0"/>
                <w:color w:val="auto"/>
                <w:sz w:val="18"/>
                <w:szCs w:val="18"/>
              </w:rPr>
            </w:pPr>
            <w:r w:rsidRPr="00FB71F9">
              <w:rPr>
                <w:rFonts w:cs="Arial"/>
                <w:b w:val="0"/>
                <w:color w:val="auto"/>
                <w:sz w:val="18"/>
                <w:szCs w:val="18"/>
              </w:rPr>
              <w:lastRenderedPageBreak/>
              <w:t>Company Name and Reg’n No</w:t>
            </w:r>
          </w:p>
        </w:tc>
        <w:tc>
          <w:tcPr>
            <w:cnfStyle w:val="000010000000"/>
            <w:tcW w:w="1843" w:type="dxa"/>
          </w:tcPr>
          <w:p w:rsidR="003B1A64" w:rsidRPr="00FB71F9" w:rsidRDefault="003B1A64" w:rsidP="003B1A64">
            <w:pPr>
              <w:pStyle w:val="BodyText"/>
              <w:widowControl w:val="0"/>
              <w:jc w:val="center"/>
              <w:rPr>
                <w:rFonts w:cs="Arial"/>
                <w:b w:val="0"/>
                <w:color w:val="auto"/>
                <w:sz w:val="18"/>
                <w:szCs w:val="18"/>
              </w:rPr>
            </w:pPr>
            <w:r w:rsidRPr="00FB71F9">
              <w:rPr>
                <w:rFonts w:cs="Arial"/>
                <w:b w:val="0"/>
                <w:color w:val="auto"/>
                <w:sz w:val="18"/>
                <w:szCs w:val="18"/>
              </w:rPr>
              <w:t>Type of Company</w:t>
            </w:r>
          </w:p>
        </w:tc>
        <w:tc>
          <w:tcPr>
            <w:tcW w:w="1701" w:type="dxa"/>
          </w:tcPr>
          <w:p w:rsidR="003B1A64" w:rsidRPr="00FB71F9" w:rsidRDefault="003B1A64" w:rsidP="003B1A64">
            <w:pPr>
              <w:pStyle w:val="BodyText"/>
              <w:widowControl w:val="0"/>
              <w:jc w:val="center"/>
              <w:cnfStyle w:val="100000000000"/>
              <w:rPr>
                <w:rFonts w:cs="Arial"/>
                <w:b w:val="0"/>
                <w:color w:val="auto"/>
                <w:sz w:val="18"/>
                <w:szCs w:val="18"/>
              </w:rPr>
            </w:pPr>
            <w:r w:rsidRPr="00FB71F9">
              <w:rPr>
                <w:rFonts w:cs="Arial"/>
                <w:b w:val="0"/>
                <w:color w:val="auto"/>
                <w:sz w:val="18"/>
                <w:szCs w:val="18"/>
              </w:rPr>
              <w:t>Commenced Trading</w:t>
            </w:r>
          </w:p>
        </w:tc>
        <w:tc>
          <w:tcPr>
            <w:cnfStyle w:val="000010000000"/>
            <w:tcW w:w="3402" w:type="dxa"/>
          </w:tcPr>
          <w:p w:rsidR="003B1A64" w:rsidRPr="00FB71F9" w:rsidRDefault="003B1A64" w:rsidP="003B1A64">
            <w:pPr>
              <w:pStyle w:val="BodyText"/>
              <w:widowControl w:val="0"/>
              <w:jc w:val="center"/>
              <w:rPr>
                <w:rFonts w:cs="Arial"/>
                <w:b w:val="0"/>
                <w:color w:val="auto"/>
                <w:sz w:val="18"/>
                <w:szCs w:val="18"/>
              </w:rPr>
            </w:pPr>
            <w:r w:rsidRPr="00FB71F9">
              <w:rPr>
                <w:rFonts w:cs="Arial"/>
                <w:b w:val="0"/>
                <w:color w:val="auto"/>
                <w:sz w:val="18"/>
                <w:szCs w:val="18"/>
              </w:rPr>
              <w:t>Principal Activities during the year</w:t>
            </w:r>
          </w:p>
        </w:tc>
        <w:tc>
          <w:tcPr>
            <w:tcW w:w="1276" w:type="dxa"/>
          </w:tcPr>
          <w:p w:rsidR="003B1A64" w:rsidRPr="00FB71F9" w:rsidRDefault="003B1A64" w:rsidP="003B1A64">
            <w:pPr>
              <w:pStyle w:val="BodyText"/>
              <w:widowControl w:val="0"/>
              <w:jc w:val="center"/>
              <w:cnfStyle w:val="100000000000"/>
              <w:rPr>
                <w:rFonts w:cs="Arial"/>
                <w:b w:val="0"/>
                <w:color w:val="auto"/>
                <w:sz w:val="18"/>
                <w:szCs w:val="18"/>
              </w:rPr>
            </w:pPr>
            <w:r w:rsidRPr="00FB71F9">
              <w:rPr>
                <w:rFonts w:cs="Arial"/>
                <w:b w:val="0"/>
                <w:color w:val="auto"/>
                <w:sz w:val="18"/>
                <w:szCs w:val="18"/>
              </w:rPr>
              <w:t>Assessed Relationship</w:t>
            </w:r>
          </w:p>
        </w:tc>
        <w:tc>
          <w:tcPr>
            <w:cnfStyle w:val="000100001000"/>
            <w:tcW w:w="4394" w:type="dxa"/>
          </w:tcPr>
          <w:p w:rsidR="003B1A64" w:rsidRPr="00FB71F9" w:rsidRDefault="003B1A64" w:rsidP="003B1A64">
            <w:pPr>
              <w:pStyle w:val="BodyText"/>
              <w:widowControl w:val="0"/>
              <w:jc w:val="center"/>
              <w:rPr>
                <w:rFonts w:cs="Arial"/>
                <w:b w:val="0"/>
                <w:color w:val="auto"/>
                <w:sz w:val="18"/>
                <w:szCs w:val="18"/>
              </w:rPr>
            </w:pPr>
            <w:r w:rsidRPr="00FB71F9">
              <w:rPr>
                <w:rFonts w:cs="Arial"/>
                <w:b w:val="0"/>
                <w:color w:val="auto"/>
                <w:sz w:val="18"/>
                <w:szCs w:val="18"/>
              </w:rPr>
              <w:t>Shareholding /Control and Company Directors</w:t>
            </w:r>
          </w:p>
        </w:tc>
      </w:tr>
      <w:tr w:rsidR="00B93881" w:rsidRPr="00D42E0B" w:rsidTr="00B93881">
        <w:trPr>
          <w:cnfStyle w:val="000000100000"/>
        </w:trPr>
        <w:tc>
          <w:tcPr>
            <w:cnfStyle w:val="001000000000"/>
            <w:tcW w:w="1951" w:type="dxa"/>
          </w:tcPr>
          <w:p w:rsidR="003B1A64" w:rsidRPr="00FB71F9" w:rsidRDefault="003B1A64" w:rsidP="003B1A64">
            <w:pPr>
              <w:pStyle w:val="BodyText"/>
              <w:widowControl w:val="0"/>
              <w:jc w:val="center"/>
              <w:rPr>
                <w:rFonts w:cs="Arial"/>
                <w:b w:val="0"/>
                <w:color w:val="auto"/>
                <w:sz w:val="20"/>
                <w:szCs w:val="20"/>
              </w:rPr>
            </w:pPr>
            <w:r w:rsidRPr="00FB71F9">
              <w:rPr>
                <w:rFonts w:cs="Arial"/>
                <w:b w:val="0"/>
                <w:color w:val="auto"/>
                <w:sz w:val="20"/>
                <w:szCs w:val="20"/>
              </w:rPr>
              <w:t>Torbay Economic Development Company Ltd</w:t>
            </w:r>
          </w:p>
          <w:p w:rsidR="003B1A64" w:rsidRDefault="003B1A64" w:rsidP="003B1A64">
            <w:pPr>
              <w:pStyle w:val="BodyText"/>
              <w:widowControl w:val="0"/>
              <w:jc w:val="center"/>
              <w:rPr>
                <w:rFonts w:cs="Arial"/>
                <w:b w:val="0"/>
                <w:color w:val="auto"/>
                <w:sz w:val="20"/>
                <w:szCs w:val="20"/>
              </w:rPr>
            </w:pPr>
            <w:r w:rsidRPr="00FB71F9">
              <w:rPr>
                <w:rFonts w:cs="Arial"/>
                <w:b w:val="0"/>
                <w:color w:val="auto"/>
                <w:sz w:val="20"/>
                <w:szCs w:val="20"/>
              </w:rPr>
              <w:t>07604855</w:t>
            </w:r>
          </w:p>
          <w:p w:rsidR="00FF2393" w:rsidRDefault="00FF2393" w:rsidP="003B1A64">
            <w:pPr>
              <w:pStyle w:val="BodyText"/>
              <w:widowControl w:val="0"/>
              <w:jc w:val="center"/>
              <w:rPr>
                <w:rFonts w:cs="Arial"/>
                <w:b w:val="0"/>
                <w:color w:val="auto"/>
                <w:sz w:val="20"/>
                <w:szCs w:val="20"/>
              </w:rPr>
            </w:pPr>
            <w:r>
              <w:rPr>
                <w:rFonts w:cs="Arial"/>
                <w:b w:val="0"/>
                <w:color w:val="auto"/>
                <w:sz w:val="20"/>
                <w:szCs w:val="20"/>
              </w:rPr>
              <w:t>Trading as Torbay Development Agency (TDA)</w:t>
            </w:r>
          </w:p>
          <w:p w:rsidR="00FF2393" w:rsidRPr="00FB71F9" w:rsidRDefault="00FF2393" w:rsidP="003B1A64">
            <w:pPr>
              <w:pStyle w:val="BodyText"/>
              <w:widowControl w:val="0"/>
              <w:jc w:val="center"/>
              <w:rPr>
                <w:rFonts w:cs="Arial"/>
                <w:b w:val="0"/>
                <w:color w:val="auto"/>
                <w:sz w:val="20"/>
                <w:szCs w:val="20"/>
              </w:rPr>
            </w:pPr>
          </w:p>
        </w:tc>
        <w:tc>
          <w:tcPr>
            <w:cnfStyle w:val="000010000000"/>
            <w:tcW w:w="1843" w:type="dxa"/>
          </w:tcPr>
          <w:p w:rsidR="003B1A64" w:rsidRPr="00FB71F9" w:rsidRDefault="003B1A64" w:rsidP="003B1A64">
            <w:pPr>
              <w:pStyle w:val="BodyText"/>
              <w:widowControl w:val="0"/>
              <w:jc w:val="center"/>
              <w:rPr>
                <w:rFonts w:cs="Arial"/>
                <w:color w:val="auto"/>
                <w:sz w:val="20"/>
                <w:szCs w:val="20"/>
              </w:rPr>
            </w:pPr>
            <w:r w:rsidRPr="00FB71F9">
              <w:rPr>
                <w:rFonts w:cs="Arial"/>
                <w:color w:val="auto"/>
                <w:sz w:val="20"/>
                <w:szCs w:val="20"/>
              </w:rPr>
              <w:t>Private Limited Company</w:t>
            </w:r>
          </w:p>
        </w:tc>
        <w:tc>
          <w:tcPr>
            <w:tcW w:w="1701" w:type="dxa"/>
          </w:tcPr>
          <w:p w:rsidR="003B1A64" w:rsidRPr="00FB71F9" w:rsidRDefault="003B1A64" w:rsidP="003B1A64">
            <w:pPr>
              <w:pStyle w:val="BodyText"/>
              <w:widowControl w:val="0"/>
              <w:jc w:val="center"/>
              <w:cnfStyle w:val="000000100000"/>
              <w:rPr>
                <w:rFonts w:cs="Arial"/>
                <w:color w:val="auto"/>
                <w:sz w:val="20"/>
                <w:szCs w:val="20"/>
              </w:rPr>
            </w:pPr>
            <w:r w:rsidRPr="00FB71F9">
              <w:rPr>
                <w:rFonts w:cs="Arial"/>
                <w:color w:val="auto"/>
                <w:sz w:val="20"/>
                <w:szCs w:val="20"/>
              </w:rPr>
              <w:t>14</w:t>
            </w:r>
            <w:r w:rsidRPr="00FB71F9">
              <w:rPr>
                <w:rFonts w:cs="Arial"/>
                <w:color w:val="auto"/>
                <w:sz w:val="20"/>
                <w:szCs w:val="20"/>
                <w:vertAlign w:val="superscript"/>
              </w:rPr>
              <w:t>th</w:t>
            </w:r>
            <w:r w:rsidRPr="00FB71F9">
              <w:rPr>
                <w:rFonts w:cs="Arial"/>
                <w:color w:val="auto"/>
                <w:sz w:val="20"/>
                <w:szCs w:val="20"/>
              </w:rPr>
              <w:t xml:space="preserve"> April 2011</w:t>
            </w:r>
          </w:p>
        </w:tc>
        <w:tc>
          <w:tcPr>
            <w:cnfStyle w:val="000010000000"/>
            <w:tcW w:w="3402" w:type="dxa"/>
          </w:tcPr>
          <w:p w:rsidR="003B1A64" w:rsidRPr="00C14E71" w:rsidRDefault="003B1A64" w:rsidP="003B1A64">
            <w:pPr>
              <w:pStyle w:val="BodyText"/>
              <w:widowControl w:val="0"/>
              <w:jc w:val="center"/>
              <w:rPr>
                <w:rFonts w:cs="Arial"/>
                <w:color w:val="auto"/>
                <w:sz w:val="20"/>
                <w:szCs w:val="20"/>
              </w:rPr>
            </w:pPr>
            <w:r w:rsidRPr="00C14E71">
              <w:rPr>
                <w:rFonts w:cs="Arial"/>
                <w:color w:val="auto"/>
                <w:sz w:val="20"/>
                <w:szCs w:val="20"/>
              </w:rPr>
              <w:t xml:space="preserve">To bring about Regeneration in Torbay </w:t>
            </w:r>
          </w:p>
          <w:p w:rsidR="003B1A64" w:rsidRDefault="003B1A64" w:rsidP="003B1A64">
            <w:pPr>
              <w:pStyle w:val="BodyText"/>
              <w:widowControl w:val="0"/>
              <w:jc w:val="center"/>
              <w:rPr>
                <w:rFonts w:cs="Arial"/>
                <w:color w:val="auto"/>
                <w:sz w:val="20"/>
                <w:szCs w:val="20"/>
              </w:rPr>
            </w:pPr>
            <w:r w:rsidRPr="00C14E71">
              <w:rPr>
                <w:rFonts w:cs="Arial"/>
                <w:color w:val="auto"/>
                <w:sz w:val="20"/>
                <w:szCs w:val="20"/>
              </w:rPr>
              <w:t>In 1</w:t>
            </w:r>
            <w:r w:rsidR="00397717" w:rsidRPr="00C14E71">
              <w:rPr>
                <w:rFonts w:cs="Arial"/>
                <w:color w:val="auto"/>
                <w:sz w:val="20"/>
                <w:szCs w:val="20"/>
              </w:rPr>
              <w:t>5</w:t>
            </w:r>
            <w:r w:rsidRPr="00C14E71">
              <w:rPr>
                <w:rFonts w:cs="Arial"/>
                <w:color w:val="auto"/>
                <w:sz w:val="20"/>
                <w:szCs w:val="20"/>
              </w:rPr>
              <w:t>/1</w:t>
            </w:r>
            <w:r w:rsidR="00397717" w:rsidRPr="00C14E71">
              <w:rPr>
                <w:rFonts w:cs="Arial"/>
                <w:color w:val="auto"/>
                <w:sz w:val="20"/>
                <w:szCs w:val="20"/>
              </w:rPr>
              <w:t>6</w:t>
            </w:r>
            <w:r w:rsidRPr="00C14E71">
              <w:rPr>
                <w:rFonts w:cs="Arial"/>
                <w:color w:val="auto"/>
                <w:sz w:val="20"/>
                <w:szCs w:val="20"/>
              </w:rPr>
              <w:t xml:space="preserve"> Council paid £1.8m </w:t>
            </w:r>
            <w:r w:rsidR="00426A40" w:rsidRPr="00C14E71">
              <w:rPr>
                <w:rFonts w:cs="Arial"/>
                <w:color w:val="auto"/>
                <w:sz w:val="20"/>
                <w:szCs w:val="20"/>
              </w:rPr>
              <w:t>(£1.8m 1</w:t>
            </w:r>
            <w:r w:rsidR="00397717" w:rsidRPr="00C14E71">
              <w:rPr>
                <w:rFonts w:cs="Arial"/>
                <w:color w:val="auto"/>
                <w:sz w:val="20"/>
                <w:szCs w:val="20"/>
              </w:rPr>
              <w:t>4</w:t>
            </w:r>
            <w:r w:rsidR="00426A40" w:rsidRPr="00C14E71">
              <w:rPr>
                <w:rFonts w:cs="Arial"/>
                <w:color w:val="auto"/>
                <w:sz w:val="20"/>
                <w:szCs w:val="20"/>
              </w:rPr>
              <w:t>/1</w:t>
            </w:r>
            <w:r w:rsidR="00397717" w:rsidRPr="00C14E71">
              <w:rPr>
                <w:rFonts w:cs="Arial"/>
                <w:color w:val="auto"/>
                <w:sz w:val="20"/>
                <w:szCs w:val="20"/>
              </w:rPr>
              <w:t>5</w:t>
            </w:r>
            <w:r w:rsidR="00426A40" w:rsidRPr="00C14E71">
              <w:rPr>
                <w:rFonts w:cs="Arial"/>
                <w:color w:val="auto"/>
                <w:sz w:val="20"/>
                <w:szCs w:val="20"/>
              </w:rPr>
              <w:t xml:space="preserve">) </w:t>
            </w:r>
            <w:r w:rsidRPr="00C14E71">
              <w:rPr>
                <w:rFonts w:cs="Arial"/>
                <w:color w:val="auto"/>
                <w:sz w:val="20"/>
                <w:szCs w:val="20"/>
              </w:rPr>
              <w:t xml:space="preserve">grant </w:t>
            </w:r>
          </w:p>
          <w:p w:rsidR="008C505D" w:rsidRPr="00C14E71" w:rsidRDefault="008C505D" w:rsidP="003B1A64">
            <w:pPr>
              <w:pStyle w:val="BodyText"/>
              <w:widowControl w:val="0"/>
              <w:jc w:val="center"/>
              <w:rPr>
                <w:rFonts w:cs="Arial"/>
                <w:color w:val="auto"/>
                <w:sz w:val="20"/>
                <w:szCs w:val="20"/>
              </w:rPr>
            </w:pPr>
            <w:r>
              <w:rPr>
                <w:rFonts w:cs="Arial"/>
                <w:color w:val="auto"/>
                <w:sz w:val="20"/>
                <w:szCs w:val="20"/>
              </w:rPr>
              <w:t xml:space="preserve">In </w:t>
            </w:r>
            <w:r w:rsidR="007E33E1">
              <w:rPr>
                <w:rFonts w:cs="Arial"/>
                <w:color w:val="auto"/>
                <w:sz w:val="20"/>
                <w:szCs w:val="20"/>
              </w:rPr>
              <w:t>addition</w:t>
            </w:r>
            <w:r>
              <w:rPr>
                <w:rFonts w:cs="Arial"/>
                <w:color w:val="auto"/>
                <w:sz w:val="20"/>
                <w:szCs w:val="20"/>
              </w:rPr>
              <w:t xml:space="preserve"> in 2015/16 the Council gave a loan of £1.0m to the company</w:t>
            </w:r>
          </w:p>
          <w:p w:rsidR="003B1A64" w:rsidRPr="00D42E0B" w:rsidRDefault="003B1A64" w:rsidP="003B1A64">
            <w:pPr>
              <w:pStyle w:val="BodyText"/>
              <w:widowControl w:val="0"/>
              <w:jc w:val="center"/>
              <w:rPr>
                <w:rFonts w:cs="Arial"/>
                <w:color w:val="548DD4" w:themeColor="text2" w:themeTint="99"/>
                <w:sz w:val="20"/>
                <w:szCs w:val="20"/>
              </w:rPr>
            </w:pPr>
          </w:p>
        </w:tc>
        <w:tc>
          <w:tcPr>
            <w:tcW w:w="1276" w:type="dxa"/>
          </w:tcPr>
          <w:p w:rsidR="003B1A64" w:rsidRPr="00C14E71" w:rsidRDefault="003B1A64" w:rsidP="003B1A64">
            <w:pPr>
              <w:pStyle w:val="BodyText"/>
              <w:widowControl w:val="0"/>
              <w:jc w:val="center"/>
              <w:cnfStyle w:val="000000100000"/>
              <w:rPr>
                <w:rFonts w:cs="Arial"/>
                <w:color w:val="auto"/>
                <w:sz w:val="20"/>
                <w:szCs w:val="20"/>
              </w:rPr>
            </w:pPr>
            <w:r w:rsidRPr="00C14E71">
              <w:rPr>
                <w:rFonts w:cs="Arial"/>
                <w:color w:val="auto"/>
                <w:sz w:val="20"/>
                <w:szCs w:val="20"/>
              </w:rPr>
              <w:t xml:space="preserve">Subsidiary </w:t>
            </w:r>
          </w:p>
        </w:tc>
        <w:tc>
          <w:tcPr>
            <w:cnfStyle w:val="000100000000"/>
            <w:tcW w:w="4394" w:type="dxa"/>
          </w:tcPr>
          <w:p w:rsidR="003B1A64" w:rsidRPr="00C14E71" w:rsidRDefault="003B1A64" w:rsidP="003B1A64">
            <w:pPr>
              <w:pStyle w:val="BodyText"/>
              <w:widowControl w:val="0"/>
              <w:rPr>
                <w:rFonts w:cs="Arial"/>
                <w:b w:val="0"/>
                <w:color w:val="auto"/>
                <w:sz w:val="20"/>
                <w:szCs w:val="20"/>
              </w:rPr>
            </w:pPr>
            <w:r w:rsidRPr="00C14E71">
              <w:rPr>
                <w:rFonts w:cs="Arial"/>
                <w:b w:val="0"/>
                <w:color w:val="auto"/>
                <w:sz w:val="20"/>
                <w:szCs w:val="20"/>
              </w:rPr>
              <w:t>Shareholding /Control: 100%</w:t>
            </w:r>
          </w:p>
          <w:p w:rsidR="003B1A64" w:rsidRPr="00FF2393" w:rsidRDefault="003B1A64" w:rsidP="003B1A64">
            <w:pPr>
              <w:pStyle w:val="BodyText"/>
              <w:widowControl w:val="0"/>
              <w:spacing w:after="0"/>
              <w:rPr>
                <w:rFonts w:cs="Arial"/>
                <w:b w:val="0"/>
                <w:color w:val="auto"/>
                <w:sz w:val="20"/>
                <w:szCs w:val="20"/>
              </w:rPr>
            </w:pPr>
            <w:r w:rsidRPr="00FF2393">
              <w:rPr>
                <w:rFonts w:cs="Arial"/>
                <w:b w:val="0"/>
                <w:color w:val="auto"/>
                <w:sz w:val="20"/>
                <w:szCs w:val="20"/>
              </w:rPr>
              <w:t>Members of Torbay Council that are Directors of this Company are as follows:-</w:t>
            </w:r>
          </w:p>
          <w:p w:rsidR="003B1A64" w:rsidRPr="00FF2393" w:rsidRDefault="00FF2393" w:rsidP="003B1A64">
            <w:pPr>
              <w:pStyle w:val="BodyText"/>
              <w:widowControl w:val="0"/>
              <w:spacing w:after="0"/>
              <w:rPr>
                <w:rFonts w:cs="Arial"/>
                <w:b w:val="0"/>
                <w:color w:val="auto"/>
                <w:sz w:val="20"/>
                <w:szCs w:val="20"/>
              </w:rPr>
            </w:pPr>
            <w:r w:rsidRPr="00FF2393">
              <w:rPr>
                <w:b w:val="0"/>
                <w:color w:val="auto"/>
                <w:sz w:val="20"/>
                <w:szCs w:val="20"/>
              </w:rPr>
              <w:t xml:space="preserve">Cllr </w:t>
            </w:r>
            <w:r w:rsidR="007E33E1" w:rsidRPr="00FF2393">
              <w:rPr>
                <w:b w:val="0"/>
                <w:color w:val="auto"/>
                <w:sz w:val="20"/>
                <w:szCs w:val="20"/>
              </w:rPr>
              <w:t>Derek</w:t>
            </w:r>
            <w:r w:rsidRPr="00FF2393">
              <w:rPr>
                <w:b w:val="0"/>
                <w:color w:val="auto"/>
                <w:sz w:val="20"/>
                <w:szCs w:val="20"/>
              </w:rPr>
              <w:t xml:space="preserve"> Mills</w:t>
            </w:r>
          </w:p>
          <w:p w:rsidR="003B1A64" w:rsidRPr="00FF2393" w:rsidRDefault="003B1A64" w:rsidP="003B1A64">
            <w:pPr>
              <w:spacing w:after="0" w:line="240" w:lineRule="auto"/>
              <w:rPr>
                <w:b w:val="0"/>
                <w:color w:val="auto"/>
                <w:sz w:val="20"/>
                <w:szCs w:val="20"/>
              </w:rPr>
            </w:pPr>
            <w:r w:rsidRPr="00FF2393">
              <w:rPr>
                <w:b w:val="0"/>
                <w:color w:val="auto"/>
                <w:sz w:val="20"/>
                <w:szCs w:val="20"/>
              </w:rPr>
              <w:t xml:space="preserve">Cllr </w:t>
            </w:r>
            <w:r w:rsidR="00FF2393" w:rsidRPr="00FF2393">
              <w:rPr>
                <w:b w:val="0"/>
                <w:color w:val="auto"/>
                <w:sz w:val="20"/>
                <w:szCs w:val="20"/>
              </w:rPr>
              <w:t>Christine Carter</w:t>
            </w:r>
          </w:p>
          <w:p w:rsidR="003B1A64" w:rsidRPr="00FF2393" w:rsidRDefault="003B1A64" w:rsidP="003B1A64">
            <w:pPr>
              <w:spacing w:after="0" w:line="240" w:lineRule="auto"/>
              <w:rPr>
                <w:b w:val="0"/>
                <w:color w:val="auto"/>
                <w:sz w:val="20"/>
                <w:szCs w:val="20"/>
              </w:rPr>
            </w:pPr>
            <w:r w:rsidRPr="00FF2393">
              <w:rPr>
                <w:b w:val="0"/>
                <w:color w:val="auto"/>
                <w:sz w:val="20"/>
                <w:szCs w:val="20"/>
              </w:rPr>
              <w:t>Cllr Alan Tyerman</w:t>
            </w:r>
          </w:p>
          <w:p w:rsidR="00617820" w:rsidRPr="00FF2393" w:rsidRDefault="00617820" w:rsidP="003B1A64">
            <w:pPr>
              <w:spacing w:after="0" w:line="240" w:lineRule="auto"/>
              <w:rPr>
                <w:b w:val="0"/>
                <w:color w:val="auto"/>
                <w:sz w:val="20"/>
                <w:szCs w:val="20"/>
              </w:rPr>
            </w:pPr>
            <w:r w:rsidRPr="00FF2393">
              <w:rPr>
                <w:b w:val="0"/>
                <w:color w:val="auto"/>
                <w:sz w:val="20"/>
                <w:szCs w:val="20"/>
              </w:rPr>
              <w:t xml:space="preserve">Steve Parrock </w:t>
            </w:r>
            <w:r w:rsidRPr="00FF2393">
              <w:rPr>
                <w:rFonts w:cs="Arial"/>
                <w:b w:val="0"/>
                <w:color w:val="auto"/>
                <w:sz w:val="20"/>
                <w:szCs w:val="20"/>
              </w:rPr>
              <w:t>(Officer Torbay Council</w:t>
            </w:r>
            <w:r w:rsidR="00FF2393">
              <w:rPr>
                <w:rFonts w:cs="Arial"/>
                <w:b w:val="0"/>
                <w:color w:val="auto"/>
                <w:sz w:val="20"/>
                <w:szCs w:val="20"/>
              </w:rPr>
              <w:t xml:space="preserve"> &amp; Chief Executive TDA</w:t>
            </w:r>
            <w:r w:rsidRPr="00FF2393">
              <w:rPr>
                <w:rFonts w:cs="Arial"/>
                <w:b w:val="0"/>
                <w:color w:val="auto"/>
                <w:sz w:val="20"/>
                <w:szCs w:val="20"/>
              </w:rPr>
              <w:t>)</w:t>
            </w:r>
          </w:p>
          <w:p w:rsidR="003B1A64" w:rsidRPr="00FF2393" w:rsidRDefault="003B1A64" w:rsidP="003B1A64">
            <w:pPr>
              <w:pStyle w:val="BodyText"/>
              <w:widowControl w:val="0"/>
              <w:spacing w:after="0"/>
              <w:rPr>
                <w:rFonts w:cs="Arial"/>
                <w:b w:val="0"/>
                <w:color w:val="auto"/>
                <w:sz w:val="20"/>
                <w:szCs w:val="20"/>
              </w:rPr>
            </w:pPr>
            <w:r w:rsidRPr="00FF2393">
              <w:rPr>
                <w:rFonts w:cs="Arial"/>
                <w:b w:val="0"/>
                <w:color w:val="auto"/>
                <w:sz w:val="20"/>
                <w:szCs w:val="20"/>
              </w:rPr>
              <w:t>A full list of directors is available at:-</w:t>
            </w:r>
          </w:p>
          <w:p w:rsidR="00FF2393" w:rsidRPr="00FF2393" w:rsidRDefault="00FF2393" w:rsidP="003B1A64">
            <w:pPr>
              <w:pStyle w:val="BodyText"/>
              <w:widowControl w:val="0"/>
              <w:rPr>
                <w:rFonts w:cs="Arial"/>
                <w:b w:val="0"/>
                <w:color w:val="548DD4" w:themeColor="text2" w:themeTint="99"/>
                <w:sz w:val="20"/>
                <w:szCs w:val="20"/>
                <w:u w:val="single"/>
              </w:rPr>
            </w:pPr>
            <w:r w:rsidRPr="00FF2393">
              <w:rPr>
                <w:rFonts w:cs="Arial"/>
                <w:b w:val="0"/>
                <w:color w:val="auto"/>
                <w:sz w:val="20"/>
                <w:szCs w:val="20"/>
                <w:u w:val="single"/>
              </w:rPr>
              <w:t>http://www.torbaydevelopmentagency.co.uk/about-us/edc-board-members</w:t>
            </w:r>
          </w:p>
        </w:tc>
      </w:tr>
      <w:tr w:rsidR="00B93881" w:rsidRPr="00D42E0B" w:rsidTr="00B93881">
        <w:tc>
          <w:tcPr>
            <w:cnfStyle w:val="001000000000"/>
            <w:tcW w:w="1951" w:type="dxa"/>
          </w:tcPr>
          <w:p w:rsidR="003B1A64" w:rsidRPr="007308A6" w:rsidRDefault="003B1A64" w:rsidP="003B1A64">
            <w:pPr>
              <w:pStyle w:val="BodyText"/>
              <w:widowControl w:val="0"/>
              <w:jc w:val="center"/>
              <w:rPr>
                <w:rFonts w:cs="Arial"/>
                <w:b w:val="0"/>
                <w:color w:val="auto"/>
                <w:sz w:val="20"/>
                <w:szCs w:val="20"/>
              </w:rPr>
            </w:pPr>
            <w:r w:rsidRPr="007308A6">
              <w:rPr>
                <w:rFonts w:cs="Arial"/>
                <w:b w:val="0"/>
                <w:color w:val="auto"/>
                <w:sz w:val="20"/>
                <w:szCs w:val="20"/>
              </w:rPr>
              <w:t>English Riviera Tourism Company Ltd</w:t>
            </w:r>
          </w:p>
          <w:p w:rsidR="003B1A64" w:rsidRPr="007308A6" w:rsidRDefault="003B1A64" w:rsidP="003B1A64">
            <w:pPr>
              <w:pStyle w:val="BodyText"/>
              <w:widowControl w:val="0"/>
              <w:jc w:val="center"/>
              <w:rPr>
                <w:rFonts w:cs="Arial"/>
                <w:b w:val="0"/>
                <w:color w:val="auto"/>
                <w:sz w:val="20"/>
                <w:szCs w:val="20"/>
              </w:rPr>
            </w:pPr>
            <w:r w:rsidRPr="007308A6">
              <w:rPr>
                <w:rFonts w:cs="Arial"/>
                <w:b w:val="0"/>
                <w:color w:val="auto"/>
                <w:sz w:val="20"/>
                <w:szCs w:val="20"/>
              </w:rPr>
              <w:t>07223987</w:t>
            </w:r>
          </w:p>
        </w:tc>
        <w:tc>
          <w:tcPr>
            <w:cnfStyle w:val="000010000000"/>
            <w:tcW w:w="1843" w:type="dxa"/>
          </w:tcPr>
          <w:p w:rsidR="003B1A64" w:rsidRPr="007308A6" w:rsidRDefault="003B1A64" w:rsidP="003B1A64">
            <w:pPr>
              <w:pStyle w:val="BodyText"/>
              <w:widowControl w:val="0"/>
              <w:jc w:val="center"/>
              <w:rPr>
                <w:rFonts w:cs="Arial"/>
                <w:color w:val="auto"/>
                <w:sz w:val="20"/>
                <w:szCs w:val="20"/>
              </w:rPr>
            </w:pPr>
            <w:r w:rsidRPr="007308A6">
              <w:rPr>
                <w:rFonts w:cs="Arial"/>
                <w:color w:val="auto"/>
                <w:sz w:val="20"/>
                <w:szCs w:val="20"/>
              </w:rPr>
              <w:t>Local Authority Controlled Company Limited by Guarantee and not having a share capital</w:t>
            </w:r>
          </w:p>
        </w:tc>
        <w:tc>
          <w:tcPr>
            <w:tcW w:w="1701" w:type="dxa"/>
          </w:tcPr>
          <w:p w:rsidR="003B1A64" w:rsidRPr="007308A6" w:rsidRDefault="003B1A64" w:rsidP="003B1A64">
            <w:pPr>
              <w:pStyle w:val="BodyText"/>
              <w:widowControl w:val="0"/>
              <w:jc w:val="center"/>
              <w:cnfStyle w:val="000000000000"/>
              <w:rPr>
                <w:rFonts w:cs="Arial"/>
                <w:color w:val="auto"/>
                <w:sz w:val="20"/>
                <w:szCs w:val="20"/>
              </w:rPr>
            </w:pPr>
            <w:r w:rsidRPr="007308A6">
              <w:rPr>
                <w:rFonts w:cs="Arial"/>
                <w:color w:val="auto"/>
                <w:sz w:val="20"/>
                <w:szCs w:val="20"/>
              </w:rPr>
              <w:t>1</w:t>
            </w:r>
            <w:r w:rsidRPr="007308A6">
              <w:rPr>
                <w:rFonts w:cs="Arial"/>
                <w:color w:val="auto"/>
                <w:sz w:val="20"/>
                <w:szCs w:val="20"/>
                <w:vertAlign w:val="superscript"/>
              </w:rPr>
              <w:t>st</w:t>
            </w:r>
            <w:r w:rsidRPr="007308A6">
              <w:rPr>
                <w:rFonts w:cs="Arial"/>
                <w:color w:val="auto"/>
                <w:sz w:val="20"/>
                <w:szCs w:val="20"/>
              </w:rPr>
              <w:t xml:space="preserve"> October 2010</w:t>
            </w:r>
          </w:p>
        </w:tc>
        <w:tc>
          <w:tcPr>
            <w:cnfStyle w:val="000010000000"/>
            <w:tcW w:w="3402" w:type="dxa"/>
          </w:tcPr>
          <w:p w:rsidR="003B1A64" w:rsidRPr="007308A6" w:rsidRDefault="003B1A64" w:rsidP="003B1A64">
            <w:pPr>
              <w:pStyle w:val="BodyText"/>
              <w:widowControl w:val="0"/>
              <w:jc w:val="center"/>
              <w:rPr>
                <w:rFonts w:cs="Arial"/>
                <w:color w:val="auto"/>
                <w:sz w:val="20"/>
                <w:szCs w:val="20"/>
              </w:rPr>
            </w:pPr>
            <w:r w:rsidRPr="007308A6">
              <w:rPr>
                <w:rFonts w:cs="Arial"/>
                <w:color w:val="auto"/>
                <w:sz w:val="20"/>
                <w:szCs w:val="20"/>
              </w:rPr>
              <w:t>Marketing the English Riviera and  managing and delivering the English Riviera Visitor Information Service</w:t>
            </w:r>
          </w:p>
          <w:p w:rsidR="003B1A64" w:rsidRPr="007308A6" w:rsidRDefault="003B1A64" w:rsidP="007308A6">
            <w:pPr>
              <w:pStyle w:val="BodyText"/>
              <w:widowControl w:val="0"/>
              <w:jc w:val="center"/>
              <w:rPr>
                <w:rFonts w:cs="Arial"/>
                <w:color w:val="auto"/>
                <w:sz w:val="20"/>
                <w:szCs w:val="20"/>
              </w:rPr>
            </w:pPr>
            <w:r w:rsidRPr="007308A6">
              <w:rPr>
                <w:rFonts w:cs="Arial"/>
                <w:color w:val="auto"/>
                <w:sz w:val="20"/>
                <w:szCs w:val="20"/>
              </w:rPr>
              <w:t>In 1</w:t>
            </w:r>
            <w:r w:rsidR="00397717" w:rsidRPr="007308A6">
              <w:rPr>
                <w:rFonts w:cs="Arial"/>
                <w:color w:val="auto"/>
                <w:sz w:val="20"/>
                <w:szCs w:val="20"/>
              </w:rPr>
              <w:t>5</w:t>
            </w:r>
            <w:r w:rsidRPr="007308A6">
              <w:rPr>
                <w:rFonts w:cs="Arial"/>
                <w:color w:val="auto"/>
                <w:sz w:val="20"/>
                <w:szCs w:val="20"/>
              </w:rPr>
              <w:t>/1</w:t>
            </w:r>
            <w:r w:rsidR="00397717" w:rsidRPr="007308A6">
              <w:rPr>
                <w:rFonts w:cs="Arial"/>
                <w:color w:val="auto"/>
                <w:sz w:val="20"/>
                <w:szCs w:val="20"/>
              </w:rPr>
              <w:t>6</w:t>
            </w:r>
            <w:r w:rsidRPr="007308A6">
              <w:rPr>
                <w:rFonts w:cs="Arial"/>
                <w:color w:val="auto"/>
                <w:sz w:val="20"/>
                <w:szCs w:val="20"/>
              </w:rPr>
              <w:t xml:space="preserve"> Council paid </w:t>
            </w:r>
            <w:r w:rsidR="0013378E" w:rsidRPr="007308A6">
              <w:rPr>
                <w:rFonts w:cs="Arial"/>
                <w:color w:val="auto"/>
                <w:sz w:val="20"/>
                <w:szCs w:val="20"/>
              </w:rPr>
              <w:t>£0.</w:t>
            </w:r>
            <w:r w:rsidR="007308A6" w:rsidRPr="007308A6">
              <w:rPr>
                <w:rFonts w:cs="Arial"/>
                <w:color w:val="auto"/>
                <w:sz w:val="20"/>
                <w:szCs w:val="20"/>
              </w:rPr>
              <w:t>35</w:t>
            </w:r>
            <w:r w:rsidR="007308A6">
              <w:rPr>
                <w:rFonts w:cs="Arial"/>
                <w:color w:val="auto"/>
                <w:sz w:val="20"/>
                <w:szCs w:val="20"/>
              </w:rPr>
              <w:t>0</w:t>
            </w:r>
            <w:r w:rsidR="0013378E" w:rsidRPr="007308A6">
              <w:rPr>
                <w:rFonts w:cs="Arial"/>
                <w:color w:val="auto"/>
                <w:sz w:val="20"/>
                <w:szCs w:val="20"/>
              </w:rPr>
              <w:t xml:space="preserve">m </w:t>
            </w:r>
            <w:r w:rsidR="009A60F8" w:rsidRPr="007308A6">
              <w:rPr>
                <w:rFonts w:cs="Arial"/>
                <w:color w:val="auto"/>
                <w:sz w:val="20"/>
                <w:szCs w:val="20"/>
              </w:rPr>
              <w:t>(</w:t>
            </w:r>
            <w:r w:rsidRPr="007308A6">
              <w:rPr>
                <w:rFonts w:cs="Arial"/>
                <w:color w:val="auto"/>
                <w:sz w:val="20"/>
                <w:szCs w:val="20"/>
              </w:rPr>
              <w:t xml:space="preserve">£0.5m </w:t>
            </w:r>
            <w:r w:rsidR="009A60F8" w:rsidRPr="007308A6">
              <w:rPr>
                <w:rFonts w:cs="Arial"/>
                <w:color w:val="auto"/>
                <w:sz w:val="20"/>
                <w:szCs w:val="20"/>
              </w:rPr>
              <w:t>1</w:t>
            </w:r>
            <w:r w:rsidR="00397717" w:rsidRPr="007308A6">
              <w:rPr>
                <w:rFonts w:cs="Arial"/>
                <w:color w:val="auto"/>
                <w:sz w:val="20"/>
                <w:szCs w:val="20"/>
              </w:rPr>
              <w:t>4</w:t>
            </w:r>
            <w:r w:rsidR="009A60F8" w:rsidRPr="007308A6">
              <w:rPr>
                <w:rFonts w:cs="Arial"/>
                <w:color w:val="auto"/>
                <w:sz w:val="20"/>
                <w:szCs w:val="20"/>
              </w:rPr>
              <w:t>/1</w:t>
            </w:r>
            <w:r w:rsidR="00397717" w:rsidRPr="007308A6">
              <w:rPr>
                <w:rFonts w:cs="Arial"/>
                <w:color w:val="auto"/>
                <w:sz w:val="20"/>
                <w:szCs w:val="20"/>
              </w:rPr>
              <w:t>5</w:t>
            </w:r>
            <w:r w:rsidR="009A60F8" w:rsidRPr="007308A6">
              <w:rPr>
                <w:rFonts w:cs="Arial"/>
                <w:color w:val="auto"/>
                <w:sz w:val="20"/>
                <w:szCs w:val="20"/>
              </w:rPr>
              <w:t xml:space="preserve">) </w:t>
            </w:r>
            <w:r w:rsidRPr="007308A6">
              <w:rPr>
                <w:rFonts w:cs="Arial"/>
                <w:color w:val="auto"/>
                <w:sz w:val="20"/>
                <w:szCs w:val="20"/>
              </w:rPr>
              <w:t>grant</w:t>
            </w:r>
          </w:p>
        </w:tc>
        <w:tc>
          <w:tcPr>
            <w:tcW w:w="1276" w:type="dxa"/>
          </w:tcPr>
          <w:p w:rsidR="003B1A64" w:rsidRPr="007308A6" w:rsidRDefault="003B1A64" w:rsidP="003B1A64">
            <w:pPr>
              <w:pStyle w:val="BodyText"/>
              <w:widowControl w:val="0"/>
              <w:jc w:val="center"/>
              <w:cnfStyle w:val="000000000000"/>
              <w:rPr>
                <w:rFonts w:cs="Arial"/>
                <w:color w:val="auto"/>
                <w:sz w:val="20"/>
                <w:szCs w:val="20"/>
              </w:rPr>
            </w:pPr>
            <w:r w:rsidRPr="007308A6">
              <w:rPr>
                <w:rFonts w:cs="Arial"/>
                <w:color w:val="auto"/>
                <w:sz w:val="20"/>
                <w:szCs w:val="20"/>
              </w:rPr>
              <w:t>Subsidiary</w:t>
            </w:r>
          </w:p>
        </w:tc>
        <w:tc>
          <w:tcPr>
            <w:cnfStyle w:val="000100000000"/>
            <w:tcW w:w="4394" w:type="dxa"/>
          </w:tcPr>
          <w:p w:rsidR="003B1A64" w:rsidRPr="007308A6" w:rsidRDefault="003B1A64" w:rsidP="003B1A64">
            <w:pPr>
              <w:pStyle w:val="BodyText"/>
              <w:widowControl w:val="0"/>
              <w:rPr>
                <w:rFonts w:cs="Arial"/>
                <w:b w:val="0"/>
                <w:color w:val="auto"/>
                <w:sz w:val="20"/>
                <w:szCs w:val="20"/>
              </w:rPr>
            </w:pPr>
            <w:r w:rsidRPr="007308A6">
              <w:rPr>
                <w:rFonts w:cs="Arial"/>
                <w:b w:val="0"/>
                <w:color w:val="auto"/>
                <w:sz w:val="20"/>
                <w:szCs w:val="20"/>
              </w:rPr>
              <w:t xml:space="preserve">Shareholding /Control: 100% </w:t>
            </w:r>
          </w:p>
          <w:p w:rsidR="003B1A64" w:rsidRPr="007308A6" w:rsidRDefault="003B1A64" w:rsidP="003B1A64">
            <w:pPr>
              <w:pStyle w:val="BodyText"/>
              <w:widowControl w:val="0"/>
              <w:spacing w:after="0"/>
              <w:rPr>
                <w:rFonts w:cs="Arial"/>
                <w:b w:val="0"/>
                <w:color w:val="auto"/>
                <w:sz w:val="20"/>
                <w:szCs w:val="20"/>
              </w:rPr>
            </w:pPr>
            <w:r w:rsidRPr="007308A6">
              <w:rPr>
                <w:rFonts w:cs="Arial"/>
                <w:b w:val="0"/>
                <w:color w:val="auto"/>
                <w:sz w:val="20"/>
                <w:szCs w:val="20"/>
              </w:rPr>
              <w:t>Members of Torbay Council that are Directors of this Company are as follows:-</w:t>
            </w:r>
          </w:p>
          <w:p w:rsidR="00B664DC" w:rsidRPr="007308A6" w:rsidRDefault="00B664DC" w:rsidP="003B1A64">
            <w:pPr>
              <w:pStyle w:val="BodyText"/>
              <w:widowControl w:val="0"/>
              <w:spacing w:after="0" w:line="240" w:lineRule="auto"/>
              <w:rPr>
                <w:b w:val="0"/>
                <w:color w:val="auto"/>
                <w:sz w:val="20"/>
                <w:szCs w:val="20"/>
              </w:rPr>
            </w:pPr>
            <w:r w:rsidRPr="007308A6">
              <w:rPr>
                <w:b w:val="0"/>
                <w:color w:val="auto"/>
                <w:sz w:val="20"/>
                <w:szCs w:val="20"/>
              </w:rPr>
              <w:t xml:space="preserve">Cllr. </w:t>
            </w:r>
            <w:r w:rsidR="007308A6" w:rsidRPr="007308A6">
              <w:rPr>
                <w:b w:val="0"/>
                <w:color w:val="auto"/>
                <w:sz w:val="20"/>
                <w:szCs w:val="20"/>
              </w:rPr>
              <w:t>Nicole Amil</w:t>
            </w:r>
          </w:p>
          <w:p w:rsidR="003B1A64" w:rsidRDefault="007308A6" w:rsidP="003B1A64">
            <w:pPr>
              <w:pStyle w:val="BodyText"/>
              <w:widowControl w:val="0"/>
              <w:spacing w:after="0" w:line="240" w:lineRule="auto"/>
              <w:rPr>
                <w:rFonts w:cs="Arial"/>
                <w:b w:val="0"/>
                <w:color w:val="auto"/>
                <w:sz w:val="20"/>
                <w:szCs w:val="20"/>
              </w:rPr>
            </w:pPr>
            <w:r w:rsidRPr="007308A6">
              <w:rPr>
                <w:b w:val="0"/>
                <w:color w:val="auto"/>
                <w:sz w:val="20"/>
                <w:szCs w:val="20"/>
              </w:rPr>
              <w:t xml:space="preserve">K </w:t>
            </w:r>
            <w:r w:rsidR="007E33E1">
              <w:rPr>
                <w:color w:val="auto"/>
                <w:sz w:val="20"/>
                <w:szCs w:val="20"/>
              </w:rPr>
              <w:t>Mowatt</w:t>
            </w:r>
            <w:r w:rsidR="003B1A64" w:rsidRPr="007308A6">
              <w:rPr>
                <w:b w:val="0"/>
                <w:color w:val="auto"/>
                <w:sz w:val="20"/>
                <w:szCs w:val="20"/>
              </w:rPr>
              <w:t xml:space="preserve">  </w:t>
            </w:r>
            <w:r w:rsidR="003B1A64" w:rsidRPr="007308A6">
              <w:rPr>
                <w:rFonts w:cs="Arial"/>
                <w:b w:val="0"/>
                <w:color w:val="auto"/>
                <w:sz w:val="20"/>
                <w:szCs w:val="20"/>
              </w:rPr>
              <w:t>(Officer Torbay Council)</w:t>
            </w:r>
          </w:p>
          <w:p w:rsidR="007308A6" w:rsidRPr="007308A6" w:rsidRDefault="007308A6" w:rsidP="003B1A64">
            <w:pPr>
              <w:pStyle w:val="BodyText"/>
              <w:widowControl w:val="0"/>
              <w:spacing w:after="0" w:line="240" w:lineRule="auto"/>
              <w:rPr>
                <w:rFonts w:cs="Arial"/>
                <w:b w:val="0"/>
                <w:color w:val="auto"/>
                <w:sz w:val="20"/>
                <w:szCs w:val="20"/>
              </w:rPr>
            </w:pPr>
          </w:p>
          <w:p w:rsidR="007308A6" w:rsidRPr="007308A6" w:rsidRDefault="007308A6" w:rsidP="003B1A64">
            <w:pPr>
              <w:pStyle w:val="BodyText"/>
              <w:widowControl w:val="0"/>
              <w:rPr>
                <w:rFonts w:cs="Arial"/>
                <w:b w:val="0"/>
                <w:color w:val="auto"/>
                <w:sz w:val="20"/>
                <w:szCs w:val="20"/>
                <w:u w:val="single"/>
              </w:rPr>
            </w:pPr>
            <w:r w:rsidRPr="007308A6">
              <w:rPr>
                <w:rFonts w:cs="Arial"/>
                <w:b w:val="0"/>
                <w:color w:val="auto"/>
                <w:sz w:val="20"/>
                <w:szCs w:val="20"/>
                <w:u w:val="single"/>
              </w:rPr>
              <w:t>http://englishrivieratourism.co.uk/ertc-board-members.php</w:t>
            </w:r>
          </w:p>
        </w:tc>
      </w:tr>
      <w:tr w:rsidR="00B93881" w:rsidRPr="00D42E0B" w:rsidTr="00B93881">
        <w:trPr>
          <w:cnfStyle w:val="000000100000"/>
        </w:trPr>
        <w:tc>
          <w:tcPr>
            <w:cnfStyle w:val="001000000000"/>
            <w:tcW w:w="1951" w:type="dxa"/>
          </w:tcPr>
          <w:p w:rsidR="003B1A64" w:rsidRPr="00A64CA9" w:rsidRDefault="003B1A64" w:rsidP="003B1A64">
            <w:pPr>
              <w:pStyle w:val="BodyText"/>
              <w:widowControl w:val="0"/>
              <w:jc w:val="center"/>
              <w:rPr>
                <w:rFonts w:cs="Arial"/>
                <w:b w:val="0"/>
                <w:color w:val="auto"/>
                <w:sz w:val="20"/>
                <w:szCs w:val="20"/>
              </w:rPr>
            </w:pPr>
            <w:r w:rsidRPr="00A64CA9">
              <w:rPr>
                <w:rFonts w:cs="Arial"/>
                <w:b w:val="0"/>
                <w:color w:val="auto"/>
                <w:sz w:val="20"/>
                <w:szCs w:val="20"/>
              </w:rPr>
              <w:t>Oldway Mansion Management Company Ltd</w:t>
            </w:r>
          </w:p>
          <w:p w:rsidR="003B1A64" w:rsidRPr="00A64CA9" w:rsidRDefault="003B1A64" w:rsidP="003B1A64">
            <w:pPr>
              <w:pStyle w:val="BodyText"/>
              <w:widowControl w:val="0"/>
              <w:jc w:val="center"/>
              <w:rPr>
                <w:rFonts w:cs="Arial"/>
                <w:b w:val="0"/>
                <w:color w:val="auto"/>
                <w:sz w:val="20"/>
                <w:szCs w:val="20"/>
              </w:rPr>
            </w:pPr>
            <w:r w:rsidRPr="00A64CA9">
              <w:rPr>
                <w:rFonts w:cs="Arial"/>
                <w:b w:val="0"/>
                <w:color w:val="auto"/>
                <w:sz w:val="20"/>
                <w:szCs w:val="20"/>
              </w:rPr>
              <w:t>8219420</w:t>
            </w:r>
          </w:p>
        </w:tc>
        <w:tc>
          <w:tcPr>
            <w:cnfStyle w:val="000010000000"/>
            <w:tcW w:w="1843" w:type="dxa"/>
          </w:tcPr>
          <w:p w:rsidR="003B1A64" w:rsidRPr="00A64CA9" w:rsidRDefault="003B1A64" w:rsidP="003B1A64">
            <w:pPr>
              <w:pStyle w:val="BodyText"/>
              <w:widowControl w:val="0"/>
              <w:jc w:val="center"/>
              <w:rPr>
                <w:rFonts w:cs="Arial"/>
                <w:color w:val="auto"/>
                <w:sz w:val="20"/>
                <w:szCs w:val="20"/>
              </w:rPr>
            </w:pPr>
            <w:r w:rsidRPr="00A64CA9">
              <w:rPr>
                <w:rFonts w:cs="Arial"/>
                <w:color w:val="auto"/>
                <w:sz w:val="20"/>
                <w:szCs w:val="20"/>
              </w:rPr>
              <w:t>Company limited by share</w:t>
            </w:r>
          </w:p>
        </w:tc>
        <w:tc>
          <w:tcPr>
            <w:tcW w:w="1701" w:type="dxa"/>
          </w:tcPr>
          <w:p w:rsidR="003B1A64" w:rsidRPr="00A64CA9" w:rsidRDefault="003B1A64" w:rsidP="003B1A64">
            <w:pPr>
              <w:pStyle w:val="BodyText"/>
              <w:widowControl w:val="0"/>
              <w:jc w:val="center"/>
              <w:cnfStyle w:val="000000100000"/>
              <w:rPr>
                <w:rFonts w:cs="Arial"/>
                <w:color w:val="auto"/>
                <w:sz w:val="20"/>
                <w:szCs w:val="20"/>
              </w:rPr>
            </w:pPr>
            <w:r w:rsidRPr="00A64CA9">
              <w:rPr>
                <w:rFonts w:cs="Arial"/>
                <w:color w:val="auto"/>
                <w:sz w:val="20"/>
                <w:szCs w:val="20"/>
              </w:rPr>
              <w:t>20</w:t>
            </w:r>
            <w:r w:rsidRPr="00A64CA9">
              <w:rPr>
                <w:rFonts w:cs="Arial"/>
                <w:color w:val="auto"/>
                <w:sz w:val="20"/>
                <w:szCs w:val="20"/>
                <w:vertAlign w:val="superscript"/>
              </w:rPr>
              <w:t>th</w:t>
            </w:r>
            <w:r w:rsidRPr="00A64CA9">
              <w:rPr>
                <w:rFonts w:cs="Arial"/>
                <w:color w:val="auto"/>
                <w:sz w:val="20"/>
                <w:szCs w:val="20"/>
              </w:rPr>
              <w:t xml:space="preserve"> September 2012</w:t>
            </w:r>
          </w:p>
        </w:tc>
        <w:tc>
          <w:tcPr>
            <w:cnfStyle w:val="000010000000"/>
            <w:tcW w:w="3402" w:type="dxa"/>
          </w:tcPr>
          <w:p w:rsidR="003B1A64" w:rsidRPr="00A64CA9" w:rsidRDefault="003B1A64" w:rsidP="003B1A64">
            <w:pPr>
              <w:pStyle w:val="BodyText"/>
              <w:widowControl w:val="0"/>
              <w:jc w:val="center"/>
              <w:rPr>
                <w:rFonts w:cs="Arial"/>
                <w:color w:val="auto"/>
                <w:sz w:val="20"/>
                <w:szCs w:val="20"/>
              </w:rPr>
            </w:pPr>
            <w:r w:rsidRPr="00A64CA9">
              <w:rPr>
                <w:rFonts w:cs="Arial"/>
                <w:color w:val="auto"/>
                <w:sz w:val="20"/>
                <w:szCs w:val="20"/>
              </w:rPr>
              <w:t>To manage the Oldway Estate on behalf of Torbay Council and tenants</w:t>
            </w:r>
          </w:p>
          <w:p w:rsidR="003B1A64" w:rsidRPr="00A64CA9" w:rsidRDefault="003B1A64" w:rsidP="00397717">
            <w:pPr>
              <w:pStyle w:val="BodyText"/>
              <w:widowControl w:val="0"/>
              <w:jc w:val="center"/>
              <w:rPr>
                <w:rFonts w:cs="Arial"/>
                <w:color w:val="auto"/>
                <w:sz w:val="20"/>
                <w:szCs w:val="20"/>
              </w:rPr>
            </w:pPr>
            <w:r w:rsidRPr="00A64CA9">
              <w:rPr>
                <w:rFonts w:cs="Arial"/>
                <w:color w:val="auto"/>
                <w:sz w:val="20"/>
                <w:szCs w:val="20"/>
              </w:rPr>
              <w:t>In 1</w:t>
            </w:r>
            <w:r w:rsidR="00397717" w:rsidRPr="00A64CA9">
              <w:rPr>
                <w:rFonts w:cs="Arial"/>
                <w:color w:val="auto"/>
                <w:sz w:val="20"/>
                <w:szCs w:val="20"/>
              </w:rPr>
              <w:t>5</w:t>
            </w:r>
            <w:r w:rsidRPr="00A64CA9">
              <w:rPr>
                <w:rFonts w:cs="Arial"/>
                <w:color w:val="auto"/>
                <w:sz w:val="20"/>
                <w:szCs w:val="20"/>
              </w:rPr>
              <w:t>/1</w:t>
            </w:r>
            <w:r w:rsidR="00397717" w:rsidRPr="00A64CA9">
              <w:rPr>
                <w:rFonts w:cs="Arial"/>
                <w:color w:val="auto"/>
                <w:sz w:val="20"/>
                <w:szCs w:val="20"/>
              </w:rPr>
              <w:t>6</w:t>
            </w:r>
            <w:r w:rsidRPr="00A64CA9">
              <w:rPr>
                <w:rFonts w:cs="Arial"/>
                <w:color w:val="auto"/>
                <w:sz w:val="20"/>
                <w:szCs w:val="20"/>
              </w:rPr>
              <w:t xml:space="preserve"> Council funded a £0.1m</w:t>
            </w:r>
            <w:r w:rsidR="0075237A" w:rsidRPr="00A64CA9">
              <w:rPr>
                <w:rFonts w:cs="Arial"/>
                <w:color w:val="auto"/>
                <w:sz w:val="20"/>
                <w:szCs w:val="20"/>
              </w:rPr>
              <w:t xml:space="preserve"> (£0.1m 1</w:t>
            </w:r>
            <w:r w:rsidR="00397717" w:rsidRPr="00A64CA9">
              <w:rPr>
                <w:rFonts w:cs="Arial"/>
                <w:color w:val="auto"/>
                <w:sz w:val="20"/>
                <w:szCs w:val="20"/>
              </w:rPr>
              <w:t>4</w:t>
            </w:r>
            <w:r w:rsidR="0075237A" w:rsidRPr="00A64CA9">
              <w:rPr>
                <w:rFonts w:cs="Arial"/>
                <w:color w:val="auto"/>
                <w:sz w:val="20"/>
                <w:szCs w:val="20"/>
              </w:rPr>
              <w:t>/1</w:t>
            </w:r>
            <w:r w:rsidR="00397717" w:rsidRPr="00A64CA9">
              <w:rPr>
                <w:rFonts w:cs="Arial"/>
                <w:color w:val="auto"/>
                <w:sz w:val="20"/>
                <w:szCs w:val="20"/>
              </w:rPr>
              <w:t>5</w:t>
            </w:r>
            <w:r w:rsidR="0075237A" w:rsidRPr="00A64CA9">
              <w:rPr>
                <w:rFonts w:cs="Arial"/>
                <w:color w:val="auto"/>
                <w:sz w:val="20"/>
                <w:szCs w:val="20"/>
              </w:rPr>
              <w:t>)</w:t>
            </w:r>
            <w:r w:rsidRPr="00A64CA9">
              <w:rPr>
                <w:rFonts w:cs="Arial"/>
                <w:color w:val="auto"/>
                <w:sz w:val="20"/>
                <w:szCs w:val="20"/>
              </w:rPr>
              <w:t xml:space="preserve"> payment</w:t>
            </w:r>
          </w:p>
        </w:tc>
        <w:tc>
          <w:tcPr>
            <w:tcW w:w="1276" w:type="dxa"/>
          </w:tcPr>
          <w:p w:rsidR="003B1A64" w:rsidRPr="00A64CA9" w:rsidRDefault="003B1A64" w:rsidP="003B1A64">
            <w:pPr>
              <w:pStyle w:val="BodyText"/>
              <w:widowControl w:val="0"/>
              <w:jc w:val="center"/>
              <w:cnfStyle w:val="000000100000"/>
              <w:rPr>
                <w:rFonts w:cs="Arial"/>
                <w:color w:val="auto"/>
                <w:sz w:val="20"/>
                <w:szCs w:val="20"/>
              </w:rPr>
            </w:pPr>
            <w:r w:rsidRPr="00A64CA9">
              <w:rPr>
                <w:rFonts w:cs="Arial"/>
                <w:color w:val="auto"/>
                <w:sz w:val="20"/>
                <w:szCs w:val="20"/>
              </w:rPr>
              <w:t>Subsidiary</w:t>
            </w:r>
          </w:p>
        </w:tc>
        <w:tc>
          <w:tcPr>
            <w:cnfStyle w:val="000100000000"/>
            <w:tcW w:w="4394" w:type="dxa"/>
          </w:tcPr>
          <w:p w:rsidR="003B1A64" w:rsidRDefault="003B1A64" w:rsidP="003B1A64">
            <w:pPr>
              <w:pStyle w:val="BodyText"/>
              <w:widowControl w:val="0"/>
              <w:spacing w:after="0" w:line="240" w:lineRule="auto"/>
              <w:rPr>
                <w:rFonts w:cs="Arial"/>
                <w:b w:val="0"/>
                <w:color w:val="auto"/>
                <w:sz w:val="20"/>
                <w:szCs w:val="20"/>
              </w:rPr>
            </w:pPr>
            <w:r w:rsidRPr="00A64CA9">
              <w:rPr>
                <w:rFonts w:cs="Arial"/>
                <w:b w:val="0"/>
                <w:color w:val="auto"/>
                <w:sz w:val="20"/>
                <w:szCs w:val="20"/>
              </w:rPr>
              <w:t xml:space="preserve">Shareholding /Control: 100% </w:t>
            </w:r>
          </w:p>
          <w:p w:rsidR="00A64CA9" w:rsidRPr="00A64CA9" w:rsidRDefault="00A64CA9" w:rsidP="003B1A64">
            <w:pPr>
              <w:pStyle w:val="BodyText"/>
              <w:widowControl w:val="0"/>
              <w:spacing w:after="0" w:line="240" w:lineRule="auto"/>
              <w:rPr>
                <w:rFonts w:cs="Arial"/>
                <w:b w:val="0"/>
                <w:color w:val="auto"/>
                <w:sz w:val="20"/>
                <w:szCs w:val="20"/>
              </w:rPr>
            </w:pPr>
          </w:p>
          <w:p w:rsidR="003B1A64" w:rsidRPr="00A64CA9" w:rsidRDefault="003B1A64" w:rsidP="003B1A64">
            <w:pPr>
              <w:pStyle w:val="BodyText"/>
              <w:widowControl w:val="0"/>
              <w:spacing w:after="0" w:line="240" w:lineRule="auto"/>
              <w:rPr>
                <w:rFonts w:cs="Arial"/>
                <w:b w:val="0"/>
                <w:color w:val="auto"/>
                <w:sz w:val="20"/>
                <w:szCs w:val="20"/>
              </w:rPr>
            </w:pPr>
            <w:r w:rsidRPr="00A64CA9">
              <w:rPr>
                <w:rFonts w:cs="Arial"/>
                <w:b w:val="0"/>
                <w:color w:val="auto"/>
                <w:sz w:val="20"/>
                <w:szCs w:val="20"/>
              </w:rPr>
              <w:t>Directors:</w:t>
            </w:r>
          </w:p>
          <w:p w:rsidR="003B1A64" w:rsidRPr="00A64CA9" w:rsidRDefault="00A64CA9" w:rsidP="003B1A64">
            <w:pPr>
              <w:pStyle w:val="BodyText"/>
              <w:widowControl w:val="0"/>
              <w:spacing w:after="0" w:line="240" w:lineRule="auto"/>
              <w:rPr>
                <w:rFonts w:cs="Arial"/>
                <w:b w:val="0"/>
                <w:color w:val="auto"/>
                <w:sz w:val="20"/>
                <w:szCs w:val="20"/>
              </w:rPr>
            </w:pPr>
            <w:r w:rsidRPr="00A64CA9">
              <w:rPr>
                <w:rFonts w:cs="Arial"/>
                <w:b w:val="0"/>
                <w:color w:val="auto"/>
                <w:sz w:val="20"/>
                <w:szCs w:val="20"/>
              </w:rPr>
              <w:t>K Mowatt</w:t>
            </w:r>
            <w:r w:rsidR="003B1A64" w:rsidRPr="00A64CA9">
              <w:rPr>
                <w:rFonts w:cs="Arial"/>
                <w:b w:val="0"/>
                <w:color w:val="auto"/>
                <w:sz w:val="20"/>
                <w:szCs w:val="20"/>
              </w:rPr>
              <w:t xml:space="preserve"> (Officer Torbay Council)</w:t>
            </w:r>
          </w:p>
          <w:p w:rsidR="003B1A64" w:rsidRPr="00A64CA9" w:rsidRDefault="00A64CA9" w:rsidP="00A64CA9">
            <w:pPr>
              <w:pStyle w:val="BodyText"/>
              <w:widowControl w:val="0"/>
              <w:spacing w:after="0" w:line="240" w:lineRule="auto"/>
              <w:rPr>
                <w:rFonts w:cs="Arial"/>
                <w:b w:val="0"/>
                <w:color w:val="auto"/>
                <w:sz w:val="20"/>
                <w:szCs w:val="20"/>
              </w:rPr>
            </w:pPr>
            <w:r w:rsidRPr="00A64CA9">
              <w:rPr>
                <w:rFonts w:cs="Arial"/>
                <w:b w:val="0"/>
                <w:color w:val="auto"/>
                <w:sz w:val="20"/>
                <w:szCs w:val="20"/>
              </w:rPr>
              <w:t>N Coish</w:t>
            </w:r>
            <w:r w:rsidR="003B1A64" w:rsidRPr="00A64CA9">
              <w:rPr>
                <w:rFonts w:cs="Arial"/>
                <w:b w:val="0"/>
                <w:color w:val="auto"/>
                <w:sz w:val="20"/>
                <w:szCs w:val="20"/>
              </w:rPr>
              <w:t xml:space="preserve"> (Officer Torbay Council)</w:t>
            </w:r>
          </w:p>
          <w:p w:rsidR="00A64CA9" w:rsidRPr="00A64CA9" w:rsidRDefault="00A64CA9" w:rsidP="00A64CA9">
            <w:pPr>
              <w:pStyle w:val="BodyText"/>
              <w:widowControl w:val="0"/>
              <w:spacing w:after="0" w:line="240" w:lineRule="auto"/>
              <w:rPr>
                <w:rFonts w:cs="Arial"/>
                <w:b w:val="0"/>
                <w:color w:val="auto"/>
                <w:sz w:val="20"/>
                <w:szCs w:val="20"/>
              </w:rPr>
            </w:pPr>
            <w:r w:rsidRPr="00A64CA9">
              <w:rPr>
                <w:rFonts w:cs="Arial"/>
                <w:b w:val="0"/>
                <w:color w:val="auto"/>
                <w:sz w:val="20"/>
                <w:szCs w:val="20"/>
              </w:rPr>
              <w:t>M Irving (Officer Torbay Council)</w:t>
            </w:r>
          </w:p>
        </w:tc>
      </w:tr>
      <w:tr w:rsidR="00B93881" w:rsidRPr="00D42E0B" w:rsidTr="00B93881">
        <w:tc>
          <w:tcPr>
            <w:cnfStyle w:val="001000000000"/>
            <w:tcW w:w="1951" w:type="dxa"/>
          </w:tcPr>
          <w:p w:rsidR="003B1A64" w:rsidRPr="00BF5DA4" w:rsidRDefault="003B1A64" w:rsidP="003B1A64">
            <w:pPr>
              <w:pStyle w:val="BodyText"/>
              <w:widowControl w:val="0"/>
              <w:jc w:val="center"/>
              <w:rPr>
                <w:rFonts w:cs="Arial"/>
                <w:b w:val="0"/>
                <w:color w:val="auto"/>
                <w:sz w:val="20"/>
                <w:szCs w:val="20"/>
              </w:rPr>
            </w:pPr>
            <w:r w:rsidRPr="00BF5DA4">
              <w:rPr>
                <w:rFonts w:cs="Arial"/>
                <w:b w:val="0"/>
                <w:color w:val="auto"/>
                <w:sz w:val="20"/>
                <w:szCs w:val="20"/>
              </w:rPr>
              <w:t>TOR2 Ltd</w:t>
            </w:r>
          </w:p>
          <w:p w:rsidR="003B1A64" w:rsidRPr="00BF5DA4" w:rsidRDefault="003B1A64" w:rsidP="003B1A64">
            <w:pPr>
              <w:pStyle w:val="BodyText"/>
              <w:widowControl w:val="0"/>
              <w:jc w:val="center"/>
              <w:rPr>
                <w:rFonts w:cs="Arial"/>
                <w:b w:val="0"/>
                <w:color w:val="auto"/>
                <w:sz w:val="20"/>
                <w:szCs w:val="20"/>
              </w:rPr>
            </w:pPr>
            <w:r w:rsidRPr="00BF5DA4">
              <w:rPr>
                <w:rFonts w:cs="Arial"/>
                <w:b w:val="0"/>
                <w:color w:val="auto"/>
                <w:sz w:val="20"/>
                <w:szCs w:val="20"/>
              </w:rPr>
              <w:t>07204696</w:t>
            </w:r>
          </w:p>
        </w:tc>
        <w:tc>
          <w:tcPr>
            <w:cnfStyle w:val="000010000000"/>
            <w:tcW w:w="1843" w:type="dxa"/>
          </w:tcPr>
          <w:p w:rsidR="003B1A64" w:rsidRPr="00BF5DA4" w:rsidRDefault="003B1A64" w:rsidP="003B1A64">
            <w:pPr>
              <w:pStyle w:val="BodyText"/>
              <w:widowControl w:val="0"/>
              <w:jc w:val="center"/>
              <w:rPr>
                <w:rFonts w:cs="Arial"/>
                <w:color w:val="auto"/>
                <w:sz w:val="20"/>
                <w:szCs w:val="20"/>
              </w:rPr>
            </w:pPr>
            <w:r w:rsidRPr="00BF5DA4">
              <w:rPr>
                <w:rFonts w:cs="Arial"/>
                <w:color w:val="auto"/>
                <w:sz w:val="20"/>
                <w:szCs w:val="20"/>
              </w:rPr>
              <w:t>Company limited by share</w:t>
            </w:r>
          </w:p>
        </w:tc>
        <w:tc>
          <w:tcPr>
            <w:tcW w:w="1701" w:type="dxa"/>
          </w:tcPr>
          <w:p w:rsidR="003B1A64" w:rsidRPr="00BF5DA4" w:rsidRDefault="003B1A64" w:rsidP="003B1A64">
            <w:pPr>
              <w:pStyle w:val="BodyText"/>
              <w:widowControl w:val="0"/>
              <w:jc w:val="center"/>
              <w:cnfStyle w:val="000000000000"/>
              <w:rPr>
                <w:rFonts w:cs="Arial"/>
                <w:color w:val="auto"/>
                <w:sz w:val="20"/>
                <w:szCs w:val="20"/>
              </w:rPr>
            </w:pPr>
            <w:r w:rsidRPr="00BF5DA4">
              <w:rPr>
                <w:rFonts w:cs="Arial"/>
                <w:color w:val="auto"/>
                <w:sz w:val="20"/>
                <w:szCs w:val="20"/>
              </w:rPr>
              <w:t>19</w:t>
            </w:r>
            <w:r w:rsidRPr="00BF5DA4">
              <w:rPr>
                <w:rFonts w:cs="Arial"/>
                <w:color w:val="auto"/>
                <w:sz w:val="20"/>
                <w:szCs w:val="20"/>
                <w:vertAlign w:val="superscript"/>
              </w:rPr>
              <w:t>th</w:t>
            </w:r>
            <w:r w:rsidRPr="00BF5DA4">
              <w:rPr>
                <w:rFonts w:cs="Arial"/>
                <w:color w:val="auto"/>
                <w:sz w:val="20"/>
                <w:szCs w:val="20"/>
              </w:rPr>
              <w:t xml:space="preserve"> July 2010</w:t>
            </w:r>
          </w:p>
        </w:tc>
        <w:tc>
          <w:tcPr>
            <w:cnfStyle w:val="000010000000"/>
            <w:tcW w:w="3402" w:type="dxa"/>
          </w:tcPr>
          <w:p w:rsidR="003B1A64" w:rsidRPr="00BF5DA4" w:rsidRDefault="003B1A64" w:rsidP="003B1A64">
            <w:pPr>
              <w:pStyle w:val="BodyText"/>
              <w:widowControl w:val="0"/>
              <w:jc w:val="center"/>
              <w:rPr>
                <w:rFonts w:cs="Arial"/>
                <w:color w:val="auto"/>
                <w:sz w:val="20"/>
                <w:szCs w:val="20"/>
              </w:rPr>
            </w:pPr>
            <w:r w:rsidRPr="00BF5DA4">
              <w:rPr>
                <w:rFonts w:cs="Arial"/>
                <w:color w:val="auto"/>
                <w:sz w:val="20"/>
                <w:szCs w:val="20"/>
              </w:rPr>
              <w:t xml:space="preserve">Waste and recycling collections; maintenance of highways, grounds, parks, car parks, buildings and the Council’s vehicle fleet; street and </w:t>
            </w:r>
            <w:r w:rsidRPr="00BF5DA4">
              <w:rPr>
                <w:rFonts w:cs="Arial"/>
                <w:color w:val="auto"/>
                <w:sz w:val="20"/>
                <w:szCs w:val="20"/>
              </w:rPr>
              <w:lastRenderedPageBreak/>
              <w:t>beach cleansing; and out of hours call centre support in the Torbay area</w:t>
            </w:r>
          </w:p>
          <w:p w:rsidR="003B1A64" w:rsidRPr="00D42E0B" w:rsidRDefault="003B1A64" w:rsidP="0007648A">
            <w:pPr>
              <w:pStyle w:val="BodyText"/>
              <w:widowControl w:val="0"/>
              <w:jc w:val="center"/>
              <w:rPr>
                <w:rFonts w:cs="Arial"/>
                <w:color w:val="548DD4" w:themeColor="text2" w:themeTint="99"/>
                <w:sz w:val="20"/>
                <w:szCs w:val="20"/>
              </w:rPr>
            </w:pPr>
            <w:r w:rsidRPr="00065C6D">
              <w:rPr>
                <w:rFonts w:cs="Arial"/>
                <w:color w:val="auto"/>
                <w:sz w:val="20"/>
                <w:szCs w:val="20"/>
              </w:rPr>
              <w:t>Council has 10 year contract with TOR2 for a number of services. For 201</w:t>
            </w:r>
            <w:r w:rsidR="00855B7E" w:rsidRPr="00065C6D">
              <w:rPr>
                <w:rFonts w:cs="Arial"/>
                <w:color w:val="auto"/>
                <w:sz w:val="20"/>
                <w:szCs w:val="20"/>
              </w:rPr>
              <w:t>5</w:t>
            </w:r>
            <w:r w:rsidR="00065C6D" w:rsidRPr="00065C6D">
              <w:rPr>
                <w:rFonts w:cs="Arial"/>
                <w:color w:val="auto"/>
                <w:sz w:val="20"/>
                <w:szCs w:val="20"/>
              </w:rPr>
              <w:t>/16</w:t>
            </w:r>
            <w:r w:rsidRPr="00065C6D">
              <w:rPr>
                <w:rFonts w:cs="Arial"/>
                <w:color w:val="auto"/>
                <w:sz w:val="20"/>
                <w:szCs w:val="20"/>
              </w:rPr>
              <w:t xml:space="preserve"> annual cyclical works were approx</w:t>
            </w:r>
            <w:r w:rsidRPr="00D42E0B">
              <w:rPr>
                <w:rFonts w:cs="Arial"/>
                <w:color w:val="548DD4" w:themeColor="text2" w:themeTint="99"/>
                <w:sz w:val="20"/>
                <w:szCs w:val="20"/>
              </w:rPr>
              <w:t xml:space="preserve"> </w:t>
            </w:r>
            <w:r w:rsidR="00AD6C7C" w:rsidRPr="0007648A">
              <w:rPr>
                <w:rFonts w:cs="Arial"/>
                <w:color w:val="auto"/>
                <w:sz w:val="20"/>
                <w:szCs w:val="20"/>
              </w:rPr>
              <w:t>£1</w:t>
            </w:r>
            <w:r w:rsidR="0007648A" w:rsidRPr="0007648A">
              <w:rPr>
                <w:rFonts w:cs="Arial"/>
                <w:color w:val="auto"/>
                <w:sz w:val="20"/>
                <w:szCs w:val="20"/>
              </w:rPr>
              <w:t>0</w:t>
            </w:r>
            <w:r w:rsidR="00AD6C7C" w:rsidRPr="0007648A">
              <w:rPr>
                <w:rFonts w:cs="Arial"/>
                <w:color w:val="auto"/>
                <w:sz w:val="20"/>
                <w:szCs w:val="20"/>
              </w:rPr>
              <w:t>m</w:t>
            </w:r>
            <w:r w:rsidR="00AD6C7C" w:rsidRPr="00D42E0B">
              <w:rPr>
                <w:rFonts w:cs="Arial"/>
                <w:color w:val="548DD4" w:themeColor="text2" w:themeTint="99"/>
                <w:sz w:val="20"/>
                <w:szCs w:val="20"/>
              </w:rPr>
              <w:t xml:space="preserve"> </w:t>
            </w:r>
            <w:r w:rsidR="00AD6C7C" w:rsidRPr="00065C6D">
              <w:rPr>
                <w:rFonts w:cs="Arial"/>
                <w:color w:val="auto"/>
                <w:sz w:val="20"/>
                <w:szCs w:val="20"/>
              </w:rPr>
              <w:t>(</w:t>
            </w:r>
            <w:r w:rsidRPr="00065C6D">
              <w:rPr>
                <w:rFonts w:cs="Arial"/>
                <w:color w:val="auto"/>
                <w:sz w:val="20"/>
                <w:szCs w:val="20"/>
              </w:rPr>
              <w:t>£1</w:t>
            </w:r>
            <w:r w:rsidR="00065C6D" w:rsidRPr="00065C6D">
              <w:rPr>
                <w:rFonts w:cs="Arial"/>
                <w:color w:val="auto"/>
                <w:sz w:val="20"/>
                <w:szCs w:val="20"/>
              </w:rPr>
              <w:t>1</w:t>
            </w:r>
            <w:r w:rsidRPr="00065C6D">
              <w:rPr>
                <w:rFonts w:cs="Arial"/>
                <w:color w:val="auto"/>
                <w:sz w:val="20"/>
                <w:szCs w:val="20"/>
              </w:rPr>
              <w:t xml:space="preserve">m </w:t>
            </w:r>
            <w:r w:rsidR="00AD6C7C" w:rsidRPr="00065C6D">
              <w:rPr>
                <w:rFonts w:cs="Arial"/>
                <w:color w:val="auto"/>
                <w:sz w:val="20"/>
                <w:szCs w:val="20"/>
              </w:rPr>
              <w:t>1</w:t>
            </w:r>
            <w:r w:rsidR="00065C6D" w:rsidRPr="00065C6D">
              <w:rPr>
                <w:rFonts w:cs="Arial"/>
                <w:color w:val="auto"/>
                <w:sz w:val="20"/>
                <w:szCs w:val="20"/>
              </w:rPr>
              <w:t>4</w:t>
            </w:r>
            <w:r w:rsidR="00AD6C7C" w:rsidRPr="00065C6D">
              <w:rPr>
                <w:rFonts w:cs="Arial"/>
                <w:color w:val="auto"/>
                <w:sz w:val="20"/>
                <w:szCs w:val="20"/>
              </w:rPr>
              <w:t>/1</w:t>
            </w:r>
            <w:r w:rsidR="00065C6D" w:rsidRPr="00065C6D">
              <w:rPr>
                <w:rFonts w:cs="Arial"/>
                <w:color w:val="auto"/>
                <w:sz w:val="20"/>
                <w:szCs w:val="20"/>
              </w:rPr>
              <w:t>5</w:t>
            </w:r>
            <w:r w:rsidR="00AD6C7C" w:rsidRPr="00065C6D">
              <w:rPr>
                <w:rFonts w:cs="Arial"/>
                <w:color w:val="auto"/>
                <w:sz w:val="20"/>
                <w:szCs w:val="20"/>
              </w:rPr>
              <w:t xml:space="preserve">) </w:t>
            </w:r>
            <w:r w:rsidRPr="00065C6D">
              <w:rPr>
                <w:rFonts w:cs="Arial"/>
                <w:color w:val="auto"/>
                <w:sz w:val="20"/>
                <w:szCs w:val="20"/>
              </w:rPr>
              <w:t>and ordered works approx</w:t>
            </w:r>
            <w:r w:rsidRPr="00D42E0B">
              <w:rPr>
                <w:rFonts w:cs="Arial"/>
                <w:color w:val="548DD4" w:themeColor="text2" w:themeTint="99"/>
                <w:sz w:val="20"/>
                <w:szCs w:val="20"/>
              </w:rPr>
              <w:t xml:space="preserve"> </w:t>
            </w:r>
            <w:r w:rsidRPr="004B4EE9">
              <w:rPr>
                <w:rFonts w:cs="Arial"/>
                <w:color w:val="auto"/>
                <w:sz w:val="20"/>
                <w:szCs w:val="20"/>
              </w:rPr>
              <w:t xml:space="preserve">£3m </w:t>
            </w:r>
            <w:r w:rsidR="00AD6C7C" w:rsidRPr="004B4EE9">
              <w:rPr>
                <w:rFonts w:cs="Arial"/>
                <w:color w:val="auto"/>
                <w:sz w:val="20"/>
                <w:szCs w:val="20"/>
              </w:rPr>
              <w:t>(£</w:t>
            </w:r>
            <w:r w:rsidR="00AD6C7C" w:rsidRPr="00065C6D">
              <w:rPr>
                <w:rFonts w:cs="Arial"/>
                <w:color w:val="auto"/>
                <w:sz w:val="20"/>
                <w:szCs w:val="20"/>
              </w:rPr>
              <w:t>3m 1</w:t>
            </w:r>
            <w:r w:rsidR="00065C6D" w:rsidRPr="00065C6D">
              <w:rPr>
                <w:rFonts w:cs="Arial"/>
                <w:color w:val="auto"/>
                <w:sz w:val="20"/>
                <w:szCs w:val="20"/>
              </w:rPr>
              <w:t>4</w:t>
            </w:r>
            <w:r w:rsidR="00AD6C7C" w:rsidRPr="00065C6D">
              <w:rPr>
                <w:rFonts w:cs="Arial"/>
                <w:color w:val="auto"/>
                <w:sz w:val="20"/>
                <w:szCs w:val="20"/>
              </w:rPr>
              <w:t>/1</w:t>
            </w:r>
            <w:r w:rsidR="00065C6D" w:rsidRPr="00065C6D">
              <w:rPr>
                <w:rFonts w:cs="Arial"/>
                <w:color w:val="auto"/>
                <w:sz w:val="20"/>
                <w:szCs w:val="20"/>
              </w:rPr>
              <w:t>5</w:t>
            </w:r>
            <w:r w:rsidR="00AD6C7C" w:rsidRPr="00065C6D">
              <w:rPr>
                <w:rFonts w:cs="Arial"/>
                <w:color w:val="auto"/>
                <w:sz w:val="20"/>
                <w:szCs w:val="20"/>
              </w:rPr>
              <w:t>)</w:t>
            </w:r>
          </w:p>
        </w:tc>
        <w:tc>
          <w:tcPr>
            <w:tcW w:w="1276" w:type="dxa"/>
          </w:tcPr>
          <w:p w:rsidR="003B1A64" w:rsidRPr="00BF5DA4" w:rsidRDefault="003B1A64" w:rsidP="003B1A64">
            <w:pPr>
              <w:pStyle w:val="BodyText"/>
              <w:widowControl w:val="0"/>
              <w:jc w:val="center"/>
              <w:cnfStyle w:val="000000000000"/>
              <w:rPr>
                <w:rFonts w:cs="Arial"/>
                <w:color w:val="auto"/>
                <w:sz w:val="20"/>
                <w:szCs w:val="20"/>
              </w:rPr>
            </w:pPr>
            <w:r w:rsidRPr="00BF5DA4">
              <w:rPr>
                <w:rFonts w:cs="Arial"/>
                <w:color w:val="auto"/>
                <w:sz w:val="20"/>
                <w:szCs w:val="20"/>
              </w:rPr>
              <w:lastRenderedPageBreak/>
              <w:t>Associate</w:t>
            </w:r>
          </w:p>
        </w:tc>
        <w:tc>
          <w:tcPr>
            <w:cnfStyle w:val="000100000000"/>
            <w:tcW w:w="4394" w:type="dxa"/>
          </w:tcPr>
          <w:p w:rsidR="003B1A64" w:rsidRPr="00BF5DA4" w:rsidRDefault="003B1A64" w:rsidP="003B1A64">
            <w:pPr>
              <w:pStyle w:val="BodyText"/>
              <w:widowControl w:val="0"/>
              <w:rPr>
                <w:rFonts w:cs="Arial"/>
                <w:b w:val="0"/>
                <w:color w:val="auto"/>
                <w:sz w:val="20"/>
                <w:szCs w:val="20"/>
              </w:rPr>
            </w:pPr>
            <w:r w:rsidRPr="00BF5DA4">
              <w:rPr>
                <w:rFonts w:cs="Arial"/>
                <w:b w:val="0"/>
                <w:color w:val="auto"/>
                <w:sz w:val="20"/>
                <w:szCs w:val="20"/>
              </w:rPr>
              <w:t>Shareholding /Control: 19.99%</w:t>
            </w:r>
          </w:p>
          <w:p w:rsidR="003B1A64" w:rsidRPr="00BF5DA4" w:rsidRDefault="003B1A64" w:rsidP="003B1A64">
            <w:pPr>
              <w:pStyle w:val="BodyText"/>
              <w:widowControl w:val="0"/>
              <w:rPr>
                <w:rFonts w:cs="Arial"/>
                <w:b w:val="0"/>
                <w:color w:val="auto"/>
                <w:sz w:val="20"/>
                <w:szCs w:val="20"/>
              </w:rPr>
            </w:pPr>
            <w:r w:rsidRPr="00BF5DA4">
              <w:rPr>
                <w:rFonts w:cs="Arial"/>
                <w:b w:val="0"/>
                <w:color w:val="auto"/>
                <w:sz w:val="20"/>
                <w:szCs w:val="20"/>
              </w:rPr>
              <w:t xml:space="preserve">Members of Torbay Council that are Directors </w:t>
            </w:r>
            <w:r w:rsidRPr="00BF5DA4">
              <w:rPr>
                <w:rFonts w:cs="Arial"/>
                <w:b w:val="0"/>
                <w:color w:val="auto"/>
                <w:sz w:val="20"/>
                <w:szCs w:val="20"/>
              </w:rPr>
              <w:lastRenderedPageBreak/>
              <w:t>of this Company are as follows:-</w:t>
            </w:r>
          </w:p>
          <w:p w:rsidR="003B1A64" w:rsidRPr="00BF5DA4" w:rsidRDefault="00BF5DA4" w:rsidP="003B1A64">
            <w:pPr>
              <w:pStyle w:val="BodyText"/>
              <w:widowControl w:val="0"/>
              <w:rPr>
                <w:rFonts w:cs="Arial"/>
                <w:b w:val="0"/>
                <w:color w:val="auto"/>
                <w:sz w:val="20"/>
                <w:szCs w:val="20"/>
              </w:rPr>
            </w:pPr>
            <w:r w:rsidRPr="00BF5DA4">
              <w:rPr>
                <w:rFonts w:cs="Arial"/>
                <w:b w:val="0"/>
                <w:color w:val="auto"/>
                <w:sz w:val="20"/>
                <w:szCs w:val="20"/>
              </w:rPr>
              <w:t>Cllr Neil Bent</w:t>
            </w:r>
          </w:p>
          <w:p w:rsidR="003B1A64" w:rsidRPr="00BF5DA4" w:rsidRDefault="003B1A64" w:rsidP="003B1A64">
            <w:pPr>
              <w:pStyle w:val="BodyText"/>
              <w:rPr>
                <w:rFonts w:cs="Arial"/>
                <w:b w:val="0"/>
                <w:color w:val="auto"/>
                <w:sz w:val="20"/>
                <w:szCs w:val="20"/>
              </w:rPr>
            </w:pPr>
            <w:r w:rsidRPr="00BF5DA4">
              <w:rPr>
                <w:rFonts w:cs="Arial"/>
                <w:b w:val="0"/>
                <w:color w:val="auto"/>
                <w:sz w:val="20"/>
                <w:szCs w:val="20"/>
              </w:rPr>
              <w:t xml:space="preserve"> </w:t>
            </w:r>
          </w:p>
        </w:tc>
      </w:tr>
      <w:tr w:rsidR="00B93881" w:rsidRPr="00D42E0B" w:rsidTr="00B93881">
        <w:trPr>
          <w:cnfStyle w:val="000000100000"/>
        </w:trPr>
        <w:tc>
          <w:tcPr>
            <w:cnfStyle w:val="001000000000"/>
            <w:tcW w:w="1951" w:type="dxa"/>
          </w:tcPr>
          <w:p w:rsidR="003B1A64" w:rsidRPr="00A51374" w:rsidRDefault="006B046C" w:rsidP="003B1A64">
            <w:pPr>
              <w:pStyle w:val="BodyText"/>
              <w:widowControl w:val="0"/>
              <w:jc w:val="center"/>
              <w:rPr>
                <w:rFonts w:cs="Arial"/>
                <w:b w:val="0"/>
                <w:color w:val="auto"/>
                <w:sz w:val="20"/>
                <w:szCs w:val="20"/>
              </w:rPr>
            </w:pPr>
            <w:r w:rsidRPr="00A51374">
              <w:rPr>
                <w:rFonts w:cs="Arial"/>
                <w:b w:val="0"/>
                <w:color w:val="auto"/>
                <w:sz w:val="20"/>
                <w:szCs w:val="20"/>
              </w:rPr>
              <w:lastRenderedPageBreak/>
              <w:t xml:space="preserve">CSW Group Ltd </w:t>
            </w:r>
            <w:r w:rsidRPr="00A51374">
              <w:rPr>
                <w:rFonts w:cs="Arial"/>
                <w:b w:val="0"/>
                <w:color w:val="auto"/>
                <w:sz w:val="18"/>
                <w:szCs w:val="18"/>
              </w:rPr>
              <w:t xml:space="preserve">(formally </w:t>
            </w:r>
            <w:r w:rsidR="003B1A64" w:rsidRPr="00A51374">
              <w:rPr>
                <w:rFonts w:cs="Arial"/>
                <w:b w:val="0"/>
                <w:color w:val="auto"/>
                <w:sz w:val="18"/>
                <w:szCs w:val="18"/>
              </w:rPr>
              <w:t>Careers South West Ltd</w:t>
            </w:r>
            <w:r w:rsidRPr="00A51374">
              <w:rPr>
                <w:rFonts w:cs="Arial"/>
                <w:b w:val="0"/>
                <w:color w:val="auto"/>
                <w:sz w:val="18"/>
                <w:szCs w:val="18"/>
              </w:rPr>
              <w:t>)</w:t>
            </w:r>
          </w:p>
          <w:p w:rsidR="003B1A64" w:rsidRPr="00A51374" w:rsidRDefault="003B1A64" w:rsidP="003B1A64">
            <w:pPr>
              <w:pStyle w:val="BodyText"/>
              <w:widowControl w:val="0"/>
              <w:jc w:val="center"/>
              <w:rPr>
                <w:rFonts w:cs="Arial"/>
                <w:b w:val="0"/>
                <w:color w:val="auto"/>
                <w:sz w:val="20"/>
                <w:szCs w:val="20"/>
              </w:rPr>
            </w:pPr>
            <w:r w:rsidRPr="00A51374">
              <w:rPr>
                <w:rFonts w:cs="Arial"/>
                <w:b w:val="0"/>
                <w:color w:val="auto"/>
                <w:sz w:val="20"/>
                <w:szCs w:val="20"/>
              </w:rPr>
              <w:t>3029947</w:t>
            </w:r>
          </w:p>
          <w:p w:rsidR="003B1A64" w:rsidRPr="00A51374" w:rsidRDefault="003B1A64" w:rsidP="003B1A64">
            <w:pPr>
              <w:pStyle w:val="BodyText"/>
              <w:widowControl w:val="0"/>
              <w:jc w:val="center"/>
              <w:rPr>
                <w:rFonts w:cs="Arial"/>
                <w:b w:val="0"/>
                <w:color w:val="auto"/>
                <w:sz w:val="20"/>
                <w:szCs w:val="20"/>
              </w:rPr>
            </w:pPr>
          </w:p>
        </w:tc>
        <w:tc>
          <w:tcPr>
            <w:cnfStyle w:val="000010000000"/>
            <w:tcW w:w="1843" w:type="dxa"/>
          </w:tcPr>
          <w:p w:rsidR="003B1A64" w:rsidRPr="00A51374" w:rsidRDefault="003B1A64" w:rsidP="003B1A64">
            <w:pPr>
              <w:pStyle w:val="BodyText"/>
              <w:widowControl w:val="0"/>
              <w:jc w:val="center"/>
              <w:rPr>
                <w:rFonts w:cs="Arial"/>
                <w:color w:val="auto"/>
                <w:sz w:val="20"/>
                <w:szCs w:val="20"/>
              </w:rPr>
            </w:pPr>
            <w:r w:rsidRPr="00A51374">
              <w:rPr>
                <w:rFonts w:cs="Arial"/>
                <w:color w:val="auto"/>
                <w:sz w:val="20"/>
                <w:szCs w:val="20"/>
              </w:rPr>
              <w:t>Local Authority Controlled Company Limited by Guarantee and not having a share capital</w:t>
            </w:r>
          </w:p>
        </w:tc>
        <w:tc>
          <w:tcPr>
            <w:tcW w:w="1701" w:type="dxa"/>
          </w:tcPr>
          <w:p w:rsidR="003B1A64" w:rsidRPr="00A51374" w:rsidRDefault="003B1A64" w:rsidP="003B1A64">
            <w:pPr>
              <w:pStyle w:val="BodyText"/>
              <w:widowControl w:val="0"/>
              <w:jc w:val="center"/>
              <w:cnfStyle w:val="000000100000"/>
              <w:rPr>
                <w:rFonts w:cs="Arial"/>
                <w:color w:val="auto"/>
                <w:sz w:val="20"/>
                <w:szCs w:val="20"/>
              </w:rPr>
            </w:pPr>
            <w:r w:rsidRPr="00A51374">
              <w:rPr>
                <w:rFonts w:cs="Arial"/>
                <w:color w:val="auto"/>
                <w:sz w:val="20"/>
                <w:szCs w:val="20"/>
              </w:rPr>
              <w:t>1</w:t>
            </w:r>
            <w:r w:rsidRPr="00A51374">
              <w:rPr>
                <w:rFonts w:cs="Arial"/>
                <w:color w:val="auto"/>
                <w:sz w:val="20"/>
                <w:szCs w:val="20"/>
                <w:vertAlign w:val="superscript"/>
              </w:rPr>
              <w:t>st</w:t>
            </w:r>
            <w:r w:rsidRPr="00A51374">
              <w:rPr>
                <w:rFonts w:cs="Arial"/>
                <w:color w:val="auto"/>
                <w:sz w:val="20"/>
                <w:szCs w:val="20"/>
              </w:rPr>
              <w:t xml:space="preserve"> April 2008 formerly Connexions Cornwall &amp; Devon Ltd</w:t>
            </w:r>
          </w:p>
        </w:tc>
        <w:tc>
          <w:tcPr>
            <w:cnfStyle w:val="000010000000"/>
            <w:tcW w:w="3402" w:type="dxa"/>
          </w:tcPr>
          <w:p w:rsidR="003B1A64" w:rsidRPr="00A51374" w:rsidRDefault="003B1A64" w:rsidP="003B1A64">
            <w:pPr>
              <w:pStyle w:val="BodyText"/>
              <w:widowControl w:val="0"/>
              <w:jc w:val="center"/>
              <w:rPr>
                <w:rFonts w:cs="Arial"/>
                <w:color w:val="auto"/>
                <w:sz w:val="20"/>
                <w:szCs w:val="20"/>
              </w:rPr>
            </w:pPr>
            <w:r w:rsidRPr="00A51374">
              <w:rPr>
                <w:rFonts w:cs="Arial"/>
                <w:color w:val="auto"/>
                <w:sz w:val="20"/>
                <w:szCs w:val="20"/>
              </w:rPr>
              <w:t>To develop, co-ordinate, operate and ensure provision of support services for young people and provide careers advice, information and guidance to people of all ages.</w:t>
            </w:r>
          </w:p>
          <w:p w:rsidR="003B1A64" w:rsidRPr="00A51374" w:rsidRDefault="003B1A64" w:rsidP="00065C6D">
            <w:pPr>
              <w:pStyle w:val="BodyText"/>
              <w:widowControl w:val="0"/>
              <w:jc w:val="center"/>
              <w:rPr>
                <w:rFonts w:cs="Arial"/>
                <w:color w:val="auto"/>
                <w:sz w:val="20"/>
                <w:szCs w:val="20"/>
              </w:rPr>
            </w:pPr>
            <w:r w:rsidRPr="00A51374">
              <w:rPr>
                <w:rFonts w:cs="Arial"/>
                <w:color w:val="auto"/>
                <w:sz w:val="20"/>
                <w:szCs w:val="20"/>
              </w:rPr>
              <w:t>In 1</w:t>
            </w:r>
            <w:r w:rsidR="00065C6D" w:rsidRPr="00A51374">
              <w:rPr>
                <w:rFonts w:cs="Arial"/>
                <w:color w:val="auto"/>
                <w:sz w:val="20"/>
                <w:szCs w:val="20"/>
              </w:rPr>
              <w:t>5</w:t>
            </w:r>
            <w:r w:rsidRPr="00A51374">
              <w:rPr>
                <w:rFonts w:cs="Arial"/>
                <w:color w:val="auto"/>
                <w:sz w:val="20"/>
                <w:szCs w:val="20"/>
              </w:rPr>
              <w:t>/1</w:t>
            </w:r>
            <w:r w:rsidR="00065C6D" w:rsidRPr="00A51374">
              <w:rPr>
                <w:rFonts w:cs="Arial"/>
                <w:color w:val="auto"/>
                <w:sz w:val="20"/>
                <w:szCs w:val="20"/>
              </w:rPr>
              <w:t>6</w:t>
            </w:r>
            <w:r w:rsidRPr="00A51374">
              <w:rPr>
                <w:rFonts w:cs="Arial"/>
                <w:color w:val="auto"/>
                <w:sz w:val="20"/>
                <w:szCs w:val="20"/>
              </w:rPr>
              <w:t xml:space="preserve"> Council funded a </w:t>
            </w:r>
            <w:r w:rsidR="000677A6" w:rsidRPr="00A51374">
              <w:rPr>
                <w:rFonts w:cs="Arial"/>
                <w:color w:val="auto"/>
                <w:sz w:val="20"/>
                <w:szCs w:val="20"/>
              </w:rPr>
              <w:t>£0.4m (</w:t>
            </w:r>
            <w:r w:rsidRPr="00A51374">
              <w:rPr>
                <w:rFonts w:cs="Arial"/>
                <w:color w:val="auto"/>
                <w:sz w:val="20"/>
                <w:szCs w:val="20"/>
              </w:rPr>
              <w:t>£0.4m</w:t>
            </w:r>
            <w:r w:rsidR="000677A6" w:rsidRPr="00A51374">
              <w:rPr>
                <w:rFonts w:cs="Arial"/>
                <w:color w:val="auto"/>
                <w:sz w:val="20"/>
                <w:szCs w:val="20"/>
              </w:rPr>
              <w:t xml:space="preserve"> 1</w:t>
            </w:r>
            <w:r w:rsidR="00065C6D" w:rsidRPr="00A51374">
              <w:rPr>
                <w:rFonts w:cs="Arial"/>
                <w:color w:val="auto"/>
                <w:sz w:val="20"/>
                <w:szCs w:val="20"/>
              </w:rPr>
              <w:t>4</w:t>
            </w:r>
            <w:r w:rsidR="000677A6" w:rsidRPr="00A51374">
              <w:rPr>
                <w:rFonts w:cs="Arial"/>
                <w:color w:val="auto"/>
                <w:sz w:val="20"/>
                <w:szCs w:val="20"/>
              </w:rPr>
              <w:t>/1</w:t>
            </w:r>
            <w:r w:rsidR="00065C6D" w:rsidRPr="00A51374">
              <w:rPr>
                <w:rFonts w:cs="Arial"/>
                <w:color w:val="auto"/>
                <w:sz w:val="20"/>
                <w:szCs w:val="20"/>
              </w:rPr>
              <w:t>5</w:t>
            </w:r>
            <w:r w:rsidR="000677A6" w:rsidRPr="00A51374">
              <w:rPr>
                <w:rFonts w:cs="Arial"/>
                <w:color w:val="auto"/>
                <w:sz w:val="20"/>
                <w:szCs w:val="20"/>
              </w:rPr>
              <w:t>)</w:t>
            </w:r>
            <w:r w:rsidRPr="00A51374">
              <w:rPr>
                <w:rFonts w:cs="Arial"/>
                <w:color w:val="auto"/>
                <w:sz w:val="20"/>
                <w:szCs w:val="20"/>
              </w:rPr>
              <w:t xml:space="preserve"> payment</w:t>
            </w:r>
          </w:p>
        </w:tc>
        <w:tc>
          <w:tcPr>
            <w:tcW w:w="1276" w:type="dxa"/>
          </w:tcPr>
          <w:p w:rsidR="003B1A64" w:rsidRPr="00A51374" w:rsidRDefault="003B1A64" w:rsidP="003B1A64">
            <w:pPr>
              <w:pStyle w:val="BodyText"/>
              <w:widowControl w:val="0"/>
              <w:jc w:val="center"/>
              <w:cnfStyle w:val="000000100000"/>
              <w:rPr>
                <w:rFonts w:cs="Arial"/>
                <w:color w:val="auto"/>
                <w:sz w:val="20"/>
                <w:szCs w:val="20"/>
              </w:rPr>
            </w:pPr>
            <w:r w:rsidRPr="00A51374">
              <w:rPr>
                <w:rFonts w:cs="Arial"/>
                <w:color w:val="auto"/>
                <w:sz w:val="20"/>
                <w:szCs w:val="20"/>
              </w:rPr>
              <w:t>Associate</w:t>
            </w:r>
          </w:p>
        </w:tc>
        <w:tc>
          <w:tcPr>
            <w:cnfStyle w:val="000100000000"/>
            <w:tcW w:w="4394" w:type="dxa"/>
          </w:tcPr>
          <w:p w:rsidR="003B1A64" w:rsidRPr="00A51374" w:rsidRDefault="003B1A64" w:rsidP="003B1A64">
            <w:pPr>
              <w:pStyle w:val="BodyText"/>
              <w:widowControl w:val="0"/>
              <w:rPr>
                <w:rFonts w:cs="Arial"/>
                <w:b w:val="0"/>
                <w:color w:val="auto"/>
                <w:sz w:val="20"/>
                <w:szCs w:val="20"/>
              </w:rPr>
            </w:pPr>
            <w:r w:rsidRPr="00A51374">
              <w:rPr>
                <w:rFonts w:cs="Arial"/>
                <w:b w:val="0"/>
                <w:color w:val="auto"/>
                <w:sz w:val="20"/>
                <w:szCs w:val="20"/>
              </w:rPr>
              <w:t>Shareholding /Control: 25%</w:t>
            </w:r>
          </w:p>
          <w:p w:rsidR="003B1A64" w:rsidRPr="00A51374" w:rsidRDefault="003B1A64" w:rsidP="003B1A64">
            <w:pPr>
              <w:pStyle w:val="BodyText"/>
              <w:widowControl w:val="0"/>
              <w:rPr>
                <w:rFonts w:cs="Arial"/>
                <w:b w:val="0"/>
                <w:color w:val="auto"/>
                <w:sz w:val="20"/>
                <w:szCs w:val="20"/>
              </w:rPr>
            </w:pPr>
            <w:r w:rsidRPr="00A51374">
              <w:rPr>
                <w:rFonts w:cs="Arial"/>
                <w:b w:val="0"/>
                <w:color w:val="auto"/>
                <w:sz w:val="20"/>
                <w:szCs w:val="20"/>
              </w:rPr>
              <w:t xml:space="preserve"> A list of directors is available at:</w:t>
            </w:r>
          </w:p>
          <w:p w:rsidR="00AF7819" w:rsidRDefault="00AF7819" w:rsidP="003B1A64">
            <w:pPr>
              <w:pStyle w:val="BodyText"/>
              <w:widowControl w:val="0"/>
              <w:rPr>
                <w:b w:val="0"/>
                <w:color w:val="auto"/>
              </w:rPr>
            </w:pPr>
            <w:r w:rsidRPr="00AF7819">
              <w:rPr>
                <w:b w:val="0"/>
                <w:color w:val="auto"/>
              </w:rPr>
              <w:t>https://www.cswgroup.co.uk/</w:t>
            </w:r>
          </w:p>
          <w:p w:rsidR="003B1A64" w:rsidRPr="00A51374" w:rsidRDefault="003B1A64" w:rsidP="003B1A64">
            <w:pPr>
              <w:pStyle w:val="BodyText"/>
              <w:widowControl w:val="0"/>
              <w:rPr>
                <w:rFonts w:cs="Arial"/>
                <w:b w:val="0"/>
                <w:color w:val="auto"/>
                <w:sz w:val="20"/>
                <w:szCs w:val="20"/>
              </w:rPr>
            </w:pPr>
          </w:p>
        </w:tc>
      </w:tr>
      <w:tr w:rsidR="00700BA3" w:rsidRPr="00D42E0B" w:rsidTr="00B93881">
        <w:trPr>
          <w:cnfStyle w:val="010000000000"/>
        </w:trPr>
        <w:tc>
          <w:tcPr>
            <w:cnfStyle w:val="001000000001"/>
            <w:tcW w:w="1951" w:type="dxa"/>
          </w:tcPr>
          <w:p w:rsidR="00700BA3" w:rsidRPr="00E76FC6" w:rsidRDefault="00700BA3" w:rsidP="003B1A64">
            <w:pPr>
              <w:pStyle w:val="BodyText"/>
              <w:widowControl w:val="0"/>
              <w:jc w:val="center"/>
              <w:rPr>
                <w:rFonts w:cs="Arial"/>
                <w:b w:val="0"/>
                <w:color w:val="auto"/>
                <w:sz w:val="20"/>
                <w:szCs w:val="20"/>
              </w:rPr>
            </w:pPr>
            <w:r w:rsidRPr="00E76FC6">
              <w:rPr>
                <w:rFonts w:cs="Arial"/>
                <w:b w:val="0"/>
                <w:color w:val="auto"/>
                <w:sz w:val="20"/>
                <w:szCs w:val="20"/>
              </w:rPr>
              <w:t>Torbay Public Services Trust</w:t>
            </w:r>
          </w:p>
          <w:p w:rsidR="00E76FC6" w:rsidRPr="00E76FC6" w:rsidRDefault="00E76FC6" w:rsidP="003B1A64">
            <w:pPr>
              <w:pStyle w:val="BodyText"/>
              <w:widowControl w:val="0"/>
              <w:jc w:val="center"/>
              <w:rPr>
                <w:rFonts w:cs="Arial"/>
                <w:b w:val="0"/>
                <w:color w:val="auto"/>
                <w:sz w:val="20"/>
                <w:szCs w:val="20"/>
              </w:rPr>
            </w:pPr>
            <w:r w:rsidRPr="00E76FC6">
              <w:rPr>
                <w:rFonts w:cs="Arial"/>
                <w:b w:val="0"/>
                <w:color w:val="auto"/>
                <w:sz w:val="20"/>
                <w:szCs w:val="20"/>
              </w:rPr>
              <w:t>09943577</w:t>
            </w:r>
          </w:p>
          <w:p w:rsidR="00E76FC6" w:rsidRPr="00E76FC6" w:rsidRDefault="00E76FC6" w:rsidP="003B1A64">
            <w:pPr>
              <w:pStyle w:val="BodyText"/>
              <w:widowControl w:val="0"/>
              <w:jc w:val="center"/>
              <w:rPr>
                <w:rFonts w:cs="Arial"/>
                <w:b w:val="0"/>
                <w:color w:val="auto"/>
                <w:sz w:val="20"/>
                <w:szCs w:val="20"/>
              </w:rPr>
            </w:pPr>
          </w:p>
          <w:p w:rsidR="00700BA3" w:rsidRPr="00E76FC6" w:rsidRDefault="00700BA3" w:rsidP="003B1A64">
            <w:pPr>
              <w:pStyle w:val="BodyText"/>
              <w:widowControl w:val="0"/>
              <w:jc w:val="center"/>
              <w:rPr>
                <w:rFonts w:cs="Arial"/>
                <w:b w:val="0"/>
                <w:color w:val="auto"/>
                <w:sz w:val="20"/>
                <w:szCs w:val="20"/>
              </w:rPr>
            </w:pPr>
          </w:p>
        </w:tc>
        <w:tc>
          <w:tcPr>
            <w:cnfStyle w:val="000010000000"/>
            <w:tcW w:w="1843" w:type="dxa"/>
          </w:tcPr>
          <w:p w:rsidR="00700BA3" w:rsidRPr="00E76FC6" w:rsidRDefault="00700BA3" w:rsidP="003B1A64">
            <w:pPr>
              <w:pStyle w:val="BodyText"/>
              <w:widowControl w:val="0"/>
              <w:jc w:val="center"/>
              <w:rPr>
                <w:rFonts w:cs="Arial"/>
                <w:b w:val="0"/>
                <w:color w:val="auto"/>
                <w:sz w:val="20"/>
                <w:szCs w:val="20"/>
              </w:rPr>
            </w:pPr>
            <w:r w:rsidRPr="00E76FC6">
              <w:rPr>
                <w:rFonts w:cs="Arial"/>
                <w:b w:val="0"/>
                <w:color w:val="auto"/>
                <w:sz w:val="20"/>
                <w:szCs w:val="20"/>
              </w:rPr>
              <w:t>Company Limited by Guarantee and not having a share capital</w:t>
            </w:r>
          </w:p>
        </w:tc>
        <w:tc>
          <w:tcPr>
            <w:tcW w:w="1701" w:type="dxa"/>
          </w:tcPr>
          <w:p w:rsidR="00DC4DE3" w:rsidRDefault="00DC4DE3" w:rsidP="00DC4DE3">
            <w:pPr>
              <w:pStyle w:val="BodyText"/>
              <w:widowControl w:val="0"/>
              <w:jc w:val="center"/>
              <w:cnfStyle w:val="010000000000"/>
              <w:rPr>
                <w:rFonts w:cs="Arial"/>
                <w:b w:val="0"/>
                <w:color w:val="auto"/>
                <w:sz w:val="20"/>
                <w:szCs w:val="20"/>
              </w:rPr>
            </w:pPr>
            <w:r w:rsidRPr="00E76FC6">
              <w:rPr>
                <w:rFonts w:cs="Arial"/>
                <w:b w:val="0"/>
                <w:color w:val="auto"/>
                <w:sz w:val="20"/>
                <w:szCs w:val="20"/>
              </w:rPr>
              <w:t>Not trading in 2015/16</w:t>
            </w:r>
          </w:p>
          <w:p w:rsidR="00700BA3" w:rsidRPr="00E76FC6" w:rsidRDefault="00700BA3" w:rsidP="003B1A64">
            <w:pPr>
              <w:pStyle w:val="BodyText"/>
              <w:widowControl w:val="0"/>
              <w:jc w:val="center"/>
              <w:cnfStyle w:val="010000000000"/>
              <w:rPr>
                <w:rFonts w:cs="Arial"/>
                <w:b w:val="0"/>
                <w:color w:val="auto"/>
                <w:sz w:val="20"/>
                <w:szCs w:val="20"/>
              </w:rPr>
            </w:pPr>
          </w:p>
        </w:tc>
        <w:tc>
          <w:tcPr>
            <w:cnfStyle w:val="000010000000"/>
            <w:tcW w:w="3402" w:type="dxa"/>
          </w:tcPr>
          <w:p w:rsidR="00DC4DE3" w:rsidRPr="00DC4DE3" w:rsidRDefault="00CB6DD1" w:rsidP="00CB6DD1">
            <w:pPr>
              <w:autoSpaceDE w:val="0"/>
              <w:autoSpaceDN w:val="0"/>
              <w:adjustRightInd w:val="0"/>
              <w:spacing w:after="0" w:line="240" w:lineRule="auto"/>
              <w:jc w:val="center"/>
              <w:rPr>
                <w:rFonts w:cs="Arial"/>
                <w:b w:val="0"/>
                <w:bCs w:val="0"/>
                <w:color w:val="auto"/>
                <w:sz w:val="20"/>
                <w:szCs w:val="20"/>
              </w:rPr>
            </w:pPr>
            <w:r>
              <w:rPr>
                <w:rFonts w:cs="Arial"/>
                <w:b w:val="0"/>
                <w:bCs w:val="0"/>
                <w:color w:val="auto"/>
                <w:sz w:val="20"/>
                <w:szCs w:val="20"/>
              </w:rPr>
              <w:t xml:space="preserve">To </w:t>
            </w:r>
            <w:r w:rsidR="00DC4DE3" w:rsidRPr="00DC4DE3">
              <w:rPr>
                <w:rFonts w:cs="Arial"/>
                <w:b w:val="0"/>
                <w:bCs w:val="0"/>
                <w:color w:val="auto"/>
                <w:sz w:val="20"/>
                <w:szCs w:val="20"/>
              </w:rPr>
              <w:t>provide a single co-ordinated local offer of help and support</w:t>
            </w:r>
          </w:p>
          <w:p w:rsidR="00DC4DE3" w:rsidRPr="00DC4DE3" w:rsidRDefault="00DC4DE3" w:rsidP="00CB6DD1">
            <w:pPr>
              <w:autoSpaceDE w:val="0"/>
              <w:autoSpaceDN w:val="0"/>
              <w:adjustRightInd w:val="0"/>
              <w:spacing w:after="0" w:line="240" w:lineRule="auto"/>
              <w:jc w:val="center"/>
              <w:rPr>
                <w:rFonts w:cs="Arial"/>
                <w:b w:val="0"/>
                <w:bCs w:val="0"/>
                <w:color w:val="auto"/>
                <w:sz w:val="20"/>
                <w:szCs w:val="20"/>
              </w:rPr>
            </w:pPr>
            <w:r w:rsidRPr="00DC4DE3">
              <w:rPr>
                <w:rFonts w:cs="Arial"/>
                <w:b w:val="0"/>
                <w:bCs w:val="0"/>
                <w:color w:val="auto"/>
                <w:sz w:val="20"/>
                <w:szCs w:val="20"/>
              </w:rPr>
              <w:t>for children and families in Torbay using the shared skills and assets of the Members to improve</w:t>
            </w:r>
          </w:p>
          <w:p w:rsidR="00DC4DE3" w:rsidRPr="00E76FC6" w:rsidRDefault="00DC4DE3" w:rsidP="00CB6DD1">
            <w:pPr>
              <w:pStyle w:val="BodyText"/>
              <w:widowControl w:val="0"/>
              <w:jc w:val="center"/>
              <w:rPr>
                <w:rFonts w:cs="Arial"/>
                <w:b w:val="0"/>
                <w:color w:val="auto"/>
                <w:sz w:val="20"/>
                <w:szCs w:val="20"/>
              </w:rPr>
            </w:pPr>
            <w:r w:rsidRPr="00DC4DE3">
              <w:rPr>
                <w:rFonts w:cs="Arial"/>
                <w:b w:val="0"/>
                <w:bCs w:val="0"/>
                <w:color w:val="auto"/>
                <w:sz w:val="20"/>
                <w:szCs w:val="20"/>
              </w:rPr>
              <w:t>their outcomes.</w:t>
            </w:r>
          </w:p>
        </w:tc>
        <w:tc>
          <w:tcPr>
            <w:tcW w:w="1276" w:type="dxa"/>
          </w:tcPr>
          <w:p w:rsidR="00700BA3" w:rsidRPr="00E76FC6" w:rsidRDefault="00731576" w:rsidP="00E76FC6">
            <w:pPr>
              <w:pStyle w:val="BodyText"/>
              <w:widowControl w:val="0"/>
              <w:jc w:val="center"/>
              <w:cnfStyle w:val="010000000000"/>
              <w:rPr>
                <w:rFonts w:cs="Arial"/>
                <w:b w:val="0"/>
                <w:color w:val="auto"/>
                <w:sz w:val="20"/>
                <w:szCs w:val="20"/>
              </w:rPr>
            </w:pPr>
            <w:r>
              <w:rPr>
                <w:rFonts w:cs="Arial"/>
                <w:b w:val="0"/>
                <w:color w:val="auto"/>
                <w:sz w:val="20"/>
                <w:szCs w:val="20"/>
              </w:rPr>
              <w:t>Member</w:t>
            </w:r>
          </w:p>
        </w:tc>
        <w:tc>
          <w:tcPr>
            <w:cnfStyle w:val="000100000010"/>
            <w:tcW w:w="4394" w:type="dxa"/>
          </w:tcPr>
          <w:p w:rsidR="00700BA3" w:rsidRDefault="00E76FC6" w:rsidP="00E76FC6">
            <w:pPr>
              <w:pStyle w:val="BodyText"/>
              <w:widowControl w:val="0"/>
              <w:rPr>
                <w:rFonts w:cs="Arial"/>
                <w:b w:val="0"/>
                <w:color w:val="auto"/>
                <w:sz w:val="20"/>
                <w:szCs w:val="20"/>
              </w:rPr>
            </w:pPr>
            <w:r>
              <w:rPr>
                <w:rFonts w:cs="Arial"/>
                <w:b w:val="0"/>
                <w:color w:val="auto"/>
                <w:sz w:val="20"/>
                <w:szCs w:val="20"/>
              </w:rPr>
              <w:t xml:space="preserve">One of six equal Members, </w:t>
            </w:r>
            <w:r w:rsidRPr="00E76FC6">
              <w:rPr>
                <w:rFonts w:cs="Arial"/>
                <w:b w:val="0"/>
                <w:color w:val="auto"/>
                <w:sz w:val="20"/>
                <w:szCs w:val="20"/>
              </w:rPr>
              <w:t>16.7%</w:t>
            </w:r>
            <w:r>
              <w:rPr>
                <w:rFonts w:cs="Arial"/>
                <w:b w:val="0"/>
                <w:color w:val="auto"/>
                <w:sz w:val="20"/>
                <w:szCs w:val="20"/>
              </w:rPr>
              <w:t xml:space="preserve"> share.</w:t>
            </w:r>
          </w:p>
          <w:p w:rsidR="00ED1B19" w:rsidRDefault="00ED1B19" w:rsidP="00ED1B19">
            <w:pPr>
              <w:autoSpaceDE w:val="0"/>
              <w:autoSpaceDN w:val="0"/>
              <w:adjustRightInd w:val="0"/>
              <w:spacing w:after="0" w:line="240" w:lineRule="auto"/>
              <w:rPr>
                <w:rFonts w:cs="Arial"/>
                <w:b w:val="0"/>
                <w:bCs w:val="0"/>
                <w:color w:val="auto"/>
                <w:sz w:val="18"/>
                <w:szCs w:val="20"/>
              </w:rPr>
            </w:pPr>
            <w:r>
              <w:rPr>
                <w:rFonts w:cs="Arial"/>
                <w:b w:val="0"/>
                <w:bCs w:val="0"/>
                <w:color w:val="auto"/>
                <w:sz w:val="18"/>
                <w:szCs w:val="20"/>
              </w:rPr>
              <w:t>Devon &amp; Cornwall Police</w:t>
            </w:r>
          </w:p>
          <w:p w:rsidR="00ED1B19" w:rsidRDefault="00ED1B19" w:rsidP="00ED1B19">
            <w:pPr>
              <w:autoSpaceDE w:val="0"/>
              <w:autoSpaceDN w:val="0"/>
              <w:adjustRightInd w:val="0"/>
              <w:spacing w:after="0" w:line="240" w:lineRule="auto"/>
              <w:rPr>
                <w:rFonts w:cs="Arial"/>
                <w:b w:val="0"/>
                <w:bCs w:val="0"/>
                <w:color w:val="auto"/>
                <w:sz w:val="18"/>
                <w:szCs w:val="20"/>
              </w:rPr>
            </w:pPr>
            <w:r w:rsidRPr="00ED1B19">
              <w:rPr>
                <w:rFonts w:cs="Arial"/>
                <w:b w:val="0"/>
                <w:bCs w:val="0"/>
                <w:color w:val="auto"/>
                <w:sz w:val="18"/>
                <w:szCs w:val="20"/>
              </w:rPr>
              <w:t>D</w:t>
            </w:r>
            <w:r>
              <w:rPr>
                <w:rFonts w:cs="Arial"/>
                <w:b w:val="0"/>
                <w:bCs w:val="0"/>
                <w:color w:val="auto"/>
                <w:sz w:val="18"/>
                <w:szCs w:val="20"/>
              </w:rPr>
              <w:t xml:space="preserve">evon </w:t>
            </w:r>
            <w:r w:rsidR="00BC6511">
              <w:rPr>
                <w:rFonts w:cs="Arial"/>
                <w:b w:val="0"/>
                <w:bCs w:val="0"/>
                <w:color w:val="auto"/>
                <w:sz w:val="18"/>
                <w:szCs w:val="20"/>
              </w:rPr>
              <w:t>P</w:t>
            </w:r>
            <w:r>
              <w:rPr>
                <w:rFonts w:cs="Arial"/>
                <w:b w:val="0"/>
                <w:bCs w:val="0"/>
                <w:color w:val="auto"/>
                <w:sz w:val="18"/>
                <w:szCs w:val="20"/>
              </w:rPr>
              <w:t>artnership NHS Trust</w:t>
            </w:r>
          </w:p>
          <w:p w:rsidR="00ED1B19" w:rsidRDefault="00ED1B19" w:rsidP="00ED1B19">
            <w:pPr>
              <w:autoSpaceDE w:val="0"/>
              <w:autoSpaceDN w:val="0"/>
              <w:adjustRightInd w:val="0"/>
              <w:spacing w:after="0" w:line="240" w:lineRule="auto"/>
              <w:rPr>
                <w:rFonts w:cs="Arial"/>
                <w:b w:val="0"/>
                <w:bCs w:val="0"/>
                <w:color w:val="auto"/>
                <w:sz w:val="18"/>
                <w:szCs w:val="20"/>
              </w:rPr>
            </w:pPr>
            <w:r>
              <w:rPr>
                <w:rFonts w:cs="Arial"/>
                <w:b w:val="0"/>
                <w:bCs w:val="0"/>
                <w:color w:val="auto"/>
                <w:sz w:val="18"/>
                <w:szCs w:val="20"/>
              </w:rPr>
              <w:t>Office of the Police and Crime Commissioner</w:t>
            </w:r>
          </w:p>
          <w:p w:rsidR="00ED1B19" w:rsidRPr="00ED1B19" w:rsidRDefault="00ED1B19" w:rsidP="00ED1B19">
            <w:pPr>
              <w:autoSpaceDE w:val="0"/>
              <w:autoSpaceDN w:val="0"/>
              <w:adjustRightInd w:val="0"/>
              <w:spacing w:after="0" w:line="240" w:lineRule="auto"/>
              <w:rPr>
                <w:rFonts w:cs="Arial"/>
                <w:b w:val="0"/>
                <w:bCs w:val="0"/>
                <w:color w:val="auto"/>
                <w:sz w:val="18"/>
                <w:szCs w:val="20"/>
              </w:rPr>
            </w:pPr>
            <w:r w:rsidRPr="00ED1B19">
              <w:rPr>
                <w:rFonts w:cs="Arial"/>
                <w:b w:val="0"/>
                <w:bCs w:val="0"/>
                <w:color w:val="auto"/>
                <w:sz w:val="18"/>
                <w:szCs w:val="20"/>
              </w:rPr>
              <w:t>S</w:t>
            </w:r>
            <w:r>
              <w:rPr>
                <w:rFonts w:cs="Arial"/>
                <w:b w:val="0"/>
                <w:bCs w:val="0"/>
                <w:color w:val="auto"/>
                <w:sz w:val="18"/>
                <w:szCs w:val="20"/>
              </w:rPr>
              <w:t>. Devon &amp; Torbay Clinical Commissioning Group</w:t>
            </w:r>
          </w:p>
          <w:p w:rsidR="00ED1B19" w:rsidRDefault="00ED1B19" w:rsidP="00ED1B19">
            <w:pPr>
              <w:autoSpaceDE w:val="0"/>
              <w:autoSpaceDN w:val="0"/>
              <w:adjustRightInd w:val="0"/>
              <w:spacing w:after="0" w:line="240" w:lineRule="auto"/>
              <w:rPr>
                <w:rFonts w:cs="Arial"/>
                <w:b w:val="0"/>
                <w:bCs w:val="0"/>
                <w:color w:val="auto"/>
                <w:sz w:val="18"/>
                <w:szCs w:val="20"/>
              </w:rPr>
            </w:pPr>
            <w:r w:rsidRPr="00ED1B19">
              <w:rPr>
                <w:rFonts w:cs="Arial"/>
                <w:b w:val="0"/>
                <w:bCs w:val="0"/>
                <w:color w:val="auto"/>
                <w:sz w:val="18"/>
                <w:szCs w:val="20"/>
              </w:rPr>
              <w:t>T</w:t>
            </w:r>
            <w:r>
              <w:rPr>
                <w:rFonts w:cs="Arial"/>
                <w:b w:val="0"/>
                <w:bCs w:val="0"/>
                <w:color w:val="auto"/>
                <w:sz w:val="18"/>
                <w:szCs w:val="20"/>
              </w:rPr>
              <w:t>orbay and South Devon NHS Foundation Trust</w:t>
            </w:r>
          </w:p>
          <w:p w:rsidR="00ED1B19" w:rsidRPr="00E76FC6" w:rsidRDefault="00ED1B19" w:rsidP="00ED1B19">
            <w:pPr>
              <w:autoSpaceDE w:val="0"/>
              <w:autoSpaceDN w:val="0"/>
              <w:adjustRightInd w:val="0"/>
              <w:spacing w:after="0" w:line="240" w:lineRule="auto"/>
              <w:rPr>
                <w:rFonts w:cs="Arial"/>
                <w:bCs w:val="0"/>
                <w:color w:val="auto"/>
                <w:sz w:val="20"/>
                <w:szCs w:val="20"/>
              </w:rPr>
            </w:pPr>
            <w:r>
              <w:rPr>
                <w:rFonts w:cs="Arial"/>
                <w:b w:val="0"/>
                <w:bCs w:val="0"/>
                <w:color w:val="auto"/>
                <w:sz w:val="18"/>
                <w:szCs w:val="20"/>
              </w:rPr>
              <w:t>Torbay Counci</w:t>
            </w:r>
            <w:r w:rsidR="00E15D14">
              <w:rPr>
                <w:rFonts w:cs="Arial"/>
                <w:b w:val="0"/>
                <w:bCs w:val="0"/>
                <w:color w:val="auto"/>
                <w:sz w:val="18"/>
                <w:szCs w:val="20"/>
              </w:rPr>
              <w:t>l</w:t>
            </w:r>
          </w:p>
          <w:p w:rsidR="00ED1B19" w:rsidRPr="00E76FC6" w:rsidRDefault="00ED1B19" w:rsidP="00ED1B19">
            <w:pPr>
              <w:autoSpaceDE w:val="0"/>
              <w:autoSpaceDN w:val="0"/>
              <w:adjustRightInd w:val="0"/>
              <w:spacing w:after="0" w:line="240" w:lineRule="auto"/>
              <w:jc w:val="center"/>
              <w:rPr>
                <w:rFonts w:cs="Arial"/>
                <w:b w:val="0"/>
                <w:color w:val="auto"/>
                <w:sz w:val="20"/>
                <w:szCs w:val="20"/>
              </w:rPr>
            </w:pPr>
          </w:p>
        </w:tc>
      </w:tr>
    </w:tbl>
    <w:p w:rsidR="00B93881" w:rsidRPr="00D42E0B" w:rsidRDefault="00B93881" w:rsidP="00590309">
      <w:pPr>
        <w:autoSpaceDE w:val="0"/>
        <w:autoSpaceDN w:val="0"/>
        <w:spacing w:line="240" w:lineRule="auto"/>
        <w:rPr>
          <w:color w:val="548DD4" w:themeColor="text2" w:themeTint="99"/>
          <w:sz w:val="20"/>
          <w:szCs w:val="20"/>
          <w:lang w:eastAsia="en-GB"/>
        </w:rPr>
        <w:sectPr w:rsidR="00B93881" w:rsidRPr="00D42E0B" w:rsidSect="001A3F09">
          <w:pgSz w:w="16838" w:h="11906" w:orient="landscape" w:code="9"/>
          <w:pgMar w:top="1440" w:right="1440" w:bottom="1440" w:left="1440" w:header="544" w:footer="544" w:gutter="0"/>
          <w:cols w:space="708"/>
          <w:titlePg/>
          <w:docGrid w:linePitch="360"/>
        </w:sectPr>
      </w:pPr>
    </w:p>
    <w:p w:rsidR="00235453" w:rsidRPr="002024B1" w:rsidRDefault="00E451FD" w:rsidP="00675CF1">
      <w:pPr>
        <w:pStyle w:val="ExampleSub"/>
        <w:keepNext w:val="0"/>
        <w:keepLines w:val="0"/>
        <w:ind w:left="0" w:firstLine="567"/>
        <w:outlineLvl w:val="0"/>
        <w:rPr>
          <w:rFonts w:ascii="Arial" w:hAnsi="Arial" w:cs="Times New Roman"/>
          <w:bCs w:val="0"/>
          <w:color w:val="auto"/>
          <w:sz w:val="21"/>
          <w:szCs w:val="21"/>
          <w:lang w:eastAsia="en-US"/>
        </w:rPr>
      </w:pPr>
      <w:r w:rsidRPr="002024B1">
        <w:rPr>
          <w:rFonts w:ascii="Arial" w:hAnsi="Arial" w:cs="Times New Roman"/>
          <w:bCs w:val="0"/>
          <w:color w:val="auto"/>
          <w:sz w:val="21"/>
          <w:szCs w:val="21"/>
          <w:lang w:eastAsia="en-US"/>
        </w:rPr>
        <w:lastRenderedPageBreak/>
        <w:t>Su</w:t>
      </w:r>
      <w:r w:rsidR="00235453" w:rsidRPr="002024B1">
        <w:rPr>
          <w:rFonts w:ascii="Arial" w:hAnsi="Arial" w:cs="Times New Roman"/>
          <w:bCs w:val="0"/>
          <w:color w:val="auto"/>
          <w:sz w:val="21"/>
          <w:szCs w:val="21"/>
          <w:lang w:eastAsia="en-US"/>
        </w:rPr>
        <w:t>mmary financial information of Subsidiary Companies</w:t>
      </w:r>
    </w:p>
    <w:p w:rsidR="0009755C" w:rsidRPr="009D5F43" w:rsidRDefault="00235453" w:rsidP="00E451FD">
      <w:pPr>
        <w:pStyle w:val="ExampleSub"/>
        <w:keepNext w:val="0"/>
        <w:keepLines w:val="0"/>
        <w:outlineLvl w:val="0"/>
        <w:rPr>
          <w:rFonts w:ascii="Arial" w:hAnsi="Arial" w:cs="Arial"/>
          <w:b w:val="0"/>
          <w:color w:val="auto"/>
          <w:sz w:val="20"/>
          <w:szCs w:val="20"/>
        </w:rPr>
      </w:pPr>
      <w:r w:rsidRPr="009D5F43">
        <w:rPr>
          <w:rFonts w:ascii="Arial" w:hAnsi="Arial" w:cs="Arial"/>
          <w:b w:val="0"/>
          <w:color w:val="auto"/>
          <w:sz w:val="20"/>
          <w:szCs w:val="20"/>
        </w:rPr>
        <w:t xml:space="preserve">This table lists summary information about the Council’s interest in subsidiary companies and its relationship with them in terms of ownership and trading. </w:t>
      </w:r>
      <w:r w:rsidR="000134DC" w:rsidRPr="009D5F43">
        <w:rPr>
          <w:rFonts w:ascii="Arial" w:hAnsi="Arial" w:cs="Arial"/>
          <w:b w:val="0"/>
          <w:color w:val="auto"/>
          <w:sz w:val="20"/>
          <w:szCs w:val="20"/>
        </w:rPr>
        <w:t>Torbay share 100%</w:t>
      </w:r>
    </w:p>
    <w:p w:rsidR="00E451FD" w:rsidRPr="00D42E0B" w:rsidRDefault="00E451FD" w:rsidP="00E451FD">
      <w:pPr>
        <w:pStyle w:val="ExampleSub"/>
        <w:keepNext w:val="0"/>
        <w:keepLines w:val="0"/>
        <w:outlineLvl w:val="0"/>
        <w:rPr>
          <w:rFonts w:ascii="Arial" w:hAnsi="Arial" w:cs="Arial"/>
          <w:b w:val="0"/>
          <w:color w:val="548DD4" w:themeColor="text2" w:themeTint="99"/>
          <w:sz w:val="20"/>
          <w:szCs w:val="20"/>
        </w:rPr>
      </w:pPr>
    </w:p>
    <w:tbl>
      <w:tblPr>
        <w:tblStyle w:val="ListTable3-Accent51"/>
        <w:tblW w:w="9781" w:type="dxa"/>
        <w:tblInd w:w="-34" w:type="dxa"/>
        <w:tblBorders>
          <w:insideH w:val="single" w:sz="4" w:space="0" w:color="4BACC6" w:themeColor="accent5"/>
          <w:insideV w:val="single" w:sz="4" w:space="0" w:color="4BACC6" w:themeColor="accent5"/>
        </w:tblBorders>
        <w:tblLayout w:type="fixed"/>
        <w:tblLook w:val="01E0"/>
      </w:tblPr>
      <w:tblGrid>
        <w:gridCol w:w="3403"/>
        <w:gridCol w:w="1134"/>
        <w:gridCol w:w="992"/>
        <w:gridCol w:w="992"/>
        <w:gridCol w:w="992"/>
        <w:gridCol w:w="993"/>
        <w:gridCol w:w="1275"/>
      </w:tblGrid>
      <w:tr w:rsidR="00E451FD" w:rsidRPr="00461E11" w:rsidTr="00675CF1">
        <w:trPr>
          <w:cnfStyle w:val="100000000000"/>
        </w:trPr>
        <w:tc>
          <w:tcPr>
            <w:cnfStyle w:val="001000000100"/>
            <w:tcW w:w="3403" w:type="dxa"/>
            <w:tcBorders>
              <w:bottom w:val="none" w:sz="0" w:space="0" w:color="auto"/>
              <w:right w:val="none" w:sz="0" w:space="0" w:color="auto"/>
            </w:tcBorders>
          </w:tcPr>
          <w:p w:rsidR="00235453" w:rsidRPr="00461E11" w:rsidRDefault="00235453" w:rsidP="003326F2">
            <w:pPr>
              <w:widowControl w:val="0"/>
              <w:rPr>
                <w:rFonts w:cs="Arial"/>
                <w:color w:val="auto"/>
                <w:sz w:val="20"/>
                <w:szCs w:val="20"/>
              </w:rPr>
            </w:pPr>
          </w:p>
        </w:tc>
        <w:tc>
          <w:tcPr>
            <w:cnfStyle w:val="000010000000"/>
            <w:tcW w:w="2126" w:type="dxa"/>
            <w:gridSpan w:val="2"/>
            <w:tcBorders>
              <w:left w:val="none" w:sz="0" w:space="0" w:color="auto"/>
              <w:right w:val="none" w:sz="0" w:space="0" w:color="auto"/>
            </w:tcBorders>
          </w:tcPr>
          <w:p w:rsidR="00235453" w:rsidRPr="00461E11" w:rsidRDefault="00E451FD" w:rsidP="003326F2">
            <w:pPr>
              <w:widowControl w:val="0"/>
              <w:jc w:val="center"/>
              <w:rPr>
                <w:rFonts w:cs="Arial"/>
                <w:color w:val="auto"/>
                <w:sz w:val="20"/>
                <w:szCs w:val="20"/>
              </w:rPr>
            </w:pPr>
            <w:r w:rsidRPr="00461E11">
              <w:rPr>
                <w:rFonts w:cs="Arial"/>
                <w:color w:val="auto"/>
                <w:sz w:val="20"/>
                <w:szCs w:val="20"/>
              </w:rPr>
              <w:t>T</w:t>
            </w:r>
            <w:r w:rsidR="009856C5" w:rsidRPr="00461E11">
              <w:rPr>
                <w:rFonts w:cs="Arial"/>
                <w:color w:val="auto"/>
                <w:sz w:val="20"/>
                <w:szCs w:val="20"/>
              </w:rPr>
              <w:t xml:space="preserve">orbay </w:t>
            </w:r>
            <w:r w:rsidR="00235453" w:rsidRPr="00461E11">
              <w:rPr>
                <w:rFonts w:cs="Arial"/>
                <w:color w:val="auto"/>
                <w:sz w:val="20"/>
                <w:szCs w:val="20"/>
              </w:rPr>
              <w:t>E</w:t>
            </w:r>
            <w:r w:rsidR="009856C5" w:rsidRPr="00461E11">
              <w:rPr>
                <w:rFonts w:cs="Arial"/>
                <w:color w:val="auto"/>
                <w:sz w:val="20"/>
                <w:szCs w:val="20"/>
              </w:rPr>
              <w:t xml:space="preserve">conomic </w:t>
            </w:r>
            <w:r w:rsidR="00235453" w:rsidRPr="00461E11">
              <w:rPr>
                <w:rFonts w:cs="Arial"/>
                <w:color w:val="auto"/>
                <w:sz w:val="20"/>
                <w:szCs w:val="20"/>
              </w:rPr>
              <w:t>D</w:t>
            </w:r>
            <w:r w:rsidR="009856C5" w:rsidRPr="00461E11">
              <w:rPr>
                <w:rFonts w:cs="Arial"/>
                <w:color w:val="auto"/>
                <w:sz w:val="20"/>
                <w:szCs w:val="20"/>
              </w:rPr>
              <w:t xml:space="preserve">evelopment </w:t>
            </w:r>
            <w:r w:rsidR="00235453" w:rsidRPr="00461E11">
              <w:rPr>
                <w:rFonts w:cs="Arial"/>
                <w:color w:val="auto"/>
                <w:sz w:val="20"/>
                <w:szCs w:val="20"/>
              </w:rPr>
              <w:t>C</w:t>
            </w:r>
            <w:r w:rsidR="009856C5" w:rsidRPr="00461E11">
              <w:rPr>
                <w:rFonts w:cs="Arial"/>
                <w:color w:val="auto"/>
                <w:sz w:val="20"/>
                <w:szCs w:val="20"/>
              </w:rPr>
              <w:t>o Ltd</w:t>
            </w:r>
          </w:p>
        </w:tc>
        <w:tc>
          <w:tcPr>
            <w:tcW w:w="1984" w:type="dxa"/>
            <w:gridSpan w:val="2"/>
          </w:tcPr>
          <w:p w:rsidR="00235453" w:rsidRPr="00461E11" w:rsidRDefault="00235453" w:rsidP="003326F2">
            <w:pPr>
              <w:widowControl w:val="0"/>
              <w:jc w:val="center"/>
              <w:cnfStyle w:val="100000000000"/>
              <w:rPr>
                <w:rFonts w:cs="Arial"/>
                <w:color w:val="auto"/>
                <w:sz w:val="20"/>
                <w:szCs w:val="20"/>
              </w:rPr>
            </w:pPr>
            <w:r w:rsidRPr="00461E11">
              <w:rPr>
                <w:rFonts w:cs="Arial"/>
                <w:color w:val="auto"/>
                <w:sz w:val="20"/>
                <w:szCs w:val="20"/>
              </w:rPr>
              <w:t>E</w:t>
            </w:r>
            <w:r w:rsidR="009856C5" w:rsidRPr="00461E11">
              <w:rPr>
                <w:rFonts w:cs="Arial"/>
                <w:color w:val="auto"/>
                <w:sz w:val="20"/>
                <w:szCs w:val="20"/>
              </w:rPr>
              <w:t xml:space="preserve">nglish </w:t>
            </w:r>
            <w:r w:rsidRPr="00461E11">
              <w:rPr>
                <w:rFonts w:cs="Arial"/>
                <w:color w:val="auto"/>
                <w:sz w:val="20"/>
                <w:szCs w:val="20"/>
              </w:rPr>
              <w:t>R</w:t>
            </w:r>
            <w:r w:rsidR="009856C5" w:rsidRPr="00461E11">
              <w:rPr>
                <w:rFonts w:cs="Arial"/>
                <w:color w:val="auto"/>
                <w:sz w:val="20"/>
                <w:szCs w:val="20"/>
              </w:rPr>
              <w:t xml:space="preserve">iviera </w:t>
            </w:r>
            <w:r w:rsidRPr="00461E11">
              <w:rPr>
                <w:rFonts w:cs="Arial"/>
                <w:color w:val="auto"/>
                <w:sz w:val="20"/>
                <w:szCs w:val="20"/>
              </w:rPr>
              <w:t>T</w:t>
            </w:r>
            <w:r w:rsidR="009856C5" w:rsidRPr="00461E11">
              <w:rPr>
                <w:rFonts w:cs="Arial"/>
                <w:color w:val="auto"/>
                <w:sz w:val="20"/>
                <w:szCs w:val="20"/>
              </w:rPr>
              <w:t xml:space="preserve">ourism </w:t>
            </w:r>
            <w:r w:rsidRPr="00461E11">
              <w:rPr>
                <w:rFonts w:cs="Arial"/>
                <w:color w:val="auto"/>
                <w:sz w:val="20"/>
                <w:szCs w:val="20"/>
              </w:rPr>
              <w:t>C</w:t>
            </w:r>
            <w:r w:rsidR="009856C5" w:rsidRPr="00461E11">
              <w:rPr>
                <w:rFonts w:cs="Arial"/>
                <w:color w:val="auto"/>
                <w:sz w:val="20"/>
                <w:szCs w:val="20"/>
              </w:rPr>
              <w:t>o Ltd</w:t>
            </w:r>
          </w:p>
        </w:tc>
        <w:tc>
          <w:tcPr>
            <w:cnfStyle w:val="000100001000"/>
            <w:tcW w:w="2268" w:type="dxa"/>
            <w:gridSpan w:val="2"/>
            <w:tcBorders>
              <w:left w:val="none" w:sz="0" w:space="0" w:color="auto"/>
              <w:bottom w:val="none" w:sz="0" w:space="0" w:color="auto"/>
            </w:tcBorders>
          </w:tcPr>
          <w:p w:rsidR="00235453" w:rsidRPr="00461E11" w:rsidRDefault="00235453" w:rsidP="009856C5">
            <w:pPr>
              <w:widowControl w:val="0"/>
              <w:jc w:val="center"/>
              <w:rPr>
                <w:rFonts w:cs="Arial"/>
                <w:color w:val="auto"/>
                <w:sz w:val="20"/>
                <w:szCs w:val="20"/>
              </w:rPr>
            </w:pPr>
            <w:r w:rsidRPr="00461E11">
              <w:rPr>
                <w:rFonts w:cs="Arial"/>
                <w:color w:val="auto"/>
                <w:sz w:val="20"/>
                <w:szCs w:val="20"/>
              </w:rPr>
              <w:t>O</w:t>
            </w:r>
            <w:r w:rsidR="009856C5" w:rsidRPr="00461E11">
              <w:rPr>
                <w:rFonts w:cs="Arial"/>
                <w:color w:val="auto"/>
                <w:sz w:val="20"/>
                <w:szCs w:val="20"/>
              </w:rPr>
              <w:t xml:space="preserve">ldway Mansion </w:t>
            </w:r>
            <w:r w:rsidRPr="00461E11">
              <w:rPr>
                <w:rFonts w:cs="Arial"/>
                <w:color w:val="auto"/>
                <w:sz w:val="20"/>
                <w:szCs w:val="20"/>
              </w:rPr>
              <w:t>M</w:t>
            </w:r>
            <w:r w:rsidR="009856C5" w:rsidRPr="00461E11">
              <w:rPr>
                <w:rFonts w:cs="Arial"/>
                <w:color w:val="auto"/>
                <w:sz w:val="20"/>
                <w:szCs w:val="20"/>
              </w:rPr>
              <w:t xml:space="preserve">anagement </w:t>
            </w:r>
            <w:r w:rsidRPr="00461E11">
              <w:rPr>
                <w:rFonts w:cs="Arial"/>
                <w:color w:val="auto"/>
                <w:sz w:val="20"/>
                <w:szCs w:val="20"/>
              </w:rPr>
              <w:t>C</w:t>
            </w:r>
            <w:r w:rsidR="009856C5" w:rsidRPr="00461E11">
              <w:rPr>
                <w:rFonts w:cs="Arial"/>
                <w:color w:val="auto"/>
                <w:sz w:val="20"/>
                <w:szCs w:val="20"/>
              </w:rPr>
              <w:t>o Ltd</w:t>
            </w:r>
          </w:p>
        </w:tc>
      </w:tr>
      <w:tr w:rsidR="00883761" w:rsidRPr="00461E11" w:rsidTr="00675CF1">
        <w:trPr>
          <w:cnfStyle w:val="000000100000"/>
        </w:trPr>
        <w:tc>
          <w:tcPr>
            <w:cnfStyle w:val="001000000000"/>
            <w:tcW w:w="3403" w:type="dxa"/>
            <w:tcBorders>
              <w:top w:val="none" w:sz="0" w:space="0" w:color="auto"/>
              <w:bottom w:val="none" w:sz="0" w:space="0" w:color="auto"/>
              <w:right w:val="none" w:sz="0" w:space="0" w:color="auto"/>
            </w:tcBorders>
            <w:shd w:val="clear" w:color="auto" w:fill="4BACC6" w:themeFill="accent5"/>
          </w:tcPr>
          <w:p w:rsidR="00883761" w:rsidRPr="00461E11" w:rsidRDefault="00883761" w:rsidP="003326F2">
            <w:pPr>
              <w:widowControl w:val="0"/>
              <w:rPr>
                <w:rFonts w:cs="Arial"/>
                <w:color w:val="auto"/>
                <w:sz w:val="20"/>
                <w:szCs w:val="20"/>
              </w:rPr>
            </w:pPr>
          </w:p>
        </w:tc>
        <w:tc>
          <w:tcPr>
            <w:cnfStyle w:val="000010000000"/>
            <w:tcW w:w="1134" w:type="dxa"/>
            <w:tcBorders>
              <w:top w:val="none" w:sz="0" w:space="0" w:color="auto"/>
              <w:left w:val="none" w:sz="0" w:space="0" w:color="auto"/>
              <w:bottom w:val="none" w:sz="0" w:space="0" w:color="auto"/>
              <w:right w:val="none" w:sz="0" w:space="0" w:color="auto"/>
            </w:tcBorders>
            <w:shd w:val="clear" w:color="auto" w:fill="4BACC6" w:themeFill="accent5"/>
          </w:tcPr>
          <w:p w:rsidR="00883761" w:rsidRPr="00461E11" w:rsidRDefault="00883761" w:rsidP="00883761">
            <w:pPr>
              <w:widowControl w:val="0"/>
              <w:jc w:val="center"/>
              <w:rPr>
                <w:rFonts w:cs="Arial"/>
                <w:color w:val="auto"/>
                <w:sz w:val="18"/>
                <w:szCs w:val="18"/>
              </w:rPr>
            </w:pPr>
            <w:r w:rsidRPr="00461E11">
              <w:rPr>
                <w:rFonts w:cs="Arial"/>
                <w:color w:val="auto"/>
                <w:sz w:val="18"/>
                <w:szCs w:val="18"/>
              </w:rPr>
              <w:t>2014/15</w:t>
            </w:r>
          </w:p>
        </w:tc>
        <w:tc>
          <w:tcPr>
            <w:tcW w:w="992" w:type="dxa"/>
            <w:tcBorders>
              <w:top w:val="none" w:sz="0" w:space="0" w:color="auto"/>
              <w:bottom w:val="none" w:sz="0" w:space="0" w:color="auto"/>
            </w:tcBorders>
            <w:shd w:val="clear" w:color="auto" w:fill="4BACC6" w:themeFill="accent5"/>
          </w:tcPr>
          <w:p w:rsidR="00883761" w:rsidRPr="00461E11" w:rsidRDefault="00883761" w:rsidP="00883761">
            <w:pPr>
              <w:widowControl w:val="0"/>
              <w:jc w:val="center"/>
              <w:cnfStyle w:val="000000100000"/>
              <w:rPr>
                <w:rFonts w:cs="Arial"/>
                <w:b/>
                <w:color w:val="auto"/>
                <w:sz w:val="18"/>
                <w:szCs w:val="18"/>
              </w:rPr>
            </w:pPr>
            <w:r w:rsidRPr="00461E11">
              <w:rPr>
                <w:rFonts w:cs="Arial"/>
                <w:b/>
                <w:color w:val="auto"/>
                <w:sz w:val="18"/>
                <w:szCs w:val="18"/>
              </w:rPr>
              <w:t>2015/16</w:t>
            </w:r>
          </w:p>
        </w:tc>
        <w:tc>
          <w:tcPr>
            <w:cnfStyle w:val="000010000000"/>
            <w:tcW w:w="992" w:type="dxa"/>
            <w:tcBorders>
              <w:top w:val="none" w:sz="0" w:space="0" w:color="auto"/>
              <w:left w:val="none" w:sz="0" w:space="0" w:color="auto"/>
              <w:bottom w:val="none" w:sz="0" w:space="0" w:color="auto"/>
              <w:right w:val="none" w:sz="0" w:space="0" w:color="auto"/>
            </w:tcBorders>
            <w:shd w:val="clear" w:color="auto" w:fill="4BACC6" w:themeFill="accent5"/>
          </w:tcPr>
          <w:p w:rsidR="00883761" w:rsidRPr="00461E11" w:rsidRDefault="00883761" w:rsidP="00883761">
            <w:pPr>
              <w:widowControl w:val="0"/>
              <w:jc w:val="center"/>
              <w:rPr>
                <w:rFonts w:cs="Arial"/>
                <w:color w:val="auto"/>
                <w:sz w:val="18"/>
                <w:szCs w:val="18"/>
              </w:rPr>
            </w:pPr>
            <w:r w:rsidRPr="00461E11">
              <w:rPr>
                <w:rFonts w:cs="Arial"/>
                <w:color w:val="auto"/>
                <w:sz w:val="18"/>
                <w:szCs w:val="18"/>
              </w:rPr>
              <w:t>2014/15</w:t>
            </w:r>
          </w:p>
        </w:tc>
        <w:tc>
          <w:tcPr>
            <w:tcW w:w="992" w:type="dxa"/>
            <w:tcBorders>
              <w:top w:val="none" w:sz="0" w:space="0" w:color="auto"/>
              <w:bottom w:val="none" w:sz="0" w:space="0" w:color="auto"/>
            </w:tcBorders>
            <w:shd w:val="clear" w:color="auto" w:fill="4BACC6" w:themeFill="accent5"/>
          </w:tcPr>
          <w:p w:rsidR="00883761" w:rsidRPr="00461E11" w:rsidRDefault="00883761" w:rsidP="00883761">
            <w:pPr>
              <w:widowControl w:val="0"/>
              <w:jc w:val="center"/>
              <w:cnfStyle w:val="000000100000"/>
              <w:rPr>
                <w:rFonts w:cs="Arial"/>
                <w:b/>
                <w:color w:val="auto"/>
                <w:sz w:val="18"/>
                <w:szCs w:val="18"/>
              </w:rPr>
            </w:pPr>
            <w:r w:rsidRPr="00461E11">
              <w:rPr>
                <w:rFonts w:cs="Arial"/>
                <w:b/>
                <w:color w:val="auto"/>
                <w:sz w:val="18"/>
                <w:szCs w:val="18"/>
              </w:rPr>
              <w:t>2015/16</w:t>
            </w:r>
          </w:p>
        </w:tc>
        <w:tc>
          <w:tcPr>
            <w:cnfStyle w:val="000010000000"/>
            <w:tcW w:w="993" w:type="dxa"/>
            <w:tcBorders>
              <w:top w:val="none" w:sz="0" w:space="0" w:color="auto"/>
              <w:left w:val="none" w:sz="0" w:space="0" w:color="auto"/>
              <w:bottom w:val="none" w:sz="0" w:space="0" w:color="auto"/>
              <w:right w:val="none" w:sz="0" w:space="0" w:color="auto"/>
            </w:tcBorders>
            <w:shd w:val="clear" w:color="auto" w:fill="4BACC6" w:themeFill="accent5"/>
          </w:tcPr>
          <w:p w:rsidR="00883761" w:rsidRPr="00461E11" w:rsidRDefault="00883761" w:rsidP="00883761">
            <w:pPr>
              <w:widowControl w:val="0"/>
              <w:jc w:val="center"/>
              <w:rPr>
                <w:rFonts w:cs="Arial"/>
                <w:color w:val="auto"/>
                <w:sz w:val="18"/>
                <w:szCs w:val="18"/>
              </w:rPr>
            </w:pPr>
            <w:r w:rsidRPr="00461E11">
              <w:rPr>
                <w:rFonts w:cs="Arial"/>
                <w:color w:val="auto"/>
                <w:sz w:val="18"/>
                <w:szCs w:val="18"/>
              </w:rPr>
              <w:t>2014/15</w:t>
            </w:r>
          </w:p>
        </w:tc>
        <w:tc>
          <w:tcPr>
            <w:cnfStyle w:val="000100000000"/>
            <w:tcW w:w="1275" w:type="dxa"/>
            <w:tcBorders>
              <w:top w:val="none" w:sz="0" w:space="0" w:color="auto"/>
              <w:left w:val="none" w:sz="0" w:space="0" w:color="auto"/>
              <w:bottom w:val="none" w:sz="0" w:space="0" w:color="auto"/>
            </w:tcBorders>
            <w:shd w:val="clear" w:color="auto" w:fill="4BACC6" w:themeFill="accent5"/>
          </w:tcPr>
          <w:p w:rsidR="00883761" w:rsidRPr="00461E11" w:rsidRDefault="00883761" w:rsidP="00883761">
            <w:pPr>
              <w:widowControl w:val="0"/>
              <w:jc w:val="center"/>
              <w:rPr>
                <w:rFonts w:cs="Arial"/>
                <w:color w:val="auto"/>
                <w:sz w:val="18"/>
                <w:szCs w:val="18"/>
              </w:rPr>
            </w:pPr>
            <w:r w:rsidRPr="00461E11">
              <w:rPr>
                <w:rFonts w:cs="Arial"/>
                <w:color w:val="auto"/>
                <w:sz w:val="18"/>
                <w:szCs w:val="18"/>
              </w:rPr>
              <w:t>2015/16</w:t>
            </w:r>
          </w:p>
        </w:tc>
      </w:tr>
      <w:tr w:rsidR="00E451FD" w:rsidRPr="00461E11" w:rsidTr="00675CF1">
        <w:tc>
          <w:tcPr>
            <w:cnfStyle w:val="001000000000"/>
            <w:tcW w:w="3403" w:type="dxa"/>
            <w:tcBorders>
              <w:right w:val="none" w:sz="0" w:space="0" w:color="auto"/>
            </w:tcBorders>
            <w:shd w:val="clear" w:color="auto" w:fill="4BACC6" w:themeFill="accent5"/>
          </w:tcPr>
          <w:p w:rsidR="00235453" w:rsidRPr="00461E11" w:rsidRDefault="00235453" w:rsidP="003326F2">
            <w:pPr>
              <w:widowControl w:val="0"/>
              <w:rPr>
                <w:rFonts w:cs="Arial"/>
                <w:b w:val="0"/>
                <w:color w:val="auto"/>
                <w:sz w:val="20"/>
                <w:szCs w:val="20"/>
              </w:rPr>
            </w:pPr>
          </w:p>
        </w:tc>
        <w:tc>
          <w:tcPr>
            <w:cnfStyle w:val="000010000000"/>
            <w:tcW w:w="1134" w:type="dxa"/>
            <w:tcBorders>
              <w:left w:val="none" w:sz="0" w:space="0" w:color="auto"/>
              <w:right w:val="none" w:sz="0" w:space="0" w:color="auto"/>
            </w:tcBorders>
            <w:shd w:val="clear" w:color="auto" w:fill="4BACC6" w:themeFill="accent5"/>
          </w:tcPr>
          <w:p w:rsidR="00235453" w:rsidRPr="00461E11" w:rsidRDefault="00235453" w:rsidP="00741B9C">
            <w:pPr>
              <w:widowControl w:val="0"/>
              <w:jc w:val="center"/>
              <w:rPr>
                <w:rFonts w:cs="Arial"/>
                <w:color w:val="auto"/>
                <w:sz w:val="20"/>
                <w:szCs w:val="20"/>
              </w:rPr>
            </w:pPr>
            <w:r w:rsidRPr="00461E11">
              <w:rPr>
                <w:rFonts w:cs="Arial"/>
                <w:color w:val="auto"/>
                <w:sz w:val="20"/>
                <w:szCs w:val="20"/>
              </w:rPr>
              <w:t>£m</w:t>
            </w:r>
          </w:p>
        </w:tc>
        <w:tc>
          <w:tcPr>
            <w:tcW w:w="992" w:type="dxa"/>
            <w:shd w:val="clear" w:color="auto" w:fill="4BACC6" w:themeFill="accent5"/>
          </w:tcPr>
          <w:p w:rsidR="00235453" w:rsidRPr="00461E11" w:rsidRDefault="00235453" w:rsidP="00741B9C">
            <w:pPr>
              <w:widowControl w:val="0"/>
              <w:jc w:val="center"/>
              <w:cnfStyle w:val="000000000000"/>
              <w:rPr>
                <w:rFonts w:cs="Arial"/>
                <w:color w:val="auto"/>
                <w:sz w:val="20"/>
                <w:szCs w:val="20"/>
              </w:rPr>
            </w:pPr>
            <w:r w:rsidRPr="00461E11">
              <w:rPr>
                <w:rFonts w:cs="Arial"/>
                <w:color w:val="auto"/>
                <w:sz w:val="20"/>
                <w:szCs w:val="20"/>
              </w:rPr>
              <w:t>£m</w:t>
            </w:r>
          </w:p>
        </w:tc>
        <w:tc>
          <w:tcPr>
            <w:cnfStyle w:val="000010000000"/>
            <w:tcW w:w="992" w:type="dxa"/>
            <w:tcBorders>
              <w:left w:val="none" w:sz="0" w:space="0" w:color="auto"/>
              <w:right w:val="none" w:sz="0" w:space="0" w:color="auto"/>
            </w:tcBorders>
            <w:shd w:val="clear" w:color="auto" w:fill="4BACC6" w:themeFill="accent5"/>
          </w:tcPr>
          <w:p w:rsidR="00235453" w:rsidRPr="00461E11" w:rsidRDefault="00235453" w:rsidP="00741B9C">
            <w:pPr>
              <w:widowControl w:val="0"/>
              <w:jc w:val="center"/>
              <w:rPr>
                <w:rFonts w:cs="Arial"/>
                <w:color w:val="auto"/>
                <w:sz w:val="20"/>
                <w:szCs w:val="20"/>
              </w:rPr>
            </w:pPr>
            <w:r w:rsidRPr="00461E11">
              <w:rPr>
                <w:rFonts w:cs="Arial"/>
                <w:color w:val="auto"/>
                <w:sz w:val="20"/>
                <w:szCs w:val="20"/>
              </w:rPr>
              <w:t>£m</w:t>
            </w:r>
          </w:p>
        </w:tc>
        <w:tc>
          <w:tcPr>
            <w:tcW w:w="992" w:type="dxa"/>
            <w:shd w:val="clear" w:color="auto" w:fill="4BACC6" w:themeFill="accent5"/>
          </w:tcPr>
          <w:p w:rsidR="00235453" w:rsidRPr="00461E11" w:rsidRDefault="00235453" w:rsidP="00741B9C">
            <w:pPr>
              <w:widowControl w:val="0"/>
              <w:jc w:val="center"/>
              <w:cnfStyle w:val="000000000000"/>
              <w:rPr>
                <w:rFonts w:cs="Arial"/>
                <w:color w:val="auto"/>
                <w:sz w:val="20"/>
                <w:szCs w:val="20"/>
              </w:rPr>
            </w:pPr>
            <w:r w:rsidRPr="00461E11">
              <w:rPr>
                <w:rFonts w:cs="Arial"/>
                <w:color w:val="auto"/>
                <w:sz w:val="20"/>
                <w:szCs w:val="20"/>
              </w:rPr>
              <w:t>£m</w:t>
            </w:r>
          </w:p>
        </w:tc>
        <w:tc>
          <w:tcPr>
            <w:cnfStyle w:val="000010000000"/>
            <w:tcW w:w="993" w:type="dxa"/>
            <w:tcBorders>
              <w:left w:val="none" w:sz="0" w:space="0" w:color="auto"/>
              <w:right w:val="none" w:sz="0" w:space="0" w:color="auto"/>
            </w:tcBorders>
            <w:shd w:val="clear" w:color="auto" w:fill="4BACC6" w:themeFill="accent5"/>
          </w:tcPr>
          <w:p w:rsidR="00235453" w:rsidRPr="00461E11" w:rsidRDefault="00235453" w:rsidP="00741B9C">
            <w:pPr>
              <w:widowControl w:val="0"/>
              <w:jc w:val="center"/>
              <w:rPr>
                <w:rFonts w:cs="Arial"/>
                <w:color w:val="auto"/>
                <w:sz w:val="20"/>
                <w:szCs w:val="20"/>
              </w:rPr>
            </w:pPr>
            <w:r w:rsidRPr="00461E11">
              <w:rPr>
                <w:rFonts w:cs="Arial"/>
                <w:color w:val="auto"/>
                <w:sz w:val="20"/>
                <w:szCs w:val="20"/>
              </w:rPr>
              <w:t>£m</w:t>
            </w:r>
          </w:p>
        </w:tc>
        <w:tc>
          <w:tcPr>
            <w:cnfStyle w:val="000100000000"/>
            <w:tcW w:w="1275" w:type="dxa"/>
            <w:tcBorders>
              <w:left w:val="none" w:sz="0" w:space="0" w:color="auto"/>
            </w:tcBorders>
            <w:shd w:val="clear" w:color="auto" w:fill="4BACC6" w:themeFill="accent5"/>
          </w:tcPr>
          <w:p w:rsidR="00235453" w:rsidRPr="00461E11" w:rsidRDefault="00235453" w:rsidP="00741B9C">
            <w:pPr>
              <w:widowControl w:val="0"/>
              <w:jc w:val="center"/>
              <w:rPr>
                <w:rFonts w:cs="Arial"/>
                <w:b w:val="0"/>
                <w:color w:val="auto"/>
                <w:sz w:val="20"/>
                <w:szCs w:val="20"/>
              </w:rPr>
            </w:pPr>
            <w:r w:rsidRPr="00461E11">
              <w:rPr>
                <w:rFonts w:cs="Arial"/>
                <w:b w:val="0"/>
                <w:color w:val="auto"/>
                <w:sz w:val="20"/>
                <w:szCs w:val="20"/>
              </w:rPr>
              <w:t>£m</w:t>
            </w:r>
          </w:p>
        </w:tc>
      </w:tr>
      <w:tr w:rsidR="00065C6D" w:rsidRPr="00461E11" w:rsidTr="001C0235">
        <w:trPr>
          <w:cnfStyle w:val="000000100000"/>
        </w:trPr>
        <w:tc>
          <w:tcPr>
            <w:cnfStyle w:val="001000000000"/>
            <w:tcW w:w="3403" w:type="dxa"/>
            <w:tcBorders>
              <w:top w:val="none" w:sz="0" w:space="0" w:color="auto"/>
              <w:bottom w:val="none" w:sz="0" w:space="0" w:color="auto"/>
              <w:right w:val="none" w:sz="0" w:space="0" w:color="auto"/>
            </w:tcBorders>
          </w:tcPr>
          <w:p w:rsidR="00065C6D" w:rsidRPr="00461E11" w:rsidRDefault="00065C6D" w:rsidP="00E451FD">
            <w:pPr>
              <w:widowControl w:val="0"/>
              <w:spacing w:after="0" w:line="240" w:lineRule="auto"/>
              <w:rPr>
                <w:rFonts w:cs="Arial"/>
                <w:b w:val="0"/>
                <w:color w:val="auto"/>
                <w:sz w:val="20"/>
                <w:szCs w:val="20"/>
              </w:rPr>
            </w:pPr>
            <w:r w:rsidRPr="00461E11">
              <w:rPr>
                <w:rFonts w:cs="Arial"/>
                <w:b w:val="0"/>
                <w:color w:val="auto"/>
                <w:sz w:val="20"/>
                <w:szCs w:val="20"/>
              </w:rPr>
              <w:t>Income</w:t>
            </w:r>
          </w:p>
        </w:tc>
        <w:tc>
          <w:tcPr>
            <w:cnfStyle w:val="000010000000"/>
            <w:tcW w:w="1134"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(4.5)</w:t>
            </w:r>
          </w:p>
        </w:tc>
        <w:tc>
          <w:tcPr>
            <w:tcW w:w="992" w:type="dxa"/>
            <w:tcBorders>
              <w:top w:val="none" w:sz="0" w:space="0" w:color="auto"/>
              <w:bottom w:val="none" w:sz="0" w:space="0" w:color="auto"/>
            </w:tcBorders>
          </w:tcPr>
          <w:p w:rsidR="00065C6D" w:rsidRPr="001C0235" w:rsidRDefault="00343D9B" w:rsidP="00065C6D">
            <w:pPr>
              <w:widowControl w:val="0"/>
              <w:spacing w:after="0" w:line="240" w:lineRule="auto"/>
              <w:jc w:val="center"/>
              <w:cnfStyle w:val="000000100000"/>
              <w:rPr>
                <w:rFonts w:cs="Arial"/>
                <w:b/>
                <w:color w:val="auto"/>
                <w:sz w:val="20"/>
                <w:szCs w:val="20"/>
              </w:rPr>
            </w:pPr>
            <w:r w:rsidRPr="001C0235">
              <w:rPr>
                <w:rFonts w:cs="Arial"/>
                <w:b/>
                <w:color w:val="auto"/>
                <w:sz w:val="20"/>
                <w:szCs w:val="20"/>
              </w:rPr>
              <w:t>(5.0)</w:t>
            </w:r>
          </w:p>
        </w:tc>
        <w:tc>
          <w:tcPr>
            <w:cnfStyle w:val="000010000000"/>
            <w:tcW w:w="992"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(0.7)</w:t>
            </w:r>
          </w:p>
        </w:tc>
        <w:tc>
          <w:tcPr>
            <w:tcW w:w="992" w:type="dxa"/>
            <w:tcBorders>
              <w:top w:val="none" w:sz="0" w:space="0" w:color="auto"/>
              <w:bottom w:val="none" w:sz="0" w:space="0" w:color="auto"/>
            </w:tcBorders>
            <w:shd w:val="clear" w:color="auto" w:fill="auto"/>
          </w:tcPr>
          <w:p w:rsidR="00065C6D" w:rsidRPr="001C0235" w:rsidRDefault="001C0235" w:rsidP="001C0235">
            <w:pPr>
              <w:widowControl w:val="0"/>
              <w:spacing w:after="0" w:line="240" w:lineRule="auto"/>
              <w:jc w:val="center"/>
              <w:cnfStyle w:val="000000100000"/>
              <w:rPr>
                <w:rFonts w:cs="Arial"/>
                <w:b/>
                <w:color w:val="auto"/>
                <w:sz w:val="20"/>
                <w:szCs w:val="20"/>
              </w:rPr>
            </w:pPr>
            <w:r w:rsidRPr="001C0235">
              <w:rPr>
                <w:rFonts w:cs="Arial"/>
                <w:b/>
                <w:color w:val="auto"/>
                <w:sz w:val="20"/>
                <w:szCs w:val="20"/>
              </w:rPr>
              <w:t>(0.5)</w:t>
            </w:r>
          </w:p>
        </w:tc>
        <w:tc>
          <w:tcPr>
            <w:cnfStyle w:val="000010000000"/>
            <w:tcW w:w="993" w:type="dxa"/>
            <w:tcBorders>
              <w:top w:val="none" w:sz="0" w:space="0" w:color="auto"/>
              <w:left w:val="none" w:sz="0" w:space="0" w:color="auto"/>
              <w:bottom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(0.1)</w:t>
            </w:r>
          </w:p>
        </w:tc>
        <w:tc>
          <w:tcPr>
            <w:cnfStyle w:val="000100000000"/>
            <w:tcW w:w="1275" w:type="dxa"/>
            <w:tcBorders>
              <w:top w:val="none" w:sz="0" w:space="0" w:color="auto"/>
              <w:left w:val="none" w:sz="0" w:space="0" w:color="auto"/>
              <w:bottom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(0.1)</w:t>
            </w:r>
          </w:p>
        </w:tc>
      </w:tr>
      <w:tr w:rsidR="00065C6D" w:rsidRPr="00461E11" w:rsidTr="001C0235">
        <w:tc>
          <w:tcPr>
            <w:cnfStyle w:val="001000000000"/>
            <w:tcW w:w="3403" w:type="dxa"/>
            <w:tcBorders>
              <w:right w:val="none" w:sz="0" w:space="0" w:color="auto"/>
            </w:tcBorders>
          </w:tcPr>
          <w:p w:rsidR="00065C6D" w:rsidRPr="00461E11" w:rsidRDefault="00065C6D" w:rsidP="00E451FD">
            <w:pPr>
              <w:widowControl w:val="0"/>
              <w:spacing w:after="0" w:line="240" w:lineRule="auto"/>
              <w:rPr>
                <w:rFonts w:cs="Arial"/>
                <w:b w:val="0"/>
                <w:color w:val="auto"/>
                <w:sz w:val="20"/>
                <w:szCs w:val="20"/>
              </w:rPr>
            </w:pPr>
            <w:r w:rsidRPr="00461E11">
              <w:rPr>
                <w:rFonts w:cs="Arial"/>
                <w:b w:val="0"/>
                <w:color w:val="auto"/>
                <w:sz w:val="20"/>
                <w:szCs w:val="20"/>
              </w:rPr>
              <w:t>Expenditure</w:t>
            </w:r>
          </w:p>
        </w:tc>
        <w:tc>
          <w:tcPr>
            <w:cnfStyle w:val="000010000000"/>
            <w:tcW w:w="1134" w:type="dxa"/>
            <w:tcBorders>
              <w:left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4.7</w:t>
            </w:r>
          </w:p>
        </w:tc>
        <w:tc>
          <w:tcPr>
            <w:tcW w:w="992" w:type="dxa"/>
          </w:tcPr>
          <w:p w:rsidR="00065C6D" w:rsidRPr="001C0235" w:rsidRDefault="00343D9B" w:rsidP="00065C6D">
            <w:pPr>
              <w:widowControl w:val="0"/>
              <w:spacing w:after="0" w:line="240" w:lineRule="auto"/>
              <w:jc w:val="center"/>
              <w:cnfStyle w:val="000000000000"/>
              <w:rPr>
                <w:rFonts w:cs="Arial"/>
                <w:b/>
                <w:color w:val="auto"/>
                <w:sz w:val="20"/>
                <w:szCs w:val="20"/>
              </w:rPr>
            </w:pPr>
            <w:r w:rsidRPr="001C0235">
              <w:rPr>
                <w:rFonts w:cs="Arial"/>
                <w:b/>
                <w:color w:val="auto"/>
                <w:sz w:val="20"/>
                <w:szCs w:val="20"/>
              </w:rPr>
              <w:t>5.3</w:t>
            </w:r>
          </w:p>
        </w:tc>
        <w:tc>
          <w:tcPr>
            <w:cnfStyle w:val="000010000000"/>
            <w:tcW w:w="992" w:type="dxa"/>
            <w:tcBorders>
              <w:left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0.7</w:t>
            </w:r>
          </w:p>
        </w:tc>
        <w:tc>
          <w:tcPr>
            <w:tcW w:w="992" w:type="dxa"/>
            <w:shd w:val="clear" w:color="auto" w:fill="auto"/>
          </w:tcPr>
          <w:p w:rsidR="00065C6D" w:rsidRPr="001C0235" w:rsidRDefault="001C0235" w:rsidP="00065C6D">
            <w:pPr>
              <w:widowControl w:val="0"/>
              <w:spacing w:after="0" w:line="240" w:lineRule="auto"/>
              <w:jc w:val="center"/>
              <w:cnfStyle w:val="000000000000"/>
              <w:rPr>
                <w:rFonts w:cs="Arial"/>
                <w:b/>
                <w:color w:val="auto"/>
                <w:sz w:val="20"/>
                <w:szCs w:val="20"/>
              </w:rPr>
            </w:pPr>
            <w:r w:rsidRPr="001C0235">
              <w:rPr>
                <w:rFonts w:cs="Arial"/>
                <w:b/>
                <w:color w:val="auto"/>
                <w:sz w:val="20"/>
                <w:szCs w:val="20"/>
              </w:rPr>
              <w:t>0.5</w:t>
            </w:r>
          </w:p>
        </w:tc>
        <w:tc>
          <w:tcPr>
            <w:cnfStyle w:val="000010000000"/>
            <w:tcW w:w="993" w:type="dxa"/>
            <w:tcBorders>
              <w:left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0.1</w:t>
            </w:r>
          </w:p>
        </w:tc>
        <w:tc>
          <w:tcPr>
            <w:cnfStyle w:val="000100000000"/>
            <w:tcW w:w="1275" w:type="dxa"/>
            <w:tcBorders>
              <w:left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0.1</w:t>
            </w:r>
          </w:p>
        </w:tc>
      </w:tr>
      <w:tr w:rsidR="00065C6D" w:rsidRPr="00461E11" w:rsidTr="001C0235">
        <w:trPr>
          <w:cnfStyle w:val="000000100000"/>
        </w:trPr>
        <w:tc>
          <w:tcPr>
            <w:cnfStyle w:val="001000000000"/>
            <w:tcW w:w="3403" w:type="dxa"/>
            <w:tcBorders>
              <w:top w:val="none" w:sz="0" w:space="0" w:color="auto"/>
              <w:bottom w:val="none" w:sz="0" w:space="0" w:color="auto"/>
              <w:right w:val="none" w:sz="0" w:space="0" w:color="auto"/>
            </w:tcBorders>
          </w:tcPr>
          <w:p w:rsidR="00065C6D" w:rsidRPr="00461E11" w:rsidRDefault="00065C6D" w:rsidP="00E451FD">
            <w:pPr>
              <w:widowControl w:val="0"/>
              <w:spacing w:after="0" w:line="240" w:lineRule="auto"/>
              <w:rPr>
                <w:rFonts w:cs="Arial"/>
                <w:color w:val="auto"/>
                <w:sz w:val="20"/>
                <w:szCs w:val="20"/>
              </w:rPr>
            </w:pPr>
            <w:r w:rsidRPr="00461E11">
              <w:rPr>
                <w:rFonts w:cs="Arial"/>
                <w:color w:val="auto"/>
                <w:sz w:val="20"/>
                <w:szCs w:val="20"/>
              </w:rPr>
              <w:t>Operating (Profit) or loss</w:t>
            </w:r>
          </w:p>
        </w:tc>
        <w:tc>
          <w:tcPr>
            <w:cnfStyle w:val="000010000000"/>
            <w:tcW w:w="1134"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0.2</w:t>
            </w:r>
          </w:p>
        </w:tc>
        <w:tc>
          <w:tcPr>
            <w:tcW w:w="992" w:type="dxa"/>
            <w:tcBorders>
              <w:top w:val="none" w:sz="0" w:space="0" w:color="auto"/>
              <w:bottom w:val="none" w:sz="0" w:space="0" w:color="auto"/>
            </w:tcBorders>
          </w:tcPr>
          <w:p w:rsidR="00065C6D" w:rsidRPr="001C0235" w:rsidRDefault="00343D9B" w:rsidP="00065C6D">
            <w:pPr>
              <w:widowControl w:val="0"/>
              <w:spacing w:after="0" w:line="240" w:lineRule="auto"/>
              <w:jc w:val="center"/>
              <w:cnfStyle w:val="000000100000"/>
              <w:rPr>
                <w:rFonts w:cs="Arial"/>
                <w:b/>
                <w:color w:val="auto"/>
                <w:sz w:val="20"/>
                <w:szCs w:val="20"/>
              </w:rPr>
            </w:pPr>
            <w:r w:rsidRPr="001C0235">
              <w:rPr>
                <w:rFonts w:cs="Arial"/>
                <w:b/>
                <w:color w:val="auto"/>
                <w:sz w:val="20"/>
                <w:szCs w:val="20"/>
              </w:rPr>
              <w:t>0.3</w:t>
            </w:r>
          </w:p>
        </w:tc>
        <w:tc>
          <w:tcPr>
            <w:cnfStyle w:val="000010000000"/>
            <w:tcW w:w="992"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w:t>
            </w:r>
          </w:p>
        </w:tc>
        <w:tc>
          <w:tcPr>
            <w:tcW w:w="992" w:type="dxa"/>
            <w:tcBorders>
              <w:top w:val="none" w:sz="0" w:space="0" w:color="auto"/>
              <w:bottom w:val="none" w:sz="0" w:space="0" w:color="auto"/>
            </w:tcBorders>
            <w:shd w:val="clear" w:color="auto" w:fill="auto"/>
          </w:tcPr>
          <w:p w:rsidR="00065C6D" w:rsidRPr="001C0235" w:rsidRDefault="001C0235" w:rsidP="001C0235">
            <w:pPr>
              <w:widowControl w:val="0"/>
              <w:spacing w:after="0" w:line="240" w:lineRule="auto"/>
              <w:jc w:val="center"/>
              <w:cnfStyle w:val="000000100000"/>
              <w:rPr>
                <w:rFonts w:cs="Arial"/>
                <w:b/>
                <w:color w:val="auto"/>
                <w:sz w:val="20"/>
                <w:szCs w:val="20"/>
              </w:rPr>
            </w:pPr>
            <w:r w:rsidRPr="001C0235">
              <w:rPr>
                <w:rFonts w:cs="Arial"/>
                <w:b/>
                <w:color w:val="auto"/>
                <w:sz w:val="20"/>
                <w:szCs w:val="20"/>
              </w:rPr>
              <w:t>0</w:t>
            </w:r>
          </w:p>
        </w:tc>
        <w:tc>
          <w:tcPr>
            <w:cnfStyle w:val="000010000000"/>
            <w:tcW w:w="993" w:type="dxa"/>
            <w:tcBorders>
              <w:top w:val="none" w:sz="0" w:space="0" w:color="auto"/>
              <w:left w:val="none" w:sz="0" w:space="0" w:color="auto"/>
              <w:bottom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w:t>
            </w:r>
          </w:p>
        </w:tc>
        <w:tc>
          <w:tcPr>
            <w:cnfStyle w:val="000100000000"/>
            <w:tcW w:w="1275" w:type="dxa"/>
            <w:tcBorders>
              <w:top w:val="none" w:sz="0" w:space="0" w:color="auto"/>
              <w:left w:val="none" w:sz="0" w:space="0" w:color="auto"/>
              <w:bottom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w:t>
            </w:r>
          </w:p>
        </w:tc>
      </w:tr>
      <w:tr w:rsidR="00065C6D" w:rsidRPr="00461E11" w:rsidTr="001C0235">
        <w:tc>
          <w:tcPr>
            <w:cnfStyle w:val="001000000000"/>
            <w:tcW w:w="3403" w:type="dxa"/>
            <w:tcBorders>
              <w:right w:val="none" w:sz="0" w:space="0" w:color="auto"/>
            </w:tcBorders>
          </w:tcPr>
          <w:p w:rsidR="00065C6D" w:rsidRPr="00461E11" w:rsidRDefault="00065C6D" w:rsidP="00E451FD">
            <w:pPr>
              <w:widowControl w:val="0"/>
              <w:spacing w:after="0" w:line="240" w:lineRule="auto"/>
              <w:rPr>
                <w:rFonts w:cs="Arial"/>
                <w:b w:val="0"/>
                <w:color w:val="auto"/>
                <w:sz w:val="20"/>
                <w:szCs w:val="20"/>
              </w:rPr>
            </w:pPr>
            <w:r w:rsidRPr="00461E11">
              <w:rPr>
                <w:rFonts w:cs="Arial"/>
                <w:b w:val="0"/>
                <w:color w:val="auto"/>
                <w:sz w:val="20"/>
                <w:szCs w:val="20"/>
              </w:rPr>
              <w:t>Other Comprehensive Income</w:t>
            </w:r>
          </w:p>
        </w:tc>
        <w:tc>
          <w:tcPr>
            <w:cnfStyle w:val="000010000000"/>
            <w:tcW w:w="1134" w:type="dxa"/>
            <w:tcBorders>
              <w:left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0.2</w:t>
            </w:r>
          </w:p>
        </w:tc>
        <w:tc>
          <w:tcPr>
            <w:tcW w:w="992" w:type="dxa"/>
          </w:tcPr>
          <w:p w:rsidR="00065C6D" w:rsidRPr="001C0235" w:rsidRDefault="00343D9B" w:rsidP="00065C6D">
            <w:pPr>
              <w:widowControl w:val="0"/>
              <w:spacing w:after="0" w:line="240" w:lineRule="auto"/>
              <w:jc w:val="center"/>
              <w:cnfStyle w:val="000000000000"/>
              <w:rPr>
                <w:rFonts w:cs="Arial"/>
                <w:b/>
                <w:color w:val="auto"/>
                <w:sz w:val="20"/>
                <w:szCs w:val="20"/>
              </w:rPr>
            </w:pPr>
            <w:r w:rsidRPr="001C0235">
              <w:rPr>
                <w:rFonts w:cs="Arial"/>
                <w:b/>
                <w:color w:val="auto"/>
                <w:sz w:val="20"/>
                <w:szCs w:val="20"/>
              </w:rPr>
              <w:t>(0.7)</w:t>
            </w:r>
          </w:p>
        </w:tc>
        <w:tc>
          <w:tcPr>
            <w:cnfStyle w:val="000010000000"/>
            <w:tcW w:w="992" w:type="dxa"/>
            <w:tcBorders>
              <w:left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w:t>
            </w:r>
          </w:p>
        </w:tc>
        <w:tc>
          <w:tcPr>
            <w:tcW w:w="992" w:type="dxa"/>
            <w:shd w:val="clear" w:color="auto" w:fill="auto"/>
          </w:tcPr>
          <w:p w:rsidR="00065C6D" w:rsidRPr="001C0235" w:rsidRDefault="001C0235" w:rsidP="00065C6D">
            <w:pPr>
              <w:widowControl w:val="0"/>
              <w:spacing w:after="0" w:line="240" w:lineRule="auto"/>
              <w:jc w:val="center"/>
              <w:cnfStyle w:val="000000000000"/>
              <w:rPr>
                <w:rFonts w:cs="Arial"/>
                <w:b/>
                <w:color w:val="auto"/>
                <w:sz w:val="20"/>
                <w:szCs w:val="20"/>
              </w:rPr>
            </w:pPr>
            <w:r w:rsidRPr="001C0235">
              <w:rPr>
                <w:rFonts w:cs="Arial"/>
                <w:b/>
                <w:color w:val="auto"/>
                <w:sz w:val="20"/>
                <w:szCs w:val="20"/>
              </w:rPr>
              <w:t>0</w:t>
            </w:r>
          </w:p>
        </w:tc>
        <w:tc>
          <w:tcPr>
            <w:cnfStyle w:val="000010000000"/>
            <w:tcW w:w="993" w:type="dxa"/>
            <w:tcBorders>
              <w:left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w:t>
            </w:r>
          </w:p>
        </w:tc>
        <w:tc>
          <w:tcPr>
            <w:cnfStyle w:val="000100000000"/>
            <w:tcW w:w="1275" w:type="dxa"/>
            <w:tcBorders>
              <w:left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w:t>
            </w:r>
          </w:p>
        </w:tc>
      </w:tr>
      <w:tr w:rsidR="00065C6D" w:rsidRPr="00461E11" w:rsidTr="001C0235">
        <w:trPr>
          <w:cnfStyle w:val="000000100000"/>
          <w:trHeight w:val="708"/>
        </w:trPr>
        <w:tc>
          <w:tcPr>
            <w:cnfStyle w:val="001000000000"/>
            <w:tcW w:w="3403" w:type="dxa"/>
            <w:tcBorders>
              <w:top w:val="none" w:sz="0" w:space="0" w:color="auto"/>
              <w:bottom w:val="none" w:sz="0" w:space="0" w:color="auto"/>
              <w:right w:val="none" w:sz="0" w:space="0" w:color="auto"/>
            </w:tcBorders>
          </w:tcPr>
          <w:p w:rsidR="00065C6D" w:rsidRPr="00461E11" w:rsidRDefault="00065C6D" w:rsidP="00E451FD">
            <w:pPr>
              <w:widowControl w:val="0"/>
              <w:spacing w:after="0" w:line="240" w:lineRule="auto"/>
              <w:rPr>
                <w:rFonts w:cs="Arial"/>
                <w:b w:val="0"/>
                <w:color w:val="auto"/>
                <w:sz w:val="20"/>
                <w:szCs w:val="20"/>
              </w:rPr>
            </w:pPr>
            <w:r w:rsidRPr="00461E11">
              <w:rPr>
                <w:rFonts w:cs="Arial"/>
                <w:b w:val="0"/>
                <w:color w:val="auto"/>
                <w:sz w:val="20"/>
                <w:szCs w:val="20"/>
              </w:rPr>
              <w:t>Actuarial (gains)/Losses recognised in the pension scheme</w:t>
            </w:r>
          </w:p>
        </w:tc>
        <w:tc>
          <w:tcPr>
            <w:cnfStyle w:val="000010000000"/>
            <w:tcW w:w="1134"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1.1</w:t>
            </w:r>
          </w:p>
        </w:tc>
        <w:tc>
          <w:tcPr>
            <w:tcW w:w="992" w:type="dxa"/>
            <w:tcBorders>
              <w:top w:val="none" w:sz="0" w:space="0" w:color="auto"/>
              <w:bottom w:val="none" w:sz="0" w:space="0" w:color="auto"/>
            </w:tcBorders>
          </w:tcPr>
          <w:p w:rsidR="00065C6D" w:rsidRPr="001C0235" w:rsidRDefault="00343D9B" w:rsidP="00065C6D">
            <w:pPr>
              <w:widowControl w:val="0"/>
              <w:spacing w:after="0" w:line="240" w:lineRule="auto"/>
              <w:jc w:val="center"/>
              <w:cnfStyle w:val="000000100000"/>
              <w:rPr>
                <w:rFonts w:cs="Arial"/>
                <w:b/>
                <w:color w:val="auto"/>
                <w:sz w:val="20"/>
                <w:szCs w:val="20"/>
              </w:rPr>
            </w:pPr>
            <w:r w:rsidRPr="001C0235">
              <w:rPr>
                <w:rFonts w:cs="Arial"/>
                <w:b/>
                <w:color w:val="auto"/>
                <w:sz w:val="20"/>
                <w:szCs w:val="20"/>
              </w:rPr>
              <w:t>(0.8)</w:t>
            </w:r>
          </w:p>
        </w:tc>
        <w:tc>
          <w:tcPr>
            <w:cnfStyle w:val="000010000000"/>
            <w:tcW w:w="992"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0.2</w:t>
            </w:r>
          </w:p>
        </w:tc>
        <w:tc>
          <w:tcPr>
            <w:tcW w:w="992" w:type="dxa"/>
            <w:tcBorders>
              <w:top w:val="none" w:sz="0" w:space="0" w:color="auto"/>
              <w:bottom w:val="none" w:sz="0" w:space="0" w:color="auto"/>
            </w:tcBorders>
            <w:shd w:val="clear" w:color="auto" w:fill="auto"/>
          </w:tcPr>
          <w:p w:rsidR="00065C6D" w:rsidRPr="001C0235" w:rsidRDefault="001C0235" w:rsidP="00065C6D">
            <w:pPr>
              <w:widowControl w:val="0"/>
              <w:spacing w:after="0" w:line="240" w:lineRule="auto"/>
              <w:jc w:val="center"/>
              <w:cnfStyle w:val="000000100000"/>
              <w:rPr>
                <w:rFonts w:cs="Arial"/>
                <w:b/>
                <w:color w:val="auto"/>
                <w:sz w:val="20"/>
                <w:szCs w:val="20"/>
              </w:rPr>
            </w:pPr>
            <w:r w:rsidRPr="001C0235">
              <w:rPr>
                <w:rFonts w:cs="Arial"/>
                <w:b/>
                <w:color w:val="auto"/>
                <w:sz w:val="20"/>
                <w:szCs w:val="20"/>
              </w:rPr>
              <w:t>(0.1)</w:t>
            </w:r>
          </w:p>
        </w:tc>
        <w:tc>
          <w:tcPr>
            <w:cnfStyle w:val="000010000000"/>
            <w:tcW w:w="993" w:type="dxa"/>
            <w:tcBorders>
              <w:top w:val="none" w:sz="0" w:space="0" w:color="auto"/>
              <w:left w:val="none" w:sz="0" w:space="0" w:color="auto"/>
              <w:bottom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w:t>
            </w:r>
          </w:p>
        </w:tc>
        <w:tc>
          <w:tcPr>
            <w:cnfStyle w:val="000100000000"/>
            <w:tcW w:w="1275" w:type="dxa"/>
            <w:tcBorders>
              <w:top w:val="none" w:sz="0" w:space="0" w:color="auto"/>
              <w:left w:val="none" w:sz="0" w:space="0" w:color="auto"/>
              <w:bottom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w:t>
            </w:r>
          </w:p>
        </w:tc>
      </w:tr>
      <w:tr w:rsidR="00065C6D" w:rsidRPr="00461E11" w:rsidTr="001C0235">
        <w:tc>
          <w:tcPr>
            <w:cnfStyle w:val="001000000000"/>
            <w:tcW w:w="3403" w:type="dxa"/>
            <w:tcBorders>
              <w:right w:val="none" w:sz="0" w:space="0" w:color="auto"/>
            </w:tcBorders>
          </w:tcPr>
          <w:p w:rsidR="00065C6D" w:rsidRPr="00461E11" w:rsidRDefault="00065C6D" w:rsidP="00E451FD">
            <w:pPr>
              <w:widowControl w:val="0"/>
              <w:spacing w:after="0" w:line="240" w:lineRule="auto"/>
              <w:rPr>
                <w:rFonts w:cs="Arial"/>
                <w:b w:val="0"/>
                <w:color w:val="auto"/>
                <w:sz w:val="20"/>
                <w:szCs w:val="20"/>
              </w:rPr>
            </w:pPr>
            <w:r w:rsidRPr="00461E11">
              <w:rPr>
                <w:rFonts w:cs="Arial"/>
                <w:b w:val="0"/>
                <w:color w:val="auto"/>
                <w:sz w:val="20"/>
                <w:szCs w:val="20"/>
              </w:rPr>
              <w:t>Taxation (including deferred)</w:t>
            </w:r>
          </w:p>
        </w:tc>
        <w:tc>
          <w:tcPr>
            <w:cnfStyle w:val="000010000000"/>
            <w:tcW w:w="1134" w:type="dxa"/>
            <w:tcBorders>
              <w:left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w:t>
            </w:r>
          </w:p>
        </w:tc>
        <w:tc>
          <w:tcPr>
            <w:tcW w:w="992" w:type="dxa"/>
          </w:tcPr>
          <w:p w:rsidR="00065C6D" w:rsidRPr="001C0235" w:rsidRDefault="00343D9B" w:rsidP="00065C6D">
            <w:pPr>
              <w:widowControl w:val="0"/>
              <w:spacing w:after="0" w:line="240" w:lineRule="auto"/>
              <w:jc w:val="center"/>
              <w:cnfStyle w:val="000000000000"/>
              <w:rPr>
                <w:rFonts w:cs="Arial"/>
                <w:b/>
                <w:color w:val="auto"/>
                <w:sz w:val="20"/>
                <w:szCs w:val="20"/>
              </w:rPr>
            </w:pPr>
            <w:r w:rsidRPr="001C0235">
              <w:rPr>
                <w:rFonts w:cs="Arial"/>
                <w:b/>
                <w:color w:val="auto"/>
                <w:sz w:val="20"/>
                <w:szCs w:val="20"/>
              </w:rPr>
              <w:t>0</w:t>
            </w:r>
          </w:p>
        </w:tc>
        <w:tc>
          <w:tcPr>
            <w:cnfStyle w:val="000010000000"/>
            <w:tcW w:w="992" w:type="dxa"/>
            <w:tcBorders>
              <w:left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w:t>
            </w:r>
          </w:p>
        </w:tc>
        <w:tc>
          <w:tcPr>
            <w:tcW w:w="992" w:type="dxa"/>
            <w:shd w:val="clear" w:color="auto" w:fill="auto"/>
          </w:tcPr>
          <w:p w:rsidR="00065C6D" w:rsidRPr="001C0235" w:rsidRDefault="001C0235" w:rsidP="00065C6D">
            <w:pPr>
              <w:widowControl w:val="0"/>
              <w:spacing w:after="0" w:line="240" w:lineRule="auto"/>
              <w:jc w:val="center"/>
              <w:cnfStyle w:val="000000000000"/>
              <w:rPr>
                <w:rFonts w:cs="Arial"/>
                <w:b/>
                <w:color w:val="auto"/>
                <w:sz w:val="20"/>
                <w:szCs w:val="20"/>
              </w:rPr>
            </w:pPr>
            <w:r w:rsidRPr="001C0235">
              <w:rPr>
                <w:rFonts w:cs="Arial"/>
                <w:b/>
                <w:color w:val="auto"/>
                <w:sz w:val="20"/>
                <w:szCs w:val="20"/>
              </w:rPr>
              <w:t>0</w:t>
            </w:r>
          </w:p>
        </w:tc>
        <w:tc>
          <w:tcPr>
            <w:cnfStyle w:val="000010000000"/>
            <w:tcW w:w="993" w:type="dxa"/>
            <w:tcBorders>
              <w:left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w:t>
            </w:r>
          </w:p>
        </w:tc>
        <w:tc>
          <w:tcPr>
            <w:cnfStyle w:val="000100000000"/>
            <w:tcW w:w="1275" w:type="dxa"/>
            <w:tcBorders>
              <w:left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w:t>
            </w:r>
          </w:p>
        </w:tc>
      </w:tr>
      <w:tr w:rsidR="00065C6D" w:rsidRPr="00461E11" w:rsidTr="001C0235">
        <w:trPr>
          <w:cnfStyle w:val="000000100000"/>
        </w:trPr>
        <w:tc>
          <w:tcPr>
            <w:cnfStyle w:val="001000000000"/>
            <w:tcW w:w="3403" w:type="dxa"/>
            <w:tcBorders>
              <w:top w:val="none" w:sz="0" w:space="0" w:color="auto"/>
              <w:bottom w:val="none" w:sz="0" w:space="0" w:color="auto"/>
              <w:right w:val="none" w:sz="0" w:space="0" w:color="auto"/>
            </w:tcBorders>
          </w:tcPr>
          <w:p w:rsidR="00065C6D" w:rsidRPr="00461E11" w:rsidRDefault="00065C6D" w:rsidP="00E451FD">
            <w:pPr>
              <w:widowControl w:val="0"/>
              <w:spacing w:after="0" w:line="240" w:lineRule="auto"/>
              <w:rPr>
                <w:rFonts w:cs="Arial"/>
                <w:color w:val="auto"/>
                <w:sz w:val="20"/>
                <w:szCs w:val="20"/>
              </w:rPr>
            </w:pPr>
            <w:r w:rsidRPr="00461E11">
              <w:rPr>
                <w:rFonts w:cs="Arial"/>
                <w:color w:val="auto"/>
                <w:sz w:val="20"/>
                <w:szCs w:val="20"/>
              </w:rPr>
              <w:t>Total (Profit) or loss</w:t>
            </w:r>
          </w:p>
        </w:tc>
        <w:tc>
          <w:tcPr>
            <w:cnfStyle w:val="000010000000"/>
            <w:tcW w:w="1134"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1.5</w:t>
            </w:r>
          </w:p>
        </w:tc>
        <w:tc>
          <w:tcPr>
            <w:tcW w:w="992" w:type="dxa"/>
            <w:tcBorders>
              <w:top w:val="none" w:sz="0" w:space="0" w:color="auto"/>
              <w:bottom w:val="none" w:sz="0" w:space="0" w:color="auto"/>
            </w:tcBorders>
          </w:tcPr>
          <w:p w:rsidR="00065C6D" w:rsidRPr="001C0235" w:rsidRDefault="00343D9B" w:rsidP="00065C6D">
            <w:pPr>
              <w:widowControl w:val="0"/>
              <w:spacing w:after="0" w:line="240" w:lineRule="auto"/>
              <w:jc w:val="center"/>
              <w:cnfStyle w:val="000000100000"/>
              <w:rPr>
                <w:rFonts w:cs="Arial"/>
                <w:b/>
                <w:color w:val="auto"/>
                <w:sz w:val="20"/>
                <w:szCs w:val="20"/>
              </w:rPr>
            </w:pPr>
            <w:r w:rsidRPr="001C0235">
              <w:rPr>
                <w:rFonts w:cs="Arial"/>
                <w:b/>
                <w:color w:val="auto"/>
                <w:sz w:val="20"/>
                <w:szCs w:val="20"/>
              </w:rPr>
              <w:t>1.2</w:t>
            </w:r>
          </w:p>
        </w:tc>
        <w:tc>
          <w:tcPr>
            <w:cnfStyle w:val="000010000000"/>
            <w:tcW w:w="992"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0.2</w:t>
            </w:r>
          </w:p>
        </w:tc>
        <w:tc>
          <w:tcPr>
            <w:tcW w:w="992" w:type="dxa"/>
            <w:tcBorders>
              <w:top w:val="none" w:sz="0" w:space="0" w:color="auto"/>
              <w:bottom w:val="none" w:sz="0" w:space="0" w:color="auto"/>
            </w:tcBorders>
            <w:shd w:val="clear" w:color="auto" w:fill="auto"/>
          </w:tcPr>
          <w:p w:rsidR="00065C6D" w:rsidRPr="001C0235" w:rsidRDefault="001C0235" w:rsidP="00065C6D">
            <w:pPr>
              <w:widowControl w:val="0"/>
              <w:spacing w:after="0" w:line="240" w:lineRule="auto"/>
              <w:jc w:val="center"/>
              <w:cnfStyle w:val="000000100000"/>
              <w:rPr>
                <w:rFonts w:cs="Arial"/>
                <w:b/>
                <w:color w:val="auto"/>
                <w:sz w:val="20"/>
                <w:szCs w:val="20"/>
              </w:rPr>
            </w:pPr>
            <w:r w:rsidRPr="001C0235">
              <w:rPr>
                <w:rFonts w:cs="Arial"/>
                <w:b/>
                <w:color w:val="auto"/>
                <w:sz w:val="20"/>
                <w:szCs w:val="20"/>
              </w:rPr>
              <w:t>(0.1)</w:t>
            </w:r>
          </w:p>
        </w:tc>
        <w:tc>
          <w:tcPr>
            <w:cnfStyle w:val="000010000000"/>
            <w:tcW w:w="993" w:type="dxa"/>
            <w:tcBorders>
              <w:top w:val="none" w:sz="0" w:space="0" w:color="auto"/>
              <w:left w:val="none" w:sz="0" w:space="0" w:color="auto"/>
              <w:bottom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w:t>
            </w:r>
          </w:p>
        </w:tc>
        <w:tc>
          <w:tcPr>
            <w:cnfStyle w:val="000100000000"/>
            <w:tcW w:w="1275" w:type="dxa"/>
            <w:tcBorders>
              <w:top w:val="none" w:sz="0" w:space="0" w:color="auto"/>
              <w:left w:val="none" w:sz="0" w:space="0" w:color="auto"/>
              <w:bottom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w:t>
            </w:r>
          </w:p>
        </w:tc>
      </w:tr>
      <w:tr w:rsidR="00065C6D" w:rsidRPr="00461E11" w:rsidTr="001C0235">
        <w:tc>
          <w:tcPr>
            <w:cnfStyle w:val="001000000000"/>
            <w:tcW w:w="3403" w:type="dxa"/>
            <w:tcBorders>
              <w:right w:val="none" w:sz="0" w:space="0" w:color="auto"/>
            </w:tcBorders>
          </w:tcPr>
          <w:p w:rsidR="00065C6D" w:rsidRPr="00461E11" w:rsidRDefault="00065C6D" w:rsidP="00E451FD">
            <w:pPr>
              <w:widowControl w:val="0"/>
              <w:spacing w:after="0" w:line="240" w:lineRule="auto"/>
              <w:rPr>
                <w:rFonts w:cs="Arial"/>
                <w:color w:val="auto"/>
                <w:sz w:val="20"/>
                <w:szCs w:val="20"/>
              </w:rPr>
            </w:pPr>
            <w:r w:rsidRPr="00461E11">
              <w:rPr>
                <w:rFonts w:cs="Arial"/>
                <w:color w:val="auto"/>
                <w:sz w:val="20"/>
                <w:szCs w:val="20"/>
              </w:rPr>
              <w:t>Assets</w:t>
            </w:r>
          </w:p>
        </w:tc>
        <w:tc>
          <w:tcPr>
            <w:cnfStyle w:val="000010000000"/>
            <w:tcW w:w="1134" w:type="dxa"/>
            <w:tcBorders>
              <w:left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5.8</w:t>
            </w:r>
          </w:p>
        </w:tc>
        <w:tc>
          <w:tcPr>
            <w:tcW w:w="992" w:type="dxa"/>
          </w:tcPr>
          <w:p w:rsidR="00065C6D" w:rsidRPr="001C0235" w:rsidRDefault="00343D9B" w:rsidP="00065C6D">
            <w:pPr>
              <w:widowControl w:val="0"/>
              <w:spacing w:after="0" w:line="240" w:lineRule="auto"/>
              <w:jc w:val="center"/>
              <w:cnfStyle w:val="000000000000"/>
              <w:rPr>
                <w:rFonts w:cs="Arial"/>
                <w:b/>
                <w:color w:val="auto"/>
                <w:sz w:val="20"/>
                <w:szCs w:val="20"/>
              </w:rPr>
            </w:pPr>
            <w:r w:rsidRPr="001C0235">
              <w:rPr>
                <w:rFonts w:cs="Arial"/>
                <w:b/>
                <w:color w:val="auto"/>
                <w:sz w:val="20"/>
                <w:szCs w:val="20"/>
              </w:rPr>
              <w:t>7.6</w:t>
            </w:r>
          </w:p>
        </w:tc>
        <w:tc>
          <w:tcPr>
            <w:cnfStyle w:val="000010000000"/>
            <w:tcW w:w="992" w:type="dxa"/>
            <w:tcBorders>
              <w:left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w:t>
            </w:r>
          </w:p>
        </w:tc>
        <w:tc>
          <w:tcPr>
            <w:tcW w:w="992" w:type="dxa"/>
            <w:shd w:val="clear" w:color="auto" w:fill="auto"/>
          </w:tcPr>
          <w:p w:rsidR="00065C6D" w:rsidRPr="001C0235" w:rsidRDefault="001C0235" w:rsidP="00065C6D">
            <w:pPr>
              <w:widowControl w:val="0"/>
              <w:spacing w:after="0" w:line="240" w:lineRule="auto"/>
              <w:jc w:val="center"/>
              <w:cnfStyle w:val="000000000000"/>
              <w:rPr>
                <w:rFonts w:cs="Arial"/>
                <w:b/>
                <w:color w:val="auto"/>
                <w:sz w:val="20"/>
                <w:szCs w:val="20"/>
              </w:rPr>
            </w:pPr>
            <w:r w:rsidRPr="001C0235">
              <w:rPr>
                <w:rFonts w:cs="Arial"/>
                <w:b/>
                <w:color w:val="auto"/>
                <w:sz w:val="20"/>
                <w:szCs w:val="20"/>
              </w:rPr>
              <w:t>0</w:t>
            </w:r>
          </w:p>
        </w:tc>
        <w:tc>
          <w:tcPr>
            <w:cnfStyle w:val="000010000000"/>
            <w:tcW w:w="993" w:type="dxa"/>
            <w:tcBorders>
              <w:left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w:t>
            </w:r>
          </w:p>
        </w:tc>
        <w:tc>
          <w:tcPr>
            <w:cnfStyle w:val="000100000000"/>
            <w:tcW w:w="1275" w:type="dxa"/>
            <w:tcBorders>
              <w:left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w:t>
            </w:r>
          </w:p>
        </w:tc>
      </w:tr>
      <w:tr w:rsidR="00065C6D" w:rsidRPr="00461E11" w:rsidTr="001C0235">
        <w:trPr>
          <w:cnfStyle w:val="000000100000"/>
        </w:trPr>
        <w:tc>
          <w:tcPr>
            <w:cnfStyle w:val="001000000000"/>
            <w:tcW w:w="3403" w:type="dxa"/>
            <w:tcBorders>
              <w:top w:val="none" w:sz="0" w:space="0" w:color="auto"/>
              <w:bottom w:val="none" w:sz="0" w:space="0" w:color="auto"/>
              <w:right w:val="none" w:sz="0" w:space="0" w:color="auto"/>
            </w:tcBorders>
          </w:tcPr>
          <w:p w:rsidR="00065C6D" w:rsidRPr="00461E11" w:rsidRDefault="00065C6D" w:rsidP="00E451FD">
            <w:pPr>
              <w:widowControl w:val="0"/>
              <w:spacing w:after="0" w:line="240" w:lineRule="auto"/>
              <w:rPr>
                <w:rFonts w:cs="Arial"/>
                <w:color w:val="auto"/>
                <w:sz w:val="20"/>
                <w:szCs w:val="20"/>
              </w:rPr>
            </w:pPr>
            <w:r w:rsidRPr="00461E11">
              <w:rPr>
                <w:rFonts w:cs="Arial"/>
                <w:color w:val="auto"/>
                <w:sz w:val="20"/>
                <w:szCs w:val="20"/>
              </w:rPr>
              <w:t>Liabilities</w:t>
            </w:r>
          </w:p>
        </w:tc>
        <w:tc>
          <w:tcPr>
            <w:cnfStyle w:val="000010000000"/>
            <w:tcW w:w="1134"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(4.7)</w:t>
            </w:r>
          </w:p>
        </w:tc>
        <w:tc>
          <w:tcPr>
            <w:tcW w:w="992" w:type="dxa"/>
            <w:tcBorders>
              <w:top w:val="none" w:sz="0" w:space="0" w:color="auto"/>
              <w:bottom w:val="none" w:sz="0" w:space="0" w:color="auto"/>
            </w:tcBorders>
          </w:tcPr>
          <w:p w:rsidR="00065C6D" w:rsidRPr="001C0235" w:rsidRDefault="00343D9B" w:rsidP="00065C6D">
            <w:pPr>
              <w:widowControl w:val="0"/>
              <w:spacing w:after="0" w:line="240" w:lineRule="auto"/>
              <w:jc w:val="center"/>
              <w:cnfStyle w:val="000000100000"/>
              <w:rPr>
                <w:rFonts w:cs="Arial"/>
                <w:b/>
                <w:color w:val="auto"/>
                <w:sz w:val="20"/>
                <w:szCs w:val="20"/>
              </w:rPr>
            </w:pPr>
            <w:r w:rsidRPr="001C0235">
              <w:rPr>
                <w:rFonts w:cs="Arial"/>
                <w:b/>
                <w:color w:val="auto"/>
                <w:sz w:val="20"/>
                <w:szCs w:val="20"/>
              </w:rPr>
              <w:t>(5.3)</w:t>
            </w:r>
          </w:p>
        </w:tc>
        <w:tc>
          <w:tcPr>
            <w:cnfStyle w:val="000010000000"/>
            <w:tcW w:w="992" w:type="dxa"/>
            <w:tcBorders>
              <w:top w:val="none" w:sz="0" w:space="0" w:color="auto"/>
              <w:left w:val="none" w:sz="0" w:space="0" w:color="auto"/>
              <w:bottom w:val="none" w:sz="0" w:space="0" w:color="auto"/>
              <w:right w:val="none" w:sz="0" w:space="0" w:color="auto"/>
            </w:tcBorders>
          </w:tcPr>
          <w:p w:rsidR="00065C6D" w:rsidRPr="001C0235" w:rsidRDefault="00065C6D" w:rsidP="00065C6D">
            <w:pPr>
              <w:widowControl w:val="0"/>
              <w:spacing w:after="0" w:line="240" w:lineRule="auto"/>
              <w:jc w:val="center"/>
              <w:rPr>
                <w:rFonts w:cs="Arial"/>
                <w:color w:val="auto"/>
                <w:sz w:val="20"/>
                <w:szCs w:val="20"/>
              </w:rPr>
            </w:pPr>
            <w:r w:rsidRPr="001C0235">
              <w:rPr>
                <w:rFonts w:cs="Arial"/>
                <w:color w:val="auto"/>
                <w:sz w:val="20"/>
                <w:szCs w:val="20"/>
              </w:rPr>
              <w:t>(0.3)</w:t>
            </w:r>
          </w:p>
        </w:tc>
        <w:tc>
          <w:tcPr>
            <w:tcW w:w="992" w:type="dxa"/>
            <w:tcBorders>
              <w:top w:val="none" w:sz="0" w:space="0" w:color="auto"/>
              <w:bottom w:val="none" w:sz="0" w:space="0" w:color="auto"/>
            </w:tcBorders>
            <w:shd w:val="clear" w:color="auto" w:fill="auto"/>
          </w:tcPr>
          <w:p w:rsidR="00065C6D" w:rsidRPr="001C0235" w:rsidRDefault="001C0235" w:rsidP="00065C6D">
            <w:pPr>
              <w:widowControl w:val="0"/>
              <w:spacing w:after="0" w:line="240" w:lineRule="auto"/>
              <w:jc w:val="center"/>
              <w:cnfStyle w:val="000000100000"/>
              <w:rPr>
                <w:rFonts w:cs="Arial"/>
                <w:b/>
                <w:color w:val="auto"/>
                <w:sz w:val="20"/>
                <w:szCs w:val="20"/>
              </w:rPr>
            </w:pPr>
            <w:r w:rsidRPr="001C0235">
              <w:rPr>
                <w:rFonts w:cs="Arial"/>
                <w:b/>
                <w:color w:val="auto"/>
                <w:sz w:val="20"/>
                <w:szCs w:val="20"/>
              </w:rPr>
              <w:t>(0.2)</w:t>
            </w:r>
          </w:p>
        </w:tc>
        <w:tc>
          <w:tcPr>
            <w:cnfStyle w:val="000010000000"/>
            <w:tcW w:w="993" w:type="dxa"/>
            <w:tcBorders>
              <w:top w:val="none" w:sz="0" w:space="0" w:color="auto"/>
              <w:left w:val="none" w:sz="0" w:space="0" w:color="auto"/>
              <w:bottom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w:t>
            </w:r>
          </w:p>
        </w:tc>
        <w:tc>
          <w:tcPr>
            <w:cnfStyle w:val="000100000000"/>
            <w:tcW w:w="1275" w:type="dxa"/>
            <w:tcBorders>
              <w:top w:val="none" w:sz="0" w:space="0" w:color="auto"/>
              <w:left w:val="none" w:sz="0" w:space="0" w:color="auto"/>
              <w:bottom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w:t>
            </w:r>
          </w:p>
        </w:tc>
      </w:tr>
      <w:tr w:rsidR="00065C6D" w:rsidRPr="00461E11" w:rsidTr="001C0235">
        <w:trPr>
          <w:cnfStyle w:val="010000000000"/>
        </w:trPr>
        <w:tc>
          <w:tcPr>
            <w:cnfStyle w:val="001000000001"/>
            <w:tcW w:w="3403" w:type="dxa"/>
            <w:tcBorders>
              <w:top w:val="none" w:sz="0" w:space="0" w:color="auto"/>
              <w:right w:val="none" w:sz="0" w:space="0" w:color="auto"/>
            </w:tcBorders>
          </w:tcPr>
          <w:p w:rsidR="00065C6D" w:rsidRPr="00461E11" w:rsidRDefault="00065C6D" w:rsidP="00E451FD">
            <w:pPr>
              <w:widowControl w:val="0"/>
              <w:spacing w:after="0" w:line="240" w:lineRule="auto"/>
              <w:rPr>
                <w:rFonts w:cs="Arial"/>
                <w:color w:val="auto"/>
                <w:sz w:val="20"/>
                <w:szCs w:val="20"/>
              </w:rPr>
            </w:pPr>
            <w:r w:rsidRPr="00461E11">
              <w:rPr>
                <w:rFonts w:cs="Arial"/>
                <w:color w:val="auto"/>
                <w:sz w:val="20"/>
                <w:szCs w:val="20"/>
              </w:rPr>
              <w:t>Total Net Assets</w:t>
            </w:r>
          </w:p>
        </w:tc>
        <w:tc>
          <w:tcPr>
            <w:cnfStyle w:val="000010000000"/>
            <w:tcW w:w="1134" w:type="dxa"/>
            <w:tcBorders>
              <w:top w:val="none" w:sz="0" w:space="0" w:color="auto"/>
              <w:left w:val="none" w:sz="0" w:space="0" w:color="auto"/>
              <w:right w:val="none" w:sz="0" w:space="0" w:color="auto"/>
            </w:tcBorders>
          </w:tcPr>
          <w:p w:rsidR="00065C6D" w:rsidRPr="001C0235" w:rsidRDefault="00065C6D" w:rsidP="00065C6D">
            <w:pPr>
              <w:widowControl w:val="0"/>
              <w:spacing w:after="0" w:line="240" w:lineRule="auto"/>
              <w:jc w:val="center"/>
              <w:rPr>
                <w:rFonts w:cs="Arial"/>
                <w:b w:val="0"/>
                <w:color w:val="auto"/>
                <w:sz w:val="20"/>
                <w:szCs w:val="20"/>
              </w:rPr>
            </w:pPr>
            <w:r w:rsidRPr="001C0235">
              <w:rPr>
                <w:rFonts w:cs="Arial"/>
                <w:b w:val="0"/>
                <w:color w:val="auto"/>
                <w:sz w:val="20"/>
                <w:szCs w:val="20"/>
              </w:rPr>
              <w:t>1.1</w:t>
            </w:r>
          </w:p>
        </w:tc>
        <w:tc>
          <w:tcPr>
            <w:tcW w:w="992" w:type="dxa"/>
            <w:tcBorders>
              <w:top w:val="none" w:sz="0" w:space="0" w:color="auto"/>
            </w:tcBorders>
          </w:tcPr>
          <w:p w:rsidR="00065C6D" w:rsidRPr="001C0235" w:rsidRDefault="00343D9B" w:rsidP="00065C6D">
            <w:pPr>
              <w:widowControl w:val="0"/>
              <w:spacing w:after="0" w:line="240" w:lineRule="auto"/>
              <w:jc w:val="center"/>
              <w:cnfStyle w:val="010000000000"/>
              <w:rPr>
                <w:rFonts w:cs="Arial"/>
                <w:color w:val="auto"/>
                <w:sz w:val="20"/>
                <w:szCs w:val="20"/>
              </w:rPr>
            </w:pPr>
            <w:r w:rsidRPr="001C0235">
              <w:rPr>
                <w:rFonts w:cs="Arial"/>
                <w:color w:val="auto"/>
                <w:sz w:val="20"/>
                <w:szCs w:val="20"/>
              </w:rPr>
              <w:t>2.3</w:t>
            </w:r>
          </w:p>
        </w:tc>
        <w:tc>
          <w:tcPr>
            <w:cnfStyle w:val="000010000000"/>
            <w:tcW w:w="992" w:type="dxa"/>
            <w:tcBorders>
              <w:top w:val="none" w:sz="0" w:space="0" w:color="auto"/>
              <w:left w:val="none" w:sz="0" w:space="0" w:color="auto"/>
              <w:right w:val="none" w:sz="0" w:space="0" w:color="auto"/>
            </w:tcBorders>
          </w:tcPr>
          <w:p w:rsidR="00065C6D" w:rsidRPr="001C0235" w:rsidRDefault="00065C6D" w:rsidP="00065C6D">
            <w:pPr>
              <w:widowControl w:val="0"/>
              <w:spacing w:after="0" w:line="240" w:lineRule="auto"/>
              <w:jc w:val="center"/>
              <w:rPr>
                <w:rFonts w:cs="Arial"/>
                <w:b w:val="0"/>
                <w:color w:val="auto"/>
                <w:sz w:val="20"/>
                <w:szCs w:val="20"/>
              </w:rPr>
            </w:pPr>
            <w:r w:rsidRPr="001C0235">
              <w:rPr>
                <w:rFonts w:cs="Arial"/>
                <w:b w:val="0"/>
                <w:color w:val="auto"/>
                <w:sz w:val="20"/>
                <w:szCs w:val="20"/>
              </w:rPr>
              <w:t>(0.3)</w:t>
            </w:r>
          </w:p>
        </w:tc>
        <w:tc>
          <w:tcPr>
            <w:tcW w:w="992" w:type="dxa"/>
            <w:tcBorders>
              <w:top w:val="none" w:sz="0" w:space="0" w:color="auto"/>
            </w:tcBorders>
            <w:shd w:val="clear" w:color="auto" w:fill="auto"/>
          </w:tcPr>
          <w:p w:rsidR="00065C6D" w:rsidRPr="001C0235" w:rsidRDefault="001C0235" w:rsidP="00065C6D">
            <w:pPr>
              <w:widowControl w:val="0"/>
              <w:spacing w:after="0" w:line="240" w:lineRule="auto"/>
              <w:jc w:val="center"/>
              <w:cnfStyle w:val="010000000000"/>
              <w:rPr>
                <w:rFonts w:cs="Arial"/>
                <w:color w:val="auto"/>
                <w:sz w:val="20"/>
                <w:szCs w:val="20"/>
              </w:rPr>
            </w:pPr>
            <w:r w:rsidRPr="001C0235">
              <w:rPr>
                <w:rFonts w:cs="Arial"/>
                <w:color w:val="auto"/>
                <w:sz w:val="20"/>
                <w:szCs w:val="20"/>
              </w:rPr>
              <w:t>(0.2)</w:t>
            </w:r>
          </w:p>
        </w:tc>
        <w:tc>
          <w:tcPr>
            <w:cnfStyle w:val="000010000000"/>
            <w:tcW w:w="993" w:type="dxa"/>
            <w:tcBorders>
              <w:top w:val="none" w:sz="0" w:space="0" w:color="auto"/>
              <w:left w:val="none" w:sz="0" w:space="0" w:color="auto"/>
              <w:right w:val="none" w:sz="0" w:space="0" w:color="auto"/>
            </w:tcBorders>
          </w:tcPr>
          <w:p w:rsidR="00065C6D" w:rsidRPr="00461E11" w:rsidRDefault="00065C6D" w:rsidP="00065C6D">
            <w:pPr>
              <w:widowControl w:val="0"/>
              <w:spacing w:after="0" w:line="240" w:lineRule="auto"/>
              <w:jc w:val="center"/>
              <w:rPr>
                <w:rFonts w:cs="Arial"/>
                <w:color w:val="auto"/>
                <w:sz w:val="20"/>
                <w:szCs w:val="20"/>
              </w:rPr>
            </w:pPr>
            <w:r w:rsidRPr="00461E11">
              <w:rPr>
                <w:rFonts w:cs="Arial"/>
                <w:color w:val="auto"/>
                <w:sz w:val="20"/>
                <w:szCs w:val="20"/>
              </w:rPr>
              <w:t>0</w:t>
            </w:r>
          </w:p>
        </w:tc>
        <w:tc>
          <w:tcPr>
            <w:cnfStyle w:val="000100000010"/>
            <w:tcW w:w="1275" w:type="dxa"/>
            <w:tcBorders>
              <w:top w:val="none" w:sz="0" w:space="0" w:color="auto"/>
              <w:left w:val="none" w:sz="0" w:space="0" w:color="auto"/>
            </w:tcBorders>
          </w:tcPr>
          <w:p w:rsidR="00065C6D" w:rsidRPr="00461E11" w:rsidRDefault="003B7A8A" w:rsidP="00E451FD">
            <w:pPr>
              <w:widowControl w:val="0"/>
              <w:spacing w:after="0" w:line="240" w:lineRule="auto"/>
              <w:jc w:val="center"/>
              <w:rPr>
                <w:rFonts w:cs="Arial"/>
                <w:color w:val="auto"/>
                <w:sz w:val="20"/>
                <w:szCs w:val="20"/>
              </w:rPr>
            </w:pPr>
            <w:r>
              <w:rPr>
                <w:rFonts w:cs="Arial"/>
                <w:color w:val="auto"/>
                <w:sz w:val="20"/>
                <w:szCs w:val="20"/>
              </w:rPr>
              <w:t>0</w:t>
            </w:r>
          </w:p>
        </w:tc>
      </w:tr>
    </w:tbl>
    <w:p w:rsidR="0009755C" w:rsidRPr="009D5F43" w:rsidRDefault="0009755C" w:rsidP="00546B1B">
      <w:pPr>
        <w:pStyle w:val="ExampleSub"/>
        <w:keepNext w:val="0"/>
        <w:keepLines w:val="0"/>
        <w:ind w:left="0" w:firstLine="567"/>
        <w:outlineLvl w:val="0"/>
        <w:rPr>
          <w:rFonts w:ascii="Arial" w:hAnsi="Arial" w:cs="Times New Roman"/>
          <w:bCs w:val="0"/>
          <w:color w:val="auto"/>
          <w:sz w:val="21"/>
          <w:szCs w:val="21"/>
          <w:lang w:eastAsia="en-US"/>
        </w:rPr>
      </w:pPr>
      <w:r w:rsidRPr="009D5F43">
        <w:rPr>
          <w:rFonts w:ascii="Arial" w:hAnsi="Arial" w:cs="Times New Roman"/>
          <w:bCs w:val="0"/>
          <w:color w:val="auto"/>
          <w:sz w:val="21"/>
          <w:szCs w:val="21"/>
          <w:lang w:eastAsia="en-US"/>
        </w:rPr>
        <w:t>Summary financial information of Associate Companies</w:t>
      </w:r>
    </w:p>
    <w:p w:rsidR="0009755C" w:rsidRPr="009D5F43" w:rsidRDefault="0009755C" w:rsidP="0009755C">
      <w:pPr>
        <w:pStyle w:val="ExampleSub"/>
        <w:keepNext w:val="0"/>
        <w:keepLines w:val="0"/>
        <w:outlineLvl w:val="0"/>
        <w:rPr>
          <w:rFonts w:ascii="Arial" w:hAnsi="Arial" w:cs="Arial"/>
          <w:b w:val="0"/>
          <w:color w:val="auto"/>
          <w:sz w:val="20"/>
          <w:szCs w:val="20"/>
        </w:rPr>
      </w:pPr>
      <w:r w:rsidRPr="009D5F43">
        <w:rPr>
          <w:rFonts w:ascii="Arial" w:hAnsi="Arial" w:cs="Arial"/>
          <w:b w:val="0"/>
          <w:color w:val="auto"/>
          <w:sz w:val="20"/>
          <w:szCs w:val="20"/>
        </w:rPr>
        <w:t xml:space="preserve">This table lists summary information about the Council’s interest in associate companies and its relationship with them in terms of ownership and trading. </w:t>
      </w:r>
    </w:p>
    <w:p w:rsidR="0009755C" w:rsidRPr="009D5F43" w:rsidRDefault="0009755C" w:rsidP="0009755C">
      <w:pPr>
        <w:pStyle w:val="ExampleSub"/>
        <w:keepNext w:val="0"/>
        <w:keepLines w:val="0"/>
        <w:outlineLvl w:val="0"/>
        <w:rPr>
          <w:rFonts w:ascii="Arial" w:hAnsi="Arial" w:cs="Arial"/>
          <w:b w:val="0"/>
          <w:color w:val="auto"/>
          <w:sz w:val="20"/>
          <w:szCs w:val="20"/>
        </w:rPr>
      </w:pPr>
    </w:p>
    <w:tbl>
      <w:tblPr>
        <w:tblStyle w:val="ListTable3-Accent51"/>
        <w:tblW w:w="9853" w:type="dxa"/>
        <w:tblBorders>
          <w:insideH w:val="single" w:sz="4" w:space="0" w:color="4BACC6" w:themeColor="accent5"/>
          <w:insideV w:val="single" w:sz="4" w:space="0" w:color="4BACC6" w:themeColor="accent5"/>
        </w:tblBorders>
        <w:tblLayout w:type="fixed"/>
        <w:tblLook w:val="01E0"/>
      </w:tblPr>
      <w:tblGrid>
        <w:gridCol w:w="3369"/>
        <w:gridCol w:w="850"/>
        <w:gridCol w:w="1134"/>
        <w:gridCol w:w="1134"/>
        <w:gridCol w:w="1134"/>
        <w:gridCol w:w="992"/>
        <w:gridCol w:w="1240"/>
      </w:tblGrid>
      <w:tr w:rsidR="0009755C" w:rsidRPr="00461E11" w:rsidTr="00675CF1">
        <w:trPr>
          <w:cnfStyle w:val="100000000000"/>
          <w:tblHeader/>
        </w:trPr>
        <w:tc>
          <w:tcPr>
            <w:cnfStyle w:val="001000000100"/>
            <w:tcW w:w="3369" w:type="dxa"/>
            <w:tcBorders>
              <w:bottom w:val="none" w:sz="0" w:space="0" w:color="auto"/>
              <w:right w:val="none" w:sz="0" w:space="0" w:color="auto"/>
            </w:tcBorders>
          </w:tcPr>
          <w:p w:rsidR="0009755C" w:rsidRPr="00461E11" w:rsidRDefault="0009755C" w:rsidP="00E451FD">
            <w:pPr>
              <w:widowControl w:val="0"/>
              <w:spacing w:after="0"/>
              <w:rPr>
                <w:rFonts w:cs="Arial"/>
                <w:color w:val="auto"/>
                <w:sz w:val="20"/>
                <w:szCs w:val="20"/>
              </w:rPr>
            </w:pPr>
          </w:p>
        </w:tc>
        <w:tc>
          <w:tcPr>
            <w:cnfStyle w:val="000010000000"/>
            <w:tcW w:w="1984" w:type="dxa"/>
            <w:gridSpan w:val="2"/>
            <w:tcBorders>
              <w:left w:val="none" w:sz="0" w:space="0" w:color="auto"/>
              <w:right w:val="none" w:sz="0" w:space="0" w:color="auto"/>
            </w:tcBorders>
          </w:tcPr>
          <w:p w:rsidR="0009755C" w:rsidRPr="00461E11" w:rsidRDefault="0009755C" w:rsidP="00E451FD">
            <w:pPr>
              <w:widowControl w:val="0"/>
              <w:spacing w:after="0"/>
              <w:jc w:val="center"/>
              <w:rPr>
                <w:rFonts w:cs="Arial"/>
                <w:color w:val="auto"/>
                <w:sz w:val="20"/>
                <w:szCs w:val="20"/>
              </w:rPr>
            </w:pPr>
            <w:r w:rsidRPr="00461E11">
              <w:rPr>
                <w:rFonts w:cs="Arial"/>
                <w:color w:val="auto"/>
                <w:sz w:val="20"/>
                <w:szCs w:val="20"/>
              </w:rPr>
              <w:t>TOR2 Ltd</w:t>
            </w:r>
            <w:r w:rsidR="00897B92" w:rsidRPr="00461E11">
              <w:rPr>
                <w:rFonts w:cs="Arial"/>
                <w:color w:val="auto"/>
                <w:sz w:val="20"/>
                <w:szCs w:val="20"/>
              </w:rPr>
              <w:t xml:space="preserve"> </w:t>
            </w:r>
            <w:r w:rsidR="00FA4752">
              <w:rPr>
                <w:rFonts w:cs="Arial"/>
                <w:color w:val="auto"/>
                <w:sz w:val="20"/>
                <w:szCs w:val="20"/>
              </w:rPr>
              <w:t>*</w:t>
            </w:r>
          </w:p>
        </w:tc>
        <w:tc>
          <w:tcPr>
            <w:tcW w:w="2268" w:type="dxa"/>
            <w:gridSpan w:val="2"/>
          </w:tcPr>
          <w:p w:rsidR="00A53095" w:rsidRPr="00461E11" w:rsidRDefault="006B046C" w:rsidP="00E451FD">
            <w:pPr>
              <w:widowControl w:val="0"/>
              <w:spacing w:after="0"/>
              <w:jc w:val="center"/>
              <w:cnfStyle w:val="100000000000"/>
              <w:rPr>
                <w:rFonts w:cs="Arial"/>
                <w:color w:val="auto"/>
                <w:sz w:val="20"/>
                <w:szCs w:val="20"/>
              </w:rPr>
            </w:pPr>
            <w:r>
              <w:rPr>
                <w:rFonts w:cs="Arial"/>
                <w:color w:val="auto"/>
                <w:sz w:val="20"/>
                <w:szCs w:val="20"/>
              </w:rPr>
              <w:t xml:space="preserve">CSW Group Ltd </w:t>
            </w:r>
            <w:r w:rsidRPr="006B046C">
              <w:rPr>
                <w:rFonts w:cs="Arial"/>
                <w:color w:val="auto"/>
                <w:sz w:val="18"/>
                <w:szCs w:val="18"/>
              </w:rPr>
              <w:t xml:space="preserve">(formally </w:t>
            </w:r>
            <w:r w:rsidR="0009755C" w:rsidRPr="006B046C">
              <w:rPr>
                <w:rFonts w:cs="Arial"/>
                <w:color w:val="auto"/>
                <w:sz w:val="18"/>
                <w:szCs w:val="18"/>
              </w:rPr>
              <w:t>Careers South West Ltd</w:t>
            </w:r>
            <w:r w:rsidRPr="006B046C">
              <w:rPr>
                <w:rFonts w:cs="Arial"/>
                <w:color w:val="auto"/>
                <w:sz w:val="18"/>
                <w:szCs w:val="18"/>
              </w:rPr>
              <w:t>)</w:t>
            </w:r>
          </w:p>
        </w:tc>
        <w:tc>
          <w:tcPr>
            <w:cnfStyle w:val="000100001000"/>
            <w:tcW w:w="2232" w:type="dxa"/>
            <w:gridSpan w:val="2"/>
            <w:tcBorders>
              <w:left w:val="none" w:sz="0" w:space="0" w:color="auto"/>
              <w:bottom w:val="none" w:sz="0" w:space="0" w:color="auto"/>
            </w:tcBorders>
          </w:tcPr>
          <w:p w:rsidR="0009755C" w:rsidRPr="00461E11" w:rsidRDefault="0009755C" w:rsidP="00E451FD">
            <w:pPr>
              <w:widowControl w:val="0"/>
              <w:spacing w:after="0"/>
              <w:jc w:val="center"/>
              <w:rPr>
                <w:rFonts w:cs="Arial"/>
                <w:color w:val="auto"/>
                <w:sz w:val="20"/>
                <w:szCs w:val="20"/>
              </w:rPr>
            </w:pPr>
            <w:r w:rsidRPr="00461E11">
              <w:rPr>
                <w:rFonts w:cs="Arial"/>
                <w:color w:val="auto"/>
                <w:sz w:val="20"/>
                <w:szCs w:val="20"/>
              </w:rPr>
              <w:t>The PLUSS Organisation Ltd</w:t>
            </w:r>
            <w:r w:rsidR="00F27A0D" w:rsidRPr="00461E11">
              <w:rPr>
                <w:rFonts w:cs="Arial"/>
                <w:color w:val="auto"/>
                <w:sz w:val="20"/>
                <w:szCs w:val="20"/>
              </w:rPr>
              <w:t xml:space="preserve"> </w:t>
            </w:r>
          </w:p>
        </w:tc>
      </w:tr>
      <w:tr w:rsidR="0009755C" w:rsidRPr="00461E11" w:rsidTr="00E5683F">
        <w:trPr>
          <w:cnfStyle w:val="000000100000"/>
        </w:trPr>
        <w:tc>
          <w:tcPr>
            <w:cnfStyle w:val="001000000000"/>
            <w:tcW w:w="3369" w:type="dxa"/>
            <w:tcBorders>
              <w:top w:val="none" w:sz="0" w:space="0" w:color="auto"/>
              <w:bottom w:val="none" w:sz="0" w:space="0" w:color="auto"/>
              <w:right w:val="none" w:sz="0" w:space="0" w:color="auto"/>
            </w:tcBorders>
            <w:shd w:val="clear" w:color="auto" w:fill="4BACC6" w:themeFill="accent5"/>
          </w:tcPr>
          <w:p w:rsidR="0009755C" w:rsidRPr="00461E11" w:rsidRDefault="0009755C" w:rsidP="00E451FD">
            <w:pPr>
              <w:widowControl w:val="0"/>
              <w:spacing w:after="0"/>
              <w:rPr>
                <w:rFonts w:cs="Arial"/>
                <w:color w:val="auto"/>
                <w:sz w:val="20"/>
                <w:szCs w:val="20"/>
              </w:rPr>
            </w:pPr>
          </w:p>
        </w:tc>
        <w:tc>
          <w:tcPr>
            <w:cnfStyle w:val="000010000000"/>
            <w:tcW w:w="850" w:type="dxa"/>
            <w:tcBorders>
              <w:top w:val="none" w:sz="0" w:space="0" w:color="auto"/>
              <w:left w:val="none" w:sz="0" w:space="0" w:color="auto"/>
              <w:bottom w:val="none" w:sz="0" w:space="0" w:color="auto"/>
              <w:right w:val="none" w:sz="0" w:space="0" w:color="auto"/>
            </w:tcBorders>
            <w:shd w:val="clear" w:color="auto" w:fill="4BACC6" w:themeFill="accent5"/>
          </w:tcPr>
          <w:p w:rsidR="0009755C" w:rsidRPr="00461E11" w:rsidRDefault="0009755C" w:rsidP="003326F2">
            <w:pPr>
              <w:widowControl w:val="0"/>
              <w:jc w:val="center"/>
              <w:rPr>
                <w:rFonts w:cs="Arial"/>
                <w:b/>
                <w:color w:val="auto"/>
                <w:sz w:val="18"/>
                <w:szCs w:val="18"/>
              </w:rPr>
            </w:pPr>
            <w:r w:rsidRPr="00461E11">
              <w:rPr>
                <w:rFonts w:cs="Arial"/>
                <w:b/>
                <w:color w:val="auto"/>
                <w:sz w:val="18"/>
                <w:szCs w:val="18"/>
              </w:rPr>
              <w:t>Total</w:t>
            </w:r>
          </w:p>
        </w:tc>
        <w:tc>
          <w:tcPr>
            <w:tcW w:w="1134" w:type="dxa"/>
            <w:tcBorders>
              <w:top w:val="none" w:sz="0" w:space="0" w:color="auto"/>
              <w:bottom w:val="none" w:sz="0" w:space="0" w:color="auto"/>
            </w:tcBorders>
            <w:shd w:val="clear" w:color="auto" w:fill="4BACC6" w:themeFill="accent5"/>
          </w:tcPr>
          <w:p w:rsidR="0009755C" w:rsidRPr="00461E11" w:rsidRDefault="0009755C" w:rsidP="003326F2">
            <w:pPr>
              <w:widowControl w:val="0"/>
              <w:jc w:val="center"/>
              <w:cnfStyle w:val="000000100000"/>
              <w:rPr>
                <w:rFonts w:cs="Arial"/>
                <w:b/>
                <w:color w:val="auto"/>
                <w:sz w:val="18"/>
                <w:szCs w:val="18"/>
              </w:rPr>
            </w:pPr>
            <w:r w:rsidRPr="00461E11">
              <w:rPr>
                <w:rFonts w:cs="Arial"/>
                <w:b/>
                <w:color w:val="auto"/>
                <w:sz w:val="18"/>
                <w:szCs w:val="18"/>
              </w:rPr>
              <w:t>Torbay Council’s Share (19.99%)</w:t>
            </w:r>
          </w:p>
        </w:tc>
        <w:tc>
          <w:tcPr>
            <w:cnfStyle w:val="000010000000"/>
            <w:tcW w:w="1134" w:type="dxa"/>
            <w:tcBorders>
              <w:top w:val="none" w:sz="0" w:space="0" w:color="auto"/>
              <w:left w:val="none" w:sz="0" w:space="0" w:color="auto"/>
              <w:bottom w:val="none" w:sz="0" w:space="0" w:color="auto"/>
              <w:right w:val="none" w:sz="0" w:space="0" w:color="auto"/>
            </w:tcBorders>
            <w:shd w:val="clear" w:color="auto" w:fill="4BACC6" w:themeFill="accent5"/>
          </w:tcPr>
          <w:p w:rsidR="0009755C" w:rsidRPr="00461E11" w:rsidRDefault="0009755C" w:rsidP="003326F2">
            <w:pPr>
              <w:widowControl w:val="0"/>
              <w:jc w:val="center"/>
              <w:rPr>
                <w:rFonts w:cs="Arial"/>
                <w:b/>
                <w:color w:val="auto"/>
                <w:sz w:val="18"/>
                <w:szCs w:val="18"/>
              </w:rPr>
            </w:pPr>
            <w:r w:rsidRPr="00461E11">
              <w:rPr>
                <w:rFonts w:cs="Arial"/>
                <w:b/>
                <w:color w:val="auto"/>
                <w:sz w:val="18"/>
                <w:szCs w:val="18"/>
              </w:rPr>
              <w:t>Total</w:t>
            </w:r>
          </w:p>
        </w:tc>
        <w:tc>
          <w:tcPr>
            <w:tcW w:w="1134" w:type="dxa"/>
            <w:tcBorders>
              <w:top w:val="none" w:sz="0" w:space="0" w:color="auto"/>
              <w:bottom w:val="none" w:sz="0" w:space="0" w:color="auto"/>
            </w:tcBorders>
            <w:shd w:val="clear" w:color="auto" w:fill="4BACC6" w:themeFill="accent5"/>
          </w:tcPr>
          <w:p w:rsidR="0009755C" w:rsidRPr="00461E11" w:rsidRDefault="0009755C" w:rsidP="003326F2">
            <w:pPr>
              <w:widowControl w:val="0"/>
              <w:jc w:val="center"/>
              <w:cnfStyle w:val="000000100000"/>
              <w:rPr>
                <w:rFonts w:cs="Arial"/>
                <w:b/>
                <w:color w:val="auto"/>
                <w:sz w:val="18"/>
                <w:szCs w:val="18"/>
              </w:rPr>
            </w:pPr>
            <w:r w:rsidRPr="00461E11">
              <w:rPr>
                <w:rFonts w:cs="Arial"/>
                <w:b/>
                <w:color w:val="auto"/>
                <w:sz w:val="18"/>
                <w:szCs w:val="18"/>
              </w:rPr>
              <w:t>Torbay Council’s Share (25%)</w:t>
            </w:r>
          </w:p>
        </w:tc>
        <w:tc>
          <w:tcPr>
            <w:cnfStyle w:val="000010000000"/>
            <w:tcW w:w="992" w:type="dxa"/>
            <w:tcBorders>
              <w:top w:val="none" w:sz="0" w:space="0" w:color="auto"/>
              <w:left w:val="none" w:sz="0" w:space="0" w:color="auto"/>
              <w:bottom w:val="none" w:sz="0" w:space="0" w:color="auto"/>
              <w:right w:val="none" w:sz="0" w:space="0" w:color="auto"/>
            </w:tcBorders>
            <w:shd w:val="clear" w:color="auto" w:fill="4BACC6" w:themeFill="accent5"/>
          </w:tcPr>
          <w:p w:rsidR="0009755C" w:rsidRPr="00461E11" w:rsidRDefault="0009755C" w:rsidP="003326F2">
            <w:pPr>
              <w:widowControl w:val="0"/>
              <w:jc w:val="center"/>
              <w:rPr>
                <w:rFonts w:cs="Arial"/>
                <w:b/>
                <w:color w:val="auto"/>
                <w:sz w:val="18"/>
                <w:szCs w:val="18"/>
              </w:rPr>
            </w:pPr>
            <w:r w:rsidRPr="00461E11">
              <w:rPr>
                <w:rFonts w:cs="Arial"/>
                <w:b/>
                <w:color w:val="auto"/>
                <w:sz w:val="18"/>
                <w:szCs w:val="18"/>
              </w:rPr>
              <w:t>Total</w:t>
            </w:r>
          </w:p>
        </w:tc>
        <w:tc>
          <w:tcPr>
            <w:cnfStyle w:val="000100000000"/>
            <w:tcW w:w="1240" w:type="dxa"/>
            <w:tcBorders>
              <w:top w:val="none" w:sz="0" w:space="0" w:color="auto"/>
              <w:left w:val="none" w:sz="0" w:space="0" w:color="auto"/>
              <w:bottom w:val="none" w:sz="0" w:space="0" w:color="auto"/>
            </w:tcBorders>
            <w:shd w:val="clear" w:color="auto" w:fill="4BACC6" w:themeFill="accent5"/>
          </w:tcPr>
          <w:p w:rsidR="0009755C" w:rsidRPr="00461E11" w:rsidRDefault="0009755C" w:rsidP="003326F2">
            <w:pPr>
              <w:widowControl w:val="0"/>
              <w:jc w:val="center"/>
              <w:rPr>
                <w:rFonts w:cs="Arial"/>
                <w:color w:val="auto"/>
                <w:sz w:val="18"/>
                <w:szCs w:val="18"/>
              </w:rPr>
            </w:pPr>
            <w:r w:rsidRPr="00461E11">
              <w:rPr>
                <w:rFonts w:cs="Arial"/>
                <w:color w:val="auto"/>
                <w:sz w:val="18"/>
                <w:szCs w:val="18"/>
              </w:rPr>
              <w:t>Torbay Council’s Share (25%)</w:t>
            </w:r>
          </w:p>
        </w:tc>
      </w:tr>
      <w:tr w:rsidR="0009755C" w:rsidRPr="00461E11" w:rsidTr="00E5683F">
        <w:tc>
          <w:tcPr>
            <w:cnfStyle w:val="001000000000"/>
            <w:tcW w:w="3369" w:type="dxa"/>
            <w:tcBorders>
              <w:right w:val="none" w:sz="0" w:space="0" w:color="auto"/>
            </w:tcBorders>
            <w:shd w:val="clear" w:color="auto" w:fill="4BACC6" w:themeFill="accent5"/>
          </w:tcPr>
          <w:p w:rsidR="0009755C" w:rsidRPr="00461E11" w:rsidRDefault="0009755C" w:rsidP="000579C2">
            <w:pPr>
              <w:widowControl w:val="0"/>
              <w:spacing w:after="0" w:line="276" w:lineRule="auto"/>
              <w:rPr>
                <w:rFonts w:cs="Arial"/>
                <w:b w:val="0"/>
                <w:color w:val="auto"/>
                <w:sz w:val="20"/>
                <w:szCs w:val="20"/>
              </w:rPr>
            </w:pPr>
          </w:p>
        </w:tc>
        <w:tc>
          <w:tcPr>
            <w:cnfStyle w:val="000010000000"/>
            <w:tcW w:w="850" w:type="dxa"/>
            <w:tcBorders>
              <w:left w:val="none" w:sz="0" w:space="0" w:color="auto"/>
              <w:right w:val="none" w:sz="0" w:space="0" w:color="auto"/>
            </w:tcBorders>
            <w:shd w:val="clear" w:color="auto" w:fill="4BACC6" w:themeFill="accent5"/>
          </w:tcPr>
          <w:p w:rsidR="0009755C" w:rsidRPr="00461E11" w:rsidRDefault="0009755C" w:rsidP="00E81F8A">
            <w:pPr>
              <w:widowControl w:val="0"/>
              <w:spacing w:after="0" w:line="276" w:lineRule="auto"/>
              <w:jc w:val="center"/>
              <w:rPr>
                <w:rFonts w:cs="Arial"/>
                <w:b/>
                <w:color w:val="auto"/>
                <w:sz w:val="20"/>
                <w:szCs w:val="20"/>
              </w:rPr>
            </w:pPr>
            <w:r w:rsidRPr="00461E11">
              <w:rPr>
                <w:rFonts w:cs="Arial"/>
                <w:b/>
                <w:color w:val="auto"/>
                <w:sz w:val="20"/>
                <w:szCs w:val="20"/>
              </w:rPr>
              <w:t>£m</w:t>
            </w:r>
          </w:p>
        </w:tc>
        <w:tc>
          <w:tcPr>
            <w:tcW w:w="1134" w:type="dxa"/>
            <w:shd w:val="clear" w:color="auto" w:fill="4BACC6" w:themeFill="accent5"/>
          </w:tcPr>
          <w:p w:rsidR="0009755C" w:rsidRPr="00461E11" w:rsidRDefault="0009755C" w:rsidP="00E81F8A">
            <w:pPr>
              <w:widowControl w:val="0"/>
              <w:spacing w:after="0" w:line="276" w:lineRule="auto"/>
              <w:jc w:val="center"/>
              <w:cnfStyle w:val="000000000000"/>
              <w:rPr>
                <w:rFonts w:cs="Arial"/>
                <w:b/>
                <w:color w:val="auto"/>
                <w:sz w:val="20"/>
                <w:szCs w:val="20"/>
              </w:rPr>
            </w:pPr>
            <w:r w:rsidRPr="00461E11">
              <w:rPr>
                <w:rFonts w:cs="Arial"/>
                <w:b/>
                <w:color w:val="auto"/>
                <w:sz w:val="20"/>
                <w:szCs w:val="20"/>
              </w:rPr>
              <w:t>£m</w:t>
            </w:r>
          </w:p>
        </w:tc>
        <w:tc>
          <w:tcPr>
            <w:cnfStyle w:val="000010000000"/>
            <w:tcW w:w="1134" w:type="dxa"/>
            <w:tcBorders>
              <w:left w:val="none" w:sz="0" w:space="0" w:color="auto"/>
              <w:right w:val="none" w:sz="0" w:space="0" w:color="auto"/>
            </w:tcBorders>
            <w:shd w:val="clear" w:color="auto" w:fill="4BACC6" w:themeFill="accent5"/>
          </w:tcPr>
          <w:p w:rsidR="0009755C" w:rsidRPr="00461E11" w:rsidRDefault="0009755C" w:rsidP="00E81F8A">
            <w:pPr>
              <w:widowControl w:val="0"/>
              <w:spacing w:after="0" w:line="276" w:lineRule="auto"/>
              <w:jc w:val="center"/>
              <w:rPr>
                <w:rFonts w:cs="Arial"/>
                <w:b/>
                <w:color w:val="auto"/>
                <w:sz w:val="20"/>
                <w:szCs w:val="20"/>
              </w:rPr>
            </w:pPr>
            <w:r w:rsidRPr="00461E11">
              <w:rPr>
                <w:rFonts w:cs="Arial"/>
                <w:b/>
                <w:color w:val="auto"/>
                <w:sz w:val="20"/>
                <w:szCs w:val="20"/>
              </w:rPr>
              <w:t>£m</w:t>
            </w:r>
          </w:p>
        </w:tc>
        <w:tc>
          <w:tcPr>
            <w:tcW w:w="1134" w:type="dxa"/>
            <w:shd w:val="clear" w:color="auto" w:fill="4BACC6" w:themeFill="accent5"/>
          </w:tcPr>
          <w:p w:rsidR="0009755C" w:rsidRPr="00461E11" w:rsidRDefault="0009755C" w:rsidP="00E81F8A">
            <w:pPr>
              <w:widowControl w:val="0"/>
              <w:spacing w:after="0" w:line="276" w:lineRule="auto"/>
              <w:jc w:val="center"/>
              <w:cnfStyle w:val="000000000000"/>
              <w:rPr>
                <w:rFonts w:cs="Arial"/>
                <w:b/>
                <w:color w:val="auto"/>
                <w:sz w:val="20"/>
                <w:szCs w:val="20"/>
              </w:rPr>
            </w:pPr>
            <w:r w:rsidRPr="00461E11">
              <w:rPr>
                <w:rFonts w:cs="Arial"/>
                <w:b/>
                <w:color w:val="auto"/>
                <w:sz w:val="20"/>
                <w:szCs w:val="20"/>
              </w:rPr>
              <w:t>£m</w:t>
            </w:r>
          </w:p>
        </w:tc>
        <w:tc>
          <w:tcPr>
            <w:cnfStyle w:val="000010000000"/>
            <w:tcW w:w="992" w:type="dxa"/>
            <w:tcBorders>
              <w:left w:val="none" w:sz="0" w:space="0" w:color="auto"/>
              <w:right w:val="none" w:sz="0" w:space="0" w:color="auto"/>
            </w:tcBorders>
            <w:shd w:val="clear" w:color="auto" w:fill="4BACC6" w:themeFill="accent5"/>
          </w:tcPr>
          <w:p w:rsidR="0009755C" w:rsidRPr="00461E11" w:rsidRDefault="0009755C" w:rsidP="00E81F8A">
            <w:pPr>
              <w:widowControl w:val="0"/>
              <w:spacing w:after="0" w:line="276" w:lineRule="auto"/>
              <w:jc w:val="center"/>
              <w:rPr>
                <w:rFonts w:cs="Arial"/>
                <w:b/>
                <w:color w:val="auto"/>
                <w:sz w:val="20"/>
                <w:szCs w:val="20"/>
              </w:rPr>
            </w:pPr>
            <w:r w:rsidRPr="00461E11">
              <w:rPr>
                <w:rFonts w:cs="Arial"/>
                <w:b/>
                <w:color w:val="auto"/>
                <w:sz w:val="20"/>
                <w:szCs w:val="20"/>
              </w:rPr>
              <w:t>£m</w:t>
            </w:r>
          </w:p>
        </w:tc>
        <w:tc>
          <w:tcPr>
            <w:cnfStyle w:val="000100000000"/>
            <w:tcW w:w="1240" w:type="dxa"/>
            <w:tcBorders>
              <w:left w:val="none" w:sz="0" w:space="0" w:color="auto"/>
            </w:tcBorders>
            <w:shd w:val="clear" w:color="auto" w:fill="4BACC6" w:themeFill="accent5"/>
          </w:tcPr>
          <w:p w:rsidR="0009755C" w:rsidRPr="00461E11" w:rsidRDefault="0009755C" w:rsidP="00E81F8A">
            <w:pPr>
              <w:widowControl w:val="0"/>
              <w:spacing w:after="0" w:line="276" w:lineRule="auto"/>
              <w:jc w:val="center"/>
              <w:rPr>
                <w:rFonts w:cs="Arial"/>
                <w:color w:val="auto"/>
                <w:sz w:val="20"/>
                <w:szCs w:val="20"/>
              </w:rPr>
            </w:pPr>
            <w:r w:rsidRPr="00461E11">
              <w:rPr>
                <w:rFonts w:cs="Arial"/>
                <w:color w:val="auto"/>
                <w:sz w:val="20"/>
                <w:szCs w:val="20"/>
              </w:rPr>
              <w:t>£m</w:t>
            </w:r>
          </w:p>
        </w:tc>
      </w:tr>
      <w:tr w:rsidR="00E5683F"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E5683F" w:rsidRPr="00461E11" w:rsidRDefault="00E5683F" w:rsidP="00461E11">
            <w:pPr>
              <w:widowControl w:val="0"/>
              <w:spacing w:after="0" w:line="276" w:lineRule="auto"/>
              <w:rPr>
                <w:rFonts w:cs="Arial"/>
                <w:color w:val="auto"/>
                <w:sz w:val="20"/>
                <w:szCs w:val="20"/>
              </w:rPr>
            </w:pPr>
            <w:r w:rsidRPr="00461E11">
              <w:rPr>
                <w:rFonts w:cs="Arial"/>
                <w:color w:val="auto"/>
                <w:sz w:val="20"/>
                <w:szCs w:val="20"/>
              </w:rPr>
              <w:t>201</w:t>
            </w:r>
            <w:r w:rsidR="00461E11" w:rsidRPr="00461E11">
              <w:rPr>
                <w:rFonts w:cs="Arial"/>
                <w:color w:val="auto"/>
                <w:sz w:val="20"/>
                <w:szCs w:val="20"/>
              </w:rPr>
              <w:t>4</w:t>
            </w:r>
            <w:r w:rsidRPr="00461E11">
              <w:rPr>
                <w:rFonts w:cs="Arial"/>
                <w:color w:val="auto"/>
                <w:sz w:val="20"/>
                <w:szCs w:val="20"/>
              </w:rPr>
              <w:t>/1</w:t>
            </w:r>
            <w:r w:rsidR="00461E11" w:rsidRPr="00461E11">
              <w:rPr>
                <w:rFonts w:cs="Arial"/>
                <w:color w:val="auto"/>
                <w:sz w:val="20"/>
                <w:szCs w:val="20"/>
              </w:rPr>
              <w:t>5</w:t>
            </w:r>
          </w:p>
        </w:tc>
        <w:tc>
          <w:tcPr>
            <w:cnfStyle w:val="000010000000"/>
            <w:tcW w:w="850" w:type="dxa"/>
            <w:tcBorders>
              <w:top w:val="none" w:sz="0" w:space="0" w:color="auto"/>
              <w:left w:val="none" w:sz="0" w:space="0" w:color="auto"/>
              <w:bottom w:val="none" w:sz="0" w:space="0" w:color="auto"/>
              <w:right w:val="none" w:sz="0" w:space="0" w:color="auto"/>
            </w:tcBorders>
          </w:tcPr>
          <w:p w:rsidR="00E5683F" w:rsidRPr="00461E11" w:rsidRDefault="00E5683F" w:rsidP="000579C2">
            <w:pPr>
              <w:widowControl w:val="0"/>
              <w:spacing w:after="0" w:line="276" w:lineRule="auto"/>
              <w:jc w:val="center"/>
              <w:rPr>
                <w:rFonts w:cs="Arial"/>
                <w:color w:val="auto"/>
                <w:sz w:val="20"/>
                <w:szCs w:val="20"/>
              </w:rPr>
            </w:pPr>
          </w:p>
        </w:tc>
        <w:tc>
          <w:tcPr>
            <w:tcW w:w="1134" w:type="dxa"/>
            <w:tcBorders>
              <w:top w:val="none" w:sz="0" w:space="0" w:color="auto"/>
              <w:bottom w:val="none" w:sz="0" w:space="0" w:color="auto"/>
            </w:tcBorders>
          </w:tcPr>
          <w:p w:rsidR="00E5683F" w:rsidRPr="00461E11" w:rsidRDefault="00E5683F" w:rsidP="000579C2">
            <w:pPr>
              <w:widowControl w:val="0"/>
              <w:spacing w:after="0" w:line="276" w:lineRule="auto"/>
              <w:jc w:val="center"/>
              <w:cnfStyle w:val="000000100000"/>
              <w:rPr>
                <w:rFonts w:cs="Arial"/>
                <w:color w:val="auto"/>
                <w:sz w:val="20"/>
                <w:szCs w:val="20"/>
              </w:rPr>
            </w:pPr>
          </w:p>
        </w:tc>
        <w:tc>
          <w:tcPr>
            <w:cnfStyle w:val="000010000000"/>
            <w:tcW w:w="1134" w:type="dxa"/>
            <w:tcBorders>
              <w:top w:val="none" w:sz="0" w:space="0" w:color="auto"/>
              <w:left w:val="none" w:sz="0" w:space="0" w:color="auto"/>
              <w:bottom w:val="none" w:sz="0" w:space="0" w:color="auto"/>
              <w:right w:val="none" w:sz="0" w:space="0" w:color="auto"/>
            </w:tcBorders>
          </w:tcPr>
          <w:p w:rsidR="00E5683F" w:rsidRPr="00461E11" w:rsidRDefault="00E5683F" w:rsidP="000579C2">
            <w:pPr>
              <w:widowControl w:val="0"/>
              <w:spacing w:after="0" w:line="276" w:lineRule="auto"/>
              <w:jc w:val="center"/>
              <w:rPr>
                <w:rFonts w:cs="Arial"/>
                <w:color w:val="auto"/>
                <w:sz w:val="20"/>
                <w:szCs w:val="20"/>
              </w:rPr>
            </w:pPr>
          </w:p>
        </w:tc>
        <w:tc>
          <w:tcPr>
            <w:tcW w:w="1134" w:type="dxa"/>
            <w:tcBorders>
              <w:top w:val="none" w:sz="0" w:space="0" w:color="auto"/>
              <w:bottom w:val="none" w:sz="0" w:space="0" w:color="auto"/>
            </w:tcBorders>
          </w:tcPr>
          <w:p w:rsidR="00E5683F" w:rsidRPr="00461E11" w:rsidRDefault="00E5683F" w:rsidP="000579C2">
            <w:pPr>
              <w:widowControl w:val="0"/>
              <w:spacing w:after="0" w:line="276" w:lineRule="auto"/>
              <w:jc w:val="center"/>
              <w:cnfStyle w:val="000000100000"/>
              <w:rPr>
                <w:rFonts w:cs="Arial"/>
                <w:color w:val="auto"/>
                <w:sz w:val="20"/>
                <w:szCs w:val="20"/>
              </w:rPr>
            </w:pPr>
          </w:p>
        </w:tc>
        <w:tc>
          <w:tcPr>
            <w:cnfStyle w:val="000010000000"/>
            <w:tcW w:w="992" w:type="dxa"/>
            <w:tcBorders>
              <w:top w:val="none" w:sz="0" w:space="0" w:color="auto"/>
              <w:left w:val="none" w:sz="0" w:space="0" w:color="auto"/>
              <w:bottom w:val="none" w:sz="0" w:space="0" w:color="auto"/>
              <w:right w:val="none" w:sz="0" w:space="0" w:color="auto"/>
            </w:tcBorders>
          </w:tcPr>
          <w:p w:rsidR="00E5683F" w:rsidRPr="00461E11" w:rsidRDefault="00E5683F" w:rsidP="000579C2">
            <w:pPr>
              <w:widowControl w:val="0"/>
              <w:spacing w:after="0" w:line="276" w:lineRule="auto"/>
              <w:jc w:val="center"/>
              <w:rPr>
                <w:rFonts w:cs="Arial"/>
                <w:color w:val="auto"/>
                <w:sz w:val="20"/>
                <w:szCs w:val="20"/>
              </w:rPr>
            </w:pPr>
          </w:p>
        </w:tc>
        <w:tc>
          <w:tcPr>
            <w:cnfStyle w:val="000100000000"/>
            <w:tcW w:w="1240" w:type="dxa"/>
            <w:tcBorders>
              <w:top w:val="none" w:sz="0" w:space="0" w:color="auto"/>
              <w:left w:val="none" w:sz="0" w:space="0" w:color="auto"/>
              <w:bottom w:val="none" w:sz="0" w:space="0" w:color="auto"/>
            </w:tcBorders>
          </w:tcPr>
          <w:p w:rsidR="00E5683F" w:rsidRPr="00461E11" w:rsidRDefault="00E5683F" w:rsidP="000579C2">
            <w:pPr>
              <w:widowControl w:val="0"/>
              <w:spacing w:after="0" w:line="276" w:lineRule="auto"/>
              <w:jc w:val="center"/>
              <w:rPr>
                <w:rFonts w:cs="Arial"/>
                <w:b w:val="0"/>
                <w:color w:val="auto"/>
                <w:sz w:val="20"/>
                <w:szCs w:val="20"/>
              </w:rPr>
            </w:pPr>
          </w:p>
        </w:tc>
      </w:tr>
      <w:tr w:rsidR="00461E11" w:rsidRPr="00461E11" w:rsidTr="00E5683F">
        <w:tc>
          <w:tcPr>
            <w:cnfStyle w:val="001000000000"/>
            <w:tcW w:w="3369" w:type="dxa"/>
            <w:tcBorders>
              <w:right w:val="none" w:sz="0" w:space="0" w:color="auto"/>
            </w:tcBorders>
          </w:tcPr>
          <w:p w:rsidR="00461E11" w:rsidRPr="00461E11" w:rsidRDefault="00461E11" w:rsidP="00E451FD">
            <w:pPr>
              <w:widowControl w:val="0"/>
              <w:spacing w:after="0" w:line="276" w:lineRule="auto"/>
              <w:rPr>
                <w:rFonts w:cs="Arial"/>
                <w:b w:val="0"/>
                <w:color w:val="auto"/>
                <w:sz w:val="20"/>
                <w:szCs w:val="20"/>
              </w:rPr>
            </w:pPr>
            <w:r w:rsidRPr="00461E11">
              <w:rPr>
                <w:rFonts w:cs="Arial"/>
                <w:b w:val="0"/>
                <w:color w:val="auto"/>
                <w:sz w:val="20"/>
                <w:szCs w:val="20"/>
              </w:rPr>
              <w:t>Income</w:t>
            </w:r>
          </w:p>
        </w:tc>
        <w:tc>
          <w:tcPr>
            <w:cnfStyle w:val="000010000000"/>
            <w:tcW w:w="850"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(23.9)</w:t>
            </w:r>
          </w:p>
        </w:tc>
        <w:tc>
          <w:tcPr>
            <w:tcW w:w="1134" w:type="dxa"/>
          </w:tcPr>
          <w:p w:rsidR="00461E11" w:rsidRPr="00461E11" w:rsidRDefault="00461E11" w:rsidP="00461E11">
            <w:pPr>
              <w:widowControl w:val="0"/>
              <w:spacing w:after="0" w:line="276" w:lineRule="auto"/>
              <w:jc w:val="center"/>
              <w:cnfStyle w:val="000000000000"/>
              <w:rPr>
                <w:rFonts w:cs="Arial"/>
                <w:color w:val="auto"/>
                <w:sz w:val="20"/>
                <w:szCs w:val="20"/>
              </w:rPr>
            </w:pPr>
            <w:r w:rsidRPr="00461E11">
              <w:rPr>
                <w:rFonts w:cs="Arial"/>
                <w:color w:val="auto"/>
                <w:sz w:val="20"/>
                <w:szCs w:val="20"/>
              </w:rPr>
              <w:t>(4.8)</w:t>
            </w:r>
          </w:p>
        </w:tc>
        <w:tc>
          <w:tcPr>
            <w:cnfStyle w:val="000010000000"/>
            <w:tcW w:w="1134"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(11.0)</w:t>
            </w:r>
          </w:p>
        </w:tc>
        <w:tc>
          <w:tcPr>
            <w:tcW w:w="1134" w:type="dxa"/>
          </w:tcPr>
          <w:p w:rsidR="00461E11" w:rsidRPr="00461E11" w:rsidRDefault="00461E11" w:rsidP="00461E11">
            <w:pPr>
              <w:widowControl w:val="0"/>
              <w:spacing w:after="0" w:line="276" w:lineRule="auto"/>
              <w:jc w:val="center"/>
              <w:cnfStyle w:val="000000000000"/>
              <w:rPr>
                <w:rFonts w:cs="Arial"/>
                <w:color w:val="auto"/>
                <w:sz w:val="20"/>
                <w:szCs w:val="20"/>
              </w:rPr>
            </w:pPr>
            <w:r w:rsidRPr="00461E11">
              <w:rPr>
                <w:rFonts w:cs="Arial"/>
                <w:color w:val="auto"/>
                <w:sz w:val="20"/>
                <w:szCs w:val="20"/>
              </w:rPr>
              <w:t>(2.8)</w:t>
            </w:r>
          </w:p>
        </w:tc>
        <w:tc>
          <w:tcPr>
            <w:cnfStyle w:val="000010000000"/>
            <w:tcW w:w="992"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(28.4)</w:t>
            </w:r>
          </w:p>
        </w:tc>
        <w:tc>
          <w:tcPr>
            <w:cnfStyle w:val="000100000000"/>
            <w:tcW w:w="1240" w:type="dxa"/>
            <w:tcBorders>
              <w:left w:val="none" w:sz="0" w:space="0" w:color="auto"/>
            </w:tcBorders>
          </w:tcPr>
          <w:p w:rsidR="00461E11" w:rsidRPr="00461E11" w:rsidRDefault="00461E11" w:rsidP="00461E11">
            <w:pPr>
              <w:widowControl w:val="0"/>
              <w:spacing w:after="0" w:line="276" w:lineRule="auto"/>
              <w:jc w:val="center"/>
              <w:rPr>
                <w:rFonts w:cs="Arial"/>
                <w:b w:val="0"/>
                <w:color w:val="auto"/>
                <w:sz w:val="20"/>
                <w:szCs w:val="20"/>
              </w:rPr>
            </w:pPr>
            <w:r w:rsidRPr="00461E11">
              <w:rPr>
                <w:rFonts w:cs="Arial"/>
                <w:b w:val="0"/>
                <w:color w:val="auto"/>
                <w:sz w:val="20"/>
                <w:szCs w:val="20"/>
              </w:rPr>
              <w:t>(7.1)</w:t>
            </w:r>
          </w:p>
        </w:tc>
      </w:tr>
      <w:tr w:rsidR="00461E11"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461E11" w:rsidRPr="00461E11" w:rsidRDefault="00461E11" w:rsidP="00E451FD">
            <w:pPr>
              <w:widowControl w:val="0"/>
              <w:spacing w:after="0" w:line="276" w:lineRule="auto"/>
              <w:rPr>
                <w:rFonts w:cs="Arial"/>
                <w:b w:val="0"/>
                <w:color w:val="auto"/>
                <w:sz w:val="20"/>
                <w:szCs w:val="20"/>
              </w:rPr>
            </w:pPr>
            <w:r w:rsidRPr="00461E11">
              <w:rPr>
                <w:rFonts w:cs="Arial"/>
                <w:b w:val="0"/>
                <w:color w:val="auto"/>
                <w:sz w:val="20"/>
                <w:szCs w:val="20"/>
              </w:rPr>
              <w:t>Expenditure</w:t>
            </w:r>
          </w:p>
        </w:tc>
        <w:tc>
          <w:tcPr>
            <w:cnfStyle w:val="000010000000"/>
            <w:tcW w:w="850"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23.4</w:t>
            </w:r>
          </w:p>
        </w:tc>
        <w:tc>
          <w:tcPr>
            <w:tcW w:w="1134" w:type="dxa"/>
            <w:tcBorders>
              <w:top w:val="none" w:sz="0" w:space="0" w:color="auto"/>
              <w:bottom w:val="none" w:sz="0" w:space="0" w:color="auto"/>
            </w:tcBorders>
          </w:tcPr>
          <w:p w:rsidR="00461E11" w:rsidRPr="00461E11" w:rsidRDefault="00461E11" w:rsidP="00461E11">
            <w:pPr>
              <w:widowControl w:val="0"/>
              <w:spacing w:after="0" w:line="276" w:lineRule="auto"/>
              <w:jc w:val="center"/>
              <w:cnfStyle w:val="000000100000"/>
              <w:rPr>
                <w:rFonts w:cs="Arial"/>
                <w:color w:val="auto"/>
                <w:sz w:val="20"/>
                <w:szCs w:val="20"/>
              </w:rPr>
            </w:pPr>
            <w:r w:rsidRPr="00461E11">
              <w:rPr>
                <w:rFonts w:cs="Arial"/>
                <w:color w:val="auto"/>
                <w:sz w:val="20"/>
                <w:szCs w:val="20"/>
              </w:rPr>
              <w:t>4.7</w:t>
            </w:r>
          </w:p>
        </w:tc>
        <w:tc>
          <w:tcPr>
            <w:cnfStyle w:val="000010000000"/>
            <w:tcW w:w="1134"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11.1</w:t>
            </w:r>
          </w:p>
        </w:tc>
        <w:tc>
          <w:tcPr>
            <w:tcW w:w="1134" w:type="dxa"/>
            <w:tcBorders>
              <w:top w:val="none" w:sz="0" w:space="0" w:color="auto"/>
              <w:bottom w:val="none" w:sz="0" w:space="0" w:color="auto"/>
            </w:tcBorders>
          </w:tcPr>
          <w:p w:rsidR="00461E11" w:rsidRPr="00461E11" w:rsidRDefault="00461E11" w:rsidP="00461E11">
            <w:pPr>
              <w:widowControl w:val="0"/>
              <w:spacing w:after="0" w:line="276" w:lineRule="auto"/>
              <w:jc w:val="center"/>
              <w:cnfStyle w:val="000000100000"/>
              <w:rPr>
                <w:rFonts w:cs="Arial"/>
                <w:color w:val="auto"/>
                <w:sz w:val="20"/>
                <w:szCs w:val="20"/>
              </w:rPr>
            </w:pPr>
            <w:r w:rsidRPr="00461E11">
              <w:rPr>
                <w:rFonts w:cs="Arial"/>
                <w:color w:val="auto"/>
                <w:sz w:val="20"/>
                <w:szCs w:val="20"/>
              </w:rPr>
              <w:t>2.8</w:t>
            </w:r>
          </w:p>
        </w:tc>
        <w:tc>
          <w:tcPr>
            <w:cnfStyle w:val="000010000000"/>
            <w:tcW w:w="992"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27.6</w:t>
            </w:r>
          </w:p>
        </w:tc>
        <w:tc>
          <w:tcPr>
            <w:cnfStyle w:val="000100000000"/>
            <w:tcW w:w="1240" w:type="dxa"/>
            <w:tcBorders>
              <w:top w:val="none" w:sz="0" w:space="0" w:color="auto"/>
              <w:left w:val="none" w:sz="0" w:space="0" w:color="auto"/>
              <w:bottom w:val="none" w:sz="0" w:space="0" w:color="auto"/>
            </w:tcBorders>
          </w:tcPr>
          <w:p w:rsidR="00461E11" w:rsidRPr="00461E11" w:rsidRDefault="00461E11" w:rsidP="00461E11">
            <w:pPr>
              <w:widowControl w:val="0"/>
              <w:spacing w:after="0" w:line="276" w:lineRule="auto"/>
              <w:jc w:val="center"/>
              <w:rPr>
                <w:rFonts w:cs="Arial"/>
                <w:b w:val="0"/>
                <w:color w:val="auto"/>
                <w:sz w:val="20"/>
                <w:szCs w:val="20"/>
              </w:rPr>
            </w:pPr>
            <w:r w:rsidRPr="00461E11">
              <w:rPr>
                <w:rFonts w:cs="Arial"/>
                <w:b w:val="0"/>
                <w:color w:val="auto"/>
                <w:sz w:val="20"/>
                <w:szCs w:val="20"/>
              </w:rPr>
              <w:t>6.9</w:t>
            </w:r>
          </w:p>
        </w:tc>
      </w:tr>
      <w:tr w:rsidR="00461E11" w:rsidRPr="00461E11" w:rsidTr="00E5683F">
        <w:tc>
          <w:tcPr>
            <w:cnfStyle w:val="001000000000"/>
            <w:tcW w:w="3369" w:type="dxa"/>
            <w:tcBorders>
              <w:right w:val="none" w:sz="0" w:space="0" w:color="auto"/>
            </w:tcBorders>
          </w:tcPr>
          <w:p w:rsidR="00461E11" w:rsidRPr="00461E11" w:rsidRDefault="00461E11" w:rsidP="00E451FD">
            <w:pPr>
              <w:widowControl w:val="0"/>
              <w:spacing w:after="0" w:line="276" w:lineRule="auto"/>
              <w:rPr>
                <w:rFonts w:cs="Arial"/>
                <w:color w:val="auto"/>
                <w:sz w:val="20"/>
                <w:szCs w:val="20"/>
              </w:rPr>
            </w:pPr>
            <w:r w:rsidRPr="00461E11">
              <w:rPr>
                <w:rFonts w:cs="Arial"/>
                <w:color w:val="auto"/>
                <w:sz w:val="20"/>
                <w:szCs w:val="20"/>
              </w:rPr>
              <w:t>Operating (Profit) or loss</w:t>
            </w:r>
          </w:p>
        </w:tc>
        <w:tc>
          <w:tcPr>
            <w:cnfStyle w:val="000010000000"/>
            <w:tcW w:w="850"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b/>
                <w:color w:val="auto"/>
                <w:sz w:val="20"/>
                <w:szCs w:val="20"/>
              </w:rPr>
            </w:pPr>
            <w:r w:rsidRPr="00461E11">
              <w:rPr>
                <w:rFonts w:cs="Arial"/>
                <w:b/>
                <w:color w:val="auto"/>
                <w:sz w:val="20"/>
                <w:szCs w:val="20"/>
              </w:rPr>
              <w:t>(0.5)</w:t>
            </w:r>
          </w:p>
        </w:tc>
        <w:tc>
          <w:tcPr>
            <w:tcW w:w="1134" w:type="dxa"/>
          </w:tcPr>
          <w:p w:rsidR="00461E11" w:rsidRPr="00461E11" w:rsidRDefault="00461E11" w:rsidP="00461E11">
            <w:pPr>
              <w:widowControl w:val="0"/>
              <w:spacing w:after="0" w:line="276" w:lineRule="auto"/>
              <w:jc w:val="center"/>
              <w:cnfStyle w:val="000000000000"/>
              <w:rPr>
                <w:rFonts w:cs="Arial"/>
                <w:b/>
                <w:color w:val="auto"/>
                <w:sz w:val="20"/>
                <w:szCs w:val="20"/>
              </w:rPr>
            </w:pPr>
            <w:r w:rsidRPr="00461E11">
              <w:rPr>
                <w:rFonts w:cs="Arial"/>
                <w:b/>
                <w:color w:val="auto"/>
                <w:sz w:val="20"/>
                <w:szCs w:val="20"/>
              </w:rPr>
              <w:t>(0.1)</w:t>
            </w:r>
          </w:p>
        </w:tc>
        <w:tc>
          <w:tcPr>
            <w:cnfStyle w:val="000010000000"/>
            <w:tcW w:w="1134"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b/>
                <w:color w:val="auto"/>
                <w:sz w:val="20"/>
                <w:szCs w:val="20"/>
              </w:rPr>
            </w:pPr>
            <w:r w:rsidRPr="00461E11">
              <w:rPr>
                <w:rFonts w:cs="Arial"/>
                <w:b/>
                <w:color w:val="auto"/>
                <w:sz w:val="20"/>
                <w:szCs w:val="20"/>
              </w:rPr>
              <w:t>0.1</w:t>
            </w:r>
          </w:p>
        </w:tc>
        <w:tc>
          <w:tcPr>
            <w:tcW w:w="1134" w:type="dxa"/>
          </w:tcPr>
          <w:p w:rsidR="00461E11" w:rsidRPr="00461E11" w:rsidRDefault="00461E11" w:rsidP="00461E11">
            <w:pPr>
              <w:widowControl w:val="0"/>
              <w:spacing w:after="0" w:line="276" w:lineRule="auto"/>
              <w:jc w:val="center"/>
              <w:cnfStyle w:val="000000000000"/>
              <w:rPr>
                <w:rFonts w:cs="Arial"/>
                <w:b/>
                <w:color w:val="auto"/>
                <w:sz w:val="20"/>
                <w:szCs w:val="20"/>
              </w:rPr>
            </w:pPr>
            <w:r w:rsidRPr="00461E11">
              <w:rPr>
                <w:rFonts w:cs="Arial"/>
                <w:b/>
                <w:color w:val="auto"/>
                <w:sz w:val="20"/>
                <w:szCs w:val="20"/>
              </w:rPr>
              <w:t>0</w:t>
            </w:r>
          </w:p>
        </w:tc>
        <w:tc>
          <w:tcPr>
            <w:cnfStyle w:val="000010000000"/>
            <w:tcW w:w="992"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b/>
                <w:color w:val="auto"/>
                <w:sz w:val="20"/>
                <w:szCs w:val="20"/>
              </w:rPr>
            </w:pPr>
            <w:r w:rsidRPr="00461E11">
              <w:rPr>
                <w:rFonts w:cs="Arial"/>
                <w:b/>
                <w:color w:val="auto"/>
                <w:sz w:val="20"/>
                <w:szCs w:val="20"/>
              </w:rPr>
              <w:t>(0.8)</w:t>
            </w:r>
          </w:p>
        </w:tc>
        <w:tc>
          <w:tcPr>
            <w:cnfStyle w:val="000100000000"/>
            <w:tcW w:w="1240" w:type="dxa"/>
            <w:tcBorders>
              <w:lef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(0.2)</w:t>
            </w:r>
          </w:p>
        </w:tc>
      </w:tr>
      <w:tr w:rsidR="00461E11"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461E11" w:rsidRPr="00461E11" w:rsidRDefault="00461E11" w:rsidP="00E451FD">
            <w:pPr>
              <w:widowControl w:val="0"/>
              <w:spacing w:after="0" w:line="276" w:lineRule="auto"/>
              <w:rPr>
                <w:rFonts w:cs="Arial"/>
                <w:b w:val="0"/>
                <w:color w:val="auto"/>
                <w:sz w:val="20"/>
                <w:szCs w:val="20"/>
              </w:rPr>
            </w:pPr>
            <w:r w:rsidRPr="00461E11">
              <w:rPr>
                <w:rFonts w:cs="Arial"/>
                <w:b w:val="0"/>
                <w:color w:val="auto"/>
                <w:sz w:val="20"/>
                <w:szCs w:val="20"/>
              </w:rPr>
              <w:t>Other Comprehensive Income and Expenditure</w:t>
            </w:r>
          </w:p>
        </w:tc>
        <w:tc>
          <w:tcPr>
            <w:cnfStyle w:val="000010000000"/>
            <w:tcW w:w="850"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w:t>
            </w:r>
          </w:p>
        </w:tc>
        <w:tc>
          <w:tcPr>
            <w:tcW w:w="1134" w:type="dxa"/>
            <w:tcBorders>
              <w:top w:val="none" w:sz="0" w:space="0" w:color="auto"/>
              <w:bottom w:val="none" w:sz="0" w:space="0" w:color="auto"/>
            </w:tcBorders>
          </w:tcPr>
          <w:p w:rsidR="00461E11" w:rsidRPr="00461E11" w:rsidRDefault="00461E11" w:rsidP="00461E11">
            <w:pPr>
              <w:widowControl w:val="0"/>
              <w:spacing w:after="0" w:line="276" w:lineRule="auto"/>
              <w:jc w:val="center"/>
              <w:cnfStyle w:val="000000100000"/>
              <w:rPr>
                <w:rFonts w:cs="Arial"/>
                <w:color w:val="auto"/>
                <w:sz w:val="20"/>
                <w:szCs w:val="20"/>
              </w:rPr>
            </w:pPr>
            <w:r w:rsidRPr="00461E11">
              <w:rPr>
                <w:rFonts w:cs="Arial"/>
                <w:color w:val="auto"/>
                <w:sz w:val="20"/>
                <w:szCs w:val="20"/>
              </w:rPr>
              <w:t>0</w:t>
            </w:r>
          </w:p>
        </w:tc>
        <w:tc>
          <w:tcPr>
            <w:cnfStyle w:val="000010000000"/>
            <w:tcW w:w="1134"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w:t>
            </w:r>
          </w:p>
        </w:tc>
        <w:tc>
          <w:tcPr>
            <w:tcW w:w="1134" w:type="dxa"/>
            <w:tcBorders>
              <w:top w:val="none" w:sz="0" w:space="0" w:color="auto"/>
              <w:bottom w:val="none" w:sz="0" w:space="0" w:color="auto"/>
            </w:tcBorders>
          </w:tcPr>
          <w:p w:rsidR="00461E11" w:rsidRPr="00461E11" w:rsidRDefault="00461E11" w:rsidP="00461E11">
            <w:pPr>
              <w:widowControl w:val="0"/>
              <w:spacing w:after="0" w:line="276" w:lineRule="auto"/>
              <w:jc w:val="center"/>
              <w:cnfStyle w:val="000000100000"/>
              <w:rPr>
                <w:rFonts w:cs="Arial"/>
                <w:color w:val="auto"/>
                <w:sz w:val="20"/>
                <w:szCs w:val="20"/>
              </w:rPr>
            </w:pPr>
            <w:r w:rsidRPr="00461E11">
              <w:rPr>
                <w:rFonts w:cs="Arial"/>
                <w:color w:val="auto"/>
                <w:sz w:val="20"/>
                <w:szCs w:val="20"/>
              </w:rPr>
              <w:t>0</w:t>
            </w:r>
          </w:p>
        </w:tc>
        <w:tc>
          <w:tcPr>
            <w:cnfStyle w:val="000010000000"/>
            <w:tcW w:w="992"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w:t>
            </w:r>
          </w:p>
        </w:tc>
        <w:tc>
          <w:tcPr>
            <w:cnfStyle w:val="000100000000"/>
            <w:tcW w:w="1240" w:type="dxa"/>
            <w:tcBorders>
              <w:top w:val="none" w:sz="0" w:space="0" w:color="auto"/>
              <w:left w:val="none" w:sz="0" w:space="0" w:color="auto"/>
              <w:bottom w:val="none" w:sz="0" w:space="0" w:color="auto"/>
            </w:tcBorders>
          </w:tcPr>
          <w:p w:rsidR="00461E11" w:rsidRPr="00461E11" w:rsidRDefault="00461E11" w:rsidP="00461E11">
            <w:pPr>
              <w:widowControl w:val="0"/>
              <w:spacing w:after="0" w:line="276" w:lineRule="auto"/>
              <w:jc w:val="center"/>
              <w:rPr>
                <w:rFonts w:cs="Arial"/>
                <w:b w:val="0"/>
                <w:color w:val="auto"/>
                <w:sz w:val="20"/>
                <w:szCs w:val="20"/>
              </w:rPr>
            </w:pPr>
            <w:r w:rsidRPr="00461E11">
              <w:rPr>
                <w:rFonts w:cs="Arial"/>
                <w:b w:val="0"/>
                <w:color w:val="auto"/>
                <w:sz w:val="20"/>
                <w:szCs w:val="20"/>
              </w:rPr>
              <w:t>0</w:t>
            </w:r>
          </w:p>
        </w:tc>
      </w:tr>
      <w:tr w:rsidR="00461E11" w:rsidRPr="00461E11" w:rsidTr="00E5683F">
        <w:trPr>
          <w:trHeight w:val="566"/>
        </w:trPr>
        <w:tc>
          <w:tcPr>
            <w:cnfStyle w:val="001000000000"/>
            <w:tcW w:w="3369" w:type="dxa"/>
            <w:tcBorders>
              <w:right w:val="none" w:sz="0" w:space="0" w:color="auto"/>
            </w:tcBorders>
          </w:tcPr>
          <w:p w:rsidR="00461E11" w:rsidRPr="00461E11" w:rsidRDefault="00461E11" w:rsidP="00E451FD">
            <w:pPr>
              <w:widowControl w:val="0"/>
              <w:spacing w:after="0" w:line="276" w:lineRule="auto"/>
              <w:rPr>
                <w:rFonts w:cs="Arial"/>
                <w:b w:val="0"/>
                <w:color w:val="auto"/>
                <w:sz w:val="20"/>
                <w:szCs w:val="20"/>
              </w:rPr>
            </w:pPr>
            <w:r w:rsidRPr="00461E11">
              <w:rPr>
                <w:rFonts w:cs="Arial"/>
                <w:b w:val="0"/>
                <w:color w:val="auto"/>
                <w:sz w:val="20"/>
                <w:szCs w:val="20"/>
              </w:rPr>
              <w:t>Actuarial (gains)/Losses recognised in the pension scheme</w:t>
            </w:r>
          </w:p>
        </w:tc>
        <w:tc>
          <w:tcPr>
            <w:cnfStyle w:val="000010000000"/>
            <w:tcW w:w="850"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w:t>
            </w:r>
          </w:p>
        </w:tc>
        <w:tc>
          <w:tcPr>
            <w:tcW w:w="1134" w:type="dxa"/>
          </w:tcPr>
          <w:p w:rsidR="00461E11" w:rsidRPr="00461E11" w:rsidRDefault="00461E11" w:rsidP="00461E11">
            <w:pPr>
              <w:widowControl w:val="0"/>
              <w:spacing w:after="0" w:line="276" w:lineRule="auto"/>
              <w:jc w:val="center"/>
              <w:cnfStyle w:val="000000000000"/>
              <w:rPr>
                <w:rFonts w:cs="Arial"/>
                <w:color w:val="auto"/>
                <w:sz w:val="20"/>
                <w:szCs w:val="20"/>
              </w:rPr>
            </w:pPr>
            <w:r w:rsidRPr="00461E11">
              <w:rPr>
                <w:rFonts w:cs="Arial"/>
                <w:color w:val="auto"/>
                <w:sz w:val="20"/>
                <w:szCs w:val="20"/>
              </w:rPr>
              <w:t>-</w:t>
            </w:r>
          </w:p>
        </w:tc>
        <w:tc>
          <w:tcPr>
            <w:cnfStyle w:val="000010000000"/>
            <w:tcW w:w="1134"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w:t>
            </w:r>
          </w:p>
        </w:tc>
        <w:tc>
          <w:tcPr>
            <w:tcW w:w="1134" w:type="dxa"/>
          </w:tcPr>
          <w:p w:rsidR="00461E11" w:rsidRPr="00461E11" w:rsidRDefault="00461E11" w:rsidP="00461E11">
            <w:pPr>
              <w:widowControl w:val="0"/>
              <w:spacing w:after="0" w:line="276" w:lineRule="auto"/>
              <w:jc w:val="center"/>
              <w:cnfStyle w:val="000000000000"/>
              <w:rPr>
                <w:rFonts w:cs="Arial"/>
                <w:color w:val="auto"/>
                <w:sz w:val="20"/>
                <w:szCs w:val="20"/>
              </w:rPr>
            </w:pPr>
            <w:r w:rsidRPr="00461E11">
              <w:rPr>
                <w:rFonts w:cs="Arial"/>
                <w:color w:val="auto"/>
                <w:sz w:val="20"/>
                <w:szCs w:val="20"/>
              </w:rPr>
              <w:t>-</w:t>
            </w:r>
          </w:p>
        </w:tc>
        <w:tc>
          <w:tcPr>
            <w:cnfStyle w:val="000010000000"/>
            <w:tcW w:w="992" w:type="dxa"/>
            <w:tcBorders>
              <w:left w:val="none" w:sz="0" w:space="0" w:color="auto"/>
              <w:right w:val="none" w:sz="0" w:space="0" w:color="auto"/>
            </w:tcBorders>
          </w:tcPr>
          <w:p w:rsidR="00461E11" w:rsidRPr="00461E11" w:rsidRDefault="00461E11" w:rsidP="00461E11">
            <w:pPr>
              <w:widowControl w:val="0"/>
              <w:spacing w:after="0" w:line="276" w:lineRule="auto"/>
              <w:rPr>
                <w:rFonts w:cs="Arial"/>
                <w:color w:val="auto"/>
                <w:sz w:val="20"/>
                <w:szCs w:val="20"/>
              </w:rPr>
            </w:pPr>
            <w:r w:rsidRPr="00461E11">
              <w:rPr>
                <w:rFonts w:cs="Arial"/>
                <w:color w:val="auto"/>
                <w:sz w:val="20"/>
                <w:szCs w:val="20"/>
              </w:rPr>
              <w:t>-</w:t>
            </w:r>
          </w:p>
        </w:tc>
        <w:tc>
          <w:tcPr>
            <w:cnfStyle w:val="000100000000"/>
            <w:tcW w:w="1240" w:type="dxa"/>
            <w:tcBorders>
              <w:lef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w:t>
            </w:r>
          </w:p>
        </w:tc>
      </w:tr>
      <w:tr w:rsidR="00461E11"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461E11" w:rsidRPr="00461E11" w:rsidRDefault="00461E11" w:rsidP="00E451FD">
            <w:pPr>
              <w:widowControl w:val="0"/>
              <w:spacing w:after="0" w:line="276" w:lineRule="auto"/>
              <w:rPr>
                <w:rFonts w:cs="Arial"/>
                <w:b w:val="0"/>
                <w:color w:val="auto"/>
                <w:sz w:val="20"/>
                <w:szCs w:val="20"/>
              </w:rPr>
            </w:pPr>
            <w:r w:rsidRPr="00461E11">
              <w:rPr>
                <w:rFonts w:cs="Arial"/>
                <w:b w:val="0"/>
                <w:color w:val="auto"/>
                <w:sz w:val="20"/>
                <w:szCs w:val="20"/>
              </w:rPr>
              <w:t>Taxation (including deferred)</w:t>
            </w:r>
          </w:p>
        </w:tc>
        <w:tc>
          <w:tcPr>
            <w:cnfStyle w:val="000010000000"/>
            <w:tcW w:w="850"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0.1</w:t>
            </w:r>
          </w:p>
        </w:tc>
        <w:tc>
          <w:tcPr>
            <w:tcW w:w="1134" w:type="dxa"/>
            <w:tcBorders>
              <w:top w:val="none" w:sz="0" w:space="0" w:color="auto"/>
              <w:bottom w:val="none" w:sz="0" w:space="0" w:color="auto"/>
            </w:tcBorders>
          </w:tcPr>
          <w:p w:rsidR="00461E11" w:rsidRPr="00461E11" w:rsidRDefault="00461E11" w:rsidP="00461E11">
            <w:pPr>
              <w:widowControl w:val="0"/>
              <w:spacing w:after="0" w:line="276" w:lineRule="auto"/>
              <w:jc w:val="center"/>
              <w:cnfStyle w:val="000000100000"/>
              <w:rPr>
                <w:rFonts w:cs="Arial"/>
                <w:color w:val="auto"/>
                <w:sz w:val="20"/>
                <w:szCs w:val="20"/>
              </w:rPr>
            </w:pPr>
            <w:r w:rsidRPr="00461E11">
              <w:rPr>
                <w:rFonts w:cs="Arial"/>
                <w:color w:val="auto"/>
                <w:sz w:val="20"/>
                <w:szCs w:val="20"/>
              </w:rPr>
              <w:t>0</w:t>
            </w:r>
          </w:p>
        </w:tc>
        <w:tc>
          <w:tcPr>
            <w:cnfStyle w:val="000010000000"/>
            <w:tcW w:w="1134"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w:t>
            </w:r>
          </w:p>
        </w:tc>
        <w:tc>
          <w:tcPr>
            <w:tcW w:w="1134" w:type="dxa"/>
            <w:tcBorders>
              <w:top w:val="none" w:sz="0" w:space="0" w:color="auto"/>
              <w:bottom w:val="none" w:sz="0" w:space="0" w:color="auto"/>
            </w:tcBorders>
          </w:tcPr>
          <w:p w:rsidR="00461E11" w:rsidRPr="00461E11" w:rsidRDefault="00461E11" w:rsidP="00461E11">
            <w:pPr>
              <w:widowControl w:val="0"/>
              <w:spacing w:after="0" w:line="276" w:lineRule="auto"/>
              <w:jc w:val="center"/>
              <w:cnfStyle w:val="000000100000"/>
              <w:rPr>
                <w:rFonts w:cs="Arial"/>
                <w:color w:val="auto"/>
                <w:sz w:val="20"/>
                <w:szCs w:val="20"/>
              </w:rPr>
            </w:pPr>
            <w:r w:rsidRPr="00461E11">
              <w:rPr>
                <w:rFonts w:cs="Arial"/>
                <w:color w:val="auto"/>
                <w:sz w:val="20"/>
                <w:szCs w:val="20"/>
              </w:rPr>
              <w:t>0</w:t>
            </w:r>
          </w:p>
        </w:tc>
        <w:tc>
          <w:tcPr>
            <w:cnfStyle w:val="000010000000"/>
            <w:tcW w:w="992"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w:t>
            </w:r>
          </w:p>
        </w:tc>
        <w:tc>
          <w:tcPr>
            <w:cnfStyle w:val="000100000000"/>
            <w:tcW w:w="1240" w:type="dxa"/>
            <w:tcBorders>
              <w:top w:val="none" w:sz="0" w:space="0" w:color="auto"/>
              <w:left w:val="none" w:sz="0" w:space="0" w:color="auto"/>
              <w:bottom w:val="none" w:sz="0" w:space="0" w:color="auto"/>
            </w:tcBorders>
          </w:tcPr>
          <w:p w:rsidR="00461E11" w:rsidRPr="00461E11" w:rsidRDefault="00461E11" w:rsidP="00461E11">
            <w:pPr>
              <w:widowControl w:val="0"/>
              <w:spacing w:after="0" w:line="276" w:lineRule="auto"/>
              <w:jc w:val="center"/>
              <w:rPr>
                <w:rFonts w:cs="Arial"/>
                <w:b w:val="0"/>
                <w:color w:val="auto"/>
                <w:sz w:val="20"/>
                <w:szCs w:val="20"/>
              </w:rPr>
            </w:pPr>
            <w:r w:rsidRPr="00461E11">
              <w:rPr>
                <w:rFonts w:cs="Arial"/>
                <w:b w:val="0"/>
                <w:color w:val="auto"/>
                <w:sz w:val="20"/>
                <w:szCs w:val="20"/>
              </w:rPr>
              <w:t>0</w:t>
            </w:r>
          </w:p>
        </w:tc>
      </w:tr>
      <w:tr w:rsidR="00461E11" w:rsidRPr="00461E11" w:rsidTr="00E5683F">
        <w:tc>
          <w:tcPr>
            <w:cnfStyle w:val="001000000000"/>
            <w:tcW w:w="3369" w:type="dxa"/>
            <w:tcBorders>
              <w:right w:val="none" w:sz="0" w:space="0" w:color="auto"/>
            </w:tcBorders>
          </w:tcPr>
          <w:p w:rsidR="00461E11" w:rsidRPr="00461E11" w:rsidRDefault="00461E11" w:rsidP="00E451FD">
            <w:pPr>
              <w:widowControl w:val="0"/>
              <w:spacing w:after="0" w:line="276" w:lineRule="auto"/>
              <w:rPr>
                <w:rFonts w:cs="Arial"/>
                <w:b w:val="0"/>
                <w:color w:val="auto"/>
                <w:sz w:val="20"/>
                <w:szCs w:val="20"/>
              </w:rPr>
            </w:pPr>
            <w:r w:rsidRPr="00461E11">
              <w:rPr>
                <w:rFonts w:cs="Arial"/>
                <w:color w:val="auto"/>
                <w:sz w:val="20"/>
                <w:szCs w:val="20"/>
              </w:rPr>
              <w:t>Total (Profit) or loss</w:t>
            </w:r>
          </w:p>
        </w:tc>
        <w:tc>
          <w:tcPr>
            <w:cnfStyle w:val="000010000000"/>
            <w:tcW w:w="850"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b/>
                <w:color w:val="auto"/>
                <w:sz w:val="20"/>
                <w:szCs w:val="20"/>
              </w:rPr>
            </w:pPr>
            <w:r w:rsidRPr="00461E11">
              <w:rPr>
                <w:rFonts w:cs="Arial"/>
                <w:b/>
                <w:color w:val="auto"/>
                <w:sz w:val="20"/>
                <w:szCs w:val="20"/>
              </w:rPr>
              <w:t>(0.4)</w:t>
            </w:r>
          </w:p>
        </w:tc>
        <w:tc>
          <w:tcPr>
            <w:tcW w:w="1134" w:type="dxa"/>
          </w:tcPr>
          <w:p w:rsidR="00461E11" w:rsidRPr="00461E11" w:rsidRDefault="00461E11" w:rsidP="00461E11">
            <w:pPr>
              <w:widowControl w:val="0"/>
              <w:spacing w:after="0" w:line="276" w:lineRule="auto"/>
              <w:jc w:val="center"/>
              <w:cnfStyle w:val="000000000000"/>
              <w:rPr>
                <w:rFonts w:cs="Arial"/>
                <w:b/>
                <w:color w:val="auto"/>
                <w:sz w:val="20"/>
                <w:szCs w:val="20"/>
              </w:rPr>
            </w:pPr>
            <w:r w:rsidRPr="00461E11">
              <w:rPr>
                <w:rFonts w:cs="Arial"/>
                <w:b/>
                <w:color w:val="auto"/>
                <w:sz w:val="20"/>
                <w:szCs w:val="20"/>
              </w:rPr>
              <w:t>(0.1)</w:t>
            </w:r>
          </w:p>
        </w:tc>
        <w:tc>
          <w:tcPr>
            <w:cnfStyle w:val="000010000000"/>
            <w:tcW w:w="1134"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b/>
                <w:color w:val="auto"/>
                <w:sz w:val="20"/>
                <w:szCs w:val="20"/>
              </w:rPr>
            </w:pPr>
            <w:r w:rsidRPr="00461E11">
              <w:rPr>
                <w:rFonts w:cs="Arial"/>
                <w:b/>
                <w:color w:val="auto"/>
                <w:sz w:val="20"/>
                <w:szCs w:val="20"/>
              </w:rPr>
              <w:t>0.1</w:t>
            </w:r>
          </w:p>
        </w:tc>
        <w:tc>
          <w:tcPr>
            <w:tcW w:w="1134" w:type="dxa"/>
          </w:tcPr>
          <w:p w:rsidR="00461E11" w:rsidRPr="00461E11" w:rsidRDefault="00461E11" w:rsidP="00461E11">
            <w:pPr>
              <w:widowControl w:val="0"/>
              <w:spacing w:after="0" w:line="276" w:lineRule="auto"/>
              <w:jc w:val="center"/>
              <w:cnfStyle w:val="000000000000"/>
              <w:rPr>
                <w:rFonts w:cs="Arial"/>
                <w:b/>
                <w:color w:val="auto"/>
                <w:sz w:val="20"/>
                <w:szCs w:val="20"/>
              </w:rPr>
            </w:pPr>
            <w:r w:rsidRPr="00461E11">
              <w:rPr>
                <w:rFonts w:cs="Arial"/>
                <w:b/>
                <w:color w:val="auto"/>
                <w:sz w:val="20"/>
                <w:szCs w:val="20"/>
              </w:rPr>
              <w:t>0</w:t>
            </w:r>
          </w:p>
        </w:tc>
        <w:tc>
          <w:tcPr>
            <w:cnfStyle w:val="000010000000"/>
            <w:tcW w:w="992"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b/>
                <w:color w:val="auto"/>
                <w:sz w:val="20"/>
                <w:szCs w:val="20"/>
              </w:rPr>
            </w:pPr>
            <w:r w:rsidRPr="00461E11">
              <w:rPr>
                <w:rFonts w:cs="Arial"/>
                <w:b/>
                <w:color w:val="auto"/>
                <w:sz w:val="20"/>
                <w:szCs w:val="20"/>
              </w:rPr>
              <w:t>(0.8)</w:t>
            </w:r>
          </w:p>
        </w:tc>
        <w:tc>
          <w:tcPr>
            <w:cnfStyle w:val="000100000000"/>
            <w:tcW w:w="1240" w:type="dxa"/>
            <w:tcBorders>
              <w:lef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(0.2)</w:t>
            </w:r>
          </w:p>
        </w:tc>
      </w:tr>
      <w:tr w:rsidR="00461E11"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461E11" w:rsidRPr="00461E11" w:rsidRDefault="00461E11" w:rsidP="00E451FD">
            <w:pPr>
              <w:widowControl w:val="0"/>
              <w:spacing w:after="0" w:line="276" w:lineRule="auto"/>
              <w:rPr>
                <w:rFonts w:cs="Arial"/>
                <w:b w:val="0"/>
                <w:color w:val="auto"/>
                <w:sz w:val="20"/>
                <w:szCs w:val="20"/>
              </w:rPr>
            </w:pPr>
            <w:r w:rsidRPr="00461E11">
              <w:rPr>
                <w:rFonts w:cs="Arial"/>
                <w:b w:val="0"/>
                <w:color w:val="auto"/>
                <w:sz w:val="20"/>
                <w:szCs w:val="20"/>
              </w:rPr>
              <w:t>Assets</w:t>
            </w:r>
          </w:p>
        </w:tc>
        <w:tc>
          <w:tcPr>
            <w:cnfStyle w:val="000010000000"/>
            <w:tcW w:w="850"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0.7</w:t>
            </w:r>
          </w:p>
        </w:tc>
        <w:tc>
          <w:tcPr>
            <w:tcW w:w="1134" w:type="dxa"/>
            <w:tcBorders>
              <w:top w:val="none" w:sz="0" w:space="0" w:color="auto"/>
              <w:bottom w:val="none" w:sz="0" w:space="0" w:color="auto"/>
            </w:tcBorders>
          </w:tcPr>
          <w:p w:rsidR="00461E11" w:rsidRPr="00461E11" w:rsidRDefault="00461E11" w:rsidP="00461E11">
            <w:pPr>
              <w:widowControl w:val="0"/>
              <w:spacing w:after="0" w:line="276" w:lineRule="auto"/>
              <w:jc w:val="center"/>
              <w:cnfStyle w:val="000000100000"/>
              <w:rPr>
                <w:rFonts w:cs="Arial"/>
                <w:color w:val="auto"/>
                <w:sz w:val="20"/>
                <w:szCs w:val="20"/>
              </w:rPr>
            </w:pPr>
            <w:r w:rsidRPr="00461E11">
              <w:rPr>
                <w:rFonts w:cs="Arial"/>
                <w:color w:val="auto"/>
                <w:sz w:val="20"/>
                <w:szCs w:val="20"/>
              </w:rPr>
              <w:t>0.1</w:t>
            </w:r>
          </w:p>
        </w:tc>
        <w:tc>
          <w:tcPr>
            <w:cnfStyle w:val="000010000000"/>
            <w:tcW w:w="1134" w:type="dxa"/>
            <w:tcBorders>
              <w:top w:val="none" w:sz="0" w:space="0" w:color="auto"/>
              <w:left w:val="none" w:sz="0" w:space="0" w:color="auto"/>
              <w:bottom w:val="none" w:sz="0" w:space="0" w:color="auto"/>
              <w:right w:val="none" w:sz="0" w:space="0" w:color="auto"/>
            </w:tcBorders>
          </w:tcPr>
          <w:p w:rsidR="00461E11" w:rsidRPr="00461E11" w:rsidRDefault="003912B8" w:rsidP="00461E11">
            <w:pPr>
              <w:widowControl w:val="0"/>
              <w:spacing w:after="0" w:line="276" w:lineRule="auto"/>
              <w:jc w:val="center"/>
              <w:rPr>
                <w:rFonts w:cs="Arial"/>
                <w:color w:val="auto"/>
                <w:sz w:val="20"/>
                <w:szCs w:val="20"/>
              </w:rPr>
            </w:pPr>
            <w:r>
              <w:rPr>
                <w:rFonts w:cs="Arial"/>
                <w:color w:val="auto"/>
                <w:sz w:val="20"/>
                <w:szCs w:val="20"/>
              </w:rPr>
              <w:t>4.0</w:t>
            </w:r>
          </w:p>
        </w:tc>
        <w:tc>
          <w:tcPr>
            <w:tcW w:w="1134" w:type="dxa"/>
            <w:tcBorders>
              <w:top w:val="none" w:sz="0" w:space="0" w:color="auto"/>
              <w:bottom w:val="none" w:sz="0" w:space="0" w:color="auto"/>
            </w:tcBorders>
          </w:tcPr>
          <w:p w:rsidR="00461E11" w:rsidRPr="00461E11" w:rsidRDefault="003912B8" w:rsidP="003912B8">
            <w:pPr>
              <w:widowControl w:val="0"/>
              <w:spacing w:after="0" w:line="276" w:lineRule="auto"/>
              <w:jc w:val="center"/>
              <w:cnfStyle w:val="000000100000"/>
              <w:rPr>
                <w:rFonts w:cs="Arial"/>
                <w:color w:val="auto"/>
                <w:sz w:val="20"/>
                <w:szCs w:val="20"/>
              </w:rPr>
            </w:pPr>
            <w:r>
              <w:rPr>
                <w:rFonts w:cs="Arial"/>
                <w:color w:val="auto"/>
                <w:sz w:val="20"/>
                <w:szCs w:val="20"/>
              </w:rPr>
              <w:t>1.0</w:t>
            </w:r>
          </w:p>
        </w:tc>
        <w:tc>
          <w:tcPr>
            <w:cnfStyle w:val="000010000000"/>
            <w:tcW w:w="992"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2.9</w:t>
            </w:r>
          </w:p>
        </w:tc>
        <w:tc>
          <w:tcPr>
            <w:cnfStyle w:val="000100000000"/>
            <w:tcW w:w="1240" w:type="dxa"/>
            <w:tcBorders>
              <w:top w:val="none" w:sz="0" w:space="0" w:color="auto"/>
              <w:left w:val="none" w:sz="0" w:space="0" w:color="auto"/>
              <w:bottom w:val="none" w:sz="0" w:space="0" w:color="auto"/>
            </w:tcBorders>
          </w:tcPr>
          <w:p w:rsidR="00461E11" w:rsidRPr="00461E11" w:rsidRDefault="00461E11" w:rsidP="00461E11">
            <w:pPr>
              <w:widowControl w:val="0"/>
              <w:spacing w:after="0" w:line="276" w:lineRule="auto"/>
              <w:jc w:val="center"/>
              <w:rPr>
                <w:rFonts w:cs="Arial"/>
                <w:b w:val="0"/>
                <w:color w:val="auto"/>
                <w:sz w:val="20"/>
                <w:szCs w:val="20"/>
              </w:rPr>
            </w:pPr>
            <w:r w:rsidRPr="00461E11">
              <w:rPr>
                <w:rFonts w:cs="Arial"/>
                <w:b w:val="0"/>
                <w:color w:val="auto"/>
                <w:sz w:val="20"/>
                <w:szCs w:val="20"/>
              </w:rPr>
              <w:t>0.7</w:t>
            </w:r>
          </w:p>
        </w:tc>
      </w:tr>
      <w:tr w:rsidR="00461E11" w:rsidRPr="00461E11" w:rsidTr="00E5683F">
        <w:tc>
          <w:tcPr>
            <w:cnfStyle w:val="001000000000"/>
            <w:tcW w:w="3369" w:type="dxa"/>
            <w:tcBorders>
              <w:right w:val="none" w:sz="0" w:space="0" w:color="auto"/>
            </w:tcBorders>
          </w:tcPr>
          <w:p w:rsidR="00461E11" w:rsidRPr="00461E11" w:rsidRDefault="00461E11" w:rsidP="00E451FD">
            <w:pPr>
              <w:widowControl w:val="0"/>
              <w:spacing w:after="0" w:line="276" w:lineRule="auto"/>
              <w:rPr>
                <w:rFonts w:cs="Arial"/>
                <w:b w:val="0"/>
                <w:color w:val="auto"/>
                <w:sz w:val="20"/>
                <w:szCs w:val="20"/>
              </w:rPr>
            </w:pPr>
            <w:r w:rsidRPr="00461E11">
              <w:rPr>
                <w:rFonts w:cs="Arial"/>
                <w:b w:val="0"/>
                <w:color w:val="auto"/>
                <w:sz w:val="20"/>
                <w:szCs w:val="20"/>
              </w:rPr>
              <w:t>Liabilities</w:t>
            </w:r>
          </w:p>
        </w:tc>
        <w:tc>
          <w:tcPr>
            <w:cnfStyle w:val="000010000000"/>
            <w:tcW w:w="850"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(2.2)</w:t>
            </w:r>
          </w:p>
        </w:tc>
        <w:tc>
          <w:tcPr>
            <w:tcW w:w="1134" w:type="dxa"/>
          </w:tcPr>
          <w:p w:rsidR="00461E11" w:rsidRPr="00461E11" w:rsidRDefault="00461E11" w:rsidP="00461E11">
            <w:pPr>
              <w:widowControl w:val="0"/>
              <w:spacing w:after="0" w:line="276" w:lineRule="auto"/>
              <w:jc w:val="center"/>
              <w:cnfStyle w:val="000000000000"/>
              <w:rPr>
                <w:rFonts w:cs="Arial"/>
                <w:color w:val="auto"/>
                <w:sz w:val="20"/>
                <w:szCs w:val="20"/>
              </w:rPr>
            </w:pPr>
            <w:r w:rsidRPr="00461E11">
              <w:rPr>
                <w:rFonts w:cs="Arial"/>
                <w:color w:val="auto"/>
                <w:sz w:val="20"/>
                <w:szCs w:val="20"/>
              </w:rPr>
              <w:t>(0.4)</w:t>
            </w:r>
          </w:p>
        </w:tc>
        <w:tc>
          <w:tcPr>
            <w:cnfStyle w:val="000010000000"/>
            <w:tcW w:w="1134" w:type="dxa"/>
            <w:tcBorders>
              <w:left w:val="none" w:sz="0" w:space="0" w:color="auto"/>
              <w:right w:val="none" w:sz="0" w:space="0" w:color="auto"/>
            </w:tcBorders>
          </w:tcPr>
          <w:p w:rsidR="00461E11" w:rsidRPr="00461E11" w:rsidRDefault="003912B8" w:rsidP="00461E11">
            <w:pPr>
              <w:widowControl w:val="0"/>
              <w:spacing w:after="0" w:line="276" w:lineRule="auto"/>
              <w:jc w:val="center"/>
              <w:rPr>
                <w:rFonts w:cs="Arial"/>
                <w:color w:val="auto"/>
                <w:sz w:val="20"/>
                <w:szCs w:val="20"/>
              </w:rPr>
            </w:pPr>
            <w:r>
              <w:rPr>
                <w:rFonts w:cs="Arial"/>
                <w:color w:val="auto"/>
                <w:sz w:val="20"/>
                <w:szCs w:val="20"/>
              </w:rPr>
              <w:t>(2.5)</w:t>
            </w:r>
          </w:p>
        </w:tc>
        <w:tc>
          <w:tcPr>
            <w:tcW w:w="1134" w:type="dxa"/>
          </w:tcPr>
          <w:p w:rsidR="00461E11" w:rsidRPr="00461E11" w:rsidRDefault="003912B8" w:rsidP="003912B8">
            <w:pPr>
              <w:widowControl w:val="0"/>
              <w:spacing w:after="0" w:line="276" w:lineRule="auto"/>
              <w:jc w:val="center"/>
              <w:cnfStyle w:val="000000000000"/>
              <w:rPr>
                <w:rFonts w:cs="Arial"/>
                <w:color w:val="auto"/>
                <w:sz w:val="20"/>
                <w:szCs w:val="20"/>
              </w:rPr>
            </w:pPr>
            <w:r>
              <w:rPr>
                <w:rFonts w:cs="Arial"/>
                <w:color w:val="auto"/>
                <w:sz w:val="20"/>
                <w:szCs w:val="20"/>
              </w:rPr>
              <w:t>(0.6)</w:t>
            </w:r>
          </w:p>
        </w:tc>
        <w:tc>
          <w:tcPr>
            <w:cnfStyle w:val="000010000000"/>
            <w:tcW w:w="992" w:type="dxa"/>
            <w:tcBorders>
              <w:left w:val="none" w:sz="0" w:space="0" w:color="auto"/>
              <w:right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(0.9)</w:t>
            </w:r>
          </w:p>
        </w:tc>
        <w:tc>
          <w:tcPr>
            <w:cnfStyle w:val="000100000000"/>
            <w:tcW w:w="1240" w:type="dxa"/>
            <w:tcBorders>
              <w:left w:val="none" w:sz="0" w:space="0" w:color="auto"/>
            </w:tcBorders>
          </w:tcPr>
          <w:p w:rsidR="00461E11" w:rsidRPr="00461E11" w:rsidRDefault="00461E11" w:rsidP="00461E11">
            <w:pPr>
              <w:widowControl w:val="0"/>
              <w:spacing w:after="0" w:line="276" w:lineRule="auto"/>
              <w:jc w:val="center"/>
              <w:rPr>
                <w:rFonts w:cs="Arial"/>
                <w:b w:val="0"/>
                <w:color w:val="auto"/>
                <w:sz w:val="20"/>
                <w:szCs w:val="20"/>
              </w:rPr>
            </w:pPr>
            <w:r w:rsidRPr="00461E11">
              <w:rPr>
                <w:rFonts w:cs="Arial"/>
                <w:b w:val="0"/>
                <w:color w:val="auto"/>
                <w:sz w:val="20"/>
                <w:szCs w:val="20"/>
              </w:rPr>
              <w:t>(0.2)</w:t>
            </w:r>
          </w:p>
        </w:tc>
      </w:tr>
      <w:tr w:rsidR="00461E11"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461E11" w:rsidRPr="00461E11" w:rsidRDefault="00461E11" w:rsidP="00E451FD">
            <w:pPr>
              <w:widowControl w:val="0"/>
              <w:spacing w:after="0" w:line="276" w:lineRule="auto"/>
              <w:rPr>
                <w:rFonts w:cs="Arial"/>
                <w:color w:val="auto"/>
                <w:sz w:val="20"/>
                <w:szCs w:val="20"/>
              </w:rPr>
            </w:pPr>
            <w:r w:rsidRPr="00461E11">
              <w:rPr>
                <w:rFonts w:cs="Arial"/>
                <w:color w:val="auto"/>
                <w:sz w:val="20"/>
                <w:szCs w:val="20"/>
              </w:rPr>
              <w:t>Total Capital &amp; Reserves</w:t>
            </w:r>
          </w:p>
        </w:tc>
        <w:tc>
          <w:tcPr>
            <w:cnfStyle w:val="000010000000"/>
            <w:tcW w:w="850"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b/>
                <w:color w:val="auto"/>
                <w:sz w:val="20"/>
                <w:szCs w:val="20"/>
              </w:rPr>
            </w:pPr>
            <w:r w:rsidRPr="00461E11">
              <w:rPr>
                <w:rFonts w:cs="Arial"/>
                <w:b/>
                <w:color w:val="auto"/>
                <w:sz w:val="20"/>
                <w:szCs w:val="20"/>
              </w:rPr>
              <w:t>(1.5)</w:t>
            </w:r>
          </w:p>
        </w:tc>
        <w:tc>
          <w:tcPr>
            <w:tcW w:w="1134" w:type="dxa"/>
            <w:tcBorders>
              <w:top w:val="none" w:sz="0" w:space="0" w:color="auto"/>
              <w:bottom w:val="none" w:sz="0" w:space="0" w:color="auto"/>
            </w:tcBorders>
          </w:tcPr>
          <w:p w:rsidR="00461E11" w:rsidRPr="00461E11" w:rsidRDefault="00461E11" w:rsidP="00461E11">
            <w:pPr>
              <w:widowControl w:val="0"/>
              <w:spacing w:after="0" w:line="276" w:lineRule="auto"/>
              <w:jc w:val="center"/>
              <w:cnfStyle w:val="000000100000"/>
              <w:rPr>
                <w:rFonts w:cs="Arial"/>
                <w:b/>
                <w:color w:val="auto"/>
                <w:sz w:val="20"/>
                <w:szCs w:val="20"/>
              </w:rPr>
            </w:pPr>
            <w:r w:rsidRPr="00461E11">
              <w:rPr>
                <w:rFonts w:cs="Arial"/>
                <w:b/>
                <w:color w:val="auto"/>
                <w:sz w:val="20"/>
                <w:szCs w:val="20"/>
              </w:rPr>
              <w:t>(0.3)</w:t>
            </w:r>
          </w:p>
        </w:tc>
        <w:tc>
          <w:tcPr>
            <w:cnfStyle w:val="000010000000"/>
            <w:tcW w:w="1134"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b/>
                <w:color w:val="auto"/>
                <w:sz w:val="20"/>
                <w:szCs w:val="20"/>
              </w:rPr>
            </w:pPr>
            <w:r w:rsidRPr="00461E11">
              <w:rPr>
                <w:rFonts w:cs="Arial"/>
                <w:b/>
                <w:color w:val="auto"/>
                <w:sz w:val="20"/>
                <w:szCs w:val="20"/>
              </w:rPr>
              <w:t>1.</w:t>
            </w:r>
            <w:r w:rsidR="003912B8">
              <w:rPr>
                <w:rFonts w:cs="Arial"/>
                <w:b/>
                <w:color w:val="auto"/>
                <w:sz w:val="20"/>
                <w:szCs w:val="20"/>
              </w:rPr>
              <w:t>5</w:t>
            </w:r>
          </w:p>
        </w:tc>
        <w:tc>
          <w:tcPr>
            <w:tcW w:w="1134" w:type="dxa"/>
            <w:tcBorders>
              <w:top w:val="none" w:sz="0" w:space="0" w:color="auto"/>
              <w:bottom w:val="none" w:sz="0" w:space="0" w:color="auto"/>
            </w:tcBorders>
          </w:tcPr>
          <w:p w:rsidR="00461E11" w:rsidRPr="00461E11" w:rsidRDefault="00461E11" w:rsidP="00461E11">
            <w:pPr>
              <w:widowControl w:val="0"/>
              <w:spacing w:after="0" w:line="276" w:lineRule="auto"/>
              <w:jc w:val="center"/>
              <w:cnfStyle w:val="000000100000"/>
              <w:rPr>
                <w:rFonts w:cs="Arial"/>
                <w:b/>
                <w:color w:val="auto"/>
                <w:sz w:val="20"/>
                <w:szCs w:val="20"/>
              </w:rPr>
            </w:pPr>
            <w:r w:rsidRPr="00461E11">
              <w:rPr>
                <w:rFonts w:cs="Arial"/>
                <w:b/>
                <w:color w:val="auto"/>
                <w:sz w:val="20"/>
                <w:szCs w:val="20"/>
              </w:rPr>
              <w:t>0.4</w:t>
            </w:r>
          </w:p>
        </w:tc>
        <w:tc>
          <w:tcPr>
            <w:cnfStyle w:val="000010000000"/>
            <w:tcW w:w="992" w:type="dxa"/>
            <w:tcBorders>
              <w:top w:val="none" w:sz="0" w:space="0" w:color="auto"/>
              <w:left w:val="none" w:sz="0" w:space="0" w:color="auto"/>
              <w:bottom w:val="none" w:sz="0" w:space="0" w:color="auto"/>
              <w:right w:val="none" w:sz="0" w:space="0" w:color="auto"/>
            </w:tcBorders>
          </w:tcPr>
          <w:p w:rsidR="00461E11" w:rsidRPr="00461E11" w:rsidRDefault="00461E11" w:rsidP="00461E11">
            <w:pPr>
              <w:widowControl w:val="0"/>
              <w:spacing w:after="0" w:line="276" w:lineRule="auto"/>
              <w:jc w:val="center"/>
              <w:rPr>
                <w:rFonts w:cs="Arial"/>
                <w:b/>
                <w:color w:val="auto"/>
                <w:sz w:val="20"/>
                <w:szCs w:val="20"/>
              </w:rPr>
            </w:pPr>
            <w:r w:rsidRPr="00461E11">
              <w:rPr>
                <w:rFonts w:cs="Arial"/>
                <w:b/>
                <w:color w:val="auto"/>
                <w:sz w:val="20"/>
                <w:szCs w:val="20"/>
              </w:rPr>
              <w:t>2.0</w:t>
            </w:r>
          </w:p>
        </w:tc>
        <w:tc>
          <w:tcPr>
            <w:cnfStyle w:val="000100000000"/>
            <w:tcW w:w="1240" w:type="dxa"/>
            <w:tcBorders>
              <w:top w:val="none" w:sz="0" w:space="0" w:color="auto"/>
              <w:left w:val="none" w:sz="0" w:space="0" w:color="auto"/>
              <w:bottom w:val="none" w:sz="0" w:space="0" w:color="auto"/>
            </w:tcBorders>
          </w:tcPr>
          <w:p w:rsidR="00461E11" w:rsidRPr="00461E11" w:rsidRDefault="00461E11" w:rsidP="00461E11">
            <w:pPr>
              <w:widowControl w:val="0"/>
              <w:spacing w:after="0" w:line="276" w:lineRule="auto"/>
              <w:jc w:val="center"/>
              <w:rPr>
                <w:rFonts w:cs="Arial"/>
                <w:color w:val="auto"/>
                <w:sz w:val="20"/>
                <w:szCs w:val="20"/>
              </w:rPr>
            </w:pPr>
            <w:r w:rsidRPr="00461E11">
              <w:rPr>
                <w:rFonts w:cs="Arial"/>
                <w:color w:val="auto"/>
                <w:sz w:val="20"/>
                <w:szCs w:val="20"/>
              </w:rPr>
              <w:t>0.5</w:t>
            </w:r>
          </w:p>
        </w:tc>
      </w:tr>
      <w:tr w:rsidR="00461E11" w:rsidRPr="00461E11" w:rsidTr="00E5683F">
        <w:tc>
          <w:tcPr>
            <w:cnfStyle w:val="001000000000"/>
            <w:tcW w:w="3369" w:type="dxa"/>
            <w:tcBorders>
              <w:right w:val="none" w:sz="0" w:space="0" w:color="auto"/>
            </w:tcBorders>
          </w:tcPr>
          <w:p w:rsidR="00461E11" w:rsidRPr="00461E11" w:rsidRDefault="00461E11" w:rsidP="00461E11">
            <w:pPr>
              <w:widowControl w:val="0"/>
              <w:spacing w:after="0" w:line="276" w:lineRule="auto"/>
              <w:rPr>
                <w:rFonts w:cs="Arial"/>
                <w:color w:val="auto"/>
                <w:sz w:val="20"/>
                <w:szCs w:val="20"/>
              </w:rPr>
            </w:pPr>
            <w:r w:rsidRPr="00461E11">
              <w:rPr>
                <w:rFonts w:cs="Arial"/>
                <w:color w:val="auto"/>
                <w:sz w:val="20"/>
                <w:szCs w:val="20"/>
              </w:rPr>
              <w:lastRenderedPageBreak/>
              <w:t>2015/16</w:t>
            </w:r>
          </w:p>
        </w:tc>
        <w:tc>
          <w:tcPr>
            <w:cnfStyle w:val="000010000000"/>
            <w:tcW w:w="850" w:type="dxa"/>
            <w:tcBorders>
              <w:left w:val="none" w:sz="0" w:space="0" w:color="auto"/>
              <w:right w:val="none" w:sz="0" w:space="0" w:color="auto"/>
            </w:tcBorders>
          </w:tcPr>
          <w:p w:rsidR="00461E11" w:rsidRPr="00461E11" w:rsidRDefault="00461E11" w:rsidP="00061169">
            <w:pPr>
              <w:widowControl w:val="0"/>
              <w:spacing w:after="0" w:line="276" w:lineRule="auto"/>
              <w:jc w:val="center"/>
              <w:rPr>
                <w:rFonts w:cs="Arial"/>
                <w:color w:val="auto"/>
                <w:sz w:val="20"/>
                <w:szCs w:val="20"/>
              </w:rPr>
            </w:pPr>
            <w:r w:rsidRPr="00461E11">
              <w:rPr>
                <w:rFonts w:cs="Arial"/>
                <w:color w:val="auto"/>
                <w:sz w:val="20"/>
                <w:szCs w:val="20"/>
              </w:rPr>
              <w:t>*</w:t>
            </w:r>
          </w:p>
        </w:tc>
        <w:tc>
          <w:tcPr>
            <w:tcW w:w="1134" w:type="dxa"/>
          </w:tcPr>
          <w:p w:rsidR="00461E11" w:rsidRPr="00461E11" w:rsidRDefault="00461E11" w:rsidP="00061169">
            <w:pPr>
              <w:widowControl w:val="0"/>
              <w:spacing w:after="0" w:line="276" w:lineRule="auto"/>
              <w:jc w:val="center"/>
              <w:cnfStyle w:val="000000000000"/>
              <w:rPr>
                <w:rFonts w:cs="Arial"/>
                <w:color w:val="auto"/>
                <w:sz w:val="20"/>
                <w:szCs w:val="20"/>
              </w:rPr>
            </w:pPr>
          </w:p>
        </w:tc>
        <w:tc>
          <w:tcPr>
            <w:cnfStyle w:val="000010000000"/>
            <w:tcW w:w="1134" w:type="dxa"/>
            <w:tcBorders>
              <w:left w:val="none" w:sz="0" w:space="0" w:color="auto"/>
              <w:right w:val="none" w:sz="0" w:space="0" w:color="auto"/>
            </w:tcBorders>
          </w:tcPr>
          <w:p w:rsidR="00461E11" w:rsidRPr="00461E11" w:rsidRDefault="00461E11" w:rsidP="00061169">
            <w:pPr>
              <w:widowControl w:val="0"/>
              <w:spacing w:after="0" w:line="276" w:lineRule="auto"/>
              <w:jc w:val="center"/>
              <w:rPr>
                <w:rFonts w:cs="Arial"/>
                <w:color w:val="auto"/>
                <w:sz w:val="20"/>
                <w:szCs w:val="20"/>
              </w:rPr>
            </w:pPr>
            <w:r w:rsidRPr="00461E11">
              <w:rPr>
                <w:rFonts w:cs="Arial"/>
                <w:color w:val="auto"/>
                <w:sz w:val="20"/>
                <w:szCs w:val="20"/>
              </w:rPr>
              <w:t>**</w:t>
            </w:r>
          </w:p>
        </w:tc>
        <w:tc>
          <w:tcPr>
            <w:tcW w:w="1134" w:type="dxa"/>
          </w:tcPr>
          <w:p w:rsidR="00461E11" w:rsidRPr="00461E11" w:rsidRDefault="00461E11" w:rsidP="00061169">
            <w:pPr>
              <w:widowControl w:val="0"/>
              <w:spacing w:after="0" w:line="276" w:lineRule="auto"/>
              <w:jc w:val="center"/>
              <w:cnfStyle w:val="000000000000"/>
              <w:rPr>
                <w:rFonts w:cs="Arial"/>
                <w:color w:val="auto"/>
                <w:sz w:val="20"/>
                <w:szCs w:val="20"/>
              </w:rPr>
            </w:pPr>
          </w:p>
        </w:tc>
        <w:tc>
          <w:tcPr>
            <w:cnfStyle w:val="000010000000"/>
            <w:tcW w:w="992" w:type="dxa"/>
            <w:tcBorders>
              <w:left w:val="none" w:sz="0" w:space="0" w:color="auto"/>
              <w:right w:val="none" w:sz="0" w:space="0" w:color="auto"/>
            </w:tcBorders>
          </w:tcPr>
          <w:p w:rsidR="00461E11" w:rsidRPr="00461E11" w:rsidRDefault="002A50F6" w:rsidP="00061169">
            <w:pPr>
              <w:widowControl w:val="0"/>
              <w:spacing w:after="0" w:line="276" w:lineRule="auto"/>
              <w:jc w:val="center"/>
              <w:rPr>
                <w:rFonts w:cs="Arial"/>
                <w:color w:val="auto"/>
                <w:sz w:val="20"/>
                <w:szCs w:val="20"/>
              </w:rPr>
            </w:pPr>
            <w:r>
              <w:rPr>
                <w:rFonts w:cs="Arial"/>
                <w:color w:val="auto"/>
                <w:sz w:val="20"/>
                <w:szCs w:val="20"/>
              </w:rPr>
              <w:t>-</w:t>
            </w:r>
          </w:p>
        </w:tc>
        <w:tc>
          <w:tcPr>
            <w:cnfStyle w:val="000100000000"/>
            <w:tcW w:w="1240" w:type="dxa"/>
            <w:tcBorders>
              <w:left w:val="none" w:sz="0" w:space="0" w:color="auto"/>
            </w:tcBorders>
          </w:tcPr>
          <w:p w:rsidR="00461E11" w:rsidRPr="00461E11" w:rsidRDefault="002A50F6" w:rsidP="00061169">
            <w:pPr>
              <w:widowControl w:val="0"/>
              <w:spacing w:after="0" w:line="276" w:lineRule="auto"/>
              <w:jc w:val="center"/>
              <w:rPr>
                <w:rFonts w:cs="Arial"/>
                <w:b w:val="0"/>
                <w:color w:val="auto"/>
                <w:sz w:val="20"/>
                <w:szCs w:val="20"/>
              </w:rPr>
            </w:pPr>
            <w:r>
              <w:rPr>
                <w:rFonts w:cs="Arial"/>
                <w:b w:val="0"/>
                <w:color w:val="auto"/>
                <w:sz w:val="20"/>
                <w:szCs w:val="20"/>
              </w:rPr>
              <w:t>-</w:t>
            </w:r>
          </w:p>
        </w:tc>
      </w:tr>
      <w:tr w:rsidR="002A50F6"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2A50F6" w:rsidRPr="00461E11" w:rsidRDefault="002A50F6" w:rsidP="00E451FD">
            <w:pPr>
              <w:widowControl w:val="0"/>
              <w:spacing w:after="0" w:line="276" w:lineRule="auto"/>
              <w:rPr>
                <w:rFonts w:cs="Arial"/>
                <w:b w:val="0"/>
                <w:color w:val="auto"/>
                <w:sz w:val="20"/>
                <w:szCs w:val="20"/>
              </w:rPr>
            </w:pPr>
            <w:r w:rsidRPr="00461E11">
              <w:rPr>
                <w:rFonts w:cs="Arial"/>
                <w:b w:val="0"/>
                <w:color w:val="auto"/>
                <w:sz w:val="20"/>
                <w:szCs w:val="20"/>
              </w:rPr>
              <w:t>Income</w:t>
            </w:r>
          </w:p>
        </w:tc>
        <w:tc>
          <w:tcPr>
            <w:cnfStyle w:val="000010000000"/>
            <w:tcW w:w="850" w:type="dxa"/>
            <w:tcBorders>
              <w:top w:val="none" w:sz="0" w:space="0" w:color="auto"/>
              <w:left w:val="none" w:sz="0" w:space="0" w:color="auto"/>
              <w:bottom w:val="none" w:sz="0" w:space="0" w:color="auto"/>
              <w:right w:val="none" w:sz="0" w:space="0" w:color="auto"/>
            </w:tcBorders>
          </w:tcPr>
          <w:p w:rsidR="002A50F6" w:rsidRPr="00461E11" w:rsidRDefault="0058066A" w:rsidP="00E451FD">
            <w:pPr>
              <w:widowControl w:val="0"/>
              <w:spacing w:after="0" w:line="276" w:lineRule="auto"/>
              <w:jc w:val="center"/>
              <w:rPr>
                <w:rFonts w:cs="Arial"/>
                <w:color w:val="auto"/>
                <w:sz w:val="20"/>
                <w:szCs w:val="20"/>
              </w:rPr>
            </w:pPr>
            <w:r>
              <w:rPr>
                <w:rFonts w:cs="Arial"/>
                <w:color w:val="auto"/>
                <w:sz w:val="20"/>
                <w:szCs w:val="20"/>
              </w:rPr>
              <w:t>(15.1)</w:t>
            </w:r>
          </w:p>
        </w:tc>
        <w:tc>
          <w:tcPr>
            <w:tcW w:w="1134" w:type="dxa"/>
            <w:tcBorders>
              <w:top w:val="none" w:sz="0" w:space="0" w:color="auto"/>
              <w:bottom w:val="none" w:sz="0" w:space="0" w:color="auto"/>
            </w:tcBorders>
          </w:tcPr>
          <w:p w:rsidR="002A50F6" w:rsidRPr="00461E11" w:rsidRDefault="0058066A" w:rsidP="00E451FD">
            <w:pPr>
              <w:widowControl w:val="0"/>
              <w:spacing w:after="0" w:line="276" w:lineRule="auto"/>
              <w:jc w:val="center"/>
              <w:cnfStyle w:val="000000100000"/>
              <w:rPr>
                <w:rFonts w:cs="Arial"/>
                <w:color w:val="auto"/>
                <w:sz w:val="20"/>
                <w:szCs w:val="20"/>
              </w:rPr>
            </w:pPr>
            <w:r>
              <w:rPr>
                <w:rFonts w:cs="Arial"/>
                <w:color w:val="auto"/>
                <w:sz w:val="20"/>
                <w:szCs w:val="20"/>
              </w:rPr>
              <w:t>(3.0)</w:t>
            </w:r>
          </w:p>
        </w:tc>
        <w:tc>
          <w:tcPr>
            <w:cnfStyle w:val="000010000000"/>
            <w:tcW w:w="1134" w:type="dxa"/>
            <w:tcBorders>
              <w:top w:val="none" w:sz="0" w:space="0" w:color="auto"/>
              <w:left w:val="none" w:sz="0" w:space="0" w:color="auto"/>
              <w:bottom w:val="none" w:sz="0" w:space="0" w:color="auto"/>
              <w:right w:val="none" w:sz="0" w:space="0" w:color="auto"/>
            </w:tcBorders>
          </w:tcPr>
          <w:p w:rsidR="002A50F6" w:rsidRPr="00461E11" w:rsidRDefault="003912B8" w:rsidP="00E451FD">
            <w:pPr>
              <w:widowControl w:val="0"/>
              <w:spacing w:after="0" w:line="276" w:lineRule="auto"/>
              <w:jc w:val="center"/>
              <w:rPr>
                <w:rFonts w:cs="Arial"/>
                <w:color w:val="auto"/>
                <w:sz w:val="20"/>
                <w:szCs w:val="20"/>
              </w:rPr>
            </w:pPr>
            <w:r>
              <w:rPr>
                <w:rFonts w:cs="Arial"/>
                <w:color w:val="auto"/>
                <w:sz w:val="20"/>
                <w:szCs w:val="20"/>
              </w:rPr>
              <w:t>(7.7)</w:t>
            </w:r>
          </w:p>
        </w:tc>
        <w:tc>
          <w:tcPr>
            <w:tcW w:w="1134" w:type="dxa"/>
            <w:tcBorders>
              <w:top w:val="none" w:sz="0" w:space="0" w:color="auto"/>
              <w:bottom w:val="none" w:sz="0" w:space="0" w:color="auto"/>
            </w:tcBorders>
          </w:tcPr>
          <w:p w:rsidR="002A50F6" w:rsidRPr="00461E11" w:rsidRDefault="003912B8" w:rsidP="00E451FD">
            <w:pPr>
              <w:widowControl w:val="0"/>
              <w:spacing w:after="0" w:line="276" w:lineRule="auto"/>
              <w:jc w:val="center"/>
              <w:cnfStyle w:val="000000100000"/>
              <w:rPr>
                <w:rFonts w:cs="Arial"/>
                <w:color w:val="auto"/>
                <w:sz w:val="20"/>
                <w:szCs w:val="20"/>
              </w:rPr>
            </w:pPr>
            <w:r>
              <w:rPr>
                <w:rFonts w:cs="Arial"/>
                <w:color w:val="auto"/>
                <w:sz w:val="20"/>
                <w:szCs w:val="20"/>
              </w:rPr>
              <w:t>(1.9)</w:t>
            </w:r>
          </w:p>
        </w:tc>
        <w:tc>
          <w:tcPr>
            <w:cnfStyle w:val="000010000000"/>
            <w:tcW w:w="992" w:type="dxa"/>
            <w:tcBorders>
              <w:top w:val="none" w:sz="0" w:space="0" w:color="auto"/>
              <w:left w:val="none" w:sz="0" w:space="0" w:color="auto"/>
              <w:bottom w:val="none" w:sz="0" w:space="0" w:color="auto"/>
              <w:right w:val="none" w:sz="0" w:space="0" w:color="auto"/>
            </w:tcBorders>
          </w:tcPr>
          <w:p w:rsidR="002A50F6" w:rsidRPr="00461E11" w:rsidRDefault="002A50F6" w:rsidP="00F82E5E">
            <w:pPr>
              <w:widowControl w:val="0"/>
              <w:spacing w:after="0" w:line="276" w:lineRule="auto"/>
              <w:jc w:val="center"/>
              <w:rPr>
                <w:rFonts w:cs="Arial"/>
                <w:color w:val="auto"/>
                <w:sz w:val="20"/>
                <w:szCs w:val="20"/>
              </w:rPr>
            </w:pPr>
            <w:r>
              <w:rPr>
                <w:rFonts w:cs="Arial"/>
                <w:color w:val="auto"/>
                <w:sz w:val="20"/>
                <w:szCs w:val="20"/>
              </w:rPr>
              <w:t>-</w:t>
            </w:r>
          </w:p>
        </w:tc>
        <w:tc>
          <w:tcPr>
            <w:cnfStyle w:val="000100000000"/>
            <w:tcW w:w="1240" w:type="dxa"/>
            <w:tcBorders>
              <w:top w:val="none" w:sz="0" w:space="0" w:color="auto"/>
              <w:left w:val="none" w:sz="0" w:space="0" w:color="auto"/>
              <w:bottom w:val="none" w:sz="0" w:space="0" w:color="auto"/>
            </w:tcBorders>
          </w:tcPr>
          <w:p w:rsidR="002A50F6" w:rsidRPr="00461E11" w:rsidRDefault="002A50F6" w:rsidP="00F82E5E">
            <w:pPr>
              <w:widowControl w:val="0"/>
              <w:spacing w:after="0" w:line="276" w:lineRule="auto"/>
              <w:jc w:val="center"/>
              <w:rPr>
                <w:rFonts w:cs="Arial"/>
                <w:b w:val="0"/>
                <w:color w:val="auto"/>
                <w:sz w:val="20"/>
                <w:szCs w:val="20"/>
              </w:rPr>
            </w:pPr>
            <w:r>
              <w:rPr>
                <w:rFonts w:cs="Arial"/>
                <w:b w:val="0"/>
                <w:color w:val="auto"/>
                <w:sz w:val="20"/>
                <w:szCs w:val="20"/>
              </w:rPr>
              <w:t>-</w:t>
            </w:r>
          </w:p>
        </w:tc>
      </w:tr>
      <w:tr w:rsidR="002A50F6" w:rsidRPr="00461E11" w:rsidTr="00E5683F">
        <w:tc>
          <w:tcPr>
            <w:cnfStyle w:val="001000000000"/>
            <w:tcW w:w="3369" w:type="dxa"/>
            <w:tcBorders>
              <w:right w:val="none" w:sz="0" w:space="0" w:color="auto"/>
            </w:tcBorders>
          </w:tcPr>
          <w:p w:rsidR="002A50F6" w:rsidRPr="00461E11" w:rsidRDefault="002A50F6" w:rsidP="00E451FD">
            <w:pPr>
              <w:widowControl w:val="0"/>
              <w:spacing w:after="0" w:line="276" w:lineRule="auto"/>
              <w:rPr>
                <w:rFonts w:cs="Arial"/>
                <w:b w:val="0"/>
                <w:color w:val="auto"/>
                <w:sz w:val="20"/>
                <w:szCs w:val="20"/>
              </w:rPr>
            </w:pPr>
            <w:r w:rsidRPr="00461E11">
              <w:rPr>
                <w:rFonts w:cs="Arial"/>
                <w:b w:val="0"/>
                <w:color w:val="auto"/>
                <w:sz w:val="20"/>
                <w:szCs w:val="20"/>
              </w:rPr>
              <w:t>Expenditure</w:t>
            </w:r>
          </w:p>
        </w:tc>
        <w:tc>
          <w:tcPr>
            <w:cnfStyle w:val="000010000000"/>
            <w:tcW w:w="850" w:type="dxa"/>
            <w:tcBorders>
              <w:left w:val="none" w:sz="0" w:space="0" w:color="auto"/>
              <w:right w:val="none" w:sz="0" w:space="0" w:color="auto"/>
            </w:tcBorders>
          </w:tcPr>
          <w:p w:rsidR="002A50F6" w:rsidRPr="00461E11" w:rsidRDefault="0058066A" w:rsidP="00E451FD">
            <w:pPr>
              <w:widowControl w:val="0"/>
              <w:spacing w:after="0" w:line="276" w:lineRule="auto"/>
              <w:jc w:val="center"/>
              <w:rPr>
                <w:rFonts w:cs="Arial"/>
                <w:color w:val="auto"/>
                <w:sz w:val="20"/>
                <w:szCs w:val="20"/>
              </w:rPr>
            </w:pPr>
            <w:r>
              <w:rPr>
                <w:rFonts w:cs="Arial"/>
                <w:color w:val="auto"/>
                <w:sz w:val="20"/>
                <w:szCs w:val="20"/>
              </w:rPr>
              <w:t>14.5</w:t>
            </w:r>
          </w:p>
        </w:tc>
        <w:tc>
          <w:tcPr>
            <w:tcW w:w="1134" w:type="dxa"/>
          </w:tcPr>
          <w:p w:rsidR="002A50F6" w:rsidRPr="00461E11" w:rsidRDefault="0058066A" w:rsidP="00E451FD">
            <w:pPr>
              <w:widowControl w:val="0"/>
              <w:spacing w:after="0" w:line="276" w:lineRule="auto"/>
              <w:jc w:val="center"/>
              <w:cnfStyle w:val="000000000000"/>
              <w:rPr>
                <w:rFonts w:cs="Arial"/>
                <w:color w:val="auto"/>
                <w:sz w:val="20"/>
                <w:szCs w:val="20"/>
              </w:rPr>
            </w:pPr>
            <w:r>
              <w:rPr>
                <w:rFonts w:cs="Arial"/>
                <w:color w:val="auto"/>
                <w:sz w:val="20"/>
                <w:szCs w:val="20"/>
              </w:rPr>
              <w:t>2.9</w:t>
            </w:r>
          </w:p>
        </w:tc>
        <w:tc>
          <w:tcPr>
            <w:cnfStyle w:val="000010000000"/>
            <w:tcW w:w="1134" w:type="dxa"/>
            <w:tcBorders>
              <w:left w:val="none" w:sz="0" w:space="0" w:color="auto"/>
              <w:right w:val="none" w:sz="0" w:space="0" w:color="auto"/>
            </w:tcBorders>
          </w:tcPr>
          <w:p w:rsidR="002A50F6" w:rsidRPr="00461E11" w:rsidRDefault="003912B8" w:rsidP="00356CD6">
            <w:pPr>
              <w:widowControl w:val="0"/>
              <w:spacing w:after="0" w:line="276" w:lineRule="auto"/>
              <w:jc w:val="center"/>
              <w:rPr>
                <w:rFonts w:cs="Arial"/>
                <w:color w:val="auto"/>
                <w:sz w:val="20"/>
                <w:szCs w:val="20"/>
              </w:rPr>
            </w:pPr>
            <w:r>
              <w:rPr>
                <w:rFonts w:cs="Arial"/>
                <w:color w:val="auto"/>
                <w:sz w:val="20"/>
                <w:szCs w:val="20"/>
              </w:rPr>
              <w:t>7.6</w:t>
            </w:r>
          </w:p>
        </w:tc>
        <w:tc>
          <w:tcPr>
            <w:tcW w:w="1134" w:type="dxa"/>
          </w:tcPr>
          <w:p w:rsidR="002A50F6" w:rsidRPr="00461E11" w:rsidRDefault="003912B8" w:rsidP="00E451FD">
            <w:pPr>
              <w:widowControl w:val="0"/>
              <w:spacing w:after="0" w:line="276" w:lineRule="auto"/>
              <w:jc w:val="center"/>
              <w:cnfStyle w:val="000000000000"/>
              <w:rPr>
                <w:rFonts w:cs="Arial"/>
                <w:color w:val="auto"/>
                <w:sz w:val="20"/>
                <w:szCs w:val="20"/>
              </w:rPr>
            </w:pPr>
            <w:r>
              <w:rPr>
                <w:rFonts w:cs="Arial"/>
                <w:color w:val="auto"/>
                <w:sz w:val="20"/>
                <w:szCs w:val="20"/>
              </w:rPr>
              <w:t>1.9</w:t>
            </w:r>
          </w:p>
        </w:tc>
        <w:tc>
          <w:tcPr>
            <w:cnfStyle w:val="000010000000"/>
            <w:tcW w:w="992" w:type="dxa"/>
            <w:tcBorders>
              <w:left w:val="none" w:sz="0" w:space="0" w:color="auto"/>
              <w:right w:val="none" w:sz="0" w:space="0" w:color="auto"/>
            </w:tcBorders>
          </w:tcPr>
          <w:p w:rsidR="002A50F6" w:rsidRPr="00461E11" w:rsidRDefault="002A50F6" w:rsidP="00E451FD">
            <w:pPr>
              <w:widowControl w:val="0"/>
              <w:spacing w:after="0" w:line="276" w:lineRule="auto"/>
              <w:jc w:val="center"/>
              <w:rPr>
                <w:rFonts w:cs="Arial"/>
                <w:color w:val="auto"/>
                <w:sz w:val="20"/>
                <w:szCs w:val="20"/>
              </w:rPr>
            </w:pPr>
            <w:r>
              <w:rPr>
                <w:rFonts w:cs="Arial"/>
                <w:color w:val="auto"/>
                <w:sz w:val="20"/>
                <w:szCs w:val="20"/>
              </w:rPr>
              <w:t>-</w:t>
            </w:r>
          </w:p>
        </w:tc>
        <w:tc>
          <w:tcPr>
            <w:cnfStyle w:val="000100000000"/>
            <w:tcW w:w="1240" w:type="dxa"/>
            <w:tcBorders>
              <w:left w:val="none" w:sz="0" w:space="0" w:color="auto"/>
            </w:tcBorders>
          </w:tcPr>
          <w:p w:rsidR="002A50F6" w:rsidRPr="00461E11" w:rsidRDefault="002A50F6" w:rsidP="00A54A4B">
            <w:pPr>
              <w:widowControl w:val="0"/>
              <w:spacing w:after="0" w:line="276" w:lineRule="auto"/>
              <w:jc w:val="center"/>
              <w:rPr>
                <w:rFonts w:cs="Arial"/>
                <w:b w:val="0"/>
                <w:color w:val="auto"/>
                <w:sz w:val="20"/>
                <w:szCs w:val="20"/>
              </w:rPr>
            </w:pPr>
            <w:r>
              <w:rPr>
                <w:rFonts w:cs="Arial"/>
                <w:b w:val="0"/>
                <w:color w:val="auto"/>
                <w:sz w:val="20"/>
                <w:szCs w:val="20"/>
              </w:rPr>
              <w:t>-</w:t>
            </w:r>
          </w:p>
        </w:tc>
      </w:tr>
      <w:tr w:rsidR="002A50F6"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2A50F6" w:rsidRPr="00461E11" w:rsidRDefault="002A50F6" w:rsidP="00E451FD">
            <w:pPr>
              <w:widowControl w:val="0"/>
              <w:spacing w:after="0" w:line="276" w:lineRule="auto"/>
              <w:rPr>
                <w:rFonts w:cs="Arial"/>
                <w:color w:val="auto"/>
                <w:sz w:val="20"/>
                <w:szCs w:val="20"/>
              </w:rPr>
            </w:pPr>
            <w:r w:rsidRPr="00461E11">
              <w:rPr>
                <w:rFonts w:cs="Arial"/>
                <w:color w:val="auto"/>
                <w:sz w:val="20"/>
                <w:szCs w:val="20"/>
              </w:rPr>
              <w:t>Operating (Profit) or Loss</w:t>
            </w:r>
          </w:p>
        </w:tc>
        <w:tc>
          <w:tcPr>
            <w:cnfStyle w:val="000010000000"/>
            <w:tcW w:w="850" w:type="dxa"/>
            <w:tcBorders>
              <w:top w:val="none" w:sz="0" w:space="0" w:color="auto"/>
              <w:left w:val="none" w:sz="0" w:space="0" w:color="auto"/>
              <w:bottom w:val="none" w:sz="0" w:space="0" w:color="auto"/>
              <w:right w:val="none" w:sz="0" w:space="0" w:color="auto"/>
            </w:tcBorders>
          </w:tcPr>
          <w:p w:rsidR="002A50F6" w:rsidRPr="00461E11" w:rsidRDefault="0058066A" w:rsidP="00E451FD">
            <w:pPr>
              <w:widowControl w:val="0"/>
              <w:spacing w:after="0" w:line="276" w:lineRule="auto"/>
              <w:jc w:val="center"/>
              <w:rPr>
                <w:rFonts w:cs="Arial"/>
                <w:b/>
                <w:color w:val="auto"/>
                <w:sz w:val="20"/>
                <w:szCs w:val="20"/>
              </w:rPr>
            </w:pPr>
            <w:r>
              <w:rPr>
                <w:rFonts w:cs="Arial"/>
                <w:b/>
                <w:color w:val="auto"/>
                <w:sz w:val="20"/>
                <w:szCs w:val="20"/>
              </w:rPr>
              <w:t>(0.6)</w:t>
            </w:r>
          </w:p>
        </w:tc>
        <w:tc>
          <w:tcPr>
            <w:tcW w:w="1134" w:type="dxa"/>
            <w:tcBorders>
              <w:top w:val="none" w:sz="0" w:space="0" w:color="auto"/>
              <w:bottom w:val="none" w:sz="0" w:space="0" w:color="auto"/>
            </w:tcBorders>
          </w:tcPr>
          <w:p w:rsidR="002A50F6" w:rsidRPr="00461E11" w:rsidRDefault="0058066A" w:rsidP="00E451FD">
            <w:pPr>
              <w:widowControl w:val="0"/>
              <w:spacing w:after="0" w:line="276" w:lineRule="auto"/>
              <w:jc w:val="center"/>
              <w:cnfStyle w:val="000000100000"/>
              <w:rPr>
                <w:rFonts w:cs="Arial"/>
                <w:b/>
                <w:color w:val="auto"/>
                <w:sz w:val="20"/>
                <w:szCs w:val="20"/>
              </w:rPr>
            </w:pPr>
            <w:r>
              <w:rPr>
                <w:rFonts w:cs="Arial"/>
                <w:b/>
                <w:color w:val="auto"/>
                <w:sz w:val="20"/>
                <w:szCs w:val="20"/>
              </w:rPr>
              <w:t>(0.1)</w:t>
            </w:r>
          </w:p>
        </w:tc>
        <w:tc>
          <w:tcPr>
            <w:cnfStyle w:val="000010000000"/>
            <w:tcW w:w="1134" w:type="dxa"/>
            <w:tcBorders>
              <w:top w:val="none" w:sz="0" w:space="0" w:color="auto"/>
              <w:left w:val="none" w:sz="0" w:space="0" w:color="auto"/>
              <w:bottom w:val="none" w:sz="0" w:space="0" w:color="auto"/>
              <w:right w:val="none" w:sz="0" w:space="0" w:color="auto"/>
            </w:tcBorders>
          </w:tcPr>
          <w:p w:rsidR="002A50F6" w:rsidRPr="00461E11" w:rsidRDefault="003912B8" w:rsidP="00EC7A3F">
            <w:pPr>
              <w:widowControl w:val="0"/>
              <w:spacing w:after="0" w:line="276" w:lineRule="auto"/>
              <w:jc w:val="center"/>
              <w:rPr>
                <w:rFonts w:cs="Arial"/>
                <w:b/>
                <w:color w:val="auto"/>
                <w:sz w:val="20"/>
                <w:szCs w:val="20"/>
              </w:rPr>
            </w:pPr>
            <w:r>
              <w:rPr>
                <w:rFonts w:cs="Arial"/>
                <w:b/>
                <w:color w:val="auto"/>
                <w:sz w:val="20"/>
                <w:szCs w:val="20"/>
              </w:rPr>
              <w:t>(0.1)</w:t>
            </w:r>
          </w:p>
        </w:tc>
        <w:tc>
          <w:tcPr>
            <w:tcW w:w="1134" w:type="dxa"/>
            <w:tcBorders>
              <w:top w:val="none" w:sz="0" w:space="0" w:color="auto"/>
              <w:bottom w:val="none" w:sz="0" w:space="0" w:color="auto"/>
            </w:tcBorders>
          </w:tcPr>
          <w:p w:rsidR="002A50F6" w:rsidRPr="00461E11" w:rsidRDefault="003912B8" w:rsidP="00E451FD">
            <w:pPr>
              <w:widowControl w:val="0"/>
              <w:spacing w:after="0" w:line="276" w:lineRule="auto"/>
              <w:jc w:val="center"/>
              <w:cnfStyle w:val="000000100000"/>
              <w:rPr>
                <w:rFonts w:cs="Arial"/>
                <w:b/>
                <w:color w:val="auto"/>
                <w:sz w:val="20"/>
                <w:szCs w:val="20"/>
              </w:rPr>
            </w:pPr>
            <w:r>
              <w:rPr>
                <w:rFonts w:cs="Arial"/>
                <w:b/>
                <w:color w:val="auto"/>
                <w:sz w:val="20"/>
                <w:szCs w:val="20"/>
              </w:rPr>
              <w:t>0</w:t>
            </w:r>
          </w:p>
        </w:tc>
        <w:tc>
          <w:tcPr>
            <w:cnfStyle w:val="000010000000"/>
            <w:tcW w:w="992" w:type="dxa"/>
            <w:tcBorders>
              <w:top w:val="none" w:sz="0" w:space="0" w:color="auto"/>
              <w:left w:val="none" w:sz="0" w:space="0" w:color="auto"/>
              <w:bottom w:val="none" w:sz="0" w:space="0" w:color="auto"/>
              <w:right w:val="none" w:sz="0" w:space="0" w:color="auto"/>
            </w:tcBorders>
          </w:tcPr>
          <w:p w:rsidR="002A50F6" w:rsidRPr="00461E11" w:rsidRDefault="002A50F6" w:rsidP="00E451FD">
            <w:pPr>
              <w:widowControl w:val="0"/>
              <w:spacing w:after="0" w:line="276" w:lineRule="auto"/>
              <w:jc w:val="center"/>
              <w:rPr>
                <w:rFonts w:cs="Arial"/>
                <w:b/>
                <w:color w:val="auto"/>
                <w:sz w:val="20"/>
                <w:szCs w:val="20"/>
              </w:rPr>
            </w:pPr>
            <w:r>
              <w:rPr>
                <w:rFonts w:cs="Arial"/>
                <w:b/>
                <w:color w:val="auto"/>
                <w:sz w:val="20"/>
                <w:szCs w:val="20"/>
              </w:rPr>
              <w:t>-</w:t>
            </w:r>
          </w:p>
        </w:tc>
        <w:tc>
          <w:tcPr>
            <w:cnfStyle w:val="000100000000"/>
            <w:tcW w:w="1240" w:type="dxa"/>
            <w:tcBorders>
              <w:top w:val="none" w:sz="0" w:space="0" w:color="auto"/>
              <w:left w:val="none" w:sz="0" w:space="0" w:color="auto"/>
              <w:bottom w:val="none" w:sz="0" w:space="0" w:color="auto"/>
            </w:tcBorders>
          </w:tcPr>
          <w:p w:rsidR="002A50F6" w:rsidRPr="00461E11" w:rsidRDefault="002A50F6" w:rsidP="00E451FD">
            <w:pPr>
              <w:widowControl w:val="0"/>
              <w:spacing w:after="0" w:line="276" w:lineRule="auto"/>
              <w:jc w:val="center"/>
              <w:rPr>
                <w:rFonts w:cs="Arial"/>
                <w:color w:val="auto"/>
                <w:sz w:val="20"/>
                <w:szCs w:val="20"/>
              </w:rPr>
            </w:pPr>
            <w:r>
              <w:rPr>
                <w:rFonts w:cs="Arial"/>
                <w:color w:val="auto"/>
                <w:sz w:val="20"/>
                <w:szCs w:val="20"/>
              </w:rPr>
              <w:t>-</w:t>
            </w:r>
          </w:p>
        </w:tc>
      </w:tr>
      <w:tr w:rsidR="002A50F6" w:rsidRPr="00461E11" w:rsidTr="00E5683F">
        <w:tc>
          <w:tcPr>
            <w:cnfStyle w:val="001000000000"/>
            <w:tcW w:w="3369" w:type="dxa"/>
            <w:tcBorders>
              <w:right w:val="none" w:sz="0" w:space="0" w:color="auto"/>
            </w:tcBorders>
          </w:tcPr>
          <w:p w:rsidR="002A50F6" w:rsidRPr="00461E11" w:rsidRDefault="002A50F6" w:rsidP="00E451FD">
            <w:pPr>
              <w:widowControl w:val="0"/>
              <w:spacing w:after="0" w:line="276" w:lineRule="auto"/>
              <w:rPr>
                <w:rFonts w:cs="Arial"/>
                <w:b w:val="0"/>
                <w:color w:val="auto"/>
                <w:sz w:val="20"/>
                <w:szCs w:val="20"/>
              </w:rPr>
            </w:pPr>
            <w:r w:rsidRPr="00461E11">
              <w:rPr>
                <w:rFonts w:cs="Arial"/>
                <w:b w:val="0"/>
                <w:color w:val="auto"/>
                <w:sz w:val="20"/>
                <w:szCs w:val="20"/>
              </w:rPr>
              <w:t>Other comprehensive income and expenditure</w:t>
            </w:r>
          </w:p>
        </w:tc>
        <w:tc>
          <w:tcPr>
            <w:cnfStyle w:val="000010000000"/>
            <w:tcW w:w="850" w:type="dxa"/>
            <w:tcBorders>
              <w:left w:val="none" w:sz="0" w:space="0" w:color="auto"/>
              <w:right w:val="none" w:sz="0" w:space="0" w:color="auto"/>
            </w:tcBorders>
          </w:tcPr>
          <w:p w:rsidR="002A50F6" w:rsidRPr="00461E11" w:rsidRDefault="0058066A" w:rsidP="00E451FD">
            <w:pPr>
              <w:widowControl w:val="0"/>
              <w:spacing w:after="0" w:line="276" w:lineRule="auto"/>
              <w:jc w:val="center"/>
              <w:rPr>
                <w:rFonts w:cs="Arial"/>
                <w:color w:val="auto"/>
                <w:sz w:val="20"/>
                <w:szCs w:val="20"/>
              </w:rPr>
            </w:pPr>
            <w:r>
              <w:rPr>
                <w:rFonts w:cs="Arial"/>
                <w:color w:val="auto"/>
                <w:sz w:val="20"/>
                <w:szCs w:val="20"/>
              </w:rPr>
              <w:t>0</w:t>
            </w:r>
          </w:p>
        </w:tc>
        <w:tc>
          <w:tcPr>
            <w:tcW w:w="1134" w:type="dxa"/>
          </w:tcPr>
          <w:p w:rsidR="002A50F6" w:rsidRPr="00461E11" w:rsidRDefault="0058066A" w:rsidP="00E451FD">
            <w:pPr>
              <w:widowControl w:val="0"/>
              <w:spacing w:after="0" w:line="276" w:lineRule="auto"/>
              <w:jc w:val="center"/>
              <w:cnfStyle w:val="000000000000"/>
              <w:rPr>
                <w:rFonts w:cs="Arial"/>
                <w:color w:val="auto"/>
                <w:sz w:val="20"/>
                <w:szCs w:val="20"/>
              </w:rPr>
            </w:pPr>
            <w:r>
              <w:rPr>
                <w:rFonts w:cs="Arial"/>
                <w:color w:val="auto"/>
                <w:sz w:val="20"/>
                <w:szCs w:val="20"/>
              </w:rPr>
              <w:t>0</w:t>
            </w:r>
          </w:p>
        </w:tc>
        <w:tc>
          <w:tcPr>
            <w:cnfStyle w:val="000010000000"/>
            <w:tcW w:w="1134" w:type="dxa"/>
            <w:tcBorders>
              <w:left w:val="none" w:sz="0" w:space="0" w:color="auto"/>
              <w:right w:val="none" w:sz="0" w:space="0" w:color="auto"/>
            </w:tcBorders>
          </w:tcPr>
          <w:p w:rsidR="002A50F6" w:rsidRPr="00461E11" w:rsidRDefault="003912B8" w:rsidP="00EC7A3F">
            <w:pPr>
              <w:widowControl w:val="0"/>
              <w:spacing w:after="0" w:line="276" w:lineRule="auto"/>
              <w:jc w:val="center"/>
              <w:rPr>
                <w:rFonts w:cs="Arial"/>
                <w:color w:val="auto"/>
                <w:sz w:val="20"/>
                <w:szCs w:val="20"/>
              </w:rPr>
            </w:pPr>
            <w:r>
              <w:rPr>
                <w:rFonts w:cs="Arial"/>
                <w:color w:val="auto"/>
                <w:sz w:val="20"/>
                <w:szCs w:val="20"/>
              </w:rPr>
              <w:t>0</w:t>
            </w:r>
          </w:p>
        </w:tc>
        <w:tc>
          <w:tcPr>
            <w:tcW w:w="1134" w:type="dxa"/>
          </w:tcPr>
          <w:p w:rsidR="002A50F6" w:rsidRPr="00461E11" w:rsidRDefault="003912B8" w:rsidP="00E451FD">
            <w:pPr>
              <w:widowControl w:val="0"/>
              <w:spacing w:after="0" w:line="276" w:lineRule="auto"/>
              <w:jc w:val="center"/>
              <w:cnfStyle w:val="000000000000"/>
              <w:rPr>
                <w:rFonts w:cs="Arial"/>
                <w:color w:val="auto"/>
                <w:sz w:val="20"/>
                <w:szCs w:val="20"/>
              </w:rPr>
            </w:pPr>
            <w:r>
              <w:rPr>
                <w:rFonts w:cs="Arial"/>
                <w:color w:val="auto"/>
                <w:sz w:val="20"/>
                <w:szCs w:val="20"/>
              </w:rPr>
              <w:t>0</w:t>
            </w:r>
          </w:p>
        </w:tc>
        <w:tc>
          <w:tcPr>
            <w:cnfStyle w:val="000010000000"/>
            <w:tcW w:w="992" w:type="dxa"/>
            <w:tcBorders>
              <w:left w:val="none" w:sz="0" w:space="0" w:color="auto"/>
              <w:right w:val="none" w:sz="0" w:space="0" w:color="auto"/>
            </w:tcBorders>
          </w:tcPr>
          <w:p w:rsidR="002A50F6" w:rsidRPr="00461E11" w:rsidRDefault="002A50F6" w:rsidP="00E451FD">
            <w:pPr>
              <w:widowControl w:val="0"/>
              <w:spacing w:after="0" w:line="276" w:lineRule="auto"/>
              <w:jc w:val="center"/>
              <w:rPr>
                <w:rFonts w:cs="Arial"/>
                <w:color w:val="auto"/>
                <w:sz w:val="20"/>
                <w:szCs w:val="20"/>
              </w:rPr>
            </w:pPr>
            <w:r>
              <w:rPr>
                <w:rFonts w:cs="Arial"/>
                <w:color w:val="auto"/>
                <w:sz w:val="20"/>
                <w:szCs w:val="20"/>
              </w:rPr>
              <w:t>-</w:t>
            </w:r>
          </w:p>
        </w:tc>
        <w:tc>
          <w:tcPr>
            <w:cnfStyle w:val="000100000000"/>
            <w:tcW w:w="1240" w:type="dxa"/>
            <w:tcBorders>
              <w:left w:val="none" w:sz="0" w:space="0" w:color="auto"/>
            </w:tcBorders>
          </w:tcPr>
          <w:p w:rsidR="002A50F6" w:rsidRPr="00461E11" w:rsidRDefault="002A50F6" w:rsidP="00E451FD">
            <w:pPr>
              <w:widowControl w:val="0"/>
              <w:spacing w:after="0" w:line="276" w:lineRule="auto"/>
              <w:jc w:val="center"/>
              <w:rPr>
                <w:rFonts w:cs="Arial"/>
                <w:b w:val="0"/>
                <w:color w:val="auto"/>
                <w:sz w:val="20"/>
                <w:szCs w:val="20"/>
              </w:rPr>
            </w:pPr>
            <w:r>
              <w:rPr>
                <w:rFonts w:cs="Arial"/>
                <w:b w:val="0"/>
                <w:color w:val="auto"/>
                <w:sz w:val="20"/>
                <w:szCs w:val="20"/>
              </w:rPr>
              <w:t>-</w:t>
            </w:r>
          </w:p>
        </w:tc>
      </w:tr>
      <w:tr w:rsidR="002A50F6"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2A50F6" w:rsidRPr="00461E11" w:rsidRDefault="002A50F6" w:rsidP="00E451FD">
            <w:pPr>
              <w:widowControl w:val="0"/>
              <w:spacing w:after="0" w:line="276" w:lineRule="auto"/>
              <w:rPr>
                <w:rFonts w:cs="Arial"/>
                <w:b w:val="0"/>
                <w:color w:val="auto"/>
                <w:sz w:val="20"/>
                <w:szCs w:val="20"/>
              </w:rPr>
            </w:pPr>
            <w:r w:rsidRPr="00461E11">
              <w:rPr>
                <w:rFonts w:cs="Arial"/>
                <w:b w:val="0"/>
                <w:color w:val="auto"/>
                <w:sz w:val="20"/>
                <w:szCs w:val="20"/>
              </w:rPr>
              <w:t>Actuarial (Gains)/Losses recognised in the pension scheme</w:t>
            </w:r>
          </w:p>
        </w:tc>
        <w:tc>
          <w:tcPr>
            <w:cnfStyle w:val="000010000000"/>
            <w:tcW w:w="850" w:type="dxa"/>
            <w:tcBorders>
              <w:top w:val="none" w:sz="0" w:space="0" w:color="auto"/>
              <w:left w:val="none" w:sz="0" w:space="0" w:color="auto"/>
              <w:bottom w:val="none" w:sz="0" w:space="0" w:color="auto"/>
              <w:right w:val="none" w:sz="0" w:space="0" w:color="auto"/>
            </w:tcBorders>
          </w:tcPr>
          <w:p w:rsidR="002A50F6" w:rsidRPr="00461E11" w:rsidRDefault="0058066A" w:rsidP="00E451FD">
            <w:pPr>
              <w:widowControl w:val="0"/>
              <w:spacing w:after="0" w:line="276" w:lineRule="auto"/>
              <w:jc w:val="center"/>
              <w:rPr>
                <w:rFonts w:cs="Arial"/>
                <w:color w:val="auto"/>
                <w:sz w:val="20"/>
                <w:szCs w:val="20"/>
              </w:rPr>
            </w:pPr>
            <w:r>
              <w:rPr>
                <w:rFonts w:cs="Arial"/>
                <w:color w:val="auto"/>
                <w:sz w:val="20"/>
                <w:szCs w:val="20"/>
              </w:rPr>
              <w:t>0</w:t>
            </w:r>
          </w:p>
        </w:tc>
        <w:tc>
          <w:tcPr>
            <w:tcW w:w="1134" w:type="dxa"/>
            <w:tcBorders>
              <w:top w:val="none" w:sz="0" w:space="0" w:color="auto"/>
              <w:bottom w:val="none" w:sz="0" w:space="0" w:color="auto"/>
            </w:tcBorders>
          </w:tcPr>
          <w:p w:rsidR="002A50F6" w:rsidRPr="00461E11" w:rsidRDefault="0058066A" w:rsidP="00E451FD">
            <w:pPr>
              <w:widowControl w:val="0"/>
              <w:spacing w:after="0" w:line="276" w:lineRule="auto"/>
              <w:jc w:val="center"/>
              <w:cnfStyle w:val="000000100000"/>
              <w:rPr>
                <w:rFonts w:cs="Arial"/>
                <w:color w:val="auto"/>
                <w:sz w:val="20"/>
                <w:szCs w:val="20"/>
              </w:rPr>
            </w:pPr>
            <w:r>
              <w:rPr>
                <w:rFonts w:cs="Arial"/>
                <w:color w:val="auto"/>
                <w:sz w:val="20"/>
                <w:szCs w:val="20"/>
              </w:rPr>
              <w:t>0</w:t>
            </w:r>
          </w:p>
        </w:tc>
        <w:tc>
          <w:tcPr>
            <w:cnfStyle w:val="000010000000"/>
            <w:tcW w:w="1134" w:type="dxa"/>
            <w:tcBorders>
              <w:top w:val="none" w:sz="0" w:space="0" w:color="auto"/>
              <w:left w:val="none" w:sz="0" w:space="0" w:color="auto"/>
              <w:bottom w:val="none" w:sz="0" w:space="0" w:color="auto"/>
              <w:right w:val="none" w:sz="0" w:space="0" w:color="auto"/>
            </w:tcBorders>
          </w:tcPr>
          <w:p w:rsidR="002A50F6" w:rsidRPr="00461E11" w:rsidRDefault="003912B8" w:rsidP="00E451FD">
            <w:pPr>
              <w:widowControl w:val="0"/>
              <w:spacing w:after="0" w:line="276" w:lineRule="auto"/>
              <w:jc w:val="center"/>
              <w:rPr>
                <w:rFonts w:cs="Arial"/>
                <w:color w:val="auto"/>
                <w:sz w:val="20"/>
                <w:szCs w:val="20"/>
              </w:rPr>
            </w:pPr>
            <w:r>
              <w:rPr>
                <w:rFonts w:cs="Arial"/>
                <w:color w:val="auto"/>
                <w:sz w:val="20"/>
                <w:szCs w:val="20"/>
              </w:rPr>
              <w:t>-</w:t>
            </w:r>
          </w:p>
        </w:tc>
        <w:tc>
          <w:tcPr>
            <w:tcW w:w="1134" w:type="dxa"/>
            <w:tcBorders>
              <w:top w:val="none" w:sz="0" w:space="0" w:color="auto"/>
              <w:bottom w:val="none" w:sz="0" w:space="0" w:color="auto"/>
            </w:tcBorders>
          </w:tcPr>
          <w:p w:rsidR="002A50F6" w:rsidRPr="00461E11" w:rsidRDefault="003912B8" w:rsidP="00E451FD">
            <w:pPr>
              <w:widowControl w:val="0"/>
              <w:spacing w:after="0" w:line="276" w:lineRule="auto"/>
              <w:jc w:val="center"/>
              <w:cnfStyle w:val="000000100000"/>
              <w:rPr>
                <w:rFonts w:cs="Arial"/>
                <w:color w:val="auto"/>
                <w:sz w:val="20"/>
                <w:szCs w:val="20"/>
              </w:rPr>
            </w:pPr>
            <w:r>
              <w:rPr>
                <w:rFonts w:cs="Arial"/>
                <w:color w:val="auto"/>
                <w:sz w:val="20"/>
                <w:szCs w:val="20"/>
              </w:rPr>
              <w:t>-</w:t>
            </w:r>
          </w:p>
        </w:tc>
        <w:tc>
          <w:tcPr>
            <w:cnfStyle w:val="000010000000"/>
            <w:tcW w:w="992" w:type="dxa"/>
            <w:tcBorders>
              <w:top w:val="none" w:sz="0" w:space="0" w:color="auto"/>
              <w:left w:val="none" w:sz="0" w:space="0" w:color="auto"/>
              <w:bottom w:val="none" w:sz="0" w:space="0" w:color="auto"/>
              <w:right w:val="none" w:sz="0" w:space="0" w:color="auto"/>
            </w:tcBorders>
          </w:tcPr>
          <w:p w:rsidR="002A50F6" w:rsidRPr="00461E11" w:rsidRDefault="002A50F6" w:rsidP="002A50F6">
            <w:pPr>
              <w:widowControl w:val="0"/>
              <w:spacing w:after="0" w:line="276" w:lineRule="auto"/>
              <w:jc w:val="center"/>
              <w:rPr>
                <w:rFonts w:cs="Arial"/>
                <w:color w:val="auto"/>
                <w:sz w:val="20"/>
                <w:szCs w:val="20"/>
              </w:rPr>
            </w:pPr>
            <w:r>
              <w:rPr>
                <w:rFonts w:cs="Arial"/>
                <w:color w:val="auto"/>
                <w:sz w:val="20"/>
                <w:szCs w:val="20"/>
              </w:rPr>
              <w:t>-</w:t>
            </w:r>
          </w:p>
        </w:tc>
        <w:tc>
          <w:tcPr>
            <w:cnfStyle w:val="000100000000"/>
            <w:tcW w:w="1240" w:type="dxa"/>
            <w:tcBorders>
              <w:top w:val="none" w:sz="0" w:space="0" w:color="auto"/>
              <w:left w:val="none" w:sz="0" w:space="0" w:color="auto"/>
              <w:bottom w:val="none" w:sz="0" w:space="0" w:color="auto"/>
            </w:tcBorders>
          </w:tcPr>
          <w:p w:rsidR="002A50F6" w:rsidRPr="00461E11" w:rsidRDefault="002A50F6" w:rsidP="00AB41AC">
            <w:pPr>
              <w:widowControl w:val="0"/>
              <w:spacing w:after="0" w:line="276" w:lineRule="auto"/>
              <w:jc w:val="center"/>
              <w:rPr>
                <w:rFonts w:cs="Arial"/>
                <w:color w:val="auto"/>
                <w:sz w:val="20"/>
                <w:szCs w:val="20"/>
              </w:rPr>
            </w:pPr>
            <w:r>
              <w:rPr>
                <w:rFonts w:cs="Arial"/>
                <w:color w:val="auto"/>
                <w:sz w:val="20"/>
                <w:szCs w:val="20"/>
              </w:rPr>
              <w:t>-</w:t>
            </w:r>
          </w:p>
        </w:tc>
      </w:tr>
      <w:tr w:rsidR="002A50F6" w:rsidRPr="00461E11" w:rsidTr="00E5683F">
        <w:tc>
          <w:tcPr>
            <w:cnfStyle w:val="001000000000"/>
            <w:tcW w:w="3369" w:type="dxa"/>
            <w:tcBorders>
              <w:right w:val="none" w:sz="0" w:space="0" w:color="auto"/>
            </w:tcBorders>
          </w:tcPr>
          <w:p w:rsidR="002A50F6" w:rsidRPr="00461E11" w:rsidRDefault="002A50F6" w:rsidP="00E451FD">
            <w:pPr>
              <w:widowControl w:val="0"/>
              <w:spacing w:after="0" w:line="276" w:lineRule="auto"/>
              <w:rPr>
                <w:rFonts w:cs="Arial"/>
                <w:b w:val="0"/>
                <w:color w:val="auto"/>
                <w:sz w:val="20"/>
                <w:szCs w:val="20"/>
              </w:rPr>
            </w:pPr>
            <w:r w:rsidRPr="00461E11">
              <w:rPr>
                <w:rFonts w:cs="Arial"/>
                <w:b w:val="0"/>
                <w:color w:val="auto"/>
                <w:sz w:val="20"/>
                <w:szCs w:val="20"/>
              </w:rPr>
              <w:t>Taxation</w:t>
            </w:r>
          </w:p>
        </w:tc>
        <w:tc>
          <w:tcPr>
            <w:cnfStyle w:val="000010000000"/>
            <w:tcW w:w="850" w:type="dxa"/>
            <w:tcBorders>
              <w:left w:val="none" w:sz="0" w:space="0" w:color="auto"/>
              <w:right w:val="none" w:sz="0" w:space="0" w:color="auto"/>
            </w:tcBorders>
          </w:tcPr>
          <w:p w:rsidR="002A50F6" w:rsidRPr="00461E11" w:rsidRDefault="0058066A" w:rsidP="00E451FD">
            <w:pPr>
              <w:widowControl w:val="0"/>
              <w:spacing w:after="0" w:line="276" w:lineRule="auto"/>
              <w:jc w:val="center"/>
              <w:rPr>
                <w:rFonts w:cs="Arial"/>
                <w:color w:val="auto"/>
                <w:sz w:val="20"/>
                <w:szCs w:val="20"/>
              </w:rPr>
            </w:pPr>
            <w:r>
              <w:rPr>
                <w:rFonts w:cs="Arial"/>
                <w:color w:val="auto"/>
                <w:sz w:val="20"/>
                <w:szCs w:val="20"/>
              </w:rPr>
              <w:t>0.1</w:t>
            </w:r>
          </w:p>
        </w:tc>
        <w:tc>
          <w:tcPr>
            <w:tcW w:w="1134" w:type="dxa"/>
          </w:tcPr>
          <w:p w:rsidR="002A50F6" w:rsidRPr="00461E11" w:rsidRDefault="0058066A" w:rsidP="00E451FD">
            <w:pPr>
              <w:widowControl w:val="0"/>
              <w:spacing w:after="0" w:line="276" w:lineRule="auto"/>
              <w:jc w:val="center"/>
              <w:cnfStyle w:val="000000000000"/>
              <w:rPr>
                <w:rFonts w:cs="Arial"/>
                <w:color w:val="auto"/>
                <w:sz w:val="20"/>
                <w:szCs w:val="20"/>
              </w:rPr>
            </w:pPr>
            <w:r>
              <w:rPr>
                <w:rFonts w:cs="Arial"/>
                <w:color w:val="auto"/>
                <w:sz w:val="20"/>
                <w:szCs w:val="20"/>
              </w:rPr>
              <w:t>0</w:t>
            </w:r>
          </w:p>
        </w:tc>
        <w:tc>
          <w:tcPr>
            <w:cnfStyle w:val="000010000000"/>
            <w:tcW w:w="1134" w:type="dxa"/>
            <w:tcBorders>
              <w:left w:val="none" w:sz="0" w:space="0" w:color="auto"/>
              <w:right w:val="none" w:sz="0" w:space="0" w:color="auto"/>
            </w:tcBorders>
          </w:tcPr>
          <w:p w:rsidR="002A50F6" w:rsidRPr="00461E11" w:rsidRDefault="003912B8" w:rsidP="00E451FD">
            <w:pPr>
              <w:widowControl w:val="0"/>
              <w:spacing w:after="0" w:line="276" w:lineRule="auto"/>
              <w:jc w:val="center"/>
              <w:rPr>
                <w:rFonts w:cs="Arial"/>
                <w:color w:val="auto"/>
                <w:sz w:val="20"/>
                <w:szCs w:val="20"/>
              </w:rPr>
            </w:pPr>
            <w:r>
              <w:rPr>
                <w:rFonts w:cs="Arial"/>
                <w:color w:val="auto"/>
                <w:sz w:val="20"/>
                <w:szCs w:val="20"/>
              </w:rPr>
              <w:t>0</w:t>
            </w:r>
          </w:p>
        </w:tc>
        <w:tc>
          <w:tcPr>
            <w:tcW w:w="1134" w:type="dxa"/>
          </w:tcPr>
          <w:p w:rsidR="002A50F6" w:rsidRPr="00461E11" w:rsidRDefault="003912B8" w:rsidP="00E451FD">
            <w:pPr>
              <w:widowControl w:val="0"/>
              <w:spacing w:after="0" w:line="276" w:lineRule="auto"/>
              <w:jc w:val="center"/>
              <w:cnfStyle w:val="000000000000"/>
              <w:rPr>
                <w:rFonts w:cs="Arial"/>
                <w:color w:val="auto"/>
                <w:sz w:val="20"/>
                <w:szCs w:val="20"/>
              </w:rPr>
            </w:pPr>
            <w:r>
              <w:rPr>
                <w:rFonts w:cs="Arial"/>
                <w:color w:val="auto"/>
                <w:sz w:val="20"/>
                <w:szCs w:val="20"/>
              </w:rPr>
              <w:t>0</w:t>
            </w:r>
          </w:p>
        </w:tc>
        <w:tc>
          <w:tcPr>
            <w:cnfStyle w:val="000010000000"/>
            <w:tcW w:w="992" w:type="dxa"/>
            <w:tcBorders>
              <w:left w:val="none" w:sz="0" w:space="0" w:color="auto"/>
              <w:right w:val="none" w:sz="0" w:space="0" w:color="auto"/>
            </w:tcBorders>
          </w:tcPr>
          <w:p w:rsidR="002A50F6" w:rsidRPr="00461E11" w:rsidRDefault="002A50F6" w:rsidP="00AB41AC">
            <w:pPr>
              <w:widowControl w:val="0"/>
              <w:spacing w:after="0" w:line="276" w:lineRule="auto"/>
              <w:jc w:val="center"/>
              <w:rPr>
                <w:rFonts w:cs="Arial"/>
                <w:color w:val="auto"/>
                <w:sz w:val="20"/>
                <w:szCs w:val="20"/>
              </w:rPr>
            </w:pPr>
            <w:r>
              <w:rPr>
                <w:rFonts w:cs="Arial"/>
                <w:color w:val="auto"/>
                <w:sz w:val="20"/>
                <w:szCs w:val="20"/>
              </w:rPr>
              <w:t>-</w:t>
            </w:r>
          </w:p>
        </w:tc>
        <w:tc>
          <w:tcPr>
            <w:cnfStyle w:val="000100000000"/>
            <w:tcW w:w="1240" w:type="dxa"/>
            <w:tcBorders>
              <w:left w:val="none" w:sz="0" w:space="0" w:color="auto"/>
            </w:tcBorders>
          </w:tcPr>
          <w:p w:rsidR="002A50F6" w:rsidRPr="00461E11" w:rsidRDefault="002A50F6" w:rsidP="00AB41AC">
            <w:pPr>
              <w:widowControl w:val="0"/>
              <w:spacing w:after="0" w:line="276" w:lineRule="auto"/>
              <w:jc w:val="center"/>
              <w:rPr>
                <w:rFonts w:cs="Arial"/>
                <w:b w:val="0"/>
                <w:color w:val="auto"/>
                <w:sz w:val="20"/>
                <w:szCs w:val="20"/>
              </w:rPr>
            </w:pPr>
            <w:r>
              <w:rPr>
                <w:rFonts w:cs="Arial"/>
                <w:b w:val="0"/>
                <w:color w:val="auto"/>
                <w:sz w:val="20"/>
                <w:szCs w:val="20"/>
              </w:rPr>
              <w:t>-</w:t>
            </w:r>
          </w:p>
        </w:tc>
      </w:tr>
      <w:tr w:rsidR="002A50F6"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2A50F6" w:rsidRPr="00461E11" w:rsidRDefault="002A50F6" w:rsidP="00E451FD">
            <w:pPr>
              <w:widowControl w:val="0"/>
              <w:spacing w:after="0" w:line="276" w:lineRule="auto"/>
              <w:rPr>
                <w:rFonts w:cs="Arial"/>
                <w:color w:val="auto"/>
                <w:sz w:val="20"/>
                <w:szCs w:val="20"/>
              </w:rPr>
            </w:pPr>
            <w:r w:rsidRPr="00461E11">
              <w:rPr>
                <w:rFonts w:cs="Arial"/>
                <w:color w:val="auto"/>
                <w:sz w:val="20"/>
                <w:szCs w:val="20"/>
              </w:rPr>
              <w:t>Total (Profit) or loss</w:t>
            </w:r>
          </w:p>
        </w:tc>
        <w:tc>
          <w:tcPr>
            <w:cnfStyle w:val="000010000000"/>
            <w:tcW w:w="850" w:type="dxa"/>
            <w:tcBorders>
              <w:top w:val="none" w:sz="0" w:space="0" w:color="auto"/>
              <w:left w:val="none" w:sz="0" w:space="0" w:color="auto"/>
              <w:bottom w:val="none" w:sz="0" w:space="0" w:color="auto"/>
              <w:right w:val="none" w:sz="0" w:space="0" w:color="auto"/>
            </w:tcBorders>
          </w:tcPr>
          <w:p w:rsidR="002A50F6" w:rsidRPr="00461E11" w:rsidRDefault="0058066A" w:rsidP="00E451FD">
            <w:pPr>
              <w:widowControl w:val="0"/>
              <w:spacing w:after="0" w:line="276" w:lineRule="auto"/>
              <w:jc w:val="center"/>
              <w:rPr>
                <w:rFonts w:cs="Arial"/>
                <w:b/>
                <w:color w:val="auto"/>
                <w:sz w:val="20"/>
                <w:szCs w:val="20"/>
              </w:rPr>
            </w:pPr>
            <w:r>
              <w:rPr>
                <w:rFonts w:cs="Arial"/>
                <w:b/>
                <w:color w:val="auto"/>
                <w:sz w:val="20"/>
                <w:szCs w:val="20"/>
              </w:rPr>
              <w:t>(0.5)</w:t>
            </w:r>
          </w:p>
        </w:tc>
        <w:tc>
          <w:tcPr>
            <w:tcW w:w="1134" w:type="dxa"/>
            <w:tcBorders>
              <w:top w:val="none" w:sz="0" w:space="0" w:color="auto"/>
              <w:bottom w:val="none" w:sz="0" w:space="0" w:color="auto"/>
            </w:tcBorders>
          </w:tcPr>
          <w:p w:rsidR="002A50F6" w:rsidRPr="00461E11" w:rsidRDefault="0058066A" w:rsidP="00E451FD">
            <w:pPr>
              <w:widowControl w:val="0"/>
              <w:spacing w:after="0" w:line="276" w:lineRule="auto"/>
              <w:jc w:val="center"/>
              <w:cnfStyle w:val="000000100000"/>
              <w:rPr>
                <w:rFonts w:cs="Arial"/>
                <w:b/>
                <w:color w:val="auto"/>
                <w:sz w:val="20"/>
                <w:szCs w:val="20"/>
              </w:rPr>
            </w:pPr>
            <w:r>
              <w:rPr>
                <w:rFonts w:cs="Arial"/>
                <w:b/>
                <w:color w:val="auto"/>
                <w:sz w:val="20"/>
                <w:szCs w:val="20"/>
              </w:rPr>
              <w:t>(0.1)</w:t>
            </w:r>
          </w:p>
        </w:tc>
        <w:tc>
          <w:tcPr>
            <w:cnfStyle w:val="000010000000"/>
            <w:tcW w:w="1134" w:type="dxa"/>
            <w:tcBorders>
              <w:top w:val="none" w:sz="0" w:space="0" w:color="auto"/>
              <w:left w:val="none" w:sz="0" w:space="0" w:color="auto"/>
              <w:bottom w:val="none" w:sz="0" w:space="0" w:color="auto"/>
              <w:right w:val="none" w:sz="0" w:space="0" w:color="auto"/>
            </w:tcBorders>
          </w:tcPr>
          <w:p w:rsidR="002A50F6" w:rsidRPr="00461E11" w:rsidRDefault="003912B8" w:rsidP="00EC7A3F">
            <w:pPr>
              <w:widowControl w:val="0"/>
              <w:spacing w:after="0" w:line="276" w:lineRule="auto"/>
              <w:jc w:val="center"/>
              <w:rPr>
                <w:rFonts w:cs="Arial"/>
                <w:b/>
                <w:color w:val="auto"/>
                <w:sz w:val="20"/>
                <w:szCs w:val="20"/>
              </w:rPr>
            </w:pPr>
            <w:r>
              <w:rPr>
                <w:rFonts w:cs="Arial"/>
                <w:b/>
                <w:color w:val="auto"/>
                <w:sz w:val="20"/>
                <w:szCs w:val="20"/>
              </w:rPr>
              <w:t>(0.1)</w:t>
            </w:r>
          </w:p>
        </w:tc>
        <w:tc>
          <w:tcPr>
            <w:tcW w:w="1134" w:type="dxa"/>
            <w:tcBorders>
              <w:top w:val="none" w:sz="0" w:space="0" w:color="auto"/>
              <w:bottom w:val="none" w:sz="0" w:space="0" w:color="auto"/>
            </w:tcBorders>
          </w:tcPr>
          <w:p w:rsidR="002A50F6" w:rsidRPr="00461E11" w:rsidRDefault="003912B8" w:rsidP="00EC7A3F">
            <w:pPr>
              <w:widowControl w:val="0"/>
              <w:spacing w:after="0" w:line="276" w:lineRule="auto"/>
              <w:jc w:val="center"/>
              <w:cnfStyle w:val="000000100000"/>
              <w:rPr>
                <w:rFonts w:cs="Arial"/>
                <w:b/>
                <w:color w:val="auto"/>
                <w:sz w:val="20"/>
                <w:szCs w:val="20"/>
              </w:rPr>
            </w:pPr>
            <w:r>
              <w:rPr>
                <w:rFonts w:cs="Arial"/>
                <w:b/>
                <w:color w:val="auto"/>
                <w:sz w:val="20"/>
                <w:szCs w:val="20"/>
              </w:rPr>
              <w:t>0</w:t>
            </w:r>
          </w:p>
        </w:tc>
        <w:tc>
          <w:tcPr>
            <w:cnfStyle w:val="000010000000"/>
            <w:tcW w:w="992" w:type="dxa"/>
            <w:tcBorders>
              <w:top w:val="none" w:sz="0" w:space="0" w:color="auto"/>
              <w:left w:val="none" w:sz="0" w:space="0" w:color="auto"/>
              <w:bottom w:val="none" w:sz="0" w:space="0" w:color="auto"/>
              <w:right w:val="none" w:sz="0" w:space="0" w:color="auto"/>
            </w:tcBorders>
          </w:tcPr>
          <w:p w:rsidR="002A50F6" w:rsidRPr="00461E11" w:rsidRDefault="002A50F6" w:rsidP="00AB41AC">
            <w:pPr>
              <w:widowControl w:val="0"/>
              <w:spacing w:after="0" w:line="276" w:lineRule="auto"/>
              <w:jc w:val="center"/>
              <w:rPr>
                <w:rFonts w:cs="Arial"/>
                <w:b/>
                <w:color w:val="auto"/>
                <w:sz w:val="20"/>
                <w:szCs w:val="20"/>
              </w:rPr>
            </w:pPr>
            <w:r>
              <w:rPr>
                <w:rFonts w:cs="Arial"/>
                <w:b/>
                <w:color w:val="auto"/>
                <w:sz w:val="20"/>
                <w:szCs w:val="20"/>
              </w:rPr>
              <w:t>-</w:t>
            </w:r>
          </w:p>
        </w:tc>
        <w:tc>
          <w:tcPr>
            <w:cnfStyle w:val="000100000000"/>
            <w:tcW w:w="1240" w:type="dxa"/>
            <w:tcBorders>
              <w:top w:val="none" w:sz="0" w:space="0" w:color="auto"/>
              <w:left w:val="none" w:sz="0" w:space="0" w:color="auto"/>
              <w:bottom w:val="none" w:sz="0" w:space="0" w:color="auto"/>
            </w:tcBorders>
          </w:tcPr>
          <w:p w:rsidR="002A50F6" w:rsidRPr="00461E11" w:rsidRDefault="002A50F6" w:rsidP="00AB41AC">
            <w:pPr>
              <w:widowControl w:val="0"/>
              <w:spacing w:after="0" w:line="276" w:lineRule="auto"/>
              <w:jc w:val="center"/>
              <w:rPr>
                <w:rFonts w:cs="Arial"/>
                <w:color w:val="auto"/>
                <w:sz w:val="20"/>
                <w:szCs w:val="20"/>
              </w:rPr>
            </w:pPr>
            <w:r>
              <w:rPr>
                <w:rFonts w:cs="Arial"/>
                <w:color w:val="auto"/>
                <w:sz w:val="20"/>
                <w:szCs w:val="20"/>
              </w:rPr>
              <w:t>-</w:t>
            </w:r>
          </w:p>
        </w:tc>
      </w:tr>
      <w:tr w:rsidR="002A50F6" w:rsidRPr="00461E11" w:rsidTr="00E5683F">
        <w:tc>
          <w:tcPr>
            <w:cnfStyle w:val="001000000000"/>
            <w:tcW w:w="3369" w:type="dxa"/>
            <w:tcBorders>
              <w:right w:val="none" w:sz="0" w:space="0" w:color="auto"/>
            </w:tcBorders>
          </w:tcPr>
          <w:p w:rsidR="002A50F6" w:rsidRPr="00461E11" w:rsidRDefault="002A50F6" w:rsidP="00AE4A5D">
            <w:pPr>
              <w:widowControl w:val="0"/>
              <w:spacing w:after="0" w:line="276" w:lineRule="auto"/>
              <w:rPr>
                <w:rFonts w:cs="Arial"/>
                <w:b w:val="0"/>
                <w:color w:val="auto"/>
                <w:sz w:val="20"/>
                <w:szCs w:val="20"/>
              </w:rPr>
            </w:pPr>
            <w:r w:rsidRPr="00461E11">
              <w:rPr>
                <w:rFonts w:cs="Arial"/>
                <w:b w:val="0"/>
                <w:color w:val="auto"/>
                <w:sz w:val="20"/>
                <w:szCs w:val="20"/>
              </w:rPr>
              <w:t>Fixed Assets &amp; Net Current Assets</w:t>
            </w:r>
          </w:p>
        </w:tc>
        <w:tc>
          <w:tcPr>
            <w:cnfStyle w:val="000010000000"/>
            <w:tcW w:w="850" w:type="dxa"/>
            <w:tcBorders>
              <w:left w:val="none" w:sz="0" w:space="0" w:color="auto"/>
              <w:right w:val="none" w:sz="0" w:space="0" w:color="auto"/>
            </w:tcBorders>
          </w:tcPr>
          <w:p w:rsidR="002A50F6" w:rsidRPr="00461E11" w:rsidRDefault="0058066A" w:rsidP="000643A8">
            <w:pPr>
              <w:widowControl w:val="0"/>
              <w:spacing w:after="0" w:line="276" w:lineRule="auto"/>
              <w:jc w:val="center"/>
              <w:rPr>
                <w:rFonts w:cs="Arial"/>
                <w:color w:val="auto"/>
                <w:sz w:val="20"/>
                <w:szCs w:val="20"/>
              </w:rPr>
            </w:pPr>
            <w:r>
              <w:rPr>
                <w:rFonts w:cs="Arial"/>
                <w:color w:val="auto"/>
                <w:sz w:val="20"/>
                <w:szCs w:val="20"/>
              </w:rPr>
              <w:t>(0.5)</w:t>
            </w:r>
          </w:p>
        </w:tc>
        <w:tc>
          <w:tcPr>
            <w:tcW w:w="1134" w:type="dxa"/>
          </w:tcPr>
          <w:p w:rsidR="002A50F6" w:rsidRPr="00461E11" w:rsidRDefault="0058066A" w:rsidP="00E451FD">
            <w:pPr>
              <w:widowControl w:val="0"/>
              <w:spacing w:after="0" w:line="276" w:lineRule="auto"/>
              <w:jc w:val="center"/>
              <w:cnfStyle w:val="000000000000"/>
              <w:rPr>
                <w:rFonts w:cs="Arial"/>
                <w:color w:val="auto"/>
                <w:sz w:val="20"/>
                <w:szCs w:val="20"/>
              </w:rPr>
            </w:pPr>
            <w:r>
              <w:rPr>
                <w:rFonts w:cs="Arial"/>
                <w:color w:val="auto"/>
                <w:sz w:val="20"/>
                <w:szCs w:val="20"/>
              </w:rPr>
              <w:t>(0.1)</w:t>
            </w:r>
          </w:p>
        </w:tc>
        <w:tc>
          <w:tcPr>
            <w:cnfStyle w:val="000010000000"/>
            <w:tcW w:w="1134" w:type="dxa"/>
            <w:tcBorders>
              <w:left w:val="none" w:sz="0" w:space="0" w:color="auto"/>
              <w:right w:val="none" w:sz="0" w:space="0" w:color="auto"/>
            </w:tcBorders>
          </w:tcPr>
          <w:p w:rsidR="002A50F6" w:rsidRPr="00461E11" w:rsidRDefault="003912B8" w:rsidP="00A40181">
            <w:pPr>
              <w:widowControl w:val="0"/>
              <w:spacing w:after="0" w:line="276" w:lineRule="auto"/>
              <w:jc w:val="center"/>
              <w:rPr>
                <w:rFonts w:cs="Arial"/>
                <w:color w:val="auto"/>
                <w:sz w:val="20"/>
                <w:szCs w:val="20"/>
              </w:rPr>
            </w:pPr>
            <w:r>
              <w:rPr>
                <w:rFonts w:cs="Arial"/>
                <w:color w:val="auto"/>
                <w:sz w:val="20"/>
                <w:szCs w:val="20"/>
              </w:rPr>
              <w:t>3.5</w:t>
            </w:r>
          </w:p>
        </w:tc>
        <w:tc>
          <w:tcPr>
            <w:tcW w:w="1134" w:type="dxa"/>
          </w:tcPr>
          <w:p w:rsidR="002A50F6" w:rsidRPr="00461E11" w:rsidRDefault="003912B8" w:rsidP="00A40181">
            <w:pPr>
              <w:widowControl w:val="0"/>
              <w:spacing w:after="0" w:line="276" w:lineRule="auto"/>
              <w:jc w:val="center"/>
              <w:cnfStyle w:val="000000000000"/>
              <w:rPr>
                <w:rFonts w:cs="Arial"/>
                <w:color w:val="auto"/>
                <w:sz w:val="20"/>
                <w:szCs w:val="20"/>
              </w:rPr>
            </w:pPr>
            <w:r>
              <w:rPr>
                <w:rFonts w:cs="Arial"/>
                <w:color w:val="auto"/>
                <w:sz w:val="20"/>
                <w:szCs w:val="20"/>
              </w:rPr>
              <w:t>0.9</w:t>
            </w:r>
          </w:p>
        </w:tc>
        <w:tc>
          <w:tcPr>
            <w:cnfStyle w:val="000010000000"/>
            <w:tcW w:w="992" w:type="dxa"/>
            <w:tcBorders>
              <w:left w:val="none" w:sz="0" w:space="0" w:color="auto"/>
              <w:right w:val="none" w:sz="0" w:space="0" w:color="auto"/>
            </w:tcBorders>
          </w:tcPr>
          <w:p w:rsidR="002A50F6" w:rsidRPr="00461E11" w:rsidRDefault="002A50F6" w:rsidP="00BD6495">
            <w:pPr>
              <w:widowControl w:val="0"/>
              <w:spacing w:after="0" w:line="276" w:lineRule="auto"/>
              <w:jc w:val="center"/>
              <w:rPr>
                <w:rFonts w:cs="Arial"/>
                <w:color w:val="auto"/>
                <w:sz w:val="20"/>
                <w:szCs w:val="20"/>
              </w:rPr>
            </w:pPr>
            <w:r>
              <w:rPr>
                <w:rFonts w:cs="Arial"/>
                <w:color w:val="auto"/>
                <w:sz w:val="20"/>
                <w:szCs w:val="20"/>
              </w:rPr>
              <w:t>-</w:t>
            </w:r>
          </w:p>
        </w:tc>
        <w:tc>
          <w:tcPr>
            <w:cnfStyle w:val="000100000000"/>
            <w:tcW w:w="1240" w:type="dxa"/>
            <w:tcBorders>
              <w:left w:val="none" w:sz="0" w:space="0" w:color="auto"/>
            </w:tcBorders>
          </w:tcPr>
          <w:p w:rsidR="002A50F6" w:rsidRPr="00461E11" w:rsidRDefault="002A50F6" w:rsidP="00A40181">
            <w:pPr>
              <w:widowControl w:val="0"/>
              <w:spacing w:after="0" w:line="276" w:lineRule="auto"/>
              <w:jc w:val="center"/>
              <w:rPr>
                <w:rFonts w:cs="Arial"/>
                <w:b w:val="0"/>
                <w:color w:val="auto"/>
                <w:sz w:val="20"/>
                <w:szCs w:val="20"/>
              </w:rPr>
            </w:pPr>
            <w:r>
              <w:rPr>
                <w:rFonts w:cs="Arial"/>
                <w:b w:val="0"/>
                <w:color w:val="auto"/>
                <w:sz w:val="20"/>
                <w:szCs w:val="20"/>
              </w:rPr>
              <w:t>-</w:t>
            </w:r>
          </w:p>
        </w:tc>
      </w:tr>
      <w:tr w:rsidR="002A50F6" w:rsidRPr="00461E11" w:rsidTr="00E5683F">
        <w:trPr>
          <w:cnfStyle w:val="000000100000"/>
        </w:trPr>
        <w:tc>
          <w:tcPr>
            <w:cnfStyle w:val="001000000000"/>
            <w:tcW w:w="3369" w:type="dxa"/>
            <w:tcBorders>
              <w:top w:val="none" w:sz="0" w:space="0" w:color="auto"/>
              <w:bottom w:val="none" w:sz="0" w:space="0" w:color="auto"/>
              <w:right w:val="none" w:sz="0" w:space="0" w:color="auto"/>
            </w:tcBorders>
          </w:tcPr>
          <w:p w:rsidR="002A50F6" w:rsidRPr="00461E11" w:rsidRDefault="002A50F6" w:rsidP="00E451FD">
            <w:pPr>
              <w:widowControl w:val="0"/>
              <w:spacing w:after="0" w:line="276" w:lineRule="auto"/>
              <w:rPr>
                <w:rFonts w:cs="Arial"/>
                <w:b w:val="0"/>
                <w:color w:val="auto"/>
                <w:sz w:val="20"/>
                <w:szCs w:val="20"/>
              </w:rPr>
            </w:pPr>
            <w:r w:rsidRPr="00461E11">
              <w:rPr>
                <w:rFonts w:cs="Arial"/>
                <w:b w:val="0"/>
                <w:color w:val="auto"/>
                <w:sz w:val="20"/>
                <w:szCs w:val="20"/>
              </w:rPr>
              <w:t>Long Term Liabilities</w:t>
            </w:r>
          </w:p>
        </w:tc>
        <w:tc>
          <w:tcPr>
            <w:cnfStyle w:val="000010000000"/>
            <w:tcW w:w="850" w:type="dxa"/>
            <w:tcBorders>
              <w:top w:val="none" w:sz="0" w:space="0" w:color="auto"/>
              <w:left w:val="none" w:sz="0" w:space="0" w:color="auto"/>
              <w:bottom w:val="none" w:sz="0" w:space="0" w:color="auto"/>
              <w:right w:val="none" w:sz="0" w:space="0" w:color="auto"/>
            </w:tcBorders>
          </w:tcPr>
          <w:p w:rsidR="002A50F6" w:rsidRPr="00461E11" w:rsidRDefault="0058066A" w:rsidP="00A40181">
            <w:pPr>
              <w:widowControl w:val="0"/>
              <w:spacing w:after="0" w:line="276" w:lineRule="auto"/>
              <w:jc w:val="center"/>
              <w:rPr>
                <w:rFonts w:cs="Arial"/>
                <w:color w:val="auto"/>
                <w:sz w:val="20"/>
                <w:szCs w:val="20"/>
              </w:rPr>
            </w:pPr>
            <w:r>
              <w:rPr>
                <w:rFonts w:cs="Arial"/>
                <w:color w:val="auto"/>
                <w:sz w:val="20"/>
                <w:szCs w:val="20"/>
              </w:rPr>
              <w:t>(0.5)</w:t>
            </w:r>
          </w:p>
        </w:tc>
        <w:tc>
          <w:tcPr>
            <w:tcW w:w="1134" w:type="dxa"/>
            <w:tcBorders>
              <w:top w:val="none" w:sz="0" w:space="0" w:color="auto"/>
              <w:bottom w:val="none" w:sz="0" w:space="0" w:color="auto"/>
            </w:tcBorders>
          </w:tcPr>
          <w:p w:rsidR="002A50F6" w:rsidRPr="00461E11" w:rsidRDefault="0058066A" w:rsidP="00E451FD">
            <w:pPr>
              <w:widowControl w:val="0"/>
              <w:spacing w:after="0" w:line="276" w:lineRule="auto"/>
              <w:jc w:val="center"/>
              <w:cnfStyle w:val="000000100000"/>
              <w:rPr>
                <w:rFonts w:cs="Arial"/>
                <w:color w:val="auto"/>
                <w:sz w:val="20"/>
                <w:szCs w:val="20"/>
              </w:rPr>
            </w:pPr>
            <w:r>
              <w:rPr>
                <w:rFonts w:cs="Arial"/>
                <w:color w:val="auto"/>
                <w:sz w:val="20"/>
                <w:szCs w:val="20"/>
              </w:rPr>
              <w:t>(0.1)</w:t>
            </w:r>
          </w:p>
        </w:tc>
        <w:tc>
          <w:tcPr>
            <w:cnfStyle w:val="000010000000"/>
            <w:tcW w:w="1134" w:type="dxa"/>
            <w:tcBorders>
              <w:top w:val="none" w:sz="0" w:space="0" w:color="auto"/>
              <w:left w:val="none" w:sz="0" w:space="0" w:color="auto"/>
              <w:bottom w:val="none" w:sz="0" w:space="0" w:color="auto"/>
              <w:right w:val="none" w:sz="0" w:space="0" w:color="auto"/>
            </w:tcBorders>
          </w:tcPr>
          <w:p w:rsidR="002A50F6" w:rsidRPr="00461E11" w:rsidRDefault="003912B8" w:rsidP="00EC7A3F">
            <w:pPr>
              <w:widowControl w:val="0"/>
              <w:spacing w:after="0" w:line="276" w:lineRule="auto"/>
              <w:jc w:val="center"/>
              <w:rPr>
                <w:rFonts w:cs="Arial"/>
                <w:color w:val="auto"/>
                <w:sz w:val="20"/>
                <w:szCs w:val="20"/>
              </w:rPr>
            </w:pPr>
            <w:r>
              <w:rPr>
                <w:rFonts w:cs="Arial"/>
                <w:color w:val="auto"/>
                <w:sz w:val="20"/>
                <w:szCs w:val="20"/>
              </w:rPr>
              <w:t>(1.9)</w:t>
            </w:r>
          </w:p>
        </w:tc>
        <w:tc>
          <w:tcPr>
            <w:tcW w:w="1134" w:type="dxa"/>
            <w:tcBorders>
              <w:top w:val="none" w:sz="0" w:space="0" w:color="auto"/>
              <w:bottom w:val="none" w:sz="0" w:space="0" w:color="auto"/>
            </w:tcBorders>
          </w:tcPr>
          <w:p w:rsidR="002A50F6" w:rsidRPr="00461E11" w:rsidRDefault="003912B8" w:rsidP="00E451FD">
            <w:pPr>
              <w:widowControl w:val="0"/>
              <w:spacing w:after="0" w:line="276" w:lineRule="auto"/>
              <w:jc w:val="center"/>
              <w:cnfStyle w:val="000000100000"/>
              <w:rPr>
                <w:rFonts w:cs="Arial"/>
                <w:color w:val="auto"/>
                <w:sz w:val="20"/>
                <w:szCs w:val="20"/>
              </w:rPr>
            </w:pPr>
            <w:r>
              <w:rPr>
                <w:rFonts w:cs="Arial"/>
                <w:color w:val="auto"/>
                <w:sz w:val="20"/>
                <w:szCs w:val="20"/>
              </w:rPr>
              <w:t>(0.5)</w:t>
            </w:r>
          </w:p>
        </w:tc>
        <w:tc>
          <w:tcPr>
            <w:cnfStyle w:val="000010000000"/>
            <w:tcW w:w="992" w:type="dxa"/>
            <w:tcBorders>
              <w:top w:val="none" w:sz="0" w:space="0" w:color="auto"/>
              <w:left w:val="none" w:sz="0" w:space="0" w:color="auto"/>
              <w:bottom w:val="none" w:sz="0" w:space="0" w:color="auto"/>
              <w:right w:val="none" w:sz="0" w:space="0" w:color="auto"/>
            </w:tcBorders>
          </w:tcPr>
          <w:p w:rsidR="002A50F6" w:rsidRPr="00461E11" w:rsidRDefault="002A50F6" w:rsidP="00E451FD">
            <w:pPr>
              <w:widowControl w:val="0"/>
              <w:spacing w:after="0" w:line="276" w:lineRule="auto"/>
              <w:jc w:val="center"/>
              <w:rPr>
                <w:rFonts w:cs="Arial"/>
                <w:color w:val="auto"/>
                <w:sz w:val="20"/>
                <w:szCs w:val="20"/>
              </w:rPr>
            </w:pPr>
            <w:r>
              <w:rPr>
                <w:rFonts w:cs="Arial"/>
                <w:color w:val="auto"/>
                <w:sz w:val="20"/>
                <w:szCs w:val="20"/>
              </w:rPr>
              <w:t>-</w:t>
            </w:r>
          </w:p>
        </w:tc>
        <w:tc>
          <w:tcPr>
            <w:cnfStyle w:val="000100000000"/>
            <w:tcW w:w="1240" w:type="dxa"/>
            <w:tcBorders>
              <w:top w:val="none" w:sz="0" w:space="0" w:color="auto"/>
              <w:left w:val="none" w:sz="0" w:space="0" w:color="auto"/>
              <w:bottom w:val="none" w:sz="0" w:space="0" w:color="auto"/>
            </w:tcBorders>
          </w:tcPr>
          <w:p w:rsidR="002A50F6" w:rsidRPr="00461E11" w:rsidRDefault="002A50F6" w:rsidP="00E451FD">
            <w:pPr>
              <w:widowControl w:val="0"/>
              <w:spacing w:after="0" w:line="276" w:lineRule="auto"/>
              <w:jc w:val="center"/>
              <w:rPr>
                <w:rFonts w:cs="Arial"/>
                <w:b w:val="0"/>
                <w:color w:val="auto"/>
                <w:sz w:val="20"/>
                <w:szCs w:val="20"/>
              </w:rPr>
            </w:pPr>
            <w:r>
              <w:rPr>
                <w:rFonts w:cs="Arial"/>
                <w:b w:val="0"/>
                <w:color w:val="auto"/>
                <w:sz w:val="20"/>
                <w:szCs w:val="20"/>
              </w:rPr>
              <w:t>-</w:t>
            </w:r>
          </w:p>
        </w:tc>
      </w:tr>
      <w:tr w:rsidR="002A50F6" w:rsidRPr="00461E11" w:rsidTr="00E5683F">
        <w:trPr>
          <w:cnfStyle w:val="010000000000"/>
        </w:trPr>
        <w:tc>
          <w:tcPr>
            <w:cnfStyle w:val="001000000001"/>
            <w:tcW w:w="3369" w:type="dxa"/>
            <w:tcBorders>
              <w:top w:val="none" w:sz="0" w:space="0" w:color="auto"/>
              <w:right w:val="none" w:sz="0" w:space="0" w:color="auto"/>
            </w:tcBorders>
          </w:tcPr>
          <w:p w:rsidR="002A50F6" w:rsidRPr="00461E11" w:rsidRDefault="002A50F6" w:rsidP="00E451FD">
            <w:pPr>
              <w:widowControl w:val="0"/>
              <w:spacing w:after="0" w:line="276" w:lineRule="auto"/>
              <w:rPr>
                <w:rFonts w:cs="Arial"/>
                <w:color w:val="auto"/>
                <w:sz w:val="20"/>
                <w:szCs w:val="20"/>
              </w:rPr>
            </w:pPr>
            <w:r w:rsidRPr="00461E11">
              <w:rPr>
                <w:rFonts w:cs="Arial"/>
                <w:color w:val="auto"/>
                <w:sz w:val="20"/>
                <w:szCs w:val="20"/>
              </w:rPr>
              <w:t>Total Capital &amp; Reserves</w:t>
            </w:r>
          </w:p>
        </w:tc>
        <w:tc>
          <w:tcPr>
            <w:cnfStyle w:val="000010000000"/>
            <w:tcW w:w="850" w:type="dxa"/>
            <w:tcBorders>
              <w:top w:val="none" w:sz="0" w:space="0" w:color="auto"/>
              <w:left w:val="none" w:sz="0" w:space="0" w:color="auto"/>
              <w:right w:val="none" w:sz="0" w:space="0" w:color="auto"/>
            </w:tcBorders>
          </w:tcPr>
          <w:p w:rsidR="002A50F6" w:rsidRPr="00461E11" w:rsidRDefault="0058066A" w:rsidP="00E451FD">
            <w:pPr>
              <w:widowControl w:val="0"/>
              <w:spacing w:after="0" w:line="276" w:lineRule="auto"/>
              <w:jc w:val="center"/>
              <w:rPr>
                <w:rFonts w:cs="Arial"/>
                <w:color w:val="auto"/>
                <w:sz w:val="20"/>
                <w:szCs w:val="20"/>
              </w:rPr>
            </w:pPr>
            <w:r>
              <w:rPr>
                <w:rFonts w:cs="Arial"/>
                <w:color w:val="auto"/>
                <w:sz w:val="20"/>
                <w:szCs w:val="20"/>
              </w:rPr>
              <w:t>(1.0)</w:t>
            </w:r>
          </w:p>
        </w:tc>
        <w:tc>
          <w:tcPr>
            <w:tcW w:w="1134" w:type="dxa"/>
            <w:tcBorders>
              <w:top w:val="none" w:sz="0" w:space="0" w:color="auto"/>
            </w:tcBorders>
          </w:tcPr>
          <w:p w:rsidR="002A50F6" w:rsidRPr="00461E11" w:rsidRDefault="0058066A" w:rsidP="00E451FD">
            <w:pPr>
              <w:widowControl w:val="0"/>
              <w:spacing w:after="0" w:line="276" w:lineRule="auto"/>
              <w:jc w:val="center"/>
              <w:cnfStyle w:val="010000000000"/>
              <w:rPr>
                <w:rFonts w:cs="Arial"/>
                <w:color w:val="auto"/>
                <w:sz w:val="20"/>
                <w:szCs w:val="20"/>
              </w:rPr>
            </w:pPr>
            <w:r>
              <w:rPr>
                <w:rFonts w:cs="Arial"/>
                <w:color w:val="auto"/>
                <w:sz w:val="20"/>
                <w:szCs w:val="20"/>
              </w:rPr>
              <w:t>(0.2)</w:t>
            </w:r>
          </w:p>
        </w:tc>
        <w:tc>
          <w:tcPr>
            <w:cnfStyle w:val="000010000000"/>
            <w:tcW w:w="1134" w:type="dxa"/>
            <w:tcBorders>
              <w:top w:val="none" w:sz="0" w:space="0" w:color="auto"/>
              <w:left w:val="none" w:sz="0" w:space="0" w:color="auto"/>
              <w:right w:val="none" w:sz="0" w:space="0" w:color="auto"/>
            </w:tcBorders>
          </w:tcPr>
          <w:p w:rsidR="002A50F6" w:rsidRPr="00461E11" w:rsidRDefault="003912B8" w:rsidP="00E451FD">
            <w:pPr>
              <w:widowControl w:val="0"/>
              <w:spacing w:after="0" w:line="276" w:lineRule="auto"/>
              <w:jc w:val="center"/>
              <w:rPr>
                <w:rFonts w:cs="Arial"/>
                <w:color w:val="auto"/>
                <w:sz w:val="20"/>
                <w:szCs w:val="20"/>
              </w:rPr>
            </w:pPr>
            <w:r>
              <w:rPr>
                <w:rFonts w:cs="Arial"/>
                <w:color w:val="auto"/>
                <w:sz w:val="20"/>
                <w:szCs w:val="20"/>
              </w:rPr>
              <w:t>1.6</w:t>
            </w:r>
          </w:p>
        </w:tc>
        <w:tc>
          <w:tcPr>
            <w:tcW w:w="1134" w:type="dxa"/>
            <w:tcBorders>
              <w:top w:val="none" w:sz="0" w:space="0" w:color="auto"/>
            </w:tcBorders>
          </w:tcPr>
          <w:p w:rsidR="002A50F6" w:rsidRPr="00461E11" w:rsidRDefault="003912B8" w:rsidP="00E451FD">
            <w:pPr>
              <w:widowControl w:val="0"/>
              <w:spacing w:after="0" w:line="276" w:lineRule="auto"/>
              <w:jc w:val="center"/>
              <w:cnfStyle w:val="010000000000"/>
              <w:rPr>
                <w:rFonts w:cs="Arial"/>
                <w:color w:val="auto"/>
                <w:sz w:val="20"/>
                <w:szCs w:val="20"/>
              </w:rPr>
            </w:pPr>
            <w:r>
              <w:rPr>
                <w:rFonts w:cs="Arial"/>
                <w:color w:val="auto"/>
                <w:sz w:val="20"/>
                <w:szCs w:val="20"/>
              </w:rPr>
              <w:t>0.4</w:t>
            </w:r>
          </w:p>
        </w:tc>
        <w:tc>
          <w:tcPr>
            <w:cnfStyle w:val="000010000000"/>
            <w:tcW w:w="992" w:type="dxa"/>
            <w:tcBorders>
              <w:top w:val="none" w:sz="0" w:space="0" w:color="auto"/>
              <w:left w:val="none" w:sz="0" w:space="0" w:color="auto"/>
              <w:right w:val="none" w:sz="0" w:space="0" w:color="auto"/>
            </w:tcBorders>
          </w:tcPr>
          <w:p w:rsidR="002A50F6" w:rsidRPr="00461E11" w:rsidRDefault="002A50F6" w:rsidP="00BD6495">
            <w:pPr>
              <w:widowControl w:val="0"/>
              <w:spacing w:after="0" w:line="276" w:lineRule="auto"/>
              <w:jc w:val="center"/>
              <w:rPr>
                <w:rFonts w:cs="Arial"/>
                <w:color w:val="auto"/>
                <w:sz w:val="20"/>
                <w:szCs w:val="20"/>
              </w:rPr>
            </w:pPr>
            <w:r>
              <w:rPr>
                <w:rFonts w:cs="Arial"/>
                <w:color w:val="auto"/>
                <w:sz w:val="20"/>
                <w:szCs w:val="20"/>
              </w:rPr>
              <w:t>-</w:t>
            </w:r>
          </w:p>
        </w:tc>
        <w:tc>
          <w:tcPr>
            <w:cnfStyle w:val="000100000010"/>
            <w:tcW w:w="1240" w:type="dxa"/>
            <w:tcBorders>
              <w:top w:val="none" w:sz="0" w:space="0" w:color="auto"/>
              <w:left w:val="none" w:sz="0" w:space="0" w:color="auto"/>
            </w:tcBorders>
          </w:tcPr>
          <w:p w:rsidR="002A50F6" w:rsidRPr="00461E11" w:rsidRDefault="002A50F6" w:rsidP="00E451FD">
            <w:pPr>
              <w:widowControl w:val="0"/>
              <w:spacing w:after="0" w:line="276" w:lineRule="auto"/>
              <w:jc w:val="center"/>
              <w:rPr>
                <w:rFonts w:cs="Arial"/>
                <w:color w:val="auto"/>
                <w:sz w:val="20"/>
                <w:szCs w:val="20"/>
              </w:rPr>
            </w:pPr>
            <w:r>
              <w:rPr>
                <w:rFonts w:cs="Arial"/>
                <w:color w:val="auto"/>
                <w:sz w:val="20"/>
                <w:szCs w:val="20"/>
              </w:rPr>
              <w:t>-</w:t>
            </w:r>
          </w:p>
        </w:tc>
      </w:tr>
    </w:tbl>
    <w:p w:rsidR="00A7490E" w:rsidRPr="00D42E0B" w:rsidRDefault="00A7490E" w:rsidP="00E5683F">
      <w:pPr>
        <w:pStyle w:val="Default"/>
        <w:rPr>
          <w:rFonts w:ascii="Arial" w:hAnsi="Arial" w:cs="Arial"/>
          <w:bCs/>
          <w:color w:val="548DD4" w:themeColor="text2" w:themeTint="99"/>
          <w:sz w:val="20"/>
          <w:szCs w:val="20"/>
          <w:u w:val="single"/>
        </w:rPr>
      </w:pPr>
    </w:p>
    <w:p w:rsidR="00BE08BA" w:rsidRPr="00D42E0B" w:rsidRDefault="00BE08BA" w:rsidP="00BE08BA">
      <w:pPr>
        <w:pStyle w:val="Default"/>
        <w:rPr>
          <w:rFonts w:ascii="Arial" w:hAnsi="Arial" w:cs="Arial"/>
          <w:bCs/>
          <w:color w:val="548DD4" w:themeColor="text2" w:themeTint="99"/>
          <w:sz w:val="20"/>
          <w:szCs w:val="20"/>
        </w:rPr>
      </w:pPr>
      <w:r w:rsidRPr="00FA4752">
        <w:rPr>
          <w:rFonts w:ascii="Arial" w:hAnsi="Arial" w:cs="Arial"/>
          <w:bCs/>
          <w:color w:val="auto"/>
          <w:sz w:val="20"/>
          <w:szCs w:val="20"/>
        </w:rPr>
        <w:t>Note* -  TOR2 accounts 15 months to end June 2014</w:t>
      </w:r>
      <w:r w:rsidR="0058066A">
        <w:rPr>
          <w:rFonts w:ascii="Arial" w:hAnsi="Arial" w:cs="Arial"/>
          <w:bCs/>
          <w:color w:val="auto"/>
          <w:sz w:val="20"/>
          <w:szCs w:val="20"/>
        </w:rPr>
        <w:t xml:space="preserve"> and </w:t>
      </w:r>
      <w:r w:rsidR="00AA5E55">
        <w:rPr>
          <w:rFonts w:ascii="Arial" w:hAnsi="Arial" w:cs="Arial"/>
          <w:bCs/>
          <w:color w:val="auto"/>
          <w:sz w:val="20"/>
          <w:szCs w:val="20"/>
        </w:rPr>
        <w:t xml:space="preserve">12 months </w:t>
      </w:r>
      <w:r w:rsidR="00FA4752" w:rsidRPr="00FA4752">
        <w:rPr>
          <w:rFonts w:ascii="Arial" w:hAnsi="Arial" w:cs="Arial"/>
          <w:bCs/>
          <w:color w:val="auto"/>
          <w:sz w:val="20"/>
          <w:szCs w:val="20"/>
        </w:rPr>
        <w:t>accounts to end June 2015.</w:t>
      </w:r>
    </w:p>
    <w:p w:rsidR="00191CE5" w:rsidRPr="00C4327D" w:rsidRDefault="00191CE5" w:rsidP="00BE08BA">
      <w:pPr>
        <w:pStyle w:val="Default"/>
        <w:rPr>
          <w:rFonts w:ascii="Arial" w:hAnsi="Arial" w:cs="Arial"/>
          <w:bCs/>
          <w:color w:val="auto"/>
          <w:sz w:val="20"/>
          <w:szCs w:val="20"/>
        </w:rPr>
      </w:pPr>
      <w:r w:rsidRPr="00C4327D">
        <w:rPr>
          <w:rFonts w:ascii="Arial" w:hAnsi="Arial" w:cs="Arial"/>
          <w:bCs/>
          <w:color w:val="auto"/>
          <w:sz w:val="20"/>
          <w:szCs w:val="20"/>
        </w:rPr>
        <w:t xml:space="preserve">Note ** - </w:t>
      </w:r>
      <w:r w:rsidR="006B046C" w:rsidRPr="00C4327D">
        <w:rPr>
          <w:rFonts w:ascii="Arial" w:hAnsi="Arial" w:cs="Arial"/>
          <w:bCs/>
          <w:color w:val="auto"/>
          <w:sz w:val="20"/>
          <w:szCs w:val="20"/>
        </w:rPr>
        <w:t xml:space="preserve">CSW Group Ltd </w:t>
      </w:r>
      <w:r w:rsidRPr="00C4327D">
        <w:rPr>
          <w:rFonts w:ascii="Arial" w:hAnsi="Arial" w:cs="Arial"/>
          <w:bCs/>
          <w:color w:val="auto"/>
          <w:sz w:val="20"/>
          <w:szCs w:val="20"/>
        </w:rPr>
        <w:t>– excludes FRS17 pension entries</w:t>
      </w:r>
    </w:p>
    <w:p w:rsidR="00A7490E" w:rsidRPr="00D42E0B" w:rsidRDefault="00A7490E" w:rsidP="0024521E">
      <w:pPr>
        <w:pStyle w:val="Default"/>
        <w:ind w:firstLine="720"/>
        <w:rPr>
          <w:rFonts w:ascii="Arial" w:hAnsi="Arial" w:cs="Arial"/>
          <w:bCs/>
          <w:color w:val="548DD4" w:themeColor="text2" w:themeTint="99"/>
          <w:sz w:val="20"/>
          <w:szCs w:val="20"/>
          <w:u w:val="single"/>
        </w:rPr>
      </w:pPr>
    </w:p>
    <w:p w:rsidR="00E51139" w:rsidRPr="0053169B" w:rsidRDefault="00E51139" w:rsidP="00E5683F">
      <w:pPr>
        <w:pStyle w:val="Default"/>
        <w:ind w:left="567"/>
        <w:rPr>
          <w:rFonts w:ascii="Arial" w:hAnsi="Arial" w:cs="Arial"/>
          <w:b/>
          <w:color w:val="auto"/>
          <w:sz w:val="20"/>
          <w:szCs w:val="20"/>
        </w:rPr>
      </w:pPr>
      <w:r w:rsidRPr="0053169B">
        <w:rPr>
          <w:rFonts w:ascii="Arial" w:hAnsi="Arial" w:cs="Arial"/>
          <w:b/>
          <w:bCs/>
          <w:color w:val="auto"/>
          <w:sz w:val="20"/>
          <w:szCs w:val="20"/>
        </w:rPr>
        <w:t>Other interests in Companies</w:t>
      </w:r>
    </w:p>
    <w:p w:rsidR="00E51139" w:rsidRPr="0053169B" w:rsidRDefault="00E51139" w:rsidP="00E5683F">
      <w:pPr>
        <w:pStyle w:val="Default"/>
        <w:ind w:left="567"/>
        <w:rPr>
          <w:rFonts w:ascii="Arial" w:hAnsi="Arial" w:cs="Times New Roman"/>
          <w:color w:val="auto"/>
          <w:sz w:val="20"/>
          <w:szCs w:val="20"/>
        </w:rPr>
      </w:pPr>
    </w:p>
    <w:p w:rsidR="00E51139" w:rsidRPr="0053169B" w:rsidRDefault="00E51139" w:rsidP="008E1961">
      <w:pPr>
        <w:pStyle w:val="ExampleSub"/>
        <w:keepNext w:val="0"/>
        <w:keepLines w:val="0"/>
        <w:spacing w:before="0" w:line="240" w:lineRule="auto"/>
        <w:rPr>
          <w:rFonts w:ascii="Arial" w:hAnsi="Arial" w:cs="Arial"/>
          <w:b w:val="0"/>
          <w:bCs w:val="0"/>
          <w:color w:val="auto"/>
          <w:sz w:val="20"/>
          <w:szCs w:val="20"/>
        </w:rPr>
      </w:pPr>
      <w:r w:rsidRPr="0053169B">
        <w:rPr>
          <w:rFonts w:ascii="Arial" w:hAnsi="Arial" w:cs="Arial"/>
          <w:b w:val="0"/>
          <w:bCs w:val="0"/>
          <w:color w:val="auto"/>
          <w:sz w:val="20"/>
          <w:szCs w:val="20"/>
        </w:rPr>
        <w:t xml:space="preserve">The following companies are also </w:t>
      </w:r>
      <w:r w:rsidR="00C36321" w:rsidRPr="0053169B">
        <w:rPr>
          <w:rFonts w:ascii="Arial" w:hAnsi="Arial" w:cs="Arial"/>
          <w:b w:val="0"/>
          <w:bCs w:val="0"/>
          <w:color w:val="auto"/>
          <w:sz w:val="20"/>
          <w:szCs w:val="20"/>
        </w:rPr>
        <w:t>linked</w:t>
      </w:r>
      <w:r w:rsidRPr="0053169B">
        <w:rPr>
          <w:rFonts w:ascii="Arial" w:hAnsi="Arial" w:cs="Arial"/>
          <w:b w:val="0"/>
          <w:bCs w:val="0"/>
          <w:color w:val="auto"/>
          <w:sz w:val="20"/>
          <w:szCs w:val="20"/>
        </w:rPr>
        <w:t xml:space="preserve"> to the Council. However they are not conside</w:t>
      </w:r>
      <w:r w:rsidR="0061478F" w:rsidRPr="0053169B">
        <w:rPr>
          <w:rFonts w:ascii="Arial" w:hAnsi="Arial" w:cs="Arial"/>
          <w:b w:val="0"/>
          <w:bCs w:val="0"/>
          <w:color w:val="auto"/>
          <w:sz w:val="20"/>
          <w:szCs w:val="20"/>
        </w:rPr>
        <w:t>red material in financial terms.</w:t>
      </w:r>
    </w:p>
    <w:p w:rsidR="00E51139" w:rsidRPr="0053169B" w:rsidRDefault="00E51139" w:rsidP="008E1961">
      <w:pPr>
        <w:pStyle w:val="ExampleSub"/>
        <w:keepNext w:val="0"/>
        <w:keepLines w:val="0"/>
        <w:spacing w:before="0" w:line="240" w:lineRule="auto"/>
        <w:rPr>
          <w:rFonts w:ascii="Arial" w:hAnsi="Arial" w:cs="Arial"/>
          <w:b w:val="0"/>
          <w:bCs w:val="0"/>
          <w:color w:val="auto"/>
          <w:sz w:val="20"/>
          <w:szCs w:val="20"/>
        </w:rPr>
      </w:pPr>
    </w:p>
    <w:p w:rsidR="00E51139" w:rsidRPr="0053169B" w:rsidRDefault="00E51139" w:rsidP="00D50FBC">
      <w:pPr>
        <w:pStyle w:val="Default"/>
        <w:ind w:left="567"/>
        <w:rPr>
          <w:rFonts w:ascii="Arial" w:hAnsi="Arial" w:cs="Arial"/>
          <w:bCs/>
          <w:color w:val="auto"/>
          <w:sz w:val="20"/>
          <w:szCs w:val="20"/>
        </w:rPr>
      </w:pPr>
      <w:r w:rsidRPr="0053169B">
        <w:rPr>
          <w:rFonts w:ascii="Arial" w:hAnsi="Arial" w:cs="Arial"/>
          <w:bCs/>
          <w:color w:val="auto"/>
          <w:sz w:val="20"/>
          <w:szCs w:val="20"/>
        </w:rPr>
        <w:t>South West Grid for Learning Trust is limited by guarantee and was incorporated on 9th October 2005 with the 15 South West Regional Authorities as members. The company objectives are the advancement of education as a solely charitable purpose by any means relating to the effective use of information and communication technologies for the benefit of the public. There are no transactions/liabilities associated with Torbay</w:t>
      </w:r>
      <w:r w:rsidRPr="0053169B">
        <w:rPr>
          <w:rFonts w:ascii="Arial" w:hAnsi="Arial" w:cs="Arial"/>
          <w:b/>
          <w:bCs/>
          <w:color w:val="auto"/>
          <w:sz w:val="20"/>
          <w:szCs w:val="20"/>
        </w:rPr>
        <w:t xml:space="preserve"> </w:t>
      </w:r>
      <w:r w:rsidRPr="0053169B">
        <w:rPr>
          <w:rFonts w:ascii="Arial" w:hAnsi="Arial" w:cs="Arial"/>
          <w:bCs/>
          <w:color w:val="auto"/>
          <w:sz w:val="20"/>
          <w:szCs w:val="20"/>
        </w:rPr>
        <w:t>Council's membership</w:t>
      </w:r>
      <w:r w:rsidRPr="0053169B">
        <w:rPr>
          <w:rFonts w:ascii="Arial" w:hAnsi="Arial" w:cs="Arial"/>
          <w:b/>
          <w:bCs/>
          <w:color w:val="auto"/>
          <w:sz w:val="20"/>
          <w:szCs w:val="20"/>
        </w:rPr>
        <w:t xml:space="preserve"> </w:t>
      </w:r>
      <w:r w:rsidRPr="0053169B">
        <w:rPr>
          <w:rFonts w:ascii="Arial" w:hAnsi="Arial" w:cs="Arial"/>
          <w:bCs/>
          <w:color w:val="auto"/>
          <w:sz w:val="20"/>
          <w:szCs w:val="20"/>
        </w:rPr>
        <w:t>other than the nominal initial one-off fee.  For financial reporting this relationship has been treated as an investment.</w:t>
      </w:r>
      <w:r w:rsidR="0053169B" w:rsidRPr="0053169B">
        <w:rPr>
          <w:rFonts w:ascii="Arial" w:hAnsi="Arial" w:cs="Arial"/>
          <w:bCs/>
          <w:color w:val="auto"/>
          <w:sz w:val="20"/>
          <w:szCs w:val="20"/>
        </w:rPr>
        <w:t xml:space="preserve"> </w:t>
      </w:r>
      <w:r w:rsidR="0053169B" w:rsidRPr="0053169B">
        <w:rPr>
          <w:rFonts w:ascii="Arial" w:hAnsi="Arial" w:cs="Arial"/>
          <w:bCs/>
          <w:color w:val="auto"/>
          <w:sz w:val="20"/>
          <w:szCs w:val="20"/>
          <w:u w:val="single"/>
        </w:rPr>
        <w:t>http://swgfl.org.uk/</w:t>
      </w:r>
    </w:p>
    <w:p w:rsidR="00E51139" w:rsidRPr="00D42E0B" w:rsidRDefault="00E51139" w:rsidP="00D50FBC">
      <w:pPr>
        <w:pStyle w:val="Default"/>
        <w:ind w:left="567"/>
        <w:rPr>
          <w:rFonts w:ascii="Arial" w:hAnsi="Arial" w:cs="Arial"/>
          <w:bCs/>
          <w:color w:val="548DD4" w:themeColor="text2" w:themeTint="99"/>
          <w:sz w:val="20"/>
          <w:szCs w:val="20"/>
        </w:rPr>
      </w:pPr>
    </w:p>
    <w:p w:rsidR="00E51139" w:rsidRPr="00EC6529" w:rsidRDefault="00E51139" w:rsidP="00D50FBC">
      <w:pPr>
        <w:pStyle w:val="Default"/>
        <w:ind w:left="567"/>
        <w:rPr>
          <w:rFonts w:ascii="Arial" w:hAnsi="Arial" w:cs="Arial"/>
          <w:bCs/>
          <w:color w:val="auto"/>
          <w:sz w:val="20"/>
          <w:szCs w:val="20"/>
        </w:rPr>
      </w:pPr>
      <w:r w:rsidRPr="00EC6529">
        <w:rPr>
          <w:rFonts w:ascii="Arial" w:hAnsi="Arial" w:cs="Arial"/>
          <w:bCs/>
          <w:color w:val="auto"/>
          <w:sz w:val="20"/>
          <w:szCs w:val="20"/>
        </w:rPr>
        <w:t>Torbay Town Centres Limited. In 2008/09 the Council</w:t>
      </w:r>
      <w:r w:rsidR="00A37928" w:rsidRPr="00EC6529">
        <w:rPr>
          <w:rFonts w:ascii="Arial" w:hAnsi="Arial" w:cs="Arial"/>
          <w:bCs/>
          <w:color w:val="auto"/>
          <w:sz w:val="20"/>
          <w:szCs w:val="20"/>
        </w:rPr>
        <w:t>,</w:t>
      </w:r>
      <w:r w:rsidRPr="00EC6529">
        <w:rPr>
          <w:rFonts w:ascii="Arial" w:hAnsi="Arial" w:cs="Arial"/>
          <w:bCs/>
          <w:color w:val="auto"/>
          <w:sz w:val="20"/>
          <w:szCs w:val="20"/>
        </w:rPr>
        <w:t xml:space="preserve"> with representatives from local businesses</w:t>
      </w:r>
      <w:r w:rsidR="00A37928" w:rsidRPr="00EC6529">
        <w:rPr>
          <w:rFonts w:ascii="Arial" w:hAnsi="Arial" w:cs="Arial"/>
          <w:bCs/>
          <w:color w:val="auto"/>
          <w:sz w:val="20"/>
          <w:szCs w:val="20"/>
        </w:rPr>
        <w:t>,</w:t>
      </w:r>
      <w:r w:rsidRPr="00EC6529">
        <w:rPr>
          <w:rFonts w:ascii="Arial" w:hAnsi="Arial" w:cs="Arial"/>
          <w:bCs/>
          <w:color w:val="auto"/>
          <w:sz w:val="20"/>
          <w:szCs w:val="20"/>
        </w:rPr>
        <w:t xml:space="preserve"> formed this company to support the process for establishing Business Improvement Districts (BID) in the Torbay area. The Council collect</w:t>
      </w:r>
      <w:r w:rsidR="00F21DEC" w:rsidRPr="00EC6529">
        <w:rPr>
          <w:rFonts w:ascii="Arial" w:hAnsi="Arial" w:cs="Arial"/>
          <w:bCs/>
          <w:color w:val="auto"/>
          <w:sz w:val="20"/>
          <w:szCs w:val="20"/>
        </w:rPr>
        <w:t>ed</w:t>
      </w:r>
      <w:r w:rsidRPr="00EC6529">
        <w:rPr>
          <w:rFonts w:ascii="Arial" w:hAnsi="Arial" w:cs="Arial"/>
          <w:bCs/>
          <w:color w:val="auto"/>
          <w:sz w:val="20"/>
          <w:szCs w:val="20"/>
        </w:rPr>
        <w:t xml:space="preserve"> the BID levy on behalf of the </w:t>
      </w:r>
      <w:r w:rsidR="00F21DEC" w:rsidRPr="00EC6529">
        <w:rPr>
          <w:rFonts w:ascii="Arial" w:hAnsi="Arial" w:cs="Arial"/>
          <w:bCs/>
          <w:color w:val="auto"/>
          <w:sz w:val="20"/>
          <w:szCs w:val="20"/>
        </w:rPr>
        <w:t xml:space="preserve">company </w:t>
      </w:r>
      <w:r w:rsidRPr="00EC6529">
        <w:rPr>
          <w:rFonts w:ascii="Arial" w:hAnsi="Arial" w:cs="Arial"/>
          <w:bCs/>
          <w:color w:val="auto"/>
          <w:sz w:val="20"/>
          <w:szCs w:val="20"/>
        </w:rPr>
        <w:t>on an agency basis. The value of the levy collected by the Council and paid to the company in 201</w:t>
      </w:r>
      <w:r w:rsidR="00461E11" w:rsidRPr="00EC6529">
        <w:rPr>
          <w:rFonts w:ascii="Arial" w:hAnsi="Arial" w:cs="Arial"/>
          <w:bCs/>
          <w:color w:val="auto"/>
          <w:sz w:val="20"/>
          <w:szCs w:val="20"/>
        </w:rPr>
        <w:t>5</w:t>
      </w:r>
      <w:r w:rsidR="00CF6DE8" w:rsidRPr="00EC6529">
        <w:rPr>
          <w:rFonts w:ascii="Arial" w:hAnsi="Arial" w:cs="Arial"/>
          <w:bCs/>
          <w:color w:val="auto"/>
          <w:sz w:val="20"/>
          <w:szCs w:val="20"/>
        </w:rPr>
        <w:t>/1</w:t>
      </w:r>
      <w:r w:rsidR="00461E11" w:rsidRPr="00EC6529">
        <w:rPr>
          <w:rFonts w:ascii="Arial" w:hAnsi="Arial" w:cs="Arial"/>
          <w:bCs/>
          <w:color w:val="auto"/>
          <w:sz w:val="20"/>
          <w:szCs w:val="20"/>
        </w:rPr>
        <w:t>6</w:t>
      </w:r>
      <w:r w:rsidRPr="00EC6529">
        <w:rPr>
          <w:rFonts w:ascii="Arial" w:hAnsi="Arial" w:cs="Arial"/>
          <w:bCs/>
          <w:color w:val="auto"/>
          <w:sz w:val="20"/>
          <w:szCs w:val="20"/>
        </w:rPr>
        <w:t xml:space="preserve"> was </w:t>
      </w:r>
      <w:r w:rsidR="008305E2" w:rsidRPr="00EC6529">
        <w:rPr>
          <w:rFonts w:ascii="Arial" w:hAnsi="Arial" w:cs="Arial"/>
          <w:bCs/>
          <w:color w:val="auto"/>
          <w:sz w:val="20"/>
          <w:szCs w:val="20"/>
        </w:rPr>
        <w:t>£0.</w:t>
      </w:r>
      <w:r w:rsidR="00EC6529" w:rsidRPr="00EC6529">
        <w:rPr>
          <w:rFonts w:ascii="Arial" w:hAnsi="Arial" w:cs="Arial"/>
          <w:bCs/>
          <w:color w:val="auto"/>
          <w:sz w:val="20"/>
          <w:szCs w:val="20"/>
        </w:rPr>
        <w:t>1</w:t>
      </w:r>
      <w:r w:rsidR="00FB55B3" w:rsidRPr="00EC6529">
        <w:rPr>
          <w:rFonts w:ascii="Arial" w:hAnsi="Arial" w:cs="Arial"/>
          <w:bCs/>
          <w:color w:val="auto"/>
          <w:sz w:val="20"/>
          <w:szCs w:val="20"/>
        </w:rPr>
        <w:t>m</w:t>
      </w:r>
      <w:r w:rsidRPr="00EC6529">
        <w:rPr>
          <w:rFonts w:ascii="Arial" w:hAnsi="Arial" w:cs="Arial"/>
          <w:bCs/>
          <w:color w:val="auto"/>
          <w:sz w:val="20"/>
          <w:szCs w:val="20"/>
        </w:rPr>
        <w:t>. (201</w:t>
      </w:r>
      <w:r w:rsidR="00461E11" w:rsidRPr="00EC6529">
        <w:rPr>
          <w:rFonts w:ascii="Arial" w:hAnsi="Arial" w:cs="Arial"/>
          <w:bCs/>
          <w:color w:val="auto"/>
          <w:sz w:val="20"/>
          <w:szCs w:val="20"/>
        </w:rPr>
        <w:t>4</w:t>
      </w:r>
      <w:r w:rsidR="00CF6DE8" w:rsidRPr="00EC6529">
        <w:rPr>
          <w:rFonts w:ascii="Arial" w:hAnsi="Arial" w:cs="Arial"/>
          <w:bCs/>
          <w:color w:val="auto"/>
          <w:sz w:val="20"/>
          <w:szCs w:val="20"/>
        </w:rPr>
        <w:t>/1</w:t>
      </w:r>
      <w:r w:rsidR="00461E11" w:rsidRPr="00EC6529">
        <w:rPr>
          <w:rFonts w:ascii="Arial" w:hAnsi="Arial" w:cs="Arial"/>
          <w:bCs/>
          <w:color w:val="auto"/>
          <w:sz w:val="20"/>
          <w:szCs w:val="20"/>
        </w:rPr>
        <w:t>5</w:t>
      </w:r>
      <w:r w:rsidR="00FB55B3" w:rsidRPr="00EC6529">
        <w:rPr>
          <w:rFonts w:ascii="Arial" w:hAnsi="Arial" w:cs="Arial"/>
          <w:bCs/>
          <w:color w:val="auto"/>
          <w:sz w:val="20"/>
          <w:szCs w:val="20"/>
        </w:rPr>
        <w:t xml:space="preserve"> £0.4m</w:t>
      </w:r>
      <w:r w:rsidRPr="00EC6529">
        <w:rPr>
          <w:rFonts w:ascii="Arial" w:hAnsi="Arial" w:cs="Arial"/>
          <w:bCs/>
          <w:color w:val="auto"/>
          <w:sz w:val="20"/>
          <w:szCs w:val="20"/>
        </w:rPr>
        <w:t>)</w:t>
      </w:r>
      <w:r w:rsidR="00F21DEC" w:rsidRPr="00EC6529">
        <w:rPr>
          <w:rFonts w:ascii="Arial" w:hAnsi="Arial" w:cs="Arial"/>
          <w:bCs/>
          <w:color w:val="auto"/>
          <w:sz w:val="20"/>
          <w:szCs w:val="20"/>
        </w:rPr>
        <w:t>. The Company ceased trading in 2015/16.</w:t>
      </w:r>
    </w:p>
    <w:p w:rsidR="00E51139" w:rsidRPr="00D42E0B" w:rsidRDefault="00E51139" w:rsidP="00D50FBC">
      <w:pPr>
        <w:pStyle w:val="Default"/>
        <w:ind w:left="567"/>
        <w:rPr>
          <w:rFonts w:ascii="Arial" w:hAnsi="Arial" w:cs="Arial"/>
          <w:bCs/>
          <w:color w:val="548DD4" w:themeColor="text2" w:themeTint="99"/>
          <w:sz w:val="20"/>
          <w:szCs w:val="20"/>
        </w:rPr>
      </w:pPr>
      <w:r w:rsidRPr="00D42E0B">
        <w:rPr>
          <w:rFonts w:ascii="Arial" w:hAnsi="Arial" w:cs="Arial"/>
          <w:bCs/>
          <w:color w:val="548DD4" w:themeColor="text2" w:themeTint="99"/>
          <w:sz w:val="20"/>
          <w:szCs w:val="20"/>
        </w:rPr>
        <w:t xml:space="preserve">   </w:t>
      </w:r>
    </w:p>
    <w:p w:rsidR="00E51139" w:rsidRPr="00D42E0B" w:rsidRDefault="00E51139" w:rsidP="00D50FBC">
      <w:pPr>
        <w:pStyle w:val="Default"/>
        <w:ind w:left="567"/>
        <w:rPr>
          <w:rFonts w:ascii="Arial" w:hAnsi="Arial" w:cs="Arial"/>
          <w:bCs/>
          <w:color w:val="548DD4" w:themeColor="text2" w:themeTint="99"/>
          <w:sz w:val="20"/>
          <w:szCs w:val="20"/>
        </w:rPr>
      </w:pPr>
      <w:r w:rsidRPr="00A93DC5">
        <w:rPr>
          <w:rFonts w:ascii="Arial" w:hAnsi="Arial" w:cs="Arial"/>
          <w:bCs/>
          <w:color w:val="auto"/>
          <w:sz w:val="20"/>
          <w:szCs w:val="20"/>
        </w:rPr>
        <w:t xml:space="preserve">Riviera International Conference Centre. The Council has a maximum voting right of 19.99% on the board of the Riviera International Conference Centre Ltd, in addition the Council provides a peppercorn lease for the centre and an annual </w:t>
      </w:r>
      <w:r w:rsidR="006E1190" w:rsidRPr="00A93DC5">
        <w:rPr>
          <w:rFonts w:ascii="Arial" w:hAnsi="Arial" w:cs="Arial"/>
          <w:bCs/>
          <w:color w:val="auto"/>
          <w:sz w:val="20"/>
          <w:szCs w:val="20"/>
        </w:rPr>
        <w:t xml:space="preserve">revenue </w:t>
      </w:r>
      <w:r w:rsidRPr="00A93DC5">
        <w:rPr>
          <w:rFonts w:ascii="Arial" w:hAnsi="Arial" w:cs="Arial"/>
          <w:bCs/>
          <w:color w:val="auto"/>
          <w:sz w:val="20"/>
          <w:szCs w:val="20"/>
        </w:rPr>
        <w:t>grant – 201</w:t>
      </w:r>
      <w:r w:rsidR="00461E11" w:rsidRPr="00A93DC5">
        <w:rPr>
          <w:rFonts w:ascii="Arial" w:hAnsi="Arial" w:cs="Arial"/>
          <w:bCs/>
          <w:color w:val="auto"/>
          <w:sz w:val="20"/>
          <w:szCs w:val="20"/>
        </w:rPr>
        <w:t>5</w:t>
      </w:r>
      <w:r w:rsidR="00CF6DE8" w:rsidRPr="00A93DC5">
        <w:rPr>
          <w:rFonts w:ascii="Arial" w:hAnsi="Arial" w:cs="Arial"/>
          <w:bCs/>
          <w:color w:val="auto"/>
          <w:sz w:val="20"/>
          <w:szCs w:val="20"/>
        </w:rPr>
        <w:t>/1</w:t>
      </w:r>
      <w:r w:rsidR="00461E11" w:rsidRPr="00A93DC5">
        <w:rPr>
          <w:rFonts w:ascii="Arial" w:hAnsi="Arial" w:cs="Arial"/>
          <w:bCs/>
          <w:color w:val="auto"/>
          <w:sz w:val="20"/>
          <w:szCs w:val="20"/>
        </w:rPr>
        <w:t>6</w:t>
      </w:r>
      <w:r w:rsidRPr="00A93DC5">
        <w:rPr>
          <w:rFonts w:ascii="Arial" w:hAnsi="Arial" w:cs="Arial"/>
          <w:bCs/>
          <w:color w:val="auto"/>
          <w:sz w:val="20"/>
          <w:szCs w:val="20"/>
        </w:rPr>
        <w:t xml:space="preserve"> £</w:t>
      </w:r>
      <w:r w:rsidR="00E96DAB" w:rsidRPr="00A93DC5">
        <w:rPr>
          <w:rFonts w:ascii="Arial" w:hAnsi="Arial" w:cs="Arial"/>
          <w:bCs/>
          <w:color w:val="auto"/>
          <w:sz w:val="20"/>
          <w:szCs w:val="20"/>
        </w:rPr>
        <w:t>0.</w:t>
      </w:r>
      <w:r w:rsidR="00A93DC5" w:rsidRPr="00A93DC5">
        <w:rPr>
          <w:rFonts w:ascii="Arial" w:hAnsi="Arial" w:cs="Arial"/>
          <w:bCs/>
          <w:color w:val="auto"/>
          <w:sz w:val="20"/>
          <w:szCs w:val="20"/>
        </w:rPr>
        <w:t>5</w:t>
      </w:r>
      <w:r w:rsidR="00FB55B3" w:rsidRPr="00A93DC5">
        <w:rPr>
          <w:rFonts w:ascii="Arial" w:hAnsi="Arial" w:cs="Arial"/>
          <w:bCs/>
          <w:color w:val="auto"/>
          <w:sz w:val="20"/>
          <w:szCs w:val="20"/>
        </w:rPr>
        <w:t xml:space="preserve">m </w:t>
      </w:r>
      <w:r w:rsidRPr="00A93DC5">
        <w:rPr>
          <w:rFonts w:ascii="Arial" w:hAnsi="Arial" w:cs="Arial"/>
          <w:bCs/>
          <w:color w:val="auto"/>
          <w:sz w:val="20"/>
          <w:szCs w:val="20"/>
        </w:rPr>
        <w:t>(201</w:t>
      </w:r>
      <w:r w:rsidR="00461E11" w:rsidRPr="00A93DC5">
        <w:rPr>
          <w:rFonts w:ascii="Arial" w:hAnsi="Arial" w:cs="Arial"/>
          <w:bCs/>
          <w:color w:val="auto"/>
          <w:sz w:val="20"/>
          <w:szCs w:val="20"/>
        </w:rPr>
        <w:t>4</w:t>
      </w:r>
      <w:r w:rsidR="00CF6DE8" w:rsidRPr="00A93DC5">
        <w:rPr>
          <w:rFonts w:ascii="Arial" w:hAnsi="Arial" w:cs="Arial"/>
          <w:bCs/>
          <w:color w:val="auto"/>
          <w:sz w:val="20"/>
          <w:szCs w:val="20"/>
        </w:rPr>
        <w:t>/1</w:t>
      </w:r>
      <w:r w:rsidR="00461E11" w:rsidRPr="00A93DC5">
        <w:rPr>
          <w:rFonts w:ascii="Arial" w:hAnsi="Arial" w:cs="Arial"/>
          <w:bCs/>
          <w:color w:val="auto"/>
          <w:sz w:val="20"/>
          <w:szCs w:val="20"/>
        </w:rPr>
        <w:t>5</w:t>
      </w:r>
      <w:r w:rsidR="00CF6DE8" w:rsidRPr="00A93DC5">
        <w:rPr>
          <w:rFonts w:ascii="Arial" w:hAnsi="Arial" w:cs="Arial"/>
          <w:bCs/>
          <w:color w:val="auto"/>
          <w:sz w:val="20"/>
          <w:szCs w:val="20"/>
        </w:rPr>
        <w:t xml:space="preserve"> </w:t>
      </w:r>
      <w:r w:rsidRPr="00A93DC5">
        <w:rPr>
          <w:rFonts w:ascii="Arial" w:hAnsi="Arial" w:cs="Arial"/>
          <w:bCs/>
          <w:color w:val="auto"/>
          <w:sz w:val="20"/>
          <w:szCs w:val="20"/>
        </w:rPr>
        <w:t>£0.</w:t>
      </w:r>
      <w:r w:rsidR="00CF6DE8" w:rsidRPr="00442E37">
        <w:rPr>
          <w:rFonts w:ascii="Arial" w:hAnsi="Arial" w:cs="Arial"/>
          <w:bCs/>
          <w:color w:val="auto"/>
          <w:sz w:val="20"/>
          <w:szCs w:val="20"/>
        </w:rPr>
        <w:t>6</w:t>
      </w:r>
      <w:r w:rsidRPr="00442E37">
        <w:rPr>
          <w:rFonts w:ascii="Arial" w:hAnsi="Arial" w:cs="Arial"/>
          <w:bCs/>
          <w:color w:val="auto"/>
          <w:sz w:val="20"/>
          <w:szCs w:val="20"/>
        </w:rPr>
        <w:t>m).</w:t>
      </w:r>
      <w:r w:rsidR="005C3999" w:rsidRPr="00442E37">
        <w:rPr>
          <w:rFonts w:ascii="Arial" w:hAnsi="Arial" w:cs="Arial"/>
          <w:bCs/>
          <w:color w:val="auto"/>
          <w:sz w:val="20"/>
          <w:szCs w:val="20"/>
        </w:rPr>
        <w:t xml:space="preserve"> In</w:t>
      </w:r>
      <w:r w:rsidR="00D659FB" w:rsidRPr="00442E37">
        <w:rPr>
          <w:rFonts w:ascii="Arial" w:hAnsi="Arial" w:cs="Arial"/>
          <w:bCs/>
          <w:color w:val="auto"/>
          <w:sz w:val="20"/>
          <w:szCs w:val="20"/>
        </w:rPr>
        <w:t xml:space="preserve"> </w:t>
      </w:r>
      <w:r w:rsidR="005C3999" w:rsidRPr="00442E37">
        <w:rPr>
          <w:rFonts w:ascii="Arial" w:hAnsi="Arial" w:cs="Arial"/>
          <w:bCs/>
          <w:color w:val="auto"/>
          <w:sz w:val="20"/>
          <w:szCs w:val="20"/>
        </w:rPr>
        <w:t>addition the Co</w:t>
      </w:r>
      <w:r w:rsidR="00D56AE7" w:rsidRPr="00442E37">
        <w:rPr>
          <w:rFonts w:ascii="Arial" w:hAnsi="Arial" w:cs="Arial"/>
          <w:bCs/>
          <w:color w:val="auto"/>
          <w:sz w:val="20"/>
          <w:szCs w:val="20"/>
        </w:rPr>
        <w:t>uncil</w:t>
      </w:r>
      <w:r w:rsidR="005C3999" w:rsidRPr="00442E37">
        <w:rPr>
          <w:rFonts w:ascii="Arial" w:hAnsi="Arial" w:cs="Arial"/>
          <w:bCs/>
          <w:color w:val="auto"/>
          <w:sz w:val="20"/>
          <w:szCs w:val="20"/>
        </w:rPr>
        <w:t xml:space="preserve"> provided a capital grant in 201</w:t>
      </w:r>
      <w:r w:rsidR="00461E11" w:rsidRPr="00442E37">
        <w:rPr>
          <w:rFonts w:ascii="Arial" w:hAnsi="Arial" w:cs="Arial"/>
          <w:bCs/>
          <w:color w:val="auto"/>
          <w:sz w:val="20"/>
          <w:szCs w:val="20"/>
        </w:rPr>
        <w:t>5</w:t>
      </w:r>
      <w:r w:rsidR="005C3999" w:rsidRPr="00442E37">
        <w:rPr>
          <w:rFonts w:ascii="Arial" w:hAnsi="Arial" w:cs="Arial"/>
          <w:bCs/>
          <w:color w:val="auto"/>
          <w:sz w:val="20"/>
          <w:szCs w:val="20"/>
        </w:rPr>
        <w:t>/1</w:t>
      </w:r>
      <w:r w:rsidR="00461E11" w:rsidRPr="00442E37">
        <w:rPr>
          <w:rFonts w:ascii="Arial" w:hAnsi="Arial" w:cs="Arial"/>
          <w:bCs/>
          <w:color w:val="auto"/>
          <w:sz w:val="20"/>
          <w:szCs w:val="20"/>
        </w:rPr>
        <w:t>6</w:t>
      </w:r>
      <w:r w:rsidR="005C3999" w:rsidRPr="00442E37">
        <w:rPr>
          <w:rFonts w:ascii="Arial" w:hAnsi="Arial" w:cs="Arial"/>
          <w:bCs/>
          <w:color w:val="auto"/>
          <w:sz w:val="20"/>
          <w:szCs w:val="20"/>
        </w:rPr>
        <w:t xml:space="preserve"> of £0.0</w:t>
      </w:r>
      <w:r w:rsidR="00442E37" w:rsidRPr="00442E37">
        <w:rPr>
          <w:rFonts w:ascii="Arial" w:hAnsi="Arial" w:cs="Arial"/>
          <w:bCs/>
          <w:color w:val="auto"/>
          <w:sz w:val="20"/>
          <w:szCs w:val="20"/>
        </w:rPr>
        <w:t>3</w:t>
      </w:r>
      <w:r w:rsidR="005C3999" w:rsidRPr="00442E37">
        <w:rPr>
          <w:rFonts w:ascii="Arial" w:hAnsi="Arial" w:cs="Arial"/>
          <w:bCs/>
          <w:color w:val="auto"/>
          <w:sz w:val="20"/>
          <w:szCs w:val="20"/>
        </w:rPr>
        <w:t>m (201</w:t>
      </w:r>
      <w:r w:rsidR="00461E11" w:rsidRPr="00442E37">
        <w:rPr>
          <w:rFonts w:ascii="Arial" w:hAnsi="Arial" w:cs="Arial"/>
          <w:bCs/>
          <w:color w:val="auto"/>
          <w:sz w:val="20"/>
          <w:szCs w:val="20"/>
        </w:rPr>
        <w:t>4</w:t>
      </w:r>
      <w:r w:rsidR="005C3999" w:rsidRPr="00442E37">
        <w:rPr>
          <w:rFonts w:ascii="Arial" w:hAnsi="Arial" w:cs="Arial"/>
          <w:bCs/>
          <w:color w:val="auto"/>
          <w:sz w:val="20"/>
          <w:szCs w:val="20"/>
        </w:rPr>
        <w:t>/1</w:t>
      </w:r>
      <w:r w:rsidR="00461E11" w:rsidRPr="00442E37">
        <w:rPr>
          <w:rFonts w:ascii="Arial" w:hAnsi="Arial" w:cs="Arial"/>
          <w:bCs/>
          <w:color w:val="auto"/>
          <w:sz w:val="20"/>
          <w:szCs w:val="20"/>
        </w:rPr>
        <w:t>5</w:t>
      </w:r>
      <w:r w:rsidR="005C3999" w:rsidRPr="00442E37">
        <w:rPr>
          <w:rFonts w:ascii="Arial" w:hAnsi="Arial" w:cs="Arial"/>
          <w:bCs/>
          <w:color w:val="auto"/>
          <w:sz w:val="20"/>
          <w:szCs w:val="20"/>
        </w:rPr>
        <w:t xml:space="preserve"> £0.</w:t>
      </w:r>
      <w:r w:rsidR="00461E11" w:rsidRPr="00442E37">
        <w:rPr>
          <w:rFonts w:ascii="Arial" w:hAnsi="Arial" w:cs="Arial"/>
          <w:bCs/>
          <w:color w:val="auto"/>
          <w:sz w:val="20"/>
          <w:szCs w:val="20"/>
        </w:rPr>
        <w:t>02</w:t>
      </w:r>
      <w:r w:rsidR="005C3999" w:rsidRPr="00442E37">
        <w:rPr>
          <w:rFonts w:ascii="Arial" w:hAnsi="Arial" w:cs="Arial"/>
          <w:bCs/>
          <w:color w:val="auto"/>
          <w:sz w:val="20"/>
          <w:szCs w:val="20"/>
        </w:rPr>
        <w:t>m)</w:t>
      </w:r>
      <w:r w:rsidRPr="00D42E0B">
        <w:rPr>
          <w:rFonts w:ascii="Arial" w:hAnsi="Arial" w:cs="Arial"/>
          <w:bCs/>
          <w:color w:val="548DD4" w:themeColor="text2" w:themeTint="99"/>
          <w:sz w:val="20"/>
          <w:szCs w:val="20"/>
        </w:rPr>
        <w:t xml:space="preserve">  </w:t>
      </w:r>
    </w:p>
    <w:p w:rsidR="00E51139" w:rsidRPr="00D42E0B" w:rsidRDefault="00E51139" w:rsidP="00D50FBC">
      <w:pPr>
        <w:pStyle w:val="Default"/>
        <w:ind w:left="567"/>
        <w:rPr>
          <w:rFonts w:ascii="Arial" w:hAnsi="Arial" w:cs="Arial"/>
          <w:bCs/>
          <w:color w:val="548DD4" w:themeColor="text2" w:themeTint="99"/>
          <w:sz w:val="20"/>
          <w:szCs w:val="20"/>
        </w:rPr>
      </w:pPr>
    </w:p>
    <w:p w:rsidR="00E51139" w:rsidRPr="00B14546" w:rsidRDefault="00E51139" w:rsidP="00D50FBC">
      <w:pPr>
        <w:pStyle w:val="Default"/>
        <w:ind w:left="567"/>
        <w:rPr>
          <w:rFonts w:ascii="Arial" w:hAnsi="Arial" w:cs="Arial"/>
          <w:b/>
          <w:bCs/>
          <w:color w:val="auto"/>
          <w:sz w:val="20"/>
          <w:szCs w:val="20"/>
        </w:rPr>
      </w:pPr>
      <w:r w:rsidRPr="00B14546">
        <w:rPr>
          <w:rFonts w:ascii="Arial" w:hAnsi="Arial" w:cs="Arial"/>
          <w:b/>
          <w:bCs/>
          <w:color w:val="auto"/>
          <w:sz w:val="20"/>
          <w:szCs w:val="20"/>
        </w:rPr>
        <w:t>Trust Funds</w:t>
      </w:r>
    </w:p>
    <w:p w:rsidR="00E51139" w:rsidRPr="00B14546" w:rsidRDefault="00E51139" w:rsidP="00D50FBC">
      <w:pPr>
        <w:pStyle w:val="Default"/>
        <w:ind w:left="567"/>
        <w:rPr>
          <w:rFonts w:ascii="Arial" w:hAnsi="Arial" w:cs="Arial"/>
          <w:bCs/>
          <w:color w:val="auto"/>
          <w:sz w:val="20"/>
          <w:szCs w:val="20"/>
        </w:rPr>
      </w:pPr>
    </w:p>
    <w:p w:rsidR="00E51139" w:rsidRPr="00B14546" w:rsidRDefault="00E51139" w:rsidP="00D50FBC">
      <w:pPr>
        <w:pStyle w:val="Default"/>
        <w:ind w:left="567"/>
        <w:rPr>
          <w:rFonts w:ascii="Arial" w:hAnsi="Arial" w:cs="Arial"/>
          <w:bCs/>
          <w:color w:val="auto"/>
          <w:sz w:val="20"/>
          <w:szCs w:val="20"/>
        </w:rPr>
      </w:pPr>
      <w:r w:rsidRPr="00B14546">
        <w:rPr>
          <w:rFonts w:ascii="Arial" w:hAnsi="Arial" w:cs="Arial"/>
          <w:bCs/>
          <w:color w:val="auto"/>
          <w:sz w:val="20"/>
          <w:szCs w:val="20"/>
        </w:rPr>
        <w:t>The Council acts as a Trustee for a number of funds. These balances do not form part of the Council’s accounts. The value of these funds as at 31st March 201</w:t>
      </w:r>
      <w:r w:rsidR="00461E11" w:rsidRPr="00B14546">
        <w:rPr>
          <w:rFonts w:ascii="Arial" w:hAnsi="Arial" w:cs="Arial"/>
          <w:bCs/>
          <w:color w:val="auto"/>
          <w:sz w:val="20"/>
          <w:szCs w:val="20"/>
        </w:rPr>
        <w:t>6</w:t>
      </w:r>
      <w:r w:rsidRPr="00B14546">
        <w:rPr>
          <w:rFonts w:ascii="Arial" w:hAnsi="Arial" w:cs="Arial"/>
          <w:bCs/>
          <w:color w:val="auto"/>
          <w:sz w:val="20"/>
          <w:szCs w:val="20"/>
        </w:rPr>
        <w:t xml:space="preserve"> was £</w:t>
      </w:r>
      <w:r w:rsidR="00D26D2B" w:rsidRPr="00B14546">
        <w:rPr>
          <w:rFonts w:ascii="Arial" w:hAnsi="Arial" w:cs="Arial"/>
          <w:bCs/>
          <w:color w:val="auto"/>
          <w:sz w:val="20"/>
          <w:szCs w:val="20"/>
        </w:rPr>
        <w:t>2</w:t>
      </w:r>
      <w:r w:rsidR="00B14546" w:rsidRPr="00B14546">
        <w:rPr>
          <w:rFonts w:ascii="Arial" w:hAnsi="Arial" w:cs="Arial"/>
          <w:bCs/>
          <w:color w:val="auto"/>
          <w:sz w:val="20"/>
          <w:szCs w:val="20"/>
        </w:rPr>
        <w:t>7</w:t>
      </w:r>
      <w:r w:rsidR="00D26D2B" w:rsidRPr="00B14546">
        <w:rPr>
          <w:rFonts w:ascii="Arial" w:hAnsi="Arial" w:cs="Arial"/>
          <w:bCs/>
          <w:color w:val="auto"/>
          <w:sz w:val="20"/>
          <w:szCs w:val="20"/>
        </w:rPr>
        <w:t>,000</w:t>
      </w:r>
      <w:r w:rsidRPr="00B14546">
        <w:rPr>
          <w:rFonts w:ascii="Arial" w:hAnsi="Arial" w:cs="Arial"/>
          <w:bCs/>
          <w:color w:val="auto"/>
          <w:sz w:val="20"/>
          <w:szCs w:val="20"/>
        </w:rPr>
        <w:t xml:space="preserve"> (£</w:t>
      </w:r>
      <w:r w:rsidR="00CD2FAD" w:rsidRPr="00B14546">
        <w:rPr>
          <w:rFonts w:ascii="Arial" w:hAnsi="Arial" w:cs="Arial"/>
          <w:bCs/>
          <w:color w:val="auto"/>
          <w:sz w:val="20"/>
          <w:szCs w:val="20"/>
        </w:rPr>
        <w:t>2</w:t>
      </w:r>
      <w:r w:rsidR="00461E11" w:rsidRPr="00B14546">
        <w:rPr>
          <w:rFonts w:ascii="Arial" w:hAnsi="Arial" w:cs="Arial"/>
          <w:bCs/>
          <w:color w:val="auto"/>
          <w:sz w:val="20"/>
          <w:szCs w:val="20"/>
        </w:rPr>
        <w:t>8</w:t>
      </w:r>
      <w:r w:rsidRPr="00B14546">
        <w:rPr>
          <w:rFonts w:ascii="Arial" w:hAnsi="Arial" w:cs="Arial"/>
          <w:bCs/>
          <w:color w:val="auto"/>
          <w:sz w:val="20"/>
          <w:szCs w:val="20"/>
        </w:rPr>
        <w:t>,000 201</w:t>
      </w:r>
      <w:r w:rsidR="00461E11" w:rsidRPr="00B14546">
        <w:rPr>
          <w:rFonts w:ascii="Arial" w:hAnsi="Arial" w:cs="Arial"/>
          <w:bCs/>
          <w:color w:val="auto"/>
          <w:sz w:val="20"/>
          <w:szCs w:val="20"/>
        </w:rPr>
        <w:t>4</w:t>
      </w:r>
      <w:r w:rsidR="000900B9" w:rsidRPr="00B14546">
        <w:rPr>
          <w:rFonts w:ascii="Arial" w:hAnsi="Arial" w:cs="Arial"/>
          <w:bCs/>
          <w:color w:val="auto"/>
          <w:sz w:val="20"/>
          <w:szCs w:val="20"/>
        </w:rPr>
        <w:t>/1</w:t>
      </w:r>
      <w:r w:rsidR="00461E11" w:rsidRPr="00B14546">
        <w:rPr>
          <w:rFonts w:ascii="Arial" w:hAnsi="Arial" w:cs="Arial"/>
          <w:bCs/>
          <w:color w:val="auto"/>
          <w:sz w:val="20"/>
          <w:szCs w:val="20"/>
        </w:rPr>
        <w:t>5</w:t>
      </w:r>
      <w:r w:rsidRPr="00B14546">
        <w:rPr>
          <w:rFonts w:ascii="Arial" w:hAnsi="Arial" w:cs="Arial"/>
          <w:bCs/>
          <w:color w:val="auto"/>
          <w:sz w:val="20"/>
          <w:szCs w:val="20"/>
        </w:rPr>
        <w:t>). Of this balance £</w:t>
      </w:r>
      <w:r w:rsidR="00D26D2B" w:rsidRPr="00B14546">
        <w:rPr>
          <w:rFonts w:ascii="Arial" w:hAnsi="Arial" w:cs="Arial"/>
          <w:bCs/>
          <w:color w:val="auto"/>
          <w:sz w:val="20"/>
          <w:szCs w:val="20"/>
        </w:rPr>
        <w:t>2</w:t>
      </w:r>
      <w:r w:rsidR="00DB3F87" w:rsidRPr="00B14546">
        <w:rPr>
          <w:rFonts w:ascii="Arial" w:hAnsi="Arial" w:cs="Arial"/>
          <w:bCs/>
          <w:color w:val="auto"/>
          <w:sz w:val="20"/>
          <w:szCs w:val="20"/>
        </w:rPr>
        <w:t>1</w:t>
      </w:r>
      <w:r w:rsidR="00D26D2B" w:rsidRPr="00B14546">
        <w:rPr>
          <w:rFonts w:ascii="Arial" w:hAnsi="Arial" w:cs="Arial"/>
          <w:bCs/>
          <w:color w:val="auto"/>
          <w:sz w:val="20"/>
          <w:szCs w:val="20"/>
        </w:rPr>
        <w:t>,000</w:t>
      </w:r>
      <w:r w:rsidRPr="00B14546">
        <w:rPr>
          <w:rFonts w:ascii="Arial" w:hAnsi="Arial" w:cs="Arial"/>
          <w:bCs/>
          <w:color w:val="auto"/>
          <w:sz w:val="20"/>
          <w:szCs w:val="20"/>
        </w:rPr>
        <w:t xml:space="preserve"> is held within the Council’s bank account with the balance of £</w:t>
      </w:r>
      <w:r w:rsidR="00B14546" w:rsidRPr="00B14546">
        <w:rPr>
          <w:rFonts w:ascii="Arial" w:hAnsi="Arial" w:cs="Arial"/>
          <w:bCs/>
          <w:color w:val="auto"/>
          <w:sz w:val="20"/>
          <w:szCs w:val="20"/>
        </w:rPr>
        <w:t>6</w:t>
      </w:r>
      <w:r w:rsidR="001E12AB" w:rsidRPr="00B14546">
        <w:rPr>
          <w:rFonts w:ascii="Arial" w:hAnsi="Arial" w:cs="Arial"/>
          <w:bCs/>
          <w:color w:val="auto"/>
          <w:sz w:val="20"/>
          <w:szCs w:val="20"/>
        </w:rPr>
        <w:t>,000</w:t>
      </w:r>
      <w:r w:rsidRPr="00B14546">
        <w:rPr>
          <w:rFonts w:ascii="Arial" w:hAnsi="Arial" w:cs="Arial"/>
          <w:bCs/>
          <w:color w:val="auto"/>
          <w:sz w:val="20"/>
          <w:szCs w:val="20"/>
        </w:rPr>
        <w:t xml:space="preserve"> </w:t>
      </w:r>
      <w:r w:rsidR="00CD2FAD" w:rsidRPr="00B14546">
        <w:rPr>
          <w:rFonts w:ascii="Arial" w:hAnsi="Arial" w:cs="Arial"/>
          <w:bCs/>
          <w:color w:val="auto"/>
          <w:sz w:val="20"/>
          <w:szCs w:val="20"/>
        </w:rPr>
        <w:t>(£7,000</w:t>
      </w:r>
      <w:r w:rsidR="00191430" w:rsidRPr="00B14546">
        <w:rPr>
          <w:rFonts w:ascii="Arial" w:hAnsi="Arial" w:cs="Arial"/>
          <w:bCs/>
          <w:color w:val="auto"/>
          <w:sz w:val="20"/>
          <w:szCs w:val="20"/>
        </w:rPr>
        <w:t xml:space="preserve"> </w:t>
      </w:r>
      <w:r w:rsidR="00CD2FAD" w:rsidRPr="00B14546">
        <w:rPr>
          <w:rFonts w:ascii="Arial" w:hAnsi="Arial" w:cs="Arial"/>
          <w:bCs/>
          <w:color w:val="auto"/>
          <w:sz w:val="20"/>
          <w:szCs w:val="20"/>
        </w:rPr>
        <w:t>1</w:t>
      </w:r>
      <w:r w:rsidR="00461E11" w:rsidRPr="00B14546">
        <w:rPr>
          <w:rFonts w:ascii="Arial" w:hAnsi="Arial" w:cs="Arial"/>
          <w:bCs/>
          <w:color w:val="auto"/>
          <w:sz w:val="20"/>
          <w:szCs w:val="20"/>
        </w:rPr>
        <w:t>4</w:t>
      </w:r>
      <w:r w:rsidR="00CD2FAD" w:rsidRPr="00B14546">
        <w:rPr>
          <w:rFonts w:ascii="Arial" w:hAnsi="Arial" w:cs="Arial"/>
          <w:bCs/>
          <w:color w:val="auto"/>
          <w:sz w:val="20"/>
          <w:szCs w:val="20"/>
        </w:rPr>
        <w:t>/1</w:t>
      </w:r>
      <w:r w:rsidR="00461E11" w:rsidRPr="00B14546">
        <w:rPr>
          <w:rFonts w:ascii="Arial" w:hAnsi="Arial" w:cs="Arial"/>
          <w:bCs/>
          <w:color w:val="auto"/>
          <w:sz w:val="20"/>
          <w:szCs w:val="20"/>
        </w:rPr>
        <w:t>5</w:t>
      </w:r>
      <w:r w:rsidR="00CD2FAD" w:rsidRPr="00B14546">
        <w:rPr>
          <w:rFonts w:ascii="Arial" w:hAnsi="Arial" w:cs="Arial"/>
          <w:bCs/>
          <w:color w:val="auto"/>
          <w:sz w:val="20"/>
          <w:szCs w:val="20"/>
        </w:rPr>
        <w:t xml:space="preserve">) </w:t>
      </w:r>
      <w:r w:rsidRPr="00B14546">
        <w:rPr>
          <w:rFonts w:ascii="Arial" w:hAnsi="Arial" w:cs="Arial"/>
          <w:bCs/>
          <w:color w:val="auto"/>
          <w:sz w:val="20"/>
          <w:szCs w:val="20"/>
        </w:rPr>
        <w:t>relating to the (civic) Mayor of Torbay’s charity fund held in a separate bank account.</w:t>
      </w:r>
    </w:p>
    <w:p w:rsidR="00E51139" w:rsidRPr="00D42E0B" w:rsidRDefault="00E51139" w:rsidP="00D50FBC">
      <w:pPr>
        <w:pStyle w:val="Default"/>
        <w:ind w:left="567"/>
        <w:rPr>
          <w:rFonts w:ascii="Arial" w:hAnsi="Arial" w:cs="Arial"/>
          <w:bCs/>
          <w:color w:val="548DD4" w:themeColor="text2" w:themeTint="99"/>
          <w:sz w:val="20"/>
          <w:szCs w:val="20"/>
        </w:rPr>
      </w:pPr>
    </w:p>
    <w:p w:rsidR="00E51139" w:rsidRPr="00110E29" w:rsidRDefault="00E51139" w:rsidP="00D50FBC">
      <w:pPr>
        <w:pStyle w:val="Default"/>
        <w:ind w:left="567"/>
        <w:rPr>
          <w:rFonts w:ascii="Arial" w:hAnsi="Arial" w:cs="Arial"/>
          <w:b/>
          <w:bCs/>
          <w:color w:val="auto"/>
          <w:sz w:val="20"/>
          <w:szCs w:val="20"/>
        </w:rPr>
      </w:pPr>
      <w:r w:rsidRPr="00110E29">
        <w:rPr>
          <w:rFonts w:ascii="Arial" w:hAnsi="Arial" w:cs="Arial"/>
          <w:b/>
          <w:bCs/>
          <w:color w:val="auto"/>
          <w:sz w:val="20"/>
          <w:szCs w:val="20"/>
        </w:rPr>
        <w:t>Central Government</w:t>
      </w:r>
    </w:p>
    <w:p w:rsidR="00E51139" w:rsidRPr="00110E29" w:rsidRDefault="00E51139" w:rsidP="00D50FBC">
      <w:pPr>
        <w:pStyle w:val="Default"/>
        <w:ind w:left="567"/>
        <w:rPr>
          <w:rFonts w:ascii="Arial" w:hAnsi="Arial" w:cs="Arial"/>
          <w:bCs/>
          <w:color w:val="auto"/>
          <w:sz w:val="20"/>
          <w:szCs w:val="20"/>
        </w:rPr>
      </w:pPr>
    </w:p>
    <w:p w:rsidR="00E51139" w:rsidRPr="00D46207" w:rsidRDefault="00E51139" w:rsidP="00D50FBC">
      <w:pPr>
        <w:pStyle w:val="Default"/>
        <w:ind w:left="567"/>
        <w:rPr>
          <w:rFonts w:ascii="Arial" w:hAnsi="Arial" w:cs="Arial"/>
          <w:bCs/>
          <w:color w:val="548DD4" w:themeColor="text2" w:themeTint="99"/>
          <w:sz w:val="20"/>
          <w:szCs w:val="20"/>
        </w:rPr>
      </w:pPr>
      <w:r w:rsidRPr="00110E29">
        <w:rPr>
          <w:rFonts w:ascii="Arial" w:hAnsi="Arial" w:cs="Arial"/>
          <w:bCs/>
          <w:color w:val="auto"/>
          <w:sz w:val="20"/>
          <w:szCs w:val="20"/>
        </w:rPr>
        <w:t xml:space="preserve">Central government (Her Majesty’s Government for the United Kingdom of Britain and Northern Ireland) has effective control over the general operations of the Council – it is responsible for providing the statutory framework within which the Council operates, provides the majority of its funding in the form of grants and prescribes the terms of many of the transactions that the </w:t>
      </w:r>
      <w:r w:rsidRPr="00110E29">
        <w:rPr>
          <w:rFonts w:ascii="Arial" w:hAnsi="Arial" w:cs="Arial"/>
          <w:bCs/>
          <w:color w:val="auto"/>
          <w:sz w:val="20"/>
          <w:szCs w:val="20"/>
        </w:rPr>
        <w:lastRenderedPageBreak/>
        <w:t xml:space="preserve">Council has with other parties (e.g. council tax </w:t>
      </w:r>
      <w:r w:rsidRPr="00D46207">
        <w:rPr>
          <w:rFonts w:ascii="Arial" w:hAnsi="Arial" w:cs="Arial"/>
          <w:bCs/>
          <w:color w:val="auto"/>
          <w:sz w:val="20"/>
          <w:szCs w:val="20"/>
        </w:rPr>
        <w:t xml:space="preserve">bills, housing benefits).  </w:t>
      </w:r>
      <w:r w:rsidR="00BD680D" w:rsidRPr="00D46207">
        <w:rPr>
          <w:rFonts w:ascii="Arial" w:hAnsi="Arial" w:cs="Arial"/>
          <w:bCs/>
          <w:color w:val="auto"/>
          <w:sz w:val="20"/>
          <w:szCs w:val="20"/>
        </w:rPr>
        <w:t>Significant g</w:t>
      </w:r>
      <w:r w:rsidRPr="00D46207">
        <w:rPr>
          <w:rFonts w:ascii="Arial" w:hAnsi="Arial" w:cs="Arial"/>
          <w:bCs/>
          <w:color w:val="auto"/>
          <w:sz w:val="20"/>
          <w:szCs w:val="20"/>
        </w:rPr>
        <w:t xml:space="preserve">rants received from government departments are set out in Note </w:t>
      </w:r>
      <w:r w:rsidR="00D113F1" w:rsidRPr="00D46207">
        <w:rPr>
          <w:rFonts w:ascii="Arial" w:hAnsi="Arial" w:cs="Arial"/>
          <w:bCs/>
          <w:color w:val="auto"/>
          <w:sz w:val="20"/>
          <w:szCs w:val="20"/>
        </w:rPr>
        <w:t>3</w:t>
      </w:r>
      <w:r w:rsidR="00E23A66" w:rsidRPr="00D46207">
        <w:rPr>
          <w:rFonts w:ascii="Arial" w:hAnsi="Arial" w:cs="Arial"/>
          <w:bCs/>
          <w:color w:val="auto"/>
          <w:sz w:val="20"/>
          <w:szCs w:val="20"/>
        </w:rPr>
        <w:t>0</w:t>
      </w:r>
      <w:r w:rsidRPr="00D46207">
        <w:rPr>
          <w:rFonts w:ascii="Arial" w:hAnsi="Arial" w:cs="Arial"/>
          <w:bCs/>
          <w:color w:val="auto"/>
          <w:sz w:val="20"/>
          <w:szCs w:val="20"/>
        </w:rPr>
        <w:t>.</w:t>
      </w:r>
      <w:r w:rsidRPr="00D46207">
        <w:rPr>
          <w:rFonts w:ascii="Arial" w:hAnsi="Arial" w:cs="Arial"/>
          <w:bCs/>
          <w:color w:val="548DD4" w:themeColor="text2" w:themeTint="99"/>
          <w:sz w:val="20"/>
          <w:szCs w:val="20"/>
        </w:rPr>
        <w:t xml:space="preserve">  </w:t>
      </w:r>
    </w:p>
    <w:p w:rsidR="00E51139" w:rsidRPr="00D46207" w:rsidRDefault="00E51139" w:rsidP="00D50FBC">
      <w:pPr>
        <w:pStyle w:val="Default"/>
        <w:ind w:left="567"/>
        <w:rPr>
          <w:rFonts w:ascii="Arial" w:hAnsi="Arial" w:cs="Arial"/>
          <w:bCs/>
          <w:color w:val="548DD4" w:themeColor="text2" w:themeTint="99"/>
          <w:sz w:val="20"/>
          <w:szCs w:val="20"/>
        </w:rPr>
      </w:pPr>
    </w:p>
    <w:p w:rsidR="00E51139" w:rsidRPr="00D46207" w:rsidRDefault="00E51139" w:rsidP="00D50FBC">
      <w:pPr>
        <w:pStyle w:val="Default"/>
        <w:ind w:left="567"/>
        <w:rPr>
          <w:rFonts w:ascii="Arial" w:hAnsi="Arial" w:cs="Arial"/>
          <w:b/>
          <w:bCs/>
          <w:color w:val="auto"/>
          <w:sz w:val="20"/>
          <w:szCs w:val="20"/>
        </w:rPr>
      </w:pPr>
      <w:r w:rsidRPr="00D46207">
        <w:rPr>
          <w:rFonts w:ascii="Arial" w:hAnsi="Arial" w:cs="Arial"/>
          <w:b/>
          <w:bCs/>
          <w:color w:val="auto"/>
          <w:sz w:val="20"/>
          <w:szCs w:val="20"/>
        </w:rPr>
        <w:t>Members</w:t>
      </w:r>
    </w:p>
    <w:p w:rsidR="00E51139" w:rsidRPr="00D46207" w:rsidRDefault="00E51139" w:rsidP="00D50FBC">
      <w:pPr>
        <w:pStyle w:val="Default"/>
        <w:ind w:left="567"/>
        <w:rPr>
          <w:rFonts w:ascii="Arial" w:hAnsi="Arial" w:cs="Arial"/>
          <w:bCs/>
          <w:color w:val="auto"/>
          <w:sz w:val="20"/>
          <w:szCs w:val="20"/>
        </w:rPr>
      </w:pPr>
    </w:p>
    <w:p w:rsidR="00E51139" w:rsidRPr="0099187F" w:rsidRDefault="00E51139" w:rsidP="00D50FBC">
      <w:pPr>
        <w:pStyle w:val="Default"/>
        <w:ind w:left="567"/>
        <w:rPr>
          <w:rFonts w:ascii="Arial" w:hAnsi="Arial" w:cs="Arial"/>
          <w:bCs/>
          <w:color w:val="auto"/>
          <w:sz w:val="20"/>
          <w:szCs w:val="20"/>
        </w:rPr>
      </w:pPr>
      <w:r w:rsidRPr="00D46207">
        <w:rPr>
          <w:rFonts w:ascii="Arial" w:hAnsi="Arial" w:cs="Arial"/>
          <w:bCs/>
          <w:color w:val="auto"/>
          <w:sz w:val="20"/>
          <w:szCs w:val="20"/>
        </w:rPr>
        <w:t>Members of the council have direct control over the Council’s financial and operating policies.  The total of members’ allowances paid in 201</w:t>
      </w:r>
      <w:r w:rsidR="00461E11" w:rsidRPr="00D46207">
        <w:rPr>
          <w:rFonts w:ascii="Arial" w:hAnsi="Arial" w:cs="Arial"/>
          <w:bCs/>
          <w:color w:val="auto"/>
          <w:sz w:val="20"/>
          <w:szCs w:val="20"/>
        </w:rPr>
        <w:t>5</w:t>
      </w:r>
      <w:r w:rsidR="0085553D" w:rsidRPr="00D46207">
        <w:rPr>
          <w:rFonts w:ascii="Arial" w:hAnsi="Arial" w:cs="Arial"/>
          <w:bCs/>
          <w:color w:val="auto"/>
          <w:sz w:val="20"/>
          <w:szCs w:val="20"/>
        </w:rPr>
        <w:t>/1</w:t>
      </w:r>
      <w:r w:rsidR="00461E11" w:rsidRPr="00D46207">
        <w:rPr>
          <w:rFonts w:ascii="Arial" w:hAnsi="Arial" w:cs="Arial"/>
          <w:bCs/>
          <w:color w:val="auto"/>
          <w:sz w:val="20"/>
          <w:szCs w:val="20"/>
        </w:rPr>
        <w:t>6</w:t>
      </w:r>
      <w:r w:rsidRPr="00D46207">
        <w:rPr>
          <w:rFonts w:ascii="Arial" w:hAnsi="Arial" w:cs="Arial"/>
          <w:bCs/>
          <w:color w:val="auto"/>
          <w:sz w:val="20"/>
          <w:szCs w:val="20"/>
        </w:rPr>
        <w:t xml:space="preserve"> is shown in Note </w:t>
      </w:r>
      <w:r w:rsidR="00D113F1" w:rsidRPr="00D46207">
        <w:rPr>
          <w:rFonts w:ascii="Arial" w:hAnsi="Arial" w:cs="Arial"/>
          <w:bCs/>
          <w:color w:val="auto"/>
          <w:sz w:val="20"/>
          <w:szCs w:val="20"/>
        </w:rPr>
        <w:t>2</w:t>
      </w:r>
      <w:r w:rsidR="00E23A66" w:rsidRPr="00D46207">
        <w:rPr>
          <w:rFonts w:ascii="Arial" w:hAnsi="Arial" w:cs="Arial"/>
          <w:bCs/>
          <w:color w:val="auto"/>
          <w:sz w:val="20"/>
          <w:szCs w:val="20"/>
        </w:rPr>
        <w:t>6</w:t>
      </w:r>
      <w:r w:rsidR="003C6FFB" w:rsidRPr="00D46207">
        <w:rPr>
          <w:rFonts w:ascii="Arial" w:hAnsi="Arial" w:cs="Arial"/>
          <w:bCs/>
          <w:color w:val="auto"/>
          <w:sz w:val="20"/>
          <w:szCs w:val="20"/>
        </w:rPr>
        <w:t xml:space="preserve">. Members have not disclosed any material transactions with </w:t>
      </w:r>
      <w:r w:rsidR="00B85453" w:rsidRPr="00D46207">
        <w:rPr>
          <w:rFonts w:ascii="Arial" w:hAnsi="Arial" w:cs="Arial"/>
          <w:bCs/>
          <w:color w:val="auto"/>
          <w:sz w:val="20"/>
          <w:szCs w:val="20"/>
        </w:rPr>
        <w:t>the Council</w:t>
      </w:r>
      <w:r w:rsidRPr="00D46207">
        <w:rPr>
          <w:rFonts w:ascii="Arial" w:hAnsi="Arial" w:cs="Arial"/>
          <w:bCs/>
          <w:color w:val="auto"/>
          <w:sz w:val="20"/>
          <w:szCs w:val="20"/>
        </w:rPr>
        <w:t>. The Members’ Record of Interests and Register of Gifts &amp; Hospitality for each Member are available on the Council’s website.</w:t>
      </w:r>
    </w:p>
    <w:p w:rsidR="0061478F" w:rsidRPr="0099187F" w:rsidRDefault="0061478F" w:rsidP="00D50FBC">
      <w:pPr>
        <w:pStyle w:val="Default"/>
        <w:ind w:left="567"/>
        <w:rPr>
          <w:rFonts w:ascii="Arial" w:hAnsi="Arial" w:cs="Arial"/>
          <w:bCs/>
          <w:color w:val="auto"/>
          <w:sz w:val="20"/>
          <w:szCs w:val="20"/>
        </w:rPr>
      </w:pPr>
    </w:p>
    <w:p w:rsidR="00650992" w:rsidRPr="0099187F" w:rsidRDefault="00C555E7" w:rsidP="00D50FBC">
      <w:pPr>
        <w:pStyle w:val="Default"/>
        <w:ind w:left="567"/>
        <w:rPr>
          <w:rFonts w:ascii="Arial" w:hAnsi="Arial" w:cs="Arial"/>
          <w:bCs/>
          <w:color w:val="auto"/>
          <w:sz w:val="20"/>
          <w:szCs w:val="20"/>
          <w:u w:val="single"/>
        </w:rPr>
      </w:pPr>
      <w:hyperlink r:id="rId44" w:history="1">
        <w:r w:rsidR="00E51139" w:rsidRPr="0099187F">
          <w:rPr>
            <w:rFonts w:ascii="Arial" w:hAnsi="Arial" w:cs="Arial"/>
            <w:bCs/>
            <w:color w:val="auto"/>
            <w:sz w:val="20"/>
            <w:szCs w:val="20"/>
            <w:u w:val="single"/>
          </w:rPr>
          <w:t>http://www.torbay.gov.uk/DemocraticServices/mgMemberIndex.aspx?bcr=1</w:t>
        </w:r>
      </w:hyperlink>
    </w:p>
    <w:p w:rsidR="00650992" w:rsidRPr="00D42E0B" w:rsidRDefault="00650992" w:rsidP="00D50FBC">
      <w:pPr>
        <w:pStyle w:val="Default"/>
        <w:ind w:left="567"/>
        <w:rPr>
          <w:rFonts w:ascii="Arial" w:hAnsi="Arial" w:cs="Arial"/>
          <w:bCs/>
          <w:color w:val="548DD4" w:themeColor="text2" w:themeTint="99"/>
          <w:sz w:val="20"/>
          <w:szCs w:val="20"/>
        </w:rPr>
      </w:pPr>
    </w:p>
    <w:p w:rsidR="00E51139" w:rsidRPr="00110E29" w:rsidRDefault="00E51139" w:rsidP="00D50FBC">
      <w:pPr>
        <w:pStyle w:val="Default"/>
        <w:ind w:left="567"/>
        <w:rPr>
          <w:rFonts w:ascii="Arial" w:hAnsi="Arial" w:cs="Arial"/>
          <w:b/>
          <w:bCs/>
          <w:color w:val="auto"/>
          <w:sz w:val="20"/>
          <w:szCs w:val="20"/>
        </w:rPr>
      </w:pPr>
      <w:r w:rsidRPr="00110E29">
        <w:rPr>
          <w:rFonts w:ascii="Arial" w:hAnsi="Arial" w:cs="Arial"/>
          <w:b/>
          <w:bCs/>
          <w:color w:val="auto"/>
          <w:sz w:val="20"/>
          <w:szCs w:val="20"/>
        </w:rPr>
        <w:t>Officers</w:t>
      </w:r>
    </w:p>
    <w:p w:rsidR="00E51139" w:rsidRPr="00110E29" w:rsidRDefault="00E51139" w:rsidP="00D50FBC">
      <w:pPr>
        <w:pStyle w:val="Default"/>
        <w:ind w:left="567"/>
        <w:rPr>
          <w:rFonts w:ascii="Arial" w:hAnsi="Arial" w:cs="Arial"/>
          <w:bCs/>
          <w:color w:val="auto"/>
          <w:sz w:val="20"/>
          <w:szCs w:val="20"/>
        </w:rPr>
      </w:pPr>
    </w:p>
    <w:p w:rsidR="00E51139" w:rsidRPr="00110E29" w:rsidRDefault="00E51139" w:rsidP="00D50FBC">
      <w:pPr>
        <w:pStyle w:val="Default"/>
        <w:ind w:left="567"/>
        <w:rPr>
          <w:rFonts w:ascii="Arial" w:hAnsi="Arial" w:cs="Arial"/>
          <w:bCs/>
          <w:color w:val="auto"/>
          <w:sz w:val="20"/>
          <w:szCs w:val="20"/>
        </w:rPr>
      </w:pPr>
      <w:r w:rsidRPr="00110E29">
        <w:rPr>
          <w:rFonts w:ascii="Arial" w:hAnsi="Arial" w:cs="Arial"/>
          <w:bCs/>
          <w:color w:val="auto"/>
          <w:sz w:val="20"/>
          <w:szCs w:val="20"/>
        </w:rPr>
        <w:t>Officers complete a register of interests and the Council maintains a Register of Gifts &amp; Hospitality for officers</w:t>
      </w:r>
    </w:p>
    <w:p w:rsidR="00E51139" w:rsidRPr="00D42E0B" w:rsidRDefault="00E51139" w:rsidP="00D50FBC">
      <w:pPr>
        <w:pStyle w:val="Default"/>
        <w:ind w:left="567"/>
        <w:rPr>
          <w:rFonts w:ascii="Arial" w:hAnsi="Arial" w:cs="Arial"/>
          <w:bCs/>
          <w:color w:val="548DD4" w:themeColor="text2" w:themeTint="99"/>
          <w:sz w:val="20"/>
          <w:szCs w:val="20"/>
        </w:rPr>
      </w:pPr>
    </w:p>
    <w:p w:rsidR="00E51139" w:rsidRPr="00AC5844" w:rsidRDefault="00E51139" w:rsidP="00D50FBC">
      <w:pPr>
        <w:pStyle w:val="Default"/>
        <w:ind w:left="567"/>
        <w:rPr>
          <w:rFonts w:ascii="Arial" w:hAnsi="Arial" w:cs="Arial"/>
          <w:b/>
          <w:bCs/>
          <w:color w:val="auto"/>
          <w:sz w:val="20"/>
          <w:szCs w:val="20"/>
        </w:rPr>
      </w:pPr>
      <w:r w:rsidRPr="00AC5844">
        <w:rPr>
          <w:rFonts w:ascii="Arial" w:hAnsi="Arial" w:cs="Arial"/>
          <w:b/>
          <w:bCs/>
          <w:color w:val="auto"/>
          <w:sz w:val="20"/>
          <w:szCs w:val="20"/>
        </w:rPr>
        <w:t>Other Public Bodies [subject to common control by central government]</w:t>
      </w:r>
    </w:p>
    <w:p w:rsidR="00E51139" w:rsidRPr="00AC5844" w:rsidRDefault="00E51139" w:rsidP="00D50FBC">
      <w:pPr>
        <w:pStyle w:val="Default"/>
        <w:ind w:left="567"/>
        <w:rPr>
          <w:rFonts w:ascii="Arial" w:hAnsi="Arial" w:cs="Arial"/>
          <w:bCs/>
          <w:color w:val="auto"/>
          <w:sz w:val="20"/>
          <w:szCs w:val="20"/>
        </w:rPr>
      </w:pPr>
    </w:p>
    <w:p w:rsidR="00D2616B" w:rsidRPr="00AC5844" w:rsidRDefault="00D2616B" w:rsidP="00D50FBC">
      <w:pPr>
        <w:pStyle w:val="Default"/>
        <w:ind w:left="567"/>
        <w:rPr>
          <w:rFonts w:ascii="Arial" w:hAnsi="Arial" w:cs="Arial"/>
          <w:bCs/>
          <w:color w:val="auto"/>
          <w:sz w:val="20"/>
          <w:szCs w:val="20"/>
        </w:rPr>
      </w:pPr>
      <w:r w:rsidRPr="005D54FE">
        <w:rPr>
          <w:rFonts w:ascii="Arial" w:hAnsi="Arial" w:cs="Arial"/>
          <w:bCs/>
          <w:color w:val="auto"/>
          <w:sz w:val="20"/>
          <w:szCs w:val="20"/>
          <w:u w:val="single"/>
        </w:rPr>
        <w:t>SWERCOTS</w:t>
      </w:r>
      <w:r w:rsidRPr="00AC5844">
        <w:rPr>
          <w:rFonts w:ascii="Arial" w:hAnsi="Arial" w:cs="Arial"/>
          <w:bCs/>
          <w:color w:val="auto"/>
          <w:sz w:val="20"/>
          <w:szCs w:val="20"/>
        </w:rPr>
        <w:t xml:space="preserve"> </w:t>
      </w:r>
      <w:r w:rsidR="007E33E1" w:rsidRPr="00AC5844">
        <w:rPr>
          <w:rFonts w:ascii="Arial" w:hAnsi="Arial" w:cs="Arial"/>
          <w:bCs/>
          <w:color w:val="auto"/>
          <w:sz w:val="20"/>
          <w:szCs w:val="20"/>
        </w:rPr>
        <w:t>is a</w:t>
      </w:r>
      <w:r w:rsidRPr="00AC5844">
        <w:rPr>
          <w:rFonts w:ascii="Arial" w:hAnsi="Arial" w:cs="Arial"/>
          <w:bCs/>
          <w:color w:val="auto"/>
          <w:sz w:val="20"/>
          <w:szCs w:val="20"/>
        </w:rPr>
        <w:t xml:space="preserve"> partnership of 15 local authority trading standard services, who work together to maximise the benefits of regional collaboration to </w:t>
      </w:r>
      <w:r w:rsidR="007E33E1" w:rsidRPr="00AC5844">
        <w:rPr>
          <w:rFonts w:ascii="Arial" w:hAnsi="Arial" w:cs="Arial"/>
          <w:bCs/>
          <w:color w:val="auto"/>
          <w:sz w:val="20"/>
          <w:szCs w:val="20"/>
        </w:rPr>
        <w:t>protect</w:t>
      </w:r>
      <w:r w:rsidRPr="00AC5844">
        <w:rPr>
          <w:rFonts w:ascii="Arial" w:hAnsi="Arial" w:cs="Arial"/>
          <w:bCs/>
          <w:color w:val="auto"/>
          <w:sz w:val="20"/>
          <w:szCs w:val="20"/>
        </w:rPr>
        <w:t xml:space="preserve"> the interest of consumers and reputable businesses in the South West of England.  The partnerships funds are held by Cornwall County Council.</w:t>
      </w:r>
    </w:p>
    <w:p w:rsidR="00C00B7E" w:rsidRPr="00D42E0B" w:rsidRDefault="00C00B7E" w:rsidP="00D50FBC">
      <w:pPr>
        <w:pStyle w:val="Default"/>
        <w:ind w:left="567"/>
        <w:rPr>
          <w:rFonts w:ascii="Arial" w:hAnsi="Arial" w:cs="Arial"/>
          <w:bCs/>
          <w:color w:val="548DD4" w:themeColor="text2" w:themeTint="99"/>
          <w:sz w:val="20"/>
          <w:szCs w:val="20"/>
        </w:rPr>
      </w:pPr>
    </w:p>
    <w:p w:rsidR="00AC5844" w:rsidRPr="00CA1D40" w:rsidRDefault="00E51139" w:rsidP="00D50FBC">
      <w:pPr>
        <w:pStyle w:val="Default"/>
        <w:ind w:left="567"/>
        <w:rPr>
          <w:rFonts w:ascii="Arial" w:hAnsi="Arial" w:cs="Arial"/>
          <w:bCs/>
          <w:color w:val="auto"/>
          <w:sz w:val="20"/>
          <w:szCs w:val="20"/>
        </w:rPr>
      </w:pPr>
      <w:r w:rsidRPr="00CA1D40">
        <w:rPr>
          <w:rFonts w:ascii="Arial" w:hAnsi="Arial" w:cs="Arial"/>
          <w:bCs/>
          <w:color w:val="auto"/>
          <w:sz w:val="20"/>
          <w:szCs w:val="20"/>
          <w:u w:val="single"/>
        </w:rPr>
        <w:t xml:space="preserve">Torbay and Southern Devon </w:t>
      </w:r>
      <w:r w:rsidR="004F644F" w:rsidRPr="00CA1D40">
        <w:rPr>
          <w:rFonts w:ascii="Arial" w:hAnsi="Arial" w:cs="Arial"/>
          <w:bCs/>
          <w:color w:val="auto"/>
          <w:sz w:val="20"/>
          <w:szCs w:val="20"/>
          <w:u w:val="single"/>
        </w:rPr>
        <w:t xml:space="preserve">Health and Care </w:t>
      </w:r>
      <w:r w:rsidRPr="00CA1D40">
        <w:rPr>
          <w:rFonts w:ascii="Arial" w:hAnsi="Arial" w:cs="Arial"/>
          <w:bCs/>
          <w:color w:val="auto"/>
          <w:sz w:val="20"/>
          <w:szCs w:val="20"/>
          <w:u w:val="single"/>
        </w:rPr>
        <w:t>NHS Trust</w:t>
      </w:r>
      <w:r w:rsidR="005D54FE" w:rsidRPr="00CA1D40">
        <w:rPr>
          <w:rFonts w:ascii="Arial" w:hAnsi="Arial" w:cs="Arial"/>
          <w:bCs/>
          <w:color w:val="auto"/>
          <w:sz w:val="20"/>
          <w:szCs w:val="20"/>
        </w:rPr>
        <w:t>.</w:t>
      </w:r>
      <w:r w:rsidRPr="00CA1D40">
        <w:rPr>
          <w:rFonts w:ascii="Arial" w:hAnsi="Arial" w:cs="Arial"/>
          <w:bCs/>
          <w:color w:val="auto"/>
          <w:sz w:val="20"/>
          <w:szCs w:val="20"/>
        </w:rPr>
        <w:t xml:space="preserve"> In December 2005 the Council entered a “partnership agreement” with Torbay Care Trust, (formerly Torbay Primary Care Trust) for the provision of adult care services formally operated by the Council. The Council remains ultimately responsible for adult social care. </w:t>
      </w:r>
    </w:p>
    <w:p w:rsidR="00CA1D40" w:rsidRDefault="00CA1D40" w:rsidP="00D50FBC">
      <w:pPr>
        <w:pStyle w:val="Default"/>
        <w:ind w:left="567"/>
        <w:rPr>
          <w:rFonts w:ascii="Arial" w:hAnsi="Arial" w:cs="Arial"/>
          <w:bCs/>
          <w:color w:val="auto"/>
          <w:sz w:val="20"/>
          <w:szCs w:val="20"/>
        </w:rPr>
      </w:pPr>
    </w:p>
    <w:p w:rsidR="00AC5844" w:rsidRDefault="005D54FE" w:rsidP="00D50FBC">
      <w:pPr>
        <w:pStyle w:val="Default"/>
        <w:ind w:left="567"/>
        <w:rPr>
          <w:rFonts w:ascii="Arial" w:hAnsi="Arial" w:cs="Arial"/>
          <w:bCs/>
          <w:color w:val="auto"/>
          <w:sz w:val="20"/>
          <w:szCs w:val="20"/>
        </w:rPr>
      </w:pPr>
      <w:r w:rsidRPr="005D54FE">
        <w:rPr>
          <w:rFonts w:ascii="Arial" w:hAnsi="Arial" w:cs="Arial"/>
          <w:bCs/>
          <w:color w:val="auto"/>
          <w:sz w:val="20"/>
          <w:szCs w:val="20"/>
          <w:u w:val="single"/>
        </w:rPr>
        <w:t>Torbay and South Devon NHS Foundation Trust (ICO).</w:t>
      </w:r>
      <w:r>
        <w:rPr>
          <w:rFonts w:ascii="Arial" w:hAnsi="Arial" w:cs="Arial"/>
          <w:bCs/>
          <w:color w:val="auto"/>
          <w:sz w:val="20"/>
          <w:szCs w:val="20"/>
        </w:rPr>
        <w:t xml:space="preserve"> From October 2015 the ICO "a</w:t>
      </w:r>
      <w:r w:rsidR="00CA1D40">
        <w:rPr>
          <w:rFonts w:ascii="Arial" w:hAnsi="Arial" w:cs="Arial"/>
          <w:bCs/>
          <w:color w:val="auto"/>
          <w:sz w:val="20"/>
          <w:szCs w:val="20"/>
        </w:rPr>
        <w:t>c</w:t>
      </w:r>
      <w:r>
        <w:rPr>
          <w:rFonts w:ascii="Arial" w:hAnsi="Arial" w:cs="Arial"/>
          <w:bCs/>
          <w:color w:val="auto"/>
          <w:sz w:val="20"/>
          <w:szCs w:val="20"/>
        </w:rPr>
        <w:t xml:space="preserve">quired" the </w:t>
      </w:r>
      <w:r w:rsidR="00CA1D40" w:rsidRPr="00CA1D40">
        <w:rPr>
          <w:rFonts w:ascii="Arial" w:hAnsi="Arial" w:cs="Arial"/>
          <w:bCs/>
          <w:color w:val="auto"/>
          <w:sz w:val="20"/>
          <w:szCs w:val="20"/>
        </w:rPr>
        <w:t>Torbay and Southern Devon Health and Care NHS Trust</w:t>
      </w:r>
      <w:r w:rsidR="00CA1D40">
        <w:rPr>
          <w:rFonts w:ascii="Arial" w:hAnsi="Arial" w:cs="Arial"/>
          <w:bCs/>
          <w:color w:val="auto"/>
          <w:sz w:val="20"/>
          <w:szCs w:val="20"/>
        </w:rPr>
        <w:t xml:space="preserve"> with all its assets and liabilities transferred to the ICO</w:t>
      </w:r>
      <w:r w:rsidR="00B222C2">
        <w:rPr>
          <w:rFonts w:ascii="Arial" w:hAnsi="Arial" w:cs="Arial"/>
          <w:bCs/>
          <w:color w:val="auto"/>
          <w:sz w:val="20"/>
          <w:szCs w:val="20"/>
        </w:rPr>
        <w:t xml:space="preserve"> including the partnership agreement for the provision of adult social care services</w:t>
      </w:r>
      <w:r w:rsidR="00CA1D40">
        <w:rPr>
          <w:rFonts w:ascii="Arial" w:hAnsi="Arial" w:cs="Arial"/>
          <w:bCs/>
          <w:color w:val="auto"/>
          <w:sz w:val="20"/>
          <w:szCs w:val="20"/>
        </w:rPr>
        <w:t xml:space="preserve">. The </w:t>
      </w:r>
      <w:r w:rsidR="007E33E1">
        <w:rPr>
          <w:rFonts w:ascii="Arial" w:hAnsi="Arial" w:cs="Arial"/>
          <w:bCs/>
          <w:color w:val="auto"/>
          <w:sz w:val="20"/>
          <w:szCs w:val="20"/>
        </w:rPr>
        <w:t>Council</w:t>
      </w:r>
      <w:r w:rsidR="00CA1D40">
        <w:rPr>
          <w:rFonts w:ascii="Arial" w:hAnsi="Arial" w:cs="Arial"/>
          <w:bCs/>
          <w:color w:val="auto"/>
          <w:sz w:val="20"/>
          <w:szCs w:val="20"/>
        </w:rPr>
        <w:t xml:space="preserve"> from th</w:t>
      </w:r>
      <w:r w:rsidR="00B222C2">
        <w:rPr>
          <w:rFonts w:ascii="Arial" w:hAnsi="Arial" w:cs="Arial"/>
          <w:bCs/>
          <w:color w:val="auto"/>
          <w:sz w:val="20"/>
          <w:szCs w:val="20"/>
        </w:rPr>
        <w:t>at</w:t>
      </w:r>
      <w:r w:rsidR="00CA1D40">
        <w:rPr>
          <w:rFonts w:ascii="Arial" w:hAnsi="Arial" w:cs="Arial"/>
          <w:bCs/>
          <w:color w:val="auto"/>
          <w:sz w:val="20"/>
          <w:szCs w:val="20"/>
        </w:rPr>
        <w:t xml:space="preserve"> date now has a 9% share of any under/over spend from the ICO's planned financial position. The total ICO expenditure on services for the year was £315m </w:t>
      </w:r>
      <w:r w:rsidR="007E33E1">
        <w:rPr>
          <w:rFonts w:ascii="Arial" w:hAnsi="Arial" w:cs="Arial"/>
          <w:bCs/>
          <w:color w:val="auto"/>
          <w:sz w:val="20"/>
          <w:szCs w:val="20"/>
        </w:rPr>
        <w:t>leading</w:t>
      </w:r>
      <w:r w:rsidR="00CA1D40">
        <w:rPr>
          <w:rFonts w:ascii="Arial" w:hAnsi="Arial" w:cs="Arial"/>
          <w:bCs/>
          <w:color w:val="auto"/>
          <w:sz w:val="20"/>
          <w:szCs w:val="20"/>
        </w:rPr>
        <w:t xml:space="preserve"> to a variance from their planned position of £0.4m. For the period from October the Councils share of the ICO's year end </w:t>
      </w:r>
      <w:r w:rsidR="007E33E1">
        <w:rPr>
          <w:rFonts w:ascii="Arial" w:hAnsi="Arial" w:cs="Arial"/>
          <w:bCs/>
          <w:color w:val="auto"/>
          <w:sz w:val="20"/>
          <w:szCs w:val="20"/>
        </w:rPr>
        <w:t>position</w:t>
      </w:r>
      <w:r w:rsidR="00CA1D40">
        <w:rPr>
          <w:rFonts w:ascii="Arial" w:hAnsi="Arial" w:cs="Arial"/>
          <w:bCs/>
          <w:color w:val="auto"/>
          <w:sz w:val="20"/>
          <w:szCs w:val="20"/>
        </w:rPr>
        <w:t xml:space="preserve"> was £38,000</w:t>
      </w:r>
    </w:p>
    <w:p w:rsidR="00AC5844" w:rsidRDefault="00AC5844" w:rsidP="00D50FBC">
      <w:pPr>
        <w:pStyle w:val="Default"/>
        <w:ind w:left="567"/>
        <w:rPr>
          <w:rFonts w:ascii="Arial" w:hAnsi="Arial" w:cs="Arial"/>
          <w:bCs/>
          <w:color w:val="auto"/>
          <w:sz w:val="20"/>
          <w:szCs w:val="20"/>
        </w:rPr>
      </w:pPr>
    </w:p>
    <w:p w:rsidR="00CA1D40" w:rsidRDefault="007E33E1" w:rsidP="00CA1D40">
      <w:pPr>
        <w:pStyle w:val="Default"/>
        <w:ind w:left="567"/>
        <w:rPr>
          <w:rFonts w:ascii="Arial" w:hAnsi="Arial" w:cs="Arial"/>
          <w:bCs/>
          <w:color w:val="auto"/>
          <w:sz w:val="20"/>
          <w:szCs w:val="20"/>
        </w:rPr>
      </w:pPr>
      <w:r w:rsidRPr="00461E11">
        <w:rPr>
          <w:rFonts w:ascii="Arial" w:hAnsi="Arial" w:cs="Arial"/>
          <w:bCs/>
          <w:color w:val="auto"/>
          <w:sz w:val="20"/>
          <w:szCs w:val="20"/>
        </w:rPr>
        <w:t>In 2015/16</w:t>
      </w:r>
      <w:r w:rsidRPr="00D42E0B">
        <w:rPr>
          <w:rFonts w:ascii="Arial" w:hAnsi="Arial" w:cs="Arial"/>
          <w:bCs/>
          <w:color w:val="548DD4" w:themeColor="text2" w:themeTint="99"/>
          <w:sz w:val="20"/>
          <w:szCs w:val="20"/>
        </w:rPr>
        <w:t xml:space="preserve"> </w:t>
      </w:r>
      <w:r w:rsidRPr="00CA1D40">
        <w:rPr>
          <w:rFonts w:ascii="Arial" w:hAnsi="Arial" w:cs="Arial"/>
          <w:bCs/>
          <w:color w:val="auto"/>
          <w:sz w:val="20"/>
          <w:szCs w:val="20"/>
        </w:rPr>
        <w:t>the funding payment to both NHS bodies</w:t>
      </w:r>
      <w:r>
        <w:rPr>
          <w:rFonts w:ascii="Arial" w:hAnsi="Arial" w:cs="Arial"/>
          <w:bCs/>
          <w:color w:val="auto"/>
          <w:sz w:val="20"/>
          <w:szCs w:val="20"/>
        </w:rPr>
        <w:t xml:space="preserve"> </w:t>
      </w:r>
      <w:r w:rsidRPr="00CA1D40">
        <w:rPr>
          <w:rFonts w:ascii="Arial" w:hAnsi="Arial" w:cs="Arial"/>
          <w:bCs/>
          <w:color w:val="auto"/>
          <w:sz w:val="20"/>
          <w:szCs w:val="20"/>
        </w:rPr>
        <w:t xml:space="preserve">in the year </w:t>
      </w:r>
      <w:r>
        <w:rPr>
          <w:rFonts w:ascii="Arial" w:hAnsi="Arial" w:cs="Arial"/>
          <w:bCs/>
          <w:color w:val="auto"/>
          <w:sz w:val="20"/>
          <w:szCs w:val="20"/>
        </w:rPr>
        <w:t>for funding adult social care was</w:t>
      </w:r>
      <w:r w:rsidRPr="00CA1D40">
        <w:rPr>
          <w:rFonts w:ascii="Arial" w:hAnsi="Arial" w:cs="Arial"/>
          <w:bCs/>
          <w:color w:val="auto"/>
          <w:sz w:val="20"/>
          <w:szCs w:val="20"/>
        </w:rPr>
        <w:t xml:space="preserve"> £41.7m</w:t>
      </w:r>
      <w:r w:rsidRPr="00D42E0B">
        <w:rPr>
          <w:rFonts w:ascii="Arial" w:hAnsi="Arial" w:cs="Arial"/>
          <w:bCs/>
          <w:color w:val="548DD4" w:themeColor="text2" w:themeTint="99"/>
          <w:sz w:val="20"/>
          <w:szCs w:val="20"/>
        </w:rPr>
        <w:t xml:space="preserve"> </w:t>
      </w:r>
      <w:r w:rsidRPr="00461E11">
        <w:rPr>
          <w:rFonts w:ascii="Arial" w:hAnsi="Arial" w:cs="Arial"/>
          <w:bCs/>
          <w:color w:val="auto"/>
          <w:sz w:val="20"/>
          <w:szCs w:val="20"/>
        </w:rPr>
        <w:t>(£42.2m 2014/15)</w:t>
      </w:r>
      <w:r>
        <w:rPr>
          <w:rFonts w:ascii="Arial" w:hAnsi="Arial" w:cs="Arial"/>
          <w:bCs/>
          <w:color w:val="auto"/>
          <w:sz w:val="20"/>
          <w:szCs w:val="20"/>
        </w:rPr>
        <w:t xml:space="preserve">. </w:t>
      </w:r>
      <w:r w:rsidR="0038519A">
        <w:rPr>
          <w:rFonts w:ascii="Arial" w:hAnsi="Arial" w:cs="Arial"/>
          <w:bCs/>
          <w:color w:val="auto"/>
          <w:sz w:val="20"/>
          <w:szCs w:val="20"/>
        </w:rPr>
        <w:t xml:space="preserve">In addition in 2015/16 </w:t>
      </w:r>
      <w:r>
        <w:rPr>
          <w:rFonts w:ascii="Arial" w:hAnsi="Arial" w:cs="Arial"/>
          <w:bCs/>
          <w:color w:val="auto"/>
          <w:sz w:val="20"/>
          <w:szCs w:val="20"/>
        </w:rPr>
        <w:t>the Council</w:t>
      </w:r>
      <w:r w:rsidR="0038519A">
        <w:rPr>
          <w:rFonts w:ascii="Arial" w:hAnsi="Arial" w:cs="Arial"/>
          <w:bCs/>
          <w:color w:val="auto"/>
          <w:sz w:val="20"/>
          <w:szCs w:val="20"/>
        </w:rPr>
        <w:t xml:space="preserve"> "purchased" £3.2m of client debt from the ICO. </w:t>
      </w:r>
    </w:p>
    <w:p w:rsidR="00CA1D40" w:rsidRDefault="00CA1D40" w:rsidP="00CA1D40">
      <w:pPr>
        <w:pStyle w:val="Default"/>
        <w:ind w:left="567"/>
        <w:rPr>
          <w:rFonts w:ascii="Arial" w:hAnsi="Arial" w:cs="Arial"/>
          <w:bCs/>
          <w:color w:val="auto"/>
          <w:sz w:val="20"/>
          <w:szCs w:val="20"/>
        </w:rPr>
      </w:pPr>
    </w:p>
    <w:p w:rsidR="00E51139" w:rsidRPr="00D42E0B" w:rsidRDefault="00E51139" w:rsidP="00D50FBC">
      <w:pPr>
        <w:pStyle w:val="Default"/>
        <w:ind w:left="567"/>
        <w:rPr>
          <w:rFonts w:ascii="Arial" w:hAnsi="Arial" w:cs="Arial"/>
          <w:bCs/>
          <w:color w:val="548DD4" w:themeColor="text2" w:themeTint="99"/>
          <w:sz w:val="20"/>
          <w:szCs w:val="20"/>
        </w:rPr>
      </w:pPr>
      <w:r w:rsidRPr="003D1160">
        <w:rPr>
          <w:rFonts w:ascii="Arial" w:hAnsi="Arial" w:cs="Arial"/>
          <w:bCs/>
          <w:color w:val="auto"/>
          <w:sz w:val="20"/>
          <w:szCs w:val="20"/>
        </w:rPr>
        <w:t xml:space="preserve">The Council has a pooled budget arrangement </w:t>
      </w:r>
      <w:r w:rsidR="00B23439" w:rsidRPr="003D1160">
        <w:rPr>
          <w:rFonts w:ascii="Arial" w:hAnsi="Arial" w:cs="Arial"/>
          <w:bCs/>
          <w:color w:val="auto"/>
          <w:sz w:val="20"/>
          <w:szCs w:val="20"/>
        </w:rPr>
        <w:t>f</w:t>
      </w:r>
      <w:r w:rsidRPr="003D1160">
        <w:rPr>
          <w:rFonts w:ascii="Arial" w:hAnsi="Arial" w:cs="Arial"/>
          <w:bCs/>
          <w:color w:val="auto"/>
          <w:sz w:val="20"/>
          <w:szCs w:val="20"/>
        </w:rPr>
        <w:t>or the provi</w:t>
      </w:r>
      <w:r w:rsidR="00C14C0A" w:rsidRPr="003D1160">
        <w:rPr>
          <w:rFonts w:ascii="Arial" w:hAnsi="Arial" w:cs="Arial"/>
          <w:bCs/>
          <w:color w:val="auto"/>
          <w:sz w:val="20"/>
          <w:szCs w:val="20"/>
        </w:rPr>
        <w:t xml:space="preserve">sion of a joint equipment store </w:t>
      </w:r>
      <w:r w:rsidR="003D1160">
        <w:rPr>
          <w:rFonts w:ascii="Arial" w:hAnsi="Arial" w:cs="Arial"/>
          <w:bCs/>
          <w:color w:val="auto"/>
          <w:sz w:val="20"/>
          <w:szCs w:val="20"/>
        </w:rPr>
        <w:t>with the Clinical Commissioning Group (</w:t>
      </w:r>
      <w:r w:rsidR="003D1160" w:rsidRPr="00B54A2A">
        <w:rPr>
          <w:rFonts w:ascii="Arial" w:hAnsi="Arial" w:cs="Arial"/>
          <w:bCs/>
          <w:color w:val="auto"/>
          <w:sz w:val="20"/>
          <w:szCs w:val="20"/>
        </w:rPr>
        <w:t xml:space="preserve">CCG) </w:t>
      </w:r>
      <w:r w:rsidR="00C14C0A" w:rsidRPr="00B54A2A">
        <w:rPr>
          <w:rFonts w:ascii="Arial" w:hAnsi="Arial" w:cs="Arial"/>
          <w:bCs/>
          <w:color w:val="auto"/>
          <w:sz w:val="20"/>
          <w:szCs w:val="20"/>
        </w:rPr>
        <w:t xml:space="preserve">– see </w:t>
      </w:r>
      <w:r w:rsidR="00C00B7E" w:rsidRPr="00B54A2A">
        <w:rPr>
          <w:rFonts w:ascii="Arial" w:hAnsi="Arial" w:cs="Arial"/>
          <w:bCs/>
          <w:color w:val="auto"/>
          <w:sz w:val="20"/>
          <w:szCs w:val="20"/>
        </w:rPr>
        <w:t>Note 2</w:t>
      </w:r>
      <w:r w:rsidR="00E23A66" w:rsidRPr="00B54A2A">
        <w:rPr>
          <w:rFonts w:ascii="Arial" w:hAnsi="Arial" w:cs="Arial"/>
          <w:bCs/>
          <w:color w:val="auto"/>
          <w:sz w:val="20"/>
          <w:szCs w:val="20"/>
        </w:rPr>
        <w:t>5.</w:t>
      </w:r>
    </w:p>
    <w:p w:rsidR="002A0ED2" w:rsidRPr="00D42E0B" w:rsidRDefault="002A0ED2" w:rsidP="003C5E34">
      <w:pPr>
        <w:pStyle w:val="CodeNotesExampleText"/>
        <w:widowControl w:val="0"/>
        <w:ind w:left="567"/>
        <w:rPr>
          <w:color w:val="548DD4" w:themeColor="text2" w:themeTint="99"/>
          <w:sz w:val="20"/>
          <w:szCs w:val="20"/>
        </w:rPr>
      </w:pPr>
    </w:p>
    <w:p w:rsidR="00E51139" w:rsidRPr="00C87942" w:rsidRDefault="00E51139" w:rsidP="00D50FBC">
      <w:pPr>
        <w:pStyle w:val="Default"/>
        <w:ind w:left="567"/>
        <w:rPr>
          <w:rFonts w:ascii="Arial" w:hAnsi="Arial" w:cs="Arial"/>
          <w:b/>
          <w:bCs/>
          <w:color w:val="auto"/>
          <w:sz w:val="20"/>
          <w:szCs w:val="20"/>
        </w:rPr>
      </w:pPr>
      <w:r w:rsidRPr="00C87942">
        <w:rPr>
          <w:rFonts w:ascii="Arial" w:hAnsi="Arial" w:cs="Arial"/>
          <w:b/>
          <w:bCs/>
          <w:color w:val="auto"/>
          <w:sz w:val="20"/>
          <w:szCs w:val="20"/>
        </w:rPr>
        <w:t>Joint Committees</w:t>
      </w:r>
    </w:p>
    <w:p w:rsidR="00D50FBC" w:rsidRPr="00C87942" w:rsidRDefault="00D50FBC" w:rsidP="00D50FBC">
      <w:pPr>
        <w:pStyle w:val="Default"/>
        <w:ind w:left="567"/>
        <w:rPr>
          <w:rFonts w:ascii="Arial" w:hAnsi="Arial" w:cs="Arial"/>
          <w:bCs/>
          <w:color w:val="auto"/>
          <w:sz w:val="20"/>
          <w:szCs w:val="20"/>
        </w:rPr>
      </w:pPr>
    </w:p>
    <w:p w:rsidR="00E51139" w:rsidRPr="00C87942" w:rsidRDefault="00E51139" w:rsidP="00D50FBC">
      <w:pPr>
        <w:pStyle w:val="Default"/>
        <w:ind w:left="567"/>
        <w:rPr>
          <w:rFonts w:ascii="Arial" w:hAnsi="Arial" w:cs="Arial"/>
          <w:bCs/>
          <w:color w:val="auto"/>
          <w:sz w:val="20"/>
          <w:szCs w:val="20"/>
        </w:rPr>
      </w:pPr>
      <w:r w:rsidRPr="00C87942">
        <w:rPr>
          <w:rFonts w:ascii="Arial" w:hAnsi="Arial" w:cs="Arial"/>
          <w:bCs/>
          <w:color w:val="auto"/>
          <w:sz w:val="20"/>
          <w:szCs w:val="20"/>
        </w:rPr>
        <w:t>The Council is part of a number of joint committees where local authorities have joined together to provide a service. These are listed below:</w:t>
      </w:r>
    </w:p>
    <w:p w:rsidR="00D50FBC" w:rsidRPr="00D42E0B" w:rsidRDefault="00D50FBC" w:rsidP="00D50FBC">
      <w:pPr>
        <w:pStyle w:val="Default"/>
        <w:ind w:left="567"/>
        <w:rPr>
          <w:rFonts w:ascii="Arial" w:hAnsi="Arial" w:cs="Arial"/>
          <w:bCs/>
          <w:color w:val="548DD4" w:themeColor="text2" w:themeTint="99"/>
          <w:sz w:val="20"/>
          <w:szCs w:val="20"/>
        </w:rPr>
      </w:pPr>
    </w:p>
    <w:p w:rsidR="00E51139" w:rsidRPr="00E25667" w:rsidRDefault="00E51139" w:rsidP="00C660C6">
      <w:pPr>
        <w:pStyle w:val="Default"/>
        <w:ind w:left="567"/>
        <w:rPr>
          <w:rFonts w:ascii="Arial" w:hAnsi="Arial" w:cs="Arial"/>
          <w:bCs/>
          <w:color w:val="auto"/>
          <w:sz w:val="20"/>
          <w:szCs w:val="20"/>
          <w:u w:val="single"/>
        </w:rPr>
      </w:pPr>
      <w:r w:rsidRPr="00E25667">
        <w:rPr>
          <w:rFonts w:ascii="Arial" w:hAnsi="Arial" w:cs="Arial"/>
          <w:bCs/>
          <w:color w:val="auto"/>
          <w:sz w:val="20"/>
          <w:szCs w:val="20"/>
          <w:u w:val="single"/>
        </w:rPr>
        <w:t>Devon Audit Partnership</w:t>
      </w:r>
    </w:p>
    <w:p w:rsidR="00C660C6" w:rsidRPr="00E25667" w:rsidRDefault="00C660C6" w:rsidP="00C660C6">
      <w:pPr>
        <w:pStyle w:val="Default"/>
        <w:ind w:left="567"/>
        <w:rPr>
          <w:rFonts w:ascii="Arial" w:hAnsi="Arial" w:cs="Arial"/>
          <w:bCs/>
          <w:color w:val="auto"/>
          <w:sz w:val="20"/>
          <w:szCs w:val="20"/>
        </w:rPr>
      </w:pPr>
    </w:p>
    <w:p w:rsidR="00E51139" w:rsidRPr="00E25667" w:rsidRDefault="00E51139" w:rsidP="00C660C6">
      <w:pPr>
        <w:pStyle w:val="Default"/>
        <w:ind w:left="567"/>
        <w:rPr>
          <w:rFonts w:ascii="Arial" w:hAnsi="Arial" w:cs="Arial"/>
          <w:bCs/>
          <w:color w:val="auto"/>
          <w:sz w:val="20"/>
          <w:szCs w:val="20"/>
        </w:rPr>
      </w:pPr>
      <w:r w:rsidRPr="00E25667">
        <w:rPr>
          <w:rFonts w:ascii="Arial" w:hAnsi="Arial" w:cs="Arial"/>
          <w:bCs/>
          <w:color w:val="auto"/>
          <w:sz w:val="20"/>
          <w:szCs w:val="20"/>
        </w:rPr>
        <w:t>From April 2009 Torbay set up a Joint Committee with Devon County Council and Plymouth City Council for the provision of a shared internal audit service. The service is also able to provide audit services to other organisations.</w:t>
      </w:r>
    </w:p>
    <w:p w:rsidR="00C660C6" w:rsidRPr="00E25667" w:rsidRDefault="00C660C6" w:rsidP="00C660C6">
      <w:pPr>
        <w:pStyle w:val="Default"/>
        <w:ind w:left="567"/>
        <w:rPr>
          <w:rFonts w:ascii="Arial" w:hAnsi="Arial" w:cs="Arial"/>
          <w:bCs/>
          <w:color w:val="auto"/>
          <w:sz w:val="20"/>
          <w:szCs w:val="20"/>
        </w:rPr>
      </w:pPr>
    </w:p>
    <w:p w:rsidR="00E51139" w:rsidRPr="00D42E0B" w:rsidRDefault="00E51139" w:rsidP="00C660C6">
      <w:pPr>
        <w:pStyle w:val="Default"/>
        <w:ind w:left="567"/>
        <w:rPr>
          <w:rFonts w:ascii="Arial" w:hAnsi="Arial" w:cs="Arial"/>
          <w:bCs/>
          <w:color w:val="548DD4" w:themeColor="text2" w:themeTint="99"/>
          <w:sz w:val="20"/>
          <w:szCs w:val="20"/>
        </w:rPr>
      </w:pPr>
      <w:r w:rsidRPr="00E25667">
        <w:rPr>
          <w:rFonts w:ascii="Arial" w:hAnsi="Arial" w:cs="Arial"/>
          <w:bCs/>
          <w:color w:val="auto"/>
          <w:sz w:val="20"/>
          <w:szCs w:val="20"/>
        </w:rPr>
        <w:t>Devon County is the ”host” Council for the Joint Committee with all staff now employed by Devon County Council.  Assets and Liabilities of the Joint Committee are split on an agreed basis (number of FTE’s on inception of the Committee)</w:t>
      </w:r>
      <w:r w:rsidR="0007286E" w:rsidRPr="00E25667">
        <w:rPr>
          <w:rFonts w:ascii="Arial" w:hAnsi="Arial" w:cs="Arial"/>
          <w:bCs/>
          <w:color w:val="auto"/>
          <w:sz w:val="20"/>
          <w:szCs w:val="20"/>
        </w:rPr>
        <w:t>;</w:t>
      </w:r>
      <w:r w:rsidRPr="00E25667">
        <w:rPr>
          <w:rFonts w:ascii="Arial" w:hAnsi="Arial" w:cs="Arial"/>
          <w:bCs/>
          <w:color w:val="auto"/>
          <w:sz w:val="20"/>
          <w:szCs w:val="20"/>
        </w:rPr>
        <w:t xml:space="preserve"> Torbay’s share is equal to 27%.</w:t>
      </w:r>
      <w:r w:rsidRPr="00D42E0B">
        <w:rPr>
          <w:rFonts w:ascii="Arial" w:hAnsi="Arial" w:cs="Arial"/>
          <w:bCs/>
          <w:color w:val="548DD4" w:themeColor="text2" w:themeTint="99"/>
          <w:sz w:val="20"/>
          <w:szCs w:val="20"/>
        </w:rPr>
        <w:t xml:space="preserve"> </w:t>
      </w:r>
      <w:r w:rsidRPr="001D1E72">
        <w:rPr>
          <w:rFonts w:ascii="Arial" w:hAnsi="Arial" w:cs="Arial"/>
          <w:bCs/>
          <w:color w:val="auto"/>
          <w:sz w:val="20"/>
          <w:szCs w:val="20"/>
        </w:rPr>
        <w:t>Torbay’s contribution to the partnership for 201</w:t>
      </w:r>
      <w:r w:rsidR="00727D68" w:rsidRPr="001D1E72">
        <w:rPr>
          <w:rFonts w:ascii="Arial" w:hAnsi="Arial" w:cs="Arial"/>
          <w:bCs/>
          <w:color w:val="auto"/>
          <w:sz w:val="20"/>
          <w:szCs w:val="20"/>
        </w:rPr>
        <w:t>5</w:t>
      </w:r>
      <w:r w:rsidR="002A0ED2" w:rsidRPr="001D1E72">
        <w:rPr>
          <w:rFonts w:ascii="Arial" w:hAnsi="Arial" w:cs="Arial"/>
          <w:bCs/>
          <w:color w:val="auto"/>
          <w:sz w:val="20"/>
          <w:szCs w:val="20"/>
        </w:rPr>
        <w:t>/1</w:t>
      </w:r>
      <w:r w:rsidR="00727D68" w:rsidRPr="001D1E72">
        <w:rPr>
          <w:rFonts w:ascii="Arial" w:hAnsi="Arial" w:cs="Arial"/>
          <w:bCs/>
          <w:color w:val="auto"/>
          <w:sz w:val="20"/>
          <w:szCs w:val="20"/>
        </w:rPr>
        <w:t>6</w:t>
      </w:r>
      <w:r w:rsidRPr="001D1E72">
        <w:rPr>
          <w:rFonts w:ascii="Arial" w:hAnsi="Arial" w:cs="Arial"/>
          <w:bCs/>
          <w:color w:val="auto"/>
          <w:sz w:val="20"/>
          <w:szCs w:val="20"/>
        </w:rPr>
        <w:t xml:space="preserve"> was £</w:t>
      </w:r>
      <w:r w:rsidR="00055A0D" w:rsidRPr="001D1E72">
        <w:rPr>
          <w:rFonts w:ascii="Arial" w:hAnsi="Arial" w:cs="Arial"/>
          <w:bCs/>
          <w:color w:val="auto"/>
          <w:sz w:val="20"/>
          <w:szCs w:val="20"/>
        </w:rPr>
        <w:t>0.3</w:t>
      </w:r>
      <w:r w:rsidR="002A0ED2" w:rsidRPr="001D1E72">
        <w:rPr>
          <w:rFonts w:ascii="Arial" w:hAnsi="Arial" w:cs="Arial"/>
          <w:bCs/>
          <w:color w:val="auto"/>
          <w:sz w:val="20"/>
          <w:szCs w:val="20"/>
        </w:rPr>
        <w:t>m</w:t>
      </w:r>
      <w:r w:rsidRPr="001D1E72">
        <w:rPr>
          <w:rFonts w:ascii="Arial" w:hAnsi="Arial" w:cs="Arial"/>
          <w:bCs/>
          <w:color w:val="auto"/>
          <w:sz w:val="20"/>
          <w:szCs w:val="20"/>
        </w:rPr>
        <w:t xml:space="preserve"> (201</w:t>
      </w:r>
      <w:r w:rsidR="00727D68" w:rsidRPr="001D1E72">
        <w:rPr>
          <w:rFonts w:ascii="Arial" w:hAnsi="Arial" w:cs="Arial"/>
          <w:bCs/>
          <w:color w:val="auto"/>
          <w:sz w:val="20"/>
          <w:szCs w:val="20"/>
        </w:rPr>
        <w:t>4</w:t>
      </w:r>
      <w:r w:rsidR="002A0ED2" w:rsidRPr="001D1E72">
        <w:rPr>
          <w:rFonts w:ascii="Arial" w:hAnsi="Arial" w:cs="Arial"/>
          <w:bCs/>
          <w:color w:val="auto"/>
          <w:sz w:val="20"/>
          <w:szCs w:val="20"/>
        </w:rPr>
        <w:t>/1</w:t>
      </w:r>
      <w:r w:rsidR="00727D68" w:rsidRPr="001D1E72">
        <w:rPr>
          <w:rFonts w:ascii="Arial" w:hAnsi="Arial" w:cs="Arial"/>
          <w:bCs/>
          <w:color w:val="auto"/>
          <w:sz w:val="20"/>
          <w:szCs w:val="20"/>
        </w:rPr>
        <w:t>5</w:t>
      </w:r>
      <w:r w:rsidRPr="001D1E72">
        <w:rPr>
          <w:rFonts w:ascii="Arial" w:hAnsi="Arial" w:cs="Arial"/>
          <w:bCs/>
          <w:color w:val="auto"/>
          <w:sz w:val="20"/>
          <w:szCs w:val="20"/>
        </w:rPr>
        <w:t xml:space="preserve"> £0.</w:t>
      </w:r>
      <w:r w:rsidR="00D96011" w:rsidRPr="001D1E72">
        <w:rPr>
          <w:rFonts w:ascii="Arial" w:hAnsi="Arial" w:cs="Arial"/>
          <w:bCs/>
          <w:color w:val="auto"/>
          <w:sz w:val="20"/>
          <w:szCs w:val="20"/>
        </w:rPr>
        <w:t>3</w:t>
      </w:r>
      <w:r w:rsidRPr="001D1E72">
        <w:rPr>
          <w:rFonts w:ascii="Arial" w:hAnsi="Arial" w:cs="Arial"/>
          <w:bCs/>
          <w:color w:val="auto"/>
          <w:sz w:val="20"/>
          <w:szCs w:val="20"/>
        </w:rPr>
        <w:t>m).</w:t>
      </w:r>
    </w:p>
    <w:p w:rsidR="00E51139" w:rsidRPr="00D42E0B" w:rsidRDefault="00E51139" w:rsidP="00C660C6">
      <w:pPr>
        <w:pStyle w:val="Default"/>
        <w:ind w:left="567"/>
        <w:rPr>
          <w:rFonts w:ascii="Arial" w:hAnsi="Arial" w:cs="Arial"/>
          <w:bCs/>
          <w:color w:val="548DD4" w:themeColor="text2" w:themeTint="99"/>
          <w:sz w:val="20"/>
          <w:szCs w:val="20"/>
        </w:rPr>
      </w:pPr>
    </w:p>
    <w:p w:rsidR="00E51139" w:rsidRPr="00E25667" w:rsidRDefault="00E51139" w:rsidP="00C660C6">
      <w:pPr>
        <w:pStyle w:val="Default"/>
        <w:ind w:left="567"/>
        <w:rPr>
          <w:rFonts w:ascii="Arial" w:hAnsi="Arial" w:cs="Arial"/>
          <w:bCs/>
          <w:color w:val="auto"/>
          <w:sz w:val="20"/>
          <w:szCs w:val="20"/>
        </w:rPr>
      </w:pPr>
      <w:r w:rsidRPr="00E25667">
        <w:rPr>
          <w:rFonts w:ascii="Arial" w:hAnsi="Arial" w:cs="Arial"/>
          <w:bCs/>
          <w:color w:val="auto"/>
          <w:sz w:val="20"/>
          <w:szCs w:val="20"/>
          <w:u w:val="single"/>
        </w:rPr>
        <w:lastRenderedPageBreak/>
        <w:t>PATROL</w:t>
      </w:r>
      <w:r w:rsidRPr="00E25667">
        <w:rPr>
          <w:rFonts w:ascii="Arial" w:hAnsi="Arial" w:cs="Arial"/>
          <w:bCs/>
          <w:color w:val="auto"/>
          <w:sz w:val="20"/>
          <w:szCs w:val="20"/>
        </w:rPr>
        <w:t xml:space="preserve"> – Parking and Traffic Regulations Outside London.</w:t>
      </w:r>
    </w:p>
    <w:p w:rsidR="00E51139" w:rsidRPr="00E25667" w:rsidRDefault="00E51139" w:rsidP="00C660C6">
      <w:pPr>
        <w:pStyle w:val="Default"/>
        <w:ind w:left="567"/>
        <w:rPr>
          <w:rFonts w:ascii="Arial" w:hAnsi="Arial" w:cs="Arial"/>
          <w:bCs/>
          <w:color w:val="auto"/>
          <w:sz w:val="20"/>
          <w:szCs w:val="20"/>
        </w:rPr>
      </w:pPr>
      <w:r w:rsidRPr="00E25667">
        <w:rPr>
          <w:rFonts w:ascii="Arial" w:hAnsi="Arial" w:cs="Arial"/>
          <w:bCs/>
          <w:color w:val="auto"/>
          <w:sz w:val="20"/>
          <w:szCs w:val="20"/>
        </w:rPr>
        <w:t xml:space="preserve"> </w:t>
      </w:r>
    </w:p>
    <w:p w:rsidR="00E51139" w:rsidRPr="00E25667" w:rsidRDefault="00E51139" w:rsidP="00C660C6">
      <w:pPr>
        <w:pStyle w:val="Default"/>
        <w:ind w:left="567"/>
        <w:rPr>
          <w:rFonts w:ascii="Arial" w:hAnsi="Arial" w:cs="Arial"/>
          <w:bCs/>
          <w:color w:val="auto"/>
          <w:sz w:val="20"/>
          <w:szCs w:val="20"/>
        </w:rPr>
      </w:pPr>
      <w:r w:rsidRPr="00E25667">
        <w:rPr>
          <w:rFonts w:ascii="Arial" w:hAnsi="Arial" w:cs="Arial"/>
          <w:bCs/>
          <w:color w:val="auto"/>
          <w:sz w:val="20"/>
          <w:szCs w:val="20"/>
        </w:rPr>
        <w:t xml:space="preserve">It is a statutory requirement for Councils undertaking civil parking enforcement to join this Joint Committee in order to access independent adjudication. The agreed primary objectives of the Joint Committee are the provision of:  </w:t>
      </w:r>
    </w:p>
    <w:p w:rsidR="00E51139" w:rsidRPr="00E25667" w:rsidRDefault="00E51139" w:rsidP="00C660C6">
      <w:pPr>
        <w:pStyle w:val="Default"/>
        <w:ind w:left="567"/>
        <w:rPr>
          <w:rFonts w:ascii="Arial" w:hAnsi="Arial" w:cs="Arial"/>
          <w:bCs/>
          <w:color w:val="auto"/>
          <w:sz w:val="20"/>
          <w:szCs w:val="20"/>
        </w:rPr>
      </w:pPr>
    </w:p>
    <w:p w:rsidR="00E51139" w:rsidRPr="00E25667" w:rsidRDefault="00E51139" w:rsidP="00C660C6">
      <w:pPr>
        <w:pStyle w:val="Default"/>
        <w:ind w:left="567"/>
        <w:rPr>
          <w:rFonts w:ascii="Arial" w:hAnsi="Arial" w:cs="Arial"/>
          <w:bCs/>
          <w:color w:val="auto"/>
          <w:sz w:val="20"/>
          <w:szCs w:val="20"/>
        </w:rPr>
      </w:pPr>
      <w:r w:rsidRPr="00E25667">
        <w:rPr>
          <w:rFonts w:ascii="Arial" w:hAnsi="Arial" w:cs="Arial"/>
          <w:bCs/>
          <w:color w:val="auto"/>
          <w:sz w:val="20"/>
          <w:szCs w:val="20"/>
        </w:rPr>
        <w:t xml:space="preserve">a) a fair adjudication service for Appellants </w:t>
      </w:r>
    </w:p>
    <w:p w:rsidR="00E51139" w:rsidRPr="00E25667" w:rsidRDefault="00E51139" w:rsidP="00C660C6">
      <w:pPr>
        <w:pStyle w:val="Default"/>
        <w:ind w:left="567"/>
        <w:rPr>
          <w:rFonts w:ascii="Arial" w:hAnsi="Arial" w:cs="Arial"/>
          <w:bCs/>
          <w:color w:val="auto"/>
          <w:sz w:val="20"/>
          <w:szCs w:val="20"/>
        </w:rPr>
      </w:pPr>
      <w:r w:rsidRPr="00E25667">
        <w:rPr>
          <w:rFonts w:ascii="Arial" w:hAnsi="Arial" w:cs="Arial"/>
          <w:bCs/>
          <w:color w:val="auto"/>
          <w:sz w:val="20"/>
          <w:szCs w:val="20"/>
        </w:rPr>
        <w:t xml:space="preserve">b) consistency in access to adjudication;  </w:t>
      </w:r>
    </w:p>
    <w:p w:rsidR="00E51139" w:rsidRPr="00E25667" w:rsidRDefault="00E51139" w:rsidP="00C660C6">
      <w:pPr>
        <w:pStyle w:val="Default"/>
        <w:ind w:left="567"/>
        <w:rPr>
          <w:rFonts w:ascii="Arial" w:hAnsi="Arial" w:cs="Arial"/>
          <w:bCs/>
          <w:color w:val="auto"/>
          <w:sz w:val="20"/>
          <w:szCs w:val="20"/>
        </w:rPr>
      </w:pPr>
      <w:r w:rsidRPr="00E25667">
        <w:rPr>
          <w:rFonts w:ascii="Arial" w:hAnsi="Arial" w:cs="Arial"/>
          <w:bCs/>
          <w:color w:val="auto"/>
          <w:sz w:val="20"/>
          <w:szCs w:val="20"/>
        </w:rPr>
        <w:t xml:space="preserve">c) a cost effective and equitable adjudication service for all Parking Authorities </w:t>
      </w:r>
    </w:p>
    <w:p w:rsidR="00E51139" w:rsidRPr="00E25667" w:rsidRDefault="00E51139" w:rsidP="00C660C6">
      <w:pPr>
        <w:pStyle w:val="Default"/>
        <w:ind w:left="567"/>
        <w:rPr>
          <w:rFonts w:ascii="Arial" w:hAnsi="Arial" w:cs="Arial"/>
          <w:bCs/>
          <w:color w:val="auto"/>
          <w:sz w:val="20"/>
          <w:szCs w:val="20"/>
        </w:rPr>
      </w:pPr>
      <w:r w:rsidRPr="00E25667">
        <w:rPr>
          <w:rFonts w:ascii="Arial" w:hAnsi="Arial" w:cs="Arial"/>
          <w:bCs/>
          <w:color w:val="auto"/>
          <w:sz w:val="20"/>
          <w:szCs w:val="20"/>
        </w:rPr>
        <w:t>d) to deal with a wide range of authorities with varying levels of demand for adjudication.</w:t>
      </w:r>
    </w:p>
    <w:p w:rsidR="00E06A59" w:rsidRPr="00D42E0B" w:rsidRDefault="00E51139" w:rsidP="00C660C6">
      <w:pPr>
        <w:pStyle w:val="Default"/>
        <w:ind w:left="567"/>
        <w:rPr>
          <w:rFonts w:ascii="Arial" w:hAnsi="Arial" w:cs="Arial"/>
          <w:bCs/>
          <w:color w:val="548DD4" w:themeColor="text2" w:themeTint="99"/>
          <w:sz w:val="20"/>
          <w:szCs w:val="20"/>
        </w:rPr>
      </w:pPr>
      <w:r w:rsidRPr="00D42E0B">
        <w:rPr>
          <w:rFonts w:ascii="Arial" w:hAnsi="Arial" w:cs="Arial"/>
          <w:bCs/>
          <w:color w:val="548DD4" w:themeColor="text2" w:themeTint="99"/>
          <w:sz w:val="20"/>
          <w:szCs w:val="20"/>
        </w:rPr>
        <w:tab/>
      </w:r>
    </w:p>
    <w:p w:rsidR="00E51139" w:rsidRPr="00E25667" w:rsidRDefault="00E51139" w:rsidP="00C660C6">
      <w:pPr>
        <w:pStyle w:val="Default"/>
        <w:ind w:left="567"/>
        <w:rPr>
          <w:rFonts w:ascii="Arial" w:hAnsi="Arial" w:cs="Arial"/>
          <w:bCs/>
          <w:color w:val="auto"/>
          <w:sz w:val="20"/>
          <w:szCs w:val="20"/>
          <w:u w:val="single"/>
        </w:rPr>
      </w:pPr>
      <w:r w:rsidRPr="00E25667">
        <w:rPr>
          <w:rFonts w:ascii="Arial" w:hAnsi="Arial" w:cs="Arial"/>
          <w:bCs/>
          <w:color w:val="auto"/>
          <w:sz w:val="20"/>
          <w:szCs w:val="20"/>
          <w:u w:val="single"/>
        </w:rPr>
        <w:t>South West Dev</w:t>
      </w:r>
      <w:r w:rsidR="001051C8" w:rsidRPr="00E25667">
        <w:rPr>
          <w:rFonts w:ascii="Arial" w:hAnsi="Arial" w:cs="Arial"/>
          <w:bCs/>
          <w:color w:val="auto"/>
          <w:sz w:val="20"/>
          <w:szCs w:val="20"/>
          <w:u w:val="single"/>
        </w:rPr>
        <w:t>on Waste Disposal Partnership</w:t>
      </w:r>
    </w:p>
    <w:p w:rsidR="00E51139" w:rsidRPr="00E25667" w:rsidRDefault="00E51139" w:rsidP="00C660C6">
      <w:pPr>
        <w:pStyle w:val="Default"/>
        <w:ind w:left="567"/>
        <w:rPr>
          <w:rFonts w:ascii="Arial" w:hAnsi="Arial" w:cs="Arial"/>
          <w:bCs/>
          <w:color w:val="auto"/>
          <w:sz w:val="20"/>
          <w:szCs w:val="20"/>
        </w:rPr>
      </w:pPr>
    </w:p>
    <w:p w:rsidR="00E51139" w:rsidRPr="00E25667" w:rsidRDefault="00E51139" w:rsidP="00C660C6">
      <w:pPr>
        <w:pStyle w:val="Default"/>
        <w:ind w:left="567"/>
        <w:rPr>
          <w:rFonts w:ascii="Arial" w:hAnsi="Arial" w:cs="Arial"/>
          <w:bCs/>
          <w:color w:val="auto"/>
          <w:sz w:val="20"/>
          <w:szCs w:val="20"/>
        </w:rPr>
      </w:pPr>
      <w:r w:rsidRPr="00E25667">
        <w:rPr>
          <w:rFonts w:ascii="Arial" w:hAnsi="Arial" w:cs="Arial"/>
          <w:bCs/>
          <w:color w:val="auto"/>
          <w:sz w:val="20"/>
          <w:szCs w:val="20"/>
        </w:rPr>
        <w:t>Torbay Council, with Plymouth City Council and Devon County Council have beg</w:t>
      </w:r>
      <w:r w:rsidR="0052665E" w:rsidRPr="00E25667">
        <w:rPr>
          <w:rFonts w:ascii="Arial" w:hAnsi="Arial" w:cs="Arial"/>
          <w:bCs/>
          <w:color w:val="auto"/>
          <w:sz w:val="20"/>
          <w:szCs w:val="20"/>
        </w:rPr>
        <w:t>u</w:t>
      </w:r>
      <w:r w:rsidRPr="00E25667">
        <w:rPr>
          <w:rFonts w:ascii="Arial" w:hAnsi="Arial" w:cs="Arial"/>
          <w:bCs/>
          <w:color w:val="auto"/>
          <w:sz w:val="20"/>
          <w:szCs w:val="20"/>
        </w:rPr>
        <w:t xml:space="preserve">n working together and have jointly contracted a PFI project for an Energy from Waste Plant (based in Plymouth) to dispose of residual waste collected by the three Councils. As part of the Joint Working Agreement between the three Councils the South West Devon Waste Partnership Joint Committee has been established to facilitate the procurement and subsequent operation and management of the facilities (by the selected contractor).  The Plant </w:t>
      </w:r>
      <w:r w:rsidR="00E84EB3" w:rsidRPr="00E25667">
        <w:rPr>
          <w:rFonts w:ascii="Arial" w:hAnsi="Arial" w:cs="Arial"/>
          <w:bCs/>
          <w:color w:val="auto"/>
          <w:sz w:val="20"/>
          <w:szCs w:val="20"/>
        </w:rPr>
        <w:t xml:space="preserve">became </w:t>
      </w:r>
      <w:r w:rsidRPr="00E25667">
        <w:rPr>
          <w:rFonts w:ascii="Arial" w:hAnsi="Arial" w:cs="Arial"/>
          <w:bCs/>
          <w:color w:val="auto"/>
          <w:sz w:val="20"/>
          <w:szCs w:val="20"/>
        </w:rPr>
        <w:t xml:space="preserve">operational in </w:t>
      </w:r>
      <w:r w:rsidR="00E84EB3" w:rsidRPr="00E25667">
        <w:rPr>
          <w:rFonts w:ascii="Arial" w:hAnsi="Arial" w:cs="Arial"/>
          <w:bCs/>
          <w:color w:val="auto"/>
          <w:sz w:val="20"/>
          <w:szCs w:val="20"/>
        </w:rPr>
        <w:t xml:space="preserve">April </w:t>
      </w:r>
      <w:r w:rsidRPr="00E25667">
        <w:rPr>
          <w:rFonts w:ascii="Arial" w:hAnsi="Arial" w:cs="Arial"/>
          <w:bCs/>
          <w:color w:val="auto"/>
          <w:sz w:val="20"/>
          <w:szCs w:val="20"/>
        </w:rPr>
        <w:t>201</w:t>
      </w:r>
      <w:r w:rsidR="00E84EB3" w:rsidRPr="00E25667">
        <w:rPr>
          <w:rFonts w:ascii="Arial" w:hAnsi="Arial" w:cs="Arial"/>
          <w:bCs/>
          <w:color w:val="auto"/>
          <w:sz w:val="20"/>
          <w:szCs w:val="20"/>
        </w:rPr>
        <w:t>5</w:t>
      </w:r>
      <w:r w:rsidRPr="00E25667">
        <w:rPr>
          <w:rFonts w:ascii="Arial" w:hAnsi="Arial" w:cs="Arial"/>
          <w:bCs/>
          <w:color w:val="auto"/>
          <w:sz w:val="20"/>
          <w:szCs w:val="20"/>
        </w:rPr>
        <w:t>.</w:t>
      </w:r>
    </w:p>
    <w:p w:rsidR="00E51139" w:rsidRPr="00D42E0B" w:rsidRDefault="00E51139" w:rsidP="00C660C6">
      <w:pPr>
        <w:pStyle w:val="Default"/>
        <w:ind w:left="567"/>
        <w:rPr>
          <w:rFonts w:ascii="Arial" w:hAnsi="Arial" w:cs="Arial"/>
          <w:bCs/>
          <w:color w:val="548DD4" w:themeColor="text2" w:themeTint="99"/>
          <w:sz w:val="20"/>
          <w:szCs w:val="20"/>
        </w:rPr>
      </w:pPr>
    </w:p>
    <w:p w:rsidR="00E51139" w:rsidRDefault="00E51139" w:rsidP="00C660C6">
      <w:pPr>
        <w:pStyle w:val="Default"/>
        <w:ind w:left="567"/>
        <w:rPr>
          <w:rFonts w:ascii="Arial" w:hAnsi="Arial" w:cs="Arial"/>
          <w:bCs/>
          <w:color w:val="auto"/>
          <w:sz w:val="20"/>
          <w:szCs w:val="20"/>
        </w:rPr>
      </w:pPr>
      <w:r w:rsidRPr="001D1E72">
        <w:rPr>
          <w:rFonts w:ascii="Arial" w:hAnsi="Arial" w:cs="Arial"/>
          <w:bCs/>
          <w:color w:val="auto"/>
          <w:sz w:val="20"/>
          <w:szCs w:val="20"/>
        </w:rPr>
        <w:t xml:space="preserve">The expenditure associated with this project is being incurred by Plymouth City Council (as lead authority) and then allocated on an </w:t>
      </w:r>
      <w:r w:rsidR="007E33E1" w:rsidRPr="001D1E72">
        <w:rPr>
          <w:rFonts w:ascii="Arial" w:hAnsi="Arial" w:cs="Arial"/>
          <w:bCs/>
          <w:color w:val="auto"/>
          <w:sz w:val="20"/>
          <w:szCs w:val="20"/>
        </w:rPr>
        <w:t>estimated</w:t>
      </w:r>
      <w:r w:rsidR="001D1E72" w:rsidRPr="001D1E72">
        <w:rPr>
          <w:rFonts w:ascii="Arial" w:hAnsi="Arial" w:cs="Arial"/>
          <w:bCs/>
          <w:color w:val="auto"/>
          <w:sz w:val="20"/>
          <w:szCs w:val="20"/>
        </w:rPr>
        <w:t xml:space="preserve"> tonnage </w:t>
      </w:r>
      <w:r w:rsidRPr="001D1E72">
        <w:rPr>
          <w:rFonts w:ascii="Arial" w:hAnsi="Arial" w:cs="Arial"/>
          <w:bCs/>
          <w:color w:val="auto"/>
          <w:sz w:val="20"/>
          <w:szCs w:val="20"/>
        </w:rPr>
        <w:t xml:space="preserve">share basis to Torbay and Devon County Councils. </w:t>
      </w:r>
      <w:r w:rsidR="00C70BDA" w:rsidRPr="001D1E72">
        <w:rPr>
          <w:rFonts w:ascii="Arial" w:hAnsi="Arial" w:cs="Arial"/>
          <w:bCs/>
          <w:color w:val="auto"/>
          <w:sz w:val="20"/>
          <w:szCs w:val="20"/>
        </w:rPr>
        <w:t>Expenditure in year was £</w:t>
      </w:r>
      <w:r w:rsidR="001D1E72" w:rsidRPr="001D1E72">
        <w:rPr>
          <w:rFonts w:ascii="Arial" w:hAnsi="Arial" w:cs="Arial"/>
          <w:bCs/>
          <w:color w:val="auto"/>
          <w:sz w:val="20"/>
          <w:szCs w:val="20"/>
        </w:rPr>
        <w:t>1.2</w:t>
      </w:r>
      <w:r w:rsidR="00C70BDA" w:rsidRPr="001D1E72">
        <w:rPr>
          <w:rFonts w:ascii="Arial" w:hAnsi="Arial" w:cs="Arial"/>
          <w:bCs/>
          <w:color w:val="auto"/>
          <w:sz w:val="20"/>
          <w:szCs w:val="20"/>
        </w:rPr>
        <w:t xml:space="preserve">m </w:t>
      </w:r>
      <w:r w:rsidR="001D1E72" w:rsidRPr="001D1E72">
        <w:rPr>
          <w:rFonts w:ascii="Arial" w:hAnsi="Arial" w:cs="Arial"/>
          <w:bCs/>
          <w:color w:val="auto"/>
          <w:sz w:val="20"/>
          <w:szCs w:val="20"/>
        </w:rPr>
        <w:t>(£0.3m</w:t>
      </w:r>
      <w:r w:rsidR="00AA5FF7">
        <w:rPr>
          <w:rFonts w:ascii="Arial" w:hAnsi="Arial" w:cs="Arial"/>
          <w:bCs/>
          <w:color w:val="auto"/>
          <w:sz w:val="20"/>
          <w:szCs w:val="20"/>
        </w:rPr>
        <w:t xml:space="preserve"> 14/15</w:t>
      </w:r>
      <w:r w:rsidR="001D1E72" w:rsidRPr="001D1E72">
        <w:rPr>
          <w:rFonts w:ascii="Arial" w:hAnsi="Arial" w:cs="Arial"/>
          <w:bCs/>
          <w:color w:val="auto"/>
          <w:sz w:val="20"/>
          <w:szCs w:val="20"/>
        </w:rPr>
        <w:t xml:space="preserve">) </w:t>
      </w:r>
      <w:r w:rsidR="00C70BDA" w:rsidRPr="001D1E72">
        <w:rPr>
          <w:rFonts w:ascii="Arial" w:hAnsi="Arial" w:cs="Arial"/>
          <w:bCs/>
          <w:color w:val="auto"/>
          <w:sz w:val="20"/>
          <w:szCs w:val="20"/>
        </w:rPr>
        <w:t>of which Torbay’s share was £0.</w:t>
      </w:r>
      <w:r w:rsidR="001D1E72" w:rsidRPr="001D1E72">
        <w:rPr>
          <w:rFonts w:ascii="Arial" w:hAnsi="Arial" w:cs="Arial"/>
          <w:bCs/>
          <w:color w:val="auto"/>
          <w:sz w:val="20"/>
          <w:szCs w:val="20"/>
        </w:rPr>
        <w:t>2</w:t>
      </w:r>
      <w:r w:rsidR="00C70BDA" w:rsidRPr="001D1E72">
        <w:rPr>
          <w:rFonts w:ascii="Arial" w:hAnsi="Arial" w:cs="Arial"/>
          <w:bCs/>
          <w:color w:val="auto"/>
          <w:sz w:val="20"/>
          <w:szCs w:val="20"/>
        </w:rPr>
        <w:t>m</w:t>
      </w:r>
      <w:r w:rsidR="00727D68" w:rsidRPr="001D1E72">
        <w:rPr>
          <w:rFonts w:ascii="Arial" w:hAnsi="Arial" w:cs="Arial"/>
          <w:bCs/>
          <w:color w:val="auto"/>
          <w:sz w:val="20"/>
          <w:szCs w:val="20"/>
        </w:rPr>
        <w:t xml:space="preserve"> (£0.1m 14</w:t>
      </w:r>
      <w:r w:rsidR="005E6F9A" w:rsidRPr="001D1E72">
        <w:rPr>
          <w:rFonts w:ascii="Arial" w:hAnsi="Arial" w:cs="Arial"/>
          <w:bCs/>
          <w:color w:val="auto"/>
          <w:sz w:val="20"/>
          <w:szCs w:val="20"/>
        </w:rPr>
        <w:t>/1</w:t>
      </w:r>
      <w:r w:rsidR="00727D68" w:rsidRPr="001D1E72">
        <w:rPr>
          <w:rFonts w:ascii="Arial" w:hAnsi="Arial" w:cs="Arial"/>
          <w:bCs/>
          <w:color w:val="auto"/>
          <w:sz w:val="20"/>
          <w:szCs w:val="20"/>
        </w:rPr>
        <w:t>5</w:t>
      </w:r>
      <w:r w:rsidR="005E6F9A" w:rsidRPr="001D1E72">
        <w:rPr>
          <w:rFonts w:ascii="Arial" w:hAnsi="Arial" w:cs="Arial"/>
          <w:bCs/>
          <w:color w:val="auto"/>
          <w:sz w:val="20"/>
          <w:szCs w:val="20"/>
        </w:rPr>
        <w:t>)</w:t>
      </w:r>
      <w:r w:rsidR="001D1E72" w:rsidRPr="001D1E72">
        <w:rPr>
          <w:rFonts w:ascii="Arial" w:hAnsi="Arial" w:cs="Arial"/>
          <w:bCs/>
          <w:color w:val="auto"/>
          <w:sz w:val="20"/>
          <w:szCs w:val="20"/>
        </w:rPr>
        <w:t xml:space="preserve">. </w:t>
      </w:r>
      <w:r w:rsidR="007E33E1" w:rsidRPr="001D1E72">
        <w:rPr>
          <w:rFonts w:ascii="Arial" w:hAnsi="Arial" w:cs="Arial"/>
          <w:bCs/>
          <w:color w:val="auto"/>
          <w:sz w:val="20"/>
          <w:szCs w:val="20"/>
        </w:rPr>
        <w:t>The expenditure in year w</w:t>
      </w:r>
      <w:r w:rsidR="007E33E1">
        <w:rPr>
          <w:rFonts w:ascii="Arial" w:hAnsi="Arial" w:cs="Arial"/>
          <w:bCs/>
          <w:color w:val="auto"/>
          <w:sz w:val="20"/>
          <w:szCs w:val="20"/>
        </w:rPr>
        <w:t>a</w:t>
      </w:r>
      <w:r w:rsidR="007E33E1" w:rsidRPr="001D1E72">
        <w:rPr>
          <w:rFonts w:ascii="Arial" w:hAnsi="Arial" w:cs="Arial"/>
          <w:bCs/>
          <w:color w:val="auto"/>
          <w:sz w:val="20"/>
          <w:szCs w:val="20"/>
        </w:rPr>
        <w:t xml:space="preserve">s £0.2m </w:t>
      </w:r>
      <w:r w:rsidR="007E33E1">
        <w:rPr>
          <w:rFonts w:ascii="Arial" w:hAnsi="Arial" w:cs="Arial"/>
          <w:bCs/>
          <w:color w:val="auto"/>
          <w:sz w:val="20"/>
          <w:szCs w:val="20"/>
        </w:rPr>
        <w:t xml:space="preserve">of </w:t>
      </w:r>
      <w:r w:rsidR="007E33E1" w:rsidRPr="001D1E72">
        <w:rPr>
          <w:rFonts w:ascii="Arial" w:hAnsi="Arial" w:cs="Arial"/>
          <w:bCs/>
          <w:color w:val="auto"/>
          <w:sz w:val="20"/>
          <w:szCs w:val="20"/>
        </w:rPr>
        <w:t>contract management costs and £1.0m of "pass through costs" relati</w:t>
      </w:r>
      <w:r w:rsidR="007E33E1">
        <w:rPr>
          <w:rFonts w:ascii="Arial" w:hAnsi="Arial" w:cs="Arial"/>
          <w:bCs/>
          <w:color w:val="auto"/>
          <w:sz w:val="20"/>
          <w:szCs w:val="20"/>
        </w:rPr>
        <w:t>ng</w:t>
      </w:r>
      <w:r w:rsidR="007E33E1" w:rsidRPr="001D1E72">
        <w:rPr>
          <w:rFonts w:ascii="Arial" w:hAnsi="Arial" w:cs="Arial"/>
          <w:bCs/>
          <w:color w:val="auto"/>
          <w:sz w:val="20"/>
          <w:szCs w:val="20"/>
        </w:rPr>
        <w:t xml:space="preserve"> to the Facility </w:t>
      </w:r>
      <w:r w:rsidR="007E33E1">
        <w:rPr>
          <w:rFonts w:ascii="Arial" w:hAnsi="Arial" w:cs="Arial"/>
          <w:bCs/>
          <w:color w:val="auto"/>
          <w:sz w:val="20"/>
          <w:szCs w:val="20"/>
        </w:rPr>
        <w:t>that the three Councils are liable for in addition to the</w:t>
      </w:r>
      <w:r w:rsidR="007E33E1" w:rsidRPr="001D1E72">
        <w:rPr>
          <w:rFonts w:ascii="Arial" w:hAnsi="Arial" w:cs="Arial"/>
          <w:bCs/>
          <w:color w:val="auto"/>
          <w:sz w:val="20"/>
          <w:szCs w:val="20"/>
        </w:rPr>
        <w:t xml:space="preserve"> unitary charge, such as NNDR and lease costs. </w:t>
      </w:r>
      <w:r w:rsidR="00C70BDA" w:rsidRPr="001D1E72">
        <w:rPr>
          <w:rFonts w:ascii="Arial" w:hAnsi="Arial" w:cs="Arial"/>
          <w:bCs/>
          <w:color w:val="auto"/>
          <w:sz w:val="20"/>
          <w:szCs w:val="20"/>
        </w:rPr>
        <w:t xml:space="preserve">Torbay’s share of </w:t>
      </w:r>
      <w:r w:rsidR="00817128" w:rsidRPr="001D1E72">
        <w:rPr>
          <w:rFonts w:ascii="Arial" w:hAnsi="Arial" w:cs="Arial"/>
          <w:bCs/>
          <w:color w:val="auto"/>
          <w:sz w:val="20"/>
          <w:szCs w:val="20"/>
        </w:rPr>
        <w:t>the expenditure</w:t>
      </w:r>
      <w:r w:rsidRPr="001D1E72">
        <w:rPr>
          <w:rFonts w:ascii="Arial" w:hAnsi="Arial" w:cs="Arial"/>
          <w:bCs/>
          <w:color w:val="auto"/>
          <w:sz w:val="20"/>
          <w:szCs w:val="20"/>
        </w:rPr>
        <w:t xml:space="preserve"> is reflected within the cost of services on the comprehensive income and expenditure statement.</w:t>
      </w:r>
      <w:r w:rsidRPr="001D1E72">
        <w:rPr>
          <w:rFonts w:ascii="Arial" w:hAnsi="Arial" w:cs="Arial"/>
          <w:bCs/>
          <w:color w:val="auto"/>
          <w:sz w:val="20"/>
          <w:szCs w:val="20"/>
        </w:rPr>
        <w:tab/>
      </w:r>
    </w:p>
    <w:p w:rsidR="008C722D" w:rsidRPr="005E22A5" w:rsidRDefault="008C722D" w:rsidP="00C660C6">
      <w:pPr>
        <w:pStyle w:val="Default"/>
        <w:ind w:left="567"/>
        <w:rPr>
          <w:rFonts w:ascii="Arial" w:hAnsi="Arial"/>
          <w:color w:val="auto"/>
          <w:sz w:val="20"/>
        </w:rPr>
      </w:pPr>
    </w:p>
    <w:p w:rsidR="00E51139" w:rsidRPr="005E22A5" w:rsidRDefault="005C68D8" w:rsidP="00A50787">
      <w:pPr>
        <w:pStyle w:val="Subtitle"/>
        <w:ind w:left="567" w:hanging="567"/>
        <w:rPr>
          <w:b/>
          <w:color w:val="auto"/>
          <w:sz w:val="22"/>
          <w:szCs w:val="22"/>
        </w:rPr>
      </w:pPr>
      <w:r w:rsidRPr="005E22A5">
        <w:rPr>
          <w:b/>
          <w:color w:val="auto"/>
          <w:sz w:val="22"/>
          <w:szCs w:val="22"/>
        </w:rPr>
        <w:t>3</w:t>
      </w:r>
      <w:r w:rsidR="000A1BAE" w:rsidRPr="005E22A5">
        <w:rPr>
          <w:b/>
          <w:color w:val="auto"/>
          <w:sz w:val="22"/>
          <w:szCs w:val="22"/>
        </w:rPr>
        <w:t>2</w:t>
      </w:r>
      <w:r w:rsidR="00E51139" w:rsidRPr="005E22A5">
        <w:rPr>
          <w:b/>
          <w:color w:val="auto"/>
          <w:sz w:val="22"/>
          <w:szCs w:val="22"/>
        </w:rPr>
        <w:t>.</w:t>
      </w:r>
      <w:r w:rsidR="00E51139" w:rsidRPr="005E22A5">
        <w:rPr>
          <w:b/>
          <w:color w:val="auto"/>
          <w:sz w:val="22"/>
          <w:szCs w:val="22"/>
        </w:rPr>
        <w:tab/>
        <w:t>I</w:t>
      </w:r>
      <w:r w:rsidR="0038039B" w:rsidRPr="005E22A5">
        <w:rPr>
          <w:b/>
          <w:color w:val="auto"/>
          <w:sz w:val="22"/>
          <w:szCs w:val="22"/>
        </w:rPr>
        <w:t xml:space="preserve">mpairment </w:t>
      </w:r>
      <w:r w:rsidR="00E51139" w:rsidRPr="005E22A5">
        <w:rPr>
          <w:b/>
          <w:color w:val="auto"/>
          <w:sz w:val="22"/>
          <w:szCs w:val="22"/>
        </w:rPr>
        <w:t>Losses</w:t>
      </w:r>
    </w:p>
    <w:p w:rsidR="00A50787" w:rsidRPr="005E22A5" w:rsidRDefault="00E51139" w:rsidP="00D833ED">
      <w:pPr>
        <w:pStyle w:val="CodeNotesExampleText"/>
        <w:widowControl w:val="0"/>
        <w:ind w:left="567"/>
        <w:rPr>
          <w:rFonts w:cs="Arial"/>
          <w:color w:val="auto"/>
          <w:sz w:val="20"/>
          <w:szCs w:val="20"/>
        </w:rPr>
      </w:pPr>
      <w:r w:rsidRPr="005E22A5">
        <w:rPr>
          <w:rFonts w:cs="Arial"/>
          <w:bCs/>
          <w:color w:val="auto"/>
          <w:sz w:val="20"/>
          <w:szCs w:val="20"/>
          <w:lang w:eastAsia="en-GB"/>
        </w:rPr>
        <w:t xml:space="preserve">Impairment losses and impairment reversals are charged to the Surplus or Deficit on the Provision of Services and to Other Comprehensive Income and Expenditure.  The impairment by asset class is shown </w:t>
      </w:r>
      <w:r w:rsidRPr="00B54A2A">
        <w:rPr>
          <w:rFonts w:cs="Arial"/>
          <w:bCs/>
          <w:color w:val="auto"/>
          <w:sz w:val="20"/>
          <w:szCs w:val="20"/>
          <w:lang w:eastAsia="en-GB"/>
        </w:rPr>
        <w:t>within Note 1</w:t>
      </w:r>
      <w:r w:rsidR="00644BAB" w:rsidRPr="00B54A2A">
        <w:rPr>
          <w:rFonts w:cs="Arial"/>
          <w:bCs/>
          <w:color w:val="auto"/>
          <w:sz w:val="20"/>
          <w:szCs w:val="20"/>
          <w:lang w:eastAsia="en-GB"/>
        </w:rPr>
        <w:t>1</w:t>
      </w:r>
      <w:r w:rsidRPr="00B54A2A">
        <w:rPr>
          <w:rFonts w:cs="Arial"/>
          <w:bCs/>
          <w:color w:val="auto"/>
          <w:sz w:val="20"/>
          <w:szCs w:val="20"/>
          <w:lang w:eastAsia="en-GB"/>
        </w:rPr>
        <w:t xml:space="preserve"> reconciling</w:t>
      </w:r>
      <w:r w:rsidRPr="005E22A5">
        <w:rPr>
          <w:rFonts w:cs="Arial"/>
          <w:bCs/>
          <w:color w:val="auto"/>
          <w:sz w:val="20"/>
          <w:szCs w:val="20"/>
          <w:lang w:eastAsia="en-GB"/>
        </w:rPr>
        <w:t xml:space="preserve"> the movement over the year in Property, Plant and Equipment</w:t>
      </w:r>
      <w:r w:rsidR="00C67049" w:rsidRPr="005E22A5">
        <w:rPr>
          <w:rFonts w:cs="Arial"/>
          <w:bCs/>
          <w:color w:val="auto"/>
          <w:sz w:val="20"/>
          <w:szCs w:val="20"/>
          <w:lang w:eastAsia="en-GB"/>
        </w:rPr>
        <w:t xml:space="preserve"> and Heritage Assets.</w:t>
      </w:r>
      <w:r w:rsidR="00CC7062" w:rsidRPr="005E22A5">
        <w:rPr>
          <w:rFonts w:cs="Arial"/>
          <w:bCs/>
          <w:color w:val="auto"/>
          <w:sz w:val="20"/>
          <w:szCs w:val="20"/>
          <w:lang w:eastAsia="en-GB"/>
        </w:rPr>
        <w:t xml:space="preserve"> </w:t>
      </w:r>
      <w:r w:rsidRPr="005E22A5">
        <w:rPr>
          <w:rFonts w:cs="Arial"/>
          <w:bCs/>
          <w:color w:val="auto"/>
          <w:sz w:val="20"/>
          <w:szCs w:val="20"/>
          <w:lang w:eastAsia="en-GB"/>
        </w:rPr>
        <w:t>During 201</w:t>
      </w:r>
      <w:r w:rsidR="00727D68" w:rsidRPr="005E22A5">
        <w:rPr>
          <w:rFonts w:cs="Arial"/>
          <w:bCs/>
          <w:color w:val="auto"/>
          <w:sz w:val="20"/>
          <w:szCs w:val="20"/>
          <w:lang w:eastAsia="en-GB"/>
        </w:rPr>
        <w:t>5</w:t>
      </w:r>
      <w:r w:rsidR="00763C8D" w:rsidRPr="005E22A5">
        <w:rPr>
          <w:rFonts w:cs="Arial"/>
          <w:bCs/>
          <w:color w:val="auto"/>
          <w:sz w:val="20"/>
          <w:szCs w:val="20"/>
          <w:lang w:eastAsia="en-GB"/>
        </w:rPr>
        <w:t>/1</w:t>
      </w:r>
      <w:r w:rsidR="00727D68" w:rsidRPr="005E22A5">
        <w:rPr>
          <w:rFonts w:cs="Arial"/>
          <w:bCs/>
          <w:color w:val="auto"/>
          <w:sz w:val="20"/>
          <w:szCs w:val="20"/>
          <w:lang w:eastAsia="en-GB"/>
        </w:rPr>
        <w:t>6</w:t>
      </w:r>
      <w:r w:rsidRPr="005E22A5">
        <w:rPr>
          <w:rFonts w:cs="Arial"/>
          <w:bCs/>
          <w:color w:val="auto"/>
          <w:sz w:val="20"/>
          <w:szCs w:val="20"/>
          <w:lang w:eastAsia="en-GB"/>
        </w:rPr>
        <w:t>,</w:t>
      </w:r>
      <w:r w:rsidR="002F09BA" w:rsidRPr="005E22A5">
        <w:rPr>
          <w:rFonts w:cs="Arial"/>
          <w:bCs/>
          <w:color w:val="auto"/>
          <w:sz w:val="20"/>
          <w:szCs w:val="20"/>
          <w:lang w:eastAsia="en-GB"/>
        </w:rPr>
        <w:t xml:space="preserve"> primarily as a result of the Council’s rolling programme</w:t>
      </w:r>
      <w:r w:rsidRPr="005E22A5">
        <w:rPr>
          <w:rFonts w:cs="Arial"/>
          <w:bCs/>
          <w:color w:val="auto"/>
          <w:sz w:val="20"/>
          <w:szCs w:val="20"/>
          <w:lang w:eastAsia="en-GB"/>
        </w:rPr>
        <w:t xml:space="preserve"> the Council has recognised an impairment loss of </w:t>
      </w:r>
      <w:r w:rsidR="00985484" w:rsidRPr="005E22A5">
        <w:rPr>
          <w:rFonts w:cs="Arial"/>
          <w:bCs/>
          <w:color w:val="auto"/>
          <w:sz w:val="20"/>
          <w:szCs w:val="20"/>
          <w:lang w:eastAsia="en-GB"/>
        </w:rPr>
        <w:t>£</w:t>
      </w:r>
      <w:r w:rsidR="005E22A5" w:rsidRPr="005E22A5">
        <w:rPr>
          <w:rFonts w:cs="Arial"/>
          <w:bCs/>
          <w:color w:val="auto"/>
          <w:sz w:val="20"/>
          <w:szCs w:val="20"/>
          <w:lang w:eastAsia="en-GB"/>
        </w:rPr>
        <w:t>8.</w:t>
      </w:r>
      <w:r w:rsidR="005352B6">
        <w:rPr>
          <w:rFonts w:cs="Arial"/>
          <w:bCs/>
          <w:color w:val="auto"/>
          <w:sz w:val="20"/>
          <w:szCs w:val="20"/>
          <w:lang w:eastAsia="en-GB"/>
        </w:rPr>
        <w:t>0</w:t>
      </w:r>
      <w:r w:rsidR="005F1EAD">
        <w:rPr>
          <w:rFonts w:cs="Arial"/>
          <w:bCs/>
          <w:color w:val="auto"/>
          <w:sz w:val="20"/>
          <w:szCs w:val="20"/>
          <w:lang w:eastAsia="en-GB"/>
        </w:rPr>
        <w:t>m</w:t>
      </w:r>
      <w:r w:rsidR="00985484" w:rsidRPr="005E22A5">
        <w:rPr>
          <w:rFonts w:cs="Arial"/>
          <w:bCs/>
          <w:color w:val="auto"/>
          <w:sz w:val="20"/>
          <w:szCs w:val="20"/>
          <w:lang w:eastAsia="en-GB"/>
        </w:rPr>
        <w:t xml:space="preserve"> (</w:t>
      </w:r>
      <w:r w:rsidRPr="005E22A5">
        <w:rPr>
          <w:rFonts w:cs="Arial"/>
          <w:bCs/>
          <w:color w:val="auto"/>
          <w:sz w:val="20"/>
          <w:szCs w:val="20"/>
          <w:lang w:eastAsia="en-GB"/>
        </w:rPr>
        <w:t>£</w:t>
      </w:r>
      <w:r w:rsidR="00727D68" w:rsidRPr="005E22A5">
        <w:rPr>
          <w:rFonts w:cs="Arial"/>
          <w:bCs/>
          <w:color w:val="auto"/>
          <w:sz w:val="20"/>
          <w:szCs w:val="20"/>
          <w:lang w:eastAsia="en-GB"/>
        </w:rPr>
        <w:t>3.9</w:t>
      </w:r>
      <w:r w:rsidRPr="005E22A5">
        <w:rPr>
          <w:rFonts w:cs="Arial"/>
          <w:bCs/>
          <w:color w:val="auto"/>
          <w:sz w:val="20"/>
          <w:szCs w:val="20"/>
          <w:lang w:eastAsia="en-GB"/>
        </w:rPr>
        <w:t>m</w:t>
      </w:r>
      <w:r w:rsidR="00985484" w:rsidRPr="005E22A5">
        <w:rPr>
          <w:rFonts w:cs="Arial"/>
          <w:bCs/>
          <w:color w:val="auto"/>
          <w:sz w:val="20"/>
          <w:szCs w:val="20"/>
          <w:lang w:eastAsia="en-GB"/>
        </w:rPr>
        <w:t xml:space="preserve"> 1</w:t>
      </w:r>
      <w:r w:rsidR="00727D68" w:rsidRPr="005E22A5">
        <w:rPr>
          <w:rFonts w:cs="Arial"/>
          <w:bCs/>
          <w:color w:val="auto"/>
          <w:sz w:val="20"/>
          <w:szCs w:val="20"/>
          <w:lang w:eastAsia="en-GB"/>
        </w:rPr>
        <w:t>4</w:t>
      </w:r>
      <w:r w:rsidR="00985484" w:rsidRPr="005E22A5">
        <w:rPr>
          <w:rFonts w:cs="Arial"/>
          <w:bCs/>
          <w:color w:val="auto"/>
          <w:sz w:val="20"/>
          <w:szCs w:val="20"/>
          <w:lang w:eastAsia="en-GB"/>
        </w:rPr>
        <w:t>/1</w:t>
      </w:r>
      <w:r w:rsidR="00727D68" w:rsidRPr="005E22A5">
        <w:rPr>
          <w:rFonts w:cs="Arial"/>
          <w:bCs/>
          <w:color w:val="auto"/>
          <w:sz w:val="20"/>
          <w:szCs w:val="20"/>
          <w:lang w:eastAsia="en-GB"/>
        </w:rPr>
        <w:t>5</w:t>
      </w:r>
      <w:r w:rsidR="00817128" w:rsidRPr="005E22A5">
        <w:rPr>
          <w:rFonts w:cs="Arial"/>
          <w:bCs/>
          <w:color w:val="auto"/>
          <w:sz w:val="20"/>
          <w:szCs w:val="20"/>
          <w:lang w:eastAsia="en-GB"/>
        </w:rPr>
        <w:t>) in</w:t>
      </w:r>
      <w:r w:rsidRPr="005E22A5">
        <w:rPr>
          <w:rFonts w:cs="Arial"/>
          <w:bCs/>
          <w:color w:val="auto"/>
          <w:sz w:val="20"/>
          <w:szCs w:val="20"/>
          <w:lang w:eastAsia="en-GB"/>
        </w:rPr>
        <w:t xml:space="preserve"> total </w:t>
      </w:r>
      <w:r w:rsidR="005352B6">
        <w:rPr>
          <w:rFonts w:cs="Arial"/>
          <w:bCs/>
          <w:color w:val="auto"/>
          <w:sz w:val="20"/>
          <w:szCs w:val="20"/>
          <w:lang w:eastAsia="en-GB"/>
        </w:rPr>
        <w:t xml:space="preserve">on its property, plant and equipment </w:t>
      </w:r>
      <w:r w:rsidR="002F09BA" w:rsidRPr="005E22A5">
        <w:rPr>
          <w:rFonts w:cs="Arial"/>
          <w:bCs/>
          <w:color w:val="auto"/>
          <w:sz w:val="20"/>
          <w:szCs w:val="20"/>
          <w:lang w:eastAsia="en-GB"/>
        </w:rPr>
        <w:t xml:space="preserve">charged to the Income and Expenditure account. </w:t>
      </w:r>
      <w:r w:rsidR="00167366">
        <w:rPr>
          <w:rFonts w:cs="Arial"/>
          <w:bCs/>
          <w:color w:val="auto"/>
          <w:sz w:val="20"/>
          <w:szCs w:val="20"/>
          <w:lang w:eastAsia="en-GB"/>
        </w:rPr>
        <w:t>Impairment losses in 2015/16 related primarily to the revaluation of the Energy From Waste facility in Plymouth and changes in values on a number of school sites.</w:t>
      </w:r>
    </w:p>
    <w:p w:rsidR="00E51139" w:rsidRPr="00D42E0B" w:rsidRDefault="00E51139" w:rsidP="00450460">
      <w:pPr>
        <w:pStyle w:val="CodeNotesExampleText"/>
        <w:widowControl w:val="0"/>
        <w:rPr>
          <w:rFonts w:cs="Arial"/>
          <w:color w:val="548DD4" w:themeColor="text2" w:themeTint="99"/>
          <w:sz w:val="20"/>
          <w:szCs w:val="20"/>
        </w:rPr>
      </w:pPr>
    </w:p>
    <w:p w:rsidR="00E51139" w:rsidRPr="00E25667" w:rsidRDefault="005C68D8" w:rsidP="00450460">
      <w:pPr>
        <w:pStyle w:val="Subtitle"/>
        <w:ind w:left="567" w:hanging="567"/>
        <w:rPr>
          <w:b/>
          <w:color w:val="auto"/>
          <w:sz w:val="22"/>
          <w:szCs w:val="22"/>
        </w:rPr>
      </w:pPr>
      <w:r w:rsidRPr="00E25667">
        <w:rPr>
          <w:b/>
          <w:color w:val="auto"/>
          <w:sz w:val="22"/>
          <w:szCs w:val="22"/>
        </w:rPr>
        <w:t>3</w:t>
      </w:r>
      <w:r w:rsidR="000A1BAE" w:rsidRPr="00E25667">
        <w:rPr>
          <w:b/>
          <w:color w:val="auto"/>
          <w:sz w:val="22"/>
          <w:szCs w:val="22"/>
        </w:rPr>
        <w:t>3</w:t>
      </w:r>
      <w:r w:rsidR="00E51139" w:rsidRPr="00E25667">
        <w:rPr>
          <w:b/>
          <w:color w:val="auto"/>
          <w:sz w:val="22"/>
          <w:szCs w:val="22"/>
        </w:rPr>
        <w:t>.</w:t>
      </w:r>
      <w:r w:rsidR="00E51139" w:rsidRPr="00E25667">
        <w:rPr>
          <w:b/>
          <w:color w:val="auto"/>
          <w:sz w:val="22"/>
          <w:szCs w:val="22"/>
        </w:rPr>
        <w:tab/>
        <w:t>Contingent Liabilities</w:t>
      </w:r>
    </w:p>
    <w:p w:rsidR="00E51139" w:rsidRPr="00E25667" w:rsidRDefault="00E51139" w:rsidP="004D454C">
      <w:pPr>
        <w:pStyle w:val="BodyTextIndent"/>
        <w:ind w:left="567"/>
        <w:rPr>
          <w:b/>
          <w:color w:val="auto"/>
          <w:sz w:val="20"/>
          <w:szCs w:val="20"/>
        </w:rPr>
      </w:pPr>
      <w:r w:rsidRPr="00E25667">
        <w:rPr>
          <w:b/>
          <w:color w:val="auto"/>
          <w:sz w:val="20"/>
          <w:szCs w:val="20"/>
        </w:rPr>
        <w:t>Pension Guarantees</w:t>
      </w:r>
    </w:p>
    <w:p w:rsidR="008C722D" w:rsidRPr="00E25667" w:rsidRDefault="00E51139" w:rsidP="00A50787">
      <w:pPr>
        <w:pStyle w:val="BodyTextIndent"/>
        <w:ind w:left="567"/>
        <w:rPr>
          <w:color w:val="auto"/>
          <w:sz w:val="20"/>
          <w:szCs w:val="20"/>
        </w:rPr>
      </w:pPr>
      <w:r w:rsidRPr="00E25667">
        <w:rPr>
          <w:color w:val="auto"/>
          <w:sz w:val="20"/>
          <w:szCs w:val="20"/>
        </w:rPr>
        <w:t>The Council has a number of contingent liabilities in relation to pension guarantees arising either from the externalisation of Council services or support to local organisations. For externalisations the Council</w:t>
      </w:r>
      <w:r w:rsidRPr="00E25667">
        <w:rPr>
          <w:snapToGrid w:val="0"/>
          <w:color w:val="auto"/>
          <w:sz w:val="20"/>
          <w:szCs w:val="20"/>
        </w:rPr>
        <w:t xml:space="preserve"> has guaranteed to meet any pension related financial liabilities arising on staff prior to transfer.</w:t>
      </w:r>
      <w:r w:rsidRPr="00E25667">
        <w:rPr>
          <w:color w:val="auto"/>
          <w:sz w:val="20"/>
          <w:szCs w:val="20"/>
        </w:rPr>
        <w:t xml:space="preserve"> These are listed in the table below:</w:t>
      </w:r>
    </w:p>
    <w:tbl>
      <w:tblPr>
        <w:tblStyle w:val="ListTable3-Accent51"/>
        <w:tblW w:w="0" w:type="auto"/>
        <w:tblInd w:w="675" w:type="dxa"/>
        <w:tblBorders>
          <w:insideH w:val="single" w:sz="4" w:space="0" w:color="4BACC6" w:themeColor="accent5"/>
          <w:insideV w:val="single" w:sz="4" w:space="0" w:color="4BACC6" w:themeColor="accent5"/>
        </w:tblBorders>
        <w:tblLook w:val="01E0"/>
      </w:tblPr>
      <w:tblGrid>
        <w:gridCol w:w="4687"/>
        <w:gridCol w:w="3535"/>
      </w:tblGrid>
      <w:tr w:rsidR="00E51139" w:rsidRPr="00E25667" w:rsidTr="006E0202">
        <w:trPr>
          <w:cnfStyle w:val="100000000000"/>
        </w:trPr>
        <w:tc>
          <w:tcPr>
            <w:cnfStyle w:val="001000000100"/>
            <w:tcW w:w="4687" w:type="dxa"/>
            <w:tcBorders>
              <w:bottom w:val="none" w:sz="0" w:space="0" w:color="auto"/>
              <w:right w:val="none" w:sz="0" w:space="0" w:color="auto"/>
            </w:tcBorders>
            <w:vAlign w:val="center"/>
          </w:tcPr>
          <w:p w:rsidR="00E51139" w:rsidRPr="00E25667" w:rsidRDefault="00E51139" w:rsidP="006E0202">
            <w:pPr>
              <w:pStyle w:val="BodyTextIndent"/>
              <w:ind w:left="0"/>
              <w:rPr>
                <w:b w:val="0"/>
                <w:color w:val="auto"/>
                <w:sz w:val="20"/>
                <w:szCs w:val="20"/>
              </w:rPr>
            </w:pPr>
            <w:r w:rsidRPr="00E25667">
              <w:rPr>
                <w:b w:val="0"/>
                <w:color w:val="auto"/>
                <w:sz w:val="20"/>
                <w:szCs w:val="20"/>
              </w:rPr>
              <w:t>Organisation</w:t>
            </w:r>
          </w:p>
        </w:tc>
        <w:tc>
          <w:tcPr>
            <w:cnfStyle w:val="000100001000"/>
            <w:tcW w:w="3535" w:type="dxa"/>
            <w:tcBorders>
              <w:left w:val="none" w:sz="0" w:space="0" w:color="auto"/>
              <w:bottom w:val="none" w:sz="0" w:space="0" w:color="auto"/>
            </w:tcBorders>
            <w:vAlign w:val="center"/>
          </w:tcPr>
          <w:p w:rsidR="00E51139" w:rsidRPr="00E25667" w:rsidRDefault="00E51139" w:rsidP="00513894">
            <w:pPr>
              <w:pStyle w:val="BodyTextIndent"/>
              <w:ind w:left="0"/>
              <w:jc w:val="center"/>
              <w:rPr>
                <w:b w:val="0"/>
                <w:color w:val="auto"/>
                <w:sz w:val="20"/>
                <w:szCs w:val="20"/>
              </w:rPr>
            </w:pPr>
            <w:r w:rsidRPr="00E25667">
              <w:rPr>
                <w:b w:val="0"/>
                <w:color w:val="auto"/>
                <w:sz w:val="20"/>
                <w:szCs w:val="20"/>
              </w:rPr>
              <w:t>Relationship to Council</w:t>
            </w:r>
          </w:p>
        </w:tc>
      </w:tr>
      <w:tr w:rsidR="00E51139" w:rsidRPr="00E25667" w:rsidTr="006E0202">
        <w:trPr>
          <w:cnfStyle w:val="000000100000"/>
        </w:trPr>
        <w:tc>
          <w:tcPr>
            <w:cnfStyle w:val="001000000000"/>
            <w:tcW w:w="4687" w:type="dxa"/>
            <w:tcBorders>
              <w:top w:val="none" w:sz="0" w:space="0" w:color="auto"/>
              <w:bottom w:val="none" w:sz="0" w:space="0" w:color="auto"/>
              <w:right w:val="none" w:sz="0" w:space="0" w:color="auto"/>
            </w:tcBorders>
            <w:vAlign w:val="center"/>
          </w:tcPr>
          <w:p w:rsidR="00E51139" w:rsidRPr="00E25667" w:rsidRDefault="00E51139" w:rsidP="006E0202">
            <w:pPr>
              <w:pStyle w:val="BodyTextIndent"/>
              <w:ind w:left="0"/>
              <w:rPr>
                <w:b w:val="0"/>
                <w:color w:val="auto"/>
                <w:sz w:val="20"/>
                <w:szCs w:val="20"/>
              </w:rPr>
            </w:pPr>
            <w:r w:rsidRPr="00E25667">
              <w:rPr>
                <w:b w:val="0"/>
                <w:color w:val="auto"/>
                <w:sz w:val="20"/>
                <w:szCs w:val="20"/>
              </w:rPr>
              <w:t>Torquay Museum</w:t>
            </w:r>
          </w:p>
        </w:tc>
        <w:tc>
          <w:tcPr>
            <w:cnfStyle w:val="000100000000"/>
            <w:tcW w:w="3535" w:type="dxa"/>
            <w:tcBorders>
              <w:top w:val="none" w:sz="0" w:space="0" w:color="auto"/>
              <w:left w:val="none" w:sz="0" w:space="0" w:color="auto"/>
              <w:bottom w:val="none" w:sz="0" w:space="0" w:color="auto"/>
            </w:tcBorders>
            <w:vAlign w:val="center"/>
          </w:tcPr>
          <w:p w:rsidR="00E51139" w:rsidRPr="00E25667" w:rsidRDefault="00E51139" w:rsidP="00513894">
            <w:pPr>
              <w:pStyle w:val="BodyTextIndent"/>
              <w:ind w:left="0"/>
              <w:jc w:val="center"/>
              <w:rPr>
                <w:b w:val="0"/>
                <w:color w:val="auto"/>
                <w:sz w:val="20"/>
                <w:szCs w:val="20"/>
              </w:rPr>
            </w:pPr>
            <w:r w:rsidRPr="00E25667">
              <w:rPr>
                <w:b w:val="0"/>
                <w:color w:val="auto"/>
                <w:sz w:val="20"/>
                <w:szCs w:val="20"/>
              </w:rPr>
              <w:t>Grant funded</w:t>
            </w:r>
          </w:p>
        </w:tc>
      </w:tr>
      <w:tr w:rsidR="00E51139" w:rsidRPr="00E25667" w:rsidTr="006E0202">
        <w:tc>
          <w:tcPr>
            <w:cnfStyle w:val="001000000000"/>
            <w:tcW w:w="4687" w:type="dxa"/>
            <w:tcBorders>
              <w:right w:val="none" w:sz="0" w:space="0" w:color="auto"/>
            </w:tcBorders>
            <w:vAlign w:val="center"/>
          </w:tcPr>
          <w:p w:rsidR="00E51139" w:rsidRPr="00E25667" w:rsidRDefault="00E51139" w:rsidP="006E0202">
            <w:pPr>
              <w:pStyle w:val="BodyTextIndent"/>
              <w:ind w:left="0"/>
              <w:rPr>
                <w:b w:val="0"/>
                <w:color w:val="auto"/>
                <w:sz w:val="20"/>
                <w:szCs w:val="20"/>
              </w:rPr>
            </w:pPr>
            <w:r w:rsidRPr="00E25667">
              <w:rPr>
                <w:b w:val="0"/>
                <w:color w:val="auto"/>
                <w:sz w:val="20"/>
                <w:szCs w:val="20"/>
              </w:rPr>
              <w:t>Economic Development Company</w:t>
            </w:r>
          </w:p>
        </w:tc>
        <w:tc>
          <w:tcPr>
            <w:cnfStyle w:val="000100000000"/>
            <w:tcW w:w="3535" w:type="dxa"/>
            <w:tcBorders>
              <w:left w:val="none" w:sz="0" w:space="0" w:color="auto"/>
            </w:tcBorders>
            <w:vAlign w:val="center"/>
          </w:tcPr>
          <w:p w:rsidR="00E51139" w:rsidRPr="00E25667" w:rsidRDefault="00E51139" w:rsidP="00513894">
            <w:pPr>
              <w:pStyle w:val="BodyTextIndent"/>
              <w:ind w:left="0"/>
              <w:jc w:val="center"/>
              <w:rPr>
                <w:b w:val="0"/>
                <w:color w:val="auto"/>
                <w:sz w:val="20"/>
                <w:szCs w:val="20"/>
              </w:rPr>
            </w:pPr>
            <w:r w:rsidRPr="00E25667">
              <w:rPr>
                <w:b w:val="0"/>
                <w:color w:val="auto"/>
                <w:sz w:val="20"/>
                <w:szCs w:val="20"/>
              </w:rPr>
              <w:t>Subsidiary</w:t>
            </w:r>
          </w:p>
        </w:tc>
      </w:tr>
      <w:tr w:rsidR="00E51139" w:rsidRPr="00E25667" w:rsidTr="006E0202">
        <w:trPr>
          <w:cnfStyle w:val="000000100000"/>
        </w:trPr>
        <w:tc>
          <w:tcPr>
            <w:cnfStyle w:val="001000000000"/>
            <w:tcW w:w="4687" w:type="dxa"/>
            <w:tcBorders>
              <w:top w:val="none" w:sz="0" w:space="0" w:color="auto"/>
              <w:bottom w:val="none" w:sz="0" w:space="0" w:color="auto"/>
              <w:right w:val="none" w:sz="0" w:space="0" w:color="auto"/>
            </w:tcBorders>
            <w:vAlign w:val="center"/>
          </w:tcPr>
          <w:p w:rsidR="00E51139" w:rsidRPr="00E25667" w:rsidRDefault="00E51139" w:rsidP="006E0202">
            <w:pPr>
              <w:pStyle w:val="BodyTextIndent"/>
              <w:ind w:left="0"/>
              <w:rPr>
                <w:b w:val="0"/>
                <w:color w:val="auto"/>
                <w:sz w:val="20"/>
                <w:szCs w:val="20"/>
              </w:rPr>
            </w:pPr>
            <w:r w:rsidRPr="00E25667">
              <w:rPr>
                <w:b w:val="0"/>
                <w:color w:val="auto"/>
                <w:sz w:val="20"/>
                <w:szCs w:val="20"/>
              </w:rPr>
              <w:t>English Riviera Tourism Company</w:t>
            </w:r>
          </w:p>
        </w:tc>
        <w:tc>
          <w:tcPr>
            <w:cnfStyle w:val="000100000000"/>
            <w:tcW w:w="3535" w:type="dxa"/>
            <w:tcBorders>
              <w:top w:val="none" w:sz="0" w:space="0" w:color="auto"/>
              <w:left w:val="none" w:sz="0" w:space="0" w:color="auto"/>
              <w:bottom w:val="none" w:sz="0" w:space="0" w:color="auto"/>
            </w:tcBorders>
            <w:vAlign w:val="center"/>
          </w:tcPr>
          <w:p w:rsidR="00E51139" w:rsidRPr="00E25667" w:rsidRDefault="00E51139" w:rsidP="00513894">
            <w:pPr>
              <w:pStyle w:val="BodyTextIndent"/>
              <w:ind w:left="0"/>
              <w:jc w:val="center"/>
              <w:rPr>
                <w:b w:val="0"/>
                <w:color w:val="auto"/>
                <w:sz w:val="20"/>
                <w:szCs w:val="20"/>
              </w:rPr>
            </w:pPr>
            <w:r w:rsidRPr="00E25667">
              <w:rPr>
                <w:b w:val="0"/>
                <w:color w:val="auto"/>
                <w:sz w:val="20"/>
                <w:szCs w:val="20"/>
              </w:rPr>
              <w:t>Subsidiary</w:t>
            </w:r>
          </w:p>
        </w:tc>
      </w:tr>
      <w:tr w:rsidR="00E51139" w:rsidRPr="00E25667" w:rsidTr="006E0202">
        <w:tc>
          <w:tcPr>
            <w:cnfStyle w:val="001000000000"/>
            <w:tcW w:w="4687" w:type="dxa"/>
            <w:tcBorders>
              <w:right w:val="none" w:sz="0" w:space="0" w:color="auto"/>
            </w:tcBorders>
            <w:vAlign w:val="center"/>
          </w:tcPr>
          <w:p w:rsidR="00E51139" w:rsidRPr="00E25667" w:rsidRDefault="006B046C" w:rsidP="006E0202">
            <w:pPr>
              <w:pStyle w:val="BodyTextIndent"/>
              <w:ind w:left="0"/>
              <w:rPr>
                <w:b w:val="0"/>
                <w:color w:val="auto"/>
                <w:sz w:val="20"/>
                <w:szCs w:val="20"/>
              </w:rPr>
            </w:pPr>
            <w:r>
              <w:rPr>
                <w:b w:val="0"/>
                <w:color w:val="auto"/>
                <w:sz w:val="20"/>
                <w:szCs w:val="20"/>
              </w:rPr>
              <w:t xml:space="preserve">CSW Group Ltd </w:t>
            </w:r>
            <w:r w:rsidRPr="006B046C">
              <w:rPr>
                <w:b w:val="0"/>
                <w:color w:val="auto"/>
                <w:sz w:val="18"/>
                <w:szCs w:val="18"/>
              </w:rPr>
              <w:t>(</w:t>
            </w:r>
            <w:r w:rsidR="007E33E1" w:rsidRPr="006B046C">
              <w:rPr>
                <w:b w:val="0"/>
                <w:color w:val="auto"/>
                <w:sz w:val="18"/>
                <w:szCs w:val="18"/>
              </w:rPr>
              <w:t>formally Careers</w:t>
            </w:r>
            <w:r w:rsidR="00E51139" w:rsidRPr="006B046C">
              <w:rPr>
                <w:b w:val="0"/>
                <w:color w:val="auto"/>
                <w:sz w:val="18"/>
                <w:szCs w:val="18"/>
              </w:rPr>
              <w:t xml:space="preserve"> South West</w:t>
            </w:r>
            <w:r w:rsidRPr="006B046C">
              <w:rPr>
                <w:b w:val="0"/>
                <w:color w:val="auto"/>
                <w:sz w:val="18"/>
                <w:szCs w:val="18"/>
              </w:rPr>
              <w:t>)</w:t>
            </w:r>
          </w:p>
        </w:tc>
        <w:tc>
          <w:tcPr>
            <w:cnfStyle w:val="000100000000"/>
            <w:tcW w:w="3535" w:type="dxa"/>
            <w:tcBorders>
              <w:left w:val="none" w:sz="0" w:space="0" w:color="auto"/>
            </w:tcBorders>
            <w:vAlign w:val="center"/>
          </w:tcPr>
          <w:p w:rsidR="00E51139" w:rsidRPr="00E25667" w:rsidRDefault="00E51139" w:rsidP="00513894">
            <w:pPr>
              <w:pStyle w:val="BodyTextIndent"/>
              <w:ind w:left="0"/>
              <w:jc w:val="center"/>
              <w:rPr>
                <w:b w:val="0"/>
                <w:color w:val="auto"/>
                <w:sz w:val="20"/>
                <w:szCs w:val="20"/>
              </w:rPr>
            </w:pPr>
            <w:r w:rsidRPr="00E25667">
              <w:rPr>
                <w:b w:val="0"/>
                <w:color w:val="auto"/>
                <w:sz w:val="20"/>
                <w:szCs w:val="20"/>
              </w:rPr>
              <w:t>Associate</w:t>
            </w:r>
          </w:p>
        </w:tc>
      </w:tr>
      <w:tr w:rsidR="00E51139" w:rsidRPr="00E25667" w:rsidTr="00A923E5">
        <w:trPr>
          <w:cnfStyle w:val="000000100000"/>
        </w:trPr>
        <w:tc>
          <w:tcPr>
            <w:cnfStyle w:val="001000000000"/>
            <w:tcW w:w="4687" w:type="dxa"/>
            <w:tcBorders>
              <w:top w:val="none" w:sz="0" w:space="0" w:color="auto"/>
              <w:right w:val="none" w:sz="0" w:space="0" w:color="auto"/>
            </w:tcBorders>
            <w:vAlign w:val="center"/>
          </w:tcPr>
          <w:p w:rsidR="00E51139" w:rsidRPr="00E25667" w:rsidRDefault="00E51139" w:rsidP="006E0202">
            <w:pPr>
              <w:pStyle w:val="BodyTextIndent"/>
              <w:ind w:left="0"/>
              <w:rPr>
                <w:b w:val="0"/>
                <w:color w:val="auto"/>
                <w:sz w:val="20"/>
                <w:szCs w:val="20"/>
              </w:rPr>
            </w:pPr>
            <w:r w:rsidRPr="00E25667">
              <w:rPr>
                <w:b w:val="0"/>
                <w:color w:val="auto"/>
                <w:sz w:val="20"/>
                <w:szCs w:val="20"/>
              </w:rPr>
              <w:t>Torbay Coast &amp; Countryside Trust</w:t>
            </w:r>
          </w:p>
        </w:tc>
        <w:tc>
          <w:tcPr>
            <w:cnfStyle w:val="000100000000"/>
            <w:tcW w:w="3535" w:type="dxa"/>
            <w:tcBorders>
              <w:top w:val="none" w:sz="0" w:space="0" w:color="auto"/>
              <w:left w:val="none" w:sz="0" w:space="0" w:color="auto"/>
            </w:tcBorders>
            <w:vAlign w:val="center"/>
          </w:tcPr>
          <w:p w:rsidR="00E51139" w:rsidRPr="00E25667" w:rsidRDefault="00E51139" w:rsidP="00513894">
            <w:pPr>
              <w:pStyle w:val="BodyTextIndent"/>
              <w:ind w:left="0"/>
              <w:jc w:val="center"/>
              <w:rPr>
                <w:b w:val="0"/>
                <w:color w:val="auto"/>
                <w:sz w:val="20"/>
                <w:szCs w:val="20"/>
              </w:rPr>
            </w:pPr>
            <w:r w:rsidRPr="00E25667">
              <w:rPr>
                <w:b w:val="0"/>
                <w:color w:val="auto"/>
                <w:sz w:val="20"/>
                <w:szCs w:val="20"/>
              </w:rPr>
              <w:t>Grant funded</w:t>
            </w:r>
          </w:p>
        </w:tc>
      </w:tr>
      <w:tr w:rsidR="00A923E5" w:rsidRPr="00E25667" w:rsidTr="00A923E5">
        <w:trPr>
          <w:cnfStyle w:val="010000000000"/>
        </w:trPr>
        <w:tc>
          <w:tcPr>
            <w:cnfStyle w:val="001000000001"/>
            <w:tcW w:w="4687" w:type="dxa"/>
            <w:tcBorders>
              <w:top w:val="single" w:sz="4" w:space="0" w:color="4BACC6" w:themeColor="accent5"/>
              <w:right w:val="none" w:sz="0" w:space="0" w:color="auto"/>
            </w:tcBorders>
            <w:vAlign w:val="center"/>
          </w:tcPr>
          <w:p w:rsidR="00A923E5" w:rsidRPr="00E25667" w:rsidRDefault="00A923E5" w:rsidP="00436163">
            <w:pPr>
              <w:pStyle w:val="BodyTextIndent"/>
              <w:ind w:left="0"/>
              <w:rPr>
                <w:b w:val="0"/>
                <w:color w:val="auto"/>
                <w:sz w:val="20"/>
                <w:szCs w:val="20"/>
              </w:rPr>
            </w:pPr>
            <w:r>
              <w:rPr>
                <w:b w:val="0"/>
                <w:color w:val="auto"/>
                <w:sz w:val="20"/>
                <w:szCs w:val="20"/>
              </w:rPr>
              <w:lastRenderedPageBreak/>
              <w:t>TOR2</w:t>
            </w:r>
          </w:p>
        </w:tc>
        <w:tc>
          <w:tcPr>
            <w:cnfStyle w:val="000100000010"/>
            <w:tcW w:w="3535" w:type="dxa"/>
            <w:tcBorders>
              <w:top w:val="single" w:sz="4" w:space="0" w:color="4BACC6" w:themeColor="accent5"/>
              <w:left w:val="none" w:sz="0" w:space="0" w:color="auto"/>
            </w:tcBorders>
            <w:vAlign w:val="center"/>
          </w:tcPr>
          <w:p w:rsidR="00A923E5" w:rsidRPr="00E25667" w:rsidRDefault="00A923E5" w:rsidP="00436163">
            <w:pPr>
              <w:pStyle w:val="BodyTextIndent"/>
              <w:ind w:left="0"/>
              <w:jc w:val="center"/>
              <w:rPr>
                <w:b w:val="0"/>
                <w:color w:val="auto"/>
                <w:sz w:val="20"/>
                <w:szCs w:val="20"/>
              </w:rPr>
            </w:pPr>
            <w:r w:rsidRPr="00E25667">
              <w:rPr>
                <w:b w:val="0"/>
                <w:color w:val="auto"/>
                <w:sz w:val="20"/>
                <w:szCs w:val="20"/>
              </w:rPr>
              <w:t>Associate</w:t>
            </w:r>
          </w:p>
        </w:tc>
      </w:tr>
    </w:tbl>
    <w:p w:rsidR="00582DC4" w:rsidRDefault="00582DC4" w:rsidP="00A50787">
      <w:pPr>
        <w:pStyle w:val="BodyTextIndent"/>
        <w:ind w:left="567"/>
        <w:rPr>
          <w:rFonts w:cs="Arial"/>
          <w:b/>
          <w:color w:val="auto"/>
          <w:sz w:val="20"/>
          <w:szCs w:val="20"/>
        </w:rPr>
      </w:pPr>
    </w:p>
    <w:p w:rsidR="00E51139" w:rsidRPr="009D5F43" w:rsidRDefault="00E51139" w:rsidP="00A50787">
      <w:pPr>
        <w:pStyle w:val="BodyTextIndent"/>
        <w:ind w:left="567"/>
        <w:rPr>
          <w:rFonts w:cs="Arial"/>
          <w:b/>
          <w:color w:val="auto"/>
          <w:sz w:val="20"/>
          <w:szCs w:val="20"/>
        </w:rPr>
      </w:pPr>
      <w:r w:rsidRPr="009D5F43">
        <w:rPr>
          <w:rFonts w:cs="Arial"/>
          <w:b/>
          <w:color w:val="auto"/>
          <w:sz w:val="20"/>
          <w:szCs w:val="20"/>
        </w:rPr>
        <w:t>Loans</w:t>
      </w:r>
    </w:p>
    <w:p w:rsidR="005B4067" w:rsidRPr="009D5F43" w:rsidRDefault="00E51139" w:rsidP="00194DBF">
      <w:pPr>
        <w:pStyle w:val="BodyTextIndent"/>
        <w:ind w:left="567"/>
        <w:rPr>
          <w:rFonts w:cs="Arial"/>
          <w:b/>
          <w:bCs/>
          <w:color w:val="auto"/>
          <w:sz w:val="20"/>
          <w:szCs w:val="20"/>
        </w:rPr>
      </w:pPr>
      <w:r w:rsidRPr="009D5F43">
        <w:rPr>
          <w:rFonts w:cs="Arial"/>
          <w:color w:val="auto"/>
          <w:sz w:val="20"/>
          <w:szCs w:val="20"/>
        </w:rPr>
        <w:t xml:space="preserve">The Council has provided the following loan or loan facility to the following organisations. These loans are included in the Council’s debtor balances </w:t>
      </w:r>
      <w:r w:rsidR="00116CBF">
        <w:rPr>
          <w:rFonts w:cs="Arial"/>
          <w:color w:val="auto"/>
          <w:sz w:val="20"/>
          <w:szCs w:val="20"/>
        </w:rPr>
        <w:t>on (and notes to) t</w:t>
      </w:r>
      <w:r w:rsidRPr="009D5F43">
        <w:rPr>
          <w:rFonts w:cs="Arial"/>
          <w:color w:val="auto"/>
          <w:sz w:val="20"/>
          <w:szCs w:val="20"/>
        </w:rPr>
        <w:t>he balance sheet as at 31st March 201</w:t>
      </w:r>
      <w:r w:rsidR="00727D68" w:rsidRPr="009D5F43">
        <w:rPr>
          <w:rFonts w:cs="Arial"/>
          <w:color w:val="auto"/>
          <w:sz w:val="20"/>
          <w:szCs w:val="20"/>
        </w:rPr>
        <w:t>6</w:t>
      </w:r>
      <w:r w:rsidRPr="009D5F43">
        <w:rPr>
          <w:rFonts w:cs="Arial"/>
          <w:color w:val="auto"/>
          <w:sz w:val="20"/>
          <w:szCs w:val="20"/>
        </w:rPr>
        <w:t xml:space="preserve">. </w:t>
      </w:r>
    </w:p>
    <w:tbl>
      <w:tblPr>
        <w:tblStyle w:val="ListTable3-Accent51"/>
        <w:tblW w:w="0" w:type="auto"/>
        <w:tblInd w:w="643" w:type="dxa"/>
        <w:tblBorders>
          <w:insideH w:val="single" w:sz="4" w:space="0" w:color="4BACC6" w:themeColor="accent5"/>
          <w:insideV w:val="single" w:sz="4" w:space="0" w:color="4BACC6" w:themeColor="accent5"/>
        </w:tblBorders>
        <w:tblLook w:val="01E0"/>
      </w:tblPr>
      <w:tblGrid>
        <w:gridCol w:w="2876"/>
        <w:gridCol w:w="2826"/>
        <w:gridCol w:w="2552"/>
      </w:tblGrid>
      <w:tr w:rsidR="00E51139" w:rsidRPr="009D5F43" w:rsidTr="00450460">
        <w:trPr>
          <w:cnfStyle w:val="100000000000"/>
          <w:tblHeader/>
        </w:trPr>
        <w:tc>
          <w:tcPr>
            <w:cnfStyle w:val="001000000100"/>
            <w:tcW w:w="2876" w:type="dxa"/>
            <w:tcBorders>
              <w:bottom w:val="none" w:sz="0" w:space="0" w:color="auto"/>
              <w:right w:val="none" w:sz="0" w:space="0" w:color="auto"/>
            </w:tcBorders>
          </w:tcPr>
          <w:p w:rsidR="00E51139" w:rsidRPr="009D5F43" w:rsidRDefault="00E51139" w:rsidP="005A31A8">
            <w:pPr>
              <w:pStyle w:val="BodyTextIndent"/>
              <w:ind w:left="0"/>
              <w:jc w:val="center"/>
              <w:rPr>
                <w:b w:val="0"/>
                <w:color w:val="auto"/>
                <w:sz w:val="20"/>
                <w:szCs w:val="20"/>
              </w:rPr>
            </w:pPr>
            <w:r w:rsidRPr="009D5F43">
              <w:rPr>
                <w:b w:val="0"/>
                <w:color w:val="auto"/>
                <w:sz w:val="20"/>
                <w:szCs w:val="20"/>
              </w:rPr>
              <w:t>Value of loan</w:t>
            </w:r>
          </w:p>
          <w:p w:rsidR="00E51139" w:rsidRPr="009D5F43" w:rsidRDefault="00A50787" w:rsidP="00727D68">
            <w:pPr>
              <w:pStyle w:val="BodyTextIndent"/>
              <w:ind w:left="0"/>
              <w:jc w:val="center"/>
              <w:rPr>
                <w:b w:val="0"/>
                <w:color w:val="auto"/>
                <w:sz w:val="20"/>
                <w:szCs w:val="20"/>
              </w:rPr>
            </w:pPr>
            <w:r w:rsidRPr="009D5F43">
              <w:rPr>
                <w:b w:val="0"/>
                <w:color w:val="auto"/>
                <w:sz w:val="20"/>
                <w:szCs w:val="20"/>
              </w:rPr>
              <w:t>31</w:t>
            </w:r>
            <w:r w:rsidRPr="009D5F43">
              <w:rPr>
                <w:b w:val="0"/>
                <w:color w:val="auto"/>
                <w:sz w:val="20"/>
                <w:szCs w:val="20"/>
                <w:vertAlign w:val="superscript"/>
              </w:rPr>
              <w:t>st</w:t>
            </w:r>
            <w:r w:rsidRPr="009D5F43">
              <w:rPr>
                <w:b w:val="0"/>
                <w:color w:val="auto"/>
                <w:sz w:val="20"/>
                <w:szCs w:val="20"/>
              </w:rPr>
              <w:t xml:space="preserve"> March 201</w:t>
            </w:r>
            <w:r w:rsidR="00727D68" w:rsidRPr="009D5F43">
              <w:rPr>
                <w:b w:val="0"/>
                <w:color w:val="auto"/>
                <w:sz w:val="20"/>
                <w:szCs w:val="20"/>
              </w:rPr>
              <w:t>5</w:t>
            </w:r>
            <w:r w:rsidR="00397CBB" w:rsidRPr="009D5F43">
              <w:rPr>
                <w:b w:val="0"/>
                <w:color w:val="auto"/>
                <w:sz w:val="20"/>
                <w:szCs w:val="20"/>
              </w:rPr>
              <w:t xml:space="preserve"> £000s</w:t>
            </w:r>
          </w:p>
        </w:tc>
        <w:tc>
          <w:tcPr>
            <w:cnfStyle w:val="000010000000"/>
            <w:tcW w:w="2826" w:type="dxa"/>
            <w:tcBorders>
              <w:left w:val="none" w:sz="0" w:space="0" w:color="auto"/>
              <w:right w:val="none" w:sz="0" w:space="0" w:color="auto"/>
            </w:tcBorders>
          </w:tcPr>
          <w:p w:rsidR="00E51139" w:rsidRPr="009D5F43" w:rsidRDefault="00E51139" w:rsidP="00B12D4F">
            <w:pPr>
              <w:pStyle w:val="BodyTextIndent"/>
              <w:ind w:left="0"/>
              <w:jc w:val="center"/>
              <w:rPr>
                <w:b w:val="0"/>
                <w:color w:val="auto"/>
                <w:sz w:val="20"/>
                <w:szCs w:val="20"/>
              </w:rPr>
            </w:pPr>
            <w:r w:rsidRPr="009D5F43">
              <w:rPr>
                <w:b w:val="0"/>
                <w:color w:val="auto"/>
                <w:sz w:val="20"/>
                <w:szCs w:val="20"/>
              </w:rPr>
              <w:t>Organisation</w:t>
            </w:r>
          </w:p>
        </w:tc>
        <w:tc>
          <w:tcPr>
            <w:cnfStyle w:val="000100001000"/>
            <w:tcW w:w="2552" w:type="dxa"/>
            <w:tcBorders>
              <w:left w:val="none" w:sz="0" w:space="0" w:color="auto"/>
              <w:bottom w:val="none" w:sz="0" w:space="0" w:color="auto"/>
            </w:tcBorders>
          </w:tcPr>
          <w:p w:rsidR="00E51139" w:rsidRPr="009D5F43" w:rsidRDefault="00E51139" w:rsidP="00CE6D72">
            <w:pPr>
              <w:pStyle w:val="BodyTextIndent"/>
              <w:ind w:left="0"/>
              <w:jc w:val="center"/>
              <w:rPr>
                <w:b w:val="0"/>
                <w:color w:val="auto"/>
                <w:sz w:val="20"/>
                <w:szCs w:val="20"/>
              </w:rPr>
            </w:pPr>
            <w:r w:rsidRPr="009D5F43">
              <w:rPr>
                <w:b w:val="0"/>
                <w:color w:val="auto"/>
                <w:sz w:val="20"/>
                <w:szCs w:val="20"/>
              </w:rPr>
              <w:t>Value of loan</w:t>
            </w:r>
          </w:p>
          <w:p w:rsidR="00E51139" w:rsidRPr="009D5F43" w:rsidRDefault="00A50787" w:rsidP="00727D68">
            <w:pPr>
              <w:pStyle w:val="BodyTextIndent"/>
              <w:ind w:left="0"/>
              <w:jc w:val="center"/>
              <w:rPr>
                <w:b w:val="0"/>
                <w:color w:val="auto"/>
                <w:sz w:val="20"/>
                <w:szCs w:val="20"/>
              </w:rPr>
            </w:pPr>
            <w:r w:rsidRPr="009D5F43">
              <w:rPr>
                <w:b w:val="0"/>
                <w:color w:val="auto"/>
                <w:sz w:val="20"/>
                <w:szCs w:val="20"/>
              </w:rPr>
              <w:t>31</w:t>
            </w:r>
            <w:r w:rsidRPr="009D5F43">
              <w:rPr>
                <w:b w:val="0"/>
                <w:color w:val="auto"/>
                <w:sz w:val="20"/>
                <w:szCs w:val="20"/>
                <w:vertAlign w:val="superscript"/>
              </w:rPr>
              <w:t>st</w:t>
            </w:r>
            <w:r w:rsidRPr="009D5F43">
              <w:rPr>
                <w:b w:val="0"/>
                <w:color w:val="auto"/>
                <w:sz w:val="20"/>
                <w:szCs w:val="20"/>
              </w:rPr>
              <w:t xml:space="preserve"> March 201</w:t>
            </w:r>
            <w:r w:rsidR="00727D68" w:rsidRPr="009D5F43">
              <w:rPr>
                <w:b w:val="0"/>
                <w:color w:val="auto"/>
                <w:sz w:val="20"/>
                <w:szCs w:val="20"/>
              </w:rPr>
              <w:t>6</w:t>
            </w:r>
            <w:r w:rsidR="00397CBB" w:rsidRPr="009D5F43">
              <w:rPr>
                <w:b w:val="0"/>
                <w:color w:val="auto"/>
                <w:sz w:val="20"/>
                <w:szCs w:val="20"/>
              </w:rPr>
              <w:t xml:space="preserve"> £000’s</w:t>
            </w:r>
          </w:p>
        </w:tc>
      </w:tr>
      <w:tr w:rsidR="00727D68" w:rsidRPr="009D5F43" w:rsidTr="00450460">
        <w:trPr>
          <w:cnfStyle w:val="000000100000"/>
        </w:trPr>
        <w:tc>
          <w:tcPr>
            <w:cnfStyle w:val="001000000000"/>
            <w:tcW w:w="2876" w:type="dxa"/>
            <w:tcBorders>
              <w:top w:val="none" w:sz="0" w:space="0" w:color="auto"/>
              <w:bottom w:val="none" w:sz="0" w:space="0" w:color="auto"/>
              <w:right w:val="none" w:sz="0" w:space="0" w:color="auto"/>
            </w:tcBorders>
          </w:tcPr>
          <w:p w:rsidR="00727D68" w:rsidRPr="009D5F43" w:rsidRDefault="00727D68" w:rsidP="00727D68">
            <w:pPr>
              <w:pStyle w:val="BodyTextIndent"/>
              <w:ind w:left="0"/>
              <w:jc w:val="center"/>
              <w:rPr>
                <w:color w:val="auto"/>
                <w:sz w:val="20"/>
                <w:szCs w:val="20"/>
              </w:rPr>
            </w:pPr>
            <w:r w:rsidRPr="009D5F43">
              <w:rPr>
                <w:color w:val="auto"/>
                <w:sz w:val="20"/>
                <w:szCs w:val="20"/>
              </w:rPr>
              <w:t>139</w:t>
            </w:r>
          </w:p>
        </w:tc>
        <w:tc>
          <w:tcPr>
            <w:cnfStyle w:val="000010000000"/>
            <w:tcW w:w="2826" w:type="dxa"/>
            <w:tcBorders>
              <w:top w:val="none" w:sz="0" w:space="0" w:color="auto"/>
              <w:left w:val="none" w:sz="0" w:space="0" w:color="auto"/>
              <w:bottom w:val="none" w:sz="0" w:space="0" w:color="auto"/>
              <w:right w:val="none" w:sz="0" w:space="0" w:color="auto"/>
            </w:tcBorders>
          </w:tcPr>
          <w:p w:rsidR="00727D68" w:rsidRPr="009D5F43" w:rsidRDefault="00727D68" w:rsidP="00CE6D72">
            <w:pPr>
              <w:pStyle w:val="BodyTextIndent"/>
              <w:ind w:left="0"/>
              <w:rPr>
                <w:color w:val="auto"/>
                <w:sz w:val="20"/>
                <w:szCs w:val="20"/>
              </w:rPr>
            </w:pPr>
            <w:r w:rsidRPr="009D5F43">
              <w:rPr>
                <w:color w:val="auto"/>
                <w:sz w:val="20"/>
                <w:szCs w:val="20"/>
              </w:rPr>
              <w:t>PLUSS</w:t>
            </w:r>
          </w:p>
        </w:tc>
        <w:tc>
          <w:tcPr>
            <w:cnfStyle w:val="000100000000"/>
            <w:tcW w:w="2552" w:type="dxa"/>
            <w:tcBorders>
              <w:top w:val="none" w:sz="0" w:space="0" w:color="auto"/>
              <w:left w:val="none" w:sz="0" w:space="0" w:color="auto"/>
              <w:bottom w:val="none" w:sz="0" w:space="0" w:color="auto"/>
            </w:tcBorders>
          </w:tcPr>
          <w:p w:rsidR="00727D68" w:rsidRPr="009D5F43" w:rsidRDefault="00E25667" w:rsidP="00FD5F2A">
            <w:pPr>
              <w:pStyle w:val="BodyTextIndent"/>
              <w:ind w:left="0"/>
              <w:jc w:val="center"/>
              <w:rPr>
                <w:color w:val="auto"/>
                <w:sz w:val="20"/>
                <w:szCs w:val="20"/>
              </w:rPr>
            </w:pPr>
            <w:r>
              <w:rPr>
                <w:color w:val="auto"/>
                <w:sz w:val="20"/>
                <w:szCs w:val="20"/>
              </w:rPr>
              <w:t>0</w:t>
            </w:r>
          </w:p>
        </w:tc>
      </w:tr>
      <w:tr w:rsidR="00727D68" w:rsidRPr="009D5F43" w:rsidTr="00450460">
        <w:tc>
          <w:tcPr>
            <w:cnfStyle w:val="001000000000"/>
            <w:tcW w:w="2876" w:type="dxa"/>
            <w:tcBorders>
              <w:right w:val="none" w:sz="0" w:space="0" w:color="auto"/>
            </w:tcBorders>
          </w:tcPr>
          <w:p w:rsidR="00727D68" w:rsidRPr="009D5F43" w:rsidRDefault="00727D68" w:rsidP="00727D68">
            <w:pPr>
              <w:pStyle w:val="BodyTextIndent"/>
              <w:ind w:left="0"/>
              <w:jc w:val="center"/>
              <w:rPr>
                <w:color w:val="auto"/>
                <w:sz w:val="20"/>
                <w:szCs w:val="20"/>
              </w:rPr>
            </w:pPr>
            <w:r w:rsidRPr="009D5F43">
              <w:rPr>
                <w:color w:val="auto"/>
                <w:sz w:val="20"/>
                <w:szCs w:val="20"/>
              </w:rPr>
              <w:t>575 *</w:t>
            </w:r>
          </w:p>
        </w:tc>
        <w:tc>
          <w:tcPr>
            <w:cnfStyle w:val="000010000000"/>
            <w:tcW w:w="2826" w:type="dxa"/>
            <w:tcBorders>
              <w:left w:val="none" w:sz="0" w:space="0" w:color="auto"/>
              <w:right w:val="none" w:sz="0" w:space="0" w:color="auto"/>
            </w:tcBorders>
          </w:tcPr>
          <w:p w:rsidR="00727D68" w:rsidRPr="009D5F43" w:rsidRDefault="00727D68" w:rsidP="00CE6D72">
            <w:pPr>
              <w:pStyle w:val="BodyTextIndent"/>
              <w:ind w:left="0"/>
              <w:rPr>
                <w:color w:val="auto"/>
                <w:sz w:val="20"/>
                <w:szCs w:val="20"/>
              </w:rPr>
            </w:pPr>
            <w:r w:rsidRPr="009D5F43">
              <w:rPr>
                <w:color w:val="auto"/>
                <w:sz w:val="20"/>
                <w:szCs w:val="20"/>
              </w:rPr>
              <w:t xml:space="preserve">Torbay Economic Development Company </w:t>
            </w:r>
          </w:p>
        </w:tc>
        <w:tc>
          <w:tcPr>
            <w:cnfStyle w:val="000100000000"/>
            <w:tcW w:w="2552" w:type="dxa"/>
            <w:tcBorders>
              <w:left w:val="none" w:sz="0" w:space="0" w:color="auto"/>
            </w:tcBorders>
          </w:tcPr>
          <w:p w:rsidR="00727D68" w:rsidRPr="009D5F43" w:rsidRDefault="00E25667" w:rsidP="00397CBB">
            <w:pPr>
              <w:pStyle w:val="BodyTextIndent"/>
              <w:ind w:left="0"/>
              <w:jc w:val="center"/>
              <w:rPr>
                <w:color w:val="auto"/>
                <w:sz w:val="20"/>
                <w:szCs w:val="20"/>
              </w:rPr>
            </w:pPr>
            <w:r>
              <w:rPr>
                <w:color w:val="auto"/>
                <w:sz w:val="20"/>
                <w:szCs w:val="20"/>
              </w:rPr>
              <w:t>0</w:t>
            </w:r>
          </w:p>
        </w:tc>
      </w:tr>
      <w:tr w:rsidR="00727D68" w:rsidRPr="009D5F43" w:rsidTr="00450460">
        <w:trPr>
          <w:cnfStyle w:val="000000100000"/>
        </w:trPr>
        <w:tc>
          <w:tcPr>
            <w:cnfStyle w:val="001000000000"/>
            <w:tcW w:w="2876" w:type="dxa"/>
            <w:tcBorders>
              <w:top w:val="none" w:sz="0" w:space="0" w:color="auto"/>
              <w:bottom w:val="none" w:sz="0" w:space="0" w:color="auto"/>
              <w:right w:val="none" w:sz="0" w:space="0" w:color="auto"/>
            </w:tcBorders>
          </w:tcPr>
          <w:p w:rsidR="00727D68" w:rsidRPr="009D5F43" w:rsidRDefault="00727D68" w:rsidP="00727D68">
            <w:pPr>
              <w:pStyle w:val="BodyTextIndent"/>
              <w:ind w:left="0"/>
              <w:jc w:val="center"/>
              <w:rPr>
                <w:color w:val="auto"/>
                <w:sz w:val="20"/>
                <w:szCs w:val="20"/>
              </w:rPr>
            </w:pPr>
            <w:r w:rsidRPr="009D5F43">
              <w:rPr>
                <w:color w:val="auto"/>
                <w:sz w:val="20"/>
                <w:szCs w:val="20"/>
              </w:rPr>
              <w:t xml:space="preserve">1,455 </w:t>
            </w:r>
            <w:r w:rsidR="00E25667">
              <w:rPr>
                <w:color w:val="auto"/>
                <w:sz w:val="20"/>
                <w:szCs w:val="20"/>
              </w:rPr>
              <w:t>*</w:t>
            </w:r>
          </w:p>
        </w:tc>
        <w:tc>
          <w:tcPr>
            <w:cnfStyle w:val="000010000000"/>
            <w:tcW w:w="2826" w:type="dxa"/>
            <w:tcBorders>
              <w:top w:val="none" w:sz="0" w:space="0" w:color="auto"/>
              <w:left w:val="none" w:sz="0" w:space="0" w:color="auto"/>
              <w:bottom w:val="none" w:sz="0" w:space="0" w:color="auto"/>
              <w:right w:val="none" w:sz="0" w:space="0" w:color="auto"/>
            </w:tcBorders>
          </w:tcPr>
          <w:p w:rsidR="00727D68" w:rsidRPr="009D5F43" w:rsidRDefault="00727D68" w:rsidP="00CE6D72">
            <w:pPr>
              <w:pStyle w:val="BodyTextIndent"/>
              <w:ind w:left="0"/>
              <w:rPr>
                <w:color w:val="auto"/>
                <w:sz w:val="20"/>
                <w:szCs w:val="20"/>
              </w:rPr>
            </w:pPr>
            <w:r w:rsidRPr="009D5F43">
              <w:rPr>
                <w:color w:val="auto"/>
                <w:sz w:val="20"/>
                <w:szCs w:val="20"/>
              </w:rPr>
              <w:t>Torbay Economic Development Company</w:t>
            </w:r>
          </w:p>
        </w:tc>
        <w:tc>
          <w:tcPr>
            <w:cnfStyle w:val="000100000000"/>
            <w:tcW w:w="2552" w:type="dxa"/>
            <w:tcBorders>
              <w:top w:val="none" w:sz="0" w:space="0" w:color="auto"/>
              <w:left w:val="none" w:sz="0" w:space="0" w:color="auto"/>
              <w:bottom w:val="none" w:sz="0" w:space="0" w:color="auto"/>
            </w:tcBorders>
          </w:tcPr>
          <w:p w:rsidR="00727D68" w:rsidRPr="00542A1E" w:rsidRDefault="00E25667" w:rsidP="00397CBB">
            <w:pPr>
              <w:pStyle w:val="BodyTextIndent"/>
              <w:ind w:left="0"/>
              <w:jc w:val="center"/>
              <w:rPr>
                <w:color w:val="auto"/>
                <w:sz w:val="20"/>
                <w:szCs w:val="20"/>
              </w:rPr>
            </w:pPr>
            <w:r w:rsidRPr="00542A1E">
              <w:rPr>
                <w:color w:val="auto"/>
                <w:sz w:val="20"/>
                <w:szCs w:val="20"/>
              </w:rPr>
              <w:t>97</w:t>
            </w:r>
            <w:r w:rsidR="00542A1E" w:rsidRPr="00542A1E">
              <w:rPr>
                <w:color w:val="auto"/>
                <w:sz w:val="20"/>
                <w:szCs w:val="20"/>
              </w:rPr>
              <w:t>8</w:t>
            </w:r>
          </w:p>
        </w:tc>
      </w:tr>
      <w:tr w:rsidR="003A7458" w:rsidRPr="009D5F43" w:rsidTr="00450460">
        <w:tc>
          <w:tcPr>
            <w:cnfStyle w:val="001000000000"/>
            <w:tcW w:w="2876" w:type="dxa"/>
          </w:tcPr>
          <w:p w:rsidR="003A7458" w:rsidRPr="009D5F43" w:rsidRDefault="003A7458" w:rsidP="00727D68">
            <w:pPr>
              <w:pStyle w:val="BodyTextIndent"/>
              <w:ind w:left="0"/>
              <w:jc w:val="center"/>
              <w:rPr>
                <w:color w:val="auto"/>
                <w:sz w:val="20"/>
                <w:szCs w:val="20"/>
              </w:rPr>
            </w:pPr>
            <w:r>
              <w:rPr>
                <w:color w:val="auto"/>
                <w:sz w:val="20"/>
                <w:szCs w:val="20"/>
              </w:rPr>
              <w:t>-</w:t>
            </w:r>
          </w:p>
        </w:tc>
        <w:tc>
          <w:tcPr>
            <w:cnfStyle w:val="000010000000"/>
            <w:tcW w:w="2826" w:type="dxa"/>
          </w:tcPr>
          <w:p w:rsidR="003A7458" w:rsidRPr="009D5F43" w:rsidRDefault="003A7458" w:rsidP="00CE6D72">
            <w:pPr>
              <w:pStyle w:val="BodyTextIndent"/>
              <w:ind w:left="0"/>
              <w:rPr>
                <w:color w:val="auto"/>
                <w:sz w:val="20"/>
                <w:szCs w:val="20"/>
              </w:rPr>
            </w:pPr>
            <w:r>
              <w:rPr>
                <w:color w:val="auto"/>
                <w:sz w:val="20"/>
                <w:szCs w:val="20"/>
              </w:rPr>
              <w:t>Torbay Coast &amp; Countryside Trust</w:t>
            </w:r>
          </w:p>
        </w:tc>
        <w:tc>
          <w:tcPr>
            <w:cnfStyle w:val="000100000000"/>
            <w:tcW w:w="2552" w:type="dxa"/>
          </w:tcPr>
          <w:p w:rsidR="003A7458" w:rsidRPr="00542A1E" w:rsidRDefault="003A7458" w:rsidP="00BC33C2">
            <w:pPr>
              <w:pStyle w:val="BodyTextIndent"/>
              <w:ind w:left="0"/>
              <w:jc w:val="center"/>
              <w:rPr>
                <w:color w:val="auto"/>
                <w:sz w:val="20"/>
                <w:szCs w:val="20"/>
              </w:rPr>
            </w:pPr>
            <w:r w:rsidRPr="00542A1E">
              <w:rPr>
                <w:color w:val="auto"/>
                <w:sz w:val="20"/>
                <w:szCs w:val="20"/>
              </w:rPr>
              <w:t>900</w:t>
            </w:r>
          </w:p>
        </w:tc>
      </w:tr>
      <w:tr w:rsidR="00727D68" w:rsidRPr="009D5F43" w:rsidTr="00450460">
        <w:trPr>
          <w:cnfStyle w:val="000000100000"/>
        </w:trPr>
        <w:tc>
          <w:tcPr>
            <w:cnfStyle w:val="001000000000"/>
            <w:tcW w:w="2876" w:type="dxa"/>
            <w:tcBorders>
              <w:right w:val="none" w:sz="0" w:space="0" w:color="auto"/>
            </w:tcBorders>
          </w:tcPr>
          <w:p w:rsidR="00727D68" w:rsidRPr="009D5F43" w:rsidRDefault="00727D68" w:rsidP="00727D68">
            <w:pPr>
              <w:pStyle w:val="BodyTextIndent"/>
              <w:ind w:left="0"/>
              <w:jc w:val="center"/>
              <w:rPr>
                <w:color w:val="auto"/>
                <w:sz w:val="20"/>
                <w:szCs w:val="20"/>
              </w:rPr>
            </w:pPr>
            <w:r w:rsidRPr="009D5F43">
              <w:rPr>
                <w:color w:val="auto"/>
                <w:sz w:val="20"/>
                <w:szCs w:val="20"/>
              </w:rPr>
              <w:t>213</w:t>
            </w:r>
          </w:p>
          <w:p w:rsidR="00727D68" w:rsidRPr="009D5F43" w:rsidRDefault="00727D68" w:rsidP="00727D68">
            <w:pPr>
              <w:pStyle w:val="BodyTextIndent"/>
              <w:ind w:left="0"/>
              <w:jc w:val="center"/>
              <w:rPr>
                <w:color w:val="auto"/>
                <w:sz w:val="20"/>
                <w:szCs w:val="20"/>
              </w:rPr>
            </w:pPr>
          </w:p>
        </w:tc>
        <w:tc>
          <w:tcPr>
            <w:cnfStyle w:val="000010000000"/>
            <w:tcW w:w="2826" w:type="dxa"/>
            <w:tcBorders>
              <w:left w:val="none" w:sz="0" w:space="0" w:color="auto"/>
              <w:right w:val="none" w:sz="0" w:space="0" w:color="auto"/>
            </w:tcBorders>
          </w:tcPr>
          <w:p w:rsidR="00727D68" w:rsidRPr="009D5F43" w:rsidRDefault="00727D68" w:rsidP="00CE6D72">
            <w:pPr>
              <w:pStyle w:val="BodyTextIndent"/>
              <w:ind w:left="0"/>
              <w:rPr>
                <w:color w:val="auto"/>
                <w:sz w:val="20"/>
                <w:szCs w:val="20"/>
              </w:rPr>
            </w:pPr>
            <w:r w:rsidRPr="009D5F43">
              <w:rPr>
                <w:color w:val="auto"/>
                <w:sz w:val="20"/>
                <w:szCs w:val="20"/>
              </w:rPr>
              <w:t>Academy Schools</w:t>
            </w:r>
          </w:p>
        </w:tc>
        <w:tc>
          <w:tcPr>
            <w:cnfStyle w:val="000100000000"/>
            <w:tcW w:w="2552" w:type="dxa"/>
            <w:tcBorders>
              <w:left w:val="none" w:sz="0" w:space="0" w:color="auto"/>
            </w:tcBorders>
          </w:tcPr>
          <w:p w:rsidR="00727D68" w:rsidRPr="00542A1E" w:rsidRDefault="00542A1E" w:rsidP="00BC33C2">
            <w:pPr>
              <w:pStyle w:val="BodyTextIndent"/>
              <w:ind w:left="0"/>
              <w:jc w:val="center"/>
              <w:rPr>
                <w:color w:val="auto"/>
                <w:sz w:val="20"/>
                <w:szCs w:val="20"/>
              </w:rPr>
            </w:pPr>
            <w:r w:rsidRPr="00542A1E">
              <w:rPr>
                <w:color w:val="auto"/>
                <w:sz w:val="20"/>
                <w:szCs w:val="20"/>
              </w:rPr>
              <w:t>130</w:t>
            </w:r>
          </w:p>
        </w:tc>
      </w:tr>
      <w:tr w:rsidR="00727D68" w:rsidRPr="009D5F43" w:rsidTr="00450460">
        <w:tc>
          <w:tcPr>
            <w:cnfStyle w:val="001000000000"/>
            <w:tcW w:w="2876" w:type="dxa"/>
            <w:tcBorders>
              <w:right w:val="none" w:sz="0" w:space="0" w:color="auto"/>
            </w:tcBorders>
          </w:tcPr>
          <w:p w:rsidR="00727D68" w:rsidRPr="009D5F43" w:rsidRDefault="00727D68" w:rsidP="00727D68">
            <w:pPr>
              <w:pStyle w:val="BodyTextIndent"/>
              <w:ind w:left="0"/>
              <w:jc w:val="center"/>
              <w:rPr>
                <w:color w:val="auto"/>
                <w:sz w:val="20"/>
                <w:szCs w:val="20"/>
              </w:rPr>
            </w:pPr>
            <w:r w:rsidRPr="009D5F43">
              <w:rPr>
                <w:color w:val="auto"/>
                <w:sz w:val="20"/>
                <w:szCs w:val="20"/>
              </w:rPr>
              <w:t>13</w:t>
            </w:r>
          </w:p>
        </w:tc>
        <w:tc>
          <w:tcPr>
            <w:cnfStyle w:val="000010000000"/>
            <w:tcW w:w="2826" w:type="dxa"/>
            <w:tcBorders>
              <w:left w:val="none" w:sz="0" w:space="0" w:color="auto"/>
              <w:right w:val="none" w:sz="0" w:space="0" w:color="auto"/>
            </w:tcBorders>
          </w:tcPr>
          <w:p w:rsidR="00727D68" w:rsidRPr="009D5F43" w:rsidRDefault="00727D68" w:rsidP="00CE6D72">
            <w:pPr>
              <w:pStyle w:val="BodyTextIndent"/>
              <w:ind w:left="0"/>
              <w:rPr>
                <w:color w:val="auto"/>
                <w:sz w:val="20"/>
                <w:szCs w:val="20"/>
              </w:rPr>
            </w:pPr>
            <w:r w:rsidRPr="009D5F43">
              <w:rPr>
                <w:color w:val="auto"/>
                <w:sz w:val="20"/>
                <w:szCs w:val="20"/>
              </w:rPr>
              <w:t>Babbacombe Cliff Railway</w:t>
            </w:r>
          </w:p>
        </w:tc>
        <w:tc>
          <w:tcPr>
            <w:cnfStyle w:val="000100000000"/>
            <w:tcW w:w="2552" w:type="dxa"/>
            <w:tcBorders>
              <w:left w:val="none" w:sz="0" w:space="0" w:color="auto"/>
            </w:tcBorders>
          </w:tcPr>
          <w:p w:rsidR="00727D68" w:rsidRPr="00542A1E" w:rsidRDefault="00542A1E" w:rsidP="00397CBB">
            <w:pPr>
              <w:pStyle w:val="BodyTextIndent"/>
              <w:ind w:left="0"/>
              <w:jc w:val="center"/>
              <w:rPr>
                <w:color w:val="auto"/>
                <w:sz w:val="20"/>
                <w:szCs w:val="20"/>
              </w:rPr>
            </w:pPr>
            <w:r w:rsidRPr="00542A1E">
              <w:rPr>
                <w:color w:val="auto"/>
                <w:sz w:val="20"/>
                <w:szCs w:val="20"/>
              </w:rPr>
              <w:t>10</w:t>
            </w:r>
          </w:p>
        </w:tc>
      </w:tr>
      <w:tr w:rsidR="00727D68" w:rsidRPr="009D5F43" w:rsidTr="00450460">
        <w:trPr>
          <w:cnfStyle w:val="000000100000"/>
        </w:trPr>
        <w:tc>
          <w:tcPr>
            <w:cnfStyle w:val="001000000000"/>
            <w:tcW w:w="2876" w:type="dxa"/>
            <w:tcBorders>
              <w:right w:val="none" w:sz="0" w:space="0" w:color="auto"/>
            </w:tcBorders>
          </w:tcPr>
          <w:p w:rsidR="00727D68" w:rsidRPr="009D5F43" w:rsidRDefault="00727D68" w:rsidP="00727D68">
            <w:pPr>
              <w:pStyle w:val="BodyTextIndent"/>
              <w:ind w:left="0"/>
              <w:jc w:val="center"/>
              <w:rPr>
                <w:color w:val="auto"/>
                <w:sz w:val="20"/>
                <w:szCs w:val="20"/>
              </w:rPr>
            </w:pPr>
            <w:r w:rsidRPr="009D5F43">
              <w:rPr>
                <w:color w:val="auto"/>
                <w:sz w:val="20"/>
                <w:szCs w:val="20"/>
              </w:rPr>
              <w:t>2</w:t>
            </w:r>
          </w:p>
        </w:tc>
        <w:tc>
          <w:tcPr>
            <w:cnfStyle w:val="000010000000"/>
            <w:tcW w:w="2826" w:type="dxa"/>
            <w:tcBorders>
              <w:left w:val="none" w:sz="0" w:space="0" w:color="auto"/>
              <w:right w:val="none" w:sz="0" w:space="0" w:color="auto"/>
            </w:tcBorders>
          </w:tcPr>
          <w:p w:rsidR="00727D68" w:rsidRPr="009D5F43" w:rsidRDefault="00727D68" w:rsidP="00CE6D72">
            <w:pPr>
              <w:pStyle w:val="BodyTextIndent"/>
              <w:ind w:left="0"/>
              <w:rPr>
                <w:color w:val="auto"/>
                <w:sz w:val="20"/>
                <w:szCs w:val="20"/>
              </w:rPr>
            </w:pPr>
            <w:r w:rsidRPr="009D5F43">
              <w:rPr>
                <w:color w:val="auto"/>
                <w:sz w:val="20"/>
                <w:szCs w:val="20"/>
              </w:rPr>
              <w:t>Housing Loans</w:t>
            </w:r>
          </w:p>
        </w:tc>
        <w:tc>
          <w:tcPr>
            <w:cnfStyle w:val="000100000000"/>
            <w:tcW w:w="2552" w:type="dxa"/>
            <w:tcBorders>
              <w:left w:val="none" w:sz="0" w:space="0" w:color="auto"/>
            </w:tcBorders>
          </w:tcPr>
          <w:p w:rsidR="00727D68" w:rsidRPr="00542A1E" w:rsidRDefault="00542A1E" w:rsidP="00397CBB">
            <w:pPr>
              <w:pStyle w:val="BodyTextIndent"/>
              <w:ind w:left="0"/>
              <w:jc w:val="center"/>
              <w:rPr>
                <w:color w:val="auto"/>
                <w:sz w:val="20"/>
                <w:szCs w:val="20"/>
              </w:rPr>
            </w:pPr>
            <w:r w:rsidRPr="00542A1E">
              <w:rPr>
                <w:color w:val="auto"/>
                <w:sz w:val="20"/>
                <w:szCs w:val="20"/>
              </w:rPr>
              <w:t>1</w:t>
            </w:r>
          </w:p>
        </w:tc>
      </w:tr>
      <w:tr w:rsidR="00727D68" w:rsidRPr="009D5F43" w:rsidTr="00450460">
        <w:trPr>
          <w:cnfStyle w:val="010000000000"/>
        </w:trPr>
        <w:tc>
          <w:tcPr>
            <w:cnfStyle w:val="001000000001"/>
            <w:tcW w:w="2876" w:type="dxa"/>
            <w:tcBorders>
              <w:top w:val="none" w:sz="0" w:space="0" w:color="auto"/>
              <w:right w:val="none" w:sz="0" w:space="0" w:color="auto"/>
            </w:tcBorders>
          </w:tcPr>
          <w:p w:rsidR="00727D68" w:rsidRPr="009D5F43" w:rsidRDefault="00727D68" w:rsidP="00727D68">
            <w:pPr>
              <w:pStyle w:val="BodyTextIndent"/>
              <w:ind w:left="0"/>
              <w:jc w:val="center"/>
              <w:rPr>
                <w:color w:val="auto"/>
                <w:sz w:val="20"/>
                <w:szCs w:val="20"/>
              </w:rPr>
            </w:pPr>
            <w:r w:rsidRPr="009D5F43">
              <w:rPr>
                <w:color w:val="auto"/>
                <w:sz w:val="20"/>
                <w:szCs w:val="20"/>
              </w:rPr>
              <w:t>35</w:t>
            </w:r>
          </w:p>
        </w:tc>
        <w:tc>
          <w:tcPr>
            <w:cnfStyle w:val="000010000000"/>
            <w:tcW w:w="2826" w:type="dxa"/>
            <w:tcBorders>
              <w:top w:val="none" w:sz="0" w:space="0" w:color="auto"/>
              <w:left w:val="none" w:sz="0" w:space="0" w:color="auto"/>
              <w:right w:val="none" w:sz="0" w:space="0" w:color="auto"/>
            </w:tcBorders>
          </w:tcPr>
          <w:p w:rsidR="00727D68" w:rsidRPr="009D5F43" w:rsidRDefault="00727D68" w:rsidP="00CE6D72">
            <w:pPr>
              <w:pStyle w:val="BodyTextIndent"/>
              <w:ind w:left="0"/>
              <w:rPr>
                <w:b w:val="0"/>
                <w:color w:val="auto"/>
                <w:sz w:val="20"/>
                <w:szCs w:val="20"/>
              </w:rPr>
            </w:pPr>
            <w:r w:rsidRPr="009D5F43">
              <w:rPr>
                <w:b w:val="0"/>
                <w:color w:val="auto"/>
                <w:sz w:val="20"/>
                <w:szCs w:val="20"/>
              </w:rPr>
              <w:t>Sports Clubs</w:t>
            </w:r>
          </w:p>
        </w:tc>
        <w:tc>
          <w:tcPr>
            <w:cnfStyle w:val="000100000010"/>
            <w:tcW w:w="2552" w:type="dxa"/>
            <w:tcBorders>
              <w:top w:val="none" w:sz="0" w:space="0" w:color="auto"/>
              <w:left w:val="none" w:sz="0" w:space="0" w:color="auto"/>
            </w:tcBorders>
          </w:tcPr>
          <w:p w:rsidR="00727D68" w:rsidRPr="00542A1E" w:rsidRDefault="00542A1E" w:rsidP="00397CBB">
            <w:pPr>
              <w:pStyle w:val="BodyTextIndent"/>
              <w:ind w:left="0"/>
              <w:jc w:val="center"/>
              <w:rPr>
                <w:color w:val="auto"/>
                <w:sz w:val="20"/>
                <w:szCs w:val="20"/>
              </w:rPr>
            </w:pPr>
            <w:r w:rsidRPr="00542A1E">
              <w:rPr>
                <w:color w:val="auto"/>
                <w:sz w:val="20"/>
                <w:szCs w:val="20"/>
              </w:rPr>
              <w:t>33</w:t>
            </w:r>
          </w:p>
        </w:tc>
      </w:tr>
    </w:tbl>
    <w:p w:rsidR="00E51139" w:rsidRPr="009D5F43" w:rsidRDefault="00E51139" w:rsidP="00D833ED">
      <w:pPr>
        <w:pStyle w:val="ExampleSub"/>
        <w:keepNext w:val="0"/>
        <w:keepLines w:val="0"/>
        <w:ind w:hanging="567"/>
        <w:outlineLvl w:val="0"/>
        <w:rPr>
          <w:rFonts w:ascii="Arial" w:hAnsi="Arial" w:cs="Arial"/>
          <w:b w:val="0"/>
          <w:bCs w:val="0"/>
          <w:color w:val="auto"/>
          <w:sz w:val="20"/>
          <w:szCs w:val="20"/>
        </w:rPr>
      </w:pPr>
      <w:r w:rsidRPr="009D5F43">
        <w:rPr>
          <w:rFonts w:ascii="Arial" w:hAnsi="Arial" w:cs="Arial"/>
          <w:bCs w:val="0"/>
          <w:color w:val="auto"/>
          <w:sz w:val="20"/>
          <w:szCs w:val="20"/>
        </w:rPr>
        <w:tab/>
      </w:r>
      <w:r w:rsidRPr="009D5F43">
        <w:rPr>
          <w:rFonts w:ascii="Arial" w:hAnsi="Arial" w:cs="Arial"/>
          <w:bCs w:val="0"/>
          <w:color w:val="auto"/>
          <w:sz w:val="20"/>
          <w:szCs w:val="20"/>
        </w:rPr>
        <w:tab/>
      </w:r>
      <w:r w:rsidRPr="009D5F43">
        <w:rPr>
          <w:rFonts w:ascii="Arial" w:hAnsi="Arial" w:cs="Arial"/>
          <w:bCs w:val="0"/>
          <w:color w:val="auto"/>
          <w:sz w:val="20"/>
          <w:szCs w:val="20"/>
        </w:rPr>
        <w:tab/>
      </w:r>
      <w:r w:rsidRPr="009D5F43">
        <w:rPr>
          <w:rFonts w:ascii="Arial" w:hAnsi="Arial" w:cs="Arial"/>
          <w:b w:val="0"/>
          <w:bCs w:val="0"/>
          <w:color w:val="auto"/>
          <w:sz w:val="20"/>
          <w:szCs w:val="20"/>
        </w:rPr>
        <w:t>Note</w:t>
      </w:r>
      <w:r w:rsidRPr="009D5F43">
        <w:rPr>
          <w:rFonts w:ascii="Arial" w:hAnsi="Arial" w:cs="Arial"/>
          <w:bCs w:val="0"/>
          <w:color w:val="auto"/>
          <w:sz w:val="20"/>
          <w:szCs w:val="20"/>
        </w:rPr>
        <w:t xml:space="preserve"> </w:t>
      </w:r>
      <w:r w:rsidRPr="009D5F43">
        <w:rPr>
          <w:rFonts w:ascii="Arial" w:hAnsi="Arial" w:cs="Arial"/>
          <w:b w:val="0"/>
          <w:bCs w:val="0"/>
          <w:color w:val="auto"/>
          <w:sz w:val="20"/>
          <w:szCs w:val="20"/>
        </w:rPr>
        <w:t xml:space="preserve">* loan facility not </w:t>
      </w:r>
      <w:r w:rsidR="00E25667">
        <w:rPr>
          <w:rFonts w:ascii="Arial" w:hAnsi="Arial" w:cs="Arial"/>
          <w:b w:val="0"/>
          <w:bCs w:val="0"/>
          <w:color w:val="auto"/>
          <w:sz w:val="20"/>
          <w:szCs w:val="20"/>
        </w:rPr>
        <w:t xml:space="preserve">used/fully </w:t>
      </w:r>
      <w:r w:rsidRPr="009D5F43">
        <w:rPr>
          <w:rFonts w:ascii="Arial" w:hAnsi="Arial" w:cs="Arial"/>
          <w:b w:val="0"/>
          <w:bCs w:val="0"/>
          <w:color w:val="auto"/>
          <w:sz w:val="20"/>
          <w:szCs w:val="20"/>
        </w:rPr>
        <w:t>used as at 31</w:t>
      </w:r>
      <w:r w:rsidRPr="009D5F43">
        <w:rPr>
          <w:rFonts w:ascii="Arial" w:hAnsi="Arial" w:cs="Arial"/>
          <w:b w:val="0"/>
          <w:bCs w:val="0"/>
          <w:color w:val="auto"/>
          <w:sz w:val="20"/>
          <w:szCs w:val="20"/>
          <w:vertAlign w:val="superscript"/>
        </w:rPr>
        <w:t>st</w:t>
      </w:r>
      <w:r w:rsidRPr="009D5F43">
        <w:rPr>
          <w:rFonts w:ascii="Arial" w:hAnsi="Arial" w:cs="Arial"/>
          <w:b w:val="0"/>
          <w:bCs w:val="0"/>
          <w:color w:val="auto"/>
          <w:sz w:val="20"/>
          <w:szCs w:val="20"/>
        </w:rPr>
        <w:t xml:space="preserve"> March 201</w:t>
      </w:r>
      <w:r w:rsidR="00E25667">
        <w:rPr>
          <w:rFonts w:ascii="Arial" w:hAnsi="Arial" w:cs="Arial"/>
          <w:b w:val="0"/>
          <w:bCs w:val="0"/>
          <w:color w:val="auto"/>
          <w:sz w:val="20"/>
          <w:szCs w:val="20"/>
        </w:rPr>
        <w:t>6</w:t>
      </w:r>
    </w:p>
    <w:p w:rsidR="00E51139" w:rsidRPr="009C734F" w:rsidRDefault="00E51139" w:rsidP="00D833ED">
      <w:pPr>
        <w:pStyle w:val="ExampleSub"/>
        <w:keepNext w:val="0"/>
        <w:keepLines w:val="0"/>
        <w:ind w:hanging="567"/>
        <w:outlineLvl w:val="0"/>
        <w:rPr>
          <w:rFonts w:ascii="Arial" w:hAnsi="Arial" w:cs="Arial"/>
          <w:bCs w:val="0"/>
          <w:color w:val="auto"/>
          <w:sz w:val="20"/>
          <w:szCs w:val="20"/>
        </w:rPr>
      </w:pPr>
      <w:r w:rsidRPr="00D42E0B">
        <w:rPr>
          <w:rFonts w:ascii="Arial" w:hAnsi="Arial" w:cs="Arial"/>
          <w:b w:val="0"/>
          <w:bCs w:val="0"/>
          <w:color w:val="548DD4" w:themeColor="text2" w:themeTint="99"/>
          <w:sz w:val="20"/>
          <w:szCs w:val="20"/>
        </w:rPr>
        <w:tab/>
      </w:r>
      <w:r w:rsidRPr="009C734F">
        <w:rPr>
          <w:rFonts w:ascii="Arial" w:hAnsi="Arial" w:cs="Arial"/>
          <w:bCs w:val="0"/>
          <w:color w:val="auto"/>
          <w:sz w:val="20"/>
          <w:szCs w:val="20"/>
        </w:rPr>
        <w:t>Remote Liabilities</w:t>
      </w:r>
      <w:r w:rsidRPr="009C734F">
        <w:rPr>
          <w:rFonts w:ascii="Arial" w:hAnsi="Arial" w:cs="Arial"/>
          <w:bCs w:val="0"/>
          <w:color w:val="auto"/>
          <w:sz w:val="20"/>
          <w:szCs w:val="20"/>
        </w:rPr>
        <w:tab/>
      </w:r>
    </w:p>
    <w:p w:rsidR="00E51139" w:rsidRPr="009C734F" w:rsidRDefault="00E51139" w:rsidP="001D037F">
      <w:pPr>
        <w:pStyle w:val="ExampleSub"/>
        <w:keepNext w:val="0"/>
        <w:keepLines w:val="0"/>
        <w:spacing w:before="120" w:line="240" w:lineRule="atLeast"/>
        <w:ind w:hanging="567"/>
        <w:outlineLvl w:val="0"/>
        <w:rPr>
          <w:rFonts w:ascii="Arial" w:hAnsi="Arial" w:cs="Arial"/>
          <w:b w:val="0"/>
          <w:bCs w:val="0"/>
          <w:color w:val="auto"/>
          <w:sz w:val="20"/>
          <w:szCs w:val="20"/>
          <w:lang w:eastAsia="en-US"/>
        </w:rPr>
      </w:pPr>
      <w:r w:rsidRPr="009C734F">
        <w:rPr>
          <w:rFonts w:ascii="Arial" w:hAnsi="Arial" w:cs="Arial"/>
          <w:b w:val="0"/>
          <w:bCs w:val="0"/>
          <w:color w:val="auto"/>
          <w:sz w:val="20"/>
          <w:szCs w:val="20"/>
        </w:rPr>
        <w:tab/>
      </w:r>
      <w:r w:rsidRPr="009C734F">
        <w:rPr>
          <w:rFonts w:ascii="Arial" w:hAnsi="Arial" w:cs="Arial"/>
          <w:b w:val="0"/>
          <w:bCs w:val="0"/>
          <w:color w:val="auto"/>
          <w:sz w:val="20"/>
          <w:szCs w:val="20"/>
          <w:lang w:eastAsia="en-US"/>
        </w:rPr>
        <w:t xml:space="preserve">The Council is aware of a number of areas where claims have been made against the Council which could result in a financial payment. However the Council considers that any payment is unlikely and therefore has not recognised these claims as a liability. </w:t>
      </w:r>
    </w:p>
    <w:p w:rsidR="00E51139" w:rsidRPr="009C734F" w:rsidRDefault="00E51139" w:rsidP="001D037F">
      <w:pPr>
        <w:pStyle w:val="ExampleSub"/>
        <w:keepNext w:val="0"/>
        <w:keepLines w:val="0"/>
        <w:spacing w:before="120" w:line="240" w:lineRule="atLeast"/>
        <w:ind w:hanging="567"/>
        <w:outlineLvl w:val="0"/>
        <w:rPr>
          <w:rFonts w:ascii="Arial" w:hAnsi="Arial" w:cs="Arial"/>
          <w:b w:val="0"/>
          <w:bCs w:val="0"/>
          <w:color w:val="auto"/>
          <w:sz w:val="20"/>
          <w:szCs w:val="20"/>
          <w:lang w:eastAsia="en-US"/>
        </w:rPr>
      </w:pPr>
      <w:r w:rsidRPr="009C734F">
        <w:rPr>
          <w:rFonts w:ascii="Arial" w:hAnsi="Arial" w:cs="Arial"/>
          <w:b w:val="0"/>
          <w:bCs w:val="0"/>
          <w:color w:val="auto"/>
          <w:sz w:val="20"/>
          <w:szCs w:val="20"/>
          <w:lang w:eastAsia="en-US"/>
        </w:rPr>
        <w:tab/>
        <w:t xml:space="preserve">The board of Municipal Mutual Insurance limited in 2012/13 concluded that it couldn’t forecast a solvent “run off” of claims which has led to the scheme of arrangement being activated which exposes the Council to a share of the costs of any outstanding </w:t>
      </w:r>
      <w:r w:rsidR="0049159B" w:rsidRPr="009C734F">
        <w:rPr>
          <w:rFonts w:ascii="Arial" w:hAnsi="Arial" w:cs="Arial"/>
          <w:b w:val="0"/>
          <w:bCs w:val="0"/>
          <w:color w:val="auto"/>
          <w:sz w:val="20"/>
          <w:szCs w:val="20"/>
          <w:lang w:eastAsia="en-US"/>
        </w:rPr>
        <w:t xml:space="preserve">insurance </w:t>
      </w:r>
      <w:r w:rsidRPr="009C734F">
        <w:rPr>
          <w:rFonts w:ascii="Arial" w:hAnsi="Arial" w:cs="Arial"/>
          <w:b w:val="0"/>
          <w:bCs w:val="0"/>
          <w:color w:val="auto"/>
          <w:sz w:val="20"/>
          <w:szCs w:val="20"/>
          <w:lang w:eastAsia="en-US"/>
        </w:rPr>
        <w:t xml:space="preserve">claims. The company’s administrator </w:t>
      </w:r>
      <w:r w:rsidR="0049159B" w:rsidRPr="009C734F">
        <w:rPr>
          <w:rFonts w:ascii="Arial" w:hAnsi="Arial" w:cs="Arial"/>
          <w:b w:val="0"/>
          <w:bCs w:val="0"/>
          <w:color w:val="auto"/>
          <w:sz w:val="20"/>
          <w:szCs w:val="20"/>
          <w:lang w:eastAsia="en-US"/>
        </w:rPr>
        <w:t xml:space="preserve">set an initial </w:t>
      </w:r>
      <w:r w:rsidRPr="009C734F">
        <w:rPr>
          <w:rFonts w:ascii="Arial" w:hAnsi="Arial" w:cs="Arial"/>
          <w:b w:val="0"/>
          <w:bCs w:val="0"/>
          <w:color w:val="auto"/>
          <w:sz w:val="20"/>
          <w:szCs w:val="20"/>
          <w:lang w:eastAsia="en-US"/>
        </w:rPr>
        <w:t xml:space="preserve">levy for all Councils to be 15% of each Council’s claims, which </w:t>
      </w:r>
      <w:r w:rsidR="0049159B" w:rsidRPr="009C734F">
        <w:rPr>
          <w:rFonts w:ascii="Arial" w:hAnsi="Arial" w:cs="Arial"/>
          <w:b w:val="0"/>
          <w:bCs w:val="0"/>
          <w:color w:val="auto"/>
          <w:sz w:val="20"/>
          <w:szCs w:val="20"/>
          <w:lang w:eastAsia="en-US"/>
        </w:rPr>
        <w:t>was collected in 2013/14.</w:t>
      </w:r>
      <w:r w:rsidRPr="009C734F">
        <w:rPr>
          <w:rFonts w:ascii="Arial" w:hAnsi="Arial" w:cs="Arial"/>
          <w:b w:val="0"/>
          <w:bCs w:val="0"/>
          <w:color w:val="auto"/>
          <w:sz w:val="20"/>
          <w:szCs w:val="20"/>
          <w:lang w:eastAsia="en-US"/>
        </w:rPr>
        <w:t xml:space="preserve"> </w:t>
      </w:r>
      <w:r w:rsidR="0049159B" w:rsidRPr="009C734F">
        <w:rPr>
          <w:rFonts w:ascii="Arial" w:hAnsi="Arial" w:cs="Arial"/>
          <w:b w:val="0"/>
          <w:bCs w:val="0"/>
          <w:color w:val="auto"/>
          <w:sz w:val="20"/>
          <w:szCs w:val="20"/>
          <w:lang w:eastAsia="en-US"/>
        </w:rPr>
        <w:t xml:space="preserve">This </w:t>
      </w:r>
      <w:r w:rsidRPr="009C734F">
        <w:rPr>
          <w:rFonts w:ascii="Arial" w:hAnsi="Arial" w:cs="Arial"/>
          <w:b w:val="0"/>
          <w:bCs w:val="0"/>
          <w:color w:val="auto"/>
          <w:sz w:val="20"/>
          <w:szCs w:val="20"/>
          <w:lang w:eastAsia="en-US"/>
        </w:rPr>
        <w:t xml:space="preserve">levy </w:t>
      </w:r>
      <w:r w:rsidR="009C734F" w:rsidRPr="009C734F">
        <w:rPr>
          <w:rFonts w:ascii="Arial" w:hAnsi="Arial" w:cs="Arial"/>
          <w:b w:val="0"/>
          <w:bCs w:val="0"/>
          <w:color w:val="auto"/>
          <w:sz w:val="20"/>
          <w:szCs w:val="20"/>
          <w:lang w:eastAsia="en-US"/>
        </w:rPr>
        <w:t xml:space="preserve">was </w:t>
      </w:r>
      <w:r w:rsidR="007E33E1" w:rsidRPr="009C734F">
        <w:rPr>
          <w:rFonts w:ascii="Arial" w:hAnsi="Arial" w:cs="Arial"/>
          <w:b w:val="0"/>
          <w:bCs w:val="0"/>
          <w:color w:val="auto"/>
          <w:sz w:val="20"/>
          <w:szCs w:val="20"/>
          <w:lang w:eastAsia="en-US"/>
        </w:rPr>
        <w:t>increased</w:t>
      </w:r>
      <w:r w:rsidR="009C734F" w:rsidRPr="009C734F">
        <w:rPr>
          <w:rFonts w:ascii="Arial" w:hAnsi="Arial" w:cs="Arial"/>
          <w:b w:val="0"/>
          <w:bCs w:val="0"/>
          <w:color w:val="auto"/>
          <w:sz w:val="20"/>
          <w:szCs w:val="20"/>
          <w:lang w:eastAsia="en-US"/>
        </w:rPr>
        <w:t xml:space="preserve"> in 2015/16 by an </w:t>
      </w:r>
      <w:r w:rsidR="009C734F" w:rsidRPr="00624D45">
        <w:rPr>
          <w:rFonts w:ascii="Arial" w:hAnsi="Arial" w:cs="Arial"/>
          <w:b w:val="0"/>
          <w:bCs w:val="0"/>
          <w:color w:val="auto"/>
          <w:sz w:val="20"/>
          <w:szCs w:val="20"/>
          <w:lang w:eastAsia="en-US"/>
        </w:rPr>
        <w:t>additional 1</w:t>
      </w:r>
      <w:r w:rsidR="00624D45" w:rsidRPr="00624D45">
        <w:rPr>
          <w:rFonts w:ascii="Arial" w:hAnsi="Arial" w:cs="Arial"/>
          <w:b w:val="0"/>
          <w:bCs w:val="0"/>
          <w:color w:val="auto"/>
          <w:sz w:val="20"/>
          <w:szCs w:val="20"/>
          <w:lang w:eastAsia="en-US"/>
        </w:rPr>
        <w:t>0</w:t>
      </w:r>
      <w:r w:rsidR="009C734F" w:rsidRPr="00624D45">
        <w:rPr>
          <w:rFonts w:ascii="Arial" w:hAnsi="Arial" w:cs="Arial"/>
          <w:b w:val="0"/>
          <w:bCs w:val="0"/>
          <w:color w:val="auto"/>
          <w:sz w:val="20"/>
          <w:szCs w:val="20"/>
          <w:lang w:eastAsia="en-US"/>
        </w:rPr>
        <w:t>%.</w:t>
      </w:r>
      <w:r w:rsidR="009C734F" w:rsidRPr="009C734F">
        <w:rPr>
          <w:rFonts w:ascii="Arial" w:hAnsi="Arial" w:cs="Arial"/>
          <w:b w:val="0"/>
          <w:bCs w:val="0"/>
          <w:color w:val="auto"/>
          <w:sz w:val="20"/>
          <w:szCs w:val="20"/>
          <w:lang w:eastAsia="en-US"/>
        </w:rPr>
        <w:t xml:space="preserve"> This </w:t>
      </w:r>
      <w:r w:rsidRPr="009C734F">
        <w:rPr>
          <w:rFonts w:ascii="Arial" w:hAnsi="Arial" w:cs="Arial"/>
          <w:b w:val="0"/>
          <w:bCs w:val="0"/>
          <w:color w:val="auto"/>
          <w:sz w:val="20"/>
          <w:szCs w:val="20"/>
          <w:lang w:eastAsia="en-US"/>
        </w:rPr>
        <w:t xml:space="preserve">may increase </w:t>
      </w:r>
      <w:r w:rsidR="000E0D94">
        <w:rPr>
          <w:rFonts w:ascii="Arial" w:hAnsi="Arial" w:cs="Arial"/>
          <w:b w:val="0"/>
          <w:bCs w:val="0"/>
          <w:color w:val="auto"/>
          <w:sz w:val="20"/>
          <w:szCs w:val="20"/>
          <w:lang w:eastAsia="en-US"/>
        </w:rPr>
        <w:t xml:space="preserve">again </w:t>
      </w:r>
      <w:r w:rsidRPr="009C734F">
        <w:rPr>
          <w:rFonts w:ascii="Arial" w:hAnsi="Arial" w:cs="Arial"/>
          <w:b w:val="0"/>
          <w:bCs w:val="0"/>
          <w:color w:val="auto"/>
          <w:sz w:val="20"/>
          <w:szCs w:val="20"/>
          <w:lang w:eastAsia="en-US"/>
        </w:rPr>
        <w:t>in the future</w:t>
      </w:r>
      <w:r w:rsidR="0049159B" w:rsidRPr="009C734F">
        <w:rPr>
          <w:rFonts w:ascii="Arial" w:hAnsi="Arial" w:cs="Arial"/>
          <w:b w:val="0"/>
          <w:bCs w:val="0"/>
          <w:color w:val="auto"/>
          <w:sz w:val="20"/>
          <w:szCs w:val="20"/>
          <w:lang w:eastAsia="en-US"/>
        </w:rPr>
        <w:t xml:space="preserve"> but at present the administrator has not indicated that the levy will increase</w:t>
      </w:r>
      <w:r w:rsidRPr="009C734F">
        <w:rPr>
          <w:rFonts w:ascii="Arial" w:hAnsi="Arial" w:cs="Arial"/>
          <w:b w:val="0"/>
          <w:bCs w:val="0"/>
          <w:color w:val="auto"/>
          <w:sz w:val="20"/>
          <w:szCs w:val="20"/>
          <w:lang w:eastAsia="en-US"/>
        </w:rPr>
        <w:t>.</w:t>
      </w:r>
    </w:p>
    <w:p w:rsidR="00AC3EBE" w:rsidRDefault="00E51139" w:rsidP="009C734F">
      <w:pPr>
        <w:pStyle w:val="ExampleSub"/>
        <w:keepNext w:val="0"/>
        <w:keepLines w:val="0"/>
        <w:spacing w:before="120" w:line="240" w:lineRule="atLeast"/>
        <w:ind w:hanging="567"/>
        <w:outlineLvl w:val="0"/>
        <w:rPr>
          <w:rFonts w:ascii="Arial" w:hAnsi="Arial" w:cs="Arial"/>
          <w:b w:val="0"/>
          <w:bCs w:val="0"/>
          <w:color w:val="auto"/>
          <w:sz w:val="20"/>
          <w:szCs w:val="20"/>
          <w:lang w:eastAsia="en-US"/>
        </w:rPr>
      </w:pPr>
      <w:r w:rsidRPr="00D42E0B">
        <w:rPr>
          <w:rFonts w:ascii="Arial" w:hAnsi="Arial" w:cs="Arial"/>
          <w:b w:val="0"/>
          <w:bCs w:val="0"/>
          <w:color w:val="548DD4" w:themeColor="text2" w:themeTint="99"/>
          <w:sz w:val="20"/>
          <w:szCs w:val="20"/>
          <w:lang w:eastAsia="en-US"/>
        </w:rPr>
        <w:tab/>
      </w:r>
      <w:r w:rsidR="00C637CB" w:rsidRPr="0062591E">
        <w:rPr>
          <w:rFonts w:ascii="Arial" w:hAnsi="Arial" w:cs="Arial"/>
          <w:b w:val="0"/>
          <w:bCs w:val="0"/>
          <w:color w:val="auto"/>
          <w:sz w:val="20"/>
          <w:szCs w:val="20"/>
          <w:lang w:eastAsia="en-US"/>
        </w:rPr>
        <w:t>The Care Homes that the Counc</w:t>
      </w:r>
      <w:r w:rsidR="007D778B" w:rsidRPr="0062591E">
        <w:rPr>
          <w:rFonts w:ascii="Arial" w:hAnsi="Arial" w:cs="Arial"/>
          <w:b w:val="0"/>
          <w:bCs w:val="0"/>
          <w:color w:val="auto"/>
          <w:sz w:val="20"/>
          <w:szCs w:val="20"/>
          <w:lang w:eastAsia="en-US"/>
        </w:rPr>
        <w:t>il’s provider has used to provide a service have submitted a judicial review o</w:t>
      </w:r>
      <w:r w:rsidR="000E7CEF" w:rsidRPr="0062591E">
        <w:rPr>
          <w:rFonts w:ascii="Arial" w:hAnsi="Arial" w:cs="Arial"/>
          <w:b w:val="0"/>
          <w:bCs w:val="0"/>
          <w:color w:val="auto"/>
          <w:sz w:val="20"/>
          <w:szCs w:val="20"/>
          <w:lang w:eastAsia="en-US"/>
        </w:rPr>
        <w:t>n</w:t>
      </w:r>
      <w:r w:rsidR="007D778B" w:rsidRPr="0062591E">
        <w:rPr>
          <w:rFonts w:ascii="Arial" w:hAnsi="Arial" w:cs="Arial"/>
          <w:b w:val="0"/>
          <w:bCs w:val="0"/>
          <w:color w:val="auto"/>
          <w:sz w:val="20"/>
          <w:szCs w:val="20"/>
          <w:lang w:eastAsia="en-US"/>
        </w:rPr>
        <w:t xml:space="preserve"> the calculation of care home fees paid by the Council in  2014/15. The in</w:t>
      </w:r>
      <w:r w:rsidR="00817128" w:rsidRPr="0062591E">
        <w:rPr>
          <w:rFonts w:ascii="Arial" w:hAnsi="Arial" w:cs="Arial"/>
          <w:b w:val="0"/>
          <w:bCs w:val="0"/>
          <w:color w:val="auto"/>
          <w:sz w:val="20"/>
          <w:szCs w:val="20"/>
          <w:lang w:eastAsia="en-US"/>
        </w:rPr>
        <w:t>i</w:t>
      </w:r>
      <w:r w:rsidR="007D778B" w:rsidRPr="0062591E">
        <w:rPr>
          <w:rFonts w:ascii="Arial" w:hAnsi="Arial" w:cs="Arial"/>
          <w:b w:val="0"/>
          <w:bCs w:val="0"/>
          <w:color w:val="auto"/>
          <w:sz w:val="20"/>
          <w:szCs w:val="20"/>
          <w:lang w:eastAsia="en-US"/>
        </w:rPr>
        <w:t>tial judgement went against the Co</w:t>
      </w:r>
      <w:r w:rsidR="000E7CEF" w:rsidRPr="0062591E">
        <w:rPr>
          <w:rFonts w:ascii="Arial" w:hAnsi="Arial" w:cs="Arial"/>
          <w:b w:val="0"/>
          <w:bCs w:val="0"/>
          <w:color w:val="auto"/>
          <w:sz w:val="20"/>
          <w:szCs w:val="20"/>
          <w:lang w:eastAsia="en-US"/>
        </w:rPr>
        <w:t>uncil</w:t>
      </w:r>
      <w:r w:rsidR="0062591E" w:rsidRPr="0062591E">
        <w:rPr>
          <w:rFonts w:ascii="Arial" w:hAnsi="Arial" w:cs="Arial"/>
          <w:b w:val="0"/>
          <w:bCs w:val="0"/>
          <w:color w:val="auto"/>
          <w:sz w:val="20"/>
          <w:szCs w:val="20"/>
          <w:lang w:eastAsia="en-US"/>
        </w:rPr>
        <w:t xml:space="preserve"> and on two aspects the Cou</w:t>
      </w:r>
      <w:r w:rsidR="0039535E">
        <w:rPr>
          <w:rFonts w:ascii="Arial" w:hAnsi="Arial" w:cs="Arial"/>
          <w:b w:val="0"/>
          <w:bCs w:val="0"/>
          <w:color w:val="auto"/>
          <w:sz w:val="20"/>
          <w:szCs w:val="20"/>
          <w:lang w:eastAsia="en-US"/>
        </w:rPr>
        <w:t>ncil</w:t>
      </w:r>
      <w:r w:rsidR="0062591E" w:rsidRPr="0062591E">
        <w:rPr>
          <w:rFonts w:ascii="Arial" w:hAnsi="Arial" w:cs="Arial"/>
          <w:b w:val="0"/>
          <w:bCs w:val="0"/>
          <w:color w:val="auto"/>
          <w:sz w:val="20"/>
          <w:szCs w:val="20"/>
          <w:lang w:eastAsia="en-US"/>
        </w:rPr>
        <w:t xml:space="preserve"> has accepted the judgement and made payments of £2.3m in the financial year to reflect that cost</w:t>
      </w:r>
      <w:r w:rsidR="000E7CEF" w:rsidRPr="0062591E">
        <w:rPr>
          <w:rFonts w:ascii="Arial" w:hAnsi="Arial" w:cs="Arial"/>
          <w:b w:val="0"/>
          <w:bCs w:val="0"/>
          <w:color w:val="auto"/>
          <w:sz w:val="20"/>
          <w:szCs w:val="20"/>
          <w:lang w:eastAsia="en-US"/>
        </w:rPr>
        <w:t>,</w:t>
      </w:r>
      <w:r w:rsidR="007D778B" w:rsidRPr="0062591E">
        <w:rPr>
          <w:rFonts w:ascii="Arial" w:hAnsi="Arial" w:cs="Arial"/>
          <w:b w:val="0"/>
          <w:bCs w:val="0"/>
          <w:color w:val="auto"/>
          <w:sz w:val="20"/>
          <w:szCs w:val="20"/>
          <w:lang w:eastAsia="en-US"/>
        </w:rPr>
        <w:t xml:space="preserve"> however the Co</w:t>
      </w:r>
      <w:r w:rsidR="002078A0" w:rsidRPr="0062591E">
        <w:rPr>
          <w:rFonts w:ascii="Arial" w:hAnsi="Arial" w:cs="Arial"/>
          <w:b w:val="0"/>
          <w:bCs w:val="0"/>
          <w:color w:val="auto"/>
          <w:sz w:val="20"/>
          <w:szCs w:val="20"/>
          <w:lang w:eastAsia="en-US"/>
        </w:rPr>
        <w:t>unc</w:t>
      </w:r>
      <w:r w:rsidR="007D778B" w:rsidRPr="0062591E">
        <w:rPr>
          <w:rFonts w:ascii="Arial" w:hAnsi="Arial" w:cs="Arial"/>
          <w:b w:val="0"/>
          <w:bCs w:val="0"/>
          <w:color w:val="auto"/>
          <w:sz w:val="20"/>
          <w:szCs w:val="20"/>
          <w:lang w:eastAsia="en-US"/>
        </w:rPr>
        <w:t>il has been allowed to appeal</w:t>
      </w:r>
      <w:r w:rsidR="0062591E" w:rsidRPr="0062591E">
        <w:rPr>
          <w:rFonts w:ascii="Arial" w:hAnsi="Arial" w:cs="Arial"/>
          <w:b w:val="0"/>
          <w:bCs w:val="0"/>
          <w:color w:val="auto"/>
          <w:sz w:val="20"/>
          <w:szCs w:val="20"/>
          <w:lang w:eastAsia="en-US"/>
        </w:rPr>
        <w:t xml:space="preserve"> one aspect of </w:t>
      </w:r>
      <w:r w:rsidR="007D778B" w:rsidRPr="0062591E">
        <w:rPr>
          <w:rFonts w:ascii="Arial" w:hAnsi="Arial" w:cs="Arial"/>
          <w:b w:val="0"/>
          <w:bCs w:val="0"/>
          <w:color w:val="auto"/>
          <w:sz w:val="20"/>
          <w:szCs w:val="20"/>
          <w:lang w:eastAsia="en-US"/>
        </w:rPr>
        <w:t>the judgment. If the appeal goes against the Co</w:t>
      </w:r>
      <w:r w:rsidR="00155F71" w:rsidRPr="0062591E">
        <w:rPr>
          <w:rFonts w:ascii="Arial" w:hAnsi="Arial" w:cs="Arial"/>
          <w:b w:val="0"/>
          <w:bCs w:val="0"/>
          <w:color w:val="auto"/>
          <w:sz w:val="20"/>
          <w:szCs w:val="20"/>
          <w:lang w:eastAsia="en-US"/>
        </w:rPr>
        <w:t>unci</w:t>
      </w:r>
      <w:r w:rsidR="007D778B" w:rsidRPr="0062591E">
        <w:rPr>
          <w:rFonts w:ascii="Arial" w:hAnsi="Arial" w:cs="Arial"/>
          <w:b w:val="0"/>
          <w:bCs w:val="0"/>
          <w:color w:val="auto"/>
          <w:sz w:val="20"/>
          <w:szCs w:val="20"/>
          <w:lang w:eastAsia="en-US"/>
        </w:rPr>
        <w:t xml:space="preserve">l, the Council will be required to submit a new model for calculation care home fees. </w:t>
      </w:r>
      <w:r w:rsidR="00FB0761" w:rsidRPr="0062591E">
        <w:rPr>
          <w:rFonts w:ascii="Arial" w:hAnsi="Arial" w:cs="Arial"/>
          <w:b w:val="0"/>
          <w:bCs w:val="0"/>
          <w:color w:val="auto"/>
          <w:sz w:val="20"/>
          <w:szCs w:val="20"/>
          <w:lang w:eastAsia="en-US"/>
        </w:rPr>
        <w:t>This</w:t>
      </w:r>
      <w:r w:rsidR="007D778B" w:rsidRPr="0062591E">
        <w:rPr>
          <w:rFonts w:ascii="Arial" w:hAnsi="Arial" w:cs="Arial"/>
          <w:b w:val="0"/>
          <w:bCs w:val="0"/>
          <w:color w:val="auto"/>
          <w:sz w:val="20"/>
          <w:szCs w:val="20"/>
          <w:lang w:eastAsia="en-US"/>
        </w:rPr>
        <w:t xml:space="preserve"> m</w:t>
      </w:r>
      <w:r w:rsidR="00FB0761" w:rsidRPr="0062591E">
        <w:rPr>
          <w:rFonts w:ascii="Arial" w:hAnsi="Arial" w:cs="Arial"/>
          <w:b w:val="0"/>
          <w:bCs w:val="0"/>
          <w:color w:val="auto"/>
          <w:sz w:val="20"/>
          <w:szCs w:val="20"/>
          <w:lang w:eastAsia="en-US"/>
        </w:rPr>
        <w:t>a</w:t>
      </w:r>
      <w:r w:rsidR="007D778B" w:rsidRPr="0062591E">
        <w:rPr>
          <w:rFonts w:ascii="Arial" w:hAnsi="Arial" w:cs="Arial"/>
          <w:b w:val="0"/>
          <w:bCs w:val="0"/>
          <w:color w:val="auto"/>
          <w:sz w:val="20"/>
          <w:szCs w:val="20"/>
          <w:lang w:eastAsia="en-US"/>
        </w:rPr>
        <w:t>y result in additional payments to Care Ho</w:t>
      </w:r>
      <w:r w:rsidR="00FB0761" w:rsidRPr="0062591E">
        <w:rPr>
          <w:rFonts w:ascii="Arial" w:hAnsi="Arial" w:cs="Arial"/>
          <w:b w:val="0"/>
          <w:bCs w:val="0"/>
          <w:color w:val="auto"/>
          <w:sz w:val="20"/>
          <w:szCs w:val="20"/>
          <w:lang w:eastAsia="en-US"/>
        </w:rPr>
        <w:t>mes</w:t>
      </w:r>
      <w:r w:rsidR="007D778B" w:rsidRPr="0062591E">
        <w:rPr>
          <w:rFonts w:ascii="Arial" w:hAnsi="Arial" w:cs="Arial"/>
          <w:b w:val="0"/>
          <w:bCs w:val="0"/>
          <w:color w:val="auto"/>
          <w:sz w:val="20"/>
          <w:szCs w:val="20"/>
          <w:lang w:eastAsia="en-US"/>
        </w:rPr>
        <w:t xml:space="preserve"> relating to 2014/15 </w:t>
      </w:r>
      <w:r w:rsidR="0062591E" w:rsidRPr="0062591E">
        <w:rPr>
          <w:rFonts w:ascii="Arial" w:hAnsi="Arial" w:cs="Arial"/>
          <w:b w:val="0"/>
          <w:bCs w:val="0"/>
          <w:color w:val="auto"/>
          <w:sz w:val="20"/>
          <w:szCs w:val="20"/>
          <w:lang w:eastAsia="en-US"/>
        </w:rPr>
        <w:t xml:space="preserve">and 2015/16 </w:t>
      </w:r>
      <w:r w:rsidR="007D778B" w:rsidRPr="0062591E">
        <w:rPr>
          <w:rFonts w:ascii="Arial" w:hAnsi="Arial" w:cs="Arial"/>
          <w:b w:val="0"/>
          <w:bCs w:val="0"/>
          <w:color w:val="auto"/>
          <w:sz w:val="20"/>
          <w:szCs w:val="20"/>
          <w:lang w:eastAsia="en-US"/>
        </w:rPr>
        <w:t>wh</w:t>
      </w:r>
      <w:r w:rsidR="002078A0" w:rsidRPr="0062591E">
        <w:rPr>
          <w:rFonts w:ascii="Arial" w:hAnsi="Arial" w:cs="Arial"/>
          <w:b w:val="0"/>
          <w:bCs w:val="0"/>
          <w:color w:val="auto"/>
          <w:sz w:val="20"/>
          <w:szCs w:val="20"/>
          <w:lang w:eastAsia="en-US"/>
        </w:rPr>
        <w:t>ic</w:t>
      </w:r>
      <w:r w:rsidR="007D778B" w:rsidRPr="0062591E">
        <w:rPr>
          <w:rFonts w:ascii="Arial" w:hAnsi="Arial" w:cs="Arial"/>
          <w:b w:val="0"/>
          <w:bCs w:val="0"/>
          <w:color w:val="auto"/>
          <w:sz w:val="20"/>
          <w:szCs w:val="20"/>
          <w:lang w:eastAsia="en-US"/>
        </w:rPr>
        <w:t xml:space="preserve">h would be funded from reserves. This would also have an ongoing </w:t>
      </w:r>
      <w:r w:rsidR="007E33E1" w:rsidRPr="0062591E">
        <w:rPr>
          <w:rFonts w:ascii="Arial" w:hAnsi="Arial" w:cs="Arial"/>
          <w:b w:val="0"/>
          <w:bCs w:val="0"/>
          <w:color w:val="auto"/>
          <w:sz w:val="20"/>
          <w:szCs w:val="20"/>
          <w:lang w:eastAsia="en-US"/>
        </w:rPr>
        <w:t>impact on</w:t>
      </w:r>
      <w:r w:rsidR="007D778B" w:rsidRPr="0062591E">
        <w:rPr>
          <w:rFonts w:ascii="Arial" w:hAnsi="Arial" w:cs="Arial"/>
          <w:b w:val="0"/>
          <w:bCs w:val="0"/>
          <w:color w:val="auto"/>
          <w:sz w:val="20"/>
          <w:szCs w:val="20"/>
          <w:lang w:eastAsia="en-US"/>
        </w:rPr>
        <w:t xml:space="preserve"> costs</w:t>
      </w:r>
      <w:r w:rsidR="001773F9" w:rsidRPr="0062591E">
        <w:rPr>
          <w:rFonts w:ascii="Arial" w:hAnsi="Arial" w:cs="Arial"/>
          <w:b w:val="0"/>
          <w:bCs w:val="0"/>
          <w:color w:val="auto"/>
          <w:sz w:val="20"/>
          <w:szCs w:val="20"/>
          <w:lang w:eastAsia="en-US"/>
        </w:rPr>
        <w:t xml:space="preserve"> </w:t>
      </w:r>
      <w:r w:rsidR="007D778B" w:rsidRPr="0062591E">
        <w:rPr>
          <w:rFonts w:ascii="Arial" w:hAnsi="Arial" w:cs="Arial"/>
          <w:b w:val="0"/>
          <w:bCs w:val="0"/>
          <w:color w:val="auto"/>
          <w:sz w:val="20"/>
          <w:szCs w:val="20"/>
          <w:lang w:eastAsia="en-US"/>
        </w:rPr>
        <w:t>in 201</w:t>
      </w:r>
      <w:r w:rsidR="0062591E" w:rsidRPr="0062591E">
        <w:rPr>
          <w:rFonts w:ascii="Arial" w:hAnsi="Arial" w:cs="Arial"/>
          <w:b w:val="0"/>
          <w:bCs w:val="0"/>
          <w:color w:val="auto"/>
          <w:sz w:val="20"/>
          <w:szCs w:val="20"/>
          <w:lang w:eastAsia="en-US"/>
        </w:rPr>
        <w:t>6</w:t>
      </w:r>
      <w:r w:rsidR="007D778B" w:rsidRPr="0062591E">
        <w:rPr>
          <w:rFonts w:ascii="Arial" w:hAnsi="Arial" w:cs="Arial"/>
          <w:b w:val="0"/>
          <w:bCs w:val="0"/>
          <w:color w:val="auto"/>
          <w:sz w:val="20"/>
          <w:szCs w:val="20"/>
          <w:lang w:eastAsia="en-US"/>
        </w:rPr>
        <w:t>/1</w:t>
      </w:r>
      <w:r w:rsidR="0062591E" w:rsidRPr="0062591E">
        <w:rPr>
          <w:rFonts w:ascii="Arial" w:hAnsi="Arial" w:cs="Arial"/>
          <w:b w:val="0"/>
          <w:bCs w:val="0"/>
          <w:color w:val="auto"/>
          <w:sz w:val="20"/>
          <w:szCs w:val="20"/>
          <w:lang w:eastAsia="en-US"/>
        </w:rPr>
        <w:t>7</w:t>
      </w:r>
      <w:r w:rsidR="007D778B" w:rsidRPr="0062591E">
        <w:rPr>
          <w:rFonts w:ascii="Arial" w:hAnsi="Arial" w:cs="Arial"/>
          <w:b w:val="0"/>
          <w:bCs w:val="0"/>
          <w:color w:val="auto"/>
          <w:sz w:val="20"/>
          <w:szCs w:val="20"/>
          <w:lang w:eastAsia="en-US"/>
        </w:rPr>
        <w:t xml:space="preserve"> and future years.</w:t>
      </w:r>
    </w:p>
    <w:p w:rsidR="00C81E77" w:rsidRDefault="00C81E77" w:rsidP="009C734F">
      <w:pPr>
        <w:pStyle w:val="ExampleSub"/>
        <w:keepNext w:val="0"/>
        <w:keepLines w:val="0"/>
        <w:spacing w:before="120" w:line="240" w:lineRule="atLeast"/>
        <w:ind w:hanging="567"/>
        <w:outlineLvl w:val="0"/>
        <w:rPr>
          <w:rFonts w:ascii="Arial" w:hAnsi="Arial" w:cs="Arial"/>
          <w:b w:val="0"/>
          <w:bCs w:val="0"/>
          <w:color w:val="auto"/>
          <w:sz w:val="20"/>
          <w:szCs w:val="20"/>
          <w:lang w:eastAsia="en-US"/>
        </w:rPr>
      </w:pPr>
    </w:p>
    <w:p w:rsidR="00E778ED" w:rsidRPr="00E778ED" w:rsidRDefault="00E778ED" w:rsidP="00E778ED">
      <w:pPr>
        <w:ind w:left="567"/>
        <w:rPr>
          <w:rFonts w:eastAsia="Times New Roman" w:cs="Arial"/>
          <w:color w:val="auto"/>
          <w:sz w:val="20"/>
          <w:szCs w:val="20"/>
        </w:rPr>
      </w:pPr>
      <w:r w:rsidRPr="00E778ED">
        <w:rPr>
          <w:rFonts w:eastAsia="Times New Roman" w:cs="Arial"/>
          <w:color w:val="auto"/>
          <w:sz w:val="20"/>
          <w:szCs w:val="20"/>
        </w:rPr>
        <w:t xml:space="preserve">The </w:t>
      </w:r>
      <w:r w:rsidR="00E2140A">
        <w:rPr>
          <w:rFonts w:eastAsia="Times New Roman" w:cs="Arial"/>
          <w:color w:val="auto"/>
          <w:sz w:val="20"/>
          <w:szCs w:val="20"/>
        </w:rPr>
        <w:t>C</w:t>
      </w:r>
      <w:r w:rsidRPr="00E778ED">
        <w:rPr>
          <w:rFonts w:eastAsia="Times New Roman" w:cs="Arial"/>
          <w:color w:val="auto"/>
          <w:sz w:val="20"/>
          <w:szCs w:val="20"/>
        </w:rPr>
        <w:t xml:space="preserve">ouncil </w:t>
      </w:r>
      <w:r>
        <w:rPr>
          <w:rFonts w:eastAsia="Times New Roman" w:cs="Arial"/>
          <w:color w:val="auto"/>
          <w:sz w:val="20"/>
          <w:szCs w:val="20"/>
        </w:rPr>
        <w:t>in 2010 e</w:t>
      </w:r>
      <w:r w:rsidRPr="00E778ED">
        <w:rPr>
          <w:rFonts w:eastAsia="Times New Roman" w:cs="Arial"/>
          <w:color w:val="auto"/>
          <w:sz w:val="20"/>
          <w:szCs w:val="20"/>
        </w:rPr>
        <w:t xml:space="preserve">ntered into a development agreement with a developer in respect to Oldway Mansion. </w:t>
      </w:r>
      <w:r>
        <w:rPr>
          <w:rFonts w:eastAsia="Times New Roman" w:cs="Arial"/>
          <w:color w:val="auto"/>
          <w:sz w:val="20"/>
          <w:szCs w:val="20"/>
        </w:rPr>
        <w:t xml:space="preserve">In 2015/16 </w:t>
      </w:r>
      <w:r w:rsidRPr="00E778ED">
        <w:rPr>
          <w:rFonts w:eastAsia="Times New Roman" w:cs="Arial"/>
          <w:color w:val="auto"/>
          <w:sz w:val="20"/>
          <w:szCs w:val="20"/>
        </w:rPr>
        <w:t xml:space="preserve">proceedings have been served on the </w:t>
      </w:r>
      <w:r w:rsidR="00B54A2A">
        <w:rPr>
          <w:rFonts w:eastAsia="Times New Roman" w:cs="Arial"/>
          <w:color w:val="auto"/>
          <w:sz w:val="20"/>
          <w:szCs w:val="20"/>
        </w:rPr>
        <w:t>C</w:t>
      </w:r>
      <w:r w:rsidRPr="00E778ED">
        <w:rPr>
          <w:rFonts w:eastAsia="Times New Roman" w:cs="Arial"/>
          <w:color w:val="auto"/>
          <w:sz w:val="20"/>
          <w:szCs w:val="20"/>
        </w:rPr>
        <w:t xml:space="preserve">ouncil by the developer, Oldway Mansion Limited (“OML”), requesting (amongst other orders) an order for specific </w:t>
      </w:r>
      <w:r w:rsidRPr="00E778ED">
        <w:rPr>
          <w:rFonts w:eastAsia="Times New Roman" w:cs="Arial"/>
          <w:color w:val="auto"/>
          <w:sz w:val="20"/>
          <w:szCs w:val="20"/>
        </w:rPr>
        <w:lastRenderedPageBreak/>
        <w:t xml:space="preserve">performance requiring the council to grant leases of the Oldway Mansion site to OML and an order for damages against the </w:t>
      </w:r>
      <w:r w:rsidR="001308D6">
        <w:rPr>
          <w:rFonts w:eastAsia="Times New Roman" w:cs="Arial"/>
          <w:color w:val="auto"/>
          <w:sz w:val="20"/>
          <w:szCs w:val="20"/>
        </w:rPr>
        <w:t>C</w:t>
      </w:r>
      <w:r w:rsidRPr="00E778ED">
        <w:rPr>
          <w:rFonts w:eastAsia="Times New Roman" w:cs="Arial"/>
          <w:color w:val="auto"/>
          <w:sz w:val="20"/>
          <w:szCs w:val="20"/>
        </w:rPr>
        <w:t xml:space="preserve">ouncil. </w:t>
      </w:r>
    </w:p>
    <w:p w:rsidR="00AC3EBE" w:rsidRPr="00D42E0B" w:rsidRDefault="00290D04" w:rsidP="00221EA4">
      <w:pPr>
        <w:pStyle w:val="ExampleSub"/>
        <w:keepNext w:val="0"/>
        <w:keepLines w:val="0"/>
        <w:spacing w:before="120" w:line="240" w:lineRule="atLeast"/>
        <w:ind w:hanging="567"/>
        <w:outlineLvl w:val="0"/>
        <w:rPr>
          <w:rFonts w:ascii="Arial" w:hAnsi="Arial" w:cs="Arial"/>
          <w:b w:val="0"/>
          <w:bCs w:val="0"/>
          <w:color w:val="548DD4" w:themeColor="text2" w:themeTint="99"/>
          <w:sz w:val="20"/>
          <w:szCs w:val="20"/>
          <w:lang w:eastAsia="en-US"/>
        </w:rPr>
      </w:pPr>
      <w:r>
        <w:rPr>
          <w:rFonts w:ascii="Arial" w:hAnsi="Arial" w:cs="Arial"/>
          <w:b w:val="0"/>
          <w:bCs w:val="0"/>
          <w:color w:val="auto"/>
          <w:sz w:val="20"/>
          <w:szCs w:val="20"/>
          <w:lang w:eastAsia="en-US"/>
        </w:rPr>
        <w:tab/>
      </w:r>
    </w:p>
    <w:p w:rsidR="00E51139" w:rsidRPr="009D5F43" w:rsidRDefault="005C68D8" w:rsidP="00450460">
      <w:pPr>
        <w:pStyle w:val="Subtitle"/>
        <w:ind w:left="567" w:hanging="567"/>
        <w:rPr>
          <w:b/>
          <w:color w:val="auto"/>
          <w:sz w:val="22"/>
          <w:szCs w:val="22"/>
        </w:rPr>
      </w:pPr>
      <w:r w:rsidRPr="009D5F43">
        <w:rPr>
          <w:b/>
          <w:color w:val="auto"/>
          <w:sz w:val="22"/>
          <w:szCs w:val="22"/>
        </w:rPr>
        <w:t>3</w:t>
      </w:r>
      <w:r w:rsidR="000A1BAE" w:rsidRPr="009D5F43">
        <w:rPr>
          <w:b/>
          <w:color w:val="auto"/>
          <w:sz w:val="22"/>
          <w:szCs w:val="22"/>
        </w:rPr>
        <w:t>4</w:t>
      </w:r>
      <w:r w:rsidR="00E51139" w:rsidRPr="009D5F43">
        <w:rPr>
          <w:b/>
          <w:color w:val="auto"/>
          <w:sz w:val="22"/>
          <w:szCs w:val="22"/>
        </w:rPr>
        <w:t>.</w:t>
      </w:r>
      <w:r w:rsidR="001C4A8E" w:rsidRPr="009D5F43">
        <w:rPr>
          <w:b/>
          <w:color w:val="auto"/>
          <w:sz w:val="22"/>
          <w:szCs w:val="22"/>
        </w:rPr>
        <w:t xml:space="preserve">    </w:t>
      </w:r>
      <w:r w:rsidR="00E51139" w:rsidRPr="009D5F43">
        <w:rPr>
          <w:b/>
          <w:color w:val="auto"/>
          <w:sz w:val="22"/>
          <w:szCs w:val="22"/>
        </w:rPr>
        <w:t>Termination Benefits and Exit Packages</w:t>
      </w:r>
    </w:p>
    <w:p w:rsidR="00E51139" w:rsidRPr="009D5F43" w:rsidRDefault="00167FAA" w:rsidP="006C542A">
      <w:pPr>
        <w:pStyle w:val="CodeNotesExampleHead"/>
        <w:widowControl w:val="0"/>
        <w:ind w:left="567"/>
        <w:rPr>
          <w:rFonts w:cs="Arial"/>
          <w:b w:val="0"/>
          <w:color w:val="auto"/>
          <w:sz w:val="20"/>
          <w:szCs w:val="20"/>
        </w:rPr>
      </w:pPr>
      <w:r>
        <w:rPr>
          <w:rFonts w:cs="Arial"/>
          <w:b w:val="0"/>
          <w:color w:val="auto"/>
          <w:sz w:val="20"/>
          <w:szCs w:val="20"/>
        </w:rPr>
        <w:t>T</w:t>
      </w:r>
      <w:r w:rsidR="00E51139" w:rsidRPr="009D5F43">
        <w:rPr>
          <w:rFonts w:cs="Arial"/>
          <w:b w:val="0"/>
          <w:color w:val="auto"/>
          <w:sz w:val="20"/>
          <w:szCs w:val="20"/>
        </w:rPr>
        <w:t>he Council continued, as part of the Council’s budget reductions, the process to terminate the contracts of a number of employees and announced plans that would result in further terminations in 201</w:t>
      </w:r>
      <w:r w:rsidR="000E2A4C" w:rsidRPr="009D5F43">
        <w:rPr>
          <w:rFonts w:cs="Arial"/>
          <w:b w:val="0"/>
          <w:color w:val="auto"/>
          <w:sz w:val="20"/>
          <w:szCs w:val="20"/>
        </w:rPr>
        <w:t>5</w:t>
      </w:r>
      <w:r w:rsidR="00810536" w:rsidRPr="009D5F43">
        <w:rPr>
          <w:rFonts w:cs="Arial"/>
          <w:b w:val="0"/>
          <w:color w:val="auto"/>
          <w:sz w:val="20"/>
          <w:szCs w:val="20"/>
        </w:rPr>
        <w:t>/1</w:t>
      </w:r>
      <w:r w:rsidR="000E2A4C" w:rsidRPr="009D5F43">
        <w:rPr>
          <w:rFonts w:cs="Arial"/>
          <w:b w:val="0"/>
          <w:color w:val="auto"/>
          <w:sz w:val="20"/>
          <w:szCs w:val="20"/>
        </w:rPr>
        <w:t>6</w:t>
      </w:r>
      <w:r w:rsidR="00E51139" w:rsidRPr="009D5F43">
        <w:rPr>
          <w:rFonts w:cs="Arial"/>
          <w:b w:val="0"/>
          <w:color w:val="auto"/>
          <w:sz w:val="20"/>
          <w:szCs w:val="20"/>
        </w:rPr>
        <w:t>, incurring a cost of £</w:t>
      </w:r>
      <w:r w:rsidR="00FB55B3" w:rsidRPr="009D5F43">
        <w:rPr>
          <w:rFonts w:cs="Arial"/>
          <w:b w:val="0"/>
          <w:color w:val="auto"/>
          <w:sz w:val="20"/>
          <w:szCs w:val="20"/>
        </w:rPr>
        <w:t>0.</w:t>
      </w:r>
      <w:r w:rsidR="00BE3588">
        <w:rPr>
          <w:rFonts w:cs="Arial"/>
          <w:b w:val="0"/>
          <w:color w:val="auto"/>
          <w:sz w:val="20"/>
          <w:szCs w:val="20"/>
        </w:rPr>
        <w:t>4</w:t>
      </w:r>
      <w:r w:rsidR="00FB55B3" w:rsidRPr="009D5F43">
        <w:rPr>
          <w:rFonts w:cs="Arial"/>
          <w:b w:val="0"/>
          <w:color w:val="auto"/>
          <w:sz w:val="20"/>
          <w:szCs w:val="20"/>
        </w:rPr>
        <w:t xml:space="preserve">m </w:t>
      </w:r>
      <w:r w:rsidR="00E51139" w:rsidRPr="009D5F43">
        <w:rPr>
          <w:rFonts w:cs="Arial"/>
          <w:b w:val="0"/>
          <w:color w:val="auto"/>
          <w:sz w:val="20"/>
          <w:szCs w:val="20"/>
        </w:rPr>
        <w:t xml:space="preserve">in relation to staff redundancy and strain costs.  The number of exit packages banded by the total cost of each exit package, split by compulsory redundancy and other departures, (such as voluntary redundancy or settlements), are detailed in the table below. The costs disclosed are redundancy and strain payments and relate to staff employed by the Council including </w:t>
      </w:r>
      <w:r w:rsidR="006029F9" w:rsidRPr="009D5F43">
        <w:rPr>
          <w:rFonts w:cs="Arial"/>
          <w:b w:val="0"/>
          <w:color w:val="auto"/>
          <w:sz w:val="20"/>
          <w:szCs w:val="20"/>
        </w:rPr>
        <w:t xml:space="preserve">Council </w:t>
      </w:r>
      <w:r w:rsidR="00E51139" w:rsidRPr="009D5F43">
        <w:rPr>
          <w:rFonts w:cs="Arial"/>
          <w:b w:val="0"/>
          <w:color w:val="auto"/>
          <w:sz w:val="20"/>
          <w:szCs w:val="20"/>
        </w:rPr>
        <w:t xml:space="preserve">schools. </w:t>
      </w:r>
    </w:p>
    <w:p w:rsidR="00E51139" w:rsidRPr="009D5F43" w:rsidRDefault="00E51139" w:rsidP="006C542A">
      <w:pPr>
        <w:pStyle w:val="CodeNotesExampleHead"/>
        <w:widowControl w:val="0"/>
        <w:ind w:left="567"/>
        <w:rPr>
          <w:rFonts w:cs="Arial"/>
          <w:b w:val="0"/>
          <w:color w:val="auto"/>
          <w:sz w:val="20"/>
          <w:szCs w:val="20"/>
        </w:rPr>
      </w:pPr>
    </w:p>
    <w:p w:rsidR="00450460" w:rsidRPr="009D5F43" w:rsidRDefault="00E51139" w:rsidP="00803CCD">
      <w:pPr>
        <w:pStyle w:val="CodeNotesExampleHead"/>
        <w:widowControl w:val="0"/>
        <w:ind w:left="567"/>
        <w:rPr>
          <w:rFonts w:cs="Arial"/>
          <w:b w:val="0"/>
          <w:color w:val="auto"/>
          <w:sz w:val="20"/>
          <w:szCs w:val="20"/>
        </w:rPr>
      </w:pPr>
      <w:r w:rsidRPr="009D5F43">
        <w:rPr>
          <w:rFonts w:cs="Arial"/>
          <w:b w:val="0"/>
          <w:color w:val="auto"/>
          <w:sz w:val="20"/>
          <w:szCs w:val="20"/>
        </w:rPr>
        <w:t>Note: These are exit packages that were accounted for in the Council’s comprehensive income and expenditure account in the relevant year i.e. on a “demonstrably com</w:t>
      </w:r>
      <w:r w:rsidR="00803CCD" w:rsidRPr="009D5F43">
        <w:rPr>
          <w:rFonts w:cs="Arial"/>
          <w:b w:val="0"/>
          <w:color w:val="auto"/>
          <w:sz w:val="20"/>
          <w:szCs w:val="20"/>
        </w:rPr>
        <w:t>mitted” basis not a cash basis.</w:t>
      </w:r>
    </w:p>
    <w:p w:rsidR="00E51139" w:rsidRPr="00D42E0B" w:rsidRDefault="00E51139" w:rsidP="00450460">
      <w:pPr>
        <w:pStyle w:val="CodeNotesExampleHead"/>
        <w:widowControl w:val="0"/>
        <w:rPr>
          <w:rFonts w:cs="Arial"/>
          <w:b w:val="0"/>
          <w:color w:val="548DD4" w:themeColor="text2" w:themeTint="99"/>
          <w:sz w:val="20"/>
          <w:szCs w:val="20"/>
          <w:lang w:eastAsia="en-GB"/>
        </w:rPr>
      </w:pPr>
    </w:p>
    <w:tbl>
      <w:tblPr>
        <w:tblStyle w:val="ListTable3-Accent51"/>
        <w:tblW w:w="9072" w:type="dxa"/>
        <w:tblInd w:w="675" w:type="dxa"/>
        <w:tblLayout w:type="fixed"/>
        <w:tblLook w:val="01E0"/>
      </w:tblPr>
      <w:tblGrid>
        <w:gridCol w:w="709"/>
        <w:gridCol w:w="851"/>
        <w:gridCol w:w="708"/>
        <w:gridCol w:w="851"/>
        <w:gridCol w:w="992"/>
        <w:gridCol w:w="94"/>
        <w:gridCol w:w="331"/>
        <w:gridCol w:w="993"/>
        <w:gridCol w:w="850"/>
        <w:gridCol w:w="851"/>
        <w:gridCol w:w="850"/>
        <w:gridCol w:w="992"/>
      </w:tblGrid>
      <w:tr w:rsidR="00E51139" w:rsidRPr="00727D68" w:rsidTr="00DA33E8">
        <w:trPr>
          <w:cnfStyle w:val="100000000000"/>
        </w:trPr>
        <w:tc>
          <w:tcPr>
            <w:cnfStyle w:val="001000000100"/>
            <w:tcW w:w="3119" w:type="dxa"/>
            <w:gridSpan w:val="4"/>
          </w:tcPr>
          <w:p w:rsidR="00E51139" w:rsidRPr="00727D68" w:rsidRDefault="00E51139" w:rsidP="00CE6D72">
            <w:pPr>
              <w:pStyle w:val="CodeNotesExampleHead"/>
              <w:widowControl w:val="0"/>
              <w:jc w:val="center"/>
              <w:rPr>
                <w:color w:val="auto"/>
              </w:rPr>
            </w:pPr>
            <w:r w:rsidRPr="00727D68">
              <w:rPr>
                <w:color w:val="auto"/>
              </w:rPr>
              <w:t xml:space="preserve">Number of Exit packages by band </w:t>
            </w:r>
          </w:p>
          <w:p w:rsidR="00E51139" w:rsidRPr="00727D68" w:rsidRDefault="00E51139" w:rsidP="00727D68">
            <w:pPr>
              <w:pStyle w:val="CodeNotesExampleHead"/>
              <w:widowControl w:val="0"/>
              <w:jc w:val="center"/>
              <w:rPr>
                <w:rFonts w:cs="Arial"/>
                <w:color w:val="auto"/>
                <w:lang w:eastAsia="en-GB"/>
              </w:rPr>
            </w:pPr>
            <w:r w:rsidRPr="00727D68">
              <w:rPr>
                <w:color w:val="auto"/>
              </w:rPr>
              <w:t>201</w:t>
            </w:r>
            <w:r w:rsidR="00727D68" w:rsidRPr="00727D68">
              <w:rPr>
                <w:color w:val="auto"/>
              </w:rPr>
              <w:t>4</w:t>
            </w:r>
            <w:r w:rsidR="00810536" w:rsidRPr="00727D68">
              <w:rPr>
                <w:color w:val="auto"/>
              </w:rPr>
              <w:t>/1</w:t>
            </w:r>
            <w:r w:rsidR="00727D68" w:rsidRPr="00727D68">
              <w:rPr>
                <w:color w:val="auto"/>
              </w:rPr>
              <w:t>5</w:t>
            </w:r>
          </w:p>
        </w:tc>
        <w:tc>
          <w:tcPr>
            <w:cnfStyle w:val="000010000000"/>
            <w:tcW w:w="2410" w:type="dxa"/>
            <w:gridSpan w:val="4"/>
          </w:tcPr>
          <w:p w:rsidR="00E51139" w:rsidRPr="00727D68" w:rsidRDefault="00E51139" w:rsidP="00CE6D72">
            <w:pPr>
              <w:pStyle w:val="CodeNotesExampleHead"/>
              <w:widowControl w:val="0"/>
              <w:jc w:val="center"/>
              <w:rPr>
                <w:rFonts w:cs="Arial"/>
                <w:color w:val="auto"/>
                <w:lang w:eastAsia="en-GB"/>
              </w:rPr>
            </w:pPr>
            <w:r w:rsidRPr="00727D68">
              <w:rPr>
                <w:rFonts w:cs="Arial"/>
                <w:color w:val="auto"/>
                <w:lang w:eastAsia="en-GB"/>
              </w:rPr>
              <w:t>Value of Exit package</w:t>
            </w:r>
            <w:r w:rsidR="004D6603" w:rsidRPr="00727D68">
              <w:rPr>
                <w:rFonts w:cs="Arial"/>
                <w:color w:val="auto"/>
                <w:lang w:eastAsia="en-GB"/>
              </w:rPr>
              <w:t xml:space="preserve"> £</w:t>
            </w:r>
          </w:p>
        </w:tc>
        <w:tc>
          <w:tcPr>
            <w:cnfStyle w:val="000100001000"/>
            <w:tcW w:w="3543" w:type="dxa"/>
            <w:gridSpan w:val="4"/>
          </w:tcPr>
          <w:p w:rsidR="00E51139" w:rsidRPr="00727D68" w:rsidRDefault="00E51139" w:rsidP="00CE6D72">
            <w:pPr>
              <w:pStyle w:val="CodeNotesExampleHead"/>
              <w:widowControl w:val="0"/>
              <w:jc w:val="center"/>
              <w:rPr>
                <w:color w:val="auto"/>
              </w:rPr>
            </w:pPr>
            <w:r w:rsidRPr="00727D68">
              <w:rPr>
                <w:color w:val="auto"/>
              </w:rPr>
              <w:t xml:space="preserve">Number of Exit packages by band </w:t>
            </w:r>
          </w:p>
          <w:p w:rsidR="00E51139" w:rsidRPr="00727D68" w:rsidRDefault="00E51139" w:rsidP="00727D68">
            <w:pPr>
              <w:pStyle w:val="CodeNotesExampleHead"/>
              <w:widowControl w:val="0"/>
              <w:jc w:val="center"/>
              <w:rPr>
                <w:rFonts w:cs="Arial"/>
                <w:color w:val="auto"/>
                <w:lang w:eastAsia="en-GB"/>
              </w:rPr>
            </w:pPr>
            <w:r w:rsidRPr="00727D68">
              <w:rPr>
                <w:color w:val="auto"/>
              </w:rPr>
              <w:t>201</w:t>
            </w:r>
            <w:r w:rsidR="00727D68" w:rsidRPr="00727D68">
              <w:rPr>
                <w:color w:val="auto"/>
              </w:rPr>
              <w:t>5</w:t>
            </w:r>
            <w:r w:rsidR="00810536" w:rsidRPr="00727D68">
              <w:rPr>
                <w:color w:val="auto"/>
              </w:rPr>
              <w:t>/1</w:t>
            </w:r>
            <w:r w:rsidR="00727D68" w:rsidRPr="00727D68">
              <w:rPr>
                <w:color w:val="auto"/>
              </w:rPr>
              <w:t>6</w:t>
            </w:r>
          </w:p>
        </w:tc>
      </w:tr>
      <w:tr w:rsidR="00E51139" w:rsidRPr="00727D68" w:rsidTr="00DA33E8">
        <w:trPr>
          <w:cnfStyle w:val="000000100000"/>
        </w:trPr>
        <w:tc>
          <w:tcPr>
            <w:cnfStyle w:val="001000000000"/>
            <w:tcW w:w="1560" w:type="dxa"/>
            <w:gridSpan w:val="2"/>
            <w:shd w:val="clear" w:color="auto" w:fill="4BACC6" w:themeFill="accent5"/>
          </w:tcPr>
          <w:p w:rsidR="00E51139" w:rsidRPr="00727D68" w:rsidRDefault="00E51139" w:rsidP="00CE6D72">
            <w:pPr>
              <w:pStyle w:val="CodeNotesExampleHead"/>
              <w:widowControl w:val="0"/>
              <w:jc w:val="center"/>
              <w:rPr>
                <w:rFonts w:cs="Arial"/>
                <w:color w:val="auto"/>
                <w:lang w:eastAsia="en-GB"/>
              </w:rPr>
            </w:pPr>
            <w:r w:rsidRPr="00727D68">
              <w:rPr>
                <w:rFonts w:cs="Arial"/>
                <w:color w:val="auto"/>
                <w:lang w:eastAsia="en-GB"/>
              </w:rPr>
              <w:t>Compulsory Redundancy</w:t>
            </w:r>
          </w:p>
        </w:tc>
        <w:tc>
          <w:tcPr>
            <w:cnfStyle w:val="000010000000"/>
            <w:tcW w:w="1559" w:type="dxa"/>
            <w:gridSpan w:val="2"/>
            <w:shd w:val="clear" w:color="auto" w:fill="4BACC6" w:themeFill="accent5"/>
          </w:tcPr>
          <w:p w:rsidR="00E51139" w:rsidRPr="00727D68" w:rsidRDefault="00E51139" w:rsidP="00CE6D72">
            <w:pPr>
              <w:pStyle w:val="CodeNotesExampleHead"/>
              <w:widowControl w:val="0"/>
              <w:jc w:val="center"/>
              <w:rPr>
                <w:rFonts w:cs="Arial"/>
                <w:b w:val="0"/>
                <w:color w:val="auto"/>
                <w:lang w:eastAsia="en-GB"/>
              </w:rPr>
            </w:pPr>
            <w:r w:rsidRPr="00727D68">
              <w:rPr>
                <w:rFonts w:cs="Arial"/>
                <w:b w:val="0"/>
                <w:color w:val="auto"/>
                <w:lang w:eastAsia="en-GB"/>
              </w:rPr>
              <w:t>Other Departures</w:t>
            </w:r>
          </w:p>
        </w:tc>
        <w:tc>
          <w:tcPr>
            <w:tcW w:w="2410" w:type="dxa"/>
            <w:gridSpan w:val="4"/>
            <w:shd w:val="clear" w:color="auto" w:fill="4BACC6" w:themeFill="accent5"/>
          </w:tcPr>
          <w:p w:rsidR="00E51139" w:rsidRPr="00727D68" w:rsidRDefault="00E51139" w:rsidP="00CE6D72">
            <w:pPr>
              <w:pStyle w:val="CodeNotesExampleHead"/>
              <w:widowControl w:val="0"/>
              <w:jc w:val="center"/>
              <w:cnfStyle w:val="000000100000"/>
              <w:rPr>
                <w:rFonts w:cs="Arial"/>
                <w:b w:val="0"/>
                <w:color w:val="auto"/>
                <w:lang w:eastAsia="en-GB"/>
              </w:rPr>
            </w:pPr>
          </w:p>
        </w:tc>
        <w:tc>
          <w:tcPr>
            <w:cnfStyle w:val="000010000000"/>
            <w:tcW w:w="1701" w:type="dxa"/>
            <w:gridSpan w:val="2"/>
            <w:shd w:val="clear" w:color="auto" w:fill="4BACC6" w:themeFill="accent5"/>
          </w:tcPr>
          <w:p w:rsidR="00E51139" w:rsidRPr="00727D68" w:rsidRDefault="00E51139" w:rsidP="00CE6D72">
            <w:pPr>
              <w:pStyle w:val="CodeNotesExampleHead"/>
              <w:widowControl w:val="0"/>
              <w:jc w:val="center"/>
              <w:rPr>
                <w:rFonts w:cs="Arial"/>
                <w:color w:val="auto"/>
                <w:lang w:eastAsia="en-GB"/>
              </w:rPr>
            </w:pPr>
            <w:r w:rsidRPr="00727D68">
              <w:rPr>
                <w:rFonts w:cs="Arial"/>
                <w:color w:val="auto"/>
                <w:lang w:eastAsia="en-GB"/>
              </w:rPr>
              <w:t>Compulsory Redundancy</w:t>
            </w:r>
          </w:p>
        </w:tc>
        <w:tc>
          <w:tcPr>
            <w:cnfStyle w:val="000100000000"/>
            <w:tcW w:w="1842" w:type="dxa"/>
            <w:gridSpan w:val="2"/>
            <w:shd w:val="clear" w:color="auto" w:fill="4BACC6" w:themeFill="accent5"/>
          </w:tcPr>
          <w:p w:rsidR="00E51139" w:rsidRPr="00727D68" w:rsidRDefault="00E51139" w:rsidP="00CE6D72">
            <w:pPr>
              <w:pStyle w:val="CodeNotesExampleHead"/>
              <w:widowControl w:val="0"/>
              <w:jc w:val="center"/>
              <w:rPr>
                <w:rFonts w:cs="Arial"/>
                <w:color w:val="auto"/>
                <w:lang w:eastAsia="en-GB"/>
              </w:rPr>
            </w:pPr>
            <w:r w:rsidRPr="00727D68">
              <w:rPr>
                <w:rFonts w:cs="Arial"/>
                <w:color w:val="auto"/>
                <w:lang w:eastAsia="en-GB"/>
              </w:rPr>
              <w:t>Other Departures</w:t>
            </w:r>
          </w:p>
        </w:tc>
      </w:tr>
      <w:tr w:rsidR="00450460" w:rsidRPr="00727D68" w:rsidTr="00DA33E8">
        <w:trPr>
          <w:trHeight w:val="572"/>
        </w:trPr>
        <w:tc>
          <w:tcPr>
            <w:cnfStyle w:val="001000000000"/>
            <w:tcW w:w="709" w:type="dxa"/>
            <w:shd w:val="clear" w:color="auto" w:fill="4BACC6" w:themeFill="accent5"/>
          </w:tcPr>
          <w:p w:rsidR="00E51139" w:rsidRPr="00727D68" w:rsidRDefault="00E51139" w:rsidP="00CE6D72">
            <w:pPr>
              <w:pStyle w:val="CodeNotesExampleHead"/>
              <w:widowControl w:val="0"/>
              <w:jc w:val="center"/>
              <w:rPr>
                <w:rFonts w:cs="Arial"/>
                <w:color w:val="auto"/>
                <w:lang w:eastAsia="en-GB"/>
              </w:rPr>
            </w:pPr>
            <w:r w:rsidRPr="00727D68">
              <w:rPr>
                <w:rFonts w:cs="Arial"/>
                <w:color w:val="auto"/>
                <w:lang w:eastAsia="en-GB"/>
              </w:rPr>
              <w:t>No. In Band</w:t>
            </w:r>
          </w:p>
        </w:tc>
        <w:tc>
          <w:tcPr>
            <w:cnfStyle w:val="000010000000"/>
            <w:tcW w:w="851" w:type="dxa"/>
            <w:shd w:val="clear" w:color="auto" w:fill="4BACC6" w:themeFill="accent5"/>
          </w:tcPr>
          <w:p w:rsidR="00E51139" w:rsidRPr="00727D68" w:rsidRDefault="00E51139" w:rsidP="00DA33E8">
            <w:pPr>
              <w:pStyle w:val="CodeNotesExampleHead"/>
              <w:widowControl w:val="0"/>
              <w:jc w:val="center"/>
              <w:rPr>
                <w:rFonts w:cs="Arial"/>
                <w:b w:val="0"/>
                <w:color w:val="auto"/>
                <w:lang w:eastAsia="en-GB"/>
              </w:rPr>
            </w:pPr>
            <w:r w:rsidRPr="00727D68">
              <w:rPr>
                <w:rFonts w:cs="Arial"/>
                <w:b w:val="0"/>
                <w:color w:val="auto"/>
                <w:lang w:eastAsia="en-GB"/>
              </w:rPr>
              <w:t>Total Cost</w:t>
            </w:r>
          </w:p>
        </w:tc>
        <w:tc>
          <w:tcPr>
            <w:tcW w:w="708" w:type="dxa"/>
            <w:shd w:val="clear" w:color="auto" w:fill="4BACC6" w:themeFill="accent5"/>
          </w:tcPr>
          <w:p w:rsidR="00E51139" w:rsidRPr="00727D68" w:rsidRDefault="00E51139" w:rsidP="00CE6D72">
            <w:pPr>
              <w:pStyle w:val="CodeNotesExampleHead"/>
              <w:widowControl w:val="0"/>
              <w:jc w:val="center"/>
              <w:cnfStyle w:val="000000000000"/>
              <w:rPr>
                <w:rFonts w:cs="Arial"/>
                <w:b w:val="0"/>
                <w:color w:val="auto"/>
                <w:lang w:eastAsia="en-GB"/>
              </w:rPr>
            </w:pPr>
            <w:r w:rsidRPr="00727D68">
              <w:rPr>
                <w:rFonts w:cs="Arial"/>
                <w:b w:val="0"/>
                <w:color w:val="auto"/>
                <w:lang w:eastAsia="en-GB"/>
              </w:rPr>
              <w:t>No. In Band</w:t>
            </w:r>
          </w:p>
        </w:tc>
        <w:tc>
          <w:tcPr>
            <w:cnfStyle w:val="000010000000"/>
            <w:tcW w:w="851" w:type="dxa"/>
            <w:shd w:val="clear" w:color="auto" w:fill="4BACC6" w:themeFill="accent5"/>
          </w:tcPr>
          <w:p w:rsidR="00E51139" w:rsidRPr="00727D68" w:rsidRDefault="00E51139" w:rsidP="00DA33E8">
            <w:pPr>
              <w:pStyle w:val="CodeNotesExampleHead"/>
              <w:widowControl w:val="0"/>
              <w:jc w:val="center"/>
              <w:rPr>
                <w:rFonts w:cs="Arial"/>
                <w:b w:val="0"/>
                <w:color w:val="auto"/>
                <w:lang w:eastAsia="en-GB"/>
              </w:rPr>
            </w:pPr>
            <w:r w:rsidRPr="00727D68">
              <w:rPr>
                <w:rFonts w:cs="Arial"/>
                <w:b w:val="0"/>
                <w:color w:val="auto"/>
                <w:lang w:eastAsia="en-GB"/>
              </w:rPr>
              <w:t>Total Cost</w:t>
            </w:r>
          </w:p>
        </w:tc>
        <w:tc>
          <w:tcPr>
            <w:tcW w:w="2410" w:type="dxa"/>
            <w:gridSpan w:val="4"/>
            <w:tcBorders>
              <w:bottom w:val="single" w:sz="4" w:space="0" w:color="4BACC6" w:themeColor="accent5"/>
            </w:tcBorders>
            <w:shd w:val="clear" w:color="auto" w:fill="4BACC6" w:themeFill="accent5"/>
          </w:tcPr>
          <w:p w:rsidR="00E51139" w:rsidRPr="00727D68" w:rsidRDefault="00E51139" w:rsidP="00CE6D72">
            <w:pPr>
              <w:autoSpaceDE w:val="0"/>
              <w:autoSpaceDN w:val="0"/>
              <w:adjustRightInd w:val="0"/>
              <w:spacing w:after="0" w:line="240" w:lineRule="auto"/>
              <w:jc w:val="center"/>
              <w:cnfStyle w:val="000000000000"/>
              <w:rPr>
                <w:rFonts w:cs="Arial"/>
                <w:color w:val="auto"/>
                <w:sz w:val="18"/>
                <w:szCs w:val="18"/>
                <w:lang w:eastAsia="en-GB"/>
              </w:rPr>
            </w:pPr>
          </w:p>
        </w:tc>
        <w:tc>
          <w:tcPr>
            <w:cnfStyle w:val="000010000000"/>
            <w:tcW w:w="850" w:type="dxa"/>
            <w:shd w:val="clear" w:color="auto" w:fill="4BACC6" w:themeFill="accent5"/>
          </w:tcPr>
          <w:p w:rsidR="00E51139" w:rsidRPr="00727D68" w:rsidRDefault="00E51139" w:rsidP="00CE6D72">
            <w:pPr>
              <w:pStyle w:val="CodeNotesExampleHead"/>
              <w:widowControl w:val="0"/>
              <w:jc w:val="center"/>
              <w:rPr>
                <w:rFonts w:cs="Arial"/>
                <w:color w:val="auto"/>
                <w:lang w:eastAsia="en-GB"/>
              </w:rPr>
            </w:pPr>
            <w:r w:rsidRPr="00727D68">
              <w:rPr>
                <w:rFonts w:cs="Arial"/>
                <w:color w:val="auto"/>
                <w:lang w:eastAsia="en-GB"/>
              </w:rPr>
              <w:t>No. In Band</w:t>
            </w:r>
          </w:p>
        </w:tc>
        <w:tc>
          <w:tcPr>
            <w:tcW w:w="851" w:type="dxa"/>
            <w:shd w:val="clear" w:color="auto" w:fill="4BACC6" w:themeFill="accent5"/>
          </w:tcPr>
          <w:p w:rsidR="00E51139" w:rsidRPr="00727D68" w:rsidRDefault="00E51139" w:rsidP="00DA33E8">
            <w:pPr>
              <w:pStyle w:val="CodeNotesExampleHead"/>
              <w:widowControl w:val="0"/>
              <w:jc w:val="center"/>
              <w:cnfStyle w:val="000000000000"/>
              <w:rPr>
                <w:rFonts w:cs="Arial"/>
                <w:color w:val="auto"/>
                <w:lang w:eastAsia="en-GB"/>
              </w:rPr>
            </w:pPr>
            <w:r w:rsidRPr="00727D68">
              <w:rPr>
                <w:rFonts w:cs="Arial"/>
                <w:color w:val="auto"/>
                <w:lang w:eastAsia="en-GB"/>
              </w:rPr>
              <w:t>Total Cost</w:t>
            </w:r>
          </w:p>
        </w:tc>
        <w:tc>
          <w:tcPr>
            <w:cnfStyle w:val="000010000000"/>
            <w:tcW w:w="850" w:type="dxa"/>
            <w:shd w:val="clear" w:color="auto" w:fill="4BACC6" w:themeFill="accent5"/>
          </w:tcPr>
          <w:p w:rsidR="00E51139" w:rsidRPr="00727D68" w:rsidRDefault="00E51139" w:rsidP="00CE6D72">
            <w:pPr>
              <w:pStyle w:val="CodeNotesExampleHead"/>
              <w:widowControl w:val="0"/>
              <w:jc w:val="center"/>
              <w:rPr>
                <w:rFonts w:cs="Arial"/>
                <w:color w:val="auto"/>
                <w:lang w:eastAsia="en-GB"/>
              </w:rPr>
            </w:pPr>
            <w:r w:rsidRPr="00727D68">
              <w:rPr>
                <w:rFonts w:cs="Arial"/>
                <w:color w:val="auto"/>
                <w:lang w:eastAsia="en-GB"/>
              </w:rPr>
              <w:t>No. In Band</w:t>
            </w:r>
          </w:p>
        </w:tc>
        <w:tc>
          <w:tcPr>
            <w:cnfStyle w:val="000100000000"/>
            <w:tcW w:w="992" w:type="dxa"/>
            <w:shd w:val="clear" w:color="auto" w:fill="4BACC6" w:themeFill="accent5"/>
          </w:tcPr>
          <w:p w:rsidR="00E51139" w:rsidRPr="00727D68" w:rsidRDefault="00E51139" w:rsidP="00DA33E8">
            <w:pPr>
              <w:pStyle w:val="CodeNotesExampleHead"/>
              <w:widowControl w:val="0"/>
              <w:jc w:val="center"/>
              <w:rPr>
                <w:rFonts w:cs="Arial"/>
                <w:color w:val="auto"/>
                <w:lang w:eastAsia="en-GB"/>
              </w:rPr>
            </w:pPr>
            <w:r w:rsidRPr="00727D68">
              <w:rPr>
                <w:rFonts w:cs="Arial"/>
                <w:color w:val="auto"/>
                <w:lang w:eastAsia="en-GB"/>
              </w:rPr>
              <w:t>Total Cost</w:t>
            </w:r>
          </w:p>
        </w:tc>
      </w:tr>
      <w:tr w:rsidR="00DA33E8" w:rsidRPr="00727D68" w:rsidTr="00DA33E8">
        <w:trPr>
          <w:cnfStyle w:val="000000100000"/>
          <w:trHeight w:val="267"/>
        </w:trPr>
        <w:tc>
          <w:tcPr>
            <w:cnfStyle w:val="001000000000"/>
            <w:tcW w:w="709" w:type="dxa"/>
            <w:shd w:val="clear" w:color="auto" w:fill="4BACC6" w:themeFill="accent5"/>
          </w:tcPr>
          <w:p w:rsidR="00450460" w:rsidRPr="00727D68" w:rsidRDefault="00450460" w:rsidP="000579C2">
            <w:pPr>
              <w:pStyle w:val="CodeNotesExampleHead"/>
              <w:widowControl w:val="0"/>
              <w:jc w:val="center"/>
              <w:rPr>
                <w:rFonts w:cs="Arial"/>
                <w:color w:val="auto"/>
                <w:lang w:eastAsia="en-GB"/>
              </w:rPr>
            </w:pPr>
          </w:p>
        </w:tc>
        <w:tc>
          <w:tcPr>
            <w:cnfStyle w:val="000010000000"/>
            <w:tcW w:w="851" w:type="dxa"/>
            <w:shd w:val="clear" w:color="auto" w:fill="4BACC6" w:themeFill="accent5"/>
          </w:tcPr>
          <w:p w:rsidR="00450460" w:rsidRPr="00727D68" w:rsidRDefault="00450460" w:rsidP="000579C2">
            <w:pPr>
              <w:pStyle w:val="CodeNotesExampleHead"/>
              <w:widowControl w:val="0"/>
              <w:jc w:val="center"/>
              <w:rPr>
                <w:rFonts w:cs="Arial"/>
                <w:b w:val="0"/>
                <w:color w:val="auto"/>
                <w:lang w:eastAsia="en-GB"/>
              </w:rPr>
            </w:pPr>
            <w:r w:rsidRPr="00727D68">
              <w:rPr>
                <w:rFonts w:cs="Arial"/>
                <w:b w:val="0"/>
                <w:color w:val="auto"/>
                <w:lang w:eastAsia="en-GB"/>
              </w:rPr>
              <w:t>£000’s</w:t>
            </w:r>
          </w:p>
        </w:tc>
        <w:tc>
          <w:tcPr>
            <w:tcW w:w="708" w:type="dxa"/>
            <w:shd w:val="clear" w:color="auto" w:fill="4BACC6" w:themeFill="accent5"/>
          </w:tcPr>
          <w:p w:rsidR="00450460" w:rsidRPr="00727D68" w:rsidRDefault="00450460" w:rsidP="000579C2">
            <w:pPr>
              <w:pStyle w:val="CodeNotesExampleHead"/>
              <w:widowControl w:val="0"/>
              <w:jc w:val="center"/>
              <w:cnfStyle w:val="000000100000"/>
              <w:rPr>
                <w:rFonts w:cs="Arial"/>
                <w:b w:val="0"/>
                <w:color w:val="auto"/>
                <w:lang w:eastAsia="en-GB"/>
              </w:rPr>
            </w:pPr>
          </w:p>
        </w:tc>
        <w:tc>
          <w:tcPr>
            <w:cnfStyle w:val="000010000000"/>
            <w:tcW w:w="851" w:type="dxa"/>
            <w:shd w:val="clear" w:color="auto" w:fill="4BACC6" w:themeFill="accent5"/>
          </w:tcPr>
          <w:p w:rsidR="00450460" w:rsidRPr="00727D68" w:rsidRDefault="00450460" w:rsidP="000579C2">
            <w:pPr>
              <w:pStyle w:val="CodeNotesExampleHead"/>
              <w:widowControl w:val="0"/>
              <w:jc w:val="center"/>
              <w:rPr>
                <w:rFonts w:cs="Arial"/>
                <w:b w:val="0"/>
                <w:color w:val="auto"/>
                <w:lang w:eastAsia="en-GB"/>
              </w:rPr>
            </w:pPr>
            <w:r w:rsidRPr="00727D68">
              <w:rPr>
                <w:rFonts w:cs="Arial"/>
                <w:b w:val="0"/>
                <w:color w:val="auto"/>
                <w:lang w:eastAsia="en-GB"/>
              </w:rPr>
              <w:t>£000’s</w:t>
            </w:r>
          </w:p>
        </w:tc>
        <w:tc>
          <w:tcPr>
            <w:tcW w:w="1086" w:type="dxa"/>
            <w:gridSpan w:val="2"/>
            <w:tcBorders>
              <w:right w:val="nil"/>
            </w:tcBorders>
            <w:shd w:val="clear" w:color="auto" w:fill="4BACC6" w:themeFill="accent5"/>
          </w:tcPr>
          <w:p w:rsidR="00450460" w:rsidRPr="00727D68" w:rsidRDefault="00450460" w:rsidP="00450460">
            <w:pPr>
              <w:autoSpaceDE w:val="0"/>
              <w:autoSpaceDN w:val="0"/>
              <w:adjustRightInd w:val="0"/>
              <w:spacing w:after="0" w:line="240" w:lineRule="auto"/>
              <w:jc w:val="both"/>
              <w:cnfStyle w:val="000000100000"/>
              <w:rPr>
                <w:rFonts w:cs="Arial"/>
                <w:color w:val="auto"/>
                <w:sz w:val="18"/>
                <w:szCs w:val="18"/>
                <w:lang w:eastAsia="en-GB"/>
              </w:rPr>
            </w:pPr>
          </w:p>
        </w:tc>
        <w:tc>
          <w:tcPr>
            <w:cnfStyle w:val="000010000000"/>
            <w:tcW w:w="331" w:type="dxa"/>
            <w:tcBorders>
              <w:left w:val="nil"/>
              <w:right w:val="nil"/>
            </w:tcBorders>
            <w:shd w:val="clear" w:color="auto" w:fill="4BACC6" w:themeFill="accent5"/>
          </w:tcPr>
          <w:p w:rsidR="00450460" w:rsidRPr="00727D68" w:rsidRDefault="00450460" w:rsidP="00450460">
            <w:pPr>
              <w:autoSpaceDE w:val="0"/>
              <w:autoSpaceDN w:val="0"/>
              <w:adjustRightInd w:val="0"/>
              <w:spacing w:after="0" w:line="240" w:lineRule="auto"/>
              <w:jc w:val="both"/>
              <w:rPr>
                <w:rFonts w:cs="Arial"/>
                <w:color w:val="auto"/>
                <w:sz w:val="18"/>
                <w:szCs w:val="18"/>
                <w:lang w:eastAsia="en-GB"/>
              </w:rPr>
            </w:pPr>
          </w:p>
        </w:tc>
        <w:tc>
          <w:tcPr>
            <w:tcW w:w="993" w:type="dxa"/>
            <w:tcBorders>
              <w:left w:val="nil"/>
            </w:tcBorders>
            <w:shd w:val="clear" w:color="auto" w:fill="4BACC6" w:themeFill="accent5"/>
          </w:tcPr>
          <w:p w:rsidR="00450460" w:rsidRPr="00727D68" w:rsidRDefault="00450460" w:rsidP="00450460">
            <w:pPr>
              <w:autoSpaceDE w:val="0"/>
              <w:autoSpaceDN w:val="0"/>
              <w:adjustRightInd w:val="0"/>
              <w:jc w:val="both"/>
              <w:cnfStyle w:val="000000100000"/>
              <w:rPr>
                <w:rFonts w:cs="Arial"/>
                <w:color w:val="auto"/>
                <w:sz w:val="18"/>
                <w:szCs w:val="18"/>
                <w:lang w:eastAsia="en-GB"/>
              </w:rPr>
            </w:pPr>
          </w:p>
        </w:tc>
        <w:tc>
          <w:tcPr>
            <w:cnfStyle w:val="000010000000"/>
            <w:tcW w:w="850" w:type="dxa"/>
            <w:shd w:val="clear" w:color="auto" w:fill="4BACC6" w:themeFill="accent5"/>
          </w:tcPr>
          <w:p w:rsidR="00450460" w:rsidRPr="00727D68" w:rsidRDefault="00450460" w:rsidP="00CE6D72">
            <w:pPr>
              <w:pStyle w:val="CodeNotesExampleHead"/>
              <w:widowControl w:val="0"/>
              <w:jc w:val="center"/>
              <w:rPr>
                <w:rFonts w:cs="Arial"/>
                <w:color w:val="auto"/>
                <w:lang w:eastAsia="en-GB"/>
              </w:rPr>
            </w:pPr>
          </w:p>
        </w:tc>
        <w:tc>
          <w:tcPr>
            <w:tcW w:w="851" w:type="dxa"/>
            <w:shd w:val="clear" w:color="auto" w:fill="4BACC6" w:themeFill="accent5"/>
          </w:tcPr>
          <w:p w:rsidR="00450460" w:rsidRPr="00727D68" w:rsidRDefault="00450460" w:rsidP="00E06AA6">
            <w:pPr>
              <w:pStyle w:val="CodeNotesExampleHead"/>
              <w:widowControl w:val="0"/>
              <w:jc w:val="center"/>
              <w:cnfStyle w:val="000000100000"/>
              <w:rPr>
                <w:rFonts w:cs="Arial"/>
                <w:b w:val="0"/>
                <w:color w:val="auto"/>
                <w:lang w:eastAsia="en-GB"/>
              </w:rPr>
            </w:pPr>
            <w:r w:rsidRPr="00727D68">
              <w:rPr>
                <w:rFonts w:cs="Arial"/>
                <w:b w:val="0"/>
                <w:color w:val="auto"/>
                <w:lang w:eastAsia="en-GB"/>
              </w:rPr>
              <w:t>£000’s</w:t>
            </w:r>
          </w:p>
        </w:tc>
        <w:tc>
          <w:tcPr>
            <w:cnfStyle w:val="000010000000"/>
            <w:tcW w:w="850" w:type="dxa"/>
            <w:shd w:val="clear" w:color="auto" w:fill="4BACC6" w:themeFill="accent5"/>
          </w:tcPr>
          <w:p w:rsidR="00450460" w:rsidRPr="00727D68" w:rsidRDefault="00450460" w:rsidP="00CE6D72">
            <w:pPr>
              <w:pStyle w:val="CodeNotesExampleHead"/>
              <w:widowControl w:val="0"/>
              <w:jc w:val="center"/>
              <w:rPr>
                <w:rFonts w:cs="Arial"/>
                <w:b w:val="0"/>
                <w:color w:val="auto"/>
                <w:lang w:eastAsia="en-GB"/>
              </w:rPr>
            </w:pPr>
          </w:p>
        </w:tc>
        <w:tc>
          <w:tcPr>
            <w:cnfStyle w:val="000100000000"/>
            <w:tcW w:w="992" w:type="dxa"/>
            <w:shd w:val="clear" w:color="auto" w:fill="4BACC6" w:themeFill="accent5"/>
          </w:tcPr>
          <w:p w:rsidR="00450460" w:rsidRPr="00727D68" w:rsidRDefault="00450460" w:rsidP="00E06AA6">
            <w:pPr>
              <w:pStyle w:val="CodeNotesExampleHead"/>
              <w:widowControl w:val="0"/>
              <w:jc w:val="center"/>
              <w:rPr>
                <w:rFonts w:cs="Arial"/>
                <w:color w:val="auto"/>
                <w:lang w:eastAsia="en-GB"/>
              </w:rPr>
            </w:pPr>
            <w:r w:rsidRPr="00727D68">
              <w:rPr>
                <w:rFonts w:cs="Arial"/>
                <w:color w:val="auto"/>
                <w:lang w:eastAsia="en-GB"/>
              </w:rPr>
              <w:t>£000’s</w:t>
            </w:r>
          </w:p>
        </w:tc>
      </w:tr>
      <w:tr w:rsidR="00727D68" w:rsidRPr="00727D68" w:rsidTr="00A07003">
        <w:tc>
          <w:tcPr>
            <w:cnfStyle w:val="001000000000"/>
            <w:tcW w:w="709"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9</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47</w:t>
            </w:r>
          </w:p>
        </w:tc>
        <w:tc>
          <w:tcPr>
            <w:tcW w:w="708" w:type="dxa"/>
            <w:vAlign w:val="center"/>
          </w:tcPr>
          <w:p w:rsidR="00727D68" w:rsidRPr="00727D68" w:rsidRDefault="00727D68" w:rsidP="00727D68">
            <w:pPr>
              <w:pStyle w:val="CodeNotesExampleHead"/>
              <w:widowControl w:val="0"/>
              <w:jc w:val="center"/>
              <w:cnfStyle w:val="000000000000"/>
              <w:rPr>
                <w:rFonts w:cs="Arial"/>
                <w:color w:val="auto"/>
                <w:sz w:val="20"/>
                <w:szCs w:val="20"/>
                <w:lang w:eastAsia="en-GB"/>
              </w:rPr>
            </w:pPr>
            <w:r w:rsidRPr="00727D68">
              <w:rPr>
                <w:rFonts w:cs="Arial"/>
                <w:color w:val="auto"/>
                <w:sz w:val="20"/>
                <w:szCs w:val="20"/>
                <w:lang w:eastAsia="en-GB"/>
              </w:rPr>
              <w:t>7</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51</w:t>
            </w:r>
          </w:p>
        </w:tc>
        <w:tc>
          <w:tcPr>
            <w:tcW w:w="992" w:type="dxa"/>
            <w:tcBorders>
              <w:top w:val="single" w:sz="4" w:space="0" w:color="4BACC6" w:themeColor="accent5"/>
              <w:bottom w:val="single" w:sz="4" w:space="0" w:color="4BACC6" w:themeColor="accent5"/>
              <w:right w:val="nil"/>
            </w:tcBorders>
            <w:vAlign w:val="center"/>
          </w:tcPr>
          <w:p w:rsidR="00727D68" w:rsidRPr="00727D68" w:rsidRDefault="00727D68" w:rsidP="00513894">
            <w:pPr>
              <w:autoSpaceDE w:val="0"/>
              <w:autoSpaceDN w:val="0"/>
              <w:adjustRightInd w:val="0"/>
              <w:spacing w:line="240" w:lineRule="auto"/>
              <w:jc w:val="center"/>
              <w:cnfStyle w:val="000000000000"/>
              <w:rPr>
                <w:rFonts w:cs="Arial"/>
                <w:color w:val="auto"/>
                <w:sz w:val="20"/>
                <w:szCs w:val="20"/>
                <w:lang w:eastAsia="en-GB"/>
              </w:rPr>
            </w:pPr>
            <w:r w:rsidRPr="00727D68">
              <w:rPr>
                <w:rFonts w:cs="Arial"/>
                <w:color w:val="auto"/>
                <w:sz w:val="20"/>
                <w:szCs w:val="20"/>
                <w:lang w:eastAsia="en-GB"/>
              </w:rPr>
              <w:t>0</w:t>
            </w:r>
          </w:p>
        </w:tc>
        <w:tc>
          <w:tcPr>
            <w:cnfStyle w:val="000010000000"/>
            <w:tcW w:w="425" w:type="dxa"/>
            <w:gridSpan w:val="2"/>
            <w:tcBorders>
              <w:top w:val="single" w:sz="4" w:space="0" w:color="4BACC6" w:themeColor="accent5"/>
              <w:left w:val="nil"/>
              <w:bottom w:val="single" w:sz="4" w:space="0" w:color="4BACC6" w:themeColor="accent5"/>
              <w:right w:val="nil"/>
            </w:tcBorders>
            <w:vAlign w:val="center"/>
          </w:tcPr>
          <w:p w:rsidR="00727D68" w:rsidRPr="00727D68" w:rsidRDefault="00727D68" w:rsidP="00513894">
            <w:pPr>
              <w:autoSpaceDE w:val="0"/>
              <w:autoSpaceDN w:val="0"/>
              <w:adjustRightInd w:val="0"/>
              <w:jc w:val="center"/>
              <w:rPr>
                <w:rFonts w:cs="Arial"/>
                <w:color w:val="auto"/>
                <w:sz w:val="20"/>
                <w:szCs w:val="20"/>
                <w:lang w:eastAsia="en-GB"/>
              </w:rPr>
            </w:pPr>
            <w:r w:rsidRPr="00727D68">
              <w:rPr>
                <w:rFonts w:cs="Arial"/>
                <w:color w:val="auto"/>
                <w:sz w:val="20"/>
                <w:szCs w:val="20"/>
                <w:lang w:eastAsia="en-GB"/>
              </w:rPr>
              <w:t>to</w:t>
            </w:r>
          </w:p>
        </w:tc>
        <w:tc>
          <w:tcPr>
            <w:tcW w:w="993" w:type="dxa"/>
            <w:tcBorders>
              <w:top w:val="single" w:sz="4" w:space="0" w:color="4BACC6" w:themeColor="accent5"/>
              <w:left w:val="nil"/>
              <w:bottom w:val="single" w:sz="4" w:space="0" w:color="4BACC6" w:themeColor="accent5"/>
            </w:tcBorders>
            <w:vAlign w:val="center"/>
          </w:tcPr>
          <w:p w:rsidR="00727D68" w:rsidRPr="00727D68" w:rsidRDefault="00727D68" w:rsidP="00513894">
            <w:pPr>
              <w:autoSpaceDE w:val="0"/>
              <w:autoSpaceDN w:val="0"/>
              <w:adjustRightInd w:val="0"/>
              <w:jc w:val="center"/>
              <w:cnfStyle w:val="000000000000"/>
              <w:rPr>
                <w:rFonts w:cs="Arial"/>
                <w:color w:val="auto"/>
                <w:sz w:val="20"/>
                <w:szCs w:val="20"/>
                <w:lang w:eastAsia="en-GB"/>
              </w:rPr>
            </w:pPr>
            <w:r w:rsidRPr="00727D68">
              <w:rPr>
                <w:rFonts w:cs="Arial"/>
                <w:color w:val="auto"/>
                <w:sz w:val="20"/>
                <w:szCs w:val="20"/>
                <w:lang w:eastAsia="en-GB"/>
              </w:rPr>
              <w:t>20,000</w:t>
            </w:r>
          </w:p>
        </w:tc>
        <w:tc>
          <w:tcPr>
            <w:cnfStyle w:val="000010000000"/>
            <w:tcW w:w="850" w:type="dxa"/>
            <w:vAlign w:val="center"/>
          </w:tcPr>
          <w:p w:rsidR="00727D68" w:rsidRPr="00727D68" w:rsidRDefault="00D73733" w:rsidP="00A41527">
            <w:pPr>
              <w:pStyle w:val="CodeNotesExampleHead"/>
              <w:widowControl w:val="0"/>
              <w:jc w:val="center"/>
              <w:rPr>
                <w:rFonts w:cs="Arial"/>
                <w:color w:val="auto"/>
                <w:sz w:val="20"/>
                <w:szCs w:val="20"/>
                <w:lang w:eastAsia="en-GB"/>
              </w:rPr>
            </w:pPr>
            <w:r>
              <w:rPr>
                <w:rFonts w:cs="Arial"/>
                <w:color w:val="auto"/>
                <w:sz w:val="20"/>
                <w:szCs w:val="20"/>
                <w:lang w:eastAsia="en-GB"/>
              </w:rPr>
              <w:t>7</w:t>
            </w:r>
          </w:p>
        </w:tc>
        <w:tc>
          <w:tcPr>
            <w:tcW w:w="851" w:type="dxa"/>
            <w:vAlign w:val="center"/>
          </w:tcPr>
          <w:p w:rsidR="00727D68" w:rsidRPr="00727D68" w:rsidRDefault="00D73733" w:rsidP="00DD4207">
            <w:pPr>
              <w:pStyle w:val="CodeNotesExampleHead"/>
              <w:widowControl w:val="0"/>
              <w:jc w:val="center"/>
              <w:cnfStyle w:val="000000000000"/>
              <w:rPr>
                <w:rFonts w:cs="Arial"/>
                <w:color w:val="auto"/>
                <w:sz w:val="20"/>
                <w:szCs w:val="20"/>
                <w:lang w:eastAsia="en-GB"/>
              </w:rPr>
            </w:pPr>
            <w:r>
              <w:rPr>
                <w:rFonts w:cs="Arial"/>
                <w:color w:val="auto"/>
                <w:sz w:val="20"/>
                <w:szCs w:val="20"/>
                <w:lang w:eastAsia="en-GB"/>
              </w:rPr>
              <w:t>74</w:t>
            </w:r>
          </w:p>
        </w:tc>
        <w:tc>
          <w:tcPr>
            <w:cnfStyle w:val="000010000000"/>
            <w:tcW w:w="850"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6</w:t>
            </w:r>
          </w:p>
        </w:tc>
        <w:tc>
          <w:tcPr>
            <w:cnfStyle w:val="000100000000"/>
            <w:tcW w:w="992"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74</w:t>
            </w:r>
          </w:p>
        </w:tc>
      </w:tr>
      <w:tr w:rsidR="00727D68" w:rsidRPr="00727D68" w:rsidTr="00A07003">
        <w:trPr>
          <w:cnfStyle w:val="000000100000"/>
          <w:trHeight w:val="436"/>
        </w:trPr>
        <w:tc>
          <w:tcPr>
            <w:cnfStyle w:val="001000000000"/>
            <w:tcW w:w="709"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0</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0</w:t>
            </w:r>
          </w:p>
        </w:tc>
        <w:tc>
          <w:tcPr>
            <w:tcW w:w="708" w:type="dxa"/>
            <w:vAlign w:val="center"/>
          </w:tcPr>
          <w:p w:rsidR="00727D68" w:rsidRPr="00727D68" w:rsidRDefault="00727D68" w:rsidP="00727D68">
            <w:pPr>
              <w:pStyle w:val="CodeNotesExampleHead"/>
              <w:widowControl w:val="0"/>
              <w:jc w:val="center"/>
              <w:cnfStyle w:val="000000100000"/>
              <w:rPr>
                <w:rFonts w:cs="Arial"/>
                <w:color w:val="auto"/>
                <w:sz w:val="20"/>
                <w:szCs w:val="20"/>
                <w:lang w:eastAsia="en-GB"/>
              </w:rPr>
            </w:pPr>
            <w:r w:rsidRPr="00727D68">
              <w:rPr>
                <w:rFonts w:cs="Arial"/>
                <w:color w:val="auto"/>
                <w:sz w:val="20"/>
                <w:szCs w:val="20"/>
                <w:lang w:eastAsia="en-GB"/>
              </w:rPr>
              <w:t>3</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78</w:t>
            </w:r>
          </w:p>
        </w:tc>
        <w:tc>
          <w:tcPr>
            <w:tcW w:w="992" w:type="dxa"/>
            <w:tcBorders>
              <w:right w:val="nil"/>
            </w:tcBorders>
            <w:vAlign w:val="center"/>
          </w:tcPr>
          <w:p w:rsidR="00727D68" w:rsidRPr="00727D68" w:rsidRDefault="00727D68" w:rsidP="00513894">
            <w:pPr>
              <w:autoSpaceDE w:val="0"/>
              <w:autoSpaceDN w:val="0"/>
              <w:adjustRightInd w:val="0"/>
              <w:jc w:val="center"/>
              <w:cnfStyle w:val="000000100000"/>
              <w:rPr>
                <w:rFonts w:cs="Arial"/>
                <w:color w:val="auto"/>
                <w:sz w:val="20"/>
                <w:szCs w:val="20"/>
                <w:lang w:eastAsia="en-GB"/>
              </w:rPr>
            </w:pPr>
            <w:r w:rsidRPr="00727D68">
              <w:rPr>
                <w:rFonts w:cs="Arial"/>
                <w:color w:val="auto"/>
                <w:sz w:val="20"/>
                <w:szCs w:val="20"/>
                <w:lang w:eastAsia="en-GB"/>
              </w:rPr>
              <w:t>20,001</w:t>
            </w:r>
          </w:p>
        </w:tc>
        <w:tc>
          <w:tcPr>
            <w:cnfStyle w:val="000010000000"/>
            <w:tcW w:w="425" w:type="dxa"/>
            <w:gridSpan w:val="2"/>
            <w:tcBorders>
              <w:left w:val="nil"/>
              <w:right w:val="nil"/>
            </w:tcBorders>
            <w:vAlign w:val="center"/>
          </w:tcPr>
          <w:p w:rsidR="00727D68" w:rsidRPr="00727D68" w:rsidRDefault="00727D68" w:rsidP="00513894">
            <w:pPr>
              <w:autoSpaceDE w:val="0"/>
              <w:autoSpaceDN w:val="0"/>
              <w:adjustRightInd w:val="0"/>
              <w:jc w:val="center"/>
              <w:rPr>
                <w:rFonts w:cs="Arial"/>
                <w:color w:val="auto"/>
                <w:sz w:val="20"/>
                <w:szCs w:val="20"/>
                <w:lang w:eastAsia="en-GB"/>
              </w:rPr>
            </w:pPr>
            <w:r w:rsidRPr="00727D68">
              <w:rPr>
                <w:rFonts w:cs="Arial"/>
                <w:color w:val="auto"/>
                <w:sz w:val="20"/>
                <w:szCs w:val="20"/>
                <w:lang w:eastAsia="en-GB"/>
              </w:rPr>
              <w:t>to</w:t>
            </w:r>
          </w:p>
        </w:tc>
        <w:tc>
          <w:tcPr>
            <w:tcW w:w="993" w:type="dxa"/>
            <w:tcBorders>
              <w:left w:val="nil"/>
            </w:tcBorders>
            <w:vAlign w:val="center"/>
          </w:tcPr>
          <w:p w:rsidR="00727D68" w:rsidRPr="00727D68" w:rsidRDefault="00727D68" w:rsidP="00513894">
            <w:pPr>
              <w:autoSpaceDE w:val="0"/>
              <w:autoSpaceDN w:val="0"/>
              <w:adjustRightInd w:val="0"/>
              <w:jc w:val="center"/>
              <w:cnfStyle w:val="000000100000"/>
              <w:rPr>
                <w:rFonts w:cs="Arial"/>
                <w:color w:val="auto"/>
                <w:sz w:val="20"/>
                <w:szCs w:val="20"/>
                <w:lang w:eastAsia="en-GB"/>
              </w:rPr>
            </w:pPr>
            <w:r w:rsidRPr="00727D68">
              <w:rPr>
                <w:rFonts w:cs="Arial"/>
                <w:color w:val="auto"/>
                <w:sz w:val="20"/>
                <w:szCs w:val="20"/>
                <w:lang w:eastAsia="en-GB"/>
              </w:rPr>
              <w:t>40,000</w:t>
            </w:r>
          </w:p>
        </w:tc>
        <w:tc>
          <w:tcPr>
            <w:cnfStyle w:val="000010000000"/>
            <w:tcW w:w="850" w:type="dxa"/>
            <w:vAlign w:val="center"/>
          </w:tcPr>
          <w:p w:rsidR="00727D68" w:rsidRPr="00727D68" w:rsidRDefault="00D73733" w:rsidP="00A41527">
            <w:pPr>
              <w:pStyle w:val="CodeNotesExampleHead"/>
              <w:widowControl w:val="0"/>
              <w:jc w:val="center"/>
              <w:rPr>
                <w:rFonts w:cs="Arial"/>
                <w:color w:val="auto"/>
                <w:sz w:val="20"/>
                <w:szCs w:val="20"/>
                <w:lang w:eastAsia="en-GB"/>
              </w:rPr>
            </w:pPr>
            <w:r>
              <w:rPr>
                <w:rFonts w:cs="Arial"/>
                <w:color w:val="auto"/>
                <w:sz w:val="20"/>
                <w:szCs w:val="20"/>
                <w:lang w:eastAsia="en-GB"/>
              </w:rPr>
              <w:t>4</w:t>
            </w:r>
          </w:p>
        </w:tc>
        <w:tc>
          <w:tcPr>
            <w:tcW w:w="851" w:type="dxa"/>
            <w:vAlign w:val="center"/>
          </w:tcPr>
          <w:p w:rsidR="00727D68" w:rsidRPr="00727D68" w:rsidRDefault="00D73733" w:rsidP="00D64448">
            <w:pPr>
              <w:pStyle w:val="CodeNotesExampleHead"/>
              <w:widowControl w:val="0"/>
              <w:jc w:val="center"/>
              <w:cnfStyle w:val="000000100000"/>
              <w:rPr>
                <w:rFonts w:cs="Arial"/>
                <w:color w:val="auto"/>
                <w:sz w:val="20"/>
                <w:szCs w:val="20"/>
                <w:lang w:eastAsia="en-GB"/>
              </w:rPr>
            </w:pPr>
            <w:r>
              <w:rPr>
                <w:rFonts w:cs="Arial"/>
                <w:color w:val="auto"/>
                <w:sz w:val="20"/>
                <w:szCs w:val="20"/>
                <w:lang w:eastAsia="en-GB"/>
              </w:rPr>
              <w:t>11</w:t>
            </w:r>
            <w:r w:rsidR="00D64448">
              <w:rPr>
                <w:rFonts w:cs="Arial"/>
                <w:color w:val="auto"/>
                <w:sz w:val="20"/>
                <w:szCs w:val="20"/>
                <w:lang w:eastAsia="en-GB"/>
              </w:rPr>
              <w:t>6</w:t>
            </w:r>
          </w:p>
        </w:tc>
        <w:tc>
          <w:tcPr>
            <w:cnfStyle w:val="000010000000"/>
            <w:tcW w:w="850"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c>
          <w:tcPr>
            <w:cnfStyle w:val="000100000000"/>
            <w:tcW w:w="992"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r>
      <w:tr w:rsidR="00727D68" w:rsidRPr="00727D68" w:rsidTr="00A07003">
        <w:trPr>
          <w:trHeight w:val="285"/>
        </w:trPr>
        <w:tc>
          <w:tcPr>
            <w:cnfStyle w:val="001000000000"/>
            <w:tcW w:w="709"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1</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54</w:t>
            </w:r>
          </w:p>
        </w:tc>
        <w:tc>
          <w:tcPr>
            <w:tcW w:w="708" w:type="dxa"/>
            <w:vAlign w:val="center"/>
          </w:tcPr>
          <w:p w:rsidR="00727D68" w:rsidRPr="00727D68" w:rsidRDefault="00727D68" w:rsidP="00727D68">
            <w:pPr>
              <w:pStyle w:val="CodeNotesExampleHead"/>
              <w:widowControl w:val="0"/>
              <w:jc w:val="center"/>
              <w:cnfStyle w:val="000000000000"/>
              <w:rPr>
                <w:rFonts w:cs="Arial"/>
                <w:color w:val="auto"/>
                <w:sz w:val="20"/>
                <w:szCs w:val="20"/>
                <w:lang w:eastAsia="en-GB"/>
              </w:rPr>
            </w:pPr>
            <w:r w:rsidRPr="00727D68">
              <w:rPr>
                <w:rFonts w:cs="Arial"/>
                <w:color w:val="auto"/>
                <w:sz w:val="20"/>
                <w:szCs w:val="20"/>
                <w:lang w:eastAsia="en-GB"/>
              </w:rPr>
              <w:t>2</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100</w:t>
            </w:r>
          </w:p>
        </w:tc>
        <w:tc>
          <w:tcPr>
            <w:tcW w:w="992" w:type="dxa"/>
            <w:tcBorders>
              <w:top w:val="single" w:sz="4" w:space="0" w:color="4BACC6" w:themeColor="accent5"/>
              <w:bottom w:val="single" w:sz="4" w:space="0" w:color="4BACC6" w:themeColor="accent5"/>
              <w:right w:val="nil"/>
            </w:tcBorders>
            <w:vAlign w:val="center"/>
          </w:tcPr>
          <w:p w:rsidR="00727D68" w:rsidRPr="00727D68" w:rsidRDefault="00727D68" w:rsidP="00513894">
            <w:pPr>
              <w:autoSpaceDE w:val="0"/>
              <w:autoSpaceDN w:val="0"/>
              <w:adjustRightInd w:val="0"/>
              <w:jc w:val="center"/>
              <w:cnfStyle w:val="000000000000"/>
              <w:rPr>
                <w:rFonts w:cs="Arial"/>
                <w:color w:val="auto"/>
                <w:sz w:val="20"/>
                <w:szCs w:val="20"/>
                <w:lang w:eastAsia="en-GB"/>
              </w:rPr>
            </w:pPr>
            <w:r w:rsidRPr="00727D68">
              <w:rPr>
                <w:rFonts w:cs="Arial"/>
                <w:color w:val="auto"/>
                <w:sz w:val="20"/>
                <w:szCs w:val="20"/>
                <w:lang w:eastAsia="en-GB"/>
              </w:rPr>
              <w:t>40,001</w:t>
            </w:r>
          </w:p>
        </w:tc>
        <w:tc>
          <w:tcPr>
            <w:cnfStyle w:val="000010000000"/>
            <w:tcW w:w="425" w:type="dxa"/>
            <w:gridSpan w:val="2"/>
            <w:tcBorders>
              <w:top w:val="single" w:sz="4" w:space="0" w:color="4BACC6" w:themeColor="accent5"/>
              <w:left w:val="nil"/>
              <w:bottom w:val="single" w:sz="4" w:space="0" w:color="4BACC6" w:themeColor="accent5"/>
              <w:right w:val="nil"/>
            </w:tcBorders>
            <w:vAlign w:val="center"/>
          </w:tcPr>
          <w:p w:rsidR="00727D68" w:rsidRPr="00727D68" w:rsidRDefault="00727D68" w:rsidP="00513894">
            <w:pPr>
              <w:autoSpaceDE w:val="0"/>
              <w:autoSpaceDN w:val="0"/>
              <w:adjustRightInd w:val="0"/>
              <w:jc w:val="center"/>
              <w:rPr>
                <w:rFonts w:cs="Arial"/>
                <w:color w:val="auto"/>
                <w:sz w:val="20"/>
                <w:szCs w:val="20"/>
                <w:lang w:eastAsia="en-GB"/>
              </w:rPr>
            </w:pPr>
            <w:r w:rsidRPr="00727D68">
              <w:rPr>
                <w:rFonts w:cs="Arial"/>
                <w:color w:val="auto"/>
                <w:sz w:val="20"/>
                <w:szCs w:val="20"/>
                <w:lang w:eastAsia="en-GB"/>
              </w:rPr>
              <w:t>to</w:t>
            </w:r>
          </w:p>
        </w:tc>
        <w:tc>
          <w:tcPr>
            <w:tcW w:w="993" w:type="dxa"/>
            <w:tcBorders>
              <w:top w:val="single" w:sz="4" w:space="0" w:color="4BACC6" w:themeColor="accent5"/>
              <w:left w:val="nil"/>
              <w:bottom w:val="single" w:sz="4" w:space="0" w:color="4BACC6" w:themeColor="accent5"/>
            </w:tcBorders>
            <w:vAlign w:val="center"/>
          </w:tcPr>
          <w:p w:rsidR="00727D68" w:rsidRPr="00727D68" w:rsidRDefault="00727D68" w:rsidP="00513894">
            <w:pPr>
              <w:autoSpaceDE w:val="0"/>
              <w:autoSpaceDN w:val="0"/>
              <w:adjustRightInd w:val="0"/>
              <w:jc w:val="center"/>
              <w:cnfStyle w:val="000000000000"/>
              <w:rPr>
                <w:rFonts w:cs="Arial"/>
                <w:color w:val="auto"/>
                <w:sz w:val="20"/>
                <w:szCs w:val="20"/>
                <w:lang w:eastAsia="en-GB"/>
              </w:rPr>
            </w:pPr>
            <w:r w:rsidRPr="00727D68">
              <w:rPr>
                <w:rFonts w:cs="Arial"/>
                <w:color w:val="auto"/>
                <w:sz w:val="20"/>
                <w:szCs w:val="20"/>
                <w:lang w:eastAsia="en-GB"/>
              </w:rPr>
              <w:t>60,000</w:t>
            </w:r>
          </w:p>
        </w:tc>
        <w:tc>
          <w:tcPr>
            <w:cnfStyle w:val="000010000000"/>
            <w:tcW w:w="850" w:type="dxa"/>
            <w:vAlign w:val="center"/>
          </w:tcPr>
          <w:p w:rsidR="00727D68" w:rsidRPr="00727D68" w:rsidRDefault="00D73733" w:rsidP="00A41527">
            <w:pPr>
              <w:pStyle w:val="CodeNotesExampleHead"/>
              <w:widowControl w:val="0"/>
              <w:jc w:val="center"/>
              <w:rPr>
                <w:rFonts w:cs="Arial"/>
                <w:color w:val="auto"/>
                <w:sz w:val="20"/>
                <w:szCs w:val="20"/>
                <w:lang w:eastAsia="en-GB"/>
              </w:rPr>
            </w:pPr>
            <w:r>
              <w:rPr>
                <w:rFonts w:cs="Arial"/>
                <w:color w:val="auto"/>
                <w:sz w:val="20"/>
                <w:szCs w:val="20"/>
                <w:lang w:eastAsia="en-GB"/>
              </w:rPr>
              <w:t>0</w:t>
            </w:r>
          </w:p>
        </w:tc>
        <w:tc>
          <w:tcPr>
            <w:tcW w:w="851" w:type="dxa"/>
            <w:vAlign w:val="center"/>
          </w:tcPr>
          <w:p w:rsidR="00727D68" w:rsidRPr="00727D68" w:rsidRDefault="00D73733" w:rsidP="00DD4207">
            <w:pPr>
              <w:pStyle w:val="CodeNotesExampleHead"/>
              <w:widowControl w:val="0"/>
              <w:jc w:val="center"/>
              <w:cnfStyle w:val="000000000000"/>
              <w:rPr>
                <w:rFonts w:cs="Arial"/>
                <w:color w:val="auto"/>
                <w:sz w:val="20"/>
                <w:szCs w:val="20"/>
                <w:lang w:eastAsia="en-GB"/>
              </w:rPr>
            </w:pPr>
            <w:r>
              <w:rPr>
                <w:rFonts w:cs="Arial"/>
                <w:color w:val="auto"/>
                <w:sz w:val="20"/>
                <w:szCs w:val="20"/>
                <w:lang w:eastAsia="en-GB"/>
              </w:rPr>
              <w:t>0</w:t>
            </w:r>
          </w:p>
        </w:tc>
        <w:tc>
          <w:tcPr>
            <w:cnfStyle w:val="000010000000"/>
            <w:tcW w:w="850"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c>
          <w:tcPr>
            <w:cnfStyle w:val="000100000000"/>
            <w:tcW w:w="992"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r>
      <w:tr w:rsidR="00727D68" w:rsidRPr="00727D68" w:rsidTr="00A07003">
        <w:trPr>
          <w:cnfStyle w:val="000000100000"/>
        </w:trPr>
        <w:tc>
          <w:tcPr>
            <w:cnfStyle w:val="001000000000"/>
            <w:tcW w:w="709"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1</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61</w:t>
            </w:r>
          </w:p>
        </w:tc>
        <w:tc>
          <w:tcPr>
            <w:tcW w:w="708" w:type="dxa"/>
            <w:vAlign w:val="center"/>
          </w:tcPr>
          <w:p w:rsidR="00727D68" w:rsidRPr="00727D68" w:rsidRDefault="00727D68" w:rsidP="00727D68">
            <w:pPr>
              <w:pStyle w:val="CodeNotesExampleHead"/>
              <w:widowControl w:val="0"/>
              <w:jc w:val="center"/>
              <w:cnfStyle w:val="000000100000"/>
              <w:rPr>
                <w:rFonts w:cs="Arial"/>
                <w:color w:val="auto"/>
                <w:sz w:val="20"/>
                <w:szCs w:val="20"/>
                <w:lang w:eastAsia="en-GB"/>
              </w:rPr>
            </w:pPr>
            <w:r w:rsidRPr="00727D68">
              <w:rPr>
                <w:rFonts w:cs="Arial"/>
                <w:color w:val="auto"/>
                <w:sz w:val="20"/>
                <w:szCs w:val="20"/>
                <w:lang w:eastAsia="en-GB"/>
              </w:rPr>
              <w:t>0</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0</w:t>
            </w:r>
          </w:p>
        </w:tc>
        <w:tc>
          <w:tcPr>
            <w:tcW w:w="992" w:type="dxa"/>
            <w:tcBorders>
              <w:right w:val="nil"/>
            </w:tcBorders>
            <w:vAlign w:val="center"/>
          </w:tcPr>
          <w:p w:rsidR="00727D68" w:rsidRPr="00727D68" w:rsidRDefault="00727D68" w:rsidP="00513894">
            <w:pPr>
              <w:autoSpaceDE w:val="0"/>
              <w:autoSpaceDN w:val="0"/>
              <w:adjustRightInd w:val="0"/>
              <w:jc w:val="center"/>
              <w:cnfStyle w:val="000000100000"/>
              <w:rPr>
                <w:rFonts w:cs="Arial"/>
                <w:color w:val="auto"/>
                <w:sz w:val="20"/>
                <w:szCs w:val="20"/>
                <w:lang w:eastAsia="en-GB"/>
              </w:rPr>
            </w:pPr>
            <w:r w:rsidRPr="00727D68">
              <w:rPr>
                <w:rFonts w:cs="Arial"/>
                <w:color w:val="auto"/>
                <w:sz w:val="20"/>
                <w:szCs w:val="20"/>
                <w:lang w:eastAsia="en-GB"/>
              </w:rPr>
              <w:t>60,001</w:t>
            </w:r>
          </w:p>
        </w:tc>
        <w:tc>
          <w:tcPr>
            <w:cnfStyle w:val="000010000000"/>
            <w:tcW w:w="425" w:type="dxa"/>
            <w:gridSpan w:val="2"/>
            <w:tcBorders>
              <w:left w:val="nil"/>
              <w:right w:val="nil"/>
            </w:tcBorders>
            <w:vAlign w:val="center"/>
          </w:tcPr>
          <w:p w:rsidR="00727D68" w:rsidRPr="00727D68" w:rsidRDefault="00727D68" w:rsidP="00513894">
            <w:pPr>
              <w:autoSpaceDE w:val="0"/>
              <w:autoSpaceDN w:val="0"/>
              <w:adjustRightInd w:val="0"/>
              <w:jc w:val="center"/>
              <w:rPr>
                <w:rFonts w:cs="Arial"/>
                <w:color w:val="auto"/>
                <w:sz w:val="20"/>
                <w:szCs w:val="20"/>
                <w:lang w:eastAsia="en-GB"/>
              </w:rPr>
            </w:pPr>
            <w:r w:rsidRPr="00727D68">
              <w:rPr>
                <w:rFonts w:cs="Arial"/>
                <w:color w:val="auto"/>
                <w:sz w:val="20"/>
                <w:szCs w:val="20"/>
                <w:lang w:eastAsia="en-GB"/>
              </w:rPr>
              <w:t>to</w:t>
            </w:r>
          </w:p>
        </w:tc>
        <w:tc>
          <w:tcPr>
            <w:tcW w:w="993" w:type="dxa"/>
            <w:tcBorders>
              <w:left w:val="nil"/>
            </w:tcBorders>
            <w:vAlign w:val="center"/>
          </w:tcPr>
          <w:p w:rsidR="00727D68" w:rsidRPr="00727D68" w:rsidRDefault="00727D68" w:rsidP="00513894">
            <w:pPr>
              <w:autoSpaceDE w:val="0"/>
              <w:autoSpaceDN w:val="0"/>
              <w:adjustRightInd w:val="0"/>
              <w:jc w:val="center"/>
              <w:cnfStyle w:val="000000100000"/>
              <w:rPr>
                <w:rFonts w:cs="Arial"/>
                <w:color w:val="auto"/>
                <w:sz w:val="20"/>
                <w:szCs w:val="20"/>
                <w:lang w:eastAsia="en-GB"/>
              </w:rPr>
            </w:pPr>
            <w:r w:rsidRPr="00727D68">
              <w:rPr>
                <w:rFonts w:cs="Arial"/>
                <w:color w:val="auto"/>
                <w:sz w:val="20"/>
                <w:szCs w:val="20"/>
                <w:lang w:eastAsia="en-GB"/>
              </w:rPr>
              <w:t>80,000</w:t>
            </w:r>
          </w:p>
        </w:tc>
        <w:tc>
          <w:tcPr>
            <w:cnfStyle w:val="000010000000"/>
            <w:tcW w:w="850" w:type="dxa"/>
            <w:vAlign w:val="center"/>
          </w:tcPr>
          <w:p w:rsidR="00727D68" w:rsidRPr="00727D68" w:rsidRDefault="00D73733" w:rsidP="00A41527">
            <w:pPr>
              <w:pStyle w:val="CodeNotesExampleHead"/>
              <w:widowControl w:val="0"/>
              <w:jc w:val="center"/>
              <w:rPr>
                <w:rFonts w:cs="Arial"/>
                <w:color w:val="auto"/>
                <w:sz w:val="20"/>
                <w:szCs w:val="20"/>
                <w:lang w:eastAsia="en-GB"/>
              </w:rPr>
            </w:pPr>
            <w:r>
              <w:rPr>
                <w:rFonts w:cs="Arial"/>
                <w:color w:val="auto"/>
                <w:sz w:val="20"/>
                <w:szCs w:val="20"/>
                <w:lang w:eastAsia="en-GB"/>
              </w:rPr>
              <w:t>0</w:t>
            </w:r>
          </w:p>
        </w:tc>
        <w:tc>
          <w:tcPr>
            <w:tcW w:w="851" w:type="dxa"/>
            <w:vAlign w:val="center"/>
          </w:tcPr>
          <w:p w:rsidR="00727D68" w:rsidRPr="00727D68" w:rsidRDefault="00D73733" w:rsidP="00DD4207">
            <w:pPr>
              <w:pStyle w:val="CodeNotesExampleHead"/>
              <w:widowControl w:val="0"/>
              <w:jc w:val="center"/>
              <w:cnfStyle w:val="000000100000"/>
              <w:rPr>
                <w:rFonts w:cs="Arial"/>
                <w:color w:val="auto"/>
                <w:sz w:val="20"/>
                <w:szCs w:val="20"/>
                <w:lang w:eastAsia="en-GB"/>
              </w:rPr>
            </w:pPr>
            <w:r>
              <w:rPr>
                <w:rFonts w:cs="Arial"/>
                <w:color w:val="auto"/>
                <w:sz w:val="20"/>
                <w:szCs w:val="20"/>
                <w:lang w:eastAsia="en-GB"/>
              </w:rPr>
              <w:t>0</w:t>
            </w:r>
          </w:p>
        </w:tc>
        <w:tc>
          <w:tcPr>
            <w:cnfStyle w:val="000010000000"/>
            <w:tcW w:w="850"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c>
          <w:tcPr>
            <w:cnfStyle w:val="000100000000"/>
            <w:tcW w:w="992"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r>
      <w:tr w:rsidR="00727D68" w:rsidRPr="00727D68" w:rsidTr="00A07003">
        <w:tc>
          <w:tcPr>
            <w:cnfStyle w:val="001000000000"/>
            <w:tcW w:w="709"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0</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0</w:t>
            </w:r>
          </w:p>
        </w:tc>
        <w:tc>
          <w:tcPr>
            <w:tcW w:w="708" w:type="dxa"/>
            <w:vAlign w:val="center"/>
          </w:tcPr>
          <w:p w:rsidR="00727D68" w:rsidRPr="00727D68" w:rsidRDefault="00727D68" w:rsidP="00727D68">
            <w:pPr>
              <w:pStyle w:val="CodeNotesExampleHead"/>
              <w:widowControl w:val="0"/>
              <w:jc w:val="center"/>
              <w:cnfStyle w:val="000000000000"/>
              <w:rPr>
                <w:rFonts w:cs="Arial"/>
                <w:color w:val="auto"/>
                <w:sz w:val="20"/>
                <w:szCs w:val="20"/>
                <w:lang w:eastAsia="en-GB"/>
              </w:rPr>
            </w:pPr>
            <w:r w:rsidRPr="00727D68">
              <w:rPr>
                <w:rFonts w:cs="Arial"/>
                <w:color w:val="auto"/>
                <w:sz w:val="20"/>
                <w:szCs w:val="20"/>
                <w:lang w:eastAsia="en-GB"/>
              </w:rPr>
              <w:t>0</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0</w:t>
            </w:r>
          </w:p>
        </w:tc>
        <w:tc>
          <w:tcPr>
            <w:tcW w:w="992" w:type="dxa"/>
            <w:tcBorders>
              <w:top w:val="single" w:sz="4" w:space="0" w:color="4BACC6" w:themeColor="accent5"/>
              <w:bottom w:val="single" w:sz="4" w:space="0" w:color="4BACC6" w:themeColor="accent5"/>
              <w:right w:val="nil"/>
            </w:tcBorders>
            <w:vAlign w:val="center"/>
          </w:tcPr>
          <w:p w:rsidR="00727D68" w:rsidRPr="00727D68" w:rsidRDefault="00727D68" w:rsidP="00513894">
            <w:pPr>
              <w:autoSpaceDE w:val="0"/>
              <w:autoSpaceDN w:val="0"/>
              <w:adjustRightInd w:val="0"/>
              <w:jc w:val="center"/>
              <w:cnfStyle w:val="000000000000"/>
              <w:rPr>
                <w:rFonts w:cs="Arial"/>
                <w:color w:val="auto"/>
                <w:sz w:val="20"/>
                <w:szCs w:val="20"/>
                <w:lang w:eastAsia="en-GB"/>
              </w:rPr>
            </w:pPr>
            <w:r w:rsidRPr="00727D68">
              <w:rPr>
                <w:rFonts w:cs="Arial"/>
                <w:color w:val="auto"/>
                <w:sz w:val="20"/>
                <w:szCs w:val="20"/>
                <w:lang w:eastAsia="en-GB"/>
              </w:rPr>
              <w:t>80,001</w:t>
            </w:r>
          </w:p>
        </w:tc>
        <w:tc>
          <w:tcPr>
            <w:cnfStyle w:val="000010000000"/>
            <w:tcW w:w="425" w:type="dxa"/>
            <w:gridSpan w:val="2"/>
            <w:tcBorders>
              <w:top w:val="single" w:sz="4" w:space="0" w:color="4BACC6" w:themeColor="accent5"/>
              <w:left w:val="nil"/>
              <w:bottom w:val="single" w:sz="4" w:space="0" w:color="4BACC6" w:themeColor="accent5"/>
              <w:right w:val="nil"/>
            </w:tcBorders>
            <w:vAlign w:val="center"/>
          </w:tcPr>
          <w:p w:rsidR="00727D68" w:rsidRPr="00727D68" w:rsidRDefault="00727D68" w:rsidP="00513894">
            <w:pPr>
              <w:autoSpaceDE w:val="0"/>
              <w:autoSpaceDN w:val="0"/>
              <w:adjustRightInd w:val="0"/>
              <w:jc w:val="center"/>
              <w:rPr>
                <w:rFonts w:cs="Arial"/>
                <w:color w:val="auto"/>
                <w:sz w:val="20"/>
                <w:szCs w:val="20"/>
                <w:lang w:eastAsia="en-GB"/>
              </w:rPr>
            </w:pPr>
            <w:r w:rsidRPr="00727D68">
              <w:rPr>
                <w:rFonts w:cs="Arial"/>
                <w:color w:val="auto"/>
                <w:sz w:val="20"/>
                <w:szCs w:val="20"/>
                <w:lang w:eastAsia="en-GB"/>
              </w:rPr>
              <w:t>to</w:t>
            </w:r>
          </w:p>
        </w:tc>
        <w:tc>
          <w:tcPr>
            <w:tcW w:w="993" w:type="dxa"/>
            <w:tcBorders>
              <w:top w:val="single" w:sz="4" w:space="0" w:color="4BACC6" w:themeColor="accent5"/>
              <w:left w:val="nil"/>
              <w:bottom w:val="single" w:sz="4" w:space="0" w:color="4BACC6" w:themeColor="accent5"/>
            </w:tcBorders>
            <w:vAlign w:val="center"/>
          </w:tcPr>
          <w:p w:rsidR="00727D68" w:rsidRPr="00727D68" w:rsidRDefault="00727D68" w:rsidP="00513894">
            <w:pPr>
              <w:autoSpaceDE w:val="0"/>
              <w:autoSpaceDN w:val="0"/>
              <w:adjustRightInd w:val="0"/>
              <w:jc w:val="center"/>
              <w:cnfStyle w:val="000000000000"/>
              <w:rPr>
                <w:rFonts w:cs="Arial"/>
                <w:color w:val="auto"/>
                <w:sz w:val="20"/>
                <w:szCs w:val="20"/>
                <w:lang w:eastAsia="en-GB"/>
              </w:rPr>
            </w:pPr>
            <w:r w:rsidRPr="00727D68">
              <w:rPr>
                <w:rFonts w:cs="Arial"/>
                <w:color w:val="auto"/>
                <w:sz w:val="20"/>
                <w:szCs w:val="20"/>
                <w:lang w:eastAsia="en-GB"/>
              </w:rPr>
              <w:t>100,000</w:t>
            </w:r>
          </w:p>
        </w:tc>
        <w:tc>
          <w:tcPr>
            <w:cnfStyle w:val="000010000000"/>
            <w:tcW w:w="850" w:type="dxa"/>
            <w:vAlign w:val="center"/>
          </w:tcPr>
          <w:p w:rsidR="00727D68" w:rsidRPr="00727D68" w:rsidRDefault="00D73733" w:rsidP="00A41527">
            <w:pPr>
              <w:pStyle w:val="CodeNotesExampleHead"/>
              <w:widowControl w:val="0"/>
              <w:jc w:val="center"/>
              <w:rPr>
                <w:rFonts w:cs="Arial"/>
                <w:color w:val="auto"/>
                <w:sz w:val="20"/>
                <w:szCs w:val="20"/>
                <w:lang w:eastAsia="en-GB"/>
              </w:rPr>
            </w:pPr>
            <w:r>
              <w:rPr>
                <w:rFonts w:cs="Arial"/>
                <w:color w:val="auto"/>
                <w:sz w:val="20"/>
                <w:szCs w:val="20"/>
                <w:lang w:eastAsia="en-GB"/>
              </w:rPr>
              <w:t>1</w:t>
            </w:r>
          </w:p>
        </w:tc>
        <w:tc>
          <w:tcPr>
            <w:tcW w:w="851" w:type="dxa"/>
            <w:vAlign w:val="center"/>
          </w:tcPr>
          <w:p w:rsidR="00727D68" w:rsidRPr="00727D68" w:rsidRDefault="00D73733" w:rsidP="00DD4207">
            <w:pPr>
              <w:pStyle w:val="CodeNotesExampleHead"/>
              <w:widowControl w:val="0"/>
              <w:jc w:val="center"/>
              <w:cnfStyle w:val="000000000000"/>
              <w:rPr>
                <w:rFonts w:cs="Arial"/>
                <w:color w:val="auto"/>
                <w:sz w:val="20"/>
                <w:szCs w:val="20"/>
                <w:lang w:eastAsia="en-GB"/>
              </w:rPr>
            </w:pPr>
            <w:r>
              <w:rPr>
                <w:rFonts w:cs="Arial"/>
                <w:color w:val="auto"/>
                <w:sz w:val="20"/>
                <w:szCs w:val="20"/>
                <w:lang w:eastAsia="en-GB"/>
              </w:rPr>
              <w:t>80</w:t>
            </w:r>
          </w:p>
        </w:tc>
        <w:tc>
          <w:tcPr>
            <w:cnfStyle w:val="000010000000"/>
            <w:tcW w:w="850"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c>
          <w:tcPr>
            <w:cnfStyle w:val="000100000000"/>
            <w:tcW w:w="992"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r>
      <w:tr w:rsidR="00727D68" w:rsidRPr="00727D68" w:rsidTr="00A07003">
        <w:trPr>
          <w:cnfStyle w:val="000000100000"/>
        </w:trPr>
        <w:tc>
          <w:tcPr>
            <w:cnfStyle w:val="001000000000"/>
            <w:tcW w:w="709"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0</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0</w:t>
            </w:r>
          </w:p>
        </w:tc>
        <w:tc>
          <w:tcPr>
            <w:tcW w:w="708" w:type="dxa"/>
            <w:vAlign w:val="center"/>
          </w:tcPr>
          <w:p w:rsidR="00727D68" w:rsidRPr="00727D68" w:rsidRDefault="00727D68" w:rsidP="00727D68">
            <w:pPr>
              <w:pStyle w:val="CodeNotesExampleHead"/>
              <w:widowControl w:val="0"/>
              <w:jc w:val="center"/>
              <w:cnfStyle w:val="000000100000"/>
              <w:rPr>
                <w:rFonts w:cs="Arial"/>
                <w:color w:val="auto"/>
                <w:sz w:val="20"/>
                <w:szCs w:val="20"/>
                <w:lang w:eastAsia="en-GB"/>
              </w:rPr>
            </w:pPr>
            <w:r w:rsidRPr="00727D68">
              <w:rPr>
                <w:rFonts w:cs="Arial"/>
                <w:color w:val="auto"/>
                <w:sz w:val="20"/>
                <w:szCs w:val="20"/>
                <w:lang w:eastAsia="en-GB"/>
              </w:rPr>
              <w:t>1</w:t>
            </w:r>
          </w:p>
        </w:tc>
        <w:tc>
          <w:tcPr>
            <w:cnfStyle w:val="000010000000"/>
            <w:tcW w:w="851" w:type="dxa"/>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106</w:t>
            </w:r>
          </w:p>
        </w:tc>
        <w:tc>
          <w:tcPr>
            <w:tcW w:w="992" w:type="dxa"/>
            <w:tcBorders>
              <w:right w:val="nil"/>
            </w:tcBorders>
            <w:vAlign w:val="center"/>
          </w:tcPr>
          <w:p w:rsidR="00727D68" w:rsidRPr="00727D68" w:rsidRDefault="00727D68" w:rsidP="00513894">
            <w:pPr>
              <w:autoSpaceDE w:val="0"/>
              <w:autoSpaceDN w:val="0"/>
              <w:adjustRightInd w:val="0"/>
              <w:jc w:val="center"/>
              <w:cnfStyle w:val="000000100000"/>
              <w:rPr>
                <w:rFonts w:cs="Arial"/>
                <w:color w:val="auto"/>
                <w:sz w:val="20"/>
                <w:szCs w:val="20"/>
                <w:lang w:eastAsia="en-GB"/>
              </w:rPr>
            </w:pPr>
            <w:r w:rsidRPr="00727D68">
              <w:rPr>
                <w:rFonts w:cs="Arial"/>
                <w:color w:val="auto"/>
                <w:sz w:val="20"/>
                <w:szCs w:val="20"/>
                <w:lang w:eastAsia="en-GB"/>
              </w:rPr>
              <w:t>100,001</w:t>
            </w:r>
          </w:p>
        </w:tc>
        <w:tc>
          <w:tcPr>
            <w:cnfStyle w:val="000010000000"/>
            <w:tcW w:w="425" w:type="dxa"/>
            <w:gridSpan w:val="2"/>
            <w:tcBorders>
              <w:left w:val="nil"/>
              <w:right w:val="nil"/>
            </w:tcBorders>
            <w:vAlign w:val="center"/>
          </w:tcPr>
          <w:p w:rsidR="00727D68" w:rsidRPr="00727D68" w:rsidRDefault="00727D68" w:rsidP="00513894">
            <w:pPr>
              <w:autoSpaceDE w:val="0"/>
              <w:autoSpaceDN w:val="0"/>
              <w:adjustRightInd w:val="0"/>
              <w:jc w:val="center"/>
              <w:rPr>
                <w:rFonts w:cs="Arial"/>
                <w:color w:val="auto"/>
                <w:sz w:val="20"/>
                <w:szCs w:val="20"/>
                <w:lang w:eastAsia="en-GB"/>
              </w:rPr>
            </w:pPr>
            <w:r w:rsidRPr="00727D68">
              <w:rPr>
                <w:rFonts w:cs="Arial"/>
                <w:color w:val="auto"/>
                <w:sz w:val="20"/>
                <w:szCs w:val="20"/>
                <w:lang w:eastAsia="en-GB"/>
              </w:rPr>
              <w:t>to</w:t>
            </w:r>
          </w:p>
        </w:tc>
        <w:tc>
          <w:tcPr>
            <w:tcW w:w="993" w:type="dxa"/>
            <w:tcBorders>
              <w:left w:val="nil"/>
            </w:tcBorders>
            <w:vAlign w:val="center"/>
          </w:tcPr>
          <w:p w:rsidR="00727D68" w:rsidRPr="00727D68" w:rsidRDefault="00727D68" w:rsidP="00513894">
            <w:pPr>
              <w:autoSpaceDE w:val="0"/>
              <w:autoSpaceDN w:val="0"/>
              <w:adjustRightInd w:val="0"/>
              <w:jc w:val="center"/>
              <w:cnfStyle w:val="000000100000"/>
              <w:rPr>
                <w:rFonts w:cs="Arial"/>
                <w:color w:val="auto"/>
                <w:sz w:val="20"/>
                <w:szCs w:val="20"/>
                <w:lang w:eastAsia="en-GB"/>
              </w:rPr>
            </w:pPr>
            <w:r w:rsidRPr="00727D68">
              <w:rPr>
                <w:rFonts w:cs="Arial"/>
                <w:color w:val="auto"/>
                <w:sz w:val="20"/>
                <w:szCs w:val="20"/>
                <w:lang w:eastAsia="en-GB"/>
              </w:rPr>
              <w:t>150,000</w:t>
            </w:r>
          </w:p>
        </w:tc>
        <w:tc>
          <w:tcPr>
            <w:cnfStyle w:val="000010000000"/>
            <w:tcW w:w="850" w:type="dxa"/>
            <w:vAlign w:val="center"/>
          </w:tcPr>
          <w:p w:rsidR="00727D68" w:rsidRPr="00727D68" w:rsidRDefault="00D73733" w:rsidP="00A41527">
            <w:pPr>
              <w:pStyle w:val="CodeNotesExampleHead"/>
              <w:widowControl w:val="0"/>
              <w:jc w:val="center"/>
              <w:rPr>
                <w:rFonts w:cs="Arial"/>
                <w:color w:val="auto"/>
                <w:sz w:val="20"/>
                <w:szCs w:val="20"/>
                <w:lang w:eastAsia="en-GB"/>
              </w:rPr>
            </w:pPr>
            <w:r>
              <w:rPr>
                <w:rFonts w:cs="Arial"/>
                <w:color w:val="auto"/>
                <w:sz w:val="20"/>
                <w:szCs w:val="20"/>
                <w:lang w:eastAsia="en-GB"/>
              </w:rPr>
              <w:t>0</w:t>
            </w:r>
          </w:p>
        </w:tc>
        <w:tc>
          <w:tcPr>
            <w:tcW w:w="851" w:type="dxa"/>
            <w:vAlign w:val="center"/>
          </w:tcPr>
          <w:p w:rsidR="00727D68" w:rsidRPr="00727D68" w:rsidRDefault="00D73733" w:rsidP="00DD4207">
            <w:pPr>
              <w:pStyle w:val="CodeNotesExampleHead"/>
              <w:widowControl w:val="0"/>
              <w:jc w:val="center"/>
              <w:cnfStyle w:val="000000100000"/>
              <w:rPr>
                <w:rFonts w:cs="Arial"/>
                <w:color w:val="auto"/>
                <w:sz w:val="20"/>
                <w:szCs w:val="20"/>
                <w:lang w:eastAsia="en-GB"/>
              </w:rPr>
            </w:pPr>
            <w:r>
              <w:rPr>
                <w:rFonts w:cs="Arial"/>
                <w:color w:val="auto"/>
                <w:sz w:val="20"/>
                <w:szCs w:val="20"/>
                <w:lang w:eastAsia="en-GB"/>
              </w:rPr>
              <w:t>0</w:t>
            </w:r>
          </w:p>
        </w:tc>
        <w:tc>
          <w:tcPr>
            <w:cnfStyle w:val="000010000000"/>
            <w:tcW w:w="850"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c>
          <w:tcPr>
            <w:cnfStyle w:val="000100000000"/>
            <w:tcW w:w="992" w:type="dxa"/>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0</w:t>
            </w:r>
          </w:p>
        </w:tc>
      </w:tr>
      <w:tr w:rsidR="00727D68" w:rsidRPr="00727D68" w:rsidTr="00A07003">
        <w:trPr>
          <w:cnfStyle w:val="010000000000"/>
        </w:trPr>
        <w:tc>
          <w:tcPr>
            <w:cnfStyle w:val="001000000001"/>
            <w:tcW w:w="709" w:type="dxa"/>
            <w:tcBorders>
              <w:top w:val="single" w:sz="4" w:space="0" w:color="4BACC6" w:themeColor="accent5"/>
              <w:bottom w:val="single" w:sz="4" w:space="0" w:color="4BACC6" w:themeColor="accent5"/>
            </w:tcBorders>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11</w:t>
            </w:r>
          </w:p>
        </w:tc>
        <w:tc>
          <w:tcPr>
            <w:cnfStyle w:val="000010000000"/>
            <w:tcW w:w="851" w:type="dxa"/>
            <w:tcBorders>
              <w:top w:val="single" w:sz="4" w:space="0" w:color="4BACC6" w:themeColor="accent5"/>
              <w:bottom w:val="single" w:sz="4" w:space="0" w:color="4BACC6" w:themeColor="accent5"/>
            </w:tcBorders>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162</w:t>
            </w:r>
          </w:p>
        </w:tc>
        <w:tc>
          <w:tcPr>
            <w:tcW w:w="708" w:type="dxa"/>
            <w:tcBorders>
              <w:top w:val="single" w:sz="4" w:space="0" w:color="4BACC6" w:themeColor="accent5"/>
              <w:bottom w:val="single" w:sz="4" w:space="0" w:color="4BACC6" w:themeColor="accent5"/>
            </w:tcBorders>
            <w:vAlign w:val="center"/>
          </w:tcPr>
          <w:p w:rsidR="00727D68" w:rsidRPr="00727D68" w:rsidRDefault="00727D68" w:rsidP="00727D68">
            <w:pPr>
              <w:pStyle w:val="CodeNotesExampleHead"/>
              <w:widowControl w:val="0"/>
              <w:jc w:val="center"/>
              <w:cnfStyle w:val="010000000000"/>
              <w:rPr>
                <w:rFonts w:cs="Arial"/>
                <w:color w:val="auto"/>
                <w:sz w:val="20"/>
                <w:szCs w:val="20"/>
                <w:lang w:eastAsia="en-GB"/>
              </w:rPr>
            </w:pPr>
            <w:r w:rsidRPr="00727D68">
              <w:rPr>
                <w:rFonts w:cs="Arial"/>
                <w:color w:val="auto"/>
                <w:sz w:val="20"/>
                <w:szCs w:val="20"/>
                <w:lang w:eastAsia="en-GB"/>
              </w:rPr>
              <w:t>13</w:t>
            </w:r>
          </w:p>
        </w:tc>
        <w:tc>
          <w:tcPr>
            <w:cnfStyle w:val="000010000000"/>
            <w:tcW w:w="851" w:type="dxa"/>
            <w:tcBorders>
              <w:top w:val="single" w:sz="4" w:space="0" w:color="4BACC6" w:themeColor="accent5"/>
              <w:bottom w:val="single" w:sz="4" w:space="0" w:color="4BACC6" w:themeColor="accent5"/>
            </w:tcBorders>
            <w:vAlign w:val="center"/>
          </w:tcPr>
          <w:p w:rsidR="00727D68" w:rsidRPr="00727D68" w:rsidRDefault="00727D68" w:rsidP="00727D68">
            <w:pPr>
              <w:pStyle w:val="CodeNotesExampleHead"/>
              <w:widowControl w:val="0"/>
              <w:jc w:val="center"/>
              <w:rPr>
                <w:rFonts w:cs="Arial"/>
                <w:color w:val="auto"/>
                <w:sz w:val="20"/>
                <w:szCs w:val="20"/>
                <w:lang w:eastAsia="en-GB"/>
              </w:rPr>
            </w:pPr>
            <w:r w:rsidRPr="00727D68">
              <w:rPr>
                <w:rFonts w:cs="Arial"/>
                <w:color w:val="auto"/>
                <w:sz w:val="20"/>
                <w:szCs w:val="20"/>
                <w:lang w:eastAsia="en-GB"/>
              </w:rPr>
              <w:t>335</w:t>
            </w:r>
          </w:p>
        </w:tc>
        <w:tc>
          <w:tcPr>
            <w:tcW w:w="2410" w:type="dxa"/>
            <w:gridSpan w:val="4"/>
            <w:tcBorders>
              <w:top w:val="single" w:sz="4" w:space="0" w:color="4BACC6" w:themeColor="accent5"/>
              <w:bottom w:val="single" w:sz="4" w:space="0" w:color="4BACC6" w:themeColor="accent5"/>
            </w:tcBorders>
            <w:vAlign w:val="center"/>
          </w:tcPr>
          <w:p w:rsidR="00727D68" w:rsidRPr="00727D68" w:rsidRDefault="00727D68" w:rsidP="00DD4207">
            <w:pPr>
              <w:pStyle w:val="CodeNotesExampleHead"/>
              <w:widowControl w:val="0"/>
              <w:jc w:val="center"/>
              <w:cnfStyle w:val="010000000000"/>
              <w:rPr>
                <w:rFonts w:cs="Arial"/>
                <w:color w:val="auto"/>
                <w:sz w:val="20"/>
                <w:szCs w:val="20"/>
                <w:lang w:eastAsia="en-GB"/>
              </w:rPr>
            </w:pPr>
          </w:p>
          <w:p w:rsidR="00727D68" w:rsidRPr="00727D68" w:rsidRDefault="00727D68" w:rsidP="00DD4207">
            <w:pPr>
              <w:pStyle w:val="CodeNotesExampleHead"/>
              <w:widowControl w:val="0"/>
              <w:jc w:val="center"/>
              <w:cnfStyle w:val="010000000000"/>
              <w:rPr>
                <w:rFonts w:cs="Arial"/>
                <w:color w:val="auto"/>
                <w:sz w:val="20"/>
                <w:szCs w:val="20"/>
                <w:lang w:eastAsia="en-GB"/>
              </w:rPr>
            </w:pPr>
          </w:p>
        </w:tc>
        <w:tc>
          <w:tcPr>
            <w:cnfStyle w:val="000010000000"/>
            <w:tcW w:w="850" w:type="dxa"/>
            <w:tcBorders>
              <w:top w:val="single" w:sz="4" w:space="0" w:color="4BACC6" w:themeColor="accent5"/>
              <w:bottom w:val="single" w:sz="4" w:space="0" w:color="4BACC6" w:themeColor="accent5"/>
            </w:tcBorders>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12</w:t>
            </w:r>
          </w:p>
        </w:tc>
        <w:tc>
          <w:tcPr>
            <w:tcW w:w="851" w:type="dxa"/>
            <w:tcBorders>
              <w:top w:val="single" w:sz="4" w:space="0" w:color="4BACC6" w:themeColor="accent5"/>
              <w:bottom w:val="single" w:sz="4" w:space="0" w:color="4BACC6" w:themeColor="accent5"/>
            </w:tcBorders>
            <w:vAlign w:val="center"/>
          </w:tcPr>
          <w:p w:rsidR="00727D68" w:rsidRPr="00727D68" w:rsidRDefault="00D73733" w:rsidP="00DD4207">
            <w:pPr>
              <w:pStyle w:val="CodeNotesExampleHead"/>
              <w:widowControl w:val="0"/>
              <w:jc w:val="center"/>
              <w:cnfStyle w:val="010000000000"/>
              <w:rPr>
                <w:rFonts w:cs="Arial"/>
                <w:color w:val="auto"/>
                <w:sz w:val="20"/>
                <w:szCs w:val="20"/>
                <w:lang w:eastAsia="en-GB"/>
              </w:rPr>
            </w:pPr>
            <w:r>
              <w:rPr>
                <w:rFonts w:cs="Arial"/>
                <w:color w:val="auto"/>
                <w:sz w:val="20"/>
                <w:szCs w:val="20"/>
                <w:lang w:eastAsia="en-GB"/>
              </w:rPr>
              <w:t>270</w:t>
            </w:r>
          </w:p>
        </w:tc>
        <w:tc>
          <w:tcPr>
            <w:cnfStyle w:val="000010000000"/>
            <w:tcW w:w="850" w:type="dxa"/>
            <w:tcBorders>
              <w:top w:val="single" w:sz="4" w:space="0" w:color="4BACC6" w:themeColor="accent5"/>
              <w:bottom w:val="single" w:sz="4" w:space="0" w:color="4BACC6" w:themeColor="accent5"/>
            </w:tcBorders>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6</w:t>
            </w:r>
          </w:p>
        </w:tc>
        <w:tc>
          <w:tcPr>
            <w:cnfStyle w:val="000100000010"/>
            <w:tcW w:w="992" w:type="dxa"/>
            <w:tcBorders>
              <w:top w:val="single" w:sz="4" w:space="0" w:color="4BACC6" w:themeColor="accent5"/>
              <w:bottom w:val="single" w:sz="4" w:space="0" w:color="4BACC6" w:themeColor="accent5"/>
            </w:tcBorders>
            <w:vAlign w:val="center"/>
          </w:tcPr>
          <w:p w:rsidR="00727D68" w:rsidRPr="00727D68" w:rsidRDefault="00D73733" w:rsidP="00DD4207">
            <w:pPr>
              <w:pStyle w:val="CodeNotesExampleHead"/>
              <w:widowControl w:val="0"/>
              <w:jc w:val="center"/>
              <w:rPr>
                <w:rFonts w:cs="Arial"/>
                <w:color w:val="auto"/>
                <w:sz w:val="20"/>
                <w:szCs w:val="20"/>
                <w:lang w:eastAsia="en-GB"/>
              </w:rPr>
            </w:pPr>
            <w:r>
              <w:rPr>
                <w:rFonts w:cs="Arial"/>
                <w:color w:val="auto"/>
                <w:sz w:val="20"/>
                <w:szCs w:val="20"/>
                <w:lang w:eastAsia="en-GB"/>
              </w:rPr>
              <w:t>74</w:t>
            </w:r>
          </w:p>
        </w:tc>
      </w:tr>
    </w:tbl>
    <w:p w:rsidR="001D5D6D" w:rsidRPr="00D42E0B" w:rsidRDefault="001D5D6D" w:rsidP="003C5E34">
      <w:pPr>
        <w:pStyle w:val="CodeNotesExampleText"/>
        <w:widowControl w:val="0"/>
        <w:ind w:left="567" w:hanging="567"/>
        <w:outlineLvl w:val="0"/>
        <w:rPr>
          <w:b/>
          <w:color w:val="548DD4" w:themeColor="text2" w:themeTint="99"/>
          <w:sz w:val="21"/>
          <w:szCs w:val="21"/>
        </w:rPr>
      </w:pPr>
    </w:p>
    <w:p w:rsidR="001C4A8E" w:rsidRPr="00D42E0B" w:rsidRDefault="001C4A8E" w:rsidP="003C5E34">
      <w:pPr>
        <w:pStyle w:val="CodeNotesExampleText"/>
        <w:widowControl w:val="0"/>
        <w:ind w:left="567" w:hanging="567"/>
        <w:outlineLvl w:val="0"/>
        <w:rPr>
          <w:b/>
          <w:color w:val="548DD4" w:themeColor="text2" w:themeTint="99"/>
          <w:sz w:val="21"/>
          <w:szCs w:val="21"/>
        </w:rPr>
      </w:pPr>
    </w:p>
    <w:p w:rsidR="00E51139" w:rsidRPr="009D5F43" w:rsidRDefault="005C68D8" w:rsidP="001C4A8E">
      <w:pPr>
        <w:pStyle w:val="Subtitle"/>
        <w:ind w:left="567" w:hanging="567"/>
        <w:rPr>
          <w:b/>
          <w:color w:val="auto"/>
          <w:sz w:val="22"/>
          <w:szCs w:val="22"/>
        </w:rPr>
      </w:pPr>
      <w:r w:rsidRPr="009D5F43">
        <w:rPr>
          <w:b/>
          <w:color w:val="auto"/>
          <w:sz w:val="22"/>
          <w:szCs w:val="22"/>
        </w:rPr>
        <w:t>3</w:t>
      </w:r>
      <w:r w:rsidR="000A1BAE" w:rsidRPr="009D5F43">
        <w:rPr>
          <w:b/>
          <w:color w:val="auto"/>
          <w:sz w:val="22"/>
          <w:szCs w:val="22"/>
        </w:rPr>
        <w:t>5.</w:t>
      </w:r>
      <w:r w:rsidR="00E51139" w:rsidRPr="009D5F43">
        <w:rPr>
          <w:b/>
          <w:color w:val="auto"/>
          <w:sz w:val="22"/>
          <w:szCs w:val="22"/>
        </w:rPr>
        <w:tab/>
        <w:t>Capital Expenditure and Capital Financing</w:t>
      </w:r>
    </w:p>
    <w:p w:rsidR="00E51139" w:rsidRPr="009D5F43" w:rsidRDefault="00E51139" w:rsidP="001C4A8E">
      <w:pPr>
        <w:pStyle w:val="ExampleSub"/>
        <w:keepNext w:val="0"/>
        <w:keepLines w:val="0"/>
        <w:spacing w:before="120" w:line="240" w:lineRule="atLeast"/>
        <w:outlineLvl w:val="0"/>
        <w:rPr>
          <w:rFonts w:ascii="Arial" w:hAnsi="Arial" w:cs="Arial"/>
          <w:b w:val="0"/>
          <w:bCs w:val="0"/>
          <w:color w:val="auto"/>
          <w:sz w:val="20"/>
          <w:szCs w:val="20"/>
          <w:lang w:eastAsia="en-US"/>
        </w:rPr>
      </w:pPr>
      <w:r w:rsidRPr="009D5F43">
        <w:rPr>
          <w:rFonts w:ascii="Arial" w:hAnsi="Arial" w:cs="Arial"/>
          <w:b w:val="0"/>
          <w:bCs w:val="0"/>
          <w:color w:val="auto"/>
          <w:sz w:val="20"/>
          <w:szCs w:val="20"/>
          <w:lang w:eastAsia="en-US"/>
        </w:rPr>
        <w:t>The total amount of capital expenditure incurred in the year is shown in the table below, together with the resources that have been used to finance it.  Where capital expenditure is to be financed in future years by charges to revenue as assets are used by the Council over their asset life, the expenditure results in an increase in the Capital Financing Requirement (CFR). This is a measure of the capital expenditure incurred historically by the Council that has yet to be financed.  The CFR is analysed in the table below.</w:t>
      </w:r>
    </w:p>
    <w:p w:rsidR="00572F51" w:rsidRDefault="00572F51" w:rsidP="001C4A8E">
      <w:pPr>
        <w:pStyle w:val="ExampleSub"/>
        <w:keepNext w:val="0"/>
        <w:keepLines w:val="0"/>
        <w:spacing w:before="120" w:line="240" w:lineRule="atLeast"/>
        <w:outlineLvl w:val="0"/>
        <w:rPr>
          <w:rFonts w:ascii="Arial" w:hAnsi="Arial" w:cs="Arial"/>
          <w:b w:val="0"/>
          <w:bCs w:val="0"/>
          <w:color w:val="548DD4" w:themeColor="text2" w:themeTint="99"/>
          <w:sz w:val="20"/>
          <w:szCs w:val="20"/>
          <w:lang w:eastAsia="en-US"/>
        </w:rPr>
      </w:pPr>
    </w:p>
    <w:p w:rsidR="00576847" w:rsidRDefault="00576847" w:rsidP="001C4A8E">
      <w:pPr>
        <w:pStyle w:val="ExampleSub"/>
        <w:keepNext w:val="0"/>
        <w:keepLines w:val="0"/>
        <w:spacing w:before="120" w:line="240" w:lineRule="atLeast"/>
        <w:outlineLvl w:val="0"/>
        <w:rPr>
          <w:rFonts w:ascii="Arial" w:hAnsi="Arial" w:cs="Arial"/>
          <w:b w:val="0"/>
          <w:bCs w:val="0"/>
          <w:color w:val="548DD4" w:themeColor="text2" w:themeTint="99"/>
          <w:sz w:val="20"/>
          <w:szCs w:val="20"/>
          <w:lang w:eastAsia="en-US"/>
        </w:rPr>
      </w:pPr>
    </w:p>
    <w:p w:rsidR="00576847" w:rsidRDefault="00576847" w:rsidP="001C4A8E">
      <w:pPr>
        <w:pStyle w:val="ExampleSub"/>
        <w:keepNext w:val="0"/>
        <w:keepLines w:val="0"/>
        <w:spacing w:before="120" w:line="240" w:lineRule="atLeast"/>
        <w:outlineLvl w:val="0"/>
        <w:rPr>
          <w:rFonts w:ascii="Arial" w:hAnsi="Arial" w:cs="Arial"/>
          <w:b w:val="0"/>
          <w:bCs w:val="0"/>
          <w:color w:val="548DD4" w:themeColor="text2" w:themeTint="99"/>
          <w:sz w:val="20"/>
          <w:szCs w:val="20"/>
          <w:lang w:eastAsia="en-US"/>
        </w:rPr>
      </w:pPr>
    </w:p>
    <w:p w:rsidR="00576847" w:rsidRDefault="00576847" w:rsidP="001C4A8E">
      <w:pPr>
        <w:pStyle w:val="ExampleSub"/>
        <w:keepNext w:val="0"/>
        <w:keepLines w:val="0"/>
        <w:spacing w:before="120" w:line="240" w:lineRule="atLeast"/>
        <w:outlineLvl w:val="0"/>
        <w:rPr>
          <w:rFonts w:ascii="Arial" w:hAnsi="Arial" w:cs="Arial"/>
          <w:b w:val="0"/>
          <w:bCs w:val="0"/>
          <w:color w:val="548DD4" w:themeColor="text2" w:themeTint="99"/>
          <w:sz w:val="20"/>
          <w:szCs w:val="20"/>
          <w:lang w:eastAsia="en-US"/>
        </w:rPr>
      </w:pPr>
    </w:p>
    <w:p w:rsidR="00576847" w:rsidRDefault="00576847" w:rsidP="001C4A8E">
      <w:pPr>
        <w:pStyle w:val="ExampleSub"/>
        <w:keepNext w:val="0"/>
        <w:keepLines w:val="0"/>
        <w:spacing w:before="120" w:line="240" w:lineRule="atLeast"/>
        <w:outlineLvl w:val="0"/>
        <w:rPr>
          <w:rFonts w:ascii="Arial" w:hAnsi="Arial" w:cs="Arial"/>
          <w:b w:val="0"/>
          <w:bCs w:val="0"/>
          <w:color w:val="548DD4" w:themeColor="text2" w:themeTint="99"/>
          <w:sz w:val="20"/>
          <w:szCs w:val="20"/>
          <w:lang w:eastAsia="en-US"/>
        </w:rPr>
      </w:pPr>
    </w:p>
    <w:p w:rsidR="00576847" w:rsidRPr="00D42E0B" w:rsidRDefault="00576847" w:rsidP="001C4A8E">
      <w:pPr>
        <w:pStyle w:val="ExampleSub"/>
        <w:keepNext w:val="0"/>
        <w:keepLines w:val="0"/>
        <w:spacing w:before="120" w:line="240" w:lineRule="atLeast"/>
        <w:outlineLvl w:val="0"/>
        <w:rPr>
          <w:rFonts w:ascii="Arial" w:hAnsi="Arial" w:cs="Arial"/>
          <w:b w:val="0"/>
          <w:bCs w:val="0"/>
          <w:color w:val="548DD4" w:themeColor="text2" w:themeTint="99"/>
          <w:sz w:val="20"/>
          <w:szCs w:val="20"/>
          <w:lang w:eastAsia="en-US"/>
        </w:rPr>
      </w:pPr>
    </w:p>
    <w:tbl>
      <w:tblPr>
        <w:tblStyle w:val="ListTable3-Accent51"/>
        <w:tblpPr w:leftFromText="180" w:rightFromText="180" w:vertAnchor="text" w:horzAnchor="margin" w:tblpXSpec="center" w:tblpY="165"/>
        <w:tblW w:w="7962" w:type="dxa"/>
        <w:tblBorders>
          <w:insideH w:val="single" w:sz="4" w:space="0" w:color="4BACC6" w:themeColor="accent5"/>
          <w:insideV w:val="single" w:sz="4" w:space="0" w:color="4BACC6" w:themeColor="accent5"/>
        </w:tblBorders>
        <w:tblLayout w:type="fixed"/>
        <w:tblLook w:val="0000"/>
      </w:tblPr>
      <w:tblGrid>
        <w:gridCol w:w="1384"/>
        <w:gridCol w:w="5172"/>
        <w:gridCol w:w="1406"/>
      </w:tblGrid>
      <w:tr w:rsidR="00572F51" w:rsidRPr="00727D68" w:rsidTr="00DD4207">
        <w:trPr>
          <w:trHeight w:val="593"/>
          <w:tblHeader/>
        </w:trPr>
        <w:tc>
          <w:tcPr>
            <w:cnfStyle w:val="000010000000"/>
            <w:tcW w:w="1384" w:type="dxa"/>
            <w:tcBorders>
              <w:left w:val="none" w:sz="0" w:space="0" w:color="auto"/>
              <w:right w:val="none" w:sz="0" w:space="0" w:color="auto"/>
            </w:tcBorders>
            <w:shd w:val="clear" w:color="auto" w:fill="4BACC6" w:themeFill="accent5"/>
          </w:tcPr>
          <w:p w:rsidR="00572F51" w:rsidRPr="00727D68" w:rsidRDefault="00572F51" w:rsidP="00572F51">
            <w:pPr>
              <w:pStyle w:val="CodeNotesExampleText"/>
              <w:widowControl w:val="0"/>
              <w:jc w:val="center"/>
              <w:rPr>
                <w:rFonts w:cs="Arial"/>
                <w:bCs/>
                <w:color w:val="auto"/>
                <w:sz w:val="20"/>
                <w:szCs w:val="20"/>
              </w:rPr>
            </w:pPr>
            <w:r w:rsidRPr="00727D68">
              <w:rPr>
                <w:rFonts w:cs="Arial"/>
                <w:bCs/>
                <w:color w:val="auto"/>
                <w:sz w:val="20"/>
                <w:szCs w:val="20"/>
              </w:rPr>
              <w:t>201</w:t>
            </w:r>
            <w:r w:rsidR="00727D68" w:rsidRPr="00727D68">
              <w:rPr>
                <w:rFonts w:cs="Arial"/>
                <w:bCs/>
                <w:color w:val="auto"/>
                <w:sz w:val="20"/>
                <w:szCs w:val="20"/>
              </w:rPr>
              <w:t>4</w:t>
            </w:r>
            <w:r w:rsidRPr="00727D68">
              <w:rPr>
                <w:rFonts w:cs="Arial"/>
                <w:bCs/>
                <w:color w:val="auto"/>
                <w:sz w:val="20"/>
                <w:szCs w:val="20"/>
              </w:rPr>
              <w:t>/1</w:t>
            </w:r>
            <w:r w:rsidR="00727D68" w:rsidRPr="00727D68">
              <w:rPr>
                <w:rFonts w:cs="Arial"/>
                <w:bCs/>
                <w:color w:val="auto"/>
                <w:sz w:val="20"/>
                <w:szCs w:val="20"/>
              </w:rPr>
              <w:t>5</w:t>
            </w:r>
          </w:p>
          <w:p w:rsidR="00572F51" w:rsidRPr="00727D68" w:rsidRDefault="00572F51" w:rsidP="00572F51">
            <w:pPr>
              <w:pStyle w:val="CodeNotesExampleText"/>
              <w:widowControl w:val="0"/>
              <w:jc w:val="center"/>
              <w:rPr>
                <w:rFonts w:cs="Arial"/>
                <w:b/>
                <w:bCs/>
                <w:color w:val="auto"/>
                <w:sz w:val="20"/>
                <w:szCs w:val="20"/>
                <w:lang w:val="en-US"/>
              </w:rPr>
            </w:pPr>
            <w:r w:rsidRPr="00727D68">
              <w:rPr>
                <w:rFonts w:cs="Arial"/>
                <w:bCs/>
                <w:color w:val="auto"/>
                <w:sz w:val="20"/>
                <w:szCs w:val="20"/>
              </w:rPr>
              <w:t>£m</w:t>
            </w:r>
          </w:p>
        </w:tc>
        <w:tc>
          <w:tcPr>
            <w:tcW w:w="5172" w:type="dxa"/>
            <w:shd w:val="clear" w:color="auto" w:fill="4BACC6" w:themeFill="accent5"/>
          </w:tcPr>
          <w:p w:rsidR="00572F51" w:rsidRPr="00727D68" w:rsidRDefault="00802E21" w:rsidP="00572F51">
            <w:pPr>
              <w:pStyle w:val="CodeNotesExampleText"/>
              <w:widowControl w:val="0"/>
              <w:ind w:left="567"/>
              <w:jc w:val="center"/>
              <w:cnfStyle w:val="000000000000"/>
              <w:rPr>
                <w:rFonts w:cs="Arial"/>
                <w:b/>
                <w:color w:val="auto"/>
                <w:sz w:val="22"/>
                <w:szCs w:val="22"/>
              </w:rPr>
            </w:pPr>
            <w:r w:rsidRPr="00727D68">
              <w:rPr>
                <w:rFonts w:cs="Arial"/>
                <w:b/>
                <w:color w:val="auto"/>
                <w:sz w:val="22"/>
                <w:szCs w:val="22"/>
              </w:rPr>
              <w:t>Capital Financing Requirement</w:t>
            </w:r>
          </w:p>
        </w:tc>
        <w:tc>
          <w:tcPr>
            <w:cnfStyle w:val="000010000000"/>
            <w:tcW w:w="1406" w:type="dxa"/>
            <w:tcBorders>
              <w:left w:val="none" w:sz="0" w:space="0" w:color="auto"/>
              <w:right w:val="none" w:sz="0" w:space="0" w:color="auto"/>
            </w:tcBorders>
            <w:shd w:val="clear" w:color="auto" w:fill="4BACC6" w:themeFill="accent5"/>
          </w:tcPr>
          <w:p w:rsidR="00572F51" w:rsidRPr="00727D68" w:rsidRDefault="00572F51" w:rsidP="00727D68">
            <w:pPr>
              <w:pStyle w:val="CodeNotesExampleText"/>
              <w:widowControl w:val="0"/>
              <w:jc w:val="center"/>
              <w:rPr>
                <w:rFonts w:cs="Arial"/>
                <w:b/>
                <w:bCs/>
                <w:color w:val="auto"/>
                <w:sz w:val="20"/>
                <w:szCs w:val="20"/>
                <w:lang w:val="en-US"/>
              </w:rPr>
            </w:pPr>
            <w:r w:rsidRPr="00727D68">
              <w:rPr>
                <w:rFonts w:cs="Arial"/>
                <w:b/>
                <w:bCs/>
                <w:color w:val="auto"/>
                <w:sz w:val="20"/>
                <w:szCs w:val="20"/>
              </w:rPr>
              <w:t>201</w:t>
            </w:r>
            <w:r w:rsidR="00727D68" w:rsidRPr="00727D68">
              <w:rPr>
                <w:rFonts w:cs="Arial"/>
                <w:b/>
                <w:bCs/>
                <w:color w:val="auto"/>
                <w:sz w:val="20"/>
                <w:szCs w:val="20"/>
              </w:rPr>
              <w:t>5</w:t>
            </w:r>
            <w:r w:rsidRPr="00727D68">
              <w:rPr>
                <w:rFonts w:cs="Arial"/>
                <w:b/>
                <w:bCs/>
                <w:color w:val="auto"/>
                <w:sz w:val="20"/>
                <w:szCs w:val="20"/>
              </w:rPr>
              <w:t>/1</w:t>
            </w:r>
            <w:r w:rsidR="00727D68" w:rsidRPr="00727D68">
              <w:rPr>
                <w:rFonts w:cs="Arial"/>
                <w:b/>
                <w:bCs/>
                <w:color w:val="auto"/>
                <w:sz w:val="20"/>
                <w:szCs w:val="20"/>
              </w:rPr>
              <w:t>6</w:t>
            </w:r>
            <w:r w:rsidRPr="00727D68">
              <w:rPr>
                <w:rFonts w:cs="Arial"/>
                <w:b/>
                <w:bCs/>
                <w:color w:val="auto"/>
                <w:sz w:val="20"/>
                <w:szCs w:val="20"/>
              </w:rPr>
              <w:br/>
              <w:t>£m</w:t>
            </w: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135.0</w:t>
            </w:r>
          </w:p>
        </w:tc>
        <w:tc>
          <w:tcPr>
            <w:tcW w:w="5172" w:type="dxa"/>
            <w:vAlign w:val="center"/>
          </w:tcPr>
          <w:p w:rsidR="00727D68" w:rsidRPr="00727D68" w:rsidRDefault="00727D68" w:rsidP="00727D68">
            <w:pPr>
              <w:pStyle w:val="CodeNotesExampleText"/>
              <w:widowControl w:val="0"/>
              <w:ind w:left="317"/>
              <w:cnfStyle w:val="000000100000"/>
              <w:rPr>
                <w:rFonts w:cs="Arial"/>
                <w:b/>
                <w:iCs/>
                <w:color w:val="auto"/>
                <w:sz w:val="20"/>
                <w:szCs w:val="20"/>
              </w:rPr>
            </w:pPr>
            <w:r w:rsidRPr="00727D68">
              <w:rPr>
                <w:rFonts w:cs="Arial"/>
                <w:b/>
                <w:iCs/>
                <w:color w:val="auto"/>
                <w:sz w:val="20"/>
                <w:szCs w:val="20"/>
              </w:rPr>
              <w:t>Opening Capital Financing Requirement</w:t>
            </w:r>
          </w:p>
        </w:tc>
        <w:tc>
          <w:tcPr>
            <w:cnfStyle w:val="000010000000"/>
            <w:tcW w:w="1406" w:type="dxa"/>
            <w:tcBorders>
              <w:left w:val="none" w:sz="0" w:space="0" w:color="auto"/>
              <w:right w:val="none" w:sz="0" w:space="0" w:color="auto"/>
            </w:tcBorders>
            <w:vAlign w:val="center"/>
          </w:tcPr>
          <w:p w:rsidR="00727D68" w:rsidRPr="00727D68" w:rsidRDefault="00C96118" w:rsidP="00727D68">
            <w:pPr>
              <w:pStyle w:val="CodeNotesExampleText"/>
              <w:widowControl w:val="0"/>
              <w:jc w:val="center"/>
              <w:rPr>
                <w:rFonts w:cs="Arial"/>
                <w:b/>
                <w:color w:val="auto"/>
                <w:sz w:val="20"/>
                <w:szCs w:val="20"/>
                <w:lang w:val="en-US"/>
              </w:rPr>
            </w:pPr>
            <w:r>
              <w:rPr>
                <w:rFonts w:cs="Arial"/>
                <w:b/>
                <w:color w:val="auto"/>
                <w:sz w:val="20"/>
                <w:szCs w:val="20"/>
                <w:lang w:val="en-US"/>
              </w:rPr>
              <w:t>135.3</w:t>
            </w:r>
          </w:p>
        </w:tc>
      </w:tr>
      <w:tr w:rsidR="00727D68" w:rsidRPr="00727D68" w:rsidTr="00DD4207">
        <w:trPr>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ind w:left="567"/>
              <w:jc w:val="center"/>
              <w:rPr>
                <w:rFonts w:cs="Arial"/>
                <w:color w:val="auto"/>
                <w:sz w:val="20"/>
                <w:szCs w:val="20"/>
              </w:rPr>
            </w:pPr>
          </w:p>
        </w:tc>
        <w:tc>
          <w:tcPr>
            <w:tcW w:w="5172" w:type="dxa"/>
            <w:vAlign w:val="center"/>
          </w:tcPr>
          <w:p w:rsidR="00727D68" w:rsidRPr="00727D68" w:rsidRDefault="00727D68" w:rsidP="00727D68">
            <w:pPr>
              <w:pStyle w:val="CodeNotesExampleText"/>
              <w:widowControl w:val="0"/>
              <w:ind w:left="317"/>
              <w:cnfStyle w:val="000000000000"/>
              <w:rPr>
                <w:rFonts w:cs="Arial"/>
                <w:iCs/>
                <w:color w:val="auto"/>
                <w:sz w:val="20"/>
                <w:szCs w:val="20"/>
              </w:rPr>
            </w:pPr>
            <w:r w:rsidRPr="00727D68">
              <w:rPr>
                <w:rFonts w:cs="Arial"/>
                <w:iCs/>
                <w:color w:val="auto"/>
                <w:sz w:val="20"/>
                <w:szCs w:val="20"/>
              </w:rPr>
              <w:t>Capital investment</w:t>
            </w:r>
          </w:p>
        </w:tc>
        <w:tc>
          <w:tcPr>
            <w:cnfStyle w:val="000010000000"/>
            <w:tcW w:w="1406" w:type="dxa"/>
            <w:tcBorders>
              <w:left w:val="none" w:sz="0" w:space="0" w:color="auto"/>
              <w:right w:val="none" w:sz="0" w:space="0" w:color="auto"/>
            </w:tcBorders>
            <w:vAlign w:val="center"/>
          </w:tcPr>
          <w:p w:rsidR="00727D68" w:rsidRPr="00727D68" w:rsidRDefault="00727D68" w:rsidP="00727D68">
            <w:pPr>
              <w:pStyle w:val="CodeNotesExampleText"/>
              <w:widowControl w:val="0"/>
              <w:ind w:left="567"/>
              <w:jc w:val="center"/>
              <w:rPr>
                <w:rFonts w:cs="Arial"/>
                <w:b/>
                <w:color w:val="auto"/>
                <w:sz w:val="20"/>
                <w:szCs w:val="20"/>
              </w:rPr>
            </w:pP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12.2</w:t>
            </w:r>
          </w:p>
        </w:tc>
        <w:tc>
          <w:tcPr>
            <w:tcW w:w="5172" w:type="dxa"/>
            <w:vAlign w:val="center"/>
          </w:tcPr>
          <w:p w:rsidR="00727D68" w:rsidRPr="00727D68" w:rsidRDefault="00727D68" w:rsidP="00727D68">
            <w:pPr>
              <w:pStyle w:val="CodeNotesExampleText"/>
              <w:widowControl w:val="0"/>
              <w:ind w:left="317"/>
              <w:cnfStyle w:val="000000100000"/>
              <w:rPr>
                <w:rFonts w:cs="Arial"/>
                <w:color w:val="auto"/>
                <w:sz w:val="20"/>
                <w:szCs w:val="20"/>
              </w:rPr>
            </w:pPr>
            <w:r w:rsidRPr="00727D68">
              <w:rPr>
                <w:rFonts w:cs="Arial"/>
                <w:color w:val="auto"/>
                <w:sz w:val="20"/>
                <w:szCs w:val="20"/>
              </w:rPr>
              <w:t>Property, Plant and Equipment</w:t>
            </w:r>
          </w:p>
        </w:tc>
        <w:tc>
          <w:tcPr>
            <w:cnfStyle w:val="000010000000"/>
            <w:tcW w:w="1406" w:type="dxa"/>
            <w:tcBorders>
              <w:left w:val="none" w:sz="0" w:space="0" w:color="auto"/>
              <w:right w:val="none" w:sz="0" w:space="0" w:color="auto"/>
            </w:tcBorders>
            <w:vAlign w:val="center"/>
          </w:tcPr>
          <w:p w:rsidR="00727D68" w:rsidRPr="00727D68" w:rsidRDefault="00B1302C" w:rsidP="00E526C5">
            <w:pPr>
              <w:pStyle w:val="CodeNotesExampleText"/>
              <w:widowControl w:val="0"/>
              <w:jc w:val="center"/>
              <w:rPr>
                <w:rFonts w:cs="Arial"/>
                <w:b/>
                <w:color w:val="auto"/>
                <w:sz w:val="20"/>
                <w:szCs w:val="20"/>
                <w:lang w:val="en-US"/>
              </w:rPr>
            </w:pPr>
            <w:r>
              <w:rPr>
                <w:rFonts w:cs="Arial"/>
                <w:b/>
                <w:color w:val="auto"/>
                <w:sz w:val="20"/>
                <w:szCs w:val="20"/>
                <w:lang w:val="en-US"/>
              </w:rPr>
              <w:t>18.</w:t>
            </w:r>
            <w:r w:rsidR="00FF1505">
              <w:rPr>
                <w:rFonts w:cs="Arial"/>
                <w:b/>
                <w:color w:val="auto"/>
                <w:sz w:val="20"/>
                <w:szCs w:val="20"/>
                <w:lang w:val="en-US"/>
              </w:rPr>
              <w:t>9</w:t>
            </w:r>
          </w:p>
        </w:tc>
      </w:tr>
      <w:tr w:rsidR="000A18E3" w:rsidRPr="00727D68" w:rsidTr="00DD4207">
        <w:trPr>
          <w:trHeight w:val="60"/>
        </w:trPr>
        <w:tc>
          <w:tcPr>
            <w:cnfStyle w:val="000010000000"/>
            <w:tcW w:w="1384" w:type="dxa"/>
            <w:vAlign w:val="center"/>
          </w:tcPr>
          <w:p w:rsidR="000A18E3" w:rsidRPr="00C96118" w:rsidRDefault="000A18E3" w:rsidP="00727D68">
            <w:pPr>
              <w:pStyle w:val="CodeNotesExampleText"/>
              <w:widowControl w:val="0"/>
              <w:jc w:val="center"/>
              <w:rPr>
                <w:rFonts w:cs="Arial"/>
                <w:color w:val="auto"/>
                <w:sz w:val="20"/>
                <w:szCs w:val="20"/>
                <w:lang w:val="en-US"/>
              </w:rPr>
            </w:pPr>
            <w:r>
              <w:rPr>
                <w:rFonts w:cs="Arial"/>
                <w:color w:val="auto"/>
                <w:sz w:val="20"/>
                <w:szCs w:val="20"/>
                <w:lang w:val="en-US"/>
              </w:rPr>
              <w:t>-</w:t>
            </w:r>
          </w:p>
        </w:tc>
        <w:tc>
          <w:tcPr>
            <w:tcW w:w="5172" w:type="dxa"/>
            <w:vAlign w:val="center"/>
          </w:tcPr>
          <w:p w:rsidR="000A18E3" w:rsidRPr="00727D68" w:rsidRDefault="000A18E3" w:rsidP="00274DB3">
            <w:pPr>
              <w:pStyle w:val="CodeNotesExampleText"/>
              <w:widowControl w:val="0"/>
              <w:ind w:left="317"/>
              <w:cnfStyle w:val="000000000000"/>
              <w:rPr>
                <w:rFonts w:cs="Arial"/>
                <w:color w:val="auto"/>
                <w:sz w:val="20"/>
                <w:szCs w:val="20"/>
              </w:rPr>
            </w:pPr>
            <w:r>
              <w:rPr>
                <w:rFonts w:cs="Arial"/>
                <w:color w:val="auto"/>
                <w:sz w:val="20"/>
                <w:szCs w:val="20"/>
              </w:rPr>
              <w:t xml:space="preserve">Plymouth Energy From Waste </w:t>
            </w:r>
            <w:r w:rsidR="005A4430">
              <w:rPr>
                <w:rFonts w:cs="Arial"/>
                <w:color w:val="auto"/>
                <w:sz w:val="20"/>
                <w:szCs w:val="20"/>
              </w:rPr>
              <w:t xml:space="preserve">Facility </w:t>
            </w:r>
            <w:r w:rsidR="00274DB3">
              <w:rPr>
                <w:rFonts w:cs="Arial"/>
                <w:color w:val="auto"/>
                <w:sz w:val="20"/>
                <w:szCs w:val="20"/>
              </w:rPr>
              <w:t>(EFW)</w:t>
            </w:r>
            <w:r w:rsidR="005A4430">
              <w:rPr>
                <w:rFonts w:cs="Arial"/>
                <w:color w:val="auto"/>
                <w:sz w:val="20"/>
                <w:szCs w:val="20"/>
              </w:rPr>
              <w:t>:</w:t>
            </w:r>
            <w:r w:rsidR="00274DB3">
              <w:rPr>
                <w:rFonts w:cs="Arial"/>
                <w:color w:val="auto"/>
                <w:sz w:val="20"/>
                <w:szCs w:val="20"/>
              </w:rPr>
              <w:t xml:space="preserve"> </w:t>
            </w:r>
          </w:p>
        </w:tc>
        <w:tc>
          <w:tcPr>
            <w:cnfStyle w:val="000010000000"/>
            <w:tcW w:w="1406" w:type="dxa"/>
            <w:vAlign w:val="center"/>
          </w:tcPr>
          <w:p w:rsidR="000A18E3" w:rsidRDefault="000A18E3" w:rsidP="00727D68">
            <w:pPr>
              <w:pStyle w:val="CodeNotesExampleText"/>
              <w:widowControl w:val="0"/>
              <w:jc w:val="center"/>
              <w:rPr>
                <w:rFonts w:cs="Arial"/>
                <w:b/>
                <w:color w:val="auto"/>
                <w:sz w:val="20"/>
                <w:szCs w:val="20"/>
                <w:lang w:val="en-US"/>
              </w:rPr>
            </w:pPr>
          </w:p>
        </w:tc>
      </w:tr>
      <w:tr w:rsidR="000A18E3" w:rsidRPr="00727D68" w:rsidTr="00DD4207">
        <w:trPr>
          <w:cnfStyle w:val="000000100000"/>
          <w:trHeight w:val="60"/>
        </w:trPr>
        <w:tc>
          <w:tcPr>
            <w:cnfStyle w:val="000010000000"/>
            <w:tcW w:w="1384" w:type="dxa"/>
            <w:vAlign w:val="center"/>
          </w:tcPr>
          <w:p w:rsidR="000A18E3" w:rsidRPr="00C96118" w:rsidRDefault="000A18E3" w:rsidP="00727D68">
            <w:pPr>
              <w:pStyle w:val="CodeNotesExampleText"/>
              <w:widowControl w:val="0"/>
              <w:jc w:val="center"/>
              <w:rPr>
                <w:rFonts w:cs="Arial"/>
                <w:color w:val="auto"/>
                <w:sz w:val="20"/>
                <w:szCs w:val="20"/>
                <w:lang w:val="en-US"/>
              </w:rPr>
            </w:pPr>
            <w:r>
              <w:rPr>
                <w:rFonts w:cs="Arial"/>
                <w:color w:val="auto"/>
                <w:sz w:val="20"/>
                <w:szCs w:val="20"/>
                <w:lang w:val="en-US"/>
              </w:rPr>
              <w:t>-</w:t>
            </w:r>
          </w:p>
        </w:tc>
        <w:tc>
          <w:tcPr>
            <w:tcW w:w="5172" w:type="dxa"/>
            <w:vAlign w:val="center"/>
          </w:tcPr>
          <w:p w:rsidR="000A18E3" w:rsidRPr="00727D68" w:rsidRDefault="000A18E3" w:rsidP="00274DB3">
            <w:pPr>
              <w:pStyle w:val="CodeNotesExampleText"/>
              <w:widowControl w:val="0"/>
              <w:ind w:left="317"/>
              <w:cnfStyle w:val="000000100000"/>
              <w:rPr>
                <w:rFonts w:cs="Arial"/>
                <w:color w:val="auto"/>
                <w:sz w:val="20"/>
                <w:szCs w:val="20"/>
              </w:rPr>
            </w:pPr>
            <w:r>
              <w:rPr>
                <w:rFonts w:cs="Arial"/>
                <w:color w:val="auto"/>
                <w:sz w:val="20"/>
                <w:szCs w:val="20"/>
              </w:rPr>
              <w:t xml:space="preserve">- Initial </w:t>
            </w:r>
            <w:r w:rsidR="00274DB3">
              <w:rPr>
                <w:rFonts w:cs="Arial"/>
                <w:color w:val="auto"/>
                <w:sz w:val="20"/>
                <w:szCs w:val="20"/>
              </w:rPr>
              <w:t>r</w:t>
            </w:r>
            <w:r>
              <w:rPr>
                <w:rFonts w:cs="Arial"/>
                <w:color w:val="auto"/>
                <w:sz w:val="20"/>
                <w:szCs w:val="20"/>
              </w:rPr>
              <w:t xml:space="preserve">ecognition of </w:t>
            </w:r>
            <w:r w:rsidR="00274DB3">
              <w:rPr>
                <w:rFonts w:cs="Arial"/>
                <w:color w:val="auto"/>
                <w:sz w:val="20"/>
                <w:szCs w:val="20"/>
              </w:rPr>
              <w:t>a</w:t>
            </w:r>
            <w:r>
              <w:rPr>
                <w:rFonts w:cs="Arial"/>
                <w:color w:val="auto"/>
                <w:sz w:val="20"/>
                <w:szCs w:val="20"/>
              </w:rPr>
              <w:t>sset</w:t>
            </w:r>
            <w:r w:rsidR="00274DB3">
              <w:rPr>
                <w:rFonts w:cs="Arial"/>
                <w:color w:val="auto"/>
                <w:sz w:val="20"/>
                <w:szCs w:val="20"/>
              </w:rPr>
              <w:t xml:space="preserve"> (Torbay share)</w:t>
            </w:r>
          </w:p>
        </w:tc>
        <w:tc>
          <w:tcPr>
            <w:cnfStyle w:val="000010000000"/>
            <w:tcW w:w="1406" w:type="dxa"/>
            <w:vAlign w:val="center"/>
          </w:tcPr>
          <w:p w:rsidR="000A18E3" w:rsidRDefault="000A18E3" w:rsidP="00727D68">
            <w:pPr>
              <w:pStyle w:val="CodeNotesExampleText"/>
              <w:widowControl w:val="0"/>
              <w:jc w:val="center"/>
              <w:rPr>
                <w:rFonts w:cs="Arial"/>
                <w:b/>
                <w:color w:val="auto"/>
                <w:sz w:val="20"/>
                <w:szCs w:val="20"/>
                <w:lang w:val="en-US"/>
              </w:rPr>
            </w:pPr>
            <w:r>
              <w:rPr>
                <w:rFonts w:cs="Arial"/>
                <w:b/>
                <w:color w:val="auto"/>
                <w:sz w:val="20"/>
                <w:szCs w:val="20"/>
                <w:lang w:val="en-US"/>
              </w:rPr>
              <w:t>33.3</w:t>
            </w:r>
          </w:p>
        </w:tc>
      </w:tr>
      <w:tr w:rsidR="000A18E3" w:rsidRPr="00727D68" w:rsidTr="00DD4207">
        <w:trPr>
          <w:trHeight w:val="60"/>
        </w:trPr>
        <w:tc>
          <w:tcPr>
            <w:cnfStyle w:val="000010000000"/>
            <w:tcW w:w="1384" w:type="dxa"/>
            <w:vAlign w:val="center"/>
          </w:tcPr>
          <w:p w:rsidR="000A18E3" w:rsidRPr="00C96118" w:rsidRDefault="000A18E3" w:rsidP="00727D68">
            <w:pPr>
              <w:pStyle w:val="CodeNotesExampleText"/>
              <w:widowControl w:val="0"/>
              <w:jc w:val="center"/>
              <w:rPr>
                <w:rFonts w:cs="Arial"/>
                <w:color w:val="auto"/>
                <w:sz w:val="20"/>
                <w:szCs w:val="20"/>
                <w:lang w:val="en-US"/>
              </w:rPr>
            </w:pPr>
            <w:r>
              <w:rPr>
                <w:rFonts w:cs="Arial"/>
                <w:color w:val="auto"/>
                <w:sz w:val="20"/>
                <w:szCs w:val="20"/>
                <w:lang w:val="en-US"/>
              </w:rPr>
              <w:t>-</w:t>
            </w:r>
          </w:p>
        </w:tc>
        <w:tc>
          <w:tcPr>
            <w:tcW w:w="5172" w:type="dxa"/>
            <w:vAlign w:val="center"/>
          </w:tcPr>
          <w:p w:rsidR="000A18E3" w:rsidRPr="00727D68" w:rsidRDefault="000A18E3" w:rsidP="00727D68">
            <w:pPr>
              <w:pStyle w:val="CodeNotesExampleText"/>
              <w:widowControl w:val="0"/>
              <w:ind w:left="317"/>
              <w:cnfStyle w:val="000000000000"/>
              <w:rPr>
                <w:rFonts w:cs="Arial"/>
                <w:color w:val="auto"/>
                <w:sz w:val="20"/>
                <w:szCs w:val="20"/>
              </w:rPr>
            </w:pPr>
            <w:r>
              <w:rPr>
                <w:rFonts w:cs="Arial"/>
                <w:color w:val="auto"/>
                <w:sz w:val="20"/>
                <w:szCs w:val="20"/>
              </w:rPr>
              <w:t>- less deferred credit re third party income</w:t>
            </w:r>
            <w:r w:rsidR="00274DB3">
              <w:rPr>
                <w:rFonts w:cs="Arial"/>
                <w:color w:val="auto"/>
                <w:sz w:val="20"/>
                <w:szCs w:val="20"/>
              </w:rPr>
              <w:t xml:space="preserve"> to EFW</w:t>
            </w:r>
            <w:r>
              <w:rPr>
                <w:rFonts w:cs="Arial"/>
                <w:color w:val="auto"/>
                <w:sz w:val="20"/>
                <w:szCs w:val="20"/>
              </w:rPr>
              <w:t xml:space="preserve"> </w:t>
            </w:r>
          </w:p>
        </w:tc>
        <w:tc>
          <w:tcPr>
            <w:cnfStyle w:val="000010000000"/>
            <w:tcW w:w="1406" w:type="dxa"/>
            <w:vAlign w:val="center"/>
          </w:tcPr>
          <w:p w:rsidR="000A18E3" w:rsidRDefault="000A18E3" w:rsidP="00727D68">
            <w:pPr>
              <w:pStyle w:val="CodeNotesExampleText"/>
              <w:widowControl w:val="0"/>
              <w:jc w:val="center"/>
              <w:rPr>
                <w:rFonts w:cs="Arial"/>
                <w:b/>
                <w:color w:val="auto"/>
                <w:sz w:val="20"/>
                <w:szCs w:val="20"/>
                <w:lang w:val="en-US"/>
              </w:rPr>
            </w:pPr>
            <w:r>
              <w:rPr>
                <w:rFonts w:cs="Arial"/>
                <w:b/>
                <w:color w:val="auto"/>
                <w:sz w:val="20"/>
                <w:szCs w:val="20"/>
                <w:lang w:val="en-US"/>
              </w:rPr>
              <w:t>(20.9)</w:t>
            </w: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0.3</w:t>
            </w:r>
          </w:p>
        </w:tc>
        <w:tc>
          <w:tcPr>
            <w:tcW w:w="5172" w:type="dxa"/>
            <w:vAlign w:val="center"/>
          </w:tcPr>
          <w:p w:rsidR="00727D68" w:rsidRPr="00727D68" w:rsidRDefault="00727D68" w:rsidP="00727D68">
            <w:pPr>
              <w:pStyle w:val="CodeNotesExampleText"/>
              <w:widowControl w:val="0"/>
              <w:ind w:left="317"/>
              <w:cnfStyle w:val="000000100000"/>
              <w:rPr>
                <w:rFonts w:cs="Arial"/>
                <w:color w:val="auto"/>
                <w:sz w:val="20"/>
                <w:szCs w:val="20"/>
              </w:rPr>
            </w:pPr>
            <w:r w:rsidRPr="00727D68">
              <w:rPr>
                <w:rFonts w:cs="Arial"/>
                <w:color w:val="auto"/>
                <w:sz w:val="20"/>
                <w:szCs w:val="20"/>
              </w:rPr>
              <w:t>Intangible Assets</w:t>
            </w:r>
          </w:p>
        </w:tc>
        <w:tc>
          <w:tcPr>
            <w:cnfStyle w:val="000010000000"/>
            <w:tcW w:w="1406" w:type="dxa"/>
            <w:tcBorders>
              <w:left w:val="none" w:sz="0" w:space="0" w:color="auto"/>
              <w:right w:val="none" w:sz="0" w:space="0" w:color="auto"/>
            </w:tcBorders>
            <w:vAlign w:val="center"/>
          </w:tcPr>
          <w:p w:rsidR="00727D68" w:rsidRPr="00727D68" w:rsidRDefault="00B1302C" w:rsidP="00727D68">
            <w:pPr>
              <w:pStyle w:val="CodeNotesExampleText"/>
              <w:widowControl w:val="0"/>
              <w:jc w:val="center"/>
              <w:rPr>
                <w:rFonts w:cs="Arial"/>
                <w:b/>
                <w:color w:val="auto"/>
                <w:sz w:val="20"/>
                <w:szCs w:val="20"/>
                <w:lang w:val="en-US"/>
              </w:rPr>
            </w:pPr>
            <w:r>
              <w:rPr>
                <w:rFonts w:cs="Arial"/>
                <w:b/>
                <w:color w:val="auto"/>
                <w:sz w:val="20"/>
                <w:szCs w:val="20"/>
                <w:lang w:val="en-US"/>
              </w:rPr>
              <w:t>0</w:t>
            </w:r>
          </w:p>
        </w:tc>
      </w:tr>
      <w:tr w:rsidR="00727D68" w:rsidRPr="00727D68" w:rsidTr="00DD4207">
        <w:trPr>
          <w:trHeight w:val="60"/>
        </w:trPr>
        <w:tc>
          <w:tcPr>
            <w:cnfStyle w:val="000010000000"/>
            <w:tcW w:w="1384" w:type="dxa"/>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0.1</w:t>
            </w:r>
          </w:p>
        </w:tc>
        <w:tc>
          <w:tcPr>
            <w:tcW w:w="5172" w:type="dxa"/>
            <w:vAlign w:val="center"/>
          </w:tcPr>
          <w:p w:rsidR="00727D68" w:rsidRPr="00727D68" w:rsidRDefault="00727D68" w:rsidP="00727D68">
            <w:pPr>
              <w:pStyle w:val="CodeNotesExampleText"/>
              <w:widowControl w:val="0"/>
              <w:ind w:left="317"/>
              <w:cnfStyle w:val="000000000000"/>
              <w:rPr>
                <w:rFonts w:cs="Arial"/>
                <w:color w:val="auto"/>
                <w:sz w:val="20"/>
                <w:szCs w:val="20"/>
              </w:rPr>
            </w:pPr>
            <w:r w:rsidRPr="00727D68">
              <w:rPr>
                <w:rFonts w:cs="Arial"/>
                <w:color w:val="auto"/>
                <w:sz w:val="20"/>
                <w:szCs w:val="20"/>
              </w:rPr>
              <w:t>Heritage Assets</w:t>
            </w:r>
          </w:p>
        </w:tc>
        <w:tc>
          <w:tcPr>
            <w:cnfStyle w:val="000010000000"/>
            <w:tcW w:w="1406" w:type="dxa"/>
            <w:vAlign w:val="center"/>
          </w:tcPr>
          <w:p w:rsidR="00727D68" w:rsidRPr="00727D68" w:rsidRDefault="00B1302C" w:rsidP="00727D68">
            <w:pPr>
              <w:pStyle w:val="CodeNotesExampleText"/>
              <w:widowControl w:val="0"/>
              <w:jc w:val="center"/>
              <w:rPr>
                <w:rFonts w:cs="Arial"/>
                <w:b/>
                <w:color w:val="auto"/>
                <w:sz w:val="20"/>
                <w:szCs w:val="20"/>
                <w:lang w:val="en-US"/>
              </w:rPr>
            </w:pPr>
            <w:r>
              <w:rPr>
                <w:rFonts w:cs="Arial"/>
                <w:b/>
                <w:color w:val="auto"/>
                <w:sz w:val="20"/>
                <w:szCs w:val="20"/>
                <w:lang w:val="en-US"/>
              </w:rPr>
              <w:t>0</w:t>
            </w:r>
            <w:r w:rsidR="00E526C5">
              <w:rPr>
                <w:rFonts w:cs="Arial"/>
                <w:b/>
                <w:color w:val="auto"/>
                <w:sz w:val="20"/>
                <w:szCs w:val="20"/>
                <w:lang w:val="en-US"/>
              </w:rPr>
              <w:t>.1</w:t>
            </w: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7.8</w:t>
            </w:r>
          </w:p>
        </w:tc>
        <w:tc>
          <w:tcPr>
            <w:tcW w:w="5172" w:type="dxa"/>
            <w:vAlign w:val="center"/>
          </w:tcPr>
          <w:p w:rsidR="00727D68" w:rsidRPr="00727D68" w:rsidRDefault="00727D68" w:rsidP="00727D68">
            <w:pPr>
              <w:pStyle w:val="CodeNotesExampleText"/>
              <w:widowControl w:val="0"/>
              <w:ind w:left="317"/>
              <w:cnfStyle w:val="000000100000"/>
              <w:rPr>
                <w:rFonts w:cs="Arial"/>
                <w:color w:val="auto"/>
                <w:sz w:val="20"/>
                <w:szCs w:val="20"/>
              </w:rPr>
            </w:pPr>
            <w:r w:rsidRPr="00727D68">
              <w:rPr>
                <w:rFonts w:cs="Arial"/>
                <w:color w:val="auto"/>
                <w:sz w:val="20"/>
                <w:szCs w:val="20"/>
              </w:rPr>
              <w:t>Revenue Expenditure Funded from Capital under Statute</w:t>
            </w:r>
          </w:p>
        </w:tc>
        <w:tc>
          <w:tcPr>
            <w:cnfStyle w:val="000010000000"/>
            <w:tcW w:w="1406" w:type="dxa"/>
            <w:tcBorders>
              <w:left w:val="none" w:sz="0" w:space="0" w:color="auto"/>
              <w:right w:val="none" w:sz="0" w:space="0" w:color="auto"/>
            </w:tcBorders>
            <w:vAlign w:val="center"/>
          </w:tcPr>
          <w:p w:rsidR="00727D68" w:rsidRPr="00727D68" w:rsidRDefault="00B1302C" w:rsidP="00F23BE4">
            <w:pPr>
              <w:pStyle w:val="CodeNotesExampleText"/>
              <w:widowControl w:val="0"/>
              <w:jc w:val="center"/>
              <w:rPr>
                <w:rFonts w:cs="Arial"/>
                <w:b/>
                <w:color w:val="auto"/>
                <w:sz w:val="20"/>
                <w:szCs w:val="20"/>
                <w:lang w:val="en-US"/>
              </w:rPr>
            </w:pPr>
            <w:r>
              <w:rPr>
                <w:rFonts w:cs="Arial"/>
                <w:b/>
                <w:color w:val="auto"/>
                <w:sz w:val="20"/>
                <w:szCs w:val="20"/>
                <w:lang w:val="en-US"/>
              </w:rPr>
              <w:t>2.</w:t>
            </w:r>
            <w:r w:rsidR="00F23BE4">
              <w:rPr>
                <w:rFonts w:cs="Arial"/>
                <w:b/>
                <w:color w:val="auto"/>
                <w:sz w:val="20"/>
                <w:szCs w:val="20"/>
                <w:lang w:val="en-US"/>
              </w:rPr>
              <w:t>6</w:t>
            </w:r>
          </w:p>
        </w:tc>
      </w:tr>
      <w:tr w:rsidR="00B1302C" w:rsidRPr="00727D68" w:rsidTr="00DD4207">
        <w:trPr>
          <w:trHeight w:val="60"/>
        </w:trPr>
        <w:tc>
          <w:tcPr>
            <w:cnfStyle w:val="000010000000"/>
            <w:tcW w:w="1384" w:type="dxa"/>
            <w:vAlign w:val="center"/>
          </w:tcPr>
          <w:p w:rsidR="00B1302C" w:rsidRPr="00C96118" w:rsidRDefault="00B1302C" w:rsidP="00727D68">
            <w:pPr>
              <w:pStyle w:val="CodeNotesExampleText"/>
              <w:widowControl w:val="0"/>
              <w:jc w:val="center"/>
              <w:rPr>
                <w:rFonts w:cs="Arial"/>
                <w:color w:val="auto"/>
                <w:sz w:val="20"/>
                <w:szCs w:val="20"/>
                <w:lang w:val="en-US"/>
              </w:rPr>
            </w:pPr>
            <w:r>
              <w:rPr>
                <w:rFonts w:cs="Arial"/>
                <w:color w:val="auto"/>
                <w:sz w:val="20"/>
                <w:szCs w:val="20"/>
                <w:lang w:val="en-US"/>
              </w:rPr>
              <w:t>-</w:t>
            </w:r>
          </w:p>
        </w:tc>
        <w:tc>
          <w:tcPr>
            <w:tcW w:w="5172" w:type="dxa"/>
            <w:vAlign w:val="center"/>
          </w:tcPr>
          <w:p w:rsidR="00B1302C" w:rsidRPr="00727D68" w:rsidRDefault="00B1302C" w:rsidP="00727D68">
            <w:pPr>
              <w:pStyle w:val="CodeNotesExampleText"/>
              <w:widowControl w:val="0"/>
              <w:ind w:left="317"/>
              <w:cnfStyle w:val="000000000000"/>
              <w:rPr>
                <w:rFonts w:cs="Arial"/>
                <w:color w:val="auto"/>
                <w:sz w:val="20"/>
                <w:szCs w:val="20"/>
              </w:rPr>
            </w:pPr>
            <w:r>
              <w:rPr>
                <w:rFonts w:cs="Arial"/>
                <w:color w:val="auto"/>
                <w:sz w:val="20"/>
                <w:szCs w:val="20"/>
              </w:rPr>
              <w:t>Loans for a Capital Purpose</w:t>
            </w:r>
          </w:p>
        </w:tc>
        <w:tc>
          <w:tcPr>
            <w:cnfStyle w:val="000010000000"/>
            <w:tcW w:w="1406" w:type="dxa"/>
            <w:vAlign w:val="center"/>
          </w:tcPr>
          <w:p w:rsidR="00B1302C" w:rsidRPr="00727D68" w:rsidRDefault="00B1302C" w:rsidP="00727D68">
            <w:pPr>
              <w:pStyle w:val="CodeNotesExampleText"/>
              <w:widowControl w:val="0"/>
              <w:jc w:val="center"/>
              <w:rPr>
                <w:rFonts w:cs="Arial"/>
                <w:b/>
                <w:color w:val="auto"/>
                <w:sz w:val="20"/>
                <w:szCs w:val="20"/>
                <w:lang w:val="en-US"/>
              </w:rPr>
            </w:pPr>
            <w:r>
              <w:rPr>
                <w:rFonts w:cs="Arial"/>
                <w:b/>
                <w:color w:val="auto"/>
                <w:sz w:val="20"/>
                <w:szCs w:val="20"/>
                <w:lang w:val="en-US"/>
              </w:rPr>
              <w:t>1.0</w:t>
            </w: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ind w:left="567"/>
              <w:jc w:val="center"/>
              <w:rPr>
                <w:rFonts w:cs="Arial"/>
                <w:color w:val="auto"/>
                <w:sz w:val="20"/>
                <w:szCs w:val="20"/>
              </w:rPr>
            </w:pPr>
          </w:p>
        </w:tc>
        <w:tc>
          <w:tcPr>
            <w:tcW w:w="5172" w:type="dxa"/>
            <w:vAlign w:val="center"/>
          </w:tcPr>
          <w:p w:rsidR="00727D68" w:rsidRPr="00727D68" w:rsidRDefault="00727D68" w:rsidP="00727D68">
            <w:pPr>
              <w:pStyle w:val="CodeNotesExampleText"/>
              <w:widowControl w:val="0"/>
              <w:ind w:left="317"/>
              <w:cnfStyle w:val="000000100000"/>
              <w:rPr>
                <w:rFonts w:cs="Arial"/>
                <w:b/>
                <w:iCs/>
                <w:color w:val="auto"/>
                <w:sz w:val="20"/>
                <w:szCs w:val="20"/>
              </w:rPr>
            </w:pPr>
            <w:r w:rsidRPr="00727D68">
              <w:rPr>
                <w:rFonts w:cs="Arial"/>
                <w:b/>
                <w:iCs/>
                <w:color w:val="auto"/>
                <w:sz w:val="20"/>
                <w:szCs w:val="20"/>
              </w:rPr>
              <w:t>Sources of finance</w:t>
            </w:r>
          </w:p>
        </w:tc>
        <w:tc>
          <w:tcPr>
            <w:cnfStyle w:val="000010000000"/>
            <w:tcW w:w="1406" w:type="dxa"/>
            <w:tcBorders>
              <w:left w:val="none" w:sz="0" w:space="0" w:color="auto"/>
              <w:right w:val="none" w:sz="0" w:space="0" w:color="auto"/>
            </w:tcBorders>
            <w:vAlign w:val="center"/>
          </w:tcPr>
          <w:p w:rsidR="00727D68" w:rsidRPr="00727D68" w:rsidRDefault="00727D68" w:rsidP="00727D68">
            <w:pPr>
              <w:pStyle w:val="CodeNotesExampleText"/>
              <w:widowControl w:val="0"/>
              <w:ind w:left="567"/>
              <w:jc w:val="center"/>
              <w:rPr>
                <w:rFonts w:cs="Arial"/>
                <w:b/>
                <w:color w:val="auto"/>
                <w:sz w:val="20"/>
                <w:szCs w:val="20"/>
              </w:rPr>
            </w:pPr>
          </w:p>
        </w:tc>
      </w:tr>
      <w:tr w:rsidR="00727D68" w:rsidRPr="00727D68" w:rsidTr="00DD4207">
        <w:trPr>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(0.1)</w:t>
            </w:r>
          </w:p>
        </w:tc>
        <w:tc>
          <w:tcPr>
            <w:tcW w:w="5172" w:type="dxa"/>
            <w:vAlign w:val="center"/>
          </w:tcPr>
          <w:p w:rsidR="00727D68" w:rsidRPr="00727D68" w:rsidRDefault="00727D68" w:rsidP="00727D68">
            <w:pPr>
              <w:pStyle w:val="CodeNotesExampleText"/>
              <w:widowControl w:val="0"/>
              <w:ind w:left="317"/>
              <w:cnfStyle w:val="000000000000"/>
              <w:rPr>
                <w:rFonts w:cs="Arial"/>
                <w:color w:val="auto"/>
                <w:sz w:val="20"/>
                <w:szCs w:val="20"/>
              </w:rPr>
            </w:pPr>
            <w:r w:rsidRPr="00727D68">
              <w:rPr>
                <w:rFonts w:cs="Arial"/>
                <w:color w:val="auto"/>
                <w:sz w:val="20"/>
                <w:szCs w:val="20"/>
              </w:rPr>
              <w:t>Capital receipts</w:t>
            </w:r>
          </w:p>
        </w:tc>
        <w:tc>
          <w:tcPr>
            <w:cnfStyle w:val="000010000000"/>
            <w:tcW w:w="1406" w:type="dxa"/>
            <w:tcBorders>
              <w:left w:val="none" w:sz="0" w:space="0" w:color="auto"/>
              <w:right w:val="none" w:sz="0" w:space="0" w:color="auto"/>
            </w:tcBorders>
            <w:vAlign w:val="center"/>
          </w:tcPr>
          <w:p w:rsidR="00727D68" w:rsidRPr="00727D68" w:rsidRDefault="00305EC0" w:rsidP="00727D68">
            <w:pPr>
              <w:pStyle w:val="CodeNotesExampleText"/>
              <w:widowControl w:val="0"/>
              <w:jc w:val="center"/>
              <w:rPr>
                <w:rFonts w:cs="Arial"/>
                <w:b/>
                <w:color w:val="auto"/>
                <w:sz w:val="20"/>
                <w:szCs w:val="20"/>
                <w:lang w:val="en-US"/>
              </w:rPr>
            </w:pPr>
            <w:r>
              <w:rPr>
                <w:rFonts w:cs="Arial"/>
                <w:b/>
                <w:color w:val="auto"/>
                <w:sz w:val="20"/>
                <w:szCs w:val="20"/>
                <w:lang w:val="en-US"/>
              </w:rPr>
              <w:t>(2.7)</w:t>
            </w: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(13.6)</w:t>
            </w:r>
          </w:p>
        </w:tc>
        <w:tc>
          <w:tcPr>
            <w:tcW w:w="5172" w:type="dxa"/>
            <w:vAlign w:val="center"/>
          </w:tcPr>
          <w:p w:rsidR="00727D68" w:rsidRPr="00727D68" w:rsidRDefault="00727D68" w:rsidP="00727D68">
            <w:pPr>
              <w:pStyle w:val="CodeNotesExampleText"/>
              <w:widowControl w:val="0"/>
              <w:ind w:left="317"/>
              <w:cnfStyle w:val="000000100000"/>
              <w:rPr>
                <w:rFonts w:cs="Arial"/>
                <w:color w:val="auto"/>
                <w:sz w:val="20"/>
                <w:szCs w:val="20"/>
              </w:rPr>
            </w:pPr>
            <w:r w:rsidRPr="00727D68">
              <w:rPr>
                <w:rFonts w:cs="Arial"/>
                <w:color w:val="auto"/>
                <w:sz w:val="20"/>
                <w:szCs w:val="20"/>
              </w:rPr>
              <w:t>Government grants and other contributions</w:t>
            </w:r>
          </w:p>
        </w:tc>
        <w:tc>
          <w:tcPr>
            <w:cnfStyle w:val="000010000000"/>
            <w:tcW w:w="1406" w:type="dxa"/>
            <w:tcBorders>
              <w:left w:val="none" w:sz="0" w:space="0" w:color="auto"/>
              <w:right w:val="none" w:sz="0" w:space="0" w:color="auto"/>
            </w:tcBorders>
            <w:vAlign w:val="center"/>
          </w:tcPr>
          <w:p w:rsidR="00727D68" w:rsidRPr="00727D68" w:rsidRDefault="00305EC0" w:rsidP="00727D68">
            <w:pPr>
              <w:pStyle w:val="CodeNotesExampleText"/>
              <w:widowControl w:val="0"/>
              <w:jc w:val="center"/>
              <w:rPr>
                <w:rFonts w:cs="Arial"/>
                <w:b/>
                <w:color w:val="auto"/>
                <w:sz w:val="20"/>
                <w:szCs w:val="20"/>
                <w:lang w:val="en-US"/>
              </w:rPr>
            </w:pPr>
            <w:r>
              <w:rPr>
                <w:rFonts w:cs="Arial"/>
                <w:b/>
                <w:color w:val="auto"/>
                <w:sz w:val="20"/>
                <w:szCs w:val="20"/>
                <w:lang w:val="en-US"/>
              </w:rPr>
              <w:t>(10.7)</w:t>
            </w:r>
          </w:p>
        </w:tc>
      </w:tr>
      <w:tr w:rsidR="00727D68" w:rsidRPr="00727D68" w:rsidTr="00DD4207">
        <w:trPr>
          <w:trHeight w:val="60"/>
        </w:trPr>
        <w:tc>
          <w:tcPr>
            <w:cnfStyle w:val="000010000000"/>
            <w:tcW w:w="1384" w:type="dxa"/>
            <w:tcBorders>
              <w:left w:val="none" w:sz="0" w:space="0" w:color="auto"/>
              <w:right w:val="none" w:sz="0" w:space="0" w:color="auto"/>
            </w:tcBorders>
            <w:vAlign w:val="center"/>
          </w:tcPr>
          <w:p w:rsidR="00727D68" w:rsidRPr="00727D68" w:rsidRDefault="00727D68" w:rsidP="00727D68">
            <w:pPr>
              <w:pStyle w:val="CodeNotesExampleText"/>
              <w:widowControl w:val="0"/>
              <w:ind w:left="397"/>
              <w:jc w:val="center"/>
              <w:rPr>
                <w:rFonts w:cs="Arial"/>
                <w:b/>
                <w:color w:val="auto"/>
                <w:sz w:val="20"/>
                <w:szCs w:val="20"/>
                <w:lang w:val="en-US"/>
              </w:rPr>
            </w:pPr>
          </w:p>
        </w:tc>
        <w:tc>
          <w:tcPr>
            <w:tcW w:w="5172" w:type="dxa"/>
            <w:vAlign w:val="center"/>
          </w:tcPr>
          <w:p w:rsidR="00727D68" w:rsidRPr="00727D68" w:rsidRDefault="00727D68" w:rsidP="00727D68">
            <w:pPr>
              <w:pStyle w:val="CodeNotesExampleText"/>
              <w:widowControl w:val="0"/>
              <w:ind w:left="317"/>
              <w:cnfStyle w:val="000000000000"/>
              <w:rPr>
                <w:rFonts w:cs="Arial"/>
                <w:color w:val="auto"/>
                <w:sz w:val="20"/>
                <w:szCs w:val="20"/>
              </w:rPr>
            </w:pPr>
            <w:r w:rsidRPr="00727D68">
              <w:rPr>
                <w:rFonts w:cs="Arial"/>
                <w:color w:val="auto"/>
                <w:sz w:val="20"/>
                <w:szCs w:val="20"/>
              </w:rPr>
              <w:t>Sums set aside from revenue:</w:t>
            </w:r>
          </w:p>
        </w:tc>
        <w:tc>
          <w:tcPr>
            <w:cnfStyle w:val="000010000000"/>
            <w:tcW w:w="1406" w:type="dxa"/>
            <w:tcBorders>
              <w:left w:val="none" w:sz="0" w:space="0" w:color="auto"/>
              <w:right w:val="none" w:sz="0" w:space="0" w:color="auto"/>
            </w:tcBorders>
            <w:vAlign w:val="center"/>
          </w:tcPr>
          <w:p w:rsidR="00727D68" w:rsidRPr="00727D68" w:rsidRDefault="00727D68" w:rsidP="00727D68">
            <w:pPr>
              <w:pStyle w:val="CodeNotesExampleText"/>
              <w:widowControl w:val="0"/>
              <w:ind w:left="397"/>
              <w:jc w:val="center"/>
              <w:rPr>
                <w:rFonts w:cs="Arial"/>
                <w:b/>
                <w:color w:val="auto"/>
                <w:sz w:val="20"/>
                <w:szCs w:val="20"/>
                <w:lang w:val="en-US"/>
              </w:rPr>
            </w:pP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(1.8)</w:t>
            </w:r>
          </w:p>
        </w:tc>
        <w:tc>
          <w:tcPr>
            <w:tcW w:w="5172" w:type="dxa"/>
            <w:vAlign w:val="center"/>
          </w:tcPr>
          <w:p w:rsidR="00727D68" w:rsidRPr="00727D68" w:rsidRDefault="00727D68" w:rsidP="00727D68">
            <w:pPr>
              <w:pStyle w:val="CodeNotesExampleText"/>
              <w:widowControl w:val="0"/>
              <w:numPr>
                <w:ilvl w:val="0"/>
                <w:numId w:val="6"/>
              </w:numPr>
              <w:ind w:left="317" w:firstLine="0"/>
              <w:cnfStyle w:val="000000100000"/>
              <w:rPr>
                <w:rFonts w:cs="Arial"/>
                <w:color w:val="auto"/>
                <w:sz w:val="20"/>
                <w:szCs w:val="20"/>
              </w:rPr>
            </w:pPr>
            <w:r w:rsidRPr="00727D68">
              <w:rPr>
                <w:rFonts w:cs="Arial"/>
                <w:color w:val="auto"/>
                <w:sz w:val="20"/>
                <w:szCs w:val="20"/>
              </w:rPr>
              <w:t>Direct revenue contributions</w:t>
            </w:r>
          </w:p>
        </w:tc>
        <w:tc>
          <w:tcPr>
            <w:cnfStyle w:val="000010000000"/>
            <w:tcW w:w="1406" w:type="dxa"/>
            <w:tcBorders>
              <w:left w:val="none" w:sz="0" w:space="0" w:color="auto"/>
              <w:right w:val="none" w:sz="0" w:space="0" w:color="auto"/>
            </w:tcBorders>
            <w:vAlign w:val="center"/>
          </w:tcPr>
          <w:p w:rsidR="00727D68" w:rsidRPr="00727D68" w:rsidRDefault="00305EC0" w:rsidP="00727D68">
            <w:pPr>
              <w:pStyle w:val="CodeNotesExampleText"/>
              <w:widowControl w:val="0"/>
              <w:jc w:val="center"/>
              <w:rPr>
                <w:rFonts w:cs="Arial"/>
                <w:b/>
                <w:color w:val="auto"/>
                <w:sz w:val="20"/>
                <w:szCs w:val="20"/>
                <w:lang w:val="en-US"/>
              </w:rPr>
            </w:pPr>
            <w:r>
              <w:rPr>
                <w:rFonts w:cs="Arial"/>
                <w:b/>
                <w:color w:val="auto"/>
                <w:sz w:val="20"/>
                <w:szCs w:val="20"/>
                <w:lang w:val="en-US"/>
              </w:rPr>
              <w:t>(1.5)</w:t>
            </w:r>
          </w:p>
        </w:tc>
      </w:tr>
      <w:tr w:rsidR="00727D68" w:rsidRPr="00727D68" w:rsidTr="00DD4207">
        <w:trPr>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(4.6)</w:t>
            </w:r>
          </w:p>
        </w:tc>
        <w:tc>
          <w:tcPr>
            <w:tcW w:w="5172" w:type="dxa"/>
            <w:vAlign w:val="center"/>
          </w:tcPr>
          <w:p w:rsidR="00727D68" w:rsidRPr="00727D68" w:rsidRDefault="00727D68" w:rsidP="00727D68">
            <w:pPr>
              <w:pStyle w:val="CodeNotesExampleText"/>
              <w:widowControl w:val="0"/>
              <w:numPr>
                <w:ilvl w:val="0"/>
                <w:numId w:val="6"/>
              </w:numPr>
              <w:ind w:left="317" w:firstLine="0"/>
              <w:cnfStyle w:val="000000000000"/>
              <w:rPr>
                <w:rFonts w:cs="Arial"/>
                <w:color w:val="auto"/>
                <w:sz w:val="20"/>
                <w:szCs w:val="20"/>
              </w:rPr>
            </w:pPr>
            <w:r w:rsidRPr="00727D68">
              <w:rPr>
                <w:rFonts w:cs="Arial"/>
                <w:color w:val="auto"/>
                <w:sz w:val="20"/>
                <w:szCs w:val="20"/>
              </w:rPr>
              <w:t>MRP</w:t>
            </w:r>
          </w:p>
        </w:tc>
        <w:tc>
          <w:tcPr>
            <w:cnfStyle w:val="000010000000"/>
            <w:tcW w:w="1406" w:type="dxa"/>
            <w:tcBorders>
              <w:left w:val="none" w:sz="0" w:space="0" w:color="auto"/>
              <w:right w:val="none" w:sz="0" w:space="0" w:color="auto"/>
            </w:tcBorders>
            <w:vAlign w:val="center"/>
          </w:tcPr>
          <w:p w:rsidR="00727D68" w:rsidRPr="00727D68" w:rsidRDefault="00305EC0" w:rsidP="00601D8D">
            <w:pPr>
              <w:pStyle w:val="CodeNotesExampleText"/>
              <w:widowControl w:val="0"/>
              <w:jc w:val="center"/>
              <w:rPr>
                <w:rFonts w:cs="Arial"/>
                <w:b/>
                <w:color w:val="auto"/>
                <w:sz w:val="20"/>
                <w:szCs w:val="20"/>
                <w:lang w:val="en-US"/>
              </w:rPr>
            </w:pPr>
            <w:r w:rsidRPr="00384540">
              <w:rPr>
                <w:rFonts w:cs="Arial"/>
                <w:b/>
                <w:color w:val="auto"/>
                <w:sz w:val="20"/>
                <w:szCs w:val="20"/>
                <w:lang w:val="en-US"/>
              </w:rPr>
              <w:t>(4.</w:t>
            </w:r>
            <w:r w:rsidR="00601D8D" w:rsidRPr="00384540">
              <w:rPr>
                <w:rFonts w:cs="Arial"/>
                <w:b/>
                <w:color w:val="auto"/>
                <w:sz w:val="20"/>
                <w:szCs w:val="20"/>
                <w:lang w:val="en-US"/>
              </w:rPr>
              <w:t>3</w:t>
            </w:r>
            <w:r w:rsidRPr="00384540">
              <w:rPr>
                <w:rFonts w:cs="Arial"/>
                <w:b/>
                <w:color w:val="auto"/>
                <w:sz w:val="20"/>
                <w:szCs w:val="20"/>
                <w:lang w:val="en-US"/>
              </w:rPr>
              <w:t>)</w:t>
            </w: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135.3</w:t>
            </w:r>
          </w:p>
        </w:tc>
        <w:tc>
          <w:tcPr>
            <w:tcW w:w="5172" w:type="dxa"/>
            <w:vAlign w:val="center"/>
          </w:tcPr>
          <w:p w:rsidR="00727D68" w:rsidRPr="00727D68" w:rsidRDefault="00727D68" w:rsidP="00727D68">
            <w:pPr>
              <w:pStyle w:val="CodeNotesExampleText"/>
              <w:widowControl w:val="0"/>
              <w:ind w:left="317"/>
              <w:cnfStyle w:val="000000100000"/>
              <w:rPr>
                <w:rFonts w:cs="Arial"/>
                <w:b/>
                <w:iCs/>
                <w:color w:val="auto"/>
                <w:sz w:val="20"/>
                <w:szCs w:val="20"/>
              </w:rPr>
            </w:pPr>
            <w:r w:rsidRPr="00727D68">
              <w:rPr>
                <w:rFonts w:cs="Arial"/>
                <w:b/>
                <w:iCs/>
                <w:color w:val="auto"/>
                <w:sz w:val="20"/>
                <w:szCs w:val="20"/>
              </w:rPr>
              <w:t>Closing Capital Financing Requirement</w:t>
            </w:r>
          </w:p>
        </w:tc>
        <w:tc>
          <w:tcPr>
            <w:cnfStyle w:val="000010000000"/>
            <w:tcW w:w="1406" w:type="dxa"/>
            <w:tcBorders>
              <w:left w:val="none" w:sz="0" w:space="0" w:color="auto"/>
              <w:right w:val="none" w:sz="0" w:space="0" w:color="auto"/>
            </w:tcBorders>
            <w:vAlign w:val="center"/>
          </w:tcPr>
          <w:p w:rsidR="00727D68" w:rsidRPr="00727D68" w:rsidRDefault="00C507F7" w:rsidP="000A18E3">
            <w:pPr>
              <w:pStyle w:val="CodeNotesExampleText"/>
              <w:widowControl w:val="0"/>
              <w:jc w:val="center"/>
              <w:rPr>
                <w:rFonts w:cs="Arial"/>
                <w:b/>
                <w:color w:val="auto"/>
                <w:sz w:val="20"/>
                <w:szCs w:val="20"/>
                <w:lang w:val="en-US"/>
              </w:rPr>
            </w:pPr>
            <w:r>
              <w:rPr>
                <w:rFonts w:cs="Arial"/>
                <w:b/>
                <w:color w:val="auto"/>
                <w:sz w:val="20"/>
                <w:szCs w:val="20"/>
                <w:lang w:val="en-US"/>
              </w:rPr>
              <w:t>1</w:t>
            </w:r>
            <w:r w:rsidR="000A18E3">
              <w:rPr>
                <w:rFonts w:cs="Arial"/>
                <w:b/>
                <w:color w:val="auto"/>
                <w:sz w:val="20"/>
                <w:szCs w:val="20"/>
                <w:lang w:val="en-US"/>
              </w:rPr>
              <w:t>51.1</w:t>
            </w:r>
          </w:p>
        </w:tc>
      </w:tr>
      <w:tr w:rsidR="00727D68" w:rsidRPr="00727D68" w:rsidTr="00DD4207">
        <w:trPr>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ind w:left="567"/>
              <w:jc w:val="center"/>
              <w:rPr>
                <w:rFonts w:cs="Arial"/>
                <w:color w:val="auto"/>
                <w:sz w:val="20"/>
                <w:szCs w:val="20"/>
              </w:rPr>
            </w:pPr>
          </w:p>
        </w:tc>
        <w:tc>
          <w:tcPr>
            <w:tcW w:w="5172" w:type="dxa"/>
            <w:vAlign w:val="center"/>
          </w:tcPr>
          <w:p w:rsidR="00727D68" w:rsidRPr="00727D68" w:rsidRDefault="00727D68" w:rsidP="00727D68">
            <w:pPr>
              <w:pStyle w:val="CodeNotesExampleText"/>
              <w:widowControl w:val="0"/>
              <w:ind w:left="317"/>
              <w:cnfStyle w:val="000000000000"/>
              <w:rPr>
                <w:rFonts w:cs="Arial"/>
                <w:b/>
                <w:iCs/>
                <w:color w:val="auto"/>
                <w:sz w:val="20"/>
                <w:szCs w:val="20"/>
              </w:rPr>
            </w:pPr>
            <w:r w:rsidRPr="00727D68">
              <w:rPr>
                <w:rFonts w:cs="Arial"/>
                <w:b/>
                <w:iCs/>
                <w:color w:val="auto"/>
                <w:sz w:val="20"/>
                <w:szCs w:val="20"/>
              </w:rPr>
              <w:t>Explanation of movements in year</w:t>
            </w:r>
          </w:p>
        </w:tc>
        <w:tc>
          <w:tcPr>
            <w:cnfStyle w:val="000010000000"/>
            <w:tcW w:w="1406" w:type="dxa"/>
            <w:tcBorders>
              <w:left w:val="none" w:sz="0" w:space="0" w:color="auto"/>
              <w:right w:val="none" w:sz="0" w:space="0" w:color="auto"/>
            </w:tcBorders>
            <w:vAlign w:val="center"/>
          </w:tcPr>
          <w:p w:rsidR="00727D68" w:rsidRPr="00727D68" w:rsidRDefault="00727D68" w:rsidP="00727D68">
            <w:pPr>
              <w:pStyle w:val="CodeNotesExampleText"/>
              <w:widowControl w:val="0"/>
              <w:ind w:left="567"/>
              <w:jc w:val="center"/>
              <w:rPr>
                <w:rFonts w:cs="Arial"/>
                <w:color w:val="auto"/>
                <w:sz w:val="20"/>
                <w:szCs w:val="20"/>
              </w:rPr>
            </w:pP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0.4</w:t>
            </w:r>
          </w:p>
        </w:tc>
        <w:tc>
          <w:tcPr>
            <w:tcW w:w="5172" w:type="dxa"/>
            <w:vAlign w:val="center"/>
          </w:tcPr>
          <w:p w:rsidR="00727D68" w:rsidRPr="00727D68" w:rsidRDefault="00727D68" w:rsidP="00727D68">
            <w:pPr>
              <w:pStyle w:val="CodeNotesExampleText"/>
              <w:widowControl w:val="0"/>
              <w:ind w:left="317"/>
              <w:cnfStyle w:val="000000100000"/>
              <w:rPr>
                <w:rFonts w:cs="Arial"/>
                <w:color w:val="auto"/>
                <w:sz w:val="20"/>
                <w:szCs w:val="20"/>
              </w:rPr>
            </w:pPr>
            <w:r w:rsidRPr="00727D68">
              <w:rPr>
                <w:rFonts w:cs="Arial"/>
                <w:color w:val="auto"/>
                <w:sz w:val="20"/>
                <w:szCs w:val="20"/>
              </w:rPr>
              <w:t>Increase in underlying need to borrowing (supported by government financial assistance)</w:t>
            </w:r>
          </w:p>
        </w:tc>
        <w:tc>
          <w:tcPr>
            <w:cnfStyle w:val="000010000000"/>
            <w:tcW w:w="1406" w:type="dxa"/>
            <w:tcBorders>
              <w:left w:val="none" w:sz="0" w:space="0" w:color="auto"/>
              <w:right w:val="none" w:sz="0" w:space="0" w:color="auto"/>
            </w:tcBorders>
            <w:vAlign w:val="center"/>
          </w:tcPr>
          <w:p w:rsidR="00727D68" w:rsidRPr="00727D68" w:rsidRDefault="00C507F7" w:rsidP="00727D68">
            <w:pPr>
              <w:pStyle w:val="CodeNotesExampleText"/>
              <w:widowControl w:val="0"/>
              <w:jc w:val="center"/>
              <w:rPr>
                <w:rFonts w:cs="Arial"/>
                <w:b/>
                <w:color w:val="auto"/>
                <w:sz w:val="20"/>
                <w:szCs w:val="20"/>
                <w:lang w:val="en-US"/>
              </w:rPr>
            </w:pPr>
            <w:r>
              <w:rPr>
                <w:rFonts w:cs="Arial"/>
                <w:b/>
                <w:color w:val="auto"/>
                <w:sz w:val="20"/>
                <w:szCs w:val="20"/>
                <w:lang w:val="en-US"/>
              </w:rPr>
              <w:t>0</w:t>
            </w:r>
          </w:p>
        </w:tc>
      </w:tr>
      <w:tr w:rsidR="00727D68" w:rsidRPr="00727D68" w:rsidTr="00DD4207">
        <w:trPr>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4.5</w:t>
            </w:r>
          </w:p>
        </w:tc>
        <w:tc>
          <w:tcPr>
            <w:tcW w:w="5172" w:type="dxa"/>
            <w:vAlign w:val="center"/>
          </w:tcPr>
          <w:p w:rsidR="00727D68" w:rsidRPr="00727D68" w:rsidRDefault="00727D68" w:rsidP="00727D68">
            <w:pPr>
              <w:pStyle w:val="CodeNotesExampleText"/>
              <w:widowControl w:val="0"/>
              <w:ind w:left="317"/>
              <w:cnfStyle w:val="000000000000"/>
              <w:rPr>
                <w:rFonts w:cs="Arial"/>
                <w:color w:val="auto"/>
                <w:sz w:val="20"/>
                <w:szCs w:val="20"/>
              </w:rPr>
            </w:pPr>
            <w:r w:rsidRPr="00727D68">
              <w:rPr>
                <w:rFonts w:cs="Arial"/>
                <w:color w:val="auto"/>
                <w:sz w:val="20"/>
                <w:szCs w:val="20"/>
              </w:rPr>
              <w:t>Increase in underlying need to borrowing (unsupported by government financial assistance)</w:t>
            </w:r>
          </w:p>
        </w:tc>
        <w:tc>
          <w:tcPr>
            <w:cnfStyle w:val="000010000000"/>
            <w:tcW w:w="1406" w:type="dxa"/>
            <w:tcBorders>
              <w:left w:val="none" w:sz="0" w:space="0" w:color="auto"/>
              <w:right w:val="none" w:sz="0" w:space="0" w:color="auto"/>
            </w:tcBorders>
            <w:vAlign w:val="center"/>
          </w:tcPr>
          <w:p w:rsidR="00727D68" w:rsidRPr="00727D68" w:rsidRDefault="00C507F7" w:rsidP="00601D8D">
            <w:pPr>
              <w:pStyle w:val="CodeNotesExampleText"/>
              <w:widowControl w:val="0"/>
              <w:jc w:val="center"/>
              <w:rPr>
                <w:rFonts w:cs="Arial"/>
                <w:b/>
                <w:color w:val="auto"/>
                <w:sz w:val="20"/>
                <w:szCs w:val="20"/>
                <w:lang w:val="en-US"/>
              </w:rPr>
            </w:pPr>
            <w:r>
              <w:rPr>
                <w:rFonts w:cs="Arial"/>
                <w:b/>
                <w:color w:val="auto"/>
                <w:sz w:val="20"/>
                <w:szCs w:val="20"/>
                <w:lang w:val="en-US"/>
              </w:rPr>
              <w:t>7.</w:t>
            </w:r>
            <w:r w:rsidR="00601D8D">
              <w:rPr>
                <w:rFonts w:cs="Arial"/>
                <w:b/>
                <w:color w:val="auto"/>
                <w:sz w:val="20"/>
                <w:szCs w:val="20"/>
                <w:lang w:val="en-US"/>
              </w:rPr>
              <w:t>7</w:t>
            </w:r>
          </w:p>
        </w:tc>
      </w:tr>
      <w:tr w:rsidR="000A18E3" w:rsidRPr="00727D68" w:rsidTr="00DD4207">
        <w:trPr>
          <w:cnfStyle w:val="000000100000"/>
          <w:trHeight w:val="60"/>
        </w:trPr>
        <w:tc>
          <w:tcPr>
            <w:cnfStyle w:val="000010000000"/>
            <w:tcW w:w="1384" w:type="dxa"/>
            <w:vAlign w:val="center"/>
          </w:tcPr>
          <w:p w:rsidR="000A18E3" w:rsidRPr="00C96118" w:rsidRDefault="000A18E3" w:rsidP="00727D68">
            <w:pPr>
              <w:pStyle w:val="CodeNotesExampleText"/>
              <w:widowControl w:val="0"/>
              <w:jc w:val="center"/>
              <w:rPr>
                <w:rFonts w:cs="Arial"/>
                <w:color w:val="auto"/>
                <w:sz w:val="20"/>
                <w:szCs w:val="20"/>
                <w:lang w:val="en-US"/>
              </w:rPr>
            </w:pPr>
            <w:r>
              <w:rPr>
                <w:rFonts w:cs="Arial"/>
                <w:color w:val="auto"/>
                <w:sz w:val="20"/>
                <w:szCs w:val="20"/>
                <w:lang w:val="en-US"/>
              </w:rPr>
              <w:t>-</w:t>
            </w:r>
          </w:p>
        </w:tc>
        <w:tc>
          <w:tcPr>
            <w:tcW w:w="5172" w:type="dxa"/>
            <w:vAlign w:val="center"/>
          </w:tcPr>
          <w:p w:rsidR="000A18E3" w:rsidRPr="00727D68" w:rsidRDefault="006B5F50" w:rsidP="00E81176">
            <w:pPr>
              <w:pStyle w:val="CodeNotesExampleText"/>
              <w:widowControl w:val="0"/>
              <w:ind w:left="317"/>
              <w:cnfStyle w:val="000000100000"/>
              <w:rPr>
                <w:rFonts w:cs="Arial"/>
                <w:color w:val="auto"/>
                <w:sz w:val="20"/>
                <w:szCs w:val="20"/>
              </w:rPr>
            </w:pPr>
            <w:r>
              <w:rPr>
                <w:rFonts w:cs="Arial"/>
                <w:color w:val="auto"/>
                <w:sz w:val="20"/>
                <w:szCs w:val="20"/>
              </w:rPr>
              <w:t>Initial r</w:t>
            </w:r>
            <w:r w:rsidR="000A18E3">
              <w:rPr>
                <w:rFonts w:cs="Arial"/>
                <w:color w:val="auto"/>
                <w:sz w:val="20"/>
                <w:szCs w:val="20"/>
              </w:rPr>
              <w:t xml:space="preserve">ecognition of </w:t>
            </w:r>
            <w:r w:rsidR="00E81176">
              <w:rPr>
                <w:rFonts w:cs="Arial"/>
                <w:color w:val="auto"/>
                <w:sz w:val="20"/>
                <w:szCs w:val="20"/>
              </w:rPr>
              <w:t xml:space="preserve">EFW </w:t>
            </w:r>
            <w:r w:rsidR="000A18E3">
              <w:rPr>
                <w:rFonts w:cs="Arial"/>
                <w:color w:val="auto"/>
                <w:sz w:val="20"/>
                <w:szCs w:val="20"/>
              </w:rPr>
              <w:t>PFI liability</w:t>
            </w:r>
          </w:p>
        </w:tc>
        <w:tc>
          <w:tcPr>
            <w:cnfStyle w:val="000010000000"/>
            <w:tcW w:w="1406" w:type="dxa"/>
            <w:vAlign w:val="center"/>
          </w:tcPr>
          <w:p w:rsidR="000A18E3" w:rsidRDefault="000A18E3" w:rsidP="00601D8D">
            <w:pPr>
              <w:pStyle w:val="CodeNotesExampleText"/>
              <w:widowControl w:val="0"/>
              <w:jc w:val="center"/>
              <w:rPr>
                <w:rFonts w:cs="Arial"/>
                <w:b/>
                <w:color w:val="auto"/>
                <w:sz w:val="20"/>
                <w:szCs w:val="20"/>
                <w:lang w:val="en-US"/>
              </w:rPr>
            </w:pPr>
            <w:r>
              <w:rPr>
                <w:rFonts w:cs="Arial"/>
                <w:b/>
                <w:color w:val="auto"/>
                <w:sz w:val="20"/>
                <w:szCs w:val="20"/>
                <w:lang w:val="en-US"/>
              </w:rPr>
              <w:t>12.4</w:t>
            </w:r>
          </w:p>
        </w:tc>
      </w:tr>
      <w:tr w:rsidR="00727D68" w:rsidRPr="00727D68" w:rsidTr="00DD4207">
        <w:trPr>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(4.6)</w:t>
            </w:r>
          </w:p>
        </w:tc>
        <w:tc>
          <w:tcPr>
            <w:tcW w:w="5172" w:type="dxa"/>
            <w:vAlign w:val="center"/>
          </w:tcPr>
          <w:p w:rsidR="00727D68" w:rsidRPr="00727D68" w:rsidRDefault="00727D68" w:rsidP="00830DEC">
            <w:pPr>
              <w:pStyle w:val="CodeNotesExampleText"/>
              <w:widowControl w:val="0"/>
              <w:ind w:left="317"/>
              <w:cnfStyle w:val="000000000000"/>
              <w:rPr>
                <w:rFonts w:cs="Arial"/>
                <w:color w:val="auto"/>
                <w:sz w:val="20"/>
                <w:szCs w:val="20"/>
              </w:rPr>
            </w:pPr>
            <w:r w:rsidRPr="00727D68">
              <w:rPr>
                <w:rFonts w:cs="Arial"/>
                <w:color w:val="auto"/>
                <w:sz w:val="20"/>
                <w:szCs w:val="20"/>
              </w:rPr>
              <w:t>Provision for repayment of borrowing (MRP)</w:t>
            </w:r>
          </w:p>
        </w:tc>
        <w:tc>
          <w:tcPr>
            <w:cnfStyle w:val="000010000000"/>
            <w:tcW w:w="1406" w:type="dxa"/>
            <w:tcBorders>
              <w:left w:val="none" w:sz="0" w:space="0" w:color="auto"/>
              <w:right w:val="none" w:sz="0" w:space="0" w:color="auto"/>
            </w:tcBorders>
            <w:vAlign w:val="center"/>
          </w:tcPr>
          <w:p w:rsidR="00727D68" w:rsidRPr="00727D68" w:rsidRDefault="00C507F7" w:rsidP="00601D8D">
            <w:pPr>
              <w:pStyle w:val="CodeNotesExampleText"/>
              <w:widowControl w:val="0"/>
              <w:jc w:val="center"/>
              <w:rPr>
                <w:rFonts w:cs="Arial"/>
                <w:b/>
                <w:color w:val="auto"/>
                <w:sz w:val="20"/>
                <w:szCs w:val="20"/>
                <w:lang w:val="en-US"/>
              </w:rPr>
            </w:pPr>
            <w:r>
              <w:rPr>
                <w:rFonts w:cs="Arial"/>
                <w:b/>
                <w:color w:val="auto"/>
                <w:sz w:val="20"/>
                <w:szCs w:val="20"/>
                <w:lang w:val="en-US"/>
              </w:rPr>
              <w:t>(4.</w:t>
            </w:r>
            <w:r w:rsidR="00601D8D">
              <w:rPr>
                <w:rFonts w:cs="Arial"/>
                <w:b/>
                <w:color w:val="auto"/>
                <w:sz w:val="20"/>
                <w:szCs w:val="20"/>
                <w:lang w:val="en-US"/>
              </w:rPr>
              <w:t>3</w:t>
            </w:r>
            <w:r>
              <w:rPr>
                <w:rFonts w:cs="Arial"/>
                <w:b/>
                <w:color w:val="auto"/>
                <w:sz w:val="20"/>
                <w:szCs w:val="20"/>
                <w:lang w:val="en-US"/>
              </w:rPr>
              <w:t>)</w:t>
            </w:r>
          </w:p>
        </w:tc>
      </w:tr>
      <w:tr w:rsidR="00727D68" w:rsidRPr="00727D68" w:rsidTr="00DD4207">
        <w:trPr>
          <w:cnfStyle w:val="000000100000"/>
          <w:trHeight w:val="60"/>
        </w:trPr>
        <w:tc>
          <w:tcPr>
            <w:cnfStyle w:val="000010000000"/>
            <w:tcW w:w="1384" w:type="dxa"/>
            <w:tcBorders>
              <w:left w:val="none" w:sz="0" w:space="0" w:color="auto"/>
              <w:right w:val="none" w:sz="0" w:space="0" w:color="auto"/>
            </w:tcBorders>
            <w:vAlign w:val="center"/>
          </w:tcPr>
          <w:p w:rsidR="00727D68" w:rsidRPr="00C96118" w:rsidRDefault="00727D68" w:rsidP="00727D68">
            <w:pPr>
              <w:pStyle w:val="CodeNotesExampleText"/>
              <w:widowControl w:val="0"/>
              <w:jc w:val="center"/>
              <w:rPr>
                <w:rFonts w:cs="Arial"/>
                <w:color w:val="auto"/>
                <w:sz w:val="20"/>
                <w:szCs w:val="20"/>
                <w:lang w:val="en-US"/>
              </w:rPr>
            </w:pPr>
            <w:r w:rsidRPr="00C96118">
              <w:rPr>
                <w:rFonts w:cs="Arial"/>
                <w:color w:val="auto"/>
                <w:sz w:val="20"/>
                <w:szCs w:val="20"/>
                <w:lang w:val="en-US"/>
              </w:rPr>
              <w:t>0.3</w:t>
            </w:r>
          </w:p>
        </w:tc>
        <w:tc>
          <w:tcPr>
            <w:tcW w:w="5172" w:type="dxa"/>
            <w:vAlign w:val="center"/>
          </w:tcPr>
          <w:p w:rsidR="00727D68" w:rsidRPr="00727D68" w:rsidRDefault="00727D68" w:rsidP="00727D68">
            <w:pPr>
              <w:pStyle w:val="CodeNotesExampleText"/>
              <w:widowControl w:val="0"/>
              <w:ind w:left="317"/>
              <w:cnfStyle w:val="000000100000"/>
              <w:rPr>
                <w:rFonts w:cs="Arial"/>
                <w:b/>
                <w:iCs/>
                <w:color w:val="auto"/>
                <w:sz w:val="20"/>
                <w:szCs w:val="20"/>
              </w:rPr>
            </w:pPr>
            <w:r w:rsidRPr="00727D68">
              <w:rPr>
                <w:rFonts w:cs="Arial"/>
                <w:b/>
                <w:iCs/>
                <w:color w:val="auto"/>
                <w:sz w:val="20"/>
                <w:szCs w:val="20"/>
              </w:rPr>
              <w:t>Increase/(decrease) in Capital Financing Requirement</w:t>
            </w:r>
          </w:p>
        </w:tc>
        <w:tc>
          <w:tcPr>
            <w:cnfStyle w:val="000010000000"/>
            <w:tcW w:w="1406" w:type="dxa"/>
            <w:tcBorders>
              <w:left w:val="none" w:sz="0" w:space="0" w:color="auto"/>
              <w:right w:val="none" w:sz="0" w:space="0" w:color="auto"/>
            </w:tcBorders>
            <w:vAlign w:val="center"/>
          </w:tcPr>
          <w:p w:rsidR="00727D68" w:rsidRPr="00727D68" w:rsidRDefault="000A18E3" w:rsidP="00727D68">
            <w:pPr>
              <w:pStyle w:val="CodeNotesExampleText"/>
              <w:widowControl w:val="0"/>
              <w:jc w:val="center"/>
              <w:rPr>
                <w:rFonts w:cs="Arial"/>
                <w:b/>
                <w:color w:val="auto"/>
                <w:sz w:val="20"/>
                <w:szCs w:val="20"/>
                <w:lang w:val="en-US"/>
              </w:rPr>
            </w:pPr>
            <w:r>
              <w:rPr>
                <w:rFonts w:cs="Arial"/>
                <w:b/>
                <w:color w:val="auto"/>
                <w:sz w:val="20"/>
                <w:szCs w:val="20"/>
                <w:lang w:val="en-US"/>
              </w:rPr>
              <w:t>15.8</w:t>
            </w:r>
          </w:p>
        </w:tc>
      </w:tr>
    </w:tbl>
    <w:p w:rsidR="00B33C8B" w:rsidRPr="00D42E0B" w:rsidRDefault="00B33C8B" w:rsidP="00877BBF">
      <w:pPr>
        <w:pStyle w:val="ExampleSub"/>
        <w:keepNext w:val="0"/>
        <w:keepLines w:val="0"/>
        <w:ind w:left="0"/>
        <w:outlineLvl w:val="0"/>
        <w:rPr>
          <w:rFonts w:ascii="Arial" w:hAnsi="Arial" w:cs="Times New Roman"/>
          <w:bCs w:val="0"/>
          <w:color w:val="548DD4" w:themeColor="text2" w:themeTint="99"/>
          <w:sz w:val="21"/>
          <w:szCs w:val="21"/>
          <w:lang w:eastAsia="en-US"/>
        </w:rPr>
      </w:pPr>
    </w:p>
    <w:p w:rsidR="00E51139" w:rsidRPr="009D5F43" w:rsidRDefault="005C68D8" w:rsidP="00877BBF">
      <w:pPr>
        <w:pStyle w:val="Subtitle"/>
        <w:ind w:left="567" w:hanging="567"/>
        <w:rPr>
          <w:b/>
          <w:color w:val="auto"/>
          <w:sz w:val="22"/>
          <w:szCs w:val="22"/>
        </w:rPr>
      </w:pPr>
      <w:r w:rsidRPr="009D5F43">
        <w:rPr>
          <w:b/>
          <w:color w:val="auto"/>
          <w:sz w:val="22"/>
          <w:szCs w:val="22"/>
        </w:rPr>
        <w:t>3</w:t>
      </w:r>
      <w:r w:rsidR="00877BBF" w:rsidRPr="009D5F43">
        <w:rPr>
          <w:b/>
          <w:color w:val="auto"/>
          <w:sz w:val="22"/>
          <w:szCs w:val="22"/>
        </w:rPr>
        <w:t>6</w:t>
      </w:r>
      <w:r w:rsidR="00E51139" w:rsidRPr="009D5F43">
        <w:rPr>
          <w:b/>
          <w:color w:val="auto"/>
          <w:sz w:val="22"/>
          <w:szCs w:val="22"/>
        </w:rPr>
        <w:t>.</w:t>
      </w:r>
      <w:r w:rsidR="00E51139" w:rsidRPr="009D5F43">
        <w:rPr>
          <w:b/>
          <w:color w:val="auto"/>
          <w:sz w:val="22"/>
          <w:szCs w:val="22"/>
        </w:rPr>
        <w:tab/>
        <w:t>Leases</w:t>
      </w:r>
    </w:p>
    <w:p w:rsidR="00E51139" w:rsidRPr="009D5F43" w:rsidRDefault="00E51139" w:rsidP="003C5E34">
      <w:pPr>
        <w:pStyle w:val="CodeNotesExampleText"/>
        <w:widowControl w:val="0"/>
        <w:ind w:left="567"/>
        <w:outlineLvl w:val="0"/>
        <w:rPr>
          <w:rFonts w:cs="Arial"/>
          <w:b/>
          <w:color w:val="auto"/>
          <w:sz w:val="20"/>
          <w:szCs w:val="20"/>
        </w:rPr>
      </w:pPr>
      <w:r w:rsidRPr="009D5F43">
        <w:rPr>
          <w:rFonts w:cs="Arial"/>
          <w:b/>
          <w:color w:val="auto"/>
          <w:sz w:val="20"/>
          <w:szCs w:val="20"/>
        </w:rPr>
        <w:t>Council as Lessee</w:t>
      </w:r>
    </w:p>
    <w:p w:rsidR="00877BBF" w:rsidRPr="009D5F43" w:rsidRDefault="00877BBF" w:rsidP="003C5E34">
      <w:pPr>
        <w:pStyle w:val="CodeNotesExampleText"/>
        <w:widowControl w:val="0"/>
        <w:ind w:left="567"/>
        <w:outlineLvl w:val="0"/>
        <w:rPr>
          <w:rFonts w:cs="Arial"/>
          <w:color w:val="auto"/>
          <w:sz w:val="20"/>
          <w:szCs w:val="20"/>
        </w:rPr>
      </w:pPr>
    </w:p>
    <w:p w:rsidR="00E51139" w:rsidRPr="009D5F43" w:rsidRDefault="00E51139" w:rsidP="003C5E34">
      <w:pPr>
        <w:pStyle w:val="CodeNotesExampleText"/>
        <w:ind w:left="567"/>
        <w:rPr>
          <w:rFonts w:cs="Arial"/>
          <w:color w:val="auto"/>
          <w:sz w:val="20"/>
          <w:szCs w:val="20"/>
        </w:rPr>
      </w:pPr>
      <w:r w:rsidRPr="009D5F43">
        <w:rPr>
          <w:rFonts w:cs="Arial"/>
          <w:color w:val="auto"/>
          <w:sz w:val="20"/>
          <w:szCs w:val="20"/>
        </w:rPr>
        <w:t>Operating Leases - Equipment</w:t>
      </w:r>
    </w:p>
    <w:p w:rsidR="00E51139" w:rsidRPr="009D5F43" w:rsidRDefault="00E51139" w:rsidP="003C5E34">
      <w:pPr>
        <w:pStyle w:val="CodeNotesExampleText"/>
        <w:ind w:left="567"/>
        <w:rPr>
          <w:rFonts w:cs="Arial"/>
          <w:color w:val="auto"/>
          <w:sz w:val="20"/>
          <w:szCs w:val="20"/>
        </w:rPr>
      </w:pPr>
    </w:p>
    <w:p w:rsidR="00E51139" w:rsidRPr="009D5F43" w:rsidRDefault="00E51139" w:rsidP="002332ED">
      <w:pPr>
        <w:pStyle w:val="CodeNotesExampleText"/>
        <w:widowControl w:val="0"/>
        <w:ind w:left="567"/>
        <w:rPr>
          <w:rFonts w:cs="Arial"/>
          <w:color w:val="auto"/>
          <w:sz w:val="20"/>
          <w:szCs w:val="20"/>
        </w:rPr>
      </w:pPr>
      <w:r w:rsidRPr="009D5F43">
        <w:rPr>
          <w:rFonts w:cs="Arial"/>
          <w:color w:val="auto"/>
          <w:sz w:val="20"/>
          <w:szCs w:val="20"/>
        </w:rPr>
        <w:t>The Council, as lessee, does not have any material operating leases.</w:t>
      </w:r>
    </w:p>
    <w:p w:rsidR="00E51139" w:rsidRPr="009D5F43" w:rsidRDefault="00E51139" w:rsidP="003C5E34">
      <w:pPr>
        <w:pStyle w:val="CodeNotesExampleText"/>
        <w:ind w:left="567"/>
        <w:rPr>
          <w:rFonts w:cs="Arial"/>
          <w:color w:val="auto"/>
          <w:sz w:val="20"/>
          <w:szCs w:val="20"/>
        </w:rPr>
      </w:pPr>
    </w:p>
    <w:p w:rsidR="00E51139" w:rsidRPr="009D5F43" w:rsidRDefault="00E51139" w:rsidP="003C5E34">
      <w:pPr>
        <w:pStyle w:val="CodeNotesExampleText"/>
        <w:ind w:left="567"/>
        <w:rPr>
          <w:rFonts w:cs="Arial"/>
          <w:color w:val="auto"/>
          <w:sz w:val="20"/>
          <w:szCs w:val="20"/>
        </w:rPr>
      </w:pPr>
      <w:r w:rsidRPr="009D5F43">
        <w:rPr>
          <w:rFonts w:cs="Arial"/>
          <w:color w:val="auto"/>
          <w:sz w:val="20"/>
          <w:szCs w:val="20"/>
        </w:rPr>
        <w:t>Operating Leases - Property</w:t>
      </w:r>
    </w:p>
    <w:p w:rsidR="00E51139" w:rsidRPr="009D5F43" w:rsidRDefault="00E51139" w:rsidP="003C5E34">
      <w:pPr>
        <w:pStyle w:val="CodeNotesExampleText"/>
        <w:ind w:left="567"/>
        <w:rPr>
          <w:rFonts w:cs="Arial"/>
          <w:color w:val="auto"/>
          <w:sz w:val="20"/>
          <w:szCs w:val="20"/>
        </w:rPr>
      </w:pPr>
    </w:p>
    <w:p w:rsidR="00E51139" w:rsidRPr="00D42E0B" w:rsidRDefault="00E51139" w:rsidP="00D06AD1">
      <w:pPr>
        <w:pStyle w:val="CodeNotesExampleText"/>
        <w:ind w:left="567"/>
        <w:rPr>
          <w:rFonts w:cs="Arial"/>
          <w:color w:val="548DD4" w:themeColor="text2" w:themeTint="99"/>
          <w:sz w:val="20"/>
          <w:szCs w:val="20"/>
        </w:rPr>
      </w:pPr>
      <w:r w:rsidRPr="009D5F43">
        <w:rPr>
          <w:rFonts w:cs="Arial"/>
          <w:color w:val="auto"/>
          <w:sz w:val="20"/>
          <w:szCs w:val="20"/>
        </w:rPr>
        <w:t xml:space="preserve">The Council has leases for a number of properties, primarily for </w:t>
      </w:r>
      <w:r w:rsidR="00936E1A">
        <w:rPr>
          <w:rFonts w:cs="Arial"/>
          <w:color w:val="auto"/>
          <w:sz w:val="20"/>
          <w:szCs w:val="20"/>
        </w:rPr>
        <w:t>a children’s centre</w:t>
      </w:r>
      <w:r w:rsidRPr="009D5F43">
        <w:rPr>
          <w:rFonts w:cs="Arial"/>
          <w:color w:val="auto"/>
          <w:sz w:val="20"/>
          <w:szCs w:val="20"/>
        </w:rPr>
        <w:t xml:space="preserve">. </w:t>
      </w:r>
      <w:r w:rsidRPr="00727D68">
        <w:rPr>
          <w:rFonts w:cs="Arial"/>
          <w:color w:val="auto"/>
          <w:sz w:val="20"/>
          <w:szCs w:val="20"/>
        </w:rPr>
        <w:t>Rent payments in 201</w:t>
      </w:r>
      <w:r w:rsidR="00727D68" w:rsidRPr="00727D68">
        <w:rPr>
          <w:rFonts w:cs="Arial"/>
          <w:color w:val="auto"/>
          <w:sz w:val="20"/>
          <w:szCs w:val="20"/>
        </w:rPr>
        <w:t>5</w:t>
      </w:r>
      <w:r w:rsidR="00810536" w:rsidRPr="00727D68">
        <w:rPr>
          <w:rFonts w:cs="Arial"/>
          <w:color w:val="auto"/>
          <w:sz w:val="20"/>
          <w:szCs w:val="20"/>
        </w:rPr>
        <w:t>/1</w:t>
      </w:r>
      <w:r w:rsidR="00727D68" w:rsidRPr="00727D68">
        <w:rPr>
          <w:rFonts w:cs="Arial"/>
          <w:color w:val="auto"/>
          <w:sz w:val="20"/>
          <w:szCs w:val="20"/>
        </w:rPr>
        <w:t>6</w:t>
      </w:r>
      <w:r w:rsidRPr="00727D68">
        <w:rPr>
          <w:rFonts w:cs="Arial"/>
          <w:color w:val="auto"/>
          <w:sz w:val="20"/>
          <w:szCs w:val="20"/>
        </w:rPr>
        <w:t xml:space="preserve"> </w:t>
      </w:r>
      <w:r w:rsidRPr="00936E1A">
        <w:rPr>
          <w:rFonts w:cs="Arial"/>
          <w:color w:val="auto"/>
          <w:sz w:val="20"/>
          <w:szCs w:val="20"/>
        </w:rPr>
        <w:t>totalled £</w:t>
      </w:r>
      <w:r w:rsidR="001D301D" w:rsidRPr="00936E1A">
        <w:rPr>
          <w:rFonts w:cs="Arial"/>
          <w:color w:val="auto"/>
          <w:sz w:val="20"/>
          <w:szCs w:val="20"/>
        </w:rPr>
        <w:t>0.1</w:t>
      </w:r>
      <w:r w:rsidR="00FB55B3" w:rsidRPr="00936E1A">
        <w:rPr>
          <w:rFonts w:cs="Arial"/>
          <w:color w:val="auto"/>
          <w:sz w:val="20"/>
          <w:szCs w:val="20"/>
        </w:rPr>
        <w:t>m</w:t>
      </w:r>
      <w:r w:rsidRPr="00D42E0B">
        <w:rPr>
          <w:rFonts w:cs="Arial"/>
          <w:color w:val="548DD4" w:themeColor="text2" w:themeTint="99"/>
          <w:sz w:val="20"/>
          <w:szCs w:val="20"/>
        </w:rPr>
        <w:t xml:space="preserve"> </w:t>
      </w:r>
      <w:r w:rsidRPr="00727D68">
        <w:rPr>
          <w:rFonts w:cs="Arial"/>
          <w:color w:val="auto"/>
          <w:sz w:val="20"/>
          <w:szCs w:val="20"/>
        </w:rPr>
        <w:t>(£0.</w:t>
      </w:r>
      <w:r w:rsidR="00727D68" w:rsidRPr="00727D68">
        <w:rPr>
          <w:rFonts w:cs="Arial"/>
          <w:color w:val="auto"/>
          <w:sz w:val="20"/>
          <w:szCs w:val="20"/>
        </w:rPr>
        <w:t>1</w:t>
      </w:r>
      <w:r w:rsidRPr="00727D68">
        <w:rPr>
          <w:rFonts w:cs="Arial"/>
          <w:color w:val="auto"/>
          <w:sz w:val="20"/>
          <w:szCs w:val="20"/>
        </w:rPr>
        <w:t>m 201</w:t>
      </w:r>
      <w:r w:rsidR="00727D68" w:rsidRPr="00727D68">
        <w:rPr>
          <w:rFonts w:cs="Arial"/>
          <w:color w:val="auto"/>
          <w:sz w:val="20"/>
          <w:szCs w:val="20"/>
        </w:rPr>
        <w:t>4</w:t>
      </w:r>
      <w:r w:rsidR="00810536" w:rsidRPr="00727D68">
        <w:rPr>
          <w:rFonts w:cs="Arial"/>
          <w:color w:val="auto"/>
          <w:sz w:val="20"/>
          <w:szCs w:val="20"/>
        </w:rPr>
        <w:t>/1</w:t>
      </w:r>
      <w:r w:rsidR="00727D68" w:rsidRPr="00727D68">
        <w:rPr>
          <w:rFonts w:cs="Arial"/>
          <w:color w:val="auto"/>
          <w:sz w:val="20"/>
          <w:szCs w:val="20"/>
        </w:rPr>
        <w:t>5</w:t>
      </w:r>
      <w:r w:rsidRPr="00727D68">
        <w:rPr>
          <w:rFonts w:cs="Arial"/>
          <w:color w:val="auto"/>
          <w:sz w:val="20"/>
          <w:szCs w:val="20"/>
        </w:rPr>
        <w:t>).</w:t>
      </w:r>
      <w:r w:rsidR="00B4102A" w:rsidRPr="00D42E0B">
        <w:rPr>
          <w:rFonts w:cs="Arial"/>
          <w:color w:val="548DD4" w:themeColor="text2" w:themeTint="99"/>
          <w:sz w:val="20"/>
          <w:szCs w:val="20"/>
        </w:rPr>
        <w:t xml:space="preserve"> </w:t>
      </w:r>
      <w:r w:rsidRPr="00727D68">
        <w:rPr>
          <w:rFonts w:cs="Arial"/>
          <w:color w:val="auto"/>
          <w:sz w:val="20"/>
          <w:szCs w:val="20"/>
        </w:rPr>
        <w:t xml:space="preserve">The future minimum lease payments due under property leases in future years </w:t>
      </w:r>
      <w:r w:rsidR="00B4102A" w:rsidRPr="00727D68">
        <w:rPr>
          <w:rFonts w:cs="Arial"/>
          <w:color w:val="auto"/>
          <w:sz w:val="20"/>
          <w:szCs w:val="20"/>
        </w:rPr>
        <w:t>is</w:t>
      </w:r>
      <w:r w:rsidR="00B4102A" w:rsidRPr="00D42E0B">
        <w:rPr>
          <w:rFonts w:cs="Arial"/>
          <w:color w:val="548DD4" w:themeColor="text2" w:themeTint="99"/>
          <w:sz w:val="20"/>
          <w:szCs w:val="20"/>
        </w:rPr>
        <w:t xml:space="preserve"> </w:t>
      </w:r>
      <w:r w:rsidR="00B4102A" w:rsidRPr="00936E1A">
        <w:rPr>
          <w:rFonts w:cs="Arial"/>
          <w:color w:val="auto"/>
          <w:sz w:val="20"/>
          <w:szCs w:val="20"/>
        </w:rPr>
        <w:t>£0.</w:t>
      </w:r>
      <w:r w:rsidR="00936E1A" w:rsidRPr="00936E1A">
        <w:rPr>
          <w:rFonts w:cs="Arial"/>
          <w:color w:val="auto"/>
          <w:sz w:val="20"/>
          <w:szCs w:val="20"/>
        </w:rPr>
        <w:t>5</w:t>
      </w:r>
      <w:r w:rsidR="00B4102A" w:rsidRPr="00936E1A">
        <w:rPr>
          <w:rFonts w:cs="Arial"/>
          <w:color w:val="auto"/>
          <w:sz w:val="20"/>
          <w:szCs w:val="20"/>
        </w:rPr>
        <w:t>m</w:t>
      </w:r>
      <w:r w:rsidR="00B4102A" w:rsidRPr="00D42E0B">
        <w:rPr>
          <w:rFonts w:cs="Arial"/>
          <w:color w:val="548DD4" w:themeColor="text2" w:themeTint="99"/>
          <w:sz w:val="20"/>
          <w:szCs w:val="20"/>
        </w:rPr>
        <w:t xml:space="preserve"> </w:t>
      </w:r>
      <w:r w:rsidR="00B4102A" w:rsidRPr="00727D68">
        <w:rPr>
          <w:rFonts w:cs="Arial"/>
          <w:color w:val="auto"/>
          <w:sz w:val="20"/>
          <w:szCs w:val="20"/>
        </w:rPr>
        <w:t>(£0.</w:t>
      </w:r>
      <w:r w:rsidR="000D7998" w:rsidRPr="00727D68">
        <w:rPr>
          <w:rFonts w:cs="Arial"/>
          <w:color w:val="auto"/>
          <w:sz w:val="20"/>
          <w:szCs w:val="20"/>
        </w:rPr>
        <w:t>2</w:t>
      </w:r>
      <w:r w:rsidR="00B4102A" w:rsidRPr="00727D68">
        <w:rPr>
          <w:rFonts w:cs="Arial"/>
          <w:color w:val="auto"/>
          <w:sz w:val="20"/>
          <w:szCs w:val="20"/>
        </w:rPr>
        <w:t>m 201</w:t>
      </w:r>
      <w:r w:rsidR="00727D68" w:rsidRPr="00727D68">
        <w:rPr>
          <w:rFonts w:cs="Arial"/>
          <w:color w:val="auto"/>
          <w:sz w:val="20"/>
          <w:szCs w:val="20"/>
        </w:rPr>
        <w:t>4</w:t>
      </w:r>
      <w:r w:rsidR="00B4102A" w:rsidRPr="00727D68">
        <w:rPr>
          <w:rFonts w:cs="Arial"/>
          <w:color w:val="auto"/>
          <w:sz w:val="20"/>
          <w:szCs w:val="20"/>
        </w:rPr>
        <w:t>/1</w:t>
      </w:r>
      <w:r w:rsidR="00727D68" w:rsidRPr="00727D68">
        <w:rPr>
          <w:rFonts w:cs="Arial"/>
          <w:color w:val="auto"/>
          <w:sz w:val="20"/>
          <w:szCs w:val="20"/>
        </w:rPr>
        <w:t>5</w:t>
      </w:r>
      <w:r w:rsidR="00B4102A" w:rsidRPr="00727D68">
        <w:rPr>
          <w:rFonts w:cs="Arial"/>
          <w:color w:val="auto"/>
          <w:sz w:val="20"/>
          <w:szCs w:val="20"/>
        </w:rPr>
        <w:t>)</w:t>
      </w:r>
      <w:r w:rsidR="00B4102A" w:rsidRPr="00D42E0B">
        <w:rPr>
          <w:rFonts w:cs="Arial"/>
          <w:color w:val="548DD4" w:themeColor="text2" w:themeTint="99"/>
          <w:sz w:val="20"/>
          <w:szCs w:val="20"/>
        </w:rPr>
        <w:t>.</w:t>
      </w:r>
    </w:p>
    <w:p w:rsidR="00E51139" w:rsidRPr="00D42E0B" w:rsidRDefault="00E51139" w:rsidP="00D06AD1">
      <w:pPr>
        <w:pStyle w:val="CodeNotesExampleText"/>
        <w:ind w:left="567"/>
        <w:rPr>
          <w:rFonts w:cs="Arial"/>
          <w:color w:val="548DD4" w:themeColor="text2" w:themeTint="99"/>
          <w:sz w:val="20"/>
          <w:szCs w:val="20"/>
        </w:rPr>
      </w:pPr>
    </w:p>
    <w:p w:rsidR="00E51139" w:rsidRPr="009D5F43" w:rsidRDefault="00E51139" w:rsidP="003C5E34">
      <w:pPr>
        <w:pStyle w:val="CodeNotesExampleText"/>
        <w:widowControl w:val="0"/>
        <w:ind w:left="567"/>
        <w:rPr>
          <w:rFonts w:cs="Arial"/>
          <w:color w:val="auto"/>
          <w:sz w:val="20"/>
          <w:szCs w:val="20"/>
        </w:rPr>
      </w:pPr>
      <w:r w:rsidRPr="009D5F43">
        <w:rPr>
          <w:rFonts w:cs="Arial"/>
          <w:color w:val="auto"/>
          <w:sz w:val="20"/>
          <w:szCs w:val="20"/>
        </w:rPr>
        <w:t>Finance Leases:</w:t>
      </w:r>
    </w:p>
    <w:p w:rsidR="00E51139" w:rsidRPr="009D5F43" w:rsidRDefault="00E51139" w:rsidP="003C5E34">
      <w:pPr>
        <w:pStyle w:val="CodeNotesExampleText"/>
        <w:widowControl w:val="0"/>
        <w:ind w:left="567"/>
        <w:rPr>
          <w:rFonts w:cs="Arial"/>
          <w:color w:val="auto"/>
          <w:sz w:val="20"/>
          <w:szCs w:val="20"/>
        </w:rPr>
      </w:pPr>
    </w:p>
    <w:p w:rsidR="00E51139" w:rsidRPr="009D5F43" w:rsidRDefault="00E51139" w:rsidP="003C5E34">
      <w:pPr>
        <w:pStyle w:val="CodeNotesExampleText"/>
        <w:widowControl w:val="0"/>
        <w:ind w:left="567"/>
        <w:rPr>
          <w:rFonts w:cs="Arial"/>
          <w:color w:val="auto"/>
          <w:sz w:val="20"/>
          <w:szCs w:val="20"/>
        </w:rPr>
      </w:pPr>
      <w:r w:rsidRPr="009D5F43">
        <w:rPr>
          <w:rFonts w:cs="Arial"/>
          <w:color w:val="auto"/>
          <w:sz w:val="20"/>
          <w:szCs w:val="20"/>
        </w:rPr>
        <w:t>The Council, as lessee, does not have any material finance leases.</w:t>
      </w:r>
    </w:p>
    <w:p w:rsidR="00E51139" w:rsidRPr="009D5F43" w:rsidRDefault="00E51139" w:rsidP="003C5E34">
      <w:pPr>
        <w:pStyle w:val="CodeNotesExampleText"/>
        <w:widowControl w:val="0"/>
        <w:ind w:left="567"/>
        <w:rPr>
          <w:rFonts w:cs="Arial"/>
          <w:color w:val="auto"/>
          <w:sz w:val="20"/>
          <w:szCs w:val="20"/>
        </w:rPr>
      </w:pPr>
    </w:p>
    <w:p w:rsidR="00E51139" w:rsidRPr="009D5F43" w:rsidRDefault="00E51139" w:rsidP="003C5E34">
      <w:pPr>
        <w:pStyle w:val="CodeNotesExampleText"/>
        <w:widowControl w:val="0"/>
        <w:ind w:left="567"/>
        <w:outlineLvl w:val="0"/>
        <w:rPr>
          <w:rFonts w:cs="Arial"/>
          <w:b/>
          <w:color w:val="auto"/>
          <w:sz w:val="20"/>
          <w:szCs w:val="20"/>
        </w:rPr>
      </w:pPr>
      <w:r w:rsidRPr="009D5F43">
        <w:rPr>
          <w:rFonts w:cs="Arial"/>
          <w:b/>
          <w:color w:val="auto"/>
          <w:sz w:val="20"/>
          <w:szCs w:val="20"/>
        </w:rPr>
        <w:t>Council as Lessor</w:t>
      </w:r>
    </w:p>
    <w:p w:rsidR="00E51139" w:rsidRPr="009D5F43" w:rsidRDefault="00E51139" w:rsidP="003C5E34">
      <w:pPr>
        <w:pStyle w:val="CodeNotesExampleText"/>
        <w:widowControl w:val="0"/>
        <w:ind w:left="567"/>
        <w:rPr>
          <w:rFonts w:cs="Arial"/>
          <w:color w:val="auto"/>
          <w:sz w:val="20"/>
          <w:szCs w:val="20"/>
        </w:rPr>
      </w:pPr>
    </w:p>
    <w:p w:rsidR="00E51139" w:rsidRPr="009D5F43" w:rsidRDefault="00E51139" w:rsidP="003C5E34">
      <w:pPr>
        <w:pStyle w:val="CodeNotesExampleText"/>
        <w:widowControl w:val="0"/>
        <w:ind w:left="567"/>
        <w:outlineLvl w:val="0"/>
        <w:rPr>
          <w:rFonts w:cs="Arial"/>
          <w:color w:val="auto"/>
          <w:sz w:val="20"/>
          <w:szCs w:val="20"/>
        </w:rPr>
      </w:pPr>
      <w:r w:rsidRPr="009D5F43">
        <w:rPr>
          <w:rFonts w:cs="Arial"/>
          <w:color w:val="auto"/>
          <w:sz w:val="20"/>
          <w:szCs w:val="20"/>
        </w:rPr>
        <w:t>Operating Leases – Property:</w:t>
      </w:r>
    </w:p>
    <w:p w:rsidR="00E51139" w:rsidRPr="009D5F43" w:rsidRDefault="00E51139" w:rsidP="003C5E34">
      <w:pPr>
        <w:pStyle w:val="CodeNotesExampleText"/>
        <w:widowControl w:val="0"/>
        <w:ind w:left="567"/>
        <w:rPr>
          <w:rFonts w:cs="Arial"/>
          <w:color w:val="auto"/>
          <w:sz w:val="20"/>
          <w:szCs w:val="20"/>
        </w:rPr>
      </w:pPr>
    </w:p>
    <w:p w:rsidR="00E51139" w:rsidRPr="00D42E0B" w:rsidRDefault="00E51139" w:rsidP="00EE484A">
      <w:pPr>
        <w:pStyle w:val="CodeNotesExampleText"/>
        <w:widowControl w:val="0"/>
        <w:ind w:left="567"/>
        <w:rPr>
          <w:rFonts w:cs="Arial"/>
          <w:color w:val="548DD4" w:themeColor="text2" w:themeTint="99"/>
          <w:sz w:val="20"/>
          <w:szCs w:val="20"/>
        </w:rPr>
      </w:pPr>
      <w:r w:rsidRPr="009D5F43">
        <w:rPr>
          <w:rFonts w:cs="Arial"/>
          <w:color w:val="auto"/>
          <w:sz w:val="20"/>
          <w:szCs w:val="20"/>
        </w:rPr>
        <w:lastRenderedPageBreak/>
        <w:t>The Council leases out property under operating leases for the provision of services, such as cafes and golf clubs and for economic development purposes to provide suitable affordable accommodation for local businesses</w:t>
      </w:r>
      <w:r w:rsidRPr="00D42E0B">
        <w:rPr>
          <w:rFonts w:cs="Arial"/>
          <w:color w:val="548DD4" w:themeColor="text2" w:themeTint="99"/>
          <w:sz w:val="20"/>
          <w:szCs w:val="20"/>
        </w:rPr>
        <w:t xml:space="preserve">. </w:t>
      </w:r>
      <w:r w:rsidRPr="00727D68">
        <w:rPr>
          <w:rFonts w:cs="Arial"/>
          <w:color w:val="auto"/>
          <w:sz w:val="20"/>
          <w:szCs w:val="20"/>
        </w:rPr>
        <w:t>Payments received in 201</w:t>
      </w:r>
      <w:r w:rsidR="00727D68" w:rsidRPr="00727D68">
        <w:rPr>
          <w:rFonts w:cs="Arial"/>
          <w:color w:val="auto"/>
          <w:sz w:val="20"/>
          <w:szCs w:val="20"/>
        </w:rPr>
        <w:t>5</w:t>
      </w:r>
      <w:r w:rsidR="00B75071" w:rsidRPr="00727D68">
        <w:rPr>
          <w:rFonts w:cs="Arial"/>
          <w:color w:val="auto"/>
          <w:sz w:val="20"/>
          <w:szCs w:val="20"/>
        </w:rPr>
        <w:t>/1</w:t>
      </w:r>
      <w:r w:rsidR="00727D68" w:rsidRPr="00727D68">
        <w:rPr>
          <w:rFonts w:cs="Arial"/>
          <w:color w:val="auto"/>
          <w:sz w:val="20"/>
          <w:szCs w:val="20"/>
        </w:rPr>
        <w:t>6</w:t>
      </w:r>
      <w:r w:rsidR="00B009A1" w:rsidRPr="00727D68">
        <w:rPr>
          <w:rFonts w:cs="Arial"/>
          <w:color w:val="auto"/>
          <w:sz w:val="20"/>
          <w:szCs w:val="20"/>
        </w:rPr>
        <w:t xml:space="preserve">, including turnover rents, </w:t>
      </w:r>
      <w:r w:rsidRPr="005472B5">
        <w:rPr>
          <w:rFonts w:cs="Arial"/>
          <w:color w:val="auto"/>
          <w:sz w:val="20"/>
          <w:szCs w:val="20"/>
        </w:rPr>
        <w:t>totalled £</w:t>
      </w:r>
      <w:r w:rsidR="001D301D" w:rsidRPr="005472B5">
        <w:rPr>
          <w:rFonts w:cs="Arial"/>
          <w:color w:val="auto"/>
          <w:sz w:val="20"/>
          <w:szCs w:val="20"/>
        </w:rPr>
        <w:t>3.</w:t>
      </w:r>
      <w:r w:rsidR="005472B5" w:rsidRPr="005472B5">
        <w:rPr>
          <w:rFonts w:cs="Arial"/>
          <w:color w:val="auto"/>
          <w:sz w:val="20"/>
          <w:szCs w:val="20"/>
        </w:rPr>
        <w:t>2</w:t>
      </w:r>
      <w:r w:rsidR="00FB55B3" w:rsidRPr="005472B5">
        <w:rPr>
          <w:rFonts w:cs="Arial"/>
          <w:color w:val="auto"/>
          <w:sz w:val="20"/>
          <w:szCs w:val="20"/>
        </w:rPr>
        <w:t>m</w:t>
      </w:r>
      <w:r w:rsidRPr="00D42E0B">
        <w:rPr>
          <w:rFonts w:cs="Arial"/>
          <w:color w:val="548DD4" w:themeColor="text2" w:themeTint="99"/>
          <w:sz w:val="20"/>
          <w:szCs w:val="20"/>
        </w:rPr>
        <w:t xml:space="preserve"> </w:t>
      </w:r>
      <w:r w:rsidRPr="00727D68">
        <w:rPr>
          <w:rFonts w:cs="Arial"/>
          <w:color w:val="auto"/>
          <w:sz w:val="20"/>
          <w:szCs w:val="20"/>
        </w:rPr>
        <w:t>(£</w:t>
      </w:r>
      <w:r w:rsidR="00727D68" w:rsidRPr="00727D68">
        <w:rPr>
          <w:rFonts w:cs="Arial"/>
          <w:color w:val="auto"/>
          <w:sz w:val="20"/>
          <w:szCs w:val="20"/>
        </w:rPr>
        <w:t>3.0</w:t>
      </w:r>
      <w:r w:rsidRPr="00727D68">
        <w:rPr>
          <w:rFonts w:cs="Arial"/>
          <w:color w:val="auto"/>
          <w:sz w:val="20"/>
          <w:szCs w:val="20"/>
        </w:rPr>
        <w:t>m 201</w:t>
      </w:r>
      <w:r w:rsidR="00727D68" w:rsidRPr="00727D68">
        <w:rPr>
          <w:rFonts w:cs="Arial"/>
          <w:color w:val="auto"/>
          <w:sz w:val="20"/>
          <w:szCs w:val="20"/>
        </w:rPr>
        <w:t>4</w:t>
      </w:r>
      <w:r w:rsidR="00B75071" w:rsidRPr="00727D68">
        <w:rPr>
          <w:rFonts w:cs="Arial"/>
          <w:color w:val="auto"/>
          <w:sz w:val="20"/>
          <w:szCs w:val="20"/>
        </w:rPr>
        <w:t>/1</w:t>
      </w:r>
      <w:r w:rsidR="00727D68" w:rsidRPr="00727D68">
        <w:rPr>
          <w:rFonts w:cs="Arial"/>
          <w:color w:val="auto"/>
          <w:sz w:val="20"/>
          <w:szCs w:val="20"/>
        </w:rPr>
        <w:t>5</w:t>
      </w:r>
      <w:r w:rsidRPr="00727D68">
        <w:rPr>
          <w:rFonts w:cs="Arial"/>
          <w:color w:val="auto"/>
          <w:sz w:val="20"/>
          <w:szCs w:val="20"/>
        </w:rPr>
        <w:t>)</w:t>
      </w:r>
      <w:r w:rsidRPr="00D42E0B">
        <w:rPr>
          <w:rFonts w:cs="Arial"/>
          <w:color w:val="548DD4" w:themeColor="text2" w:themeTint="99"/>
          <w:sz w:val="20"/>
          <w:szCs w:val="20"/>
        </w:rPr>
        <w:t>.</w:t>
      </w:r>
    </w:p>
    <w:p w:rsidR="00E51139" w:rsidRPr="00D42E0B" w:rsidRDefault="00E51139" w:rsidP="00513F34">
      <w:pPr>
        <w:pStyle w:val="CodeNotesExampleText"/>
        <w:widowControl w:val="0"/>
        <w:rPr>
          <w:rFonts w:cs="Arial"/>
          <w:color w:val="548DD4" w:themeColor="text2" w:themeTint="99"/>
          <w:sz w:val="20"/>
          <w:szCs w:val="20"/>
        </w:rPr>
      </w:pPr>
    </w:p>
    <w:p w:rsidR="00E51139" w:rsidRPr="008220CC" w:rsidRDefault="00E51139" w:rsidP="003C5E34">
      <w:pPr>
        <w:pStyle w:val="CodeNotesExampleText"/>
        <w:widowControl w:val="0"/>
        <w:ind w:left="567"/>
        <w:outlineLvl w:val="0"/>
        <w:rPr>
          <w:rFonts w:cs="Arial"/>
          <w:color w:val="auto"/>
          <w:sz w:val="20"/>
          <w:szCs w:val="20"/>
        </w:rPr>
      </w:pPr>
      <w:r w:rsidRPr="008220CC">
        <w:rPr>
          <w:rFonts w:cs="Arial"/>
          <w:color w:val="auto"/>
          <w:sz w:val="20"/>
          <w:szCs w:val="20"/>
        </w:rPr>
        <w:t>The future minimum property lease payments receivable in future years are:</w:t>
      </w:r>
    </w:p>
    <w:p w:rsidR="00E51139" w:rsidRPr="00D42E0B" w:rsidRDefault="00E51139" w:rsidP="003C5E34">
      <w:pPr>
        <w:pStyle w:val="CodeNotesExampleText"/>
        <w:widowControl w:val="0"/>
        <w:ind w:left="567"/>
        <w:rPr>
          <w:rFonts w:cs="Arial"/>
          <w:color w:val="548DD4" w:themeColor="text2" w:themeTint="99"/>
          <w:sz w:val="20"/>
          <w:szCs w:val="20"/>
        </w:rPr>
      </w:pPr>
    </w:p>
    <w:tbl>
      <w:tblPr>
        <w:tblStyle w:val="ListTable3-Accent51"/>
        <w:tblW w:w="7683" w:type="dxa"/>
        <w:tblInd w:w="675" w:type="dxa"/>
        <w:tblLayout w:type="fixed"/>
        <w:tblLook w:val="0000"/>
      </w:tblPr>
      <w:tblGrid>
        <w:gridCol w:w="1593"/>
        <w:gridCol w:w="4515"/>
        <w:gridCol w:w="1575"/>
      </w:tblGrid>
      <w:tr w:rsidR="00E51139" w:rsidRPr="008220CC" w:rsidTr="00802E21">
        <w:trPr>
          <w:cnfStyle w:val="000000100000"/>
          <w:trHeight w:val="60"/>
        </w:trPr>
        <w:tc>
          <w:tcPr>
            <w:cnfStyle w:val="000010000000"/>
            <w:tcW w:w="1593" w:type="dxa"/>
            <w:shd w:val="clear" w:color="auto" w:fill="4BACC6" w:themeFill="accent5"/>
          </w:tcPr>
          <w:p w:rsidR="00E51139" w:rsidRPr="008220CC" w:rsidRDefault="00E51139" w:rsidP="00812DE4">
            <w:pPr>
              <w:pStyle w:val="TableRightBold"/>
              <w:jc w:val="center"/>
              <w:rPr>
                <w:rStyle w:val="Bold"/>
                <w:rFonts w:ascii="Arial" w:hAnsi="Arial" w:cs="Arial"/>
                <w:color w:val="auto"/>
              </w:rPr>
            </w:pPr>
            <w:r w:rsidRPr="008220CC">
              <w:rPr>
                <w:rStyle w:val="Bold"/>
                <w:rFonts w:ascii="Arial" w:hAnsi="Arial" w:cs="Arial"/>
                <w:color w:val="auto"/>
              </w:rPr>
              <w:t>31 March 201</w:t>
            </w:r>
            <w:r w:rsidR="008220CC" w:rsidRPr="008220CC">
              <w:rPr>
                <w:rStyle w:val="Bold"/>
                <w:rFonts w:ascii="Arial" w:hAnsi="Arial" w:cs="Arial"/>
                <w:color w:val="auto"/>
              </w:rPr>
              <w:t>5</w:t>
            </w:r>
            <w:r w:rsidR="00C54081" w:rsidRPr="008220CC">
              <w:rPr>
                <w:rStyle w:val="Bold"/>
                <w:rFonts w:ascii="Arial" w:hAnsi="Arial" w:cs="Arial"/>
                <w:color w:val="auto"/>
              </w:rPr>
              <w:t xml:space="preserve"> restated</w:t>
            </w:r>
          </w:p>
          <w:p w:rsidR="00E51139" w:rsidRPr="008220CC" w:rsidRDefault="00E51139" w:rsidP="00812DE4">
            <w:pPr>
              <w:pStyle w:val="TableRightBold"/>
              <w:jc w:val="center"/>
              <w:rPr>
                <w:rFonts w:ascii="Arial" w:hAnsi="Arial" w:cs="Arial"/>
                <w:color w:val="auto"/>
              </w:rPr>
            </w:pPr>
            <w:r w:rsidRPr="008220CC">
              <w:rPr>
                <w:rStyle w:val="Bold"/>
                <w:rFonts w:ascii="Arial" w:hAnsi="Arial" w:cs="Arial"/>
                <w:color w:val="auto"/>
              </w:rPr>
              <w:t>£m</w:t>
            </w:r>
          </w:p>
        </w:tc>
        <w:tc>
          <w:tcPr>
            <w:tcW w:w="4515" w:type="dxa"/>
            <w:shd w:val="clear" w:color="auto" w:fill="4BACC6" w:themeFill="accent5"/>
          </w:tcPr>
          <w:p w:rsidR="00E51139" w:rsidRPr="008220CC" w:rsidRDefault="00E51139" w:rsidP="003C5E34">
            <w:pPr>
              <w:pStyle w:val="TableText"/>
              <w:jc w:val="center"/>
              <w:cnfStyle w:val="000000100000"/>
              <w:rPr>
                <w:rFonts w:ascii="Arial" w:hAnsi="Arial" w:cs="Arial"/>
                <w:color w:val="auto"/>
              </w:rPr>
            </w:pPr>
            <w:r w:rsidRPr="008220CC">
              <w:rPr>
                <w:rFonts w:ascii="Arial" w:hAnsi="Arial" w:cs="Arial"/>
                <w:b/>
                <w:color w:val="auto"/>
              </w:rPr>
              <w:t>Total payments due classified by year of expiry of lease term</w:t>
            </w:r>
          </w:p>
        </w:tc>
        <w:tc>
          <w:tcPr>
            <w:cnfStyle w:val="000010000000"/>
            <w:tcW w:w="1575" w:type="dxa"/>
            <w:shd w:val="clear" w:color="auto" w:fill="4BACC6" w:themeFill="accent5"/>
          </w:tcPr>
          <w:p w:rsidR="00E51139" w:rsidRPr="008220CC" w:rsidRDefault="00E51139" w:rsidP="00F37369">
            <w:pPr>
              <w:pStyle w:val="TableRightBold"/>
              <w:jc w:val="center"/>
              <w:rPr>
                <w:rStyle w:val="Bold"/>
                <w:rFonts w:ascii="Arial" w:hAnsi="Arial" w:cs="Arial"/>
                <w:b/>
                <w:color w:val="auto"/>
              </w:rPr>
            </w:pPr>
            <w:r w:rsidRPr="008220CC">
              <w:rPr>
                <w:rStyle w:val="Bold"/>
                <w:rFonts w:ascii="Arial" w:hAnsi="Arial" w:cs="Arial"/>
                <w:b/>
                <w:color w:val="auto"/>
              </w:rPr>
              <w:t>31 March 201</w:t>
            </w:r>
            <w:r w:rsidR="008220CC" w:rsidRPr="008220CC">
              <w:rPr>
                <w:rStyle w:val="Bold"/>
                <w:rFonts w:ascii="Arial" w:hAnsi="Arial" w:cs="Arial"/>
                <w:b/>
                <w:color w:val="auto"/>
              </w:rPr>
              <w:t>6</w:t>
            </w:r>
          </w:p>
          <w:p w:rsidR="00E51139" w:rsidRPr="008220CC" w:rsidRDefault="00E51139" w:rsidP="00F37369">
            <w:pPr>
              <w:pStyle w:val="TableRightBold"/>
              <w:jc w:val="center"/>
              <w:rPr>
                <w:rFonts w:ascii="Arial" w:hAnsi="Arial" w:cs="Arial"/>
                <w:color w:val="auto"/>
              </w:rPr>
            </w:pPr>
            <w:r w:rsidRPr="008220CC">
              <w:rPr>
                <w:rStyle w:val="Bold"/>
                <w:rFonts w:ascii="Arial" w:hAnsi="Arial" w:cs="Arial"/>
                <w:b/>
                <w:color w:val="auto"/>
              </w:rPr>
              <w:t>£m</w:t>
            </w:r>
          </w:p>
        </w:tc>
      </w:tr>
      <w:tr w:rsidR="008220CC" w:rsidRPr="008220CC" w:rsidTr="00802E21">
        <w:trPr>
          <w:trHeight w:val="60"/>
        </w:trPr>
        <w:tc>
          <w:tcPr>
            <w:cnfStyle w:val="000010000000"/>
            <w:tcW w:w="1593" w:type="dxa"/>
            <w:vAlign w:val="center"/>
          </w:tcPr>
          <w:p w:rsidR="008220CC" w:rsidRPr="008220CC" w:rsidRDefault="008220CC" w:rsidP="00655EB6">
            <w:pPr>
              <w:pStyle w:val="TableRight"/>
              <w:jc w:val="center"/>
              <w:rPr>
                <w:rFonts w:ascii="Arial" w:hAnsi="Arial" w:cs="Arial"/>
                <w:b/>
                <w:color w:val="auto"/>
              </w:rPr>
            </w:pPr>
            <w:r w:rsidRPr="008220CC">
              <w:rPr>
                <w:rFonts w:ascii="Arial" w:hAnsi="Arial" w:cs="Arial"/>
                <w:b/>
                <w:color w:val="auto"/>
              </w:rPr>
              <w:t>2.7</w:t>
            </w:r>
          </w:p>
        </w:tc>
        <w:tc>
          <w:tcPr>
            <w:tcW w:w="4515" w:type="dxa"/>
            <w:vAlign w:val="center"/>
          </w:tcPr>
          <w:p w:rsidR="008220CC" w:rsidRPr="008220CC" w:rsidRDefault="008220CC" w:rsidP="00802E21">
            <w:pPr>
              <w:pStyle w:val="TableText"/>
              <w:cnfStyle w:val="000000000000"/>
              <w:rPr>
                <w:rFonts w:ascii="Arial" w:hAnsi="Arial" w:cs="Arial"/>
                <w:color w:val="auto"/>
              </w:rPr>
            </w:pPr>
            <w:r w:rsidRPr="008220CC">
              <w:rPr>
                <w:rFonts w:ascii="Arial" w:hAnsi="Arial" w:cs="Arial"/>
                <w:color w:val="auto"/>
              </w:rPr>
              <w:t>Not later than one year</w:t>
            </w:r>
          </w:p>
        </w:tc>
        <w:tc>
          <w:tcPr>
            <w:cnfStyle w:val="000010000000"/>
            <w:tcW w:w="1575" w:type="dxa"/>
            <w:vAlign w:val="center"/>
          </w:tcPr>
          <w:p w:rsidR="008220CC" w:rsidRPr="008220CC" w:rsidRDefault="005472B5" w:rsidP="00B3419B">
            <w:pPr>
              <w:pStyle w:val="TableRight"/>
              <w:jc w:val="center"/>
              <w:rPr>
                <w:rFonts w:ascii="Arial" w:hAnsi="Arial" w:cs="Arial"/>
                <w:b/>
                <w:color w:val="auto"/>
              </w:rPr>
            </w:pPr>
            <w:r>
              <w:rPr>
                <w:rFonts w:ascii="Arial" w:hAnsi="Arial" w:cs="Arial"/>
                <w:b/>
                <w:color w:val="auto"/>
              </w:rPr>
              <w:t>2.7</w:t>
            </w:r>
          </w:p>
        </w:tc>
      </w:tr>
      <w:tr w:rsidR="008220CC" w:rsidRPr="008220CC" w:rsidTr="00802E21">
        <w:trPr>
          <w:cnfStyle w:val="000000100000"/>
          <w:trHeight w:val="60"/>
        </w:trPr>
        <w:tc>
          <w:tcPr>
            <w:cnfStyle w:val="000010000000"/>
            <w:tcW w:w="1593" w:type="dxa"/>
            <w:vAlign w:val="center"/>
          </w:tcPr>
          <w:p w:rsidR="008220CC" w:rsidRPr="008220CC" w:rsidRDefault="008220CC" w:rsidP="00655EB6">
            <w:pPr>
              <w:pStyle w:val="TableRight"/>
              <w:jc w:val="center"/>
              <w:rPr>
                <w:rFonts w:ascii="Arial" w:hAnsi="Arial" w:cs="Arial"/>
                <w:b/>
                <w:color w:val="auto"/>
              </w:rPr>
            </w:pPr>
            <w:r w:rsidRPr="008220CC">
              <w:rPr>
                <w:rFonts w:ascii="Arial" w:hAnsi="Arial" w:cs="Arial"/>
                <w:b/>
                <w:color w:val="auto"/>
              </w:rPr>
              <w:t>6.1</w:t>
            </w:r>
          </w:p>
        </w:tc>
        <w:tc>
          <w:tcPr>
            <w:tcW w:w="4515" w:type="dxa"/>
            <w:vAlign w:val="center"/>
          </w:tcPr>
          <w:p w:rsidR="008220CC" w:rsidRPr="008220CC" w:rsidRDefault="008220CC" w:rsidP="00802E21">
            <w:pPr>
              <w:pStyle w:val="TableText"/>
              <w:cnfStyle w:val="000000100000"/>
              <w:rPr>
                <w:rFonts w:ascii="Arial" w:hAnsi="Arial" w:cs="Arial"/>
                <w:color w:val="auto"/>
              </w:rPr>
            </w:pPr>
            <w:r w:rsidRPr="008220CC">
              <w:rPr>
                <w:rFonts w:ascii="Arial" w:hAnsi="Arial" w:cs="Arial"/>
                <w:color w:val="auto"/>
              </w:rPr>
              <w:t>Later than one year and not later than five years</w:t>
            </w:r>
          </w:p>
        </w:tc>
        <w:tc>
          <w:tcPr>
            <w:cnfStyle w:val="000010000000"/>
            <w:tcW w:w="1575" w:type="dxa"/>
            <w:vAlign w:val="center"/>
          </w:tcPr>
          <w:p w:rsidR="008220CC" w:rsidRPr="008220CC" w:rsidRDefault="005472B5" w:rsidP="00647836">
            <w:pPr>
              <w:pStyle w:val="TableRight"/>
              <w:jc w:val="center"/>
              <w:rPr>
                <w:rFonts w:ascii="Arial" w:hAnsi="Arial" w:cs="Arial"/>
                <w:b/>
                <w:color w:val="auto"/>
              </w:rPr>
            </w:pPr>
            <w:r>
              <w:rPr>
                <w:rFonts w:ascii="Arial" w:hAnsi="Arial" w:cs="Arial"/>
                <w:b/>
                <w:color w:val="auto"/>
              </w:rPr>
              <w:t>8.0</w:t>
            </w:r>
          </w:p>
        </w:tc>
      </w:tr>
      <w:tr w:rsidR="008220CC" w:rsidRPr="008220CC" w:rsidTr="00802E21">
        <w:trPr>
          <w:trHeight w:val="60"/>
        </w:trPr>
        <w:tc>
          <w:tcPr>
            <w:cnfStyle w:val="000010000000"/>
            <w:tcW w:w="1593" w:type="dxa"/>
            <w:vAlign w:val="center"/>
          </w:tcPr>
          <w:p w:rsidR="008220CC" w:rsidRPr="008220CC" w:rsidRDefault="008220CC" w:rsidP="00655EB6">
            <w:pPr>
              <w:pStyle w:val="TableRight"/>
              <w:jc w:val="center"/>
              <w:rPr>
                <w:rFonts w:ascii="Arial" w:hAnsi="Arial" w:cs="Arial"/>
                <w:b/>
                <w:color w:val="auto"/>
              </w:rPr>
            </w:pPr>
            <w:r w:rsidRPr="008220CC">
              <w:rPr>
                <w:rFonts w:ascii="Arial" w:hAnsi="Arial" w:cs="Arial"/>
                <w:b/>
                <w:color w:val="auto"/>
              </w:rPr>
              <w:t>61.2</w:t>
            </w:r>
          </w:p>
        </w:tc>
        <w:tc>
          <w:tcPr>
            <w:tcW w:w="4515" w:type="dxa"/>
            <w:vAlign w:val="center"/>
          </w:tcPr>
          <w:p w:rsidR="008220CC" w:rsidRPr="008220CC" w:rsidRDefault="008220CC" w:rsidP="00802E21">
            <w:pPr>
              <w:pStyle w:val="TableText"/>
              <w:cnfStyle w:val="000000000000"/>
              <w:rPr>
                <w:rFonts w:ascii="Arial" w:hAnsi="Arial" w:cs="Arial"/>
                <w:color w:val="auto"/>
              </w:rPr>
            </w:pPr>
            <w:r w:rsidRPr="008220CC">
              <w:rPr>
                <w:rFonts w:ascii="Arial" w:hAnsi="Arial" w:cs="Arial"/>
                <w:color w:val="auto"/>
              </w:rPr>
              <w:t>Later than five years</w:t>
            </w:r>
          </w:p>
        </w:tc>
        <w:tc>
          <w:tcPr>
            <w:cnfStyle w:val="000010000000"/>
            <w:tcW w:w="1575" w:type="dxa"/>
            <w:vAlign w:val="center"/>
          </w:tcPr>
          <w:p w:rsidR="008220CC" w:rsidRPr="008220CC" w:rsidRDefault="005472B5" w:rsidP="00647836">
            <w:pPr>
              <w:pStyle w:val="TableRight"/>
              <w:jc w:val="center"/>
              <w:rPr>
                <w:rFonts w:ascii="Arial" w:hAnsi="Arial" w:cs="Arial"/>
                <w:b/>
                <w:color w:val="auto"/>
              </w:rPr>
            </w:pPr>
            <w:r>
              <w:rPr>
                <w:rFonts w:ascii="Arial" w:hAnsi="Arial" w:cs="Arial"/>
                <w:b/>
                <w:color w:val="auto"/>
              </w:rPr>
              <w:t>63.1</w:t>
            </w:r>
          </w:p>
        </w:tc>
      </w:tr>
      <w:tr w:rsidR="008220CC" w:rsidRPr="008220CC" w:rsidTr="00802E21">
        <w:trPr>
          <w:cnfStyle w:val="000000100000"/>
          <w:trHeight w:val="60"/>
        </w:trPr>
        <w:tc>
          <w:tcPr>
            <w:cnfStyle w:val="000010000000"/>
            <w:tcW w:w="1593" w:type="dxa"/>
            <w:vAlign w:val="center"/>
          </w:tcPr>
          <w:p w:rsidR="008220CC" w:rsidRPr="008220CC" w:rsidRDefault="008220CC" w:rsidP="00655EB6">
            <w:pPr>
              <w:pStyle w:val="TableRight"/>
              <w:jc w:val="center"/>
              <w:rPr>
                <w:rFonts w:ascii="Arial" w:hAnsi="Arial" w:cs="Arial"/>
                <w:b/>
                <w:color w:val="auto"/>
              </w:rPr>
            </w:pPr>
            <w:r w:rsidRPr="008220CC">
              <w:rPr>
                <w:rFonts w:ascii="Arial" w:hAnsi="Arial" w:cs="Arial"/>
                <w:b/>
                <w:color w:val="auto"/>
              </w:rPr>
              <w:t>70.0</w:t>
            </w:r>
          </w:p>
        </w:tc>
        <w:tc>
          <w:tcPr>
            <w:tcW w:w="4515" w:type="dxa"/>
            <w:vAlign w:val="center"/>
          </w:tcPr>
          <w:p w:rsidR="008220CC" w:rsidRPr="008220CC" w:rsidRDefault="008220CC" w:rsidP="00802E21">
            <w:pPr>
              <w:pStyle w:val="TableText"/>
              <w:cnfStyle w:val="000000100000"/>
              <w:rPr>
                <w:rFonts w:ascii="Arial" w:hAnsi="Arial" w:cs="Arial"/>
                <w:b/>
                <w:color w:val="auto"/>
              </w:rPr>
            </w:pPr>
            <w:r w:rsidRPr="008220CC">
              <w:rPr>
                <w:rFonts w:ascii="Arial" w:hAnsi="Arial" w:cs="Arial"/>
                <w:b/>
                <w:color w:val="auto"/>
              </w:rPr>
              <w:t>Total</w:t>
            </w:r>
          </w:p>
        </w:tc>
        <w:tc>
          <w:tcPr>
            <w:cnfStyle w:val="000010000000"/>
            <w:tcW w:w="1575" w:type="dxa"/>
            <w:vAlign w:val="center"/>
          </w:tcPr>
          <w:p w:rsidR="008220CC" w:rsidRPr="008220CC" w:rsidRDefault="005472B5" w:rsidP="003023F7">
            <w:pPr>
              <w:pStyle w:val="TableRight"/>
              <w:jc w:val="center"/>
              <w:rPr>
                <w:rFonts w:ascii="Arial" w:hAnsi="Arial" w:cs="Arial"/>
                <w:b/>
                <w:color w:val="auto"/>
              </w:rPr>
            </w:pPr>
            <w:r>
              <w:rPr>
                <w:rFonts w:ascii="Arial" w:hAnsi="Arial" w:cs="Arial"/>
                <w:b/>
                <w:color w:val="auto"/>
              </w:rPr>
              <w:t>73.8</w:t>
            </w:r>
          </w:p>
        </w:tc>
      </w:tr>
    </w:tbl>
    <w:p w:rsidR="00E51139" w:rsidRPr="00D42E0B" w:rsidRDefault="00E51139" w:rsidP="003C5E34">
      <w:pPr>
        <w:pStyle w:val="CodeNotesExampleText"/>
        <w:widowControl w:val="0"/>
        <w:ind w:left="567"/>
        <w:rPr>
          <w:rFonts w:cs="Arial"/>
          <w:color w:val="548DD4" w:themeColor="text2" w:themeTint="99"/>
          <w:sz w:val="20"/>
          <w:szCs w:val="20"/>
        </w:rPr>
      </w:pPr>
    </w:p>
    <w:p w:rsidR="00922D1C" w:rsidRPr="00D42E0B" w:rsidRDefault="00922D1C" w:rsidP="00184463">
      <w:pPr>
        <w:pStyle w:val="CodeNotesExampleText"/>
        <w:widowControl w:val="0"/>
        <w:ind w:left="567"/>
        <w:rPr>
          <w:rFonts w:cs="Arial"/>
          <w:color w:val="548DD4" w:themeColor="text2" w:themeTint="99"/>
          <w:sz w:val="20"/>
          <w:szCs w:val="20"/>
        </w:rPr>
      </w:pPr>
    </w:p>
    <w:p w:rsidR="00E51139" w:rsidRPr="009D5F43" w:rsidRDefault="00E51139" w:rsidP="00184463">
      <w:pPr>
        <w:pStyle w:val="CodeNotesExampleText"/>
        <w:widowControl w:val="0"/>
        <w:ind w:left="567"/>
        <w:rPr>
          <w:rFonts w:cs="Arial"/>
          <w:color w:val="auto"/>
          <w:sz w:val="20"/>
          <w:szCs w:val="20"/>
        </w:rPr>
      </w:pPr>
      <w:r w:rsidRPr="009D5F43">
        <w:rPr>
          <w:rFonts w:cs="Arial"/>
          <w:color w:val="auto"/>
          <w:sz w:val="20"/>
          <w:szCs w:val="20"/>
        </w:rPr>
        <w:t>Finance Leases:</w:t>
      </w:r>
    </w:p>
    <w:p w:rsidR="00E51139" w:rsidRPr="009D5F43" w:rsidRDefault="00E51139" w:rsidP="00184463">
      <w:pPr>
        <w:pStyle w:val="CodeNotesExampleText"/>
        <w:widowControl w:val="0"/>
        <w:ind w:left="567"/>
        <w:rPr>
          <w:rFonts w:cs="Arial"/>
          <w:color w:val="auto"/>
          <w:sz w:val="20"/>
          <w:szCs w:val="20"/>
          <w:u w:val="single"/>
        </w:rPr>
      </w:pPr>
    </w:p>
    <w:p w:rsidR="00E51139" w:rsidRPr="00D42E0B" w:rsidRDefault="00E51139" w:rsidP="00184463">
      <w:pPr>
        <w:pStyle w:val="CodeNotesExampleText"/>
        <w:widowControl w:val="0"/>
        <w:ind w:left="567"/>
        <w:rPr>
          <w:rFonts w:cs="Arial"/>
          <w:color w:val="548DD4" w:themeColor="text2" w:themeTint="99"/>
          <w:sz w:val="20"/>
          <w:szCs w:val="20"/>
        </w:rPr>
      </w:pPr>
      <w:r w:rsidRPr="009D5F43">
        <w:rPr>
          <w:rFonts w:cs="Arial"/>
          <w:color w:val="auto"/>
          <w:sz w:val="20"/>
          <w:szCs w:val="20"/>
        </w:rPr>
        <w:t>The Council, as lessor, does not have any material finance leases.</w:t>
      </w:r>
      <w:r w:rsidRPr="00D42E0B">
        <w:rPr>
          <w:rFonts w:cs="Arial"/>
          <w:color w:val="548DD4" w:themeColor="text2" w:themeTint="99"/>
          <w:sz w:val="20"/>
          <w:szCs w:val="20"/>
        </w:rPr>
        <w:t xml:space="preserve"> </w:t>
      </w:r>
    </w:p>
    <w:p w:rsidR="00922D1C" w:rsidRPr="00D42E0B" w:rsidRDefault="00922D1C" w:rsidP="00184463">
      <w:pPr>
        <w:pStyle w:val="CodeNotesExampleText"/>
        <w:widowControl w:val="0"/>
        <w:ind w:left="567"/>
        <w:rPr>
          <w:rFonts w:cs="Arial"/>
          <w:color w:val="548DD4" w:themeColor="text2" w:themeTint="99"/>
          <w:sz w:val="20"/>
          <w:szCs w:val="20"/>
        </w:rPr>
      </w:pPr>
    </w:p>
    <w:p w:rsidR="00922D1C" w:rsidRPr="00D42E0B" w:rsidRDefault="00922D1C" w:rsidP="00184463">
      <w:pPr>
        <w:pStyle w:val="CodeNotesExampleText"/>
        <w:widowControl w:val="0"/>
        <w:ind w:left="567"/>
        <w:rPr>
          <w:rFonts w:cs="Arial"/>
          <w:color w:val="548DD4" w:themeColor="text2" w:themeTint="99"/>
          <w:sz w:val="20"/>
          <w:szCs w:val="20"/>
        </w:rPr>
      </w:pPr>
    </w:p>
    <w:p w:rsidR="00E51139" w:rsidRPr="009D5F43" w:rsidRDefault="005C68D8" w:rsidP="00445BB9">
      <w:pPr>
        <w:pStyle w:val="Subtitle"/>
        <w:ind w:left="567" w:hanging="567"/>
        <w:rPr>
          <w:b/>
          <w:color w:val="auto"/>
          <w:sz w:val="22"/>
          <w:szCs w:val="22"/>
        </w:rPr>
      </w:pPr>
      <w:r w:rsidRPr="009D5F43">
        <w:rPr>
          <w:b/>
          <w:color w:val="auto"/>
          <w:sz w:val="22"/>
          <w:szCs w:val="22"/>
        </w:rPr>
        <w:t>3</w:t>
      </w:r>
      <w:r w:rsidR="00445BB9" w:rsidRPr="009D5F43">
        <w:rPr>
          <w:b/>
          <w:color w:val="auto"/>
          <w:sz w:val="22"/>
          <w:szCs w:val="22"/>
        </w:rPr>
        <w:t>7</w:t>
      </w:r>
      <w:r w:rsidR="00E51139" w:rsidRPr="009D5F43">
        <w:rPr>
          <w:b/>
          <w:color w:val="auto"/>
          <w:sz w:val="22"/>
          <w:szCs w:val="22"/>
        </w:rPr>
        <w:t>.</w:t>
      </w:r>
      <w:r w:rsidR="00E51139" w:rsidRPr="009D5F43">
        <w:rPr>
          <w:b/>
          <w:color w:val="auto"/>
          <w:sz w:val="22"/>
          <w:szCs w:val="22"/>
        </w:rPr>
        <w:tab/>
        <w:t>Pensions Schemes Accounted for as Defined Contribution Schemes</w:t>
      </w:r>
    </w:p>
    <w:p w:rsidR="00E434DA" w:rsidRPr="009D5F43" w:rsidRDefault="00E434DA" w:rsidP="003C5E34">
      <w:pPr>
        <w:pStyle w:val="CodeNotesExampleHead"/>
        <w:widowControl w:val="0"/>
        <w:ind w:left="567"/>
        <w:rPr>
          <w:rFonts w:cs="Arial"/>
          <w:color w:val="auto"/>
          <w:sz w:val="20"/>
          <w:szCs w:val="20"/>
          <w:u w:val="single"/>
          <w:lang w:eastAsia="en-GB"/>
        </w:rPr>
      </w:pPr>
      <w:r w:rsidRPr="009D5F43">
        <w:rPr>
          <w:rFonts w:cs="Arial"/>
          <w:color w:val="auto"/>
          <w:sz w:val="20"/>
          <w:szCs w:val="20"/>
          <w:u w:val="single"/>
          <w:lang w:eastAsia="en-GB"/>
        </w:rPr>
        <w:t>Teachers’ Pension Scheme</w:t>
      </w:r>
    </w:p>
    <w:p w:rsidR="00FB4273" w:rsidRPr="009D5F43" w:rsidRDefault="00FB4273" w:rsidP="003C5E34">
      <w:pPr>
        <w:pStyle w:val="CodeNotesExampleHead"/>
        <w:widowControl w:val="0"/>
        <w:ind w:left="567"/>
        <w:rPr>
          <w:rFonts w:cs="Arial"/>
          <w:b w:val="0"/>
          <w:color w:val="auto"/>
          <w:sz w:val="20"/>
          <w:szCs w:val="20"/>
          <w:u w:val="single"/>
          <w:lang w:eastAsia="en-GB"/>
        </w:rPr>
      </w:pPr>
    </w:p>
    <w:p w:rsidR="00FB4273" w:rsidRPr="009D5F43" w:rsidRDefault="00FB4273" w:rsidP="00445BB9">
      <w:pPr>
        <w:pStyle w:val="CodeNotesExampleText"/>
        <w:ind w:left="567"/>
        <w:rPr>
          <w:rFonts w:cs="Arial"/>
          <w:color w:val="auto"/>
          <w:sz w:val="20"/>
          <w:szCs w:val="20"/>
        </w:rPr>
      </w:pPr>
      <w:r w:rsidRPr="009D5F43">
        <w:rPr>
          <w:rFonts w:cs="Arial"/>
          <w:color w:val="auto"/>
          <w:sz w:val="20"/>
          <w:szCs w:val="20"/>
        </w:rPr>
        <w:t>The Council takes part in the Teachers’ Pension Scheme. Teaching staff employed by the Council are rewarded for years of service with rights to retirement lump sums and pensions based on final salaries. The Council makes an annual contribution to the Scheme calculated as a percentage of pensionable pay. The contribution rate is specified by the Department for Education each year so that budgeted income is sufficient to cover the outgoings of the Scheme. This Scheme operates through a notional fund administered on a national basis</w:t>
      </w:r>
      <w:r w:rsidR="00211DD5" w:rsidRPr="009D5F43">
        <w:rPr>
          <w:rFonts w:cs="Arial"/>
          <w:color w:val="auto"/>
          <w:sz w:val="20"/>
          <w:szCs w:val="20"/>
        </w:rPr>
        <w:t xml:space="preserve">. </w:t>
      </w:r>
      <w:r w:rsidRPr="009D5F43">
        <w:rPr>
          <w:rFonts w:cs="Arial"/>
          <w:color w:val="auto"/>
          <w:sz w:val="20"/>
          <w:szCs w:val="20"/>
        </w:rPr>
        <w:t xml:space="preserve">The Scheme does not record liabilities for each participating employer and raises contributions from all employers based on a common percentage of the pensionable pay of current employees, irrespective of any obligations created in previous years. Apart from this shared responsibility for shortfalls on the notional fund, the Council has no direct responsibility for the obligations of any other party to the Scheme. </w:t>
      </w:r>
    </w:p>
    <w:p w:rsidR="00FB4273" w:rsidRPr="009D5F43" w:rsidRDefault="00FB4273" w:rsidP="00445BB9">
      <w:pPr>
        <w:pStyle w:val="CodeNotesExampleText"/>
        <w:ind w:left="567"/>
        <w:rPr>
          <w:rFonts w:cs="Arial"/>
          <w:color w:val="auto"/>
          <w:sz w:val="20"/>
          <w:szCs w:val="20"/>
        </w:rPr>
      </w:pPr>
    </w:p>
    <w:p w:rsidR="00FB4273" w:rsidRPr="009D5F43" w:rsidRDefault="00FB4273" w:rsidP="00445BB9">
      <w:pPr>
        <w:pStyle w:val="CodeNotesExampleText"/>
        <w:ind w:left="567"/>
        <w:rPr>
          <w:rFonts w:cs="Arial"/>
          <w:color w:val="auto"/>
          <w:sz w:val="20"/>
          <w:szCs w:val="20"/>
        </w:rPr>
      </w:pPr>
      <w:r w:rsidRPr="009D5F43">
        <w:rPr>
          <w:rFonts w:cs="Arial"/>
          <w:color w:val="auto"/>
          <w:sz w:val="20"/>
          <w:szCs w:val="20"/>
        </w:rPr>
        <w:t xml:space="preserve">The Scheme is a defined benefit plan but is accounted for as it were a defined contribution plan. </w:t>
      </w:r>
      <w:r w:rsidR="007E33E1" w:rsidRPr="009D5F43">
        <w:rPr>
          <w:rFonts w:cs="Arial"/>
          <w:color w:val="auto"/>
          <w:sz w:val="20"/>
          <w:szCs w:val="20"/>
        </w:rPr>
        <w:t>This</w:t>
      </w:r>
      <w:r w:rsidRPr="009D5F43">
        <w:rPr>
          <w:rFonts w:cs="Arial"/>
          <w:color w:val="auto"/>
          <w:sz w:val="20"/>
          <w:szCs w:val="20"/>
        </w:rPr>
        <w:t xml:space="preserve"> is because the administrators of the Scheme do not keep separate records of the defined benefit obligations for individual authorities and no assets are attributable to the Scheme.</w:t>
      </w:r>
    </w:p>
    <w:p w:rsidR="00FB4273" w:rsidRPr="00D42E0B" w:rsidRDefault="00FB4273" w:rsidP="00445BB9">
      <w:pPr>
        <w:pStyle w:val="CodeNotesExampleText"/>
        <w:ind w:left="567"/>
        <w:rPr>
          <w:rFonts w:cs="Arial"/>
          <w:color w:val="548DD4" w:themeColor="text2" w:themeTint="99"/>
          <w:sz w:val="20"/>
          <w:szCs w:val="20"/>
        </w:rPr>
      </w:pPr>
    </w:p>
    <w:p w:rsidR="00FB4273" w:rsidRPr="00E50C19" w:rsidRDefault="00B07693" w:rsidP="00445BB9">
      <w:pPr>
        <w:pStyle w:val="CodeNotesExampleText"/>
        <w:ind w:left="567"/>
        <w:rPr>
          <w:rFonts w:cs="Arial"/>
          <w:color w:val="auto"/>
          <w:sz w:val="20"/>
          <w:szCs w:val="20"/>
        </w:rPr>
      </w:pPr>
      <w:r w:rsidRPr="00E50C19">
        <w:rPr>
          <w:rFonts w:cs="Arial"/>
          <w:color w:val="auto"/>
          <w:sz w:val="20"/>
          <w:szCs w:val="20"/>
        </w:rPr>
        <w:t xml:space="preserve">The employers’ contribution rate was 14.1% </w:t>
      </w:r>
      <w:r w:rsidR="00061055">
        <w:rPr>
          <w:rFonts w:cs="Arial"/>
          <w:color w:val="auto"/>
          <w:sz w:val="20"/>
          <w:szCs w:val="20"/>
        </w:rPr>
        <w:t>to the 1</w:t>
      </w:r>
      <w:r w:rsidR="00061055" w:rsidRPr="00061055">
        <w:rPr>
          <w:rFonts w:cs="Arial"/>
          <w:color w:val="auto"/>
          <w:sz w:val="20"/>
          <w:szCs w:val="20"/>
          <w:vertAlign w:val="superscript"/>
        </w:rPr>
        <w:t>st</w:t>
      </w:r>
      <w:r w:rsidR="00061055">
        <w:rPr>
          <w:rFonts w:cs="Arial"/>
          <w:color w:val="auto"/>
          <w:sz w:val="20"/>
          <w:szCs w:val="20"/>
        </w:rPr>
        <w:t xml:space="preserve"> September 2015</w:t>
      </w:r>
      <w:r w:rsidRPr="00E50C19">
        <w:rPr>
          <w:rFonts w:cs="Arial"/>
          <w:color w:val="auto"/>
          <w:sz w:val="20"/>
          <w:szCs w:val="20"/>
        </w:rPr>
        <w:t xml:space="preserve"> </w:t>
      </w:r>
      <w:r w:rsidR="00061055">
        <w:rPr>
          <w:rFonts w:cs="Arial"/>
          <w:color w:val="auto"/>
          <w:sz w:val="20"/>
          <w:szCs w:val="20"/>
        </w:rPr>
        <w:t xml:space="preserve">before increasing to 16.48% </w:t>
      </w:r>
      <w:r w:rsidRPr="00E50C19">
        <w:rPr>
          <w:rFonts w:cs="Arial"/>
          <w:color w:val="auto"/>
          <w:sz w:val="20"/>
          <w:szCs w:val="20"/>
        </w:rPr>
        <w:t>(14.1% in 201</w:t>
      </w:r>
      <w:r w:rsidR="00655EB6" w:rsidRPr="00E50C19">
        <w:rPr>
          <w:rFonts w:cs="Arial"/>
          <w:color w:val="auto"/>
          <w:sz w:val="20"/>
          <w:szCs w:val="20"/>
        </w:rPr>
        <w:t>4</w:t>
      </w:r>
      <w:r w:rsidRPr="00E50C19">
        <w:rPr>
          <w:rFonts w:cs="Arial"/>
          <w:color w:val="auto"/>
          <w:sz w:val="20"/>
          <w:szCs w:val="20"/>
        </w:rPr>
        <w:t>/1</w:t>
      </w:r>
      <w:r w:rsidR="00655EB6" w:rsidRPr="00E50C19">
        <w:rPr>
          <w:rFonts w:cs="Arial"/>
          <w:color w:val="auto"/>
          <w:sz w:val="20"/>
          <w:szCs w:val="20"/>
        </w:rPr>
        <w:t>5</w:t>
      </w:r>
      <w:r w:rsidRPr="00E50C19">
        <w:rPr>
          <w:rFonts w:cs="Arial"/>
          <w:color w:val="auto"/>
          <w:sz w:val="20"/>
          <w:szCs w:val="20"/>
        </w:rPr>
        <w:t>). Contributions of £2.</w:t>
      </w:r>
      <w:r w:rsidR="008C480C" w:rsidRPr="00E50C19">
        <w:rPr>
          <w:rFonts w:cs="Arial"/>
          <w:color w:val="auto"/>
          <w:sz w:val="20"/>
          <w:szCs w:val="20"/>
        </w:rPr>
        <w:t>0</w:t>
      </w:r>
      <w:r w:rsidRPr="00E50C19">
        <w:rPr>
          <w:rFonts w:cs="Arial"/>
          <w:color w:val="auto"/>
          <w:sz w:val="20"/>
          <w:szCs w:val="20"/>
        </w:rPr>
        <w:t>m were paid in 201</w:t>
      </w:r>
      <w:r w:rsidR="00655EB6" w:rsidRPr="00E50C19">
        <w:rPr>
          <w:rFonts w:cs="Arial"/>
          <w:color w:val="auto"/>
          <w:sz w:val="20"/>
          <w:szCs w:val="20"/>
        </w:rPr>
        <w:t>5</w:t>
      </w:r>
      <w:r w:rsidRPr="00E50C19">
        <w:rPr>
          <w:rFonts w:cs="Arial"/>
          <w:color w:val="auto"/>
          <w:sz w:val="20"/>
          <w:szCs w:val="20"/>
        </w:rPr>
        <w:t>/1</w:t>
      </w:r>
      <w:r w:rsidR="00655EB6" w:rsidRPr="00E50C19">
        <w:rPr>
          <w:rFonts w:cs="Arial"/>
          <w:color w:val="auto"/>
          <w:sz w:val="20"/>
          <w:szCs w:val="20"/>
        </w:rPr>
        <w:t>6</w:t>
      </w:r>
      <w:r w:rsidRPr="00E50C19">
        <w:rPr>
          <w:rFonts w:cs="Arial"/>
          <w:color w:val="auto"/>
          <w:sz w:val="20"/>
          <w:szCs w:val="20"/>
        </w:rPr>
        <w:t xml:space="preserve"> (£</w:t>
      </w:r>
      <w:r w:rsidR="008C480C" w:rsidRPr="00E50C19">
        <w:rPr>
          <w:rFonts w:cs="Arial"/>
          <w:color w:val="auto"/>
          <w:sz w:val="20"/>
          <w:szCs w:val="20"/>
        </w:rPr>
        <w:t>2.</w:t>
      </w:r>
      <w:r w:rsidR="00655EB6" w:rsidRPr="00E50C19">
        <w:rPr>
          <w:rFonts w:cs="Arial"/>
          <w:color w:val="auto"/>
          <w:sz w:val="20"/>
          <w:szCs w:val="20"/>
        </w:rPr>
        <w:t>0</w:t>
      </w:r>
      <w:r w:rsidRPr="00E50C19">
        <w:rPr>
          <w:rFonts w:cs="Arial"/>
          <w:color w:val="auto"/>
          <w:sz w:val="20"/>
          <w:szCs w:val="20"/>
        </w:rPr>
        <w:t>m 1</w:t>
      </w:r>
      <w:r w:rsidR="00655EB6" w:rsidRPr="00E50C19">
        <w:rPr>
          <w:rFonts w:cs="Arial"/>
          <w:color w:val="auto"/>
          <w:sz w:val="20"/>
          <w:szCs w:val="20"/>
        </w:rPr>
        <w:t>4</w:t>
      </w:r>
      <w:r w:rsidRPr="00E50C19">
        <w:rPr>
          <w:rFonts w:cs="Arial"/>
          <w:color w:val="auto"/>
          <w:sz w:val="20"/>
          <w:szCs w:val="20"/>
        </w:rPr>
        <w:t>/1</w:t>
      </w:r>
      <w:r w:rsidR="00655EB6" w:rsidRPr="00E50C19">
        <w:rPr>
          <w:rFonts w:cs="Arial"/>
          <w:color w:val="auto"/>
          <w:sz w:val="20"/>
          <w:szCs w:val="20"/>
        </w:rPr>
        <w:t>5</w:t>
      </w:r>
      <w:r w:rsidRPr="00E50C19">
        <w:rPr>
          <w:rFonts w:cs="Arial"/>
          <w:color w:val="auto"/>
          <w:sz w:val="20"/>
          <w:szCs w:val="20"/>
        </w:rPr>
        <w:t xml:space="preserve">). </w:t>
      </w:r>
      <w:r w:rsidR="00FB4273" w:rsidRPr="00E50C19">
        <w:rPr>
          <w:rFonts w:cs="Arial"/>
          <w:color w:val="auto"/>
          <w:sz w:val="20"/>
          <w:szCs w:val="20"/>
        </w:rPr>
        <w:t>Th</w:t>
      </w:r>
      <w:r w:rsidRPr="00E50C19">
        <w:rPr>
          <w:rFonts w:cs="Arial"/>
          <w:color w:val="auto"/>
          <w:sz w:val="20"/>
          <w:szCs w:val="20"/>
        </w:rPr>
        <w:t>e</w:t>
      </w:r>
      <w:r w:rsidR="00FB4273" w:rsidRPr="00E50C19">
        <w:rPr>
          <w:rFonts w:cs="Arial"/>
          <w:color w:val="auto"/>
          <w:sz w:val="20"/>
          <w:szCs w:val="20"/>
        </w:rPr>
        <w:t xml:space="preserve"> contribution rate for participants in the Scheme has been set at 1</w:t>
      </w:r>
      <w:r w:rsidR="00E50C19" w:rsidRPr="00E50C19">
        <w:rPr>
          <w:rFonts w:cs="Arial"/>
          <w:color w:val="auto"/>
          <w:sz w:val="20"/>
          <w:szCs w:val="20"/>
        </w:rPr>
        <w:t>6.48</w:t>
      </w:r>
      <w:r w:rsidR="00FB4273" w:rsidRPr="00E50C19">
        <w:rPr>
          <w:rFonts w:cs="Arial"/>
          <w:color w:val="auto"/>
          <w:sz w:val="20"/>
          <w:szCs w:val="20"/>
        </w:rPr>
        <w:t>% of pensionable pay for 201</w:t>
      </w:r>
      <w:r w:rsidR="00655EB6" w:rsidRPr="00E50C19">
        <w:rPr>
          <w:rFonts w:cs="Arial"/>
          <w:color w:val="auto"/>
          <w:sz w:val="20"/>
          <w:szCs w:val="20"/>
        </w:rPr>
        <w:t>6</w:t>
      </w:r>
      <w:r w:rsidR="00FB4273" w:rsidRPr="00E50C19">
        <w:rPr>
          <w:rFonts w:cs="Arial"/>
          <w:color w:val="auto"/>
          <w:sz w:val="20"/>
          <w:szCs w:val="20"/>
        </w:rPr>
        <w:t>/1</w:t>
      </w:r>
      <w:r w:rsidR="00655EB6" w:rsidRPr="00E50C19">
        <w:rPr>
          <w:rFonts w:cs="Arial"/>
          <w:color w:val="auto"/>
          <w:sz w:val="20"/>
          <w:szCs w:val="20"/>
        </w:rPr>
        <w:t>7</w:t>
      </w:r>
      <w:r w:rsidR="00FB4273" w:rsidRPr="00E50C19">
        <w:rPr>
          <w:rFonts w:cs="Arial"/>
          <w:color w:val="auto"/>
          <w:sz w:val="20"/>
          <w:szCs w:val="20"/>
        </w:rPr>
        <w:t>. The payments for 201</w:t>
      </w:r>
      <w:r w:rsidR="00655EB6" w:rsidRPr="00E50C19">
        <w:rPr>
          <w:rFonts w:cs="Arial"/>
          <w:color w:val="auto"/>
          <w:sz w:val="20"/>
          <w:szCs w:val="20"/>
        </w:rPr>
        <w:t>6</w:t>
      </w:r>
      <w:r w:rsidR="00FB4273" w:rsidRPr="00E50C19">
        <w:rPr>
          <w:rFonts w:cs="Arial"/>
          <w:color w:val="auto"/>
          <w:sz w:val="20"/>
          <w:szCs w:val="20"/>
        </w:rPr>
        <w:t>/1</w:t>
      </w:r>
      <w:r w:rsidR="00655EB6" w:rsidRPr="00E50C19">
        <w:rPr>
          <w:rFonts w:cs="Arial"/>
          <w:color w:val="auto"/>
          <w:sz w:val="20"/>
          <w:szCs w:val="20"/>
        </w:rPr>
        <w:t>7</w:t>
      </w:r>
      <w:r w:rsidR="00FB4273" w:rsidRPr="00E50C19">
        <w:rPr>
          <w:rFonts w:cs="Arial"/>
          <w:color w:val="auto"/>
          <w:sz w:val="20"/>
          <w:szCs w:val="20"/>
        </w:rPr>
        <w:t xml:space="preserve"> are estimated to be less</w:t>
      </w:r>
      <w:r w:rsidR="00E50C19">
        <w:rPr>
          <w:rFonts w:cs="Arial"/>
          <w:color w:val="auto"/>
          <w:sz w:val="20"/>
          <w:szCs w:val="20"/>
        </w:rPr>
        <w:t xml:space="preserve">, despite the increase in contribution rate, </w:t>
      </w:r>
      <w:r w:rsidR="00FB4273" w:rsidRPr="00E50C19">
        <w:rPr>
          <w:rFonts w:cs="Arial"/>
          <w:color w:val="auto"/>
          <w:sz w:val="20"/>
          <w:szCs w:val="20"/>
        </w:rPr>
        <w:t>due to more schools converting to Academy schools.</w:t>
      </w:r>
      <w:r w:rsidRPr="00E50C19">
        <w:rPr>
          <w:rFonts w:cs="Arial"/>
          <w:color w:val="auto"/>
          <w:sz w:val="20"/>
          <w:szCs w:val="20"/>
        </w:rPr>
        <w:t xml:space="preserve"> </w:t>
      </w:r>
    </w:p>
    <w:p w:rsidR="00FB4273" w:rsidRPr="00D42E0B" w:rsidRDefault="00FB4273" w:rsidP="00445BB9">
      <w:pPr>
        <w:pStyle w:val="CodeNotesExampleText"/>
        <w:ind w:left="567"/>
        <w:rPr>
          <w:rFonts w:cs="Arial"/>
          <w:color w:val="548DD4" w:themeColor="text2" w:themeTint="99"/>
          <w:sz w:val="20"/>
          <w:szCs w:val="20"/>
        </w:rPr>
      </w:pPr>
    </w:p>
    <w:p w:rsidR="00FB4273" w:rsidRPr="00D42E0B" w:rsidRDefault="00FB4273" w:rsidP="00445BB9">
      <w:pPr>
        <w:pStyle w:val="CodeNotesExampleText"/>
        <w:ind w:left="567"/>
        <w:rPr>
          <w:rFonts w:cs="Arial"/>
          <w:color w:val="548DD4" w:themeColor="text2" w:themeTint="99"/>
          <w:sz w:val="20"/>
          <w:szCs w:val="20"/>
        </w:rPr>
      </w:pPr>
      <w:r w:rsidRPr="00DC7E90">
        <w:rPr>
          <w:rFonts w:cs="Arial"/>
          <w:color w:val="auto"/>
          <w:sz w:val="20"/>
          <w:szCs w:val="20"/>
        </w:rPr>
        <w:t>The 201</w:t>
      </w:r>
      <w:r w:rsidR="0019078B">
        <w:rPr>
          <w:rFonts w:cs="Arial"/>
          <w:color w:val="auto"/>
          <w:sz w:val="20"/>
          <w:szCs w:val="20"/>
        </w:rPr>
        <w:t>5</w:t>
      </w:r>
      <w:r w:rsidRPr="00DC7E90">
        <w:rPr>
          <w:rFonts w:cs="Arial"/>
          <w:color w:val="auto"/>
          <w:sz w:val="20"/>
          <w:szCs w:val="20"/>
        </w:rPr>
        <w:t>/</w:t>
      </w:r>
      <w:r w:rsidR="00E25049" w:rsidRPr="00DC7E90">
        <w:rPr>
          <w:rFonts w:cs="Arial"/>
          <w:color w:val="auto"/>
          <w:sz w:val="20"/>
          <w:szCs w:val="20"/>
        </w:rPr>
        <w:t>1</w:t>
      </w:r>
      <w:r w:rsidR="0019078B">
        <w:rPr>
          <w:rFonts w:cs="Arial"/>
          <w:color w:val="auto"/>
          <w:sz w:val="20"/>
          <w:szCs w:val="20"/>
        </w:rPr>
        <w:t>6</w:t>
      </w:r>
      <w:r w:rsidRPr="00DC7E90">
        <w:rPr>
          <w:rFonts w:cs="Arial"/>
          <w:color w:val="auto"/>
          <w:sz w:val="20"/>
          <w:szCs w:val="20"/>
        </w:rPr>
        <w:t xml:space="preserve"> accounts for the Scheme record liabilities of </w:t>
      </w:r>
      <w:r w:rsidR="00E25049" w:rsidRPr="00DC7E90">
        <w:rPr>
          <w:rFonts w:cs="Arial"/>
          <w:color w:val="auto"/>
          <w:sz w:val="20"/>
          <w:szCs w:val="20"/>
        </w:rPr>
        <w:t>£2</w:t>
      </w:r>
      <w:r w:rsidR="00DC7E90" w:rsidRPr="00DC7E90">
        <w:rPr>
          <w:rFonts w:cs="Arial"/>
          <w:color w:val="auto"/>
          <w:sz w:val="20"/>
          <w:szCs w:val="20"/>
        </w:rPr>
        <w:t>75</w:t>
      </w:r>
      <w:r w:rsidR="00E25049" w:rsidRPr="00DC7E90">
        <w:rPr>
          <w:rFonts w:cs="Arial"/>
          <w:color w:val="auto"/>
          <w:sz w:val="20"/>
          <w:szCs w:val="20"/>
        </w:rPr>
        <w:t xml:space="preserve"> billion (</w:t>
      </w:r>
      <w:r w:rsidRPr="00DC7E90">
        <w:rPr>
          <w:rFonts w:cs="Arial"/>
          <w:color w:val="auto"/>
          <w:sz w:val="20"/>
          <w:szCs w:val="20"/>
        </w:rPr>
        <w:t>£2</w:t>
      </w:r>
      <w:r w:rsidR="00DC7E90" w:rsidRPr="00DC7E90">
        <w:rPr>
          <w:rFonts w:cs="Arial"/>
          <w:color w:val="auto"/>
          <w:sz w:val="20"/>
          <w:szCs w:val="20"/>
        </w:rPr>
        <w:t>50</w:t>
      </w:r>
      <w:r w:rsidRPr="00DC7E90">
        <w:rPr>
          <w:rFonts w:cs="Arial"/>
          <w:color w:val="auto"/>
          <w:sz w:val="20"/>
          <w:szCs w:val="20"/>
        </w:rPr>
        <w:t xml:space="preserve"> billion</w:t>
      </w:r>
      <w:r w:rsidR="00E25049" w:rsidRPr="00DC7E90">
        <w:rPr>
          <w:rFonts w:cs="Arial"/>
          <w:color w:val="auto"/>
          <w:sz w:val="20"/>
          <w:szCs w:val="20"/>
        </w:rPr>
        <w:t xml:space="preserve"> 1</w:t>
      </w:r>
      <w:r w:rsidR="00DC7E90" w:rsidRPr="00DC7E90">
        <w:rPr>
          <w:rFonts w:cs="Arial"/>
          <w:color w:val="auto"/>
          <w:sz w:val="20"/>
          <w:szCs w:val="20"/>
        </w:rPr>
        <w:t>3</w:t>
      </w:r>
      <w:r w:rsidR="00E25049" w:rsidRPr="00DC7E90">
        <w:rPr>
          <w:rFonts w:cs="Arial"/>
          <w:color w:val="auto"/>
          <w:sz w:val="20"/>
          <w:szCs w:val="20"/>
        </w:rPr>
        <w:t>/1</w:t>
      </w:r>
      <w:r w:rsidR="00DC7E90" w:rsidRPr="00DC7E90">
        <w:rPr>
          <w:rFonts w:cs="Arial"/>
          <w:color w:val="auto"/>
          <w:sz w:val="20"/>
          <w:szCs w:val="20"/>
        </w:rPr>
        <w:t>4</w:t>
      </w:r>
      <w:r w:rsidR="00E25049" w:rsidRPr="00DC7E90">
        <w:rPr>
          <w:rFonts w:cs="Arial"/>
          <w:color w:val="auto"/>
          <w:sz w:val="20"/>
          <w:szCs w:val="20"/>
        </w:rPr>
        <w:t>)</w:t>
      </w:r>
      <w:r w:rsidRPr="00DC7E90">
        <w:rPr>
          <w:rFonts w:cs="Arial"/>
          <w:color w:val="auto"/>
          <w:sz w:val="20"/>
          <w:szCs w:val="20"/>
        </w:rPr>
        <w:t>. [Source: Teachers’ Pension Scheme Annual Accounts 201</w:t>
      </w:r>
      <w:r w:rsidR="00DC7E90" w:rsidRPr="00DC7E90">
        <w:rPr>
          <w:rFonts w:cs="Arial"/>
          <w:color w:val="auto"/>
          <w:sz w:val="20"/>
          <w:szCs w:val="20"/>
        </w:rPr>
        <w:t>4</w:t>
      </w:r>
      <w:r w:rsidRPr="00DC7E90">
        <w:rPr>
          <w:rFonts w:cs="Arial"/>
          <w:color w:val="auto"/>
          <w:sz w:val="20"/>
          <w:szCs w:val="20"/>
        </w:rPr>
        <w:t>/1</w:t>
      </w:r>
      <w:r w:rsidR="00DC7E90" w:rsidRPr="00DC7E90">
        <w:rPr>
          <w:rFonts w:cs="Arial"/>
          <w:color w:val="auto"/>
          <w:sz w:val="20"/>
          <w:szCs w:val="20"/>
        </w:rPr>
        <w:t>5</w:t>
      </w:r>
      <w:r w:rsidR="009F6EB9" w:rsidRPr="00DC7E90">
        <w:rPr>
          <w:rFonts w:cs="Arial"/>
          <w:color w:val="auto"/>
          <w:sz w:val="20"/>
          <w:szCs w:val="20"/>
        </w:rPr>
        <w:t xml:space="preserve"> in link below</w:t>
      </w:r>
      <w:r w:rsidRPr="00DC7E90">
        <w:rPr>
          <w:rFonts w:cs="Arial"/>
          <w:color w:val="auto"/>
          <w:sz w:val="20"/>
          <w:szCs w:val="20"/>
        </w:rPr>
        <w:t>). However, the employers’ contribution rate is not set with reference to outstanding liabilities but the payments projected to be made out of the notional fund each year</w:t>
      </w:r>
      <w:r w:rsidRPr="00D42E0B">
        <w:rPr>
          <w:rFonts w:cs="Arial"/>
          <w:color w:val="548DD4" w:themeColor="text2" w:themeTint="99"/>
          <w:sz w:val="20"/>
          <w:szCs w:val="20"/>
        </w:rPr>
        <w:t xml:space="preserve">.  </w:t>
      </w:r>
      <w:r w:rsidRPr="002C0314">
        <w:rPr>
          <w:rFonts w:cs="Arial"/>
          <w:color w:val="auto"/>
          <w:sz w:val="20"/>
          <w:szCs w:val="20"/>
        </w:rPr>
        <w:t xml:space="preserve">The Council is one of 174 </w:t>
      </w:r>
      <w:r w:rsidR="007C6D1A" w:rsidRPr="002C0314">
        <w:rPr>
          <w:rFonts w:cs="Arial"/>
          <w:color w:val="auto"/>
          <w:sz w:val="20"/>
          <w:szCs w:val="20"/>
        </w:rPr>
        <w:t>(174 1</w:t>
      </w:r>
      <w:r w:rsidR="002C0314" w:rsidRPr="002C0314">
        <w:rPr>
          <w:rFonts w:cs="Arial"/>
          <w:color w:val="auto"/>
          <w:sz w:val="20"/>
          <w:szCs w:val="20"/>
        </w:rPr>
        <w:t>3</w:t>
      </w:r>
      <w:r w:rsidR="007C6D1A" w:rsidRPr="002C0314">
        <w:rPr>
          <w:rFonts w:cs="Arial"/>
          <w:color w:val="auto"/>
          <w:sz w:val="20"/>
          <w:szCs w:val="20"/>
        </w:rPr>
        <w:t>/1</w:t>
      </w:r>
      <w:r w:rsidR="002C0314" w:rsidRPr="002C0314">
        <w:rPr>
          <w:rFonts w:cs="Arial"/>
          <w:color w:val="auto"/>
          <w:sz w:val="20"/>
          <w:szCs w:val="20"/>
        </w:rPr>
        <w:t>4</w:t>
      </w:r>
      <w:r w:rsidR="007C6D1A" w:rsidRPr="002C0314">
        <w:rPr>
          <w:rFonts w:cs="Arial"/>
          <w:color w:val="auto"/>
          <w:sz w:val="20"/>
          <w:szCs w:val="20"/>
        </w:rPr>
        <w:t xml:space="preserve">) </w:t>
      </w:r>
      <w:r w:rsidRPr="002C0314">
        <w:rPr>
          <w:rFonts w:cs="Arial"/>
          <w:color w:val="auto"/>
          <w:sz w:val="20"/>
          <w:szCs w:val="20"/>
        </w:rPr>
        <w:t xml:space="preserve">local authorities participating in the Scheme, amongst a total of </w:t>
      </w:r>
      <w:r w:rsidR="002C0314" w:rsidRPr="002C0314">
        <w:rPr>
          <w:rFonts w:cs="Arial"/>
          <w:color w:val="auto"/>
          <w:sz w:val="20"/>
          <w:szCs w:val="20"/>
        </w:rPr>
        <w:t>7</w:t>
      </w:r>
      <w:r w:rsidR="007C6D1A" w:rsidRPr="002C0314">
        <w:rPr>
          <w:rFonts w:cs="Arial"/>
          <w:color w:val="auto"/>
          <w:sz w:val="20"/>
          <w:szCs w:val="20"/>
        </w:rPr>
        <w:t>,1</w:t>
      </w:r>
      <w:r w:rsidR="002C0314" w:rsidRPr="002C0314">
        <w:rPr>
          <w:rFonts w:cs="Arial"/>
          <w:color w:val="auto"/>
          <w:sz w:val="20"/>
          <w:szCs w:val="20"/>
        </w:rPr>
        <w:t>41</w:t>
      </w:r>
      <w:r w:rsidR="007C6D1A" w:rsidRPr="002C0314">
        <w:rPr>
          <w:rFonts w:cs="Arial"/>
          <w:color w:val="auto"/>
          <w:sz w:val="20"/>
          <w:szCs w:val="20"/>
        </w:rPr>
        <w:t xml:space="preserve"> employers (</w:t>
      </w:r>
      <w:r w:rsidR="002C0314" w:rsidRPr="002C0314">
        <w:rPr>
          <w:rFonts w:cs="Arial"/>
          <w:color w:val="auto"/>
          <w:sz w:val="20"/>
          <w:szCs w:val="20"/>
        </w:rPr>
        <w:t>6</w:t>
      </w:r>
      <w:r w:rsidRPr="002C0314">
        <w:rPr>
          <w:rFonts w:cs="Arial"/>
          <w:color w:val="auto"/>
          <w:sz w:val="20"/>
          <w:szCs w:val="20"/>
        </w:rPr>
        <w:t>,</w:t>
      </w:r>
      <w:r w:rsidR="002C0314" w:rsidRPr="002C0314">
        <w:rPr>
          <w:rFonts w:cs="Arial"/>
          <w:color w:val="auto"/>
          <w:sz w:val="20"/>
          <w:szCs w:val="20"/>
        </w:rPr>
        <w:t>101</w:t>
      </w:r>
      <w:r w:rsidRPr="002C0314">
        <w:rPr>
          <w:rFonts w:cs="Arial"/>
          <w:color w:val="auto"/>
          <w:sz w:val="20"/>
          <w:szCs w:val="20"/>
        </w:rPr>
        <w:t xml:space="preserve"> </w:t>
      </w:r>
      <w:r w:rsidR="007C6D1A" w:rsidRPr="002C0314">
        <w:rPr>
          <w:rFonts w:cs="Arial"/>
          <w:color w:val="auto"/>
          <w:sz w:val="20"/>
          <w:szCs w:val="20"/>
        </w:rPr>
        <w:t>1</w:t>
      </w:r>
      <w:r w:rsidR="002C0314" w:rsidRPr="002C0314">
        <w:rPr>
          <w:rFonts w:cs="Arial"/>
          <w:color w:val="auto"/>
          <w:sz w:val="20"/>
          <w:szCs w:val="20"/>
        </w:rPr>
        <w:t>3</w:t>
      </w:r>
      <w:r w:rsidR="007C6D1A" w:rsidRPr="002C0314">
        <w:rPr>
          <w:rFonts w:cs="Arial"/>
          <w:color w:val="auto"/>
          <w:sz w:val="20"/>
          <w:szCs w:val="20"/>
        </w:rPr>
        <w:t>/1</w:t>
      </w:r>
      <w:r w:rsidR="002C0314" w:rsidRPr="002C0314">
        <w:rPr>
          <w:rFonts w:cs="Arial"/>
          <w:color w:val="auto"/>
          <w:sz w:val="20"/>
          <w:szCs w:val="20"/>
        </w:rPr>
        <w:t>4</w:t>
      </w:r>
      <w:r w:rsidR="007C6D1A" w:rsidRPr="002C0314">
        <w:rPr>
          <w:rFonts w:cs="Arial"/>
          <w:color w:val="auto"/>
          <w:sz w:val="20"/>
          <w:szCs w:val="20"/>
        </w:rPr>
        <w:t>)</w:t>
      </w:r>
      <w:r w:rsidRPr="002C0314">
        <w:rPr>
          <w:rFonts w:cs="Arial"/>
          <w:color w:val="auto"/>
          <w:sz w:val="20"/>
          <w:szCs w:val="20"/>
        </w:rPr>
        <w:t>.</w:t>
      </w:r>
      <w:r w:rsidRPr="00D42E0B">
        <w:rPr>
          <w:rFonts w:cs="Arial"/>
          <w:color w:val="548DD4" w:themeColor="text2" w:themeTint="99"/>
          <w:sz w:val="20"/>
          <w:szCs w:val="20"/>
        </w:rPr>
        <w:t xml:space="preserve"> </w:t>
      </w:r>
    </w:p>
    <w:p w:rsidR="00E25049" w:rsidRPr="00D42E0B" w:rsidRDefault="00E25049" w:rsidP="00445BB9">
      <w:pPr>
        <w:pStyle w:val="CodeNotesExampleText"/>
        <w:ind w:left="567"/>
        <w:rPr>
          <w:rFonts w:cs="Arial"/>
          <w:color w:val="548DD4" w:themeColor="text2" w:themeTint="99"/>
          <w:sz w:val="20"/>
          <w:szCs w:val="20"/>
        </w:rPr>
      </w:pPr>
    </w:p>
    <w:p w:rsidR="00650992" w:rsidRDefault="00C555E7" w:rsidP="00DC7E90">
      <w:pPr>
        <w:pStyle w:val="CodeNotesExampleHead"/>
        <w:widowControl w:val="0"/>
        <w:ind w:left="567"/>
        <w:rPr>
          <w:rFonts w:cs="Arial"/>
          <w:color w:val="548DD4" w:themeColor="text2" w:themeTint="99"/>
          <w:sz w:val="20"/>
          <w:szCs w:val="20"/>
          <w:lang w:eastAsia="en-GB"/>
        </w:rPr>
      </w:pPr>
      <w:hyperlink r:id="rId45" w:history="1">
        <w:r w:rsidR="00C613E6" w:rsidRPr="00623496">
          <w:rPr>
            <w:rStyle w:val="Hyperlink"/>
            <w:rFonts w:cs="Arial"/>
            <w:sz w:val="20"/>
            <w:szCs w:val="20"/>
            <w:lang w:eastAsia="en-GB"/>
          </w:rPr>
          <w:t>https://www.gov.uk/government/uploads/system/uploads/attachment_data/file/468974/TPS_Annual_Report_and_Accounts_web.pdf</w:t>
        </w:r>
      </w:hyperlink>
    </w:p>
    <w:p w:rsidR="00E434DA" w:rsidRPr="009D5F43" w:rsidRDefault="00E434DA" w:rsidP="00E434DA">
      <w:pPr>
        <w:pStyle w:val="CodeNotesExampleHead"/>
        <w:widowControl w:val="0"/>
        <w:ind w:left="567"/>
        <w:rPr>
          <w:rFonts w:cs="Arial"/>
          <w:color w:val="auto"/>
          <w:sz w:val="20"/>
          <w:szCs w:val="20"/>
          <w:u w:val="single"/>
          <w:lang w:eastAsia="en-GB"/>
        </w:rPr>
      </w:pPr>
      <w:r w:rsidRPr="009D5F43">
        <w:rPr>
          <w:rFonts w:cs="Arial"/>
          <w:color w:val="auto"/>
          <w:sz w:val="20"/>
          <w:szCs w:val="20"/>
          <w:u w:val="single"/>
          <w:lang w:eastAsia="en-GB"/>
        </w:rPr>
        <w:t>NHS Pension Scheme</w:t>
      </w:r>
    </w:p>
    <w:p w:rsidR="00E434DA" w:rsidRPr="009D5F43" w:rsidRDefault="00E434DA" w:rsidP="00E434DA">
      <w:pPr>
        <w:pStyle w:val="CodeNotesExampleHead"/>
        <w:widowControl w:val="0"/>
        <w:ind w:left="567"/>
        <w:rPr>
          <w:rFonts w:cs="Arial"/>
          <w:b w:val="0"/>
          <w:color w:val="auto"/>
          <w:sz w:val="20"/>
          <w:szCs w:val="20"/>
          <w:lang w:eastAsia="en-GB"/>
        </w:rPr>
      </w:pPr>
    </w:p>
    <w:p w:rsidR="009C4A49" w:rsidRPr="009D5F43" w:rsidRDefault="009C4A49" w:rsidP="009C4A49">
      <w:pPr>
        <w:pStyle w:val="CodeNotesExampleHead"/>
        <w:widowControl w:val="0"/>
        <w:ind w:left="567"/>
        <w:rPr>
          <w:rFonts w:cs="Arial"/>
          <w:b w:val="0"/>
          <w:color w:val="auto"/>
          <w:sz w:val="20"/>
          <w:szCs w:val="20"/>
          <w:lang w:eastAsia="en-GB"/>
        </w:rPr>
      </w:pPr>
      <w:r w:rsidRPr="009D5F43">
        <w:rPr>
          <w:rFonts w:cs="Arial"/>
          <w:b w:val="0"/>
          <w:color w:val="auto"/>
          <w:sz w:val="20"/>
          <w:szCs w:val="20"/>
          <w:lang w:eastAsia="en-GB"/>
        </w:rPr>
        <w:t xml:space="preserve">Public Health staff </w:t>
      </w:r>
      <w:r w:rsidR="007E33E1" w:rsidRPr="009D5F43">
        <w:rPr>
          <w:rFonts w:cs="Arial"/>
          <w:b w:val="0"/>
          <w:color w:val="auto"/>
          <w:sz w:val="20"/>
          <w:szCs w:val="20"/>
          <w:lang w:eastAsia="en-GB"/>
        </w:rPr>
        <w:t>that</w:t>
      </w:r>
      <w:r w:rsidRPr="009D5F43">
        <w:rPr>
          <w:rFonts w:cs="Arial"/>
          <w:b w:val="0"/>
          <w:color w:val="auto"/>
          <w:sz w:val="20"/>
          <w:szCs w:val="20"/>
          <w:lang w:eastAsia="en-GB"/>
        </w:rPr>
        <w:t xml:space="preserve"> transferred to the Council’s employment in April 2013 were entitled to remain in a NHS pension scheme along with new staff recruited to public health if they meet certain criteria. </w:t>
      </w:r>
    </w:p>
    <w:p w:rsidR="009C4A49" w:rsidRPr="009D5F43" w:rsidRDefault="009C4A49" w:rsidP="009C4A49">
      <w:pPr>
        <w:autoSpaceDE w:val="0"/>
        <w:autoSpaceDN w:val="0"/>
        <w:adjustRightInd w:val="0"/>
        <w:spacing w:after="0" w:line="240" w:lineRule="auto"/>
        <w:ind w:left="567"/>
        <w:rPr>
          <w:rFonts w:eastAsia="Times New Roman" w:cs="Arial"/>
          <w:color w:val="auto"/>
          <w:sz w:val="20"/>
          <w:szCs w:val="20"/>
          <w:lang w:eastAsia="en-GB"/>
        </w:rPr>
      </w:pPr>
    </w:p>
    <w:p w:rsidR="009C4A49" w:rsidRPr="009D5F43" w:rsidRDefault="009C4A49" w:rsidP="009C4A49">
      <w:pPr>
        <w:autoSpaceDE w:val="0"/>
        <w:autoSpaceDN w:val="0"/>
        <w:adjustRightInd w:val="0"/>
        <w:spacing w:after="0" w:line="240" w:lineRule="auto"/>
        <w:ind w:left="567"/>
        <w:rPr>
          <w:rFonts w:eastAsia="Times New Roman" w:cs="Arial"/>
          <w:color w:val="auto"/>
          <w:sz w:val="20"/>
          <w:szCs w:val="20"/>
          <w:lang w:eastAsia="en-GB"/>
        </w:rPr>
      </w:pPr>
      <w:r w:rsidRPr="009D5F43">
        <w:rPr>
          <w:rFonts w:eastAsia="Times New Roman" w:cs="Arial"/>
          <w:color w:val="auto"/>
          <w:sz w:val="20"/>
          <w:szCs w:val="20"/>
          <w:lang w:eastAsia="en-GB"/>
        </w:rPr>
        <w:t xml:space="preserve">The Council takes part in the NHS Pension Scheme. Public Health staff employed by the Council are rewarded for years of service with rights to retirement lump sums and pensions based on final salaries. The Council makes an annual contribution to the Scheme calculated as a percentage of pensionable pay. The contribution rate is specified the Department for Health each year so that budgeted income is sufficient to cover the outgoings of the Scheme. This Scheme operates through a notional fund administered on a national basis. The Scheme does not record liabilities for each participating employer and raises contributions from all employers based on a common percentage of the pensionable pay of current employees, irrespective of any obligations created in previous years. Apart from this shared responsibility for shortfalls on the notional fund, the Council has no direct responsibility for the obligations of any other party to the Scheme. </w:t>
      </w:r>
    </w:p>
    <w:p w:rsidR="009C4A49" w:rsidRPr="00D42E0B" w:rsidRDefault="009C4A49" w:rsidP="009C4A49">
      <w:pPr>
        <w:pStyle w:val="CodeNotesExampleHead"/>
        <w:widowControl w:val="0"/>
        <w:ind w:left="567"/>
        <w:rPr>
          <w:rFonts w:cs="Arial"/>
          <w:b w:val="0"/>
          <w:color w:val="548DD4" w:themeColor="text2" w:themeTint="99"/>
          <w:sz w:val="20"/>
          <w:szCs w:val="20"/>
          <w:u w:val="single"/>
          <w:lang w:eastAsia="en-GB"/>
        </w:rPr>
      </w:pPr>
    </w:p>
    <w:p w:rsidR="009C4A49" w:rsidRDefault="009C4A49" w:rsidP="009C4A49">
      <w:pPr>
        <w:autoSpaceDE w:val="0"/>
        <w:autoSpaceDN w:val="0"/>
        <w:adjustRightInd w:val="0"/>
        <w:spacing w:after="0" w:line="240" w:lineRule="auto"/>
        <w:ind w:left="567"/>
        <w:rPr>
          <w:rFonts w:eastAsia="Times New Roman" w:cs="Arial"/>
          <w:color w:val="548DD4" w:themeColor="text2" w:themeTint="99"/>
          <w:sz w:val="20"/>
          <w:szCs w:val="20"/>
          <w:lang w:eastAsia="en-GB"/>
        </w:rPr>
      </w:pPr>
      <w:r w:rsidRPr="009D5F43">
        <w:rPr>
          <w:rFonts w:eastAsia="Times New Roman" w:cs="Arial"/>
          <w:color w:val="auto"/>
          <w:sz w:val="20"/>
          <w:szCs w:val="20"/>
          <w:lang w:eastAsia="en-GB"/>
        </w:rPr>
        <w:t xml:space="preserve">The Scheme is a defined benefit plan but is accounted for as it were a defined contribution plan. </w:t>
      </w:r>
      <w:r w:rsidR="007E33E1" w:rsidRPr="009D5F43">
        <w:rPr>
          <w:rFonts w:eastAsia="Times New Roman" w:cs="Arial"/>
          <w:color w:val="auto"/>
          <w:sz w:val="20"/>
          <w:szCs w:val="20"/>
          <w:lang w:eastAsia="en-GB"/>
        </w:rPr>
        <w:t>This</w:t>
      </w:r>
      <w:r w:rsidRPr="009D5F43">
        <w:rPr>
          <w:rFonts w:eastAsia="Times New Roman" w:cs="Arial"/>
          <w:color w:val="auto"/>
          <w:sz w:val="20"/>
          <w:szCs w:val="20"/>
          <w:lang w:eastAsia="en-GB"/>
        </w:rPr>
        <w:t xml:space="preserve"> is because the administrators of the Scheme do not keep separate records of the defined benefit obligations for individual authorities and no assets are attributable to the Scheme</w:t>
      </w:r>
      <w:r w:rsidRPr="00D42E0B">
        <w:rPr>
          <w:rFonts w:eastAsia="Times New Roman" w:cs="Arial"/>
          <w:color w:val="548DD4" w:themeColor="text2" w:themeTint="99"/>
          <w:sz w:val="20"/>
          <w:szCs w:val="20"/>
          <w:lang w:eastAsia="en-GB"/>
        </w:rPr>
        <w:t>.</w:t>
      </w:r>
    </w:p>
    <w:p w:rsidR="00642BE9" w:rsidRPr="00D42E0B" w:rsidRDefault="00642BE9" w:rsidP="009C4A49">
      <w:pPr>
        <w:autoSpaceDE w:val="0"/>
        <w:autoSpaceDN w:val="0"/>
        <w:adjustRightInd w:val="0"/>
        <w:spacing w:after="0" w:line="240" w:lineRule="auto"/>
        <w:ind w:left="567"/>
        <w:rPr>
          <w:rFonts w:cs="Arial"/>
          <w:b/>
          <w:color w:val="548DD4" w:themeColor="text2" w:themeTint="99"/>
          <w:sz w:val="20"/>
          <w:szCs w:val="20"/>
          <w:u w:val="single"/>
          <w:lang w:eastAsia="en-GB"/>
        </w:rPr>
      </w:pPr>
    </w:p>
    <w:p w:rsidR="00BC50D0" w:rsidRPr="00C37283" w:rsidRDefault="009C4A49" w:rsidP="00610724">
      <w:pPr>
        <w:autoSpaceDE w:val="0"/>
        <w:autoSpaceDN w:val="0"/>
        <w:adjustRightInd w:val="0"/>
        <w:spacing w:after="0" w:line="240" w:lineRule="auto"/>
        <w:ind w:left="567"/>
        <w:rPr>
          <w:rFonts w:eastAsia="Times New Roman" w:cs="Arial"/>
          <w:color w:val="auto"/>
          <w:sz w:val="20"/>
          <w:szCs w:val="20"/>
          <w:lang w:eastAsia="en-GB"/>
        </w:rPr>
      </w:pPr>
      <w:r w:rsidRPr="00C37283">
        <w:rPr>
          <w:rFonts w:eastAsia="Times New Roman" w:cs="Arial"/>
          <w:color w:val="auto"/>
          <w:sz w:val="20"/>
          <w:szCs w:val="20"/>
          <w:lang w:eastAsia="en-GB"/>
        </w:rPr>
        <w:t>The employers’ contribution rate was 14</w:t>
      </w:r>
      <w:r w:rsidR="001C0109" w:rsidRPr="00C37283">
        <w:rPr>
          <w:rFonts w:eastAsia="Times New Roman" w:cs="Arial"/>
          <w:color w:val="auto"/>
          <w:sz w:val="20"/>
          <w:szCs w:val="20"/>
          <w:lang w:eastAsia="en-GB"/>
        </w:rPr>
        <w:t>.</w:t>
      </w:r>
      <w:r w:rsidR="00C37283" w:rsidRPr="00C37283">
        <w:rPr>
          <w:rFonts w:eastAsia="Times New Roman" w:cs="Arial"/>
          <w:color w:val="auto"/>
          <w:sz w:val="20"/>
          <w:szCs w:val="20"/>
          <w:lang w:eastAsia="en-GB"/>
        </w:rPr>
        <w:t>3</w:t>
      </w:r>
      <w:r w:rsidRPr="00C37283">
        <w:rPr>
          <w:rFonts w:eastAsia="Times New Roman" w:cs="Arial"/>
          <w:color w:val="auto"/>
          <w:sz w:val="20"/>
          <w:szCs w:val="20"/>
          <w:lang w:eastAsia="en-GB"/>
        </w:rPr>
        <w:t>% in 201</w:t>
      </w:r>
      <w:r w:rsidR="00655EB6" w:rsidRPr="00C37283">
        <w:rPr>
          <w:rFonts w:eastAsia="Times New Roman" w:cs="Arial"/>
          <w:color w:val="auto"/>
          <w:sz w:val="20"/>
          <w:szCs w:val="20"/>
          <w:lang w:eastAsia="en-GB"/>
        </w:rPr>
        <w:t>5</w:t>
      </w:r>
      <w:r w:rsidRPr="00C37283">
        <w:rPr>
          <w:rFonts w:eastAsia="Times New Roman" w:cs="Arial"/>
          <w:color w:val="auto"/>
          <w:sz w:val="20"/>
          <w:szCs w:val="20"/>
          <w:lang w:eastAsia="en-GB"/>
        </w:rPr>
        <w:t>/1</w:t>
      </w:r>
      <w:r w:rsidR="00655EB6" w:rsidRPr="00C37283">
        <w:rPr>
          <w:rFonts w:eastAsia="Times New Roman" w:cs="Arial"/>
          <w:color w:val="auto"/>
          <w:sz w:val="20"/>
          <w:szCs w:val="20"/>
          <w:lang w:eastAsia="en-GB"/>
        </w:rPr>
        <w:t>6</w:t>
      </w:r>
      <w:r w:rsidRPr="00C37283">
        <w:rPr>
          <w:rFonts w:eastAsia="Times New Roman" w:cs="Arial"/>
          <w:color w:val="auto"/>
          <w:sz w:val="20"/>
          <w:szCs w:val="20"/>
          <w:lang w:eastAsia="en-GB"/>
        </w:rPr>
        <w:t xml:space="preserve"> (</w:t>
      </w:r>
      <w:r w:rsidR="001C0109" w:rsidRPr="00C37283">
        <w:rPr>
          <w:rFonts w:eastAsia="Times New Roman" w:cs="Arial"/>
          <w:color w:val="auto"/>
          <w:sz w:val="20"/>
          <w:szCs w:val="20"/>
          <w:lang w:eastAsia="en-GB"/>
        </w:rPr>
        <w:t>14.0%</w:t>
      </w:r>
      <w:r w:rsidRPr="00C37283">
        <w:rPr>
          <w:rFonts w:eastAsia="Times New Roman" w:cs="Arial"/>
          <w:color w:val="auto"/>
          <w:sz w:val="20"/>
          <w:szCs w:val="20"/>
          <w:lang w:eastAsia="en-GB"/>
        </w:rPr>
        <w:t xml:space="preserve"> 201</w:t>
      </w:r>
      <w:r w:rsidR="00655EB6" w:rsidRPr="00C37283">
        <w:rPr>
          <w:rFonts w:eastAsia="Times New Roman" w:cs="Arial"/>
          <w:color w:val="auto"/>
          <w:sz w:val="20"/>
          <w:szCs w:val="20"/>
          <w:lang w:eastAsia="en-GB"/>
        </w:rPr>
        <w:t>4</w:t>
      </w:r>
      <w:r w:rsidRPr="00C37283">
        <w:rPr>
          <w:rFonts w:eastAsia="Times New Roman" w:cs="Arial"/>
          <w:color w:val="auto"/>
          <w:sz w:val="20"/>
          <w:szCs w:val="20"/>
          <w:lang w:eastAsia="en-GB"/>
        </w:rPr>
        <w:t>/1</w:t>
      </w:r>
      <w:r w:rsidR="00655EB6" w:rsidRPr="00C37283">
        <w:rPr>
          <w:rFonts w:eastAsia="Times New Roman" w:cs="Arial"/>
          <w:color w:val="auto"/>
          <w:sz w:val="20"/>
          <w:szCs w:val="20"/>
          <w:lang w:eastAsia="en-GB"/>
        </w:rPr>
        <w:t>5</w:t>
      </w:r>
      <w:r w:rsidRPr="00C37283">
        <w:rPr>
          <w:rFonts w:eastAsia="Times New Roman" w:cs="Arial"/>
          <w:color w:val="auto"/>
          <w:sz w:val="20"/>
          <w:szCs w:val="20"/>
          <w:lang w:eastAsia="en-GB"/>
        </w:rPr>
        <w:t>). Contributions of £</w:t>
      </w:r>
      <w:r w:rsidR="00BC50D0" w:rsidRPr="00C37283">
        <w:rPr>
          <w:rFonts w:eastAsia="Times New Roman" w:cs="Arial"/>
          <w:color w:val="auto"/>
          <w:sz w:val="20"/>
          <w:szCs w:val="20"/>
          <w:lang w:eastAsia="en-GB"/>
        </w:rPr>
        <w:t>0.1</w:t>
      </w:r>
      <w:r w:rsidRPr="00C37283">
        <w:rPr>
          <w:rFonts w:eastAsia="Times New Roman" w:cs="Arial"/>
          <w:color w:val="auto"/>
          <w:sz w:val="20"/>
          <w:szCs w:val="20"/>
          <w:lang w:eastAsia="en-GB"/>
        </w:rPr>
        <w:t>m were paid in 201</w:t>
      </w:r>
      <w:r w:rsidR="00655EB6" w:rsidRPr="00C37283">
        <w:rPr>
          <w:rFonts w:eastAsia="Times New Roman" w:cs="Arial"/>
          <w:color w:val="auto"/>
          <w:sz w:val="20"/>
          <w:szCs w:val="20"/>
          <w:lang w:eastAsia="en-GB"/>
        </w:rPr>
        <w:t>5</w:t>
      </w:r>
      <w:r w:rsidRPr="00C37283">
        <w:rPr>
          <w:rFonts w:eastAsia="Times New Roman" w:cs="Arial"/>
          <w:color w:val="auto"/>
          <w:sz w:val="20"/>
          <w:szCs w:val="20"/>
          <w:lang w:eastAsia="en-GB"/>
        </w:rPr>
        <w:t>/1</w:t>
      </w:r>
      <w:r w:rsidR="00655EB6" w:rsidRPr="00C37283">
        <w:rPr>
          <w:rFonts w:eastAsia="Times New Roman" w:cs="Arial"/>
          <w:color w:val="auto"/>
          <w:sz w:val="20"/>
          <w:szCs w:val="20"/>
          <w:lang w:eastAsia="en-GB"/>
        </w:rPr>
        <w:t>6</w:t>
      </w:r>
      <w:r w:rsidRPr="00C37283">
        <w:rPr>
          <w:rFonts w:eastAsia="Times New Roman" w:cs="Arial"/>
          <w:color w:val="auto"/>
          <w:sz w:val="20"/>
          <w:szCs w:val="20"/>
          <w:lang w:eastAsia="en-GB"/>
        </w:rPr>
        <w:t xml:space="preserve"> (</w:t>
      </w:r>
      <w:r w:rsidR="001C0109" w:rsidRPr="00C37283">
        <w:rPr>
          <w:rFonts w:eastAsia="Times New Roman" w:cs="Arial"/>
          <w:color w:val="auto"/>
          <w:sz w:val="20"/>
          <w:szCs w:val="20"/>
          <w:lang w:eastAsia="en-GB"/>
        </w:rPr>
        <w:t>£0.1m</w:t>
      </w:r>
      <w:r w:rsidR="00BC50D0" w:rsidRPr="00C37283">
        <w:rPr>
          <w:rFonts w:eastAsia="Times New Roman" w:cs="Arial"/>
          <w:color w:val="auto"/>
          <w:sz w:val="20"/>
          <w:szCs w:val="20"/>
          <w:lang w:eastAsia="en-GB"/>
        </w:rPr>
        <w:t xml:space="preserve"> </w:t>
      </w:r>
      <w:r w:rsidR="001C0109" w:rsidRPr="00C37283">
        <w:rPr>
          <w:rFonts w:eastAsia="Times New Roman" w:cs="Arial"/>
          <w:color w:val="auto"/>
          <w:sz w:val="20"/>
          <w:szCs w:val="20"/>
          <w:lang w:eastAsia="en-GB"/>
        </w:rPr>
        <w:t>1</w:t>
      </w:r>
      <w:r w:rsidR="00655EB6" w:rsidRPr="00C37283">
        <w:rPr>
          <w:rFonts w:eastAsia="Times New Roman" w:cs="Arial"/>
          <w:color w:val="auto"/>
          <w:sz w:val="20"/>
          <w:szCs w:val="20"/>
          <w:lang w:eastAsia="en-GB"/>
        </w:rPr>
        <w:t>4</w:t>
      </w:r>
      <w:r w:rsidR="001C0109" w:rsidRPr="00C37283">
        <w:rPr>
          <w:rFonts w:eastAsia="Times New Roman" w:cs="Arial"/>
          <w:color w:val="auto"/>
          <w:sz w:val="20"/>
          <w:szCs w:val="20"/>
          <w:lang w:eastAsia="en-GB"/>
        </w:rPr>
        <w:t>/1</w:t>
      </w:r>
      <w:r w:rsidR="00655EB6" w:rsidRPr="00C37283">
        <w:rPr>
          <w:rFonts w:eastAsia="Times New Roman" w:cs="Arial"/>
          <w:color w:val="auto"/>
          <w:sz w:val="20"/>
          <w:szCs w:val="20"/>
          <w:lang w:eastAsia="en-GB"/>
        </w:rPr>
        <w:t>5</w:t>
      </w:r>
      <w:r w:rsidRPr="00C37283">
        <w:rPr>
          <w:rFonts w:eastAsia="Times New Roman" w:cs="Arial"/>
          <w:color w:val="auto"/>
          <w:sz w:val="20"/>
          <w:szCs w:val="20"/>
          <w:lang w:eastAsia="en-GB"/>
        </w:rPr>
        <w:t>). The contribution rate for participants in the Scheme has been set at 14</w:t>
      </w:r>
      <w:r w:rsidR="001C0109" w:rsidRPr="00C37283">
        <w:rPr>
          <w:rFonts w:eastAsia="Times New Roman" w:cs="Arial"/>
          <w:color w:val="auto"/>
          <w:sz w:val="20"/>
          <w:szCs w:val="20"/>
          <w:lang w:eastAsia="en-GB"/>
        </w:rPr>
        <w:t>.3</w:t>
      </w:r>
      <w:r w:rsidRPr="00C37283">
        <w:rPr>
          <w:rFonts w:eastAsia="Times New Roman" w:cs="Arial"/>
          <w:color w:val="auto"/>
          <w:sz w:val="20"/>
          <w:szCs w:val="20"/>
          <w:lang w:eastAsia="en-GB"/>
        </w:rPr>
        <w:t>% of pensionable pay for 201</w:t>
      </w:r>
      <w:r w:rsidR="00655EB6" w:rsidRPr="00C37283">
        <w:rPr>
          <w:rFonts w:eastAsia="Times New Roman" w:cs="Arial"/>
          <w:color w:val="auto"/>
          <w:sz w:val="20"/>
          <w:szCs w:val="20"/>
          <w:lang w:eastAsia="en-GB"/>
        </w:rPr>
        <w:t>6</w:t>
      </w:r>
      <w:r w:rsidRPr="00C37283">
        <w:rPr>
          <w:rFonts w:eastAsia="Times New Roman" w:cs="Arial"/>
          <w:color w:val="auto"/>
          <w:sz w:val="20"/>
          <w:szCs w:val="20"/>
          <w:lang w:eastAsia="en-GB"/>
        </w:rPr>
        <w:t>/1</w:t>
      </w:r>
      <w:r w:rsidR="00655EB6" w:rsidRPr="00C37283">
        <w:rPr>
          <w:rFonts w:eastAsia="Times New Roman" w:cs="Arial"/>
          <w:color w:val="auto"/>
          <w:sz w:val="20"/>
          <w:szCs w:val="20"/>
          <w:lang w:eastAsia="en-GB"/>
        </w:rPr>
        <w:t>7</w:t>
      </w:r>
      <w:r w:rsidRPr="00C37283">
        <w:rPr>
          <w:rFonts w:eastAsia="Times New Roman" w:cs="Arial"/>
          <w:color w:val="auto"/>
          <w:sz w:val="20"/>
          <w:szCs w:val="20"/>
          <w:lang w:eastAsia="en-GB"/>
        </w:rPr>
        <w:t>. The payments for 201</w:t>
      </w:r>
      <w:r w:rsidR="00655EB6" w:rsidRPr="00C37283">
        <w:rPr>
          <w:rFonts w:eastAsia="Times New Roman" w:cs="Arial"/>
          <w:color w:val="auto"/>
          <w:sz w:val="20"/>
          <w:szCs w:val="20"/>
          <w:lang w:eastAsia="en-GB"/>
        </w:rPr>
        <w:t>6</w:t>
      </w:r>
      <w:r w:rsidRPr="00C37283">
        <w:rPr>
          <w:rFonts w:eastAsia="Times New Roman" w:cs="Arial"/>
          <w:color w:val="auto"/>
          <w:sz w:val="20"/>
          <w:szCs w:val="20"/>
          <w:lang w:eastAsia="en-GB"/>
        </w:rPr>
        <w:t>/1</w:t>
      </w:r>
      <w:r w:rsidR="00655EB6" w:rsidRPr="00C37283">
        <w:rPr>
          <w:rFonts w:eastAsia="Times New Roman" w:cs="Arial"/>
          <w:color w:val="auto"/>
          <w:sz w:val="20"/>
          <w:szCs w:val="20"/>
          <w:lang w:eastAsia="en-GB"/>
        </w:rPr>
        <w:t>7</w:t>
      </w:r>
      <w:r w:rsidRPr="00C37283">
        <w:rPr>
          <w:rFonts w:eastAsia="Times New Roman" w:cs="Arial"/>
          <w:color w:val="auto"/>
          <w:sz w:val="20"/>
          <w:szCs w:val="20"/>
          <w:lang w:eastAsia="en-GB"/>
        </w:rPr>
        <w:t xml:space="preserve"> are estimated to be </w:t>
      </w:r>
      <w:r w:rsidR="00BC50D0" w:rsidRPr="00C37283">
        <w:rPr>
          <w:rFonts w:eastAsia="Times New Roman" w:cs="Arial"/>
          <w:color w:val="auto"/>
          <w:sz w:val="20"/>
          <w:szCs w:val="20"/>
          <w:lang w:eastAsia="en-GB"/>
        </w:rPr>
        <w:t>at a similar level to 201</w:t>
      </w:r>
      <w:r w:rsidR="00655EB6" w:rsidRPr="00C37283">
        <w:rPr>
          <w:rFonts w:eastAsia="Times New Roman" w:cs="Arial"/>
          <w:color w:val="auto"/>
          <w:sz w:val="20"/>
          <w:szCs w:val="20"/>
          <w:lang w:eastAsia="en-GB"/>
        </w:rPr>
        <w:t>5</w:t>
      </w:r>
      <w:r w:rsidR="00BC50D0" w:rsidRPr="00C37283">
        <w:rPr>
          <w:rFonts w:eastAsia="Times New Roman" w:cs="Arial"/>
          <w:color w:val="auto"/>
          <w:sz w:val="20"/>
          <w:szCs w:val="20"/>
          <w:lang w:eastAsia="en-GB"/>
        </w:rPr>
        <w:t>/1</w:t>
      </w:r>
      <w:r w:rsidR="00655EB6" w:rsidRPr="00C37283">
        <w:rPr>
          <w:rFonts w:eastAsia="Times New Roman" w:cs="Arial"/>
          <w:color w:val="auto"/>
          <w:sz w:val="20"/>
          <w:szCs w:val="20"/>
          <w:lang w:eastAsia="en-GB"/>
        </w:rPr>
        <w:t>6</w:t>
      </w:r>
      <w:r w:rsidR="00BC50D0" w:rsidRPr="00C37283">
        <w:rPr>
          <w:rFonts w:eastAsia="Times New Roman" w:cs="Arial"/>
          <w:color w:val="auto"/>
          <w:sz w:val="20"/>
          <w:szCs w:val="20"/>
          <w:lang w:eastAsia="en-GB"/>
        </w:rPr>
        <w:t>.</w:t>
      </w:r>
    </w:p>
    <w:p w:rsidR="009C4A49" w:rsidRPr="00D42E0B" w:rsidRDefault="00BC50D0" w:rsidP="009C4A49">
      <w:pPr>
        <w:pStyle w:val="CodeNotesExampleHead"/>
        <w:widowControl w:val="0"/>
        <w:ind w:left="567"/>
        <w:rPr>
          <w:rFonts w:cs="Arial"/>
          <w:b w:val="0"/>
          <w:color w:val="548DD4" w:themeColor="text2" w:themeTint="99"/>
          <w:sz w:val="20"/>
          <w:szCs w:val="20"/>
          <w:u w:val="single"/>
          <w:lang w:eastAsia="en-GB"/>
        </w:rPr>
      </w:pPr>
      <w:r w:rsidRPr="00D42E0B">
        <w:rPr>
          <w:rFonts w:cs="Arial"/>
          <w:b w:val="0"/>
          <w:color w:val="548DD4" w:themeColor="text2" w:themeTint="99"/>
          <w:sz w:val="20"/>
          <w:szCs w:val="20"/>
          <w:u w:val="single"/>
          <w:lang w:eastAsia="en-GB"/>
        </w:rPr>
        <w:t xml:space="preserve"> </w:t>
      </w:r>
    </w:p>
    <w:p w:rsidR="009C4A49" w:rsidRPr="00D42E0B" w:rsidRDefault="009C4A49" w:rsidP="009C4A49">
      <w:pPr>
        <w:autoSpaceDE w:val="0"/>
        <w:autoSpaceDN w:val="0"/>
        <w:adjustRightInd w:val="0"/>
        <w:spacing w:after="0" w:line="240" w:lineRule="auto"/>
        <w:ind w:left="567"/>
        <w:rPr>
          <w:rFonts w:eastAsia="Times New Roman" w:cs="Arial"/>
          <w:color w:val="548DD4" w:themeColor="text2" w:themeTint="99"/>
          <w:sz w:val="20"/>
          <w:szCs w:val="20"/>
          <w:lang w:eastAsia="en-GB"/>
        </w:rPr>
      </w:pPr>
      <w:r w:rsidRPr="00FA2A76">
        <w:rPr>
          <w:rFonts w:eastAsia="Times New Roman" w:cs="Arial"/>
          <w:color w:val="auto"/>
          <w:sz w:val="20"/>
          <w:szCs w:val="20"/>
          <w:lang w:eastAsia="en-GB"/>
        </w:rPr>
        <w:t>The 201</w:t>
      </w:r>
      <w:r w:rsidR="00FA2A76" w:rsidRPr="00FA2A76">
        <w:rPr>
          <w:rFonts w:eastAsia="Times New Roman" w:cs="Arial"/>
          <w:color w:val="auto"/>
          <w:sz w:val="20"/>
          <w:szCs w:val="20"/>
          <w:lang w:eastAsia="en-GB"/>
        </w:rPr>
        <w:t>4</w:t>
      </w:r>
      <w:r w:rsidRPr="00FA2A76">
        <w:rPr>
          <w:rFonts w:eastAsia="Times New Roman" w:cs="Arial"/>
          <w:color w:val="auto"/>
          <w:sz w:val="20"/>
          <w:szCs w:val="20"/>
          <w:lang w:eastAsia="en-GB"/>
        </w:rPr>
        <w:t>/1</w:t>
      </w:r>
      <w:r w:rsidR="00FA2A76" w:rsidRPr="00FA2A76">
        <w:rPr>
          <w:rFonts w:eastAsia="Times New Roman" w:cs="Arial"/>
          <w:color w:val="auto"/>
          <w:sz w:val="20"/>
          <w:szCs w:val="20"/>
          <w:lang w:eastAsia="en-GB"/>
        </w:rPr>
        <w:t>5</w:t>
      </w:r>
      <w:r w:rsidRPr="00FA2A76">
        <w:rPr>
          <w:rFonts w:eastAsia="Times New Roman" w:cs="Arial"/>
          <w:color w:val="auto"/>
          <w:sz w:val="20"/>
          <w:szCs w:val="20"/>
          <w:lang w:eastAsia="en-GB"/>
        </w:rPr>
        <w:t xml:space="preserve"> accounts for the Scheme record liabilities of </w:t>
      </w:r>
      <w:r w:rsidR="004A7A36" w:rsidRPr="00FA2A76">
        <w:rPr>
          <w:rFonts w:eastAsia="Times New Roman" w:cs="Arial"/>
          <w:color w:val="auto"/>
          <w:sz w:val="20"/>
          <w:szCs w:val="20"/>
          <w:lang w:eastAsia="en-GB"/>
        </w:rPr>
        <w:t>£</w:t>
      </w:r>
      <w:r w:rsidR="00FA2A76" w:rsidRPr="00FA2A76">
        <w:rPr>
          <w:rFonts w:eastAsia="Times New Roman" w:cs="Arial"/>
          <w:color w:val="auto"/>
          <w:sz w:val="20"/>
          <w:szCs w:val="20"/>
          <w:lang w:eastAsia="en-GB"/>
        </w:rPr>
        <w:t>391</w:t>
      </w:r>
      <w:r w:rsidR="004A7A36" w:rsidRPr="00FA2A76">
        <w:rPr>
          <w:rFonts w:eastAsia="Times New Roman" w:cs="Arial"/>
          <w:color w:val="auto"/>
          <w:sz w:val="20"/>
          <w:szCs w:val="20"/>
          <w:lang w:eastAsia="en-GB"/>
        </w:rPr>
        <w:t xml:space="preserve"> billion (</w:t>
      </w:r>
      <w:r w:rsidRPr="00FA2A76">
        <w:rPr>
          <w:rFonts w:eastAsia="Times New Roman" w:cs="Arial"/>
          <w:color w:val="auto"/>
          <w:sz w:val="20"/>
          <w:szCs w:val="20"/>
          <w:lang w:eastAsia="en-GB"/>
        </w:rPr>
        <w:t>£</w:t>
      </w:r>
      <w:r w:rsidR="00FA2A76" w:rsidRPr="00FA2A76">
        <w:rPr>
          <w:rFonts w:eastAsia="Times New Roman" w:cs="Arial"/>
          <w:color w:val="auto"/>
          <w:sz w:val="20"/>
          <w:szCs w:val="20"/>
          <w:lang w:eastAsia="en-GB"/>
        </w:rPr>
        <w:t>337</w:t>
      </w:r>
      <w:r w:rsidRPr="00FA2A76">
        <w:rPr>
          <w:rFonts w:eastAsia="Times New Roman" w:cs="Arial"/>
          <w:color w:val="auto"/>
          <w:sz w:val="20"/>
          <w:szCs w:val="20"/>
          <w:lang w:eastAsia="en-GB"/>
        </w:rPr>
        <w:t xml:space="preserve"> billion</w:t>
      </w:r>
      <w:r w:rsidR="004A7A36" w:rsidRPr="00FA2A76">
        <w:rPr>
          <w:rFonts w:eastAsia="Times New Roman" w:cs="Arial"/>
          <w:color w:val="auto"/>
          <w:sz w:val="20"/>
          <w:szCs w:val="20"/>
          <w:lang w:eastAsia="en-GB"/>
        </w:rPr>
        <w:t xml:space="preserve"> 1</w:t>
      </w:r>
      <w:r w:rsidR="00FA2A76" w:rsidRPr="00FA2A76">
        <w:rPr>
          <w:rFonts w:eastAsia="Times New Roman" w:cs="Arial"/>
          <w:color w:val="auto"/>
          <w:sz w:val="20"/>
          <w:szCs w:val="20"/>
          <w:lang w:eastAsia="en-GB"/>
        </w:rPr>
        <w:t>3</w:t>
      </w:r>
      <w:r w:rsidR="004A7A36" w:rsidRPr="00FA2A76">
        <w:rPr>
          <w:rFonts w:eastAsia="Times New Roman" w:cs="Arial"/>
          <w:color w:val="auto"/>
          <w:sz w:val="20"/>
          <w:szCs w:val="20"/>
          <w:lang w:eastAsia="en-GB"/>
        </w:rPr>
        <w:t>/1</w:t>
      </w:r>
      <w:r w:rsidR="00FA2A76" w:rsidRPr="00FA2A76">
        <w:rPr>
          <w:rFonts w:eastAsia="Times New Roman" w:cs="Arial"/>
          <w:color w:val="auto"/>
          <w:sz w:val="20"/>
          <w:szCs w:val="20"/>
          <w:lang w:eastAsia="en-GB"/>
        </w:rPr>
        <w:t>4</w:t>
      </w:r>
      <w:r w:rsidR="004A7A36" w:rsidRPr="00FA2A76">
        <w:rPr>
          <w:rFonts w:eastAsia="Times New Roman" w:cs="Arial"/>
          <w:color w:val="auto"/>
          <w:sz w:val="20"/>
          <w:szCs w:val="20"/>
          <w:lang w:eastAsia="en-GB"/>
        </w:rPr>
        <w:t>)</w:t>
      </w:r>
      <w:r w:rsidRPr="00FA2A76">
        <w:rPr>
          <w:rFonts w:eastAsia="Times New Roman" w:cs="Arial"/>
          <w:color w:val="auto"/>
          <w:sz w:val="20"/>
          <w:szCs w:val="20"/>
          <w:lang w:eastAsia="en-GB"/>
        </w:rPr>
        <w:t xml:space="preserve">. [Source: </w:t>
      </w:r>
      <w:r w:rsidR="00A01662" w:rsidRPr="00FA2A76">
        <w:rPr>
          <w:rFonts w:eastAsia="Times New Roman" w:cs="Arial"/>
          <w:color w:val="auto"/>
          <w:sz w:val="20"/>
          <w:szCs w:val="20"/>
          <w:lang w:eastAsia="en-GB"/>
        </w:rPr>
        <w:t xml:space="preserve">NHS </w:t>
      </w:r>
      <w:r w:rsidRPr="00FA2A76">
        <w:rPr>
          <w:rFonts w:eastAsia="Times New Roman" w:cs="Arial"/>
          <w:color w:val="auto"/>
          <w:sz w:val="20"/>
          <w:szCs w:val="20"/>
          <w:lang w:eastAsia="en-GB"/>
        </w:rPr>
        <w:t>Pension Scheme Annual Accounts 201</w:t>
      </w:r>
      <w:r w:rsidR="00FA2A76" w:rsidRPr="00FA2A76">
        <w:rPr>
          <w:rFonts w:eastAsia="Times New Roman" w:cs="Arial"/>
          <w:color w:val="auto"/>
          <w:sz w:val="20"/>
          <w:szCs w:val="20"/>
          <w:lang w:eastAsia="en-GB"/>
        </w:rPr>
        <w:t>4</w:t>
      </w:r>
      <w:r w:rsidRPr="00FA2A76">
        <w:rPr>
          <w:rFonts w:eastAsia="Times New Roman" w:cs="Arial"/>
          <w:color w:val="auto"/>
          <w:sz w:val="20"/>
          <w:szCs w:val="20"/>
          <w:lang w:eastAsia="en-GB"/>
        </w:rPr>
        <w:t>/1</w:t>
      </w:r>
      <w:r w:rsidR="00FA2A76" w:rsidRPr="00FA2A76">
        <w:rPr>
          <w:rFonts w:eastAsia="Times New Roman" w:cs="Arial"/>
          <w:color w:val="auto"/>
          <w:sz w:val="20"/>
          <w:szCs w:val="20"/>
          <w:lang w:eastAsia="en-GB"/>
        </w:rPr>
        <w:t>5</w:t>
      </w:r>
      <w:r w:rsidRPr="00FA2A76">
        <w:rPr>
          <w:rFonts w:eastAsia="Times New Roman" w:cs="Arial"/>
          <w:color w:val="auto"/>
          <w:sz w:val="20"/>
          <w:szCs w:val="20"/>
          <w:lang w:eastAsia="en-GB"/>
        </w:rPr>
        <w:t xml:space="preserve">). However, the employers’ contribution rate is not set with reference to outstanding liabilities but the payments projected to be made out of the notional fund each </w:t>
      </w:r>
      <w:r w:rsidRPr="007F3EE6">
        <w:rPr>
          <w:rFonts w:eastAsia="Times New Roman" w:cs="Arial"/>
          <w:color w:val="auto"/>
          <w:sz w:val="20"/>
          <w:szCs w:val="20"/>
          <w:lang w:eastAsia="en-GB"/>
        </w:rPr>
        <w:t xml:space="preserve">year.  The Council is one of </w:t>
      </w:r>
      <w:r w:rsidR="004A7A36" w:rsidRPr="007F3EE6">
        <w:rPr>
          <w:rFonts w:eastAsia="Times New Roman" w:cs="Arial"/>
          <w:color w:val="auto"/>
          <w:sz w:val="20"/>
          <w:szCs w:val="20"/>
          <w:lang w:eastAsia="en-GB"/>
        </w:rPr>
        <w:t>1</w:t>
      </w:r>
      <w:r w:rsidR="007F3EE6" w:rsidRPr="007F3EE6">
        <w:rPr>
          <w:rFonts w:eastAsia="Times New Roman" w:cs="Arial"/>
          <w:color w:val="auto"/>
          <w:sz w:val="20"/>
          <w:szCs w:val="20"/>
          <w:lang w:eastAsia="en-GB"/>
        </w:rPr>
        <w:t>42</w:t>
      </w:r>
      <w:r w:rsidR="004A7A36" w:rsidRPr="007F3EE6">
        <w:rPr>
          <w:rFonts w:eastAsia="Times New Roman" w:cs="Arial"/>
          <w:color w:val="auto"/>
          <w:sz w:val="20"/>
          <w:szCs w:val="20"/>
          <w:lang w:eastAsia="en-GB"/>
        </w:rPr>
        <w:t xml:space="preserve"> </w:t>
      </w:r>
      <w:r w:rsidR="007F3EE6" w:rsidRPr="007F3EE6">
        <w:rPr>
          <w:rFonts w:eastAsia="Times New Roman" w:cs="Arial"/>
          <w:color w:val="auto"/>
          <w:sz w:val="20"/>
          <w:szCs w:val="20"/>
          <w:lang w:eastAsia="en-GB"/>
        </w:rPr>
        <w:t xml:space="preserve">(137 14/15) </w:t>
      </w:r>
      <w:r w:rsidR="000B13E5" w:rsidRPr="007F3EE6">
        <w:rPr>
          <w:rFonts w:eastAsia="Times New Roman" w:cs="Arial"/>
          <w:color w:val="auto"/>
          <w:sz w:val="20"/>
          <w:szCs w:val="20"/>
          <w:lang w:eastAsia="en-GB"/>
        </w:rPr>
        <w:t>l</w:t>
      </w:r>
      <w:r w:rsidRPr="007F3EE6">
        <w:rPr>
          <w:rFonts w:eastAsia="Times New Roman" w:cs="Arial"/>
          <w:color w:val="auto"/>
          <w:sz w:val="20"/>
          <w:szCs w:val="20"/>
          <w:lang w:eastAsia="en-GB"/>
        </w:rPr>
        <w:t xml:space="preserve">ocal authorities participating in the Scheme, amongst a total of </w:t>
      </w:r>
      <w:r w:rsidR="004A7A36" w:rsidRPr="007F3EE6">
        <w:rPr>
          <w:rFonts w:eastAsia="Times New Roman" w:cs="Arial"/>
          <w:color w:val="auto"/>
          <w:sz w:val="20"/>
          <w:szCs w:val="20"/>
          <w:lang w:eastAsia="en-GB"/>
        </w:rPr>
        <w:t>9,</w:t>
      </w:r>
      <w:r w:rsidR="007F3EE6" w:rsidRPr="007F3EE6">
        <w:rPr>
          <w:rFonts w:eastAsia="Times New Roman" w:cs="Arial"/>
          <w:color w:val="auto"/>
          <w:sz w:val="20"/>
          <w:szCs w:val="20"/>
          <w:lang w:eastAsia="en-GB"/>
        </w:rPr>
        <w:t>168</w:t>
      </w:r>
      <w:r w:rsidR="004A7A36" w:rsidRPr="007F3EE6">
        <w:rPr>
          <w:rFonts w:eastAsia="Times New Roman" w:cs="Arial"/>
          <w:color w:val="auto"/>
          <w:sz w:val="20"/>
          <w:szCs w:val="20"/>
          <w:lang w:eastAsia="en-GB"/>
        </w:rPr>
        <w:t xml:space="preserve"> employers (</w:t>
      </w:r>
      <w:r w:rsidR="000B13E5" w:rsidRPr="007F3EE6">
        <w:rPr>
          <w:rFonts w:eastAsia="Times New Roman" w:cs="Arial"/>
          <w:color w:val="auto"/>
          <w:sz w:val="20"/>
          <w:szCs w:val="20"/>
          <w:lang w:eastAsia="en-GB"/>
        </w:rPr>
        <w:t>9</w:t>
      </w:r>
      <w:r w:rsidRPr="007F3EE6">
        <w:rPr>
          <w:rFonts w:eastAsia="Times New Roman" w:cs="Arial"/>
          <w:color w:val="auto"/>
          <w:sz w:val="20"/>
          <w:szCs w:val="20"/>
          <w:lang w:eastAsia="en-GB"/>
        </w:rPr>
        <w:t>,</w:t>
      </w:r>
      <w:r w:rsidR="007F3EE6" w:rsidRPr="007F3EE6">
        <w:rPr>
          <w:rFonts w:eastAsia="Times New Roman" w:cs="Arial"/>
          <w:color w:val="auto"/>
          <w:sz w:val="20"/>
          <w:szCs w:val="20"/>
          <w:lang w:eastAsia="en-GB"/>
        </w:rPr>
        <w:t xml:space="preserve">265 </w:t>
      </w:r>
      <w:r w:rsidRPr="007F3EE6">
        <w:rPr>
          <w:rFonts w:eastAsia="Times New Roman" w:cs="Arial"/>
          <w:color w:val="auto"/>
          <w:sz w:val="20"/>
          <w:szCs w:val="20"/>
          <w:lang w:eastAsia="en-GB"/>
        </w:rPr>
        <w:t>1</w:t>
      </w:r>
      <w:r w:rsidR="007F3EE6" w:rsidRPr="007F3EE6">
        <w:rPr>
          <w:rFonts w:eastAsia="Times New Roman" w:cs="Arial"/>
          <w:color w:val="auto"/>
          <w:sz w:val="20"/>
          <w:szCs w:val="20"/>
          <w:lang w:eastAsia="en-GB"/>
        </w:rPr>
        <w:t>4</w:t>
      </w:r>
      <w:r w:rsidRPr="007F3EE6">
        <w:rPr>
          <w:rFonts w:eastAsia="Times New Roman" w:cs="Arial"/>
          <w:color w:val="auto"/>
          <w:sz w:val="20"/>
          <w:szCs w:val="20"/>
          <w:lang w:eastAsia="en-GB"/>
        </w:rPr>
        <w:t>/1</w:t>
      </w:r>
      <w:r w:rsidR="007F3EE6" w:rsidRPr="007F3EE6">
        <w:rPr>
          <w:rFonts w:eastAsia="Times New Roman" w:cs="Arial"/>
          <w:color w:val="auto"/>
          <w:sz w:val="20"/>
          <w:szCs w:val="20"/>
          <w:lang w:eastAsia="en-GB"/>
        </w:rPr>
        <w:t>5</w:t>
      </w:r>
      <w:r w:rsidR="004A7A36" w:rsidRPr="007F3EE6">
        <w:rPr>
          <w:rFonts w:eastAsia="Times New Roman" w:cs="Arial"/>
          <w:color w:val="auto"/>
          <w:sz w:val="20"/>
          <w:szCs w:val="20"/>
          <w:lang w:eastAsia="en-GB"/>
        </w:rPr>
        <w:t>)</w:t>
      </w:r>
      <w:r w:rsidRPr="007F3EE6">
        <w:rPr>
          <w:rFonts w:eastAsia="Times New Roman" w:cs="Arial"/>
          <w:color w:val="auto"/>
          <w:sz w:val="20"/>
          <w:szCs w:val="20"/>
          <w:lang w:eastAsia="en-GB"/>
        </w:rPr>
        <w:t>.</w:t>
      </w:r>
      <w:r w:rsidRPr="00D42E0B">
        <w:rPr>
          <w:rFonts w:eastAsia="Times New Roman" w:cs="Arial"/>
          <w:color w:val="548DD4" w:themeColor="text2" w:themeTint="99"/>
          <w:sz w:val="20"/>
          <w:szCs w:val="20"/>
          <w:lang w:eastAsia="en-GB"/>
        </w:rPr>
        <w:t xml:space="preserve"> </w:t>
      </w:r>
    </w:p>
    <w:p w:rsidR="00126A3F" w:rsidRPr="00D42E0B" w:rsidRDefault="00126A3F" w:rsidP="009C4A49">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4A7A36" w:rsidRPr="0021778F" w:rsidRDefault="00C555E7" w:rsidP="00E434DA">
      <w:pPr>
        <w:pStyle w:val="CodeNotesExampleHead"/>
        <w:widowControl w:val="0"/>
        <w:ind w:left="567"/>
        <w:rPr>
          <w:rFonts w:cs="Arial"/>
          <w:b w:val="0"/>
          <w:color w:val="auto"/>
          <w:sz w:val="20"/>
          <w:szCs w:val="20"/>
          <w:u w:val="single"/>
          <w:lang w:eastAsia="en-GB"/>
        </w:rPr>
      </w:pPr>
      <w:hyperlink r:id="rId46" w:history="1">
        <w:r w:rsidR="00AF71CA" w:rsidRPr="0021778F">
          <w:rPr>
            <w:rFonts w:cs="Arial"/>
            <w:b w:val="0"/>
            <w:color w:val="auto"/>
            <w:sz w:val="20"/>
            <w:szCs w:val="20"/>
            <w:u w:val="single"/>
            <w:lang w:eastAsia="en-GB"/>
          </w:rPr>
          <w:t>http://www.nhsbsa.nhs.uk/Documents/Pensions/Resource_Accounts_2014-2015.pdf</w:t>
        </w:r>
      </w:hyperlink>
    </w:p>
    <w:p w:rsidR="0021778F" w:rsidRPr="0021778F" w:rsidRDefault="0021778F" w:rsidP="00E434DA">
      <w:pPr>
        <w:pStyle w:val="CodeNotesExampleHead"/>
        <w:widowControl w:val="0"/>
        <w:ind w:left="567"/>
        <w:rPr>
          <w:rFonts w:cs="Arial"/>
          <w:b w:val="0"/>
          <w:color w:val="auto"/>
          <w:sz w:val="20"/>
          <w:szCs w:val="20"/>
          <w:lang w:eastAsia="en-GB"/>
        </w:rPr>
      </w:pPr>
    </w:p>
    <w:p w:rsidR="00922D1C" w:rsidRPr="00785848" w:rsidRDefault="005C68D8" w:rsidP="00922D1C">
      <w:pPr>
        <w:pStyle w:val="Subtitle"/>
        <w:ind w:left="567" w:hanging="567"/>
        <w:rPr>
          <w:b/>
          <w:color w:val="auto"/>
          <w:sz w:val="22"/>
          <w:szCs w:val="22"/>
        </w:rPr>
      </w:pPr>
      <w:r w:rsidRPr="00785848">
        <w:rPr>
          <w:b/>
          <w:color w:val="auto"/>
          <w:sz w:val="22"/>
          <w:szCs w:val="22"/>
        </w:rPr>
        <w:t>3</w:t>
      </w:r>
      <w:r w:rsidR="00445BB9" w:rsidRPr="00785848">
        <w:rPr>
          <w:b/>
          <w:color w:val="auto"/>
          <w:sz w:val="22"/>
          <w:szCs w:val="22"/>
        </w:rPr>
        <w:t>8</w:t>
      </w:r>
      <w:r w:rsidR="00E51139" w:rsidRPr="00785848">
        <w:rPr>
          <w:b/>
          <w:color w:val="auto"/>
          <w:sz w:val="22"/>
          <w:szCs w:val="22"/>
        </w:rPr>
        <w:t>.</w:t>
      </w:r>
      <w:r w:rsidR="00E51139" w:rsidRPr="00785848">
        <w:rPr>
          <w:b/>
          <w:color w:val="auto"/>
          <w:sz w:val="22"/>
          <w:szCs w:val="22"/>
        </w:rPr>
        <w:tab/>
        <w:t>Defined Benefit Pension Schemes</w:t>
      </w:r>
    </w:p>
    <w:p w:rsidR="00B2507D" w:rsidRPr="00785848" w:rsidRDefault="00B2507D" w:rsidP="003C5E34">
      <w:pPr>
        <w:pStyle w:val="ExampleSub"/>
        <w:keepNext w:val="0"/>
        <w:keepLines w:val="0"/>
        <w:spacing w:before="0" w:line="240" w:lineRule="auto"/>
        <w:rPr>
          <w:rFonts w:ascii="Arial" w:hAnsi="Arial" w:cs="Arial"/>
          <w:bCs w:val="0"/>
          <w:color w:val="auto"/>
          <w:sz w:val="20"/>
          <w:szCs w:val="20"/>
          <w:u w:val="single"/>
        </w:rPr>
      </w:pPr>
      <w:r w:rsidRPr="00785848">
        <w:rPr>
          <w:rFonts w:ascii="Arial" w:hAnsi="Arial" w:cs="Arial"/>
          <w:bCs w:val="0"/>
          <w:color w:val="auto"/>
          <w:sz w:val="20"/>
          <w:szCs w:val="20"/>
          <w:u w:val="single"/>
        </w:rPr>
        <w:t>Local Government Pension Scheme</w:t>
      </w:r>
    </w:p>
    <w:p w:rsidR="00B2507D" w:rsidRPr="00785848" w:rsidRDefault="00B2507D" w:rsidP="003C5E34">
      <w:pPr>
        <w:pStyle w:val="ExampleSub"/>
        <w:keepNext w:val="0"/>
        <w:keepLines w:val="0"/>
        <w:spacing w:before="0" w:line="240" w:lineRule="auto"/>
        <w:rPr>
          <w:rFonts w:ascii="Arial" w:hAnsi="Arial" w:cs="Arial"/>
          <w:b w:val="0"/>
          <w:bCs w:val="0"/>
          <w:color w:val="auto"/>
          <w:sz w:val="20"/>
          <w:szCs w:val="20"/>
        </w:rPr>
      </w:pPr>
    </w:p>
    <w:p w:rsidR="00E92D0F" w:rsidRPr="00785848" w:rsidRDefault="005C68D8" w:rsidP="005C68D8">
      <w:pPr>
        <w:autoSpaceDE w:val="0"/>
        <w:autoSpaceDN w:val="0"/>
        <w:adjustRightInd w:val="0"/>
        <w:spacing w:after="0" w:line="240" w:lineRule="auto"/>
        <w:rPr>
          <w:rFonts w:eastAsia="Times New Roman"/>
          <w:b/>
          <w:color w:val="auto"/>
        </w:rPr>
      </w:pPr>
      <w:r w:rsidRPr="00785848">
        <w:rPr>
          <w:rFonts w:eastAsia="Times New Roman"/>
          <w:b/>
          <w:color w:val="auto"/>
        </w:rPr>
        <w:t>3</w:t>
      </w:r>
      <w:r w:rsidR="00445BB9" w:rsidRPr="00785848">
        <w:rPr>
          <w:rFonts w:eastAsia="Times New Roman"/>
          <w:b/>
          <w:color w:val="auto"/>
        </w:rPr>
        <w:t>8</w:t>
      </w:r>
      <w:r w:rsidRPr="00785848">
        <w:rPr>
          <w:rFonts w:eastAsia="Times New Roman"/>
          <w:b/>
          <w:color w:val="auto"/>
        </w:rPr>
        <w:t>.1</w:t>
      </w:r>
      <w:r w:rsidR="00445BB9" w:rsidRPr="00785848">
        <w:rPr>
          <w:rFonts w:eastAsia="Times New Roman"/>
          <w:b/>
          <w:color w:val="auto"/>
        </w:rPr>
        <w:t xml:space="preserve">   </w:t>
      </w:r>
      <w:r w:rsidR="00E92D0F" w:rsidRPr="00785848">
        <w:rPr>
          <w:rFonts w:eastAsia="Times New Roman"/>
          <w:b/>
          <w:color w:val="auto"/>
        </w:rPr>
        <w:t xml:space="preserve">Characteristics of Defined Benefit Plans and Associated Risks </w:t>
      </w:r>
    </w:p>
    <w:p w:rsidR="00E92D0F" w:rsidRPr="00785848" w:rsidRDefault="00E92D0F" w:rsidP="00E92D0F">
      <w:pPr>
        <w:pStyle w:val="ListParagraph"/>
        <w:autoSpaceDE w:val="0"/>
        <w:autoSpaceDN w:val="0"/>
        <w:adjustRightInd w:val="0"/>
        <w:spacing w:after="0" w:line="240" w:lineRule="auto"/>
        <w:ind w:left="1440"/>
        <w:rPr>
          <w:rFonts w:cs="Arial"/>
          <w:color w:val="auto"/>
          <w:sz w:val="36"/>
          <w:szCs w:val="36"/>
          <w:lang w:eastAsia="en-GB"/>
        </w:rPr>
      </w:pPr>
    </w:p>
    <w:p w:rsidR="00EC5B47" w:rsidRPr="00785848" w:rsidRDefault="00EC5B47" w:rsidP="00445BB9">
      <w:pPr>
        <w:autoSpaceDE w:val="0"/>
        <w:autoSpaceDN w:val="0"/>
        <w:adjustRightInd w:val="0"/>
        <w:spacing w:after="0" w:line="240" w:lineRule="auto"/>
        <w:ind w:left="567"/>
        <w:rPr>
          <w:rFonts w:eastAsia="Times New Roman" w:cs="Arial"/>
          <w:color w:val="auto"/>
          <w:sz w:val="20"/>
          <w:szCs w:val="20"/>
          <w:lang w:eastAsia="en-GB"/>
        </w:rPr>
      </w:pPr>
      <w:r w:rsidRPr="00785848">
        <w:rPr>
          <w:rFonts w:eastAsia="Times New Roman" w:cs="Arial"/>
          <w:color w:val="auto"/>
          <w:sz w:val="20"/>
          <w:szCs w:val="20"/>
          <w:lang w:eastAsia="en-GB"/>
        </w:rPr>
        <w:t xml:space="preserve">Employees of the Council are eligible to join the Local Government Pension Scheme (LGPS), which rewards years of service with rights to retirement lump sums and pensions based on final salaries. </w:t>
      </w:r>
    </w:p>
    <w:p w:rsidR="00EC5B47" w:rsidRPr="00785848" w:rsidRDefault="00EC5B47" w:rsidP="00445BB9">
      <w:pPr>
        <w:autoSpaceDE w:val="0"/>
        <w:autoSpaceDN w:val="0"/>
        <w:adjustRightInd w:val="0"/>
        <w:spacing w:after="0" w:line="240" w:lineRule="auto"/>
        <w:ind w:left="567"/>
        <w:rPr>
          <w:rFonts w:eastAsia="Times New Roman" w:cs="Arial"/>
          <w:color w:val="auto"/>
          <w:sz w:val="20"/>
          <w:szCs w:val="20"/>
          <w:lang w:eastAsia="en-GB"/>
        </w:rPr>
      </w:pPr>
    </w:p>
    <w:p w:rsidR="00E92D0F" w:rsidRPr="00785848" w:rsidRDefault="00E92D0F" w:rsidP="00445BB9">
      <w:pPr>
        <w:autoSpaceDE w:val="0"/>
        <w:autoSpaceDN w:val="0"/>
        <w:adjustRightInd w:val="0"/>
        <w:spacing w:after="0" w:line="240" w:lineRule="auto"/>
        <w:ind w:left="567"/>
        <w:rPr>
          <w:rFonts w:eastAsia="Times New Roman" w:cs="Arial"/>
          <w:color w:val="auto"/>
          <w:sz w:val="20"/>
          <w:szCs w:val="20"/>
          <w:lang w:eastAsia="en-GB"/>
        </w:rPr>
      </w:pPr>
      <w:r w:rsidRPr="00785848">
        <w:rPr>
          <w:rFonts w:eastAsia="Times New Roman" w:cs="Arial"/>
          <w:color w:val="auto"/>
          <w:sz w:val="20"/>
          <w:szCs w:val="20"/>
          <w:lang w:eastAsia="en-GB"/>
        </w:rPr>
        <w:t>The LGPS is a defined benefit statutory scheme administered in accordance with the Local Government Pension Scheme Regulations 201</w:t>
      </w:r>
      <w:r w:rsidR="00785848">
        <w:rPr>
          <w:rFonts w:eastAsia="Times New Roman" w:cs="Arial"/>
          <w:color w:val="auto"/>
          <w:sz w:val="20"/>
          <w:szCs w:val="20"/>
          <w:lang w:eastAsia="en-GB"/>
        </w:rPr>
        <w:t>3</w:t>
      </w:r>
      <w:r w:rsidRPr="00785848">
        <w:rPr>
          <w:rFonts w:eastAsia="Times New Roman" w:cs="Arial"/>
          <w:color w:val="auto"/>
          <w:sz w:val="20"/>
          <w:szCs w:val="20"/>
          <w:lang w:eastAsia="en-GB"/>
        </w:rPr>
        <w:t xml:space="preserve">, is contracted out of the State Second Pension and </w:t>
      </w:r>
      <w:r w:rsidR="007271D9" w:rsidRPr="00785848">
        <w:rPr>
          <w:rFonts w:eastAsia="Times New Roman" w:cs="Arial"/>
          <w:color w:val="auto"/>
          <w:sz w:val="20"/>
          <w:szCs w:val="20"/>
          <w:lang w:eastAsia="en-GB"/>
        </w:rPr>
        <w:t xml:space="preserve">currently provides </w:t>
      </w:r>
      <w:r w:rsidRPr="00785848">
        <w:rPr>
          <w:rFonts w:eastAsia="Times New Roman" w:cs="Arial"/>
          <w:color w:val="auto"/>
          <w:sz w:val="20"/>
          <w:szCs w:val="20"/>
          <w:lang w:eastAsia="en-GB"/>
        </w:rPr>
        <w:t xml:space="preserve">benefits </w:t>
      </w:r>
      <w:r w:rsidR="007271D9" w:rsidRPr="00785848">
        <w:rPr>
          <w:rFonts w:eastAsia="Times New Roman" w:cs="Arial"/>
          <w:color w:val="auto"/>
          <w:sz w:val="20"/>
          <w:szCs w:val="20"/>
          <w:lang w:eastAsia="en-GB"/>
        </w:rPr>
        <w:t>b</w:t>
      </w:r>
      <w:r w:rsidRPr="00785848">
        <w:rPr>
          <w:rFonts w:eastAsia="Times New Roman" w:cs="Arial"/>
          <w:color w:val="auto"/>
          <w:sz w:val="20"/>
          <w:szCs w:val="20"/>
          <w:lang w:eastAsia="en-GB"/>
        </w:rPr>
        <w:t>ased on career average revalued salary</w:t>
      </w:r>
      <w:r w:rsidR="007271D9" w:rsidRPr="00785848">
        <w:rPr>
          <w:rFonts w:eastAsia="Times New Roman" w:cs="Arial"/>
          <w:color w:val="auto"/>
          <w:sz w:val="20"/>
          <w:szCs w:val="20"/>
          <w:lang w:eastAsia="en-GB"/>
        </w:rPr>
        <w:t xml:space="preserve"> and length of service on retirement</w:t>
      </w:r>
      <w:r w:rsidRPr="00785848">
        <w:rPr>
          <w:rFonts w:eastAsia="Times New Roman" w:cs="Arial"/>
          <w:color w:val="auto"/>
          <w:sz w:val="20"/>
          <w:szCs w:val="20"/>
          <w:lang w:eastAsia="en-GB"/>
        </w:rPr>
        <w:t>, with various protections in place for those members in the scheme before the changes t</w:t>
      </w:r>
      <w:r w:rsidR="0021452D" w:rsidRPr="00785848">
        <w:rPr>
          <w:rFonts w:eastAsia="Times New Roman" w:cs="Arial"/>
          <w:color w:val="auto"/>
          <w:sz w:val="20"/>
          <w:szCs w:val="20"/>
          <w:lang w:eastAsia="en-GB"/>
        </w:rPr>
        <w:t>ook</w:t>
      </w:r>
      <w:r w:rsidRPr="00785848">
        <w:rPr>
          <w:rFonts w:eastAsia="Times New Roman" w:cs="Arial"/>
          <w:color w:val="auto"/>
          <w:sz w:val="20"/>
          <w:szCs w:val="20"/>
          <w:lang w:eastAsia="en-GB"/>
        </w:rPr>
        <w:t xml:space="preserve"> effect. </w:t>
      </w:r>
    </w:p>
    <w:p w:rsidR="00E92D0F" w:rsidRPr="00785848" w:rsidRDefault="00E92D0F" w:rsidP="00445BB9">
      <w:pPr>
        <w:autoSpaceDE w:val="0"/>
        <w:autoSpaceDN w:val="0"/>
        <w:adjustRightInd w:val="0"/>
        <w:spacing w:after="0" w:line="240" w:lineRule="auto"/>
        <w:ind w:left="567"/>
        <w:rPr>
          <w:rFonts w:eastAsia="Times New Roman" w:cs="Arial"/>
          <w:color w:val="auto"/>
          <w:sz w:val="20"/>
          <w:szCs w:val="20"/>
          <w:lang w:eastAsia="en-GB"/>
        </w:rPr>
      </w:pPr>
    </w:p>
    <w:p w:rsidR="00EC5B47" w:rsidRPr="00785848" w:rsidRDefault="00E92D0F" w:rsidP="00445BB9">
      <w:pPr>
        <w:autoSpaceDE w:val="0"/>
        <w:autoSpaceDN w:val="0"/>
        <w:adjustRightInd w:val="0"/>
        <w:spacing w:after="0" w:line="240" w:lineRule="auto"/>
        <w:ind w:left="567"/>
        <w:rPr>
          <w:rFonts w:eastAsia="Times New Roman" w:cs="Arial"/>
          <w:color w:val="auto"/>
          <w:sz w:val="20"/>
          <w:szCs w:val="20"/>
          <w:lang w:eastAsia="en-GB"/>
        </w:rPr>
      </w:pPr>
      <w:r w:rsidRPr="00785848">
        <w:rPr>
          <w:rFonts w:eastAsia="Times New Roman" w:cs="Arial"/>
          <w:color w:val="auto"/>
          <w:sz w:val="20"/>
          <w:szCs w:val="20"/>
          <w:lang w:eastAsia="en-GB"/>
        </w:rPr>
        <w:t xml:space="preserve">The Administering Authority for the Fund is Devon County Council. The Pension Fund Committee oversees the management of the Fund whilst the day to day fund administration is undertaken by a team within the Administering Authority. Where appropriate some functions are delegated to the Fund’s professional advisers. </w:t>
      </w:r>
      <w:r w:rsidR="00EC5B47" w:rsidRPr="00785848">
        <w:rPr>
          <w:rFonts w:eastAsia="Times New Roman" w:cs="Arial"/>
          <w:color w:val="auto"/>
          <w:sz w:val="20"/>
          <w:szCs w:val="20"/>
          <w:lang w:eastAsia="en-GB"/>
        </w:rPr>
        <w:t>Details on the s</w:t>
      </w:r>
      <w:r w:rsidR="001C7629" w:rsidRPr="00785848">
        <w:rPr>
          <w:rFonts w:eastAsia="Times New Roman" w:cs="Arial"/>
          <w:color w:val="auto"/>
          <w:sz w:val="20"/>
          <w:szCs w:val="20"/>
          <w:lang w:eastAsia="en-GB"/>
        </w:rPr>
        <w:t>c</w:t>
      </w:r>
      <w:r w:rsidR="00EC5B47" w:rsidRPr="00785848">
        <w:rPr>
          <w:rFonts w:eastAsia="Times New Roman" w:cs="Arial"/>
          <w:color w:val="auto"/>
          <w:sz w:val="20"/>
          <w:szCs w:val="20"/>
          <w:lang w:eastAsia="en-GB"/>
        </w:rPr>
        <w:t xml:space="preserve">heme are on the website for Peninsula Pensions. </w:t>
      </w:r>
    </w:p>
    <w:p w:rsidR="00EC5B47" w:rsidRPr="00D42E0B" w:rsidRDefault="00EC5B47" w:rsidP="00445BB9">
      <w:pPr>
        <w:pStyle w:val="ExampleSub"/>
        <w:keepNext w:val="0"/>
        <w:keepLines w:val="0"/>
        <w:spacing w:before="0" w:line="240" w:lineRule="auto"/>
        <w:rPr>
          <w:rFonts w:ascii="Arial" w:hAnsi="Arial" w:cs="Arial"/>
          <w:b w:val="0"/>
          <w:bCs w:val="0"/>
          <w:color w:val="548DD4" w:themeColor="text2" w:themeTint="99"/>
          <w:sz w:val="20"/>
          <w:szCs w:val="20"/>
          <w:lang w:eastAsia="en-US"/>
        </w:rPr>
      </w:pPr>
    </w:p>
    <w:p w:rsidR="00EC5B47" w:rsidRPr="00AF5E8E" w:rsidRDefault="00C555E7" w:rsidP="00445BB9">
      <w:pPr>
        <w:pStyle w:val="ExampleSub"/>
        <w:keepNext w:val="0"/>
        <w:keepLines w:val="0"/>
        <w:spacing w:before="0" w:line="240" w:lineRule="auto"/>
        <w:rPr>
          <w:color w:val="auto"/>
        </w:rPr>
      </w:pPr>
      <w:hyperlink r:id="rId47" w:history="1">
        <w:r w:rsidR="00EC5B47" w:rsidRPr="00AF5E8E">
          <w:rPr>
            <w:rStyle w:val="Hyperlink"/>
            <w:rFonts w:ascii="Arial" w:hAnsi="Arial" w:cs="Arial"/>
            <w:b w:val="0"/>
            <w:bCs w:val="0"/>
            <w:color w:val="auto"/>
            <w:sz w:val="20"/>
            <w:szCs w:val="20"/>
            <w:lang w:eastAsia="en-US"/>
          </w:rPr>
          <w:t>http://www.peninsulapensions.org.uk/lgps/pension-fund-investments/devon-county-council-investments/annual-reports-and-accounts-archive/</w:t>
        </w:r>
      </w:hyperlink>
    </w:p>
    <w:p w:rsidR="00EC5B47" w:rsidRPr="00AF5E8E" w:rsidRDefault="00EC5B47" w:rsidP="00445BB9">
      <w:pPr>
        <w:autoSpaceDE w:val="0"/>
        <w:autoSpaceDN w:val="0"/>
        <w:adjustRightInd w:val="0"/>
        <w:spacing w:after="0" w:line="240" w:lineRule="auto"/>
        <w:ind w:left="567"/>
        <w:rPr>
          <w:rFonts w:eastAsia="Times New Roman" w:cs="Arial"/>
          <w:color w:val="auto"/>
          <w:sz w:val="20"/>
          <w:szCs w:val="20"/>
          <w:lang w:eastAsia="en-GB"/>
        </w:rPr>
      </w:pPr>
    </w:p>
    <w:p w:rsidR="00E92D0F" w:rsidRPr="00AF5E8E" w:rsidRDefault="00E92D0F" w:rsidP="00445BB9">
      <w:pPr>
        <w:autoSpaceDE w:val="0"/>
        <w:autoSpaceDN w:val="0"/>
        <w:adjustRightInd w:val="0"/>
        <w:spacing w:after="0" w:line="240" w:lineRule="auto"/>
        <w:ind w:left="567"/>
        <w:rPr>
          <w:rFonts w:eastAsia="Times New Roman" w:cs="Arial"/>
          <w:color w:val="auto"/>
          <w:sz w:val="20"/>
          <w:szCs w:val="20"/>
          <w:lang w:eastAsia="en-GB"/>
        </w:rPr>
      </w:pPr>
      <w:r w:rsidRPr="00AF5E8E">
        <w:rPr>
          <w:rFonts w:eastAsia="Times New Roman" w:cs="Arial"/>
          <w:color w:val="auto"/>
          <w:sz w:val="20"/>
          <w:szCs w:val="20"/>
          <w:lang w:eastAsia="en-GB"/>
        </w:rPr>
        <w:t xml:space="preserve">As </w:t>
      </w:r>
      <w:r w:rsidR="00E10EFA">
        <w:rPr>
          <w:rFonts w:eastAsia="Times New Roman" w:cs="Arial"/>
          <w:color w:val="auto"/>
          <w:sz w:val="20"/>
          <w:szCs w:val="20"/>
          <w:lang w:eastAsia="en-GB"/>
        </w:rPr>
        <w:t>a</w:t>
      </w:r>
      <w:r w:rsidRPr="00AF5E8E">
        <w:rPr>
          <w:rFonts w:eastAsia="Times New Roman" w:cs="Arial"/>
          <w:color w:val="auto"/>
          <w:sz w:val="20"/>
          <w:szCs w:val="20"/>
          <w:lang w:eastAsia="en-GB"/>
        </w:rPr>
        <w:t xml:space="preserve">dministering Authority to the Fund, Devon County Council, after consultation with the Fund Actuary and other relevant parties, is responsible for the preparation and maintenance of the Funding Strategy Statement and the Statement of Investment Principles. </w:t>
      </w:r>
    </w:p>
    <w:p w:rsidR="00544735" w:rsidRPr="00AF5E8E" w:rsidRDefault="00544735" w:rsidP="00445BB9">
      <w:pPr>
        <w:autoSpaceDE w:val="0"/>
        <w:autoSpaceDN w:val="0"/>
        <w:adjustRightInd w:val="0"/>
        <w:spacing w:after="0" w:line="240" w:lineRule="auto"/>
        <w:ind w:left="567"/>
        <w:rPr>
          <w:rFonts w:eastAsia="Times New Roman" w:cs="Arial"/>
          <w:color w:val="auto"/>
          <w:sz w:val="20"/>
          <w:szCs w:val="20"/>
          <w:lang w:eastAsia="en-GB"/>
        </w:rPr>
      </w:pPr>
    </w:p>
    <w:p w:rsidR="00544735" w:rsidRPr="00AF5E8E" w:rsidRDefault="00544735" w:rsidP="00445BB9">
      <w:pPr>
        <w:autoSpaceDE w:val="0"/>
        <w:autoSpaceDN w:val="0"/>
        <w:adjustRightInd w:val="0"/>
        <w:spacing w:after="0" w:line="240" w:lineRule="auto"/>
        <w:ind w:left="567"/>
        <w:rPr>
          <w:rFonts w:eastAsia="Times New Roman" w:cs="Arial"/>
          <w:color w:val="auto"/>
          <w:sz w:val="20"/>
          <w:szCs w:val="20"/>
          <w:lang w:eastAsia="en-GB"/>
        </w:rPr>
      </w:pPr>
      <w:r w:rsidRPr="00AF5E8E">
        <w:rPr>
          <w:rFonts w:eastAsia="Times New Roman" w:cs="Arial"/>
          <w:color w:val="auto"/>
          <w:sz w:val="20"/>
          <w:szCs w:val="20"/>
          <w:lang w:eastAsia="en-GB"/>
        </w:rPr>
        <w:t>The appointed actuary to the pension fund is Barnett Waddingham</w:t>
      </w:r>
      <w:r w:rsidR="0003393C" w:rsidRPr="00AF5E8E">
        <w:rPr>
          <w:rFonts w:eastAsia="Times New Roman" w:cs="Arial"/>
          <w:color w:val="auto"/>
          <w:sz w:val="20"/>
          <w:szCs w:val="20"/>
          <w:lang w:eastAsia="en-GB"/>
        </w:rPr>
        <w:t xml:space="preserve"> “the actuary”</w:t>
      </w:r>
      <w:r w:rsidRPr="00AF5E8E">
        <w:rPr>
          <w:rFonts w:eastAsia="Times New Roman" w:cs="Arial"/>
          <w:color w:val="auto"/>
          <w:sz w:val="20"/>
          <w:szCs w:val="20"/>
          <w:lang w:eastAsia="en-GB"/>
        </w:rPr>
        <w:t xml:space="preserve">, who </w:t>
      </w:r>
      <w:r w:rsidR="007E33E1" w:rsidRPr="00AF5E8E">
        <w:rPr>
          <w:rFonts w:eastAsia="Times New Roman" w:cs="Arial"/>
          <w:color w:val="auto"/>
          <w:sz w:val="20"/>
          <w:szCs w:val="20"/>
          <w:lang w:eastAsia="en-GB"/>
        </w:rPr>
        <w:t>provides</w:t>
      </w:r>
      <w:r w:rsidRPr="00AF5E8E">
        <w:rPr>
          <w:rFonts w:eastAsia="Times New Roman" w:cs="Arial"/>
          <w:color w:val="auto"/>
          <w:sz w:val="20"/>
          <w:szCs w:val="20"/>
          <w:lang w:eastAsia="en-GB"/>
        </w:rPr>
        <w:t xml:space="preserve"> the pension </w:t>
      </w:r>
      <w:r w:rsidR="007E33E1" w:rsidRPr="00AF5E8E">
        <w:rPr>
          <w:rFonts w:eastAsia="Times New Roman" w:cs="Arial"/>
          <w:color w:val="auto"/>
          <w:sz w:val="20"/>
          <w:szCs w:val="20"/>
          <w:lang w:eastAsia="en-GB"/>
        </w:rPr>
        <w:t>calculations</w:t>
      </w:r>
      <w:r w:rsidRPr="00AF5E8E">
        <w:rPr>
          <w:rFonts w:eastAsia="Times New Roman" w:cs="Arial"/>
          <w:color w:val="auto"/>
          <w:sz w:val="20"/>
          <w:szCs w:val="20"/>
          <w:lang w:eastAsia="en-GB"/>
        </w:rPr>
        <w:t xml:space="preserve"> used</w:t>
      </w:r>
      <w:r w:rsidR="00C20B4A" w:rsidRPr="00AF5E8E">
        <w:rPr>
          <w:rFonts w:eastAsia="Times New Roman" w:cs="Arial"/>
          <w:color w:val="auto"/>
          <w:sz w:val="20"/>
          <w:szCs w:val="20"/>
          <w:lang w:eastAsia="en-GB"/>
        </w:rPr>
        <w:t xml:space="preserve"> </w:t>
      </w:r>
      <w:r w:rsidRPr="00AF5E8E">
        <w:rPr>
          <w:rFonts w:eastAsia="Times New Roman" w:cs="Arial"/>
          <w:color w:val="auto"/>
          <w:sz w:val="20"/>
          <w:szCs w:val="20"/>
          <w:lang w:eastAsia="en-GB"/>
        </w:rPr>
        <w:t>in these accounts.</w:t>
      </w:r>
    </w:p>
    <w:p w:rsidR="00E92D0F" w:rsidRPr="00AF5E8E" w:rsidRDefault="005F6518" w:rsidP="00445BB9">
      <w:pPr>
        <w:autoSpaceDE w:val="0"/>
        <w:autoSpaceDN w:val="0"/>
        <w:adjustRightInd w:val="0"/>
        <w:spacing w:after="0" w:line="240" w:lineRule="auto"/>
        <w:ind w:left="567"/>
        <w:rPr>
          <w:rFonts w:eastAsia="Times New Roman" w:cs="Arial"/>
          <w:color w:val="auto"/>
          <w:sz w:val="20"/>
          <w:szCs w:val="20"/>
          <w:lang w:eastAsia="en-GB"/>
        </w:rPr>
      </w:pPr>
      <w:r w:rsidRPr="00AF5E8E">
        <w:rPr>
          <w:rFonts w:eastAsia="Times New Roman" w:cs="Arial"/>
          <w:color w:val="auto"/>
          <w:sz w:val="20"/>
          <w:szCs w:val="20"/>
          <w:lang w:eastAsia="en-GB"/>
        </w:rPr>
        <w:tab/>
      </w:r>
      <w:r w:rsidRPr="00AF5E8E">
        <w:rPr>
          <w:rFonts w:eastAsia="Times New Roman" w:cs="Arial"/>
          <w:color w:val="auto"/>
          <w:sz w:val="20"/>
          <w:szCs w:val="20"/>
          <w:lang w:eastAsia="en-GB"/>
        </w:rPr>
        <w:tab/>
      </w:r>
    </w:p>
    <w:p w:rsidR="005F6518" w:rsidRPr="00AF5E8E" w:rsidRDefault="005F6518" w:rsidP="00445BB9">
      <w:pPr>
        <w:autoSpaceDE w:val="0"/>
        <w:autoSpaceDN w:val="0"/>
        <w:adjustRightInd w:val="0"/>
        <w:spacing w:after="0" w:line="240" w:lineRule="auto"/>
        <w:ind w:left="567" w:firstLine="3"/>
        <w:rPr>
          <w:rFonts w:eastAsia="Times New Roman" w:cs="Arial"/>
          <w:color w:val="auto"/>
          <w:sz w:val="20"/>
          <w:szCs w:val="20"/>
        </w:rPr>
      </w:pPr>
      <w:r w:rsidRPr="00AF5E8E">
        <w:rPr>
          <w:rFonts w:eastAsia="Times New Roman" w:cs="Arial"/>
          <w:color w:val="auto"/>
          <w:sz w:val="20"/>
          <w:szCs w:val="20"/>
        </w:rPr>
        <w:t xml:space="preserve">The Local Government Pension Scheme is required to have an actuarial valuation every three years. This valuation will set a rate for employer’s contributions for the next three years so as to secure the pension fund’s solvency, together with any other amounts necessary to recover the deficit built up on the fund. </w:t>
      </w:r>
    </w:p>
    <w:p w:rsidR="005F6518" w:rsidRPr="00D42E0B" w:rsidRDefault="005F6518" w:rsidP="00445BB9">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E92D0F" w:rsidRPr="00AF5E8E" w:rsidRDefault="00E92D0F" w:rsidP="00445BB9">
      <w:pPr>
        <w:autoSpaceDE w:val="0"/>
        <w:autoSpaceDN w:val="0"/>
        <w:adjustRightInd w:val="0"/>
        <w:spacing w:after="0" w:line="240" w:lineRule="auto"/>
        <w:ind w:left="567"/>
        <w:rPr>
          <w:rFonts w:eastAsia="Times New Roman" w:cs="Arial"/>
          <w:color w:val="auto"/>
          <w:sz w:val="20"/>
          <w:szCs w:val="20"/>
          <w:lang w:eastAsia="en-GB"/>
        </w:rPr>
      </w:pPr>
      <w:r w:rsidRPr="00AF5E8E">
        <w:rPr>
          <w:rFonts w:eastAsia="Times New Roman" w:cs="Arial"/>
          <w:color w:val="auto"/>
          <w:sz w:val="20"/>
          <w:szCs w:val="20"/>
          <w:lang w:eastAsia="en-GB"/>
        </w:rPr>
        <w:t xml:space="preserve">Contributions are set every 3 years as a result of the actuarial valuation of the Fund required by the Regulations. The next actuarial valuation of the Fund will be carried out as at 31 March 2016 and will set contributions for the period from 1 April 2017 to 31 March 2020. There are no minimum funding requirements in the LGPS but the contributions are generally set to target a funding level of 100% using the actuarial valuation assumptions. </w:t>
      </w:r>
    </w:p>
    <w:p w:rsidR="00E92D0F" w:rsidRPr="00D42E0B" w:rsidRDefault="00E92D0F" w:rsidP="00445BB9">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421333" w:rsidRPr="002B5473" w:rsidRDefault="00421333" w:rsidP="00445BB9">
      <w:pPr>
        <w:pStyle w:val="CodeNotesExampleText"/>
        <w:widowControl w:val="0"/>
        <w:ind w:left="567"/>
        <w:rPr>
          <w:rFonts w:cs="Arial"/>
          <w:color w:val="auto"/>
          <w:sz w:val="20"/>
          <w:szCs w:val="20"/>
        </w:rPr>
      </w:pPr>
      <w:r w:rsidRPr="002B5473">
        <w:rPr>
          <w:rFonts w:cs="Arial"/>
          <w:color w:val="auto"/>
          <w:sz w:val="20"/>
          <w:szCs w:val="20"/>
        </w:rPr>
        <w:t xml:space="preserve">The latest actuarial valuation was prepared as at 31 March 2013. </w:t>
      </w:r>
      <w:r w:rsidR="00EE359A" w:rsidRPr="002B5473">
        <w:rPr>
          <w:rFonts w:cs="Arial"/>
          <w:color w:val="auto"/>
          <w:sz w:val="20"/>
          <w:szCs w:val="20"/>
        </w:rPr>
        <w:t xml:space="preserve">The objectives of the scheme are to keep employer’s contributions at as a constant a rate as possible. The </w:t>
      </w:r>
      <w:r w:rsidR="007E33E1" w:rsidRPr="002B5473">
        <w:rPr>
          <w:rFonts w:cs="Arial"/>
          <w:color w:val="auto"/>
          <w:sz w:val="20"/>
          <w:szCs w:val="20"/>
        </w:rPr>
        <w:t>agreed contribution</w:t>
      </w:r>
      <w:r w:rsidR="00EE359A" w:rsidRPr="002B5473">
        <w:rPr>
          <w:rFonts w:cs="Arial"/>
          <w:color w:val="auto"/>
          <w:sz w:val="20"/>
          <w:szCs w:val="20"/>
        </w:rPr>
        <w:t xml:space="preserve"> rates should result in a 100% funding level over the medium term. </w:t>
      </w:r>
      <w:r w:rsidRPr="002B5473">
        <w:rPr>
          <w:rFonts w:cs="Arial"/>
          <w:color w:val="auto"/>
          <w:sz w:val="20"/>
          <w:szCs w:val="20"/>
        </w:rPr>
        <w:t>This set a contribution rate for the Council of 13.1% of pensionable pay for 2014/15</w:t>
      </w:r>
      <w:r w:rsidR="000D524F" w:rsidRPr="002B5473">
        <w:rPr>
          <w:rFonts w:cs="Arial"/>
          <w:color w:val="auto"/>
          <w:sz w:val="20"/>
          <w:szCs w:val="20"/>
        </w:rPr>
        <w:t>, 2015/16 and 2016/1</w:t>
      </w:r>
      <w:r w:rsidR="0067211B" w:rsidRPr="002B5473">
        <w:rPr>
          <w:rFonts w:cs="Arial"/>
          <w:color w:val="auto"/>
          <w:sz w:val="20"/>
          <w:szCs w:val="20"/>
        </w:rPr>
        <w:t>7</w:t>
      </w:r>
      <w:r w:rsidRPr="002B5473">
        <w:rPr>
          <w:rFonts w:cs="Arial"/>
          <w:color w:val="auto"/>
          <w:sz w:val="20"/>
          <w:szCs w:val="20"/>
        </w:rPr>
        <w:t>, budgeted to result in a payment of around £</w:t>
      </w:r>
      <w:r w:rsidR="002B5473">
        <w:rPr>
          <w:rFonts w:cs="Arial"/>
          <w:color w:val="auto"/>
          <w:sz w:val="20"/>
          <w:szCs w:val="20"/>
        </w:rPr>
        <w:t>3.5</w:t>
      </w:r>
      <w:r w:rsidRPr="002B5473">
        <w:rPr>
          <w:rFonts w:cs="Arial"/>
          <w:color w:val="auto"/>
          <w:sz w:val="20"/>
          <w:szCs w:val="20"/>
        </w:rPr>
        <w:t xml:space="preserve">m </w:t>
      </w:r>
      <w:r w:rsidR="00D3232F" w:rsidRPr="002B5473">
        <w:rPr>
          <w:rFonts w:cs="Arial"/>
          <w:color w:val="auto"/>
          <w:sz w:val="20"/>
          <w:szCs w:val="20"/>
        </w:rPr>
        <w:t xml:space="preserve">per annum </w:t>
      </w:r>
      <w:r w:rsidRPr="002B5473">
        <w:rPr>
          <w:rFonts w:cs="Arial"/>
          <w:color w:val="auto"/>
          <w:sz w:val="20"/>
          <w:szCs w:val="20"/>
        </w:rPr>
        <w:t xml:space="preserve">to the Fund. </w:t>
      </w:r>
      <w:r w:rsidR="009F6FF9" w:rsidRPr="002B5473">
        <w:rPr>
          <w:rFonts w:cs="Arial"/>
          <w:color w:val="auto"/>
          <w:sz w:val="20"/>
          <w:szCs w:val="20"/>
        </w:rPr>
        <w:t>A</w:t>
      </w:r>
      <w:r w:rsidRPr="002B5473">
        <w:rPr>
          <w:rFonts w:cs="Arial"/>
          <w:color w:val="auto"/>
          <w:sz w:val="20"/>
          <w:szCs w:val="20"/>
        </w:rPr>
        <w:t xml:space="preserve">dditional </w:t>
      </w:r>
      <w:r w:rsidR="00241A79" w:rsidRPr="002B5473">
        <w:rPr>
          <w:rFonts w:cs="Arial"/>
          <w:color w:val="auto"/>
          <w:sz w:val="20"/>
          <w:szCs w:val="20"/>
        </w:rPr>
        <w:t xml:space="preserve">fixed cash </w:t>
      </w:r>
      <w:r w:rsidRPr="002B5473">
        <w:rPr>
          <w:rFonts w:cs="Arial"/>
          <w:color w:val="auto"/>
          <w:sz w:val="20"/>
          <w:szCs w:val="20"/>
        </w:rPr>
        <w:t>payment</w:t>
      </w:r>
      <w:r w:rsidR="009F6FF9" w:rsidRPr="002B5473">
        <w:rPr>
          <w:rFonts w:cs="Arial"/>
          <w:color w:val="auto"/>
          <w:sz w:val="20"/>
          <w:szCs w:val="20"/>
        </w:rPr>
        <w:t>s</w:t>
      </w:r>
      <w:r w:rsidRPr="002B5473">
        <w:rPr>
          <w:rFonts w:cs="Arial"/>
          <w:color w:val="auto"/>
          <w:sz w:val="20"/>
          <w:szCs w:val="20"/>
        </w:rPr>
        <w:t xml:space="preserve"> of £1.8m </w:t>
      </w:r>
      <w:r w:rsidR="00257DF7" w:rsidRPr="002B5473">
        <w:rPr>
          <w:rFonts w:cs="Arial"/>
          <w:color w:val="auto"/>
          <w:sz w:val="20"/>
          <w:szCs w:val="20"/>
        </w:rPr>
        <w:t xml:space="preserve">per annum </w:t>
      </w:r>
      <w:r w:rsidR="007274F8" w:rsidRPr="002B5473">
        <w:rPr>
          <w:rFonts w:cs="Arial"/>
          <w:color w:val="auto"/>
          <w:sz w:val="20"/>
          <w:szCs w:val="20"/>
        </w:rPr>
        <w:t xml:space="preserve">(equal to 5.5%) </w:t>
      </w:r>
      <w:r w:rsidR="00257DF7" w:rsidRPr="002B5473">
        <w:rPr>
          <w:rFonts w:cs="Arial"/>
          <w:color w:val="auto"/>
          <w:sz w:val="20"/>
          <w:szCs w:val="20"/>
        </w:rPr>
        <w:t>are</w:t>
      </w:r>
      <w:r w:rsidRPr="002B5473">
        <w:rPr>
          <w:rFonts w:cs="Arial"/>
          <w:color w:val="auto"/>
          <w:sz w:val="20"/>
          <w:szCs w:val="20"/>
        </w:rPr>
        <w:t xml:space="preserve"> also payable as a contribution towards the deficit on the fund.</w:t>
      </w:r>
    </w:p>
    <w:p w:rsidR="005F6518" w:rsidRPr="00655EB6" w:rsidRDefault="005F6518" w:rsidP="00445BB9">
      <w:pPr>
        <w:pStyle w:val="CodeNotesExampleText"/>
        <w:widowControl w:val="0"/>
        <w:ind w:left="567"/>
        <w:rPr>
          <w:rFonts w:cs="Arial"/>
          <w:color w:val="auto"/>
          <w:sz w:val="20"/>
          <w:szCs w:val="20"/>
        </w:rPr>
      </w:pPr>
    </w:p>
    <w:p w:rsidR="00B85361" w:rsidRPr="00D42E0B" w:rsidRDefault="00B85361" w:rsidP="00445BB9">
      <w:pPr>
        <w:pStyle w:val="CodeNotesExampleText"/>
        <w:widowControl w:val="0"/>
        <w:ind w:left="567"/>
        <w:rPr>
          <w:rFonts w:cs="Arial"/>
          <w:color w:val="548DD4" w:themeColor="text2" w:themeTint="99"/>
          <w:sz w:val="20"/>
          <w:szCs w:val="20"/>
        </w:rPr>
      </w:pPr>
      <w:r w:rsidRPr="00655EB6">
        <w:rPr>
          <w:rFonts w:cs="Arial"/>
          <w:color w:val="auto"/>
          <w:sz w:val="20"/>
          <w:szCs w:val="20"/>
        </w:rPr>
        <w:t>The maturity profile of Torba</w:t>
      </w:r>
      <w:r w:rsidRPr="00687B9A">
        <w:rPr>
          <w:rFonts w:cs="Arial"/>
          <w:color w:val="auto"/>
          <w:sz w:val="20"/>
          <w:szCs w:val="20"/>
        </w:rPr>
        <w:t xml:space="preserve">y members is an average age of 46 </w:t>
      </w:r>
      <w:r w:rsidR="006420BC" w:rsidRPr="00687B9A">
        <w:rPr>
          <w:rFonts w:cs="Arial"/>
          <w:color w:val="auto"/>
          <w:sz w:val="20"/>
          <w:szCs w:val="20"/>
        </w:rPr>
        <w:t>(46 1</w:t>
      </w:r>
      <w:r w:rsidR="00655EB6" w:rsidRPr="00687B9A">
        <w:rPr>
          <w:rFonts w:cs="Arial"/>
          <w:color w:val="auto"/>
          <w:sz w:val="20"/>
          <w:szCs w:val="20"/>
        </w:rPr>
        <w:t>4</w:t>
      </w:r>
      <w:r w:rsidR="006420BC" w:rsidRPr="00687B9A">
        <w:rPr>
          <w:rFonts w:cs="Arial"/>
          <w:color w:val="auto"/>
          <w:sz w:val="20"/>
          <w:szCs w:val="20"/>
        </w:rPr>
        <w:t>/1</w:t>
      </w:r>
      <w:r w:rsidR="00655EB6" w:rsidRPr="00687B9A">
        <w:rPr>
          <w:rFonts w:cs="Arial"/>
          <w:color w:val="auto"/>
          <w:sz w:val="20"/>
          <w:szCs w:val="20"/>
        </w:rPr>
        <w:t>5</w:t>
      </w:r>
      <w:r w:rsidR="006420BC" w:rsidRPr="00687B9A">
        <w:rPr>
          <w:rFonts w:cs="Arial"/>
          <w:color w:val="auto"/>
          <w:sz w:val="20"/>
          <w:szCs w:val="20"/>
        </w:rPr>
        <w:t xml:space="preserve">) </w:t>
      </w:r>
      <w:r w:rsidRPr="00687B9A">
        <w:rPr>
          <w:rFonts w:cs="Arial"/>
          <w:color w:val="auto"/>
          <w:sz w:val="20"/>
          <w:szCs w:val="20"/>
        </w:rPr>
        <w:t>years for active members and deferred pensioners, 69</w:t>
      </w:r>
      <w:r w:rsidR="006420BC" w:rsidRPr="00687B9A">
        <w:rPr>
          <w:rFonts w:cs="Arial"/>
          <w:color w:val="auto"/>
          <w:sz w:val="20"/>
          <w:szCs w:val="20"/>
        </w:rPr>
        <w:t xml:space="preserve"> (69 1</w:t>
      </w:r>
      <w:r w:rsidR="00655EB6" w:rsidRPr="00687B9A">
        <w:rPr>
          <w:rFonts w:cs="Arial"/>
          <w:color w:val="auto"/>
          <w:sz w:val="20"/>
          <w:szCs w:val="20"/>
        </w:rPr>
        <w:t>4</w:t>
      </w:r>
      <w:r w:rsidR="006420BC" w:rsidRPr="00687B9A">
        <w:rPr>
          <w:rFonts w:cs="Arial"/>
          <w:color w:val="auto"/>
          <w:sz w:val="20"/>
          <w:szCs w:val="20"/>
        </w:rPr>
        <w:t>/1</w:t>
      </w:r>
      <w:r w:rsidR="00655EB6" w:rsidRPr="00687B9A">
        <w:rPr>
          <w:rFonts w:cs="Arial"/>
          <w:color w:val="auto"/>
          <w:sz w:val="20"/>
          <w:szCs w:val="20"/>
        </w:rPr>
        <w:t>5</w:t>
      </w:r>
      <w:r w:rsidR="006420BC" w:rsidRPr="00687B9A">
        <w:rPr>
          <w:rFonts w:cs="Arial"/>
          <w:color w:val="auto"/>
          <w:sz w:val="20"/>
          <w:szCs w:val="20"/>
        </w:rPr>
        <w:t xml:space="preserve">) </w:t>
      </w:r>
      <w:r w:rsidRPr="00687B9A">
        <w:rPr>
          <w:rFonts w:cs="Arial"/>
          <w:color w:val="auto"/>
          <w:sz w:val="20"/>
          <w:szCs w:val="20"/>
        </w:rPr>
        <w:t>years for pensioners and 7</w:t>
      </w:r>
      <w:r w:rsidR="006420BC" w:rsidRPr="00687B9A">
        <w:rPr>
          <w:rFonts w:cs="Arial"/>
          <w:color w:val="auto"/>
          <w:sz w:val="20"/>
          <w:szCs w:val="20"/>
        </w:rPr>
        <w:t>6</w:t>
      </w:r>
      <w:r w:rsidRPr="00687B9A">
        <w:rPr>
          <w:rFonts w:cs="Arial"/>
          <w:color w:val="auto"/>
          <w:sz w:val="20"/>
          <w:szCs w:val="20"/>
        </w:rPr>
        <w:t xml:space="preserve"> </w:t>
      </w:r>
      <w:r w:rsidR="006420BC" w:rsidRPr="00687B9A">
        <w:rPr>
          <w:rFonts w:cs="Arial"/>
          <w:color w:val="auto"/>
          <w:sz w:val="20"/>
          <w:szCs w:val="20"/>
        </w:rPr>
        <w:t>(7</w:t>
      </w:r>
      <w:r w:rsidR="00655EB6" w:rsidRPr="00687B9A">
        <w:rPr>
          <w:rFonts w:cs="Arial"/>
          <w:color w:val="auto"/>
          <w:sz w:val="20"/>
          <w:szCs w:val="20"/>
        </w:rPr>
        <w:t>6</w:t>
      </w:r>
      <w:r w:rsidR="006420BC" w:rsidRPr="00687B9A">
        <w:rPr>
          <w:rFonts w:cs="Arial"/>
          <w:color w:val="auto"/>
          <w:sz w:val="20"/>
          <w:szCs w:val="20"/>
        </w:rPr>
        <w:t xml:space="preserve"> 1</w:t>
      </w:r>
      <w:r w:rsidR="00655EB6" w:rsidRPr="00687B9A">
        <w:rPr>
          <w:rFonts w:cs="Arial"/>
          <w:color w:val="auto"/>
          <w:sz w:val="20"/>
          <w:szCs w:val="20"/>
        </w:rPr>
        <w:t>4</w:t>
      </w:r>
      <w:r w:rsidR="006420BC" w:rsidRPr="00687B9A">
        <w:rPr>
          <w:rFonts w:cs="Arial"/>
          <w:color w:val="auto"/>
          <w:sz w:val="20"/>
          <w:szCs w:val="20"/>
        </w:rPr>
        <w:t>/1</w:t>
      </w:r>
      <w:r w:rsidR="00655EB6" w:rsidRPr="00687B9A">
        <w:rPr>
          <w:rFonts w:cs="Arial"/>
          <w:color w:val="auto"/>
          <w:sz w:val="20"/>
          <w:szCs w:val="20"/>
        </w:rPr>
        <w:t>5</w:t>
      </w:r>
      <w:r w:rsidR="006420BC" w:rsidRPr="00687B9A">
        <w:rPr>
          <w:rFonts w:cs="Arial"/>
          <w:color w:val="auto"/>
          <w:sz w:val="20"/>
          <w:szCs w:val="20"/>
        </w:rPr>
        <w:t xml:space="preserve">) </w:t>
      </w:r>
      <w:r w:rsidRPr="00687B9A">
        <w:rPr>
          <w:rFonts w:cs="Arial"/>
          <w:color w:val="auto"/>
          <w:sz w:val="20"/>
          <w:szCs w:val="20"/>
        </w:rPr>
        <w:t>years for unfunded pensioners.</w:t>
      </w:r>
    </w:p>
    <w:p w:rsidR="00B85361" w:rsidRPr="00D42E0B" w:rsidRDefault="00B85361" w:rsidP="00445BB9">
      <w:pPr>
        <w:pStyle w:val="CodeNotesExampleText"/>
        <w:widowControl w:val="0"/>
        <w:ind w:left="567"/>
        <w:rPr>
          <w:rFonts w:cs="Arial"/>
          <w:color w:val="548DD4" w:themeColor="text2" w:themeTint="99"/>
          <w:sz w:val="20"/>
          <w:szCs w:val="20"/>
        </w:rPr>
      </w:pPr>
    </w:p>
    <w:p w:rsidR="00E92D0F" w:rsidRPr="00687B9A" w:rsidRDefault="00E92D0F" w:rsidP="00445BB9">
      <w:pPr>
        <w:autoSpaceDE w:val="0"/>
        <w:autoSpaceDN w:val="0"/>
        <w:adjustRightInd w:val="0"/>
        <w:spacing w:after="0" w:line="240" w:lineRule="auto"/>
        <w:ind w:left="567"/>
        <w:rPr>
          <w:rFonts w:eastAsia="Times New Roman" w:cs="Arial"/>
          <w:color w:val="auto"/>
          <w:sz w:val="20"/>
          <w:szCs w:val="20"/>
          <w:lang w:eastAsia="en-GB"/>
        </w:rPr>
      </w:pPr>
      <w:r w:rsidRPr="00687B9A">
        <w:rPr>
          <w:rFonts w:eastAsia="Times New Roman" w:cs="Arial"/>
          <w:color w:val="auto"/>
          <w:sz w:val="20"/>
          <w:szCs w:val="20"/>
          <w:lang w:eastAsia="en-GB"/>
        </w:rPr>
        <w:t xml:space="preserve">On the Employer’s withdrawal from the plan, a cessation valuation will be carried out in accordance with Regulation 64 of the LGPS Regulations 2013 which will determine the termination contribution due by the Employer, on a set of assumptions deemed appropriate by the Fund Actuary. </w:t>
      </w:r>
    </w:p>
    <w:p w:rsidR="00E92D0F" w:rsidRPr="00D42E0B" w:rsidRDefault="00E92D0F" w:rsidP="00445BB9">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E92D0F" w:rsidRPr="00E10EFA" w:rsidRDefault="00E92D0F" w:rsidP="00445BB9">
      <w:pPr>
        <w:autoSpaceDE w:val="0"/>
        <w:autoSpaceDN w:val="0"/>
        <w:adjustRightInd w:val="0"/>
        <w:spacing w:after="0" w:line="240" w:lineRule="auto"/>
        <w:ind w:left="567"/>
        <w:rPr>
          <w:rFonts w:eastAsia="Times New Roman" w:cs="Arial"/>
          <w:color w:val="auto"/>
          <w:sz w:val="20"/>
          <w:szCs w:val="20"/>
          <w:lang w:eastAsia="en-GB"/>
        </w:rPr>
      </w:pPr>
      <w:r w:rsidRPr="00E10EFA">
        <w:rPr>
          <w:rFonts w:eastAsia="Times New Roman" w:cs="Arial"/>
          <w:color w:val="auto"/>
          <w:sz w:val="20"/>
          <w:szCs w:val="20"/>
          <w:lang w:eastAsia="en-GB"/>
        </w:rPr>
        <w:t xml:space="preserve">In general, participating in a defined benefit pension scheme means that the Employer is exposed to a number of risks: </w:t>
      </w:r>
    </w:p>
    <w:p w:rsidR="008E1260" w:rsidRPr="00E10EFA" w:rsidRDefault="008E1260" w:rsidP="00E92D0F">
      <w:pPr>
        <w:autoSpaceDE w:val="0"/>
        <w:autoSpaceDN w:val="0"/>
        <w:adjustRightInd w:val="0"/>
        <w:spacing w:after="0" w:line="240" w:lineRule="auto"/>
        <w:ind w:left="720"/>
        <w:rPr>
          <w:rFonts w:eastAsia="Times New Roman" w:cs="Arial"/>
          <w:color w:val="auto"/>
          <w:sz w:val="20"/>
          <w:szCs w:val="20"/>
          <w:lang w:eastAsia="en-GB"/>
        </w:rPr>
      </w:pPr>
    </w:p>
    <w:p w:rsidR="00E92D0F" w:rsidRPr="00E10EFA" w:rsidRDefault="00E92D0F" w:rsidP="004978D1">
      <w:pPr>
        <w:pStyle w:val="ListParagraph"/>
        <w:numPr>
          <w:ilvl w:val="0"/>
          <w:numId w:val="6"/>
        </w:numPr>
        <w:autoSpaceDE w:val="0"/>
        <w:autoSpaceDN w:val="0"/>
        <w:adjustRightInd w:val="0"/>
        <w:spacing w:after="224" w:line="240" w:lineRule="auto"/>
        <w:rPr>
          <w:rFonts w:eastAsia="Times New Roman" w:cs="Arial"/>
          <w:color w:val="auto"/>
          <w:sz w:val="20"/>
          <w:szCs w:val="20"/>
          <w:lang w:eastAsia="en-GB"/>
        </w:rPr>
      </w:pPr>
      <w:r w:rsidRPr="00E10EFA">
        <w:rPr>
          <w:rFonts w:eastAsia="Times New Roman" w:cs="Arial"/>
          <w:color w:val="auto"/>
          <w:sz w:val="20"/>
          <w:szCs w:val="20"/>
          <w:lang w:eastAsia="en-GB"/>
        </w:rPr>
        <w:t xml:space="preserve">Investment risk. The Fund holds investment in asset classes, such as equities, which have volatile market values and while these assets are expected to provide real returns over the long-term, the short-term volatility can cause additional funding to be required if a deficit emerges. </w:t>
      </w:r>
    </w:p>
    <w:p w:rsidR="00E92D0F" w:rsidRPr="00E10EFA" w:rsidRDefault="00E92D0F" w:rsidP="004978D1">
      <w:pPr>
        <w:pStyle w:val="ListParagraph"/>
        <w:numPr>
          <w:ilvl w:val="0"/>
          <w:numId w:val="6"/>
        </w:numPr>
        <w:autoSpaceDE w:val="0"/>
        <w:autoSpaceDN w:val="0"/>
        <w:adjustRightInd w:val="0"/>
        <w:spacing w:after="224" w:line="240" w:lineRule="auto"/>
        <w:rPr>
          <w:rFonts w:eastAsia="Times New Roman" w:cs="Arial"/>
          <w:color w:val="auto"/>
          <w:sz w:val="20"/>
          <w:szCs w:val="20"/>
          <w:lang w:eastAsia="en-GB"/>
        </w:rPr>
      </w:pPr>
      <w:r w:rsidRPr="00E10EFA">
        <w:rPr>
          <w:rFonts w:eastAsia="Times New Roman" w:cs="Arial"/>
          <w:color w:val="auto"/>
          <w:sz w:val="20"/>
          <w:szCs w:val="20"/>
          <w:lang w:eastAsia="en-GB"/>
        </w:rPr>
        <w:t xml:space="preserve">Interest rate risk. The Fund’s liabilities are assessed using market yields on high quality corporate bonds to discount the liabilities. As the Fund holds assets such as equities the value of the assets and liabilities may not move in the same way. </w:t>
      </w:r>
    </w:p>
    <w:p w:rsidR="00E92D0F" w:rsidRPr="00E10EFA" w:rsidRDefault="00E92D0F" w:rsidP="004978D1">
      <w:pPr>
        <w:pStyle w:val="ListParagraph"/>
        <w:numPr>
          <w:ilvl w:val="0"/>
          <w:numId w:val="6"/>
        </w:numPr>
        <w:autoSpaceDE w:val="0"/>
        <w:autoSpaceDN w:val="0"/>
        <w:adjustRightInd w:val="0"/>
        <w:spacing w:after="224" w:line="240" w:lineRule="auto"/>
        <w:rPr>
          <w:rFonts w:eastAsia="Times New Roman" w:cs="Arial"/>
          <w:color w:val="auto"/>
          <w:sz w:val="20"/>
          <w:szCs w:val="20"/>
          <w:lang w:eastAsia="en-GB"/>
        </w:rPr>
      </w:pPr>
      <w:r w:rsidRPr="00E10EFA">
        <w:rPr>
          <w:rFonts w:eastAsia="Times New Roman" w:cs="Arial"/>
          <w:color w:val="auto"/>
          <w:sz w:val="20"/>
          <w:szCs w:val="20"/>
          <w:lang w:eastAsia="en-GB"/>
        </w:rPr>
        <w:t xml:space="preserve">Inflation risk. All of the benefits under the Fund are linked to inflation and so deficits may emerge to the extent that the assets are not linked to inflation. </w:t>
      </w:r>
    </w:p>
    <w:p w:rsidR="00E92D0F" w:rsidRPr="00E10EFA" w:rsidRDefault="00E92D0F" w:rsidP="004978D1">
      <w:pPr>
        <w:pStyle w:val="ListParagraph"/>
        <w:numPr>
          <w:ilvl w:val="0"/>
          <w:numId w:val="6"/>
        </w:numPr>
        <w:autoSpaceDE w:val="0"/>
        <w:autoSpaceDN w:val="0"/>
        <w:adjustRightInd w:val="0"/>
        <w:spacing w:after="0" w:line="240" w:lineRule="auto"/>
        <w:rPr>
          <w:rFonts w:eastAsia="Times New Roman" w:cs="Arial"/>
          <w:color w:val="auto"/>
          <w:sz w:val="20"/>
          <w:szCs w:val="20"/>
          <w:lang w:eastAsia="en-GB"/>
        </w:rPr>
      </w:pPr>
      <w:r w:rsidRPr="00E10EFA">
        <w:rPr>
          <w:rFonts w:eastAsia="Times New Roman" w:cs="Arial"/>
          <w:color w:val="auto"/>
          <w:sz w:val="20"/>
          <w:szCs w:val="20"/>
          <w:lang w:eastAsia="en-GB"/>
        </w:rPr>
        <w:t xml:space="preserve">Longevity risk. In the event that the members live longer than assumed a deficit will emerge in the Fund. There are also other demographic risks. </w:t>
      </w:r>
    </w:p>
    <w:p w:rsidR="00E92D0F" w:rsidRPr="00D42E0B" w:rsidRDefault="00E92D0F" w:rsidP="00445BB9">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E92D0F" w:rsidRPr="0060076D" w:rsidRDefault="00E92D0F" w:rsidP="00445BB9">
      <w:pPr>
        <w:autoSpaceDE w:val="0"/>
        <w:autoSpaceDN w:val="0"/>
        <w:adjustRightInd w:val="0"/>
        <w:spacing w:after="0" w:line="240" w:lineRule="auto"/>
        <w:ind w:left="567"/>
        <w:rPr>
          <w:rFonts w:eastAsia="Times New Roman" w:cs="Arial"/>
          <w:color w:val="auto"/>
          <w:sz w:val="20"/>
          <w:szCs w:val="20"/>
          <w:lang w:eastAsia="en-GB"/>
        </w:rPr>
      </w:pPr>
      <w:r w:rsidRPr="0060076D">
        <w:rPr>
          <w:rFonts w:eastAsia="Times New Roman" w:cs="Arial"/>
          <w:color w:val="auto"/>
          <w:sz w:val="20"/>
          <w:szCs w:val="20"/>
          <w:lang w:eastAsia="en-GB"/>
        </w:rPr>
        <w:t xml:space="preserve">In addition, as many unrelated employers participate in the Devon County Council Pension Fund, there is an orphan liability risk where employers leave the Fund but with insufficient assets to cover their pension obligations so that the difference may fall on the remaining employers. </w:t>
      </w:r>
    </w:p>
    <w:p w:rsidR="00E92D0F" w:rsidRPr="0060076D" w:rsidRDefault="00E92D0F" w:rsidP="00445BB9">
      <w:pPr>
        <w:autoSpaceDE w:val="0"/>
        <w:autoSpaceDN w:val="0"/>
        <w:adjustRightInd w:val="0"/>
        <w:spacing w:after="0" w:line="240" w:lineRule="auto"/>
        <w:ind w:left="567"/>
        <w:rPr>
          <w:rFonts w:eastAsia="Times New Roman" w:cs="Arial"/>
          <w:color w:val="auto"/>
          <w:sz w:val="20"/>
          <w:szCs w:val="20"/>
          <w:lang w:eastAsia="en-GB"/>
        </w:rPr>
      </w:pPr>
    </w:p>
    <w:p w:rsidR="009924E5" w:rsidRPr="0060076D" w:rsidRDefault="00E92D0F" w:rsidP="00445BB9">
      <w:pPr>
        <w:pStyle w:val="ExampleSub"/>
        <w:keepNext w:val="0"/>
        <w:keepLines w:val="0"/>
        <w:spacing w:before="0" w:line="240" w:lineRule="auto"/>
        <w:rPr>
          <w:rFonts w:ascii="Arial" w:hAnsi="Arial" w:cs="Arial"/>
          <w:b w:val="0"/>
          <w:bCs w:val="0"/>
          <w:color w:val="auto"/>
          <w:sz w:val="20"/>
          <w:szCs w:val="20"/>
        </w:rPr>
      </w:pPr>
      <w:r w:rsidRPr="0060076D">
        <w:rPr>
          <w:rFonts w:ascii="Arial" w:hAnsi="Arial" w:cs="Arial"/>
          <w:b w:val="0"/>
          <w:bCs w:val="0"/>
          <w:color w:val="auto"/>
          <w:sz w:val="20"/>
          <w:szCs w:val="20"/>
        </w:rPr>
        <w:lastRenderedPageBreak/>
        <w:t>All of the risks above may also benefit the Employer e.g. higher than expected investment returns or employers leaving the Fund with excess assets which eventually get inherited by the remaining employers.</w:t>
      </w:r>
    </w:p>
    <w:p w:rsidR="0025163D" w:rsidRPr="00D42E0B" w:rsidRDefault="0025163D" w:rsidP="00445BB9">
      <w:pPr>
        <w:pStyle w:val="ExampleSub"/>
        <w:keepNext w:val="0"/>
        <w:keepLines w:val="0"/>
        <w:spacing w:before="0" w:line="240" w:lineRule="auto"/>
        <w:rPr>
          <w:rFonts w:ascii="Arial" w:hAnsi="Arial" w:cs="Arial"/>
          <w:b w:val="0"/>
          <w:bCs w:val="0"/>
          <w:color w:val="548DD4" w:themeColor="text2" w:themeTint="99"/>
          <w:sz w:val="20"/>
          <w:szCs w:val="20"/>
        </w:rPr>
      </w:pPr>
    </w:p>
    <w:p w:rsidR="0025163D" w:rsidRPr="007F7BD1" w:rsidRDefault="0025163D" w:rsidP="00445BB9">
      <w:pPr>
        <w:autoSpaceDE w:val="0"/>
        <w:autoSpaceDN w:val="0"/>
        <w:adjustRightInd w:val="0"/>
        <w:spacing w:after="0" w:line="240" w:lineRule="auto"/>
        <w:ind w:left="567"/>
        <w:rPr>
          <w:rFonts w:cs="Arial"/>
          <w:b/>
          <w:bCs/>
          <w:color w:val="auto"/>
          <w:sz w:val="20"/>
          <w:szCs w:val="20"/>
        </w:rPr>
      </w:pPr>
      <w:r w:rsidRPr="007F7BD1">
        <w:rPr>
          <w:rFonts w:eastAsia="Times New Roman" w:cs="Arial"/>
          <w:color w:val="auto"/>
          <w:sz w:val="20"/>
          <w:szCs w:val="20"/>
          <w:lang w:eastAsia="en-GB"/>
        </w:rPr>
        <w:t>In 201</w:t>
      </w:r>
      <w:r w:rsidR="007F7BD1" w:rsidRPr="007F7BD1">
        <w:rPr>
          <w:rFonts w:eastAsia="Times New Roman" w:cs="Arial"/>
          <w:color w:val="auto"/>
          <w:sz w:val="20"/>
          <w:szCs w:val="20"/>
          <w:lang w:eastAsia="en-GB"/>
        </w:rPr>
        <w:t>5</w:t>
      </w:r>
      <w:r w:rsidRPr="007F7BD1">
        <w:rPr>
          <w:rFonts w:eastAsia="Times New Roman" w:cs="Arial"/>
          <w:color w:val="auto"/>
          <w:sz w:val="20"/>
          <w:szCs w:val="20"/>
          <w:lang w:eastAsia="en-GB"/>
        </w:rPr>
        <w:t>/1</w:t>
      </w:r>
      <w:r w:rsidR="007F7BD1" w:rsidRPr="007F7BD1">
        <w:rPr>
          <w:rFonts w:eastAsia="Times New Roman" w:cs="Arial"/>
          <w:color w:val="auto"/>
          <w:sz w:val="20"/>
          <w:szCs w:val="20"/>
          <w:lang w:eastAsia="en-GB"/>
        </w:rPr>
        <w:t>6</w:t>
      </w:r>
      <w:r w:rsidRPr="007F7BD1">
        <w:rPr>
          <w:rFonts w:eastAsia="Times New Roman" w:cs="Arial"/>
          <w:color w:val="auto"/>
          <w:sz w:val="20"/>
          <w:szCs w:val="20"/>
          <w:lang w:eastAsia="en-GB"/>
        </w:rPr>
        <w:t xml:space="preserve"> there were a number of settlements within the fund resulting from staff transfers with a net gain </w:t>
      </w:r>
      <w:r w:rsidRPr="0060076D">
        <w:rPr>
          <w:rFonts w:eastAsia="Times New Roman" w:cs="Arial"/>
          <w:color w:val="auto"/>
          <w:sz w:val="20"/>
          <w:szCs w:val="20"/>
          <w:lang w:eastAsia="en-GB"/>
        </w:rPr>
        <w:t>of £</w:t>
      </w:r>
      <w:r w:rsidR="00D22A35" w:rsidRPr="0060076D">
        <w:rPr>
          <w:rFonts w:eastAsia="Times New Roman" w:cs="Arial"/>
          <w:color w:val="auto"/>
          <w:sz w:val="20"/>
          <w:szCs w:val="20"/>
          <w:lang w:eastAsia="en-GB"/>
        </w:rPr>
        <w:t>1.</w:t>
      </w:r>
      <w:r w:rsidR="0060076D" w:rsidRPr="0060076D">
        <w:rPr>
          <w:rFonts w:eastAsia="Times New Roman" w:cs="Arial"/>
          <w:color w:val="auto"/>
          <w:sz w:val="20"/>
          <w:szCs w:val="20"/>
          <w:lang w:eastAsia="en-GB"/>
        </w:rPr>
        <w:t>5</w:t>
      </w:r>
      <w:r w:rsidRPr="0060076D">
        <w:rPr>
          <w:rFonts w:eastAsia="Times New Roman" w:cs="Arial"/>
          <w:color w:val="auto"/>
          <w:sz w:val="20"/>
          <w:szCs w:val="20"/>
          <w:lang w:eastAsia="en-GB"/>
        </w:rPr>
        <w:t>m,</w:t>
      </w:r>
      <w:r w:rsidRPr="00D42E0B">
        <w:rPr>
          <w:rFonts w:eastAsia="Times New Roman" w:cs="Arial"/>
          <w:color w:val="548DD4" w:themeColor="text2" w:themeTint="99"/>
          <w:sz w:val="20"/>
          <w:szCs w:val="20"/>
          <w:lang w:eastAsia="en-GB"/>
        </w:rPr>
        <w:t xml:space="preserve"> </w:t>
      </w:r>
      <w:r w:rsidRPr="007F7BD1">
        <w:rPr>
          <w:rFonts w:eastAsia="Times New Roman" w:cs="Arial"/>
          <w:color w:val="auto"/>
          <w:sz w:val="20"/>
          <w:szCs w:val="20"/>
          <w:lang w:eastAsia="en-GB"/>
        </w:rPr>
        <w:t>(£</w:t>
      </w:r>
      <w:r w:rsidR="007F7BD1" w:rsidRPr="007F7BD1">
        <w:rPr>
          <w:rFonts w:eastAsia="Times New Roman" w:cs="Arial"/>
          <w:color w:val="auto"/>
          <w:sz w:val="20"/>
          <w:szCs w:val="20"/>
          <w:lang w:eastAsia="en-GB"/>
        </w:rPr>
        <w:t>1.2m</w:t>
      </w:r>
      <w:r w:rsidRPr="007F7BD1">
        <w:rPr>
          <w:rFonts w:eastAsia="Times New Roman" w:cs="Arial"/>
          <w:color w:val="auto"/>
          <w:sz w:val="20"/>
          <w:szCs w:val="20"/>
          <w:lang w:eastAsia="en-GB"/>
        </w:rPr>
        <w:t xml:space="preserve"> 1</w:t>
      </w:r>
      <w:r w:rsidR="007F7BD1" w:rsidRPr="007F7BD1">
        <w:rPr>
          <w:rFonts w:eastAsia="Times New Roman" w:cs="Arial"/>
          <w:color w:val="auto"/>
          <w:sz w:val="20"/>
          <w:szCs w:val="20"/>
          <w:lang w:eastAsia="en-GB"/>
        </w:rPr>
        <w:t>4</w:t>
      </w:r>
      <w:r w:rsidRPr="007F7BD1">
        <w:rPr>
          <w:rFonts w:eastAsia="Times New Roman" w:cs="Arial"/>
          <w:color w:val="auto"/>
          <w:sz w:val="20"/>
          <w:szCs w:val="20"/>
          <w:lang w:eastAsia="en-GB"/>
        </w:rPr>
        <w:t>/1</w:t>
      </w:r>
      <w:r w:rsidR="007F7BD1" w:rsidRPr="007F7BD1">
        <w:rPr>
          <w:rFonts w:eastAsia="Times New Roman" w:cs="Arial"/>
          <w:color w:val="auto"/>
          <w:sz w:val="20"/>
          <w:szCs w:val="20"/>
          <w:lang w:eastAsia="en-GB"/>
        </w:rPr>
        <w:t>5</w:t>
      </w:r>
      <w:r w:rsidRPr="007F7BD1">
        <w:rPr>
          <w:rFonts w:eastAsia="Times New Roman" w:cs="Arial"/>
          <w:color w:val="auto"/>
          <w:sz w:val="20"/>
          <w:szCs w:val="20"/>
          <w:lang w:eastAsia="en-GB"/>
        </w:rPr>
        <w:t>). These include staff transfer</w:t>
      </w:r>
      <w:r w:rsidR="00BC2621" w:rsidRPr="007F7BD1">
        <w:rPr>
          <w:rFonts w:eastAsia="Times New Roman" w:cs="Arial"/>
          <w:color w:val="auto"/>
          <w:sz w:val="20"/>
          <w:szCs w:val="20"/>
          <w:lang w:eastAsia="en-GB"/>
        </w:rPr>
        <w:t>s</w:t>
      </w:r>
      <w:r w:rsidRPr="007F7BD1">
        <w:rPr>
          <w:rFonts w:eastAsia="Times New Roman" w:cs="Arial"/>
          <w:color w:val="auto"/>
          <w:sz w:val="20"/>
          <w:szCs w:val="20"/>
          <w:lang w:eastAsia="en-GB"/>
        </w:rPr>
        <w:t xml:space="preserve"> to </w:t>
      </w:r>
      <w:r w:rsidR="006A6F14" w:rsidRPr="007F7BD1">
        <w:rPr>
          <w:rFonts w:eastAsia="Times New Roman" w:cs="Arial"/>
          <w:color w:val="auto"/>
          <w:sz w:val="20"/>
          <w:szCs w:val="20"/>
          <w:lang w:eastAsia="en-GB"/>
        </w:rPr>
        <w:t>Academy</w:t>
      </w:r>
      <w:r w:rsidR="0060076D">
        <w:rPr>
          <w:rFonts w:eastAsia="Times New Roman" w:cs="Arial"/>
          <w:color w:val="auto"/>
          <w:sz w:val="20"/>
          <w:szCs w:val="20"/>
          <w:lang w:eastAsia="en-GB"/>
        </w:rPr>
        <w:t xml:space="preserve"> schools.</w:t>
      </w:r>
      <w:r w:rsidR="006A6F14" w:rsidRPr="007F7BD1">
        <w:rPr>
          <w:rFonts w:eastAsia="Times New Roman" w:cs="Arial"/>
          <w:color w:val="auto"/>
          <w:sz w:val="20"/>
          <w:szCs w:val="20"/>
          <w:lang w:eastAsia="en-GB"/>
        </w:rPr>
        <w:t xml:space="preserve"> </w:t>
      </w:r>
    </w:p>
    <w:p w:rsidR="00D96AAC" w:rsidRPr="007F7BD1" w:rsidRDefault="00D96AAC" w:rsidP="00445BB9">
      <w:pPr>
        <w:pStyle w:val="CodeNotesExampleText"/>
        <w:widowControl w:val="0"/>
        <w:ind w:left="567"/>
        <w:rPr>
          <w:rFonts w:cs="Arial"/>
          <w:color w:val="auto"/>
          <w:sz w:val="20"/>
          <w:szCs w:val="20"/>
        </w:rPr>
      </w:pPr>
    </w:p>
    <w:p w:rsidR="008E1260" w:rsidRPr="007F7BD1" w:rsidRDefault="008E1260" w:rsidP="00445BB9">
      <w:pPr>
        <w:autoSpaceDE w:val="0"/>
        <w:autoSpaceDN w:val="0"/>
        <w:adjustRightInd w:val="0"/>
        <w:spacing w:after="0" w:line="240" w:lineRule="auto"/>
        <w:ind w:left="567"/>
        <w:rPr>
          <w:rFonts w:eastAsia="Times New Roman" w:cs="Arial"/>
          <w:color w:val="auto"/>
          <w:sz w:val="20"/>
          <w:szCs w:val="20"/>
          <w:lang w:eastAsia="en-GB"/>
        </w:rPr>
      </w:pPr>
      <w:r w:rsidRPr="007F7BD1">
        <w:rPr>
          <w:rFonts w:eastAsia="Times New Roman" w:cs="Arial"/>
          <w:color w:val="auto"/>
          <w:sz w:val="20"/>
          <w:szCs w:val="20"/>
          <w:lang w:eastAsia="en-GB"/>
        </w:rPr>
        <w:t>To assess the value of the Employer's liabilities at 31 March 201</w:t>
      </w:r>
      <w:r w:rsidR="007F7BD1" w:rsidRPr="007F7BD1">
        <w:rPr>
          <w:rFonts w:eastAsia="Times New Roman" w:cs="Arial"/>
          <w:color w:val="auto"/>
          <w:sz w:val="20"/>
          <w:szCs w:val="20"/>
          <w:lang w:eastAsia="en-GB"/>
        </w:rPr>
        <w:t>6</w:t>
      </w:r>
      <w:r w:rsidRPr="007F7BD1">
        <w:rPr>
          <w:rFonts w:eastAsia="Times New Roman" w:cs="Arial"/>
          <w:color w:val="auto"/>
          <w:sz w:val="20"/>
          <w:szCs w:val="20"/>
          <w:lang w:eastAsia="en-GB"/>
        </w:rPr>
        <w:t>, the actuary has rolled forward the value of the Employer's liabilities calculated for the funding valuation as at 31 March 201</w:t>
      </w:r>
      <w:r w:rsidR="002F0520">
        <w:rPr>
          <w:rFonts w:eastAsia="Times New Roman" w:cs="Arial"/>
          <w:color w:val="auto"/>
          <w:sz w:val="20"/>
          <w:szCs w:val="20"/>
          <w:lang w:eastAsia="en-GB"/>
        </w:rPr>
        <w:t>3</w:t>
      </w:r>
      <w:r w:rsidRPr="007F7BD1">
        <w:rPr>
          <w:rFonts w:eastAsia="Times New Roman" w:cs="Arial"/>
          <w:color w:val="auto"/>
          <w:sz w:val="20"/>
          <w:szCs w:val="20"/>
          <w:lang w:eastAsia="en-GB"/>
        </w:rPr>
        <w:t xml:space="preserve">, using financial assumptions that comply with IAS19. </w:t>
      </w:r>
    </w:p>
    <w:p w:rsidR="008E1260" w:rsidRPr="00D42E0B" w:rsidRDefault="008E1260" w:rsidP="00445BB9">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8E1260" w:rsidRDefault="008E1260" w:rsidP="00445BB9">
      <w:pPr>
        <w:autoSpaceDE w:val="0"/>
        <w:autoSpaceDN w:val="0"/>
        <w:adjustRightInd w:val="0"/>
        <w:spacing w:after="0" w:line="240" w:lineRule="auto"/>
        <w:ind w:left="567"/>
        <w:rPr>
          <w:rFonts w:eastAsia="Times New Roman" w:cs="Arial"/>
          <w:color w:val="auto"/>
          <w:sz w:val="20"/>
          <w:szCs w:val="20"/>
          <w:lang w:eastAsia="en-GB"/>
        </w:rPr>
      </w:pPr>
      <w:r w:rsidRPr="002F0520">
        <w:rPr>
          <w:rFonts w:eastAsia="Times New Roman" w:cs="Arial"/>
          <w:color w:val="auto"/>
          <w:sz w:val="20"/>
          <w:szCs w:val="20"/>
          <w:lang w:eastAsia="en-GB"/>
        </w:rPr>
        <w:t xml:space="preserve">The full actuarial valuation involved projecting future </w:t>
      </w:r>
      <w:r w:rsidR="007E33E1" w:rsidRPr="002F0520">
        <w:rPr>
          <w:rFonts w:eastAsia="Times New Roman" w:cs="Arial"/>
          <w:color w:val="auto"/>
          <w:sz w:val="20"/>
          <w:szCs w:val="20"/>
          <w:lang w:eastAsia="en-GB"/>
        </w:rPr>
        <w:t>cash flows</w:t>
      </w:r>
      <w:r w:rsidRPr="002F0520">
        <w:rPr>
          <w:rFonts w:eastAsia="Times New Roman" w:cs="Arial"/>
          <w:color w:val="auto"/>
          <w:sz w:val="20"/>
          <w:szCs w:val="20"/>
          <w:lang w:eastAsia="en-GB"/>
        </w:rPr>
        <w:t xml:space="preserve"> to be paid from the Fund and placing a value on them. These </w:t>
      </w:r>
      <w:r w:rsidR="007E33E1" w:rsidRPr="002F0520">
        <w:rPr>
          <w:rFonts w:eastAsia="Times New Roman" w:cs="Arial"/>
          <w:color w:val="auto"/>
          <w:sz w:val="20"/>
          <w:szCs w:val="20"/>
          <w:lang w:eastAsia="en-GB"/>
        </w:rPr>
        <w:t>cash flows</w:t>
      </w:r>
      <w:r w:rsidRPr="002F0520">
        <w:rPr>
          <w:rFonts w:eastAsia="Times New Roman" w:cs="Arial"/>
          <w:color w:val="auto"/>
          <w:sz w:val="20"/>
          <w:szCs w:val="20"/>
          <w:lang w:eastAsia="en-GB"/>
        </w:rPr>
        <w:t xml:space="preserve"> include pensions currently being paid to members of the Scheme as well as pensions (and lump sums) that may be payable in future to members of the Fund or their dependants. These pensions are linked to inflation and will normally be payable on retirement for the life of the member or a dependant following a member’s death. </w:t>
      </w:r>
    </w:p>
    <w:p w:rsidR="002F0520" w:rsidRPr="002F0520" w:rsidRDefault="002F0520" w:rsidP="00445BB9">
      <w:pPr>
        <w:autoSpaceDE w:val="0"/>
        <w:autoSpaceDN w:val="0"/>
        <w:adjustRightInd w:val="0"/>
        <w:spacing w:after="0" w:line="240" w:lineRule="auto"/>
        <w:ind w:left="567"/>
        <w:rPr>
          <w:rFonts w:eastAsia="Times New Roman" w:cs="Arial"/>
          <w:color w:val="auto"/>
          <w:sz w:val="20"/>
          <w:szCs w:val="20"/>
          <w:lang w:eastAsia="en-GB"/>
        </w:rPr>
      </w:pPr>
    </w:p>
    <w:p w:rsidR="008E1260" w:rsidRPr="00392363" w:rsidRDefault="008E1260" w:rsidP="00445BB9">
      <w:pPr>
        <w:autoSpaceDE w:val="0"/>
        <w:autoSpaceDN w:val="0"/>
        <w:adjustRightInd w:val="0"/>
        <w:spacing w:after="0" w:line="240" w:lineRule="auto"/>
        <w:ind w:left="567"/>
        <w:rPr>
          <w:rFonts w:eastAsia="Times New Roman" w:cs="Arial"/>
          <w:color w:val="auto"/>
          <w:sz w:val="20"/>
          <w:szCs w:val="20"/>
          <w:lang w:eastAsia="en-GB"/>
        </w:rPr>
      </w:pPr>
      <w:r w:rsidRPr="00392363">
        <w:rPr>
          <w:rFonts w:eastAsia="Times New Roman" w:cs="Arial"/>
          <w:color w:val="auto"/>
          <w:sz w:val="20"/>
          <w:szCs w:val="20"/>
          <w:lang w:eastAsia="en-GB"/>
        </w:rPr>
        <w:t>It is not possible to assess the accuracy of the estimated liability as at 31 March 201</w:t>
      </w:r>
      <w:r w:rsidR="002F0520" w:rsidRPr="00392363">
        <w:rPr>
          <w:rFonts w:eastAsia="Times New Roman" w:cs="Arial"/>
          <w:color w:val="auto"/>
          <w:sz w:val="20"/>
          <w:szCs w:val="20"/>
          <w:lang w:eastAsia="en-GB"/>
        </w:rPr>
        <w:t>6</w:t>
      </w:r>
      <w:r w:rsidRPr="00392363">
        <w:rPr>
          <w:rFonts w:eastAsia="Times New Roman" w:cs="Arial"/>
          <w:color w:val="auto"/>
          <w:sz w:val="20"/>
          <w:szCs w:val="20"/>
          <w:lang w:eastAsia="en-GB"/>
        </w:rPr>
        <w:t xml:space="preserve"> without completing a full valuation. However, </w:t>
      </w:r>
      <w:r w:rsidR="00FA4064" w:rsidRPr="00392363">
        <w:rPr>
          <w:rFonts w:eastAsia="Times New Roman" w:cs="Arial"/>
          <w:color w:val="auto"/>
          <w:sz w:val="20"/>
          <w:szCs w:val="20"/>
          <w:lang w:eastAsia="en-GB"/>
        </w:rPr>
        <w:t xml:space="preserve">the actuary is </w:t>
      </w:r>
      <w:r w:rsidRPr="00392363">
        <w:rPr>
          <w:rFonts w:eastAsia="Times New Roman" w:cs="Arial"/>
          <w:color w:val="auto"/>
          <w:sz w:val="20"/>
          <w:szCs w:val="20"/>
          <w:lang w:eastAsia="en-GB"/>
        </w:rPr>
        <w:t>satisfied that the approach of rolling forward the previous valuation data to 31 March 201</w:t>
      </w:r>
      <w:r w:rsidR="00167FAA">
        <w:rPr>
          <w:rFonts w:eastAsia="Times New Roman" w:cs="Arial"/>
          <w:color w:val="auto"/>
          <w:sz w:val="20"/>
          <w:szCs w:val="20"/>
          <w:lang w:eastAsia="en-GB"/>
        </w:rPr>
        <w:t>6</w:t>
      </w:r>
      <w:r w:rsidRPr="00392363">
        <w:rPr>
          <w:rFonts w:eastAsia="Times New Roman" w:cs="Arial"/>
          <w:color w:val="auto"/>
          <w:sz w:val="20"/>
          <w:szCs w:val="20"/>
          <w:lang w:eastAsia="en-GB"/>
        </w:rPr>
        <w:t xml:space="preserve"> should not introduce any material distortions in the results provided that the actual experience of the Employer and the Fund has been broadly in line with the underlying assumptions, and that the structure of the liabilities is substantially the same as at the latest formal valuation. From the information </w:t>
      </w:r>
      <w:r w:rsidR="00FA4064" w:rsidRPr="00392363">
        <w:rPr>
          <w:rFonts w:eastAsia="Times New Roman" w:cs="Arial"/>
          <w:color w:val="auto"/>
          <w:sz w:val="20"/>
          <w:szCs w:val="20"/>
          <w:lang w:eastAsia="en-GB"/>
        </w:rPr>
        <w:t xml:space="preserve">the actuary </w:t>
      </w:r>
      <w:r w:rsidRPr="00392363">
        <w:rPr>
          <w:rFonts w:eastAsia="Times New Roman" w:cs="Arial"/>
          <w:color w:val="auto"/>
          <w:sz w:val="20"/>
          <w:szCs w:val="20"/>
          <w:lang w:eastAsia="en-GB"/>
        </w:rPr>
        <w:t>ha</w:t>
      </w:r>
      <w:r w:rsidR="00FA4064" w:rsidRPr="00392363">
        <w:rPr>
          <w:rFonts w:eastAsia="Times New Roman" w:cs="Arial"/>
          <w:color w:val="auto"/>
          <w:sz w:val="20"/>
          <w:szCs w:val="20"/>
          <w:lang w:eastAsia="en-GB"/>
        </w:rPr>
        <w:t>s</w:t>
      </w:r>
      <w:r w:rsidRPr="00392363">
        <w:rPr>
          <w:rFonts w:eastAsia="Times New Roman" w:cs="Arial"/>
          <w:color w:val="auto"/>
          <w:sz w:val="20"/>
          <w:szCs w:val="20"/>
          <w:lang w:eastAsia="en-GB"/>
        </w:rPr>
        <w:t xml:space="preserve"> received there appears to be no evidence that this approach is inappropriate. </w:t>
      </w:r>
    </w:p>
    <w:p w:rsidR="008E1260" w:rsidRPr="00392363" w:rsidRDefault="008E1260" w:rsidP="00445BB9">
      <w:pPr>
        <w:autoSpaceDE w:val="0"/>
        <w:autoSpaceDN w:val="0"/>
        <w:adjustRightInd w:val="0"/>
        <w:spacing w:after="0" w:line="240" w:lineRule="auto"/>
        <w:ind w:left="567"/>
        <w:rPr>
          <w:rFonts w:eastAsia="Times New Roman" w:cs="Arial"/>
          <w:color w:val="auto"/>
          <w:sz w:val="20"/>
          <w:szCs w:val="20"/>
          <w:lang w:eastAsia="en-GB"/>
        </w:rPr>
      </w:pPr>
    </w:p>
    <w:p w:rsidR="008E1260" w:rsidRDefault="008E1260" w:rsidP="00445BB9">
      <w:pPr>
        <w:autoSpaceDE w:val="0"/>
        <w:autoSpaceDN w:val="0"/>
        <w:adjustRightInd w:val="0"/>
        <w:spacing w:after="0" w:line="240" w:lineRule="auto"/>
        <w:ind w:left="567"/>
        <w:rPr>
          <w:rFonts w:eastAsia="Times New Roman" w:cs="Arial"/>
          <w:color w:val="auto"/>
          <w:sz w:val="20"/>
          <w:szCs w:val="20"/>
          <w:lang w:eastAsia="en-GB"/>
        </w:rPr>
      </w:pPr>
      <w:r w:rsidRPr="00392363">
        <w:rPr>
          <w:rFonts w:eastAsia="Times New Roman" w:cs="Arial"/>
          <w:color w:val="auto"/>
          <w:sz w:val="20"/>
          <w:szCs w:val="20"/>
          <w:lang w:eastAsia="en-GB"/>
        </w:rPr>
        <w:t xml:space="preserve">To calculate the asset share the actuary has rolled forward the assets allocated to the </w:t>
      </w:r>
      <w:r w:rsidR="003E5184">
        <w:rPr>
          <w:rFonts w:eastAsia="Times New Roman" w:cs="Arial"/>
          <w:color w:val="auto"/>
          <w:sz w:val="20"/>
          <w:szCs w:val="20"/>
          <w:lang w:eastAsia="en-GB"/>
        </w:rPr>
        <w:t>Council</w:t>
      </w:r>
      <w:r w:rsidRPr="00392363">
        <w:rPr>
          <w:rFonts w:eastAsia="Times New Roman" w:cs="Arial"/>
          <w:color w:val="auto"/>
          <w:sz w:val="20"/>
          <w:szCs w:val="20"/>
          <w:lang w:eastAsia="en-GB"/>
        </w:rPr>
        <w:t xml:space="preserve"> at 31 March 2013 allowing for investment returns (estimated where necessary), contributions paid</w:t>
      </w:r>
      <w:r w:rsidRPr="00392363">
        <w:rPr>
          <w:rFonts w:cs="Arial"/>
          <w:color w:val="auto"/>
          <w:sz w:val="20"/>
          <w:szCs w:val="20"/>
        </w:rPr>
        <w:t xml:space="preserve"> </w:t>
      </w:r>
      <w:r w:rsidRPr="00392363">
        <w:rPr>
          <w:rFonts w:eastAsia="Times New Roman" w:cs="Arial"/>
          <w:color w:val="auto"/>
          <w:sz w:val="20"/>
          <w:szCs w:val="20"/>
          <w:lang w:eastAsia="en-GB"/>
        </w:rPr>
        <w:t>into, and estimated benefits paid from, the Fund by and in respect of the Employer and its employees.</w:t>
      </w:r>
    </w:p>
    <w:p w:rsidR="00392363" w:rsidRDefault="00392363" w:rsidP="00445BB9">
      <w:pPr>
        <w:autoSpaceDE w:val="0"/>
        <w:autoSpaceDN w:val="0"/>
        <w:adjustRightInd w:val="0"/>
        <w:spacing w:after="0" w:line="240" w:lineRule="auto"/>
        <w:ind w:left="567"/>
        <w:rPr>
          <w:rFonts w:eastAsia="Times New Roman" w:cs="Arial"/>
          <w:color w:val="auto"/>
          <w:sz w:val="20"/>
          <w:szCs w:val="20"/>
          <w:lang w:eastAsia="en-GB"/>
        </w:rPr>
      </w:pPr>
    </w:p>
    <w:p w:rsidR="00392363" w:rsidRPr="00392363" w:rsidRDefault="00392363" w:rsidP="00445BB9">
      <w:pPr>
        <w:autoSpaceDE w:val="0"/>
        <w:autoSpaceDN w:val="0"/>
        <w:adjustRightInd w:val="0"/>
        <w:spacing w:after="0" w:line="240" w:lineRule="auto"/>
        <w:ind w:left="567"/>
        <w:rPr>
          <w:rFonts w:eastAsia="Times New Roman" w:cs="Arial"/>
          <w:color w:val="auto"/>
          <w:sz w:val="20"/>
          <w:szCs w:val="20"/>
          <w:lang w:eastAsia="en-GB"/>
        </w:rPr>
      </w:pPr>
      <w:r>
        <w:rPr>
          <w:rFonts w:eastAsia="Times New Roman" w:cs="Arial"/>
          <w:color w:val="auto"/>
          <w:sz w:val="20"/>
          <w:szCs w:val="20"/>
          <w:lang w:eastAsia="en-GB"/>
        </w:rPr>
        <w:t xml:space="preserve">The </w:t>
      </w:r>
      <w:r w:rsidR="003E5184">
        <w:rPr>
          <w:rFonts w:eastAsia="Times New Roman" w:cs="Arial"/>
          <w:color w:val="auto"/>
          <w:sz w:val="20"/>
          <w:szCs w:val="20"/>
          <w:lang w:eastAsia="en-GB"/>
        </w:rPr>
        <w:t>Council</w:t>
      </w:r>
      <w:r>
        <w:rPr>
          <w:rFonts w:eastAsia="Times New Roman" w:cs="Arial"/>
          <w:color w:val="auto"/>
          <w:sz w:val="20"/>
          <w:szCs w:val="20"/>
          <w:lang w:eastAsia="en-GB"/>
        </w:rPr>
        <w:t xml:space="preserve"> currently </w:t>
      </w:r>
      <w:r w:rsidR="007E33E1">
        <w:rPr>
          <w:rFonts w:eastAsia="Times New Roman" w:cs="Arial"/>
          <w:color w:val="auto"/>
          <w:sz w:val="20"/>
          <w:szCs w:val="20"/>
          <w:lang w:eastAsia="en-GB"/>
        </w:rPr>
        <w:t>participates</w:t>
      </w:r>
      <w:r>
        <w:rPr>
          <w:rFonts w:eastAsia="Times New Roman" w:cs="Arial"/>
          <w:color w:val="auto"/>
          <w:sz w:val="20"/>
          <w:szCs w:val="20"/>
          <w:lang w:eastAsia="en-GB"/>
        </w:rPr>
        <w:t xml:space="preserve"> in the Torbay Council pool with other employers </w:t>
      </w:r>
      <w:r w:rsidR="007C6192">
        <w:rPr>
          <w:rFonts w:eastAsia="Times New Roman" w:cs="Arial"/>
          <w:color w:val="auto"/>
          <w:sz w:val="20"/>
          <w:szCs w:val="20"/>
          <w:lang w:eastAsia="en-GB"/>
        </w:rPr>
        <w:t xml:space="preserve">(academy schools) </w:t>
      </w:r>
      <w:r>
        <w:rPr>
          <w:rFonts w:eastAsia="Times New Roman" w:cs="Arial"/>
          <w:color w:val="auto"/>
          <w:sz w:val="20"/>
          <w:szCs w:val="20"/>
          <w:lang w:eastAsia="en-GB"/>
        </w:rPr>
        <w:t xml:space="preserve">in order to </w:t>
      </w:r>
      <w:r w:rsidR="007E33E1">
        <w:rPr>
          <w:rFonts w:eastAsia="Times New Roman" w:cs="Arial"/>
          <w:color w:val="auto"/>
          <w:sz w:val="20"/>
          <w:szCs w:val="20"/>
          <w:lang w:eastAsia="en-GB"/>
        </w:rPr>
        <w:t>share</w:t>
      </w:r>
      <w:r>
        <w:rPr>
          <w:rFonts w:eastAsia="Times New Roman" w:cs="Arial"/>
          <w:color w:val="auto"/>
          <w:sz w:val="20"/>
          <w:szCs w:val="20"/>
          <w:lang w:eastAsia="en-GB"/>
        </w:rPr>
        <w:t xml:space="preserve"> experience of risks they are exposed to in the Fund. At the 2013 valuation, the deficit for the whole pool was calculated and allocated to each employer in proportion to their active </w:t>
      </w:r>
      <w:r w:rsidR="007E33E1">
        <w:rPr>
          <w:rFonts w:eastAsia="Times New Roman" w:cs="Arial"/>
          <w:color w:val="auto"/>
          <w:sz w:val="20"/>
          <w:szCs w:val="20"/>
          <w:lang w:eastAsia="en-GB"/>
        </w:rPr>
        <w:t>payroll. The</w:t>
      </w:r>
      <w:r w:rsidR="00B61184">
        <w:rPr>
          <w:rFonts w:eastAsia="Times New Roman" w:cs="Arial"/>
          <w:color w:val="auto"/>
          <w:sz w:val="20"/>
          <w:szCs w:val="20"/>
          <w:lang w:eastAsia="en-GB"/>
        </w:rPr>
        <w:t xml:space="preserve"> next reallocation will be carried out at the 2016 valuation. Each employer within the pool pays a contribution rate based on the cost of benefits of the combined membership of the pool.</w:t>
      </w:r>
    </w:p>
    <w:p w:rsidR="008E1260" w:rsidRPr="00D42E0B" w:rsidRDefault="008E1260" w:rsidP="00445BB9">
      <w:pPr>
        <w:pStyle w:val="ExampleSub"/>
        <w:keepNext w:val="0"/>
        <w:keepLines w:val="0"/>
        <w:spacing w:before="0" w:line="240" w:lineRule="auto"/>
        <w:rPr>
          <w:rFonts w:ascii="Arial" w:hAnsi="Arial" w:cs="Arial"/>
          <w:b w:val="0"/>
          <w:bCs w:val="0"/>
          <w:color w:val="548DD4" w:themeColor="text2" w:themeTint="99"/>
          <w:sz w:val="20"/>
          <w:szCs w:val="20"/>
        </w:rPr>
      </w:pPr>
    </w:p>
    <w:p w:rsidR="008E1260" w:rsidRPr="00392363" w:rsidRDefault="008E1260" w:rsidP="00445BB9">
      <w:pPr>
        <w:pStyle w:val="ExampleSub"/>
        <w:keepNext w:val="0"/>
        <w:keepLines w:val="0"/>
        <w:spacing w:before="0" w:line="240" w:lineRule="auto"/>
        <w:rPr>
          <w:rFonts w:ascii="Arial" w:hAnsi="Arial" w:cs="Arial"/>
          <w:b w:val="0"/>
          <w:bCs w:val="0"/>
          <w:color w:val="auto"/>
          <w:sz w:val="20"/>
          <w:szCs w:val="20"/>
        </w:rPr>
      </w:pPr>
      <w:r w:rsidRPr="00392363">
        <w:rPr>
          <w:rFonts w:ascii="Arial" w:hAnsi="Arial" w:cs="Arial"/>
          <w:b w:val="0"/>
          <w:bCs w:val="0"/>
          <w:color w:val="auto"/>
          <w:sz w:val="20"/>
          <w:szCs w:val="20"/>
        </w:rPr>
        <w:t xml:space="preserve">As required under IAS19 </w:t>
      </w:r>
      <w:r w:rsidR="002314BA" w:rsidRPr="00392363">
        <w:rPr>
          <w:rFonts w:ascii="Arial" w:hAnsi="Arial" w:cs="Arial"/>
          <w:b w:val="0"/>
          <w:bCs w:val="0"/>
          <w:color w:val="auto"/>
          <w:sz w:val="20"/>
          <w:szCs w:val="20"/>
        </w:rPr>
        <w:t xml:space="preserve">the actuary has </w:t>
      </w:r>
      <w:r w:rsidRPr="00392363">
        <w:rPr>
          <w:rFonts w:ascii="Arial" w:hAnsi="Arial" w:cs="Arial"/>
          <w:b w:val="0"/>
          <w:bCs w:val="0"/>
          <w:color w:val="auto"/>
          <w:sz w:val="20"/>
          <w:szCs w:val="20"/>
        </w:rPr>
        <w:t>used the projected unit method of valuation to calculate the service cost.</w:t>
      </w:r>
    </w:p>
    <w:p w:rsidR="00B12444" w:rsidRPr="00D42E0B" w:rsidRDefault="00B12444" w:rsidP="00445BB9">
      <w:pPr>
        <w:autoSpaceDE w:val="0"/>
        <w:autoSpaceDN w:val="0"/>
        <w:adjustRightInd w:val="0"/>
        <w:spacing w:after="0" w:line="240" w:lineRule="auto"/>
        <w:rPr>
          <w:rFonts w:eastAsia="Times New Roman"/>
          <w:b/>
          <w:color w:val="548DD4" w:themeColor="text2" w:themeTint="99"/>
        </w:rPr>
      </w:pPr>
    </w:p>
    <w:p w:rsidR="009B6A87" w:rsidRPr="00760B1B" w:rsidRDefault="005C68D8" w:rsidP="009B6A87">
      <w:pPr>
        <w:autoSpaceDE w:val="0"/>
        <w:autoSpaceDN w:val="0"/>
        <w:adjustRightInd w:val="0"/>
        <w:spacing w:after="0" w:line="240" w:lineRule="auto"/>
        <w:rPr>
          <w:rFonts w:eastAsia="Times New Roman"/>
          <w:b/>
          <w:color w:val="auto"/>
        </w:rPr>
      </w:pPr>
      <w:r w:rsidRPr="00760B1B">
        <w:rPr>
          <w:rFonts w:eastAsia="Times New Roman"/>
          <w:b/>
          <w:color w:val="auto"/>
        </w:rPr>
        <w:t>3</w:t>
      </w:r>
      <w:r w:rsidR="00FB5658" w:rsidRPr="00760B1B">
        <w:rPr>
          <w:rFonts w:eastAsia="Times New Roman"/>
          <w:b/>
          <w:color w:val="auto"/>
        </w:rPr>
        <w:t>8</w:t>
      </w:r>
      <w:r w:rsidR="00445BB9" w:rsidRPr="00760B1B">
        <w:rPr>
          <w:rFonts w:eastAsia="Times New Roman"/>
          <w:b/>
          <w:color w:val="auto"/>
        </w:rPr>
        <w:t xml:space="preserve">.2   </w:t>
      </w:r>
      <w:r w:rsidR="00F77276" w:rsidRPr="00760B1B">
        <w:rPr>
          <w:rFonts w:eastAsia="Times New Roman"/>
          <w:b/>
          <w:color w:val="auto"/>
        </w:rPr>
        <w:t>F</w:t>
      </w:r>
      <w:r w:rsidR="009B6A87" w:rsidRPr="00760B1B">
        <w:rPr>
          <w:rFonts w:eastAsia="Times New Roman"/>
          <w:b/>
          <w:color w:val="auto"/>
        </w:rPr>
        <w:t xml:space="preserve">inancial statements </w:t>
      </w:r>
    </w:p>
    <w:p w:rsidR="00F77276" w:rsidRPr="00760B1B" w:rsidRDefault="00F77276" w:rsidP="009A0E34">
      <w:pPr>
        <w:spacing w:before="100" w:beforeAutospacing="1" w:after="100" w:afterAutospacing="1"/>
        <w:ind w:left="567"/>
        <w:rPr>
          <w:rFonts w:cs="Arial"/>
          <w:color w:val="auto"/>
          <w:sz w:val="20"/>
          <w:szCs w:val="20"/>
        </w:rPr>
      </w:pPr>
      <w:r w:rsidRPr="00760B1B">
        <w:rPr>
          <w:rFonts w:cs="Arial"/>
          <w:color w:val="auto"/>
          <w:sz w:val="20"/>
          <w:szCs w:val="20"/>
        </w:rPr>
        <w:t>The following tables show the</w:t>
      </w:r>
      <w:r w:rsidR="00812730" w:rsidRPr="00760B1B">
        <w:rPr>
          <w:rFonts w:cs="Arial"/>
          <w:color w:val="auto"/>
          <w:sz w:val="20"/>
          <w:szCs w:val="20"/>
        </w:rPr>
        <w:t xml:space="preserve"> </w:t>
      </w:r>
      <w:r w:rsidRPr="00760B1B">
        <w:rPr>
          <w:rFonts w:cs="Arial"/>
          <w:color w:val="auto"/>
          <w:sz w:val="20"/>
          <w:szCs w:val="20"/>
        </w:rPr>
        <w:t>impact</w:t>
      </w:r>
      <w:r w:rsidR="00812730" w:rsidRPr="00760B1B">
        <w:rPr>
          <w:rFonts w:cs="Arial"/>
          <w:color w:val="auto"/>
          <w:sz w:val="20"/>
          <w:szCs w:val="20"/>
        </w:rPr>
        <w:t xml:space="preserve"> </w:t>
      </w:r>
      <w:r w:rsidRPr="00760B1B">
        <w:rPr>
          <w:rFonts w:cs="Arial"/>
          <w:color w:val="auto"/>
          <w:sz w:val="20"/>
          <w:szCs w:val="20"/>
        </w:rPr>
        <w:t>of the Assets and liabilities in relation to post employment benefits on the Co</w:t>
      </w:r>
      <w:r w:rsidR="00062A61" w:rsidRPr="00760B1B">
        <w:rPr>
          <w:rFonts w:cs="Arial"/>
          <w:color w:val="auto"/>
          <w:sz w:val="20"/>
          <w:szCs w:val="20"/>
        </w:rPr>
        <w:t>uncil’s</w:t>
      </w:r>
      <w:r w:rsidRPr="00760B1B">
        <w:rPr>
          <w:rFonts w:cs="Arial"/>
          <w:color w:val="auto"/>
          <w:sz w:val="20"/>
          <w:szCs w:val="20"/>
        </w:rPr>
        <w:t xml:space="preserve"> accounts in 201</w:t>
      </w:r>
      <w:r w:rsidR="00760B1B" w:rsidRPr="00760B1B">
        <w:rPr>
          <w:rFonts w:cs="Arial"/>
          <w:color w:val="auto"/>
          <w:sz w:val="20"/>
          <w:szCs w:val="20"/>
        </w:rPr>
        <w:t>5</w:t>
      </w:r>
      <w:r w:rsidRPr="00760B1B">
        <w:rPr>
          <w:rFonts w:cs="Arial"/>
          <w:color w:val="auto"/>
          <w:sz w:val="20"/>
          <w:szCs w:val="20"/>
        </w:rPr>
        <w:t>/1</w:t>
      </w:r>
      <w:r w:rsidR="00760B1B" w:rsidRPr="00760B1B">
        <w:rPr>
          <w:rFonts w:cs="Arial"/>
          <w:color w:val="auto"/>
          <w:sz w:val="20"/>
          <w:szCs w:val="20"/>
        </w:rPr>
        <w:t>6</w:t>
      </w:r>
      <w:r w:rsidRPr="00760B1B">
        <w:rPr>
          <w:rFonts w:cs="Arial"/>
          <w:color w:val="auto"/>
          <w:sz w:val="20"/>
          <w:szCs w:val="20"/>
        </w:rPr>
        <w:t>. The foll</w:t>
      </w:r>
      <w:r w:rsidR="00812730" w:rsidRPr="00760B1B">
        <w:rPr>
          <w:rFonts w:cs="Arial"/>
          <w:color w:val="auto"/>
          <w:sz w:val="20"/>
          <w:szCs w:val="20"/>
        </w:rPr>
        <w:t>owing</w:t>
      </w:r>
      <w:r w:rsidRPr="00760B1B">
        <w:rPr>
          <w:rFonts w:cs="Arial"/>
          <w:color w:val="auto"/>
          <w:sz w:val="20"/>
          <w:szCs w:val="20"/>
        </w:rPr>
        <w:t xml:space="preserve"> tables are shown:</w:t>
      </w:r>
    </w:p>
    <w:p w:rsidR="00F77276" w:rsidRPr="00760B1B" w:rsidRDefault="00812730" w:rsidP="003E10DE">
      <w:pPr>
        <w:pStyle w:val="ListParagraph"/>
        <w:numPr>
          <w:ilvl w:val="0"/>
          <w:numId w:val="23"/>
        </w:numPr>
        <w:spacing w:before="100" w:beforeAutospacing="1" w:after="100" w:afterAutospacing="1"/>
        <w:rPr>
          <w:rFonts w:cs="Arial"/>
          <w:color w:val="auto"/>
          <w:sz w:val="20"/>
          <w:szCs w:val="20"/>
        </w:rPr>
      </w:pPr>
      <w:r w:rsidRPr="00760B1B">
        <w:rPr>
          <w:rFonts w:cs="Arial"/>
          <w:color w:val="auto"/>
          <w:sz w:val="20"/>
          <w:szCs w:val="20"/>
        </w:rPr>
        <w:t xml:space="preserve">Net Pension Liability – this table shows the net pension </w:t>
      </w:r>
      <w:r w:rsidR="00E85670" w:rsidRPr="00760B1B">
        <w:rPr>
          <w:rFonts w:cs="Arial"/>
          <w:color w:val="auto"/>
          <w:sz w:val="20"/>
          <w:szCs w:val="20"/>
        </w:rPr>
        <w:t>liability</w:t>
      </w:r>
      <w:r w:rsidRPr="00760B1B">
        <w:rPr>
          <w:rFonts w:cs="Arial"/>
          <w:color w:val="auto"/>
          <w:sz w:val="20"/>
          <w:szCs w:val="20"/>
        </w:rPr>
        <w:t xml:space="preserve"> in the balance sheet </w:t>
      </w:r>
    </w:p>
    <w:p w:rsidR="00812730" w:rsidRPr="00760B1B" w:rsidRDefault="00E85670" w:rsidP="003E10DE">
      <w:pPr>
        <w:pStyle w:val="ListParagraph"/>
        <w:numPr>
          <w:ilvl w:val="0"/>
          <w:numId w:val="23"/>
        </w:numPr>
        <w:spacing w:before="100" w:beforeAutospacing="1" w:after="100" w:afterAutospacing="1"/>
        <w:rPr>
          <w:rFonts w:cs="Arial"/>
          <w:color w:val="auto"/>
          <w:sz w:val="20"/>
          <w:szCs w:val="20"/>
        </w:rPr>
      </w:pPr>
      <w:r w:rsidRPr="00760B1B">
        <w:rPr>
          <w:rFonts w:cs="Arial"/>
          <w:color w:val="auto"/>
          <w:sz w:val="20"/>
          <w:szCs w:val="20"/>
        </w:rPr>
        <w:t>Comprehensive Income &amp; Expenditure Statement – this table shows the IAS19 entries as they appear in the Councils Comprehensive Income &amp; Expenditure Statement and the actual cash payment</w:t>
      </w:r>
      <w:r w:rsidR="00062A61" w:rsidRPr="00760B1B">
        <w:rPr>
          <w:rFonts w:cs="Arial"/>
          <w:color w:val="auto"/>
          <w:sz w:val="20"/>
          <w:szCs w:val="20"/>
        </w:rPr>
        <w:t>s to</w:t>
      </w:r>
      <w:r w:rsidRPr="00760B1B">
        <w:rPr>
          <w:rFonts w:cs="Arial"/>
          <w:color w:val="auto"/>
          <w:sz w:val="20"/>
          <w:szCs w:val="20"/>
        </w:rPr>
        <w:t xml:space="preserve"> the pension fund in year.</w:t>
      </w:r>
    </w:p>
    <w:p w:rsidR="00812730" w:rsidRPr="00760B1B" w:rsidRDefault="00E85670" w:rsidP="003E10DE">
      <w:pPr>
        <w:pStyle w:val="CodeNotesExampleText"/>
        <w:widowControl w:val="0"/>
        <w:numPr>
          <w:ilvl w:val="0"/>
          <w:numId w:val="23"/>
        </w:numPr>
        <w:outlineLvl w:val="0"/>
        <w:rPr>
          <w:rFonts w:cs="Arial"/>
          <w:color w:val="auto"/>
          <w:sz w:val="20"/>
          <w:szCs w:val="20"/>
        </w:rPr>
      </w:pPr>
      <w:r w:rsidRPr="00760B1B">
        <w:rPr>
          <w:rFonts w:cs="Arial"/>
          <w:color w:val="auto"/>
          <w:sz w:val="20"/>
          <w:szCs w:val="20"/>
        </w:rPr>
        <w:t xml:space="preserve">Reconciliation of fair value of the scheme (plan) assets </w:t>
      </w:r>
      <w:r w:rsidR="00062A61" w:rsidRPr="00760B1B">
        <w:rPr>
          <w:rFonts w:cs="Arial"/>
          <w:color w:val="auto"/>
          <w:sz w:val="20"/>
          <w:szCs w:val="20"/>
        </w:rPr>
        <w:t xml:space="preserve">- </w:t>
      </w:r>
      <w:r w:rsidRPr="00760B1B">
        <w:rPr>
          <w:rFonts w:cs="Arial"/>
          <w:color w:val="auto"/>
          <w:sz w:val="20"/>
          <w:szCs w:val="20"/>
        </w:rPr>
        <w:t>this table shows an analysis of the movements in the pension asset during the year</w:t>
      </w:r>
    </w:p>
    <w:p w:rsidR="00E13756" w:rsidRPr="00760B1B" w:rsidRDefault="00812730" w:rsidP="003E10DE">
      <w:pPr>
        <w:pStyle w:val="CodeNotesExampleText"/>
        <w:widowControl w:val="0"/>
        <w:numPr>
          <w:ilvl w:val="0"/>
          <w:numId w:val="23"/>
        </w:numPr>
        <w:outlineLvl w:val="0"/>
        <w:rPr>
          <w:rFonts w:cs="Arial"/>
          <w:color w:val="auto"/>
          <w:sz w:val="20"/>
          <w:szCs w:val="20"/>
        </w:rPr>
      </w:pPr>
      <w:r w:rsidRPr="00760B1B">
        <w:rPr>
          <w:rFonts w:cs="Arial"/>
          <w:color w:val="auto"/>
          <w:sz w:val="20"/>
          <w:szCs w:val="20"/>
        </w:rPr>
        <w:t>Reconciliation of fair value of the scheme (plan) liabilities</w:t>
      </w:r>
      <w:r w:rsidR="00062A61" w:rsidRPr="00760B1B">
        <w:rPr>
          <w:rFonts w:cs="Arial"/>
          <w:color w:val="auto"/>
          <w:sz w:val="20"/>
          <w:szCs w:val="20"/>
        </w:rPr>
        <w:t xml:space="preserve"> -</w:t>
      </w:r>
      <w:r w:rsidRPr="00760B1B">
        <w:rPr>
          <w:rFonts w:cs="Arial"/>
          <w:color w:val="auto"/>
          <w:sz w:val="20"/>
          <w:szCs w:val="20"/>
        </w:rPr>
        <w:t xml:space="preserve"> this </w:t>
      </w:r>
      <w:r w:rsidR="00E85670" w:rsidRPr="00760B1B">
        <w:rPr>
          <w:rFonts w:cs="Arial"/>
          <w:color w:val="auto"/>
          <w:sz w:val="20"/>
          <w:szCs w:val="20"/>
        </w:rPr>
        <w:t>table</w:t>
      </w:r>
      <w:r w:rsidRPr="00760B1B">
        <w:rPr>
          <w:rFonts w:cs="Arial"/>
          <w:color w:val="auto"/>
          <w:sz w:val="20"/>
          <w:szCs w:val="20"/>
        </w:rPr>
        <w:t xml:space="preserve"> shows an </w:t>
      </w:r>
      <w:r w:rsidR="00E85670" w:rsidRPr="00760B1B">
        <w:rPr>
          <w:rFonts w:cs="Arial"/>
          <w:color w:val="auto"/>
          <w:sz w:val="20"/>
          <w:szCs w:val="20"/>
        </w:rPr>
        <w:t>analysis</w:t>
      </w:r>
      <w:r w:rsidRPr="00760B1B">
        <w:rPr>
          <w:rFonts w:cs="Arial"/>
          <w:color w:val="auto"/>
          <w:sz w:val="20"/>
          <w:szCs w:val="20"/>
        </w:rPr>
        <w:t xml:space="preserve"> of the movements</w:t>
      </w:r>
      <w:r w:rsidR="00E85670" w:rsidRPr="00760B1B">
        <w:rPr>
          <w:rFonts w:cs="Arial"/>
          <w:color w:val="auto"/>
          <w:sz w:val="20"/>
          <w:szCs w:val="20"/>
        </w:rPr>
        <w:t xml:space="preserve"> </w:t>
      </w:r>
      <w:r w:rsidRPr="00760B1B">
        <w:rPr>
          <w:rFonts w:cs="Arial"/>
          <w:color w:val="auto"/>
          <w:sz w:val="20"/>
          <w:szCs w:val="20"/>
        </w:rPr>
        <w:t>in the pension liability during the year</w:t>
      </w:r>
    </w:p>
    <w:p w:rsidR="00BB57AD" w:rsidRDefault="00BB57AD" w:rsidP="009A0E34">
      <w:pPr>
        <w:spacing w:before="100" w:beforeAutospacing="1" w:after="100" w:afterAutospacing="1"/>
        <w:ind w:left="567"/>
        <w:rPr>
          <w:rFonts w:cs="Arial"/>
          <w:b/>
          <w:color w:val="auto"/>
          <w:sz w:val="20"/>
          <w:szCs w:val="20"/>
        </w:rPr>
      </w:pPr>
    </w:p>
    <w:p w:rsidR="00BB57AD" w:rsidRDefault="00BB57AD" w:rsidP="00377104">
      <w:pPr>
        <w:spacing w:before="100" w:beforeAutospacing="1" w:after="100" w:afterAutospacing="1"/>
        <w:rPr>
          <w:rFonts w:cs="Arial"/>
          <w:b/>
          <w:color w:val="auto"/>
          <w:sz w:val="20"/>
          <w:szCs w:val="20"/>
        </w:rPr>
      </w:pPr>
    </w:p>
    <w:p w:rsidR="002C6DBC" w:rsidRPr="00760B1B" w:rsidRDefault="002C6DBC" w:rsidP="009A0E34">
      <w:pPr>
        <w:spacing w:before="100" w:beforeAutospacing="1" w:after="100" w:afterAutospacing="1"/>
        <w:ind w:left="567"/>
        <w:rPr>
          <w:rFonts w:cs="Arial"/>
          <w:b/>
          <w:color w:val="auto"/>
          <w:sz w:val="20"/>
          <w:szCs w:val="20"/>
        </w:rPr>
      </w:pPr>
      <w:r w:rsidRPr="00760B1B">
        <w:rPr>
          <w:rFonts w:cs="Arial"/>
          <w:b/>
          <w:color w:val="auto"/>
          <w:sz w:val="20"/>
          <w:szCs w:val="20"/>
        </w:rPr>
        <w:lastRenderedPageBreak/>
        <w:t xml:space="preserve">Net Pension </w:t>
      </w:r>
      <w:r w:rsidR="00F77276" w:rsidRPr="00760B1B">
        <w:rPr>
          <w:rFonts w:cs="Arial"/>
          <w:b/>
          <w:color w:val="auto"/>
          <w:sz w:val="20"/>
          <w:szCs w:val="20"/>
        </w:rPr>
        <w:t>Liability</w:t>
      </w:r>
    </w:p>
    <w:tbl>
      <w:tblPr>
        <w:tblStyle w:val="ListTable3-Accent51"/>
        <w:tblW w:w="7655" w:type="dxa"/>
        <w:tblInd w:w="675" w:type="dxa"/>
        <w:tblLayout w:type="fixed"/>
        <w:tblLook w:val="0000"/>
      </w:tblPr>
      <w:tblGrid>
        <w:gridCol w:w="4616"/>
        <w:gridCol w:w="1004"/>
        <w:gridCol w:w="1004"/>
        <w:gridCol w:w="1031"/>
      </w:tblGrid>
      <w:tr w:rsidR="00760B1B" w:rsidRPr="00760B1B" w:rsidTr="003805B6">
        <w:trPr>
          <w:cnfStyle w:val="000000100000"/>
          <w:trHeight w:val="60"/>
        </w:trPr>
        <w:tc>
          <w:tcPr>
            <w:cnfStyle w:val="000010000000"/>
            <w:tcW w:w="4616" w:type="dxa"/>
            <w:shd w:val="clear" w:color="auto" w:fill="4BACC6" w:themeFill="accent5"/>
          </w:tcPr>
          <w:p w:rsidR="00760B1B" w:rsidRPr="00760B1B" w:rsidRDefault="00760B1B" w:rsidP="00FB5658">
            <w:pPr>
              <w:pStyle w:val="NoParagraphStyle"/>
              <w:spacing w:line="240" w:lineRule="auto"/>
              <w:textAlignment w:val="auto"/>
              <w:rPr>
                <w:rFonts w:ascii="Arial" w:hAnsi="Arial" w:cs="Arial"/>
                <w:color w:val="auto"/>
                <w:sz w:val="20"/>
                <w:szCs w:val="20"/>
              </w:rPr>
            </w:pPr>
          </w:p>
        </w:tc>
        <w:tc>
          <w:tcPr>
            <w:tcW w:w="1004" w:type="dxa"/>
            <w:shd w:val="clear" w:color="auto" w:fill="4BACC6" w:themeFill="accent5"/>
          </w:tcPr>
          <w:p w:rsidR="00760B1B" w:rsidRPr="00760B1B" w:rsidRDefault="008A57A2" w:rsidP="00051379">
            <w:pPr>
              <w:pStyle w:val="TableRightBold"/>
              <w:jc w:val="center"/>
              <w:cnfStyle w:val="000000100000"/>
              <w:rPr>
                <w:rStyle w:val="Bold"/>
                <w:rFonts w:ascii="Arial" w:hAnsi="Arial" w:cs="Arial"/>
                <w:bCs w:val="0"/>
                <w:color w:val="auto"/>
              </w:rPr>
            </w:pPr>
            <w:r>
              <w:rPr>
                <w:rStyle w:val="Bold"/>
                <w:rFonts w:ascii="Arial" w:hAnsi="Arial" w:cs="Arial"/>
                <w:bCs w:val="0"/>
                <w:color w:val="auto"/>
              </w:rPr>
              <w:t>31/3/14</w:t>
            </w:r>
          </w:p>
          <w:p w:rsidR="00760B1B" w:rsidRPr="00760B1B" w:rsidRDefault="00760B1B" w:rsidP="00051379">
            <w:pPr>
              <w:pStyle w:val="TableRightBold"/>
              <w:jc w:val="center"/>
              <w:cnfStyle w:val="000000100000"/>
              <w:rPr>
                <w:rFonts w:ascii="Arial" w:hAnsi="Arial" w:cs="Arial"/>
                <w:color w:val="auto"/>
              </w:rPr>
            </w:pPr>
            <w:r w:rsidRPr="00760B1B">
              <w:rPr>
                <w:rStyle w:val="Bold"/>
                <w:rFonts w:ascii="Arial" w:hAnsi="Arial" w:cs="Arial"/>
                <w:bCs w:val="0"/>
                <w:color w:val="auto"/>
              </w:rPr>
              <w:t>£m</w:t>
            </w:r>
          </w:p>
        </w:tc>
        <w:tc>
          <w:tcPr>
            <w:cnfStyle w:val="000010000000"/>
            <w:tcW w:w="1004" w:type="dxa"/>
            <w:shd w:val="clear" w:color="auto" w:fill="4BACC6" w:themeFill="accent5"/>
          </w:tcPr>
          <w:p w:rsidR="00760B1B" w:rsidRPr="00760B1B" w:rsidRDefault="008A57A2" w:rsidP="00051379">
            <w:pPr>
              <w:pStyle w:val="TableRightBold"/>
              <w:jc w:val="center"/>
              <w:rPr>
                <w:rStyle w:val="Bold"/>
                <w:rFonts w:ascii="Arial" w:hAnsi="Arial" w:cs="Arial"/>
                <w:bCs w:val="0"/>
                <w:color w:val="auto"/>
              </w:rPr>
            </w:pPr>
            <w:r>
              <w:rPr>
                <w:rStyle w:val="Bold"/>
                <w:rFonts w:ascii="Arial" w:hAnsi="Arial" w:cs="Arial"/>
                <w:bCs w:val="0"/>
                <w:color w:val="auto"/>
              </w:rPr>
              <w:t>31/3/15</w:t>
            </w:r>
          </w:p>
          <w:p w:rsidR="00760B1B" w:rsidRPr="00760B1B" w:rsidRDefault="00760B1B" w:rsidP="00051379">
            <w:pPr>
              <w:pStyle w:val="TableRightBold"/>
              <w:jc w:val="center"/>
              <w:rPr>
                <w:rFonts w:ascii="Arial" w:hAnsi="Arial" w:cs="Arial"/>
                <w:color w:val="auto"/>
              </w:rPr>
            </w:pPr>
            <w:r w:rsidRPr="00760B1B">
              <w:rPr>
                <w:rStyle w:val="Bold"/>
                <w:rFonts w:ascii="Arial" w:hAnsi="Arial" w:cs="Arial"/>
                <w:bCs w:val="0"/>
                <w:color w:val="auto"/>
              </w:rPr>
              <w:t>£m</w:t>
            </w:r>
          </w:p>
        </w:tc>
        <w:tc>
          <w:tcPr>
            <w:tcW w:w="1031" w:type="dxa"/>
            <w:shd w:val="clear" w:color="auto" w:fill="4BACC6" w:themeFill="accent5"/>
          </w:tcPr>
          <w:p w:rsidR="00760B1B" w:rsidRDefault="008A57A2" w:rsidP="00FB5658">
            <w:pPr>
              <w:pStyle w:val="TableRightBold"/>
              <w:jc w:val="center"/>
              <w:cnfStyle w:val="000000100000"/>
              <w:rPr>
                <w:rStyle w:val="Bold"/>
                <w:rFonts w:ascii="Arial" w:hAnsi="Arial" w:cs="Arial"/>
                <w:b/>
                <w:bCs w:val="0"/>
                <w:color w:val="auto"/>
              </w:rPr>
            </w:pPr>
            <w:r>
              <w:rPr>
                <w:rStyle w:val="Bold"/>
                <w:rFonts w:ascii="Arial" w:hAnsi="Arial" w:cs="Arial"/>
                <w:b/>
                <w:bCs w:val="0"/>
                <w:color w:val="auto"/>
              </w:rPr>
              <w:t>31/3/16</w:t>
            </w:r>
          </w:p>
          <w:p w:rsidR="008A57A2" w:rsidRPr="00760B1B" w:rsidRDefault="008A57A2" w:rsidP="00FB5658">
            <w:pPr>
              <w:pStyle w:val="TableRightBold"/>
              <w:jc w:val="center"/>
              <w:cnfStyle w:val="000000100000"/>
              <w:rPr>
                <w:rFonts w:ascii="Arial" w:hAnsi="Arial" w:cs="Arial"/>
                <w:b w:val="0"/>
                <w:color w:val="auto"/>
              </w:rPr>
            </w:pPr>
            <w:r>
              <w:rPr>
                <w:rStyle w:val="Bold"/>
                <w:rFonts w:ascii="Arial" w:hAnsi="Arial" w:cs="Arial"/>
                <w:b/>
                <w:bCs w:val="0"/>
                <w:color w:val="auto"/>
              </w:rPr>
              <w:t>£m</w:t>
            </w:r>
          </w:p>
        </w:tc>
      </w:tr>
      <w:tr w:rsidR="00760B1B" w:rsidRPr="00760B1B" w:rsidTr="003805B6">
        <w:trPr>
          <w:trHeight w:val="60"/>
        </w:trPr>
        <w:tc>
          <w:tcPr>
            <w:cnfStyle w:val="000010000000"/>
            <w:tcW w:w="4616" w:type="dxa"/>
            <w:vAlign w:val="center"/>
          </w:tcPr>
          <w:p w:rsidR="00760B1B" w:rsidRPr="00760B1B" w:rsidRDefault="00760B1B" w:rsidP="00802E21">
            <w:pPr>
              <w:pStyle w:val="TableTextBold"/>
              <w:rPr>
                <w:rFonts w:ascii="Arial" w:hAnsi="Arial" w:cs="Arial"/>
                <w:b w:val="0"/>
                <w:color w:val="auto"/>
              </w:rPr>
            </w:pPr>
            <w:r w:rsidRPr="00760B1B">
              <w:rPr>
                <w:rFonts w:ascii="Arial" w:hAnsi="Arial" w:cs="Arial"/>
                <w:b w:val="0"/>
                <w:color w:val="auto"/>
              </w:rPr>
              <w:t>Present value of Funded Obligation</w:t>
            </w:r>
          </w:p>
        </w:tc>
        <w:tc>
          <w:tcPr>
            <w:tcW w:w="1004" w:type="dxa"/>
            <w:vAlign w:val="center"/>
          </w:tcPr>
          <w:p w:rsidR="00760B1B" w:rsidRPr="00760B1B" w:rsidRDefault="00760B1B" w:rsidP="00051379">
            <w:pPr>
              <w:pStyle w:val="NoParagraphStyle"/>
              <w:spacing w:line="240" w:lineRule="auto"/>
              <w:jc w:val="center"/>
              <w:textAlignment w:val="auto"/>
              <w:cnfStyle w:val="000000000000"/>
              <w:rPr>
                <w:rFonts w:ascii="Arial" w:hAnsi="Arial" w:cs="Arial"/>
                <w:color w:val="auto"/>
                <w:sz w:val="20"/>
                <w:szCs w:val="20"/>
              </w:rPr>
            </w:pPr>
            <w:r w:rsidRPr="00760B1B">
              <w:rPr>
                <w:rFonts w:ascii="Arial" w:hAnsi="Arial" w:cs="Arial"/>
                <w:color w:val="auto"/>
                <w:sz w:val="20"/>
                <w:szCs w:val="20"/>
              </w:rPr>
              <w:t>(336.7)</w:t>
            </w:r>
          </w:p>
        </w:tc>
        <w:tc>
          <w:tcPr>
            <w:cnfStyle w:val="000010000000"/>
            <w:tcW w:w="1004" w:type="dxa"/>
            <w:vAlign w:val="center"/>
          </w:tcPr>
          <w:p w:rsidR="00760B1B" w:rsidRPr="00760B1B" w:rsidRDefault="00760B1B" w:rsidP="00051379">
            <w:pPr>
              <w:pStyle w:val="NoParagraphStyle"/>
              <w:spacing w:line="240" w:lineRule="auto"/>
              <w:jc w:val="center"/>
              <w:textAlignment w:val="auto"/>
              <w:rPr>
                <w:rFonts w:ascii="Arial" w:hAnsi="Arial" w:cs="Arial"/>
                <w:color w:val="auto"/>
                <w:sz w:val="20"/>
                <w:szCs w:val="20"/>
              </w:rPr>
            </w:pPr>
            <w:r w:rsidRPr="00760B1B">
              <w:rPr>
                <w:rFonts w:ascii="Arial" w:hAnsi="Arial" w:cs="Arial"/>
                <w:color w:val="auto"/>
                <w:sz w:val="20"/>
                <w:szCs w:val="20"/>
              </w:rPr>
              <w:t>(402.0)</w:t>
            </w:r>
          </w:p>
        </w:tc>
        <w:tc>
          <w:tcPr>
            <w:tcW w:w="1031" w:type="dxa"/>
            <w:vAlign w:val="center"/>
          </w:tcPr>
          <w:p w:rsidR="00760B1B" w:rsidRPr="00760B1B" w:rsidRDefault="001E6E88" w:rsidP="00802E21">
            <w:pPr>
              <w:pStyle w:val="NoParagraphStyle"/>
              <w:spacing w:line="240" w:lineRule="auto"/>
              <w:jc w:val="center"/>
              <w:textAlignment w:val="auto"/>
              <w:cnfStyle w:val="000000000000"/>
              <w:rPr>
                <w:rFonts w:ascii="Arial" w:hAnsi="Arial" w:cs="Arial"/>
                <w:b/>
                <w:color w:val="auto"/>
                <w:sz w:val="20"/>
                <w:szCs w:val="20"/>
              </w:rPr>
            </w:pPr>
            <w:r>
              <w:rPr>
                <w:rFonts w:ascii="Arial" w:hAnsi="Arial" w:cs="Arial"/>
                <w:b/>
                <w:color w:val="auto"/>
                <w:sz w:val="20"/>
                <w:szCs w:val="20"/>
              </w:rPr>
              <w:t>(381.7)</w:t>
            </w:r>
          </w:p>
        </w:tc>
      </w:tr>
      <w:tr w:rsidR="00760B1B" w:rsidRPr="00760B1B" w:rsidTr="003805B6">
        <w:trPr>
          <w:cnfStyle w:val="000000100000"/>
          <w:trHeight w:val="60"/>
        </w:trPr>
        <w:tc>
          <w:tcPr>
            <w:cnfStyle w:val="000010000000"/>
            <w:tcW w:w="4616" w:type="dxa"/>
            <w:vAlign w:val="center"/>
          </w:tcPr>
          <w:p w:rsidR="00760B1B" w:rsidRPr="00760B1B" w:rsidRDefault="00760B1B" w:rsidP="00802E21">
            <w:pPr>
              <w:pStyle w:val="TableBullet"/>
              <w:rPr>
                <w:rFonts w:ascii="Arial" w:hAnsi="Arial" w:cs="Arial"/>
                <w:color w:val="auto"/>
              </w:rPr>
            </w:pPr>
            <w:r w:rsidRPr="00760B1B">
              <w:rPr>
                <w:rFonts w:ascii="Arial" w:hAnsi="Arial" w:cs="Arial"/>
                <w:color w:val="auto"/>
              </w:rPr>
              <w:t>Fair Value of Fund Assets (Bid Value)</w:t>
            </w:r>
          </w:p>
        </w:tc>
        <w:tc>
          <w:tcPr>
            <w:tcW w:w="1004" w:type="dxa"/>
            <w:vAlign w:val="center"/>
          </w:tcPr>
          <w:p w:rsidR="00760B1B" w:rsidRPr="00760B1B" w:rsidRDefault="00760B1B" w:rsidP="00051379">
            <w:pPr>
              <w:pStyle w:val="TableRight"/>
              <w:jc w:val="center"/>
              <w:cnfStyle w:val="000000100000"/>
              <w:rPr>
                <w:rFonts w:ascii="Arial" w:hAnsi="Arial" w:cs="Arial"/>
                <w:color w:val="auto"/>
              </w:rPr>
            </w:pPr>
            <w:r w:rsidRPr="00760B1B">
              <w:rPr>
                <w:rFonts w:ascii="Arial" w:hAnsi="Arial" w:cs="Arial"/>
                <w:color w:val="auto"/>
              </w:rPr>
              <w:t>225.7</w:t>
            </w:r>
          </w:p>
        </w:tc>
        <w:tc>
          <w:tcPr>
            <w:cnfStyle w:val="000010000000"/>
            <w:tcW w:w="1004" w:type="dxa"/>
            <w:vAlign w:val="center"/>
          </w:tcPr>
          <w:p w:rsidR="00760B1B" w:rsidRPr="00760B1B" w:rsidRDefault="00760B1B" w:rsidP="00051379">
            <w:pPr>
              <w:pStyle w:val="TableRight"/>
              <w:jc w:val="center"/>
              <w:rPr>
                <w:rFonts w:ascii="Arial" w:hAnsi="Arial" w:cs="Arial"/>
                <w:color w:val="auto"/>
              </w:rPr>
            </w:pPr>
            <w:r w:rsidRPr="00760B1B">
              <w:rPr>
                <w:rFonts w:ascii="Arial" w:hAnsi="Arial" w:cs="Arial"/>
                <w:color w:val="auto"/>
              </w:rPr>
              <w:t>244.1</w:t>
            </w:r>
          </w:p>
        </w:tc>
        <w:tc>
          <w:tcPr>
            <w:tcW w:w="1031" w:type="dxa"/>
            <w:vAlign w:val="center"/>
          </w:tcPr>
          <w:p w:rsidR="00760B1B" w:rsidRPr="00760B1B" w:rsidRDefault="001E6E88" w:rsidP="00802E21">
            <w:pPr>
              <w:pStyle w:val="TableRight"/>
              <w:jc w:val="center"/>
              <w:cnfStyle w:val="000000100000"/>
              <w:rPr>
                <w:rFonts w:ascii="Arial" w:hAnsi="Arial" w:cs="Arial"/>
                <w:b/>
                <w:color w:val="auto"/>
              </w:rPr>
            </w:pPr>
            <w:r>
              <w:rPr>
                <w:rFonts w:ascii="Arial" w:hAnsi="Arial" w:cs="Arial"/>
                <w:b/>
                <w:color w:val="auto"/>
              </w:rPr>
              <w:t>239.8</w:t>
            </w:r>
          </w:p>
        </w:tc>
      </w:tr>
      <w:tr w:rsidR="00760B1B" w:rsidRPr="00760B1B" w:rsidTr="003805B6">
        <w:trPr>
          <w:trHeight w:val="60"/>
        </w:trPr>
        <w:tc>
          <w:tcPr>
            <w:cnfStyle w:val="000010000000"/>
            <w:tcW w:w="4616" w:type="dxa"/>
            <w:vAlign w:val="center"/>
          </w:tcPr>
          <w:p w:rsidR="00760B1B" w:rsidRPr="00760B1B" w:rsidRDefault="00760B1B" w:rsidP="00802E21">
            <w:pPr>
              <w:pStyle w:val="TableBullet"/>
              <w:rPr>
                <w:rFonts w:ascii="Arial" w:hAnsi="Arial" w:cs="Arial"/>
                <w:b/>
                <w:color w:val="auto"/>
              </w:rPr>
            </w:pPr>
            <w:r w:rsidRPr="00760B1B">
              <w:rPr>
                <w:rFonts w:ascii="Arial" w:hAnsi="Arial" w:cs="Arial"/>
                <w:b/>
                <w:color w:val="auto"/>
              </w:rPr>
              <w:t>Net Liability</w:t>
            </w:r>
          </w:p>
        </w:tc>
        <w:tc>
          <w:tcPr>
            <w:tcW w:w="1004" w:type="dxa"/>
            <w:vAlign w:val="center"/>
          </w:tcPr>
          <w:p w:rsidR="00760B1B" w:rsidRPr="00760B1B" w:rsidRDefault="00760B1B" w:rsidP="00051379">
            <w:pPr>
              <w:pStyle w:val="TableRight"/>
              <w:jc w:val="center"/>
              <w:cnfStyle w:val="000000000000"/>
              <w:rPr>
                <w:rFonts w:ascii="Arial" w:hAnsi="Arial" w:cs="Arial"/>
                <w:color w:val="auto"/>
              </w:rPr>
            </w:pPr>
            <w:r w:rsidRPr="00760B1B">
              <w:rPr>
                <w:rFonts w:ascii="Arial" w:hAnsi="Arial" w:cs="Arial"/>
                <w:color w:val="auto"/>
              </w:rPr>
              <w:t>(111.0)</w:t>
            </w:r>
          </w:p>
        </w:tc>
        <w:tc>
          <w:tcPr>
            <w:cnfStyle w:val="000010000000"/>
            <w:tcW w:w="1004" w:type="dxa"/>
            <w:vAlign w:val="center"/>
          </w:tcPr>
          <w:p w:rsidR="00760B1B" w:rsidRPr="00760B1B" w:rsidRDefault="00760B1B" w:rsidP="00051379">
            <w:pPr>
              <w:pStyle w:val="TableRight"/>
              <w:jc w:val="center"/>
              <w:rPr>
                <w:rFonts w:ascii="Arial" w:hAnsi="Arial" w:cs="Arial"/>
                <w:color w:val="auto"/>
              </w:rPr>
            </w:pPr>
            <w:r w:rsidRPr="00760B1B">
              <w:rPr>
                <w:rFonts w:ascii="Arial" w:hAnsi="Arial" w:cs="Arial"/>
                <w:color w:val="auto"/>
              </w:rPr>
              <w:t>(157.9)</w:t>
            </w:r>
          </w:p>
        </w:tc>
        <w:tc>
          <w:tcPr>
            <w:tcW w:w="1031" w:type="dxa"/>
            <w:vAlign w:val="center"/>
          </w:tcPr>
          <w:p w:rsidR="00760B1B" w:rsidRPr="00760B1B" w:rsidRDefault="001E6E88" w:rsidP="00802E21">
            <w:pPr>
              <w:pStyle w:val="TableRight"/>
              <w:jc w:val="center"/>
              <w:cnfStyle w:val="000000000000"/>
              <w:rPr>
                <w:rFonts w:ascii="Arial" w:hAnsi="Arial" w:cs="Arial"/>
                <w:b/>
                <w:color w:val="auto"/>
              </w:rPr>
            </w:pPr>
            <w:r>
              <w:rPr>
                <w:rFonts w:ascii="Arial" w:hAnsi="Arial" w:cs="Arial"/>
                <w:b/>
                <w:color w:val="auto"/>
              </w:rPr>
              <w:t>(141.9)</w:t>
            </w:r>
          </w:p>
        </w:tc>
      </w:tr>
      <w:tr w:rsidR="00760B1B" w:rsidRPr="00760B1B" w:rsidTr="003805B6">
        <w:trPr>
          <w:cnfStyle w:val="000000100000"/>
          <w:trHeight w:val="60"/>
        </w:trPr>
        <w:tc>
          <w:tcPr>
            <w:cnfStyle w:val="000010000000"/>
            <w:tcW w:w="4616" w:type="dxa"/>
            <w:vAlign w:val="center"/>
          </w:tcPr>
          <w:p w:rsidR="00760B1B" w:rsidRPr="00760B1B" w:rsidRDefault="00760B1B" w:rsidP="00802E21">
            <w:pPr>
              <w:pStyle w:val="TableBullet"/>
              <w:rPr>
                <w:rFonts w:ascii="Arial" w:hAnsi="Arial" w:cs="Arial"/>
                <w:color w:val="auto"/>
              </w:rPr>
            </w:pPr>
            <w:r w:rsidRPr="00760B1B">
              <w:rPr>
                <w:rFonts w:ascii="Arial" w:hAnsi="Arial" w:cs="Arial"/>
                <w:color w:val="auto"/>
              </w:rPr>
              <w:t>Present value of Unfunded Obligation</w:t>
            </w:r>
          </w:p>
        </w:tc>
        <w:tc>
          <w:tcPr>
            <w:tcW w:w="1004" w:type="dxa"/>
            <w:vAlign w:val="center"/>
          </w:tcPr>
          <w:p w:rsidR="00760B1B" w:rsidRPr="00760B1B" w:rsidRDefault="00760B1B" w:rsidP="00051379">
            <w:pPr>
              <w:pStyle w:val="TableRight"/>
              <w:jc w:val="center"/>
              <w:cnfStyle w:val="000000100000"/>
              <w:rPr>
                <w:rFonts w:ascii="Arial" w:hAnsi="Arial" w:cs="Arial"/>
                <w:color w:val="auto"/>
              </w:rPr>
            </w:pPr>
            <w:r w:rsidRPr="00760B1B">
              <w:rPr>
                <w:rFonts w:ascii="Arial" w:hAnsi="Arial" w:cs="Arial"/>
                <w:color w:val="auto"/>
              </w:rPr>
              <w:t>(9.2)</w:t>
            </w:r>
          </w:p>
        </w:tc>
        <w:tc>
          <w:tcPr>
            <w:cnfStyle w:val="000010000000"/>
            <w:tcW w:w="1004" w:type="dxa"/>
            <w:vAlign w:val="center"/>
          </w:tcPr>
          <w:p w:rsidR="00760B1B" w:rsidRPr="00760B1B" w:rsidRDefault="00760B1B" w:rsidP="00051379">
            <w:pPr>
              <w:pStyle w:val="TableRight"/>
              <w:jc w:val="center"/>
              <w:rPr>
                <w:rFonts w:ascii="Arial" w:hAnsi="Arial" w:cs="Arial"/>
                <w:color w:val="auto"/>
              </w:rPr>
            </w:pPr>
            <w:r w:rsidRPr="00760B1B">
              <w:rPr>
                <w:rFonts w:ascii="Arial" w:hAnsi="Arial" w:cs="Arial"/>
                <w:color w:val="auto"/>
              </w:rPr>
              <w:t>(9.9)</w:t>
            </w:r>
          </w:p>
        </w:tc>
        <w:tc>
          <w:tcPr>
            <w:tcW w:w="1031" w:type="dxa"/>
            <w:vAlign w:val="center"/>
          </w:tcPr>
          <w:p w:rsidR="00760B1B" w:rsidRPr="00760B1B" w:rsidRDefault="001E6E88" w:rsidP="00A43AD8">
            <w:pPr>
              <w:pStyle w:val="TableRight"/>
              <w:jc w:val="center"/>
              <w:cnfStyle w:val="000000100000"/>
              <w:rPr>
                <w:rFonts w:ascii="Arial" w:hAnsi="Arial" w:cs="Arial"/>
                <w:b/>
                <w:color w:val="auto"/>
              </w:rPr>
            </w:pPr>
            <w:r>
              <w:rPr>
                <w:rFonts w:ascii="Arial" w:hAnsi="Arial" w:cs="Arial"/>
                <w:b/>
                <w:color w:val="auto"/>
              </w:rPr>
              <w:t>(9.</w:t>
            </w:r>
            <w:r w:rsidR="00A43AD8">
              <w:rPr>
                <w:rFonts w:ascii="Arial" w:hAnsi="Arial" w:cs="Arial"/>
                <w:b/>
                <w:color w:val="auto"/>
              </w:rPr>
              <w:t>1</w:t>
            </w:r>
            <w:r>
              <w:rPr>
                <w:rFonts w:ascii="Arial" w:hAnsi="Arial" w:cs="Arial"/>
                <w:b/>
                <w:color w:val="auto"/>
              </w:rPr>
              <w:t>)</w:t>
            </w:r>
          </w:p>
        </w:tc>
      </w:tr>
      <w:tr w:rsidR="00760B1B" w:rsidRPr="00760B1B" w:rsidTr="003805B6">
        <w:trPr>
          <w:trHeight w:val="60"/>
        </w:trPr>
        <w:tc>
          <w:tcPr>
            <w:cnfStyle w:val="000010000000"/>
            <w:tcW w:w="4616" w:type="dxa"/>
            <w:vAlign w:val="center"/>
          </w:tcPr>
          <w:p w:rsidR="00760B1B" w:rsidRPr="00760B1B" w:rsidRDefault="00760B1B" w:rsidP="00802E21">
            <w:pPr>
              <w:pStyle w:val="TableTextBold"/>
              <w:rPr>
                <w:rFonts w:ascii="Arial" w:hAnsi="Arial" w:cs="Arial"/>
                <w:color w:val="auto"/>
              </w:rPr>
            </w:pPr>
            <w:r w:rsidRPr="00760B1B">
              <w:rPr>
                <w:rFonts w:ascii="Arial" w:hAnsi="Arial" w:cs="Arial"/>
                <w:color w:val="auto"/>
              </w:rPr>
              <w:t>Net Liability in Balance Sheet</w:t>
            </w:r>
          </w:p>
        </w:tc>
        <w:tc>
          <w:tcPr>
            <w:tcW w:w="1004" w:type="dxa"/>
            <w:vAlign w:val="center"/>
          </w:tcPr>
          <w:p w:rsidR="00760B1B" w:rsidRPr="00760B1B" w:rsidRDefault="00760B1B" w:rsidP="00051379">
            <w:pPr>
              <w:pStyle w:val="TableTextBold"/>
              <w:jc w:val="center"/>
              <w:cnfStyle w:val="000000000000"/>
              <w:rPr>
                <w:rFonts w:ascii="Arial" w:hAnsi="Arial" w:cs="Arial"/>
                <w:b w:val="0"/>
                <w:color w:val="auto"/>
              </w:rPr>
            </w:pPr>
            <w:r w:rsidRPr="00760B1B">
              <w:rPr>
                <w:rFonts w:ascii="Arial" w:hAnsi="Arial" w:cs="Arial"/>
                <w:b w:val="0"/>
                <w:color w:val="auto"/>
              </w:rPr>
              <w:t>(120.2)</w:t>
            </w:r>
          </w:p>
        </w:tc>
        <w:tc>
          <w:tcPr>
            <w:cnfStyle w:val="000010000000"/>
            <w:tcW w:w="1004" w:type="dxa"/>
            <w:vAlign w:val="center"/>
          </w:tcPr>
          <w:p w:rsidR="00760B1B" w:rsidRPr="00760B1B" w:rsidRDefault="00760B1B" w:rsidP="00051379">
            <w:pPr>
              <w:pStyle w:val="TableTextBold"/>
              <w:jc w:val="center"/>
              <w:rPr>
                <w:rFonts w:ascii="Arial" w:hAnsi="Arial" w:cs="Arial"/>
                <w:b w:val="0"/>
                <w:color w:val="auto"/>
              </w:rPr>
            </w:pPr>
            <w:r w:rsidRPr="00760B1B">
              <w:rPr>
                <w:rFonts w:ascii="Arial" w:hAnsi="Arial" w:cs="Arial"/>
                <w:b w:val="0"/>
                <w:color w:val="auto"/>
              </w:rPr>
              <w:t>(167.8)</w:t>
            </w:r>
          </w:p>
        </w:tc>
        <w:tc>
          <w:tcPr>
            <w:tcW w:w="1031" w:type="dxa"/>
            <w:vAlign w:val="center"/>
          </w:tcPr>
          <w:p w:rsidR="00760B1B" w:rsidRPr="00760B1B" w:rsidRDefault="001E6E88" w:rsidP="00A43AD8">
            <w:pPr>
              <w:pStyle w:val="TableTextBold"/>
              <w:jc w:val="center"/>
              <w:cnfStyle w:val="000000000000"/>
              <w:rPr>
                <w:rFonts w:ascii="Arial" w:hAnsi="Arial" w:cs="Arial"/>
                <w:color w:val="auto"/>
              </w:rPr>
            </w:pPr>
            <w:r>
              <w:rPr>
                <w:rFonts w:ascii="Arial" w:hAnsi="Arial" w:cs="Arial"/>
                <w:color w:val="auto"/>
              </w:rPr>
              <w:t>(151.</w:t>
            </w:r>
            <w:r w:rsidR="00A43AD8">
              <w:rPr>
                <w:rFonts w:ascii="Arial" w:hAnsi="Arial" w:cs="Arial"/>
                <w:color w:val="auto"/>
              </w:rPr>
              <w:t>0</w:t>
            </w:r>
            <w:r>
              <w:rPr>
                <w:rFonts w:ascii="Arial" w:hAnsi="Arial" w:cs="Arial"/>
                <w:color w:val="auto"/>
              </w:rPr>
              <w:t>)</w:t>
            </w:r>
          </w:p>
        </w:tc>
      </w:tr>
    </w:tbl>
    <w:p w:rsidR="009A0E34" w:rsidRPr="00760B1B" w:rsidRDefault="009A0E34" w:rsidP="003C5E34">
      <w:pPr>
        <w:pStyle w:val="ExampleSub"/>
        <w:keepNext w:val="0"/>
        <w:keepLines w:val="0"/>
        <w:spacing w:before="0" w:line="240" w:lineRule="auto"/>
        <w:rPr>
          <w:rFonts w:ascii="Arial" w:hAnsi="Arial" w:cs="Arial"/>
          <w:b w:val="0"/>
          <w:bCs w:val="0"/>
          <w:color w:val="auto"/>
          <w:sz w:val="20"/>
          <w:szCs w:val="20"/>
          <w:lang w:eastAsia="en-US"/>
        </w:rPr>
      </w:pPr>
    </w:p>
    <w:p w:rsidR="009A0E34" w:rsidRPr="00760B1B" w:rsidRDefault="009A0E34" w:rsidP="003C5E34">
      <w:pPr>
        <w:pStyle w:val="ExampleSub"/>
        <w:keepNext w:val="0"/>
        <w:keepLines w:val="0"/>
        <w:spacing w:before="0" w:line="240" w:lineRule="auto"/>
        <w:rPr>
          <w:rFonts w:ascii="Arial" w:hAnsi="Arial" w:cs="Arial"/>
          <w:b w:val="0"/>
          <w:bCs w:val="0"/>
          <w:color w:val="auto"/>
          <w:sz w:val="20"/>
          <w:szCs w:val="20"/>
          <w:lang w:eastAsia="en-US"/>
        </w:rPr>
      </w:pPr>
    </w:p>
    <w:p w:rsidR="00DF06CF" w:rsidRPr="00760B1B" w:rsidRDefault="00DF06CF" w:rsidP="00FB5658">
      <w:pPr>
        <w:pStyle w:val="CodeNotesExampleText"/>
        <w:widowControl w:val="0"/>
        <w:ind w:left="567"/>
        <w:rPr>
          <w:rFonts w:cs="Arial"/>
          <w:b/>
          <w:color w:val="auto"/>
          <w:sz w:val="20"/>
          <w:szCs w:val="20"/>
        </w:rPr>
      </w:pPr>
      <w:r w:rsidRPr="00760B1B">
        <w:rPr>
          <w:rFonts w:cs="Arial"/>
          <w:b/>
          <w:color w:val="auto"/>
          <w:sz w:val="20"/>
          <w:szCs w:val="20"/>
        </w:rPr>
        <w:t>Comprehensive Income and Expenditure Statement</w:t>
      </w:r>
    </w:p>
    <w:p w:rsidR="00DF06CF" w:rsidRPr="00760B1B" w:rsidRDefault="00DF06CF" w:rsidP="00FB5658">
      <w:pPr>
        <w:pStyle w:val="CodeNotesExampleText"/>
        <w:widowControl w:val="0"/>
        <w:ind w:left="567"/>
        <w:rPr>
          <w:rFonts w:cs="Arial"/>
          <w:color w:val="auto"/>
          <w:sz w:val="20"/>
          <w:szCs w:val="20"/>
        </w:rPr>
      </w:pPr>
    </w:p>
    <w:p w:rsidR="00FB5658" w:rsidRPr="00760B1B" w:rsidRDefault="00672E76" w:rsidP="00BB57AD">
      <w:pPr>
        <w:pStyle w:val="CodeNotesExampleText"/>
        <w:widowControl w:val="0"/>
        <w:ind w:left="567"/>
        <w:rPr>
          <w:rFonts w:cs="Arial"/>
          <w:color w:val="auto"/>
          <w:sz w:val="20"/>
          <w:szCs w:val="20"/>
        </w:rPr>
      </w:pPr>
      <w:r w:rsidRPr="00760B1B">
        <w:rPr>
          <w:rFonts w:cs="Arial"/>
          <w:color w:val="auto"/>
          <w:sz w:val="20"/>
          <w:szCs w:val="20"/>
        </w:rPr>
        <w:t>The following transactions have been made in the Comprehensive Income and Expenditure Statement and the General Fund Balance via the Movement in Reserves Statement during the year:</w:t>
      </w:r>
    </w:p>
    <w:p w:rsidR="00FB5658" w:rsidRPr="00D42E0B" w:rsidRDefault="00FB5658" w:rsidP="00E13756">
      <w:pPr>
        <w:pStyle w:val="CodeNotesExampleText"/>
        <w:widowControl w:val="0"/>
        <w:ind w:left="567"/>
        <w:rPr>
          <w:rFonts w:cs="Arial"/>
          <w:color w:val="548DD4" w:themeColor="text2" w:themeTint="99"/>
          <w:sz w:val="20"/>
          <w:szCs w:val="20"/>
        </w:rPr>
      </w:pPr>
    </w:p>
    <w:tbl>
      <w:tblPr>
        <w:tblStyle w:val="ListTable3-Accent51"/>
        <w:tblW w:w="8222" w:type="dxa"/>
        <w:tblInd w:w="675" w:type="dxa"/>
        <w:tblLayout w:type="fixed"/>
        <w:tblLook w:val="0000"/>
      </w:tblPr>
      <w:tblGrid>
        <w:gridCol w:w="1560"/>
        <w:gridCol w:w="3969"/>
        <w:gridCol w:w="1275"/>
        <w:gridCol w:w="1418"/>
      </w:tblGrid>
      <w:tr w:rsidR="00FB5658" w:rsidRPr="00760B1B" w:rsidTr="00E26408">
        <w:trPr>
          <w:cnfStyle w:val="000000100000"/>
          <w:trHeight w:val="60"/>
        </w:trPr>
        <w:tc>
          <w:tcPr>
            <w:cnfStyle w:val="000010000000"/>
            <w:tcW w:w="8222" w:type="dxa"/>
            <w:gridSpan w:val="4"/>
            <w:shd w:val="clear" w:color="auto" w:fill="4BACC6" w:themeFill="accent5"/>
            <w:vAlign w:val="center"/>
          </w:tcPr>
          <w:p w:rsidR="00FB5658" w:rsidRPr="00760B1B" w:rsidRDefault="00FB5658" w:rsidP="00E26408">
            <w:pPr>
              <w:pStyle w:val="TableRightBold"/>
              <w:spacing w:line="240" w:lineRule="auto"/>
              <w:jc w:val="center"/>
              <w:rPr>
                <w:rStyle w:val="Bold"/>
                <w:rFonts w:ascii="Arial" w:hAnsi="Arial" w:cs="Arial"/>
                <w:b/>
                <w:bCs w:val="0"/>
                <w:color w:val="auto"/>
                <w:lang w:val="en-GB"/>
              </w:rPr>
            </w:pPr>
            <w:r w:rsidRPr="00760B1B">
              <w:rPr>
                <w:rStyle w:val="Bold"/>
                <w:rFonts w:ascii="Arial" w:hAnsi="Arial" w:cs="Arial"/>
                <w:b/>
                <w:bCs w:val="0"/>
                <w:color w:val="auto"/>
                <w:lang w:val="en-GB"/>
              </w:rPr>
              <w:t>Local Government Pension Scheme</w:t>
            </w:r>
          </w:p>
        </w:tc>
      </w:tr>
      <w:tr w:rsidR="00FB5658" w:rsidRPr="00760B1B" w:rsidTr="00E26408">
        <w:trPr>
          <w:trHeight w:val="405"/>
        </w:trPr>
        <w:tc>
          <w:tcPr>
            <w:cnfStyle w:val="000010000000"/>
            <w:tcW w:w="1560" w:type="dxa"/>
            <w:shd w:val="clear" w:color="auto" w:fill="4BACC6" w:themeFill="accent5"/>
            <w:vAlign w:val="center"/>
          </w:tcPr>
          <w:p w:rsidR="00FB5658" w:rsidRPr="00760B1B" w:rsidRDefault="00FB5658" w:rsidP="00E26408">
            <w:pPr>
              <w:pStyle w:val="NoParagraphStyle"/>
              <w:spacing w:line="240" w:lineRule="auto"/>
              <w:jc w:val="center"/>
              <w:textAlignment w:val="auto"/>
              <w:rPr>
                <w:rFonts w:ascii="Arial" w:hAnsi="Arial" w:cs="Arial"/>
                <w:b/>
                <w:color w:val="auto"/>
                <w:sz w:val="20"/>
                <w:szCs w:val="20"/>
              </w:rPr>
            </w:pPr>
          </w:p>
        </w:tc>
        <w:tc>
          <w:tcPr>
            <w:tcW w:w="3969" w:type="dxa"/>
            <w:shd w:val="clear" w:color="auto" w:fill="4BACC6" w:themeFill="accent5"/>
            <w:vAlign w:val="center"/>
          </w:tcPr>
          <w:p w:rsidR="00FB5658" w:rsidRPr="00760B1B" w:rsidRDefault="00FB5658" w:rsidP="00E26408">
            <w:pPr>
              <w:pStyle w:val="NoParagraphStyle"/>
              <w:spacing w:line="240" w:lineRule="auto"/>
              <w:jc w:val="center"/>
              <w:textAlignment w:val="auto"/>
              <w:cnfStyle w:val="000000000000"/>
              <w:rPr>
                <w:rFonts w:ascii="Arial" w:hAnsi="Arial" w:cs="Arial"/>
                <w:b/>
                <w:color w:val="auto"/>
                <w:sz w:val="20"/>
                <w:szCs w:val="20"/>
              </w:rPr>
            </w:pPr>
            <w:r w:rsidRPr="00760B1B">
              <w:rPr>
                <w:rFonts w:ascii="Arial" w:hAnsi="Arial" w:cs="Arial"/>
                <w:b/>
                <w:color w:val="auto"/>
                <w:sz w:val="20"/>
                <w:szCs w:val="20"/>
              </w:rPr>
              <w:t>Post Employment Benefits</w:t>
            </w:r>
          </w:p>
        </w:tc>
        <w:tc>
          <w:tcPr>
            <w:cnfStyle w:val="000010000000"/>
            <w:tcW w:w="2693" w:type="dxa"/>
            <w:gridSpan w:val="2"/>
            <w:shd w:val="clear" w:color="auto" w:fill="4BACC6" w:themeFill="accent5"/>
            <w:vAlign w:val="center"/>
          </w:tcPr>
          <w:p w:rsidR="00FB5658" w:rsidRPr="00760B1B" w:rsidRDefault="00FB5658" w:rsidP="00E26408">
            <w:pPr>
              <w:pStyle w:val="TableRightBold"/>
              <w:spacing w:line="240" w:lineRule="auto"/>
              <w:jc w:val="center"/>
              <w:rPr>
                <w:rFonts w:ascii="Arial" w:hAnsi="Arial" w:cs="Arial"/>
                <w:color w:val="auto"/>
              </w:rPr>
            </w:pPr>
          </w:p>
        </w:tc>
      </w:tr>
      <w:tr w:rsidR="00E26408" w:rsidRPr="00760B1B" w:rsidTr="00E26408">
        <w:trPr>
          <w:cnfStyle w:val="000000100000"/>
          <w:trHeight w:val="60"/>
        </w:trPr>
        <w:tc>
          <w:tcPr>
            <w:cnfStyle w:val="000010000000"/>
            <w:tcW w:w="1560" w:type="dxa"/>
            <w:shd w:val="clear" w:color="auto" w:fill="4BACC6" w:themeFill="accent5"/>
            <w:vAlign w:val="center"/>
          </w:tcPr>
          <w:p w:rsidR="00E26408" w:rsidRPr="00760B1B" w:rsidRDefault="00E26408" w:rsidP="00760B1B">
            <w:pPr>
              <w:pStyle w:val="NoParagraphStyle"/>
              <w:spacing w:line="240" w:lineRule="auto"/>
              <w:jc w:val="center"/>
              <w:textAlignment w:val="auto"/>
              <w:rPr>
                <w:rFonts w:ascii="Arial" w:hAnsi="Arial" w:cs="Arial"/>
                <w:b/>
                <w:color w:val="auto"/>
                <w:sz w:val="20"/>
                <w:szCs w:val="20"/>
              </w:rPr>
            </w:pPr>
            <w:r w:rsidRPr="00760B1B">
              <w:rPr>
                <w:rStyle w:val="Bold"/>
                <w:rFonts w:ascii="Arial" w:hAnsi="Arial" w:cs="Arial"/>
                <w:b w:val="0"/>
                <w:bCs/>
                <w:color w:val="auto"/>
                <w:sz w:val="20"/>
                <w:szCs w:val="20"/>
              </w:rPr>
              <w:t>201</w:t>
            </w:r>
            <w:r w:rsidR="00760B1B" w:rsidRPr="00760B1B">
              <w:rPr>
                <w:rStyle w:val="Bold"/>
                <w:rFonts w:ascii="Arial" w:hAnsi="Arial" w:cs="Arial"/>
                <w:b w:val="0"/>
                <w:bCs/>
                <w:color w:val="auto"/>
                <w:sz w:val="20"/>
                <w:szCs w:val="20"/>
              </w:rPr>
              <w:t>4</w:t>
            </w:r>
            <w:r w:rsidRPr="00760B1B">
              <w:rPr>
                <w:rStyle w:val="Bold"/>
                <w:rFonts w:ascii="Arial" w:hAnsi="Arial" w:cs="Arial"/>
                <w:b w:val="0"/>
                <w:bCs/>
                <w:color w:val="auto"/>
                <w:sz w:val="20"/>
                <w:szCs w:val="20"/>
              </w:rPr>
              <w:t>/1</w:t>
            </w:r>
            <w:r w:rsidR="00760B1B" w:rsidRPr="00760B1B">
              <w:rPr>
                <w:rStyle w:val="Bold"/>
                <w:rFonts w:ascii="Arial" w:hAnsi="Arial" w:cs="Arial"/>
                <w:b w:val="0"/>
                <w:bCs/>
                <w:color w:val="auto"/>
                <w:sz w:val="20"/>
                <w:szCs w:val="20"/>
              </w:rPr>
              <w:t>5</w:t>
            </w:r>
          </w:p>
        </w:tc>
        <w:tc>
          <w:tcPr>
            <w:tcW w:w="5244" w:type="dxa"/>
            <w:gridSpan w:val="2"/>
            <w:shd w:val="clear" w:color="auto" w:fill="4BACC6" w:themeFill="accent5"/>
            <w:vAlign w:val="center"/>
          </w:tcPr>
          <w:p w:rsidR="00E26408" w:rsidRPr="00760B1B" w:rsidRDefault="00E26408" w:rsidP="00E26408">
            <w:pPr>
              <w:pStyle w:val="NoParagraphStyle"/>
              <w:spacing w:line="240" w:lineRule="auto"/>
              <w:jc w:val="center"/>
              <w:textAlignment w:val="auto"/>
              <w:cnfStyle w:val="000000100000"/>
              <w:rPr>
                <w:rFonts w:ascii="Arial" w:hAnsi="Arial" w:cs="Arial"/>
                <w:b/>
                <w:color w:val="auto"/>
                <w:sz w:val="20"/>
                <w:szCs w:val="20"/>
              </w:rPr>
            </w:pPr>
            <w:r w:rsidRPr="00760B1B">
              <w:rPr>
                <w:rFonts w:ascii="Arial" w:hAnsi="Arial" w:cs="Arial"/>
                <w:b/>
                <w:color w:val="auto"/>
                <w:sz w:val="20"/>
                <w:szCs w:val="20"/>
              </w:rPr>
              <w:t>Comprehensive Income &amp; Expenditure Statement</w:t>
            </w:r>
          </w:p>
        </w:tc>
        <w:tc>
          <w:tcPr>
            <w:cnfStyle w:val="000010000000"/>
            <w:tcW w:w="1418" w:type="dxa"/>
            <w:shd w:val="clear" w:color="auto" w:fill="4BACC6" w:themeFill="accent5"/>
            <w:vAlign w:val="center"/>
          </w:tcPr>
          <w:p w:rsidR="00E26408" w:rsidRPr="00760B1B" w:rsidRDefault="00E26408" w:rsidP="00760B1B">
            <w:pPr>
              <w:pStyle w:val="TableRightBold"/>
              <w:spacing w:line="240" w:lineRule="auto"/>
              <w:jc w:val="center"/>
              <w:rPr>
                <w:rFonts w:ascii="Arial" w:hAnsi="Arial" w:cs="Arial"/>
                <w:b w:val="0"/>
                <w:color w:val="auto"/>
              </w:rPr>
            </w:pPr>
            <w:r w:rsidRPr="00760B1B">
              <w:rPr>
                <w:rStyle w:val="Bold"/>
                <w:rFonts w:ascii="Arial" w:hAnsi="Arial" w:cs="Arial"/>
                <w:b/>
                <w:bCs w:val="0"/>
                <w:color w:val="auto"/>
              </w:rPr>
              <w:t>201</w:t>
            </w:r>
            <w:r w:rsidR="00760B1B" w:rsidRPr="00760B1B">
              <w:rPr>
                <w:rStyle w:val="Bold"/>
                <w:rFonts w:ascii="Arial" w:hAnsi="Arial" w:cs="Arial"/>
                <w:b/>
                <w:bCs w:val="0"/>
                <w:color w:val="auto"/>
              </w:rPr>
              <w:t>5</w:t>
            </w:r>
            <w:r w:rsidRPr="00760B1B">
              <w:rPr>
                <w:rStyle w:val="Bold"/>
                <w:rFonts w:ascii="Arial" w:hAnsi="Arial" w:cs="Arial"/>
                <w:b/>
                <w:bCs w:val="0"/>
                <w:color w:val="auto"/>
              </w:rPr>
              <w:t>/1</w:t>
            </w:r>
            <w:r w:rsidR="00760B1B" w:rsidRPr="00760B1B">
              <w:rPr>
                <w:rStyle w:val="Bold"/>
                <w:rFonts w:ascii="Arial" w:hAnsi="Arial" w:cs="Arial"/>
                <w:b/>
                <w:bCs w:val="0"/>
                <w:color w:val="auto"/>
              </w:rPr>
              <w:t>6</w:t>
            </w:r>
          </w:p>
        </w:tc>
      </w:tr>
      <w:tr w:rsidR="00FB5658" w:rsidRPr="00760B1B" w:rsidTr="00E26408">
        <w:trPr>
          <w:trHeight w:val="57"/>
        </w:trPr>
        <w:tc>
          <w:tcPr>
            <w:cnfStyle w:val="000010000000"/>
            <w:tcW w:w="1560" w:type="dxa"/>
            <w:shd w:val="clear" w:color="auto" w:fill="4BACC6" w:themeFill="accent5"/>
            <w:vAlign w:val="center"/>
          </w:tcPr>
          <w:p w:rsidR="00FB5658" w:rsidRPr="00760B1B" w:rsidRDefault="00FB5658" w:rsidP="00E26408">
            <w:pPr>
              <w:pStyle w:val="TableItalic"/>
              <w:spacing w:line="240" w:lineRule="auto"/>
              <w:jc w:val="center"/>
              <w:rPr>
                <w:rStyle w:val="Italic"/>
                <w:rFonts w:ascii="Arial" w:hAnsi="Arial" w:cs="Arial"/>
                <w:iCs w:val="0"/>
                <w:color w:val="auto"/>
                <w:u w:val="single"/>
              </w:rPr>
            </w:pPr>
            <w:r w:rsidRPr="00760B1B">
              <w:rPr>
                <w:rStyle w:val="Bold"/>
                <w:rFonts w:ascii="Arial" w:hAnsi="Arial" w:cs="Arial"/>
                <w:b w:val="0"/>
                <w:bCs/>
                <w:i w:val="0"/>
                <w:color w:val="auto"/>
              </w:rPr>
              <w:t>£m</w:t>
            </w:r>
          </w:p>
        </w:tc>
        <w:tc>
          <w:tcPr>
            <w:tcW w:w="5244" w:type="dxa"/>
            <w:gridSpan w:val="2"/>
            <w:shd w:val="clear" w:color="auto" w:fill="4BACC6" w:themeFill="accent5"/>
            <w:vAlign w:val="center"/>
          </w:tcPr>
          <w:p w:rsidR="00FB5658" w:rsidRPr="00760B1B" w:rsidRDefault="00FB5658" w:rsidP="00E26408">
            <w:pPr>
              <w:pStyle w:val="TableItalic"/>
              <w:spacing w:line="240" w:lineRule="auto"/>
              <w:jc w:val="center"/>
              <w:cnfStyle w:val="000000000000"/>
              <w:rPr>
                <w:rStyle w:val="Italic"/>
                <w:rFonts w:ascii="Arial" w:hAnsi="Arial" w:cs="Arial"/>
                <w:iCs w:val="0"/>
                <w:color w:val="auto"/>
                <w:u w:val="single"/>
              </w:rPr>
            </w:pPr>
          </w:p>
        </w:tc>
        <w:tc>
          <w:tcPr>
            <w:cnfStyle w:val="000010000000"/>
            <w:tcW w:w="1418" w:type="dxa"/>
            <w:shd w:val="clear" w:color="auto" w:fill="4BACC6" w:themeFill="accent5"/>
            <w:vAlign w:val="center"/>
          </w:tcPr>
          <w:p w:rsidR="00FB5658" w:rsidRPr="00760B1B" w:rsidRDefault="00FB5658" w:rsidP="00E26408">
            <w:pPr>
              <w:pStyle w:val="NoParagraphStyle"/>
              <w:spacing w:line="240" w:lineRule="auto"/>
              <w:jc w:val="center"/>
              <w:textAlignment w:val="auto"/>
              <w:rPr>
                <w:rFonts w:ascii="Arial" w:hAnsi="Arial" w:cs="Arial"/>
                <w:color w:val="auto"/>
                <w:sz w:val="18"/>
                <w:szCs w:val="18"/>
              </w:rPr>
            </w:pPr>
            <w:r w:rsidRPr="00760B1B">
              <w:rPr>
                <w:rStyle w:val="Bold"/>
                <w:rFonts w:ascii="Arial" w:hAnsi="Arial" w:cs="Arial"/>
                <w:b w:val="0"/>
                <w:bCs/>
                <w:color w:val="auto"/>
                <w:sz w:val="18"/>
                <w:szCs w:val="18"/>
              </w:rPr>
              <w:t>£m</w:t>
            </w:r>
          </w:p>
        </w:tc>
      </w:tr>
      <w:tr w:rsidR="00FB5658" w:rsidRPr="00760B1B" w:rsidTr="00E26408">
        <w:trPr>
          <w:cnfStyle w:val="000000100000"/>
          <w:trHeight w:val="57"/>
        </w:trPr>
        <w:tc>
          <w:tcPr>
            <w:cnfStyle w:val="000010000000"/>
            <w:tcW w:w="1560" w:type="dxa"/>
            <w:vAlign w:val="center"/>
          </w:tcPr>
          <w:p w:rsidR="00FB5658" w:rsidRPr="00760B1B" w:rsidRDefault="00FB5658" w:rsidP="00E26408">
            <w:pPr>
              <w:pStyle w:val="TableRight"/>
              <w:spacing w:before="0" w:line="240" w:lineRule="auto"/>
              <w:jc w:val="center"/>
              <w:rPr>
                <w:rFonts w:ascii="Arial" w:hAnsi="Arial" w:cs="Arial"/>
                <w:color w:val="auto"/>
              </w:rPr>
            </w:pPr>
          </w:p>
        </w:tc>
        <w:tc>
          <w:tcPr>
            <w:tcW w:w="5244" w:type="dxa"/>
            <w:gridSpan w:val="2"/>
            <w:vAlign w:val="center"/>
          </w:tcPr>
          <w:p w:rsidR="00FB5658" w:rsidRPr="00760B1B" w:rsidRDefault="00FB5658" w:rsidP="00E26408">
            <w:pPr>
              <w:pStyle w:val="TableItalic"/>
              <w:spacing w:line="240" w:lineRule="auto"/>
              <w:cnfStyle w:val="000000100000"/>
              <w:rPr>
                <w:rFonts w:ascii="Arial" w:hAnsi="Arial" w:cs="Arial"/>
                <w:b/>
                <w:color w:val="auto"/>
                <w:sz w:val="20"/>
                <w:szCs w:val="20"/>
              </w:rPr>
            </w:pPr>
            <w:r w:rsidRPr="00760B1B">
              <w:rPr>
                <w:rStyle w:val="Italic"/>
                <w:rFonts w:ascii="Arial" w:hAnsi="Arial" w:cs="Arial"/>
                <w:b/>
                <w:iCs w:val="0"/>
                <w:color w:val="auto"/>
                <w:sz w:val="20"/>
                <w:szCs w:val="20"/>
              </w:rPr>
              <w:t>Cost of Services:</w:t>
            </w:r>
          </w:p>
        </w:tc>
        <w:tc>
          <w:tcPr>
            <w:cnfStyle w:val="000010000000"/>
            <w:tcW w:w="1418" w:type="dxa"/>
            <w:vAlign w:val="center"/>
          </w:tcPr>
          <w:p w:rsidR="00FB5658" w:rsidRPr="00760B1B" w:rsidRDefault="00FB5658" w:rsidP="00E26408">
            <w:pPr>
              <w:pStyle w:val="NoParagraphStyle"/>
              <w:spacing w:line="240" w:lineRule="auto"/>
              <w:jc w:val="center"/>
              <w:textAlignment w:val="auto"/>
              <w:rPr>
                <w:rFonts w:ascii="Arial" w:hAnsi="Arial" w:cs="Arial"/>
                <w:color w:val="auto"/>
                <w:sz w:val="20"/>
                <w:szCs w:val="20"/>
              </w:rPr>
            </w:pPr>
          </w:p>
        </w:tc>
      </w:tr>
      <w:tr w:rsidR="00760B1B" w:rsidRPr="00760B1B" w:rsidTr="00E26408">
        <w:trPr>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6.5</w:t>
            </w:r>
          </w:p>
        </w:tc>
        <w:tc>
          <w:tcPr>
            <w:tcW w:w="5244" w:type="dxa"/>
            <w:gridSpan w:val="2"/>
            <w:vAlign w:val="center"/>
          </w:tcPr>
          <w:p w:rsidR="00760B1B" w:rsidRPr="00760B1B" w:rsidRDefault="00760B1B" w:rsidP="00E26408">
            <w:pPr>
              <w:pStyle w:val="TableBullet"/>
              <w:spacing w:before="0" w:line="240" w:lineRule="auto"/>
              <w:cnfStyle w:val="000000000000"/>
              <w:rPr>
                <w:rFonts w:ascii="Arial" w:hAnsi="Arial" w:cs="Arial"/>
                <w:color w:val="auto"/>
              </w:rPr>
            </w:pPr>
            <w:r w:rsidRPr="00760B1B">
              <w:rPr>
                <w:rFonts w:ascii="Arial" w:hAnsi="Arial" w:cs="Arial"/>
                <w:color w:val="auto"/>
              </w:rPr>
              <w:t>Current service cost</w:t>
            </w:r>
          </w:p>
        </w:tc>
        <w:tc>
          <w:tcPr>
            <w:cnfStyle w:val="000010000000"/>
            <w:tcW w:w="1418" w:type="dxa"/>
            <w:vAlign w:val="center"/>
          </w:tcPr>
          <w:p w:rsidR="00760B1B" w:rsidRPr="00760B1B" w:rsidRDefault="009D3D44" w:rsidP="009D3D44">
            <w:pPr>
              <w:pStyle w:val="TableRight"/>
              <w:spacing w:before="0" w:line="240" w:lineRule="auto"/>
              <w:jc w:val="center"/>
              <w:rPr>
                <w:rFonts w:ascii="Arial" w:hAnsi="Arial" w:cs="Arial"/>
                <w:b/>
                <w:color w:val="auto"/>
              </w:rPr>
            </w:pPr>
            <w:r>
              <w:rPr>
                <w:rFonts w:ascii="Arial" w:hAnsi="Arial" w:cs="Arial"/>
                <w:b/>
                <w:color w:val="auto"/>
              </w:rPr>
              <w:t>8.0</w:t>
            </w:r>
          </w:p>
        </w:tc>
      </w:tr>
      <w:tr w:rsidR="00760B1B" w:rsidRPr="00760B1B" w:rsidTr="00E26408">
        <w:trPr>
          <w:cnfStyle w:val="000000100000"/>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0.3</w:t>
            </w:r>
          </w:p>
        </w:tc>
        <w:tc>
          <w:tcPr>
            <w:tcW w:w="5244" w:type="dxa"/>
            <w:gridSpan w:val="2"/>
            <w:vAlign w:val="center"/>
          </w:tcPr>
          <w:p w:rsidR="00760B1B" w:rsidRPr="00760B1B" w:rsidRDefault="00760B1B" w:rsidP="00E26408">
            <w:pPr>
              <w:pStyle w:val="TableBullet"/>
              <w:spacing w:before="0" w:line="240" w:lineRule="auto"/>
              <w:cnfStyle w:val="000000100000"/>
              <w:rPr>
                <w:rFonts w:ascii="Arial" w:hAnsi="Arial" w:cs="Arial"/>
                <w:color w:val="auto"/>
              </w:rPr>
            </w:pPr>
            <w:r w:rsidRPr="00760B1B">
              <w:rPr>
                <w:rFonts w:ascii="Arial" w:hAnsi="Arial" w:cs="Arial"/>
                <w:color w:val="auto"/>
              </w:rPr>
              <w:t>Past service costs</w:t>
            </w:r>
          </w:p>
        </w:tc>
        <w:tc>
          <w:tcPr>
            <w:cnfStyle w:val="000010000000"/>
            <w:tcW w:w="1418" w:type="dxa"/>
            <w:vAlign w:val="center"/>
          </w:tcPr>
          <w:p w:rsidR="00760B1B" w:rsidRPr="00760B1B" w:rsidRDefault="009D3D44" w:rsidP="00E26408">
            <w:pPr>
              <w:pStyle w:val="TableRight"/>
              <w:spacing w:before="0" w:line="240" w:lineRule="auto"/>
              <w:jc w:val="center"/>
              <w:rPr>
                <w:rFonts w:ascii="Arial" w:hAnsi="Arial" w:cs="Arial"/>
                <w:b/>
                <w:color w:val="auto"/>
              </w:rPr>
            </w:pPr>
            <w:r>
              <w:rPr>
                <w:rFonts w:ascii="Arial" w:hAnsi="Arial" w:cs="Arial"/>
                <w:b/>
                <w:color w:val="auto"/>
              </w:rPr>
              <w:t>0</w:t>
            </w:r>
          </w:p>
        </w:tc>
      </w:tr>
      <w:tr w:rsidR="00760B1B" w:rsidRPr="00760B1B" w:rsidTr="00E26408">
        <w:trPr>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(1.2)</w:t>
            </w:r>
          </w:p>
        </w:tc>
        <w:tc>
          <w:tcPr>
            <w:tcW w:w="5244" w:type="dxa"/>
            <w:gridSpan w:val="2"/>
            <w:vAlign w:val="center"/>
          </w:tcPr>
          <w:p w:rsidR="00760B1B" w:rsidRPr="00760B1B" w:rsidRDefault="00760B1B" w:rsidP="00E26408">
            <w:pPr>
              <w:pStyle w:val="TableBullet"/>
              <w:spacing w:before="0" w:line="240" w:lineRule="auto"/>
              <w:cnfStyle w:val="000000000000"/>
              <w:rPr>
                <w:rFonts w:ascii="Arial" w:hAnsi="Arial" w:cs="Arial"/>
                <w:color w:val="auto"/>
              </w:rPr>
            </w:pPr>
            <w:r w:rsidRPr="00760B1B">
              <w:rPr>
                <w:rFonts w:ascii="Arial" w:hAnsi="Arial" w:cs="Arial"/>
                <w:color w:val="auto"/>
              </w:rPr>
              <w:t>Settlements and curtailments</w:t>
            </w:r>
          </w:p>
        </w:tc>
        <w:tc>
          <w:tcPr>
            <w:cnfStyle w:val="000010000000"/>
            <w:tcW w:w="1418" w:type="dxa"/>
            <w:vAlign w:val="center"/>
          </w:tcPr>
          <w:p w:rsidR="00760B1B" w:rsidRPr="00760B1B" w:rsidRDefault="009D3D44" w:rsidP="00135A9B">
            <w:pPr>
              <w:pStyle w:val="TableRight"/>
              <w:spacing w:before="0" w:line="240" w:lineRule="auto"/>
              <w:jc w:val="center"/>
              <w:rPr>
                <w:rFonts w:ascii="Arial" w:hAnsi="Arial" w:cs="Arial"/>
                <w:b/>
                <w:color w:val="auto"/>
              </w:rPr>
            </w:pPr>
            <w:r>
              <w:rPr>
                <w:rFonts w:ascii="Arial" w:hAnsi="Arial" w:cs="Arial"/>
                <w:b/>
                <w:color w:val="auto"/>
              </w:rPr>
              <w:t>(1.</w:t>
            </w:r>
            <w:r w:rsidR="00135A9B">
              <w:rPr>
                <w:rFonts w:ascii="Arial" w:hAnsi="Arial" w:cs="Arial"/>
                <w:b/>
                <w:color w:val="auto"/>
              </w:rPr>
              <w:t>5</w:t>
            </w:r>
            <w:r>
              <w:rPr>
                <w:rFonts w:ascii="Arial" w:hAnsi="Arial" w:cs="Arial"/>
                <w:b/>
                <w:color w:val="auto"/>
              </w:rPr>
              <w:t>)</w:t>
            </w:r>
          </w:p>
        </w:tc>
      </w:tr>
      <w:tr w:rsidR="00760B1B" w:rsidRPr="00760B1B" w:rsidTr="00E26408">
        <w:trPr>
          <w:cnfStyle w:val="000000100000"/>
          <w:trHeight w:val="57"/>
        </w:trPr>
        <w:tc>
          <w:tcPr>
            <w:cnfStyle w:val="000010000000"/>
            <w:tcW w:w="1560" w:type="dxa"/>
            <w:vAlign w:val="center"/>
          </w:tcPr>
          <w:p w:rsidR="00760B1B" w:rsidRPr="00C32ECC" w:rsidRDefault="00760B1B" w:rsidP="00051379">
            <w:pPr>
              <w:pStyle w:val="TableRight"/>
              <w:spacing w:line="240" w:lineRule="auto"/>
              <w:jc w:val="center"/>
              <w:rPr>
                <w:rFonts w:ascii="Arial" w:hAnsi="Arial" w:cs="Arial"/>
                <w:color w:val="auto"/>
              </w:rPr>
            </w:pPr>
            <w:r w:rsidRPr="00C32ECC">
              <w:rPr>
                <w:rFonts w:ascii="Arial" w:hAnsi="Arial" w:cs="Arial"/>
                <w:color w:val="auto"/>
              </w:rPr>
              <w:t>0.1</w:t>
            </w:r>
          </w:p>
        </w:tc>
        <w:tc>
          <w:tcPr>
            <w:tcW w:w="5244" w:type="dxa"/>
            <w:gridSpan w:val="2"/>
            <w:vAlign w:val="center"/>
          </w:tcPr>
          <w:p w:rsidR="00760B1B" w:rsidRPr="00760B1B" w:rsidRDefault="007E33E1" w:rsidP="00E26408">
            <w:pPr>
              <w:pStyle w:val="TableBullet"/>
              <w:spacing w:line="240" w:lineRule="auto"/>
              <w:cnfStyle w:val="000000100000"/>
              <w:rPr>
                <w:rFonts w:ascii="Arial" w:hAnsi="Arial" w:cs="Arial"/>
                <w:color w:val="auto"/>
              </w:rPr>
            </w:pPr>
            <w:r w:rsidRPr="00760B1B">
              <w:rPr>
                <w:rFonts w:ascii="Arial" w:hAnsi="Arial" w:cs="Arial"/>
                <w:color w:val="auto"/>
              </w:rPr>
              <w:t>Administration</w:t>
            </w:r>
            <w:r w:rsidR="00760B1B" w:rsidRPr="00760B1B">
              <w:rPr>
                <w:rFonts w:ascii="Arial" w:hAnsi="Arial" w:cs="Arial"/>
                <w:color w:val="auto"/>
              </w:rPr>
              <w:t xml:space="preserve"> Expenses</w:t>
            </w:r>
          </w:p>
        </w:tc>
        <w:tc>
          <w:tcPr>
            <w:cnfStyle w:val="000010000000"/>
            <w:tcW w:w="1418" w:type="dxa"/>
            <w:vAlign w:val="center"/>
          </w:tcPr>
          <w:p w:rsidR="00760B1B" w:rsidRPr="00760B1B" w:rsidRDefault="009D3D44" w:rsidP="00E26408">
            <w:pPr>
              <w:pStyle w:val="TableRight"/>
              <w:spacing w:line="240" w:lineRule="auto"/>
              <w:jc w:val="center"/>
              <w:rPr>
                <w:rFonts w:ascii="Arial" w:hAnsi="Arial" w:cs="Arial"/>
                <w:b/>
                <w:color w:val="auto"/>
              </w:rPr>
            </w:pPr>
            <w:r>
              <w:rPr>
                <w:rFonts w:ascii="Arial" w:hAnsi="Arial" w:cs="Arial"/>
                <w:b/>
                <w:color w:val="auto"/>
              </w:rPr>
              <w:t>0.1</w:t>
            </w:r>
          </w:p>
        </w:tc>
      </w:tr>
      <w:tr w:rsidR="00760B1B" w:rsidRPr="00760B1B" w:rsidTr="00E26408">
        <w:trPr>
          <w:trHeight w:val="57"/>
        </w:trPr>
        <w:tc>
          <w:tcPr>
            <w:cnfStyle w:val="000010000000"/>
            <w:tcW w:w="1560" w:type="dxa"/>
            <w:vAlign w:val="center"/>
          </w:tcPr>
          <w:p w:rsidR="00760B1B" w:rsidRPr="00C32ECC" w:rsidRDefault="00760B1B" w:rsidP="00051379">
            <w:pPr>
              <w:pStyle w:val="NoParagraphStyle"/>
              <w:spacing w:line="240" w:lineRule="auto"/>
              <w:jc w:val="center"/>
              <w:textAlignment w:val="auto"/>
              <w:rPr>
                <w:rFonts w:ascii="Arial" w:hAnsi="Arial" w:cs="Arial"/>
                <w:color w:val="auto"/>
                <w:sz w:val="20"/>
                <w:szCs w:val="20"/>
              </w:rPr>
            </w:pPr>
          </w:p>
        </w:tc>
        <w:tc>
          <w:tcPr>
            <w:tcW w:w="5244" w:type="dxa"/>
            <w:gridSpan w:val="2"/>
            <w:vAlign w:val="center"/>
          </w:tcPr>
          <w:p w:rsidR="00760B1B" w:rsidRPr="00760B1B" w:rsidRDefault="00760B1B" w:rsidP="00E26408">
            <w:pPr>
              <w:pStyle w:val="TableItalic"/>
              <w:spacing w:after="0"/>
              <w:cnfStyle w:val="000000000000"/>
              <w:rPr>
                <w:rFonts w:ascii="Arial" w:hAnsi="Arial" w:cs="Arial"/>
                <w:b/>
                <w:color w:val="auto"/>
                <w:sz w:val="20"/>
                <w:szCs w:val="20"/>
              </w:rPr>
            </w:pPr>
            <w:r w:rsidRPr="00760B1B">
              <w:rPr>
                <w:rStyle w:val="Italic"/>
                <w:rFonts w:ascii="Arial" w:hAnsi="Arial" w:cs="Arial"/>
                <w:b/>
                <w:iCs w:val="0"/>
                <w:color w:val="auto"/>
                <w:sz w:val="20"/>
                <w:szCs w:val="20"/>
              </w:rPr>
              <w:t>Financing and Investment Income and Expenditure</w:t>
            </w:r>
          </w:p>
        </w:tc>
        <w:tc>
          <w:tcPr>
            <w:cnfStyle w:val="000010000000"/>
            <w:tcW w:w="1418" w:type="dxa"/>
            <w:vAlign w:val="center"/>
          </w:tcPr>
          <w:p w:rsidR="00760B1B" w:rsidRPr="00760B1B" w:rsidRDefault="00760B1B" w:rsidP="00E26408">
            <w:pPr>
              <w:pStyle w:val="NoParagraphStyle"/>
              <w:spacing w:line="240" w:lineRule="auto"/>
              <w:jc w:val="center"/>
              <w:textAlignment w:val="auto"/>
              <w:rPr>
                <w:rFonts w:ascii="Arial" w:hAnsi="Arial" w:cs="Arial"/>
                <w:b/>
                <w:color w:val="auto"/>
                <w:sz w:val="20"/>
                <w:szCs w:val="20"/>
              </w:rPr>
            </w:pPr>
          </w:p>
        </w:tc>
      </w:tr>
      <w:tr w:rsidR="00760B1B" w:rsidRPr="00760B1B" w:rsidTr="00E26408">
        <w:trPr>
          <w:cnfStyle w:val="000000100000"/>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5.2</w:t>
            </w:r>
          </w:p>
        </w:tc>
        <w:tc>
          <w:tcPr>
            <w:tcW w:w="5244" w:type="dxa"/>
            <w:gridSpan w:val="2"/>
            <w:vAlign w:val="center"/>
          </w:tcPr>
          <w:p w:rsidR="00760B1B" w:rsidRPr="00760B1B" w:rsidRDefault="00760B1B" w:rsidP="00E26408">
            <w:pPr>
              <w:pStyle w:val="TableBullet"/>
              <w:spacing w:before="0" w:line="240" w:lineRule="auto"/>
              <w:cnfStyle w:val="000000100000"/>
              <w:rPr>
                <w:rFonts w:ascii="Arial" w:hAnsi="Arial" w:cs="Arial"/>
                <w:color w:val="auto"/>
              </w:rPr>
            </w:pPr>
            <w:r w:rsidRPr="00760B1B">
              <w:rPr>
                <w:rFonts w:ascii="Arial" w:hAnsi="Arial" w:cs="Arial"/>
                <w:color w:val="auto"/>
              </w:rPr>
              <w:t>Net Interest on the defined benefit liability</w:t>
            </w:r>
          </w:p>
        </w:tc>
        <w:tc>
          <w:tcPr>
            <w:cnfStyle w:val="000010000000"/>
            <w:tcW w:w="1418" w:type="dxa"/>
            <w:vAlign w:val="center"/>
          </w:tcPr>
          <w:p w:rsidR="00760B1B" w:rsidRPr="00760B1B" w:rsidRDefault="009D3D44" w:rsidP="00E26408">
            <w:pPr>
              <w:pStyle w:val="TableRight"/>
              <w:spacing w:before="0" w:line="240" w:lineRule="auto"/>
              <w:jc w:val="center"/>
              <w:rPr>
                <w:rFonts w:ascii="Arial" w:hAnsi="Arial" w:cs="Arial"/>
                <w:b/>
                <w:color w:val="auto"/>
              </w:rPr>
            </w:pPr>
            <w:r>
              <w:rPr>
                <w:rFonts w:ascii="Arial" w:hAnsi="Arial" w:cs="Arial"/>
                <w:b/>
                <w:color w:val="auto"/>
              </w:rPr>
              <w:t>5.4</w:t>
            </w:r>
          </w:p>
        </w:tc>
      </w:tr>
      <w:tr w:rsidR="00760B1B" w:rsidRPr="00760B1B" w:rsidTr="00E26408">
        <w:trPr>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 xml:space="preserve">10.9 </w:t>
            </w:r>
          </w:p>
        </w:tc>
        <w:tc>
          <w:tcPr>
            <w:tcW w:w="5244" w:type="dxa"/>
            <w:gridSpan w:val="2"/>
            <w:vAlign w:val="center"/>
          </w:tcPr>
          <w:p w:rsidR="00760B1B" w:rsidRPr="00760B1B" w:rsidRDefault="00760B1B" w:rsidP="00E26408">
            <w:pPr>
              <w:pStyle w:val="TableItalic"/>
              <w:spacing w:before="0" w:line="240" w:lineRule="auto"/>
              <w:cnfStyle w:val="000000000000"/>
              <w:rPr>
                <w:rFonts w:ascii="Arial" w:hAnsi="Arial" w:cs="Arial"/>
                <w:b/>
                <w:color w:val="auto"/>
                <w:sz w:val="20"/>
                <w:szCs w:val="20"/>
              </w:rPr>
            </w:pPr>
            <w:r w:rsidRPr="00760B1B">
              <w:rPr>
                <w:rStyle w:val="Italic"/>
                <w:rFonts w:ascii="Arial" w:hAnsi="Arial" w:cs="Arial"/>
                <w:b/>
                <w:iCs w:val="0"/>
                <w:color w:val="auto"/>
                <w:sz w:val="20"/>
                <w:szCs w:val="20"/>
              </w:rPr>
              <w:t>Total Charged to the Surplus or Deficit on the Provision of Services</w:t>
            </w:r>
          </w:p>
        </w:tc>
        <w:tc>
          <w:tcPr>
            <w:cnfStyle w:val="000010000000"/>
            <w:tcW w:w="1418" w:type="dxa"/>
            <w:vAlign w:val="center"/>
          </w:tcPr>
          <w:p w:rsidR="00760B1B" w:rsidRPr="00760B1B" w:rsidRDefault="009D3D44" w:rsidP="00135A9B">
            <w:pPr>
              <w:pStyle w:val="TableRight"/>
              <w:spacing w:before="0" w:line="240" w:lineRule="auto"/>
              <w:jc w:val="center"/>
              <w:rPr>
                <w:rFonts w:ascii="Arial" w:hAnsi="Arial" w:cs="Arial"/>
                <w:b/>
                <w:color w:val="auto"/>
              </w:rPr>
            </w:pPr>
            <w:r>
              <w:rPr>
                <w:rFonts w:ascii="Arial" w:hAnsi="Arial" w:cs="Arial"/>
                <w:b/>
                <w:color w:val="auto"/>
              </w:rPr>
              <w:t>12.</w:t>
            </w:r>
            <w:r w:rsidR="00135A9B">
              <w:rPr>
                <w:rFonts w:ascii="Arial" w:hAnsi="Arial" w:cs="Arial"/>
                <w:b/>
                <w:color w:val="auto"/>
              </w:rPr>
              <w:t>0</w:t>
            </w:r>
          </w:p>
        </w:tc>
      </w:tr>
      <w:tr w:rsidR="00760B1B" w:rsidRPr="00760B1B" w:rsidTr="00E26408">
        <w:trPr>
          <w:cnfStyle w:val="000000100000"/>
          <w:trHeight w:val="57"/>
        </w:trPr>
        <w:tc>
          <w:tcPr>
            <w:cnfStyle w:val="000010000000"/>
            <w:tcW w:w="1560" w:type="dxa"/>
            <w:vAlign w:val="center"/>
          </w:tcPr>
          <w:p w:rsidR="00760B1B" w:rsidRPr="00C32ECC" w:rsidRDefault="00760B1B" w:rsidP="00051379">
            <w:pPr>
              <w:pStyle w:val="TableRight"/>
              <w:jc w:val="center"/>
              <w:rPr>
                <w:rFonts w:ascii="Arial" w:hAnsi="Arial" w:cs="Arial"/>
                <w:color w:val="auto"/>
              </w:rPr>
            </w:pPr>
          </w:p>
        </w:tc>
        <w:tc>
          <w:tcPr>
            <w:tcW w:w="5244" w:type="dxa"/>
            <w:gridSpan w:val="2"/>
            <w:vAlign w:val="center"/>
          </w:tcPr>
          <w:p w:rsidR="00760B1B" w:rsidRPr="00760B1B" w:rsidRDefault="00760B1B" w:rsidP="00E26408">
            <w:pPr>
              <w:pStyle w:val="TableItalic"/>
              <w:spacing w:before="0"/>
              <w:cnfStyle w:val="000000100000"/>
              <w:rPr>
                <w:rStyle w:val="Italic"/>
                <w:rFonts w:ascii="Arial" w:hAnsi="Arial" w:cs="Arial"/>
                <w:b/>
                <w:iCs w:val="0"/>
                <w:color w:val="auto"/>
                <w:sz w:val="20"/>
                <w:szCs w:val="20"/>
              </w:rPr>
            </w:pPr>
            <w:r w:rsidRPr="00760B1B">
              <w:rPr>
                <w:rStyle w:val="Italic"/>
                <w:rFonts w:ascii="Arial" w:hAnsi="Arial" w:cs="Arial"/>
                <w:b/>
                <w:iCs w:val="0"/>
                <w:color w:val="auto"/>
                <w:sz w:val="20"/>
                <w:szCs w:val="20"/>
              </w:rPr>
              <w:t>Other Comprehensive Income and Expenditure</w:t>
            </w:r>
          </w:p>
        </w:tc>
        <w:tc>
          <w:tcPr>
            <w:cnfStyle w:val="000010000000"/>
            <w:tcW w:w="1418" w:type="dxa"/>
            <w:vAlign w:val="center"/>
          </w:tcPr>
          <w:p w:rsidR="00760B1B" w:rsidRPr="00760B1B" w:rsidRDefault="00760B1B" w:rsidP="00E26408">
            <w:pPr>
              <w:pStyle w:val="TableRight"/>
              <w:jc w:val="center"/>
              <w:rPr>
                <w:rFonts w:ascii="Arial" w:hAnsi="Arial" w:cs="Arial"/>
                <w:b/>
                <w:color w:val="auto"/>
              </w:rPr>
            </w:pPr>
          </w:p>
        </w:tc>
      </w:tr>
      <w:tr w:rsidR="00760B1B" w:rsidRPr="00760B1B" w:rsidTr="00E26408">
        <w:trPr>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0</w:t>
            </w:r>
          </w:p>
        </w:tc>
        <w:tc>
          <w:tcPr>
            <w:tcW w:w="5244" w:type="dxa"/>
            <w:gridSpan w:val="2"/>
            <w:vAlign w:val="center"/>
          </w:tcPr>
          <w:p w:rsidR="00760B1B" w:rsidRPr="00760B1B" w:rsidRDefault="00760B1B" w:rsidP="00E26408">
            <w:pPr>
              <w:pStyle w:val="TableBullet"/>
              <w:spacing w:before="0" w:line="240" w:lineRule="auto"/>
              <w:cnfStyle w:val="000000000000"/>
              <w:rPr>
                <w:rFonts w:ascii="Arial" w:hAnsi="Arial" w:cs="Arial"/>
                <w:color w:val="auto"/>
              </w:rPr>
            </w:pPr>
            <w:r w:rsidRPr="00760B1B">
              <w:rPr>
                <w:rFonts w:ascii="Arial" w:hAnsi="Arial" w:cs="Arial"/>
                <w:color w:val="auto"/>
              </w:rPr>
              <w:t xml:space="preserve">Other </w:t>
            </w:r>
            <w:r w:rsidR="007E33E1" w:rsidRPr="00760B1B">
              <w:rPr>
                <w:rFonts w:ascii="Arial" w:hAnsi="Arial" w:cs="Arial"/>
                <w:color w:val="auto"/>
              </w:rPr>
              <w:t>Actuarial</w:t>
            </w:r>
            <w:r w:rsidRPr="00760B1B">
              <w:rPr>
                <w:rFonts w:ascii="Arial" w:hAnsi="Arial" w:cs="Arial"/>
                <w:color w:val="auto"/>
              </w:rPr>
              <w:t xml:space="preserve"> (gains)/losses on assets</w:t>
            </w:r>
          </w:p>
        </w:tc>
        <w:tc>
          <w:tcPr>
            <w:cnfStyle w:val="000010000000"/>
            <w:tcW w:w="1418" w:type="dxa"/>
            <w:vAlign w:val="center"/>
          </w:tcPr>
          <w:p w:rsidR="00760B1B" w:rsidRPr="00760B1B" w:rsidRDefault="00964D15" w:rsidP="00E26408">
            <w:pPr>
              <w:pStyle w:val="TableRight"/>
              <w:spacing w:before="0" w:line="240" w:lineRule="auto"/>
              <w:jc w:val="center"/>
              <w:rPr>
                <w:rFonts w:ascii="Arial" w:hAnsi="Arial" w:cs="Arial"/>
                <w:b/>
                <w:color w:val="auto"/>
              </w:rPr>
            </w:pPr>
            <w:r>
              <w:rPr>
                <w:rFonts w:ascii="Arial" w:hAnsi="Arial" w:cs="Arial"/>
                <w:b/>
                <w:color w:val="auto"/>
              </w:rPr>
              <w:t>0</w:t>
            </w:r>
          </w:p>
        </w:tc>
      </w:tr>
      <w:tr w:rsidR="00760B1B" w:rsidRPr="00760B1B" w:rsidTr="00E26408">
        <w:trPr>
          <w:cnfStyle w:val="000000100000"/>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55.3</w:t>
            </w:r>
          </w:p>
        </w:tc>
        <w:tc>
          <w:tcPr>
            <w:tcW w:w="5244" w:type="dxa"/>
            <w:gridSpan w:val="2"/>
            <w:vAlign w:val="center"/>
          </w:tcPr>
          <w:p w:rsidR="00760B1B" w:rsidRPr="00760B1B" w:rsidRDefault="00760B1B" w:rsidP="00E26408">
            <w:pPr>
              <w:pStyle w:val="TableBullet"/>
              <w:spacing w:before="0" w:line="240" w:lineRule="auto"/>
              <w:cnfStyle w:val="000000100000"/>
              <w:rPr>
                <w:rFonts w:ascii="Arial" w:hAnsi="Arial" w:cs="Arial"/>
                <w:color w:val="auto"/>
              </w:rPr>
            </w:pPr>
            <w:r w:rsidRPr="00760B1B">
              <w:rPr>
                <w:rFonts w:ascii="Arial" w:hAnsi="Arial" w:cs="Arial"/>
                <w:color w:val="auto"/>
              </w:rPr>
              <w:t>Change in Financial Assumptions</w:t>
            </w:r>
          </w:p>
        </w:tc>
        <w:tc>
          <w:tcPr>
            <w:cnfStyle w:val="000010000000"/>
            <w:tcW w:w="1418" w:type="dxa"/>
            <w:vAlign w:val="center"/>
          </w:tcPr>
          <w:p w:rsidR="00760B1B" w:rsidRPr="00760B1B" w:rsidRDefault="00964D15" w:rsidP="00E26408">
            <w:pPr>
              <w:pStyle w:val="TableRight"/>
              <w:spacing w:before="0" w:line="240" w:lineRule="auto"/>
              <w:jc w:val="center"/>
              <w:rPr>
                <w:rFonts w:ascii="Arial" w:hAnsi="Arial" w:cs="Arial"/>
                <w:b/>
                <w:color w:val="auto"/>
              </w:rPr>
            </w:pPr>
            <w:r>
              <w:rPr>
                <w:rFonts w:ascii="Arial" w:hAnsi="Arial" w:cs="Arial"/>
                <w:b/>
                <w:color w:val="auto"/>
              </w:rPr>
              <w:t>(29.6)</w:t>
            </w:r>
          </w:p>
        </w:tc>
      </w:tr>
      <w:tr w:rsidR="00760B1B" w:rsidRPr="00760B1B" w:rsidTr="00E26408">
        <w:trPr>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0</w:t>
            </w:r>
          </w:p>
        </w:tc>
        <w:tc>
          <w:tcPr>
            <w:tcW w:w="5244" w:type="dxa"/>
            <w:gridSpan w:val="2"/>
            <w:vAlign w:val="center"/>
          </w:tcPr>
          <w:p w:rsidR="00760B1B" w:rsidRPr="00760B1B" w:rsidRDefault="00760B1B" w:rsidP="00E26408">
            <w:pPr>
              <w:pStyle w:val="TableBullet"/>
              <w:spacing w:before="0" w:line="240" w:lineRule="auto"/>
              <w:cnfStyle w:val="000000000000"/>
              <w:rPr>
                <w:rFonts w:ascii="Arial" w:hAnsi="Arial" w:cs="Arial"/>
                <w:color w:val="auto"/>
              </w:rPr>
            </w:pPr>
            <w:r w:rsidRPr="00760B1B">
              <w:rPr>
                <w:rFonts w:ascii="Arial" w:hAnsi="Arial" w:cs="Arial"/>
                <w:color w:val="auto"/>
              </w:rPr>
              <w:t>Change in Demographic Assumptions</w:t>
            </w:r>
          </w:p>
        </w:tc>
        <w:tc>
          <w:tcPr>
            <w:cnfStyle w:val="000010000000"/>
            <w:tcW w:w="1418" w:type="dxa"/>
            <w:vAlign w:val="center"/>
          </w:tcPr>
          <w:p w:rsidR="00760B1B" w:rsidRPr="00760B1B" w:rsidRDefault="00964D15" w:rsidP="00E26408">
            <w:pPr>
              <w:pStyle w:val="TableRight"/>
              <w:spacing w:before="0" w:line="240" w:lineRule="auto"/>
              <w:jc w:val="center"/>
              <w:rPr>
                <w:rFonts w:ascii="Arial" w:hAnsi="Arial" w:cs="Arial"/>
                <w:b/>
                <w:color w:val="auto"/>
              </w:rPr>
            </w:pPr>
            <w:r>
              <w:rPr>
                <w:rFonts w:ascii="Arial" w:hAnsi="Arial" w:cs="Arial"/>
                <w:b/>
                <w:color w:val="auto"/>
              </w:rPr>
              <w:t>0</w:t>
            </w:r>
          </w:p>
        </w:tc>
      </w:tr>
      <w:tr w:rsidR="00760B1B" w:rsidRPr="00760B1B" w:rsidTr="00E26408">
        <w:trPr>
          <w:cnfStyle w:val="000000100000"/>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0.1</w:t>
            </w:r>
          </w:p>
        </w:tc>
        <w:tc>
          <w:tcPr>
            <w:tcW w:w="5244" w:type="dxa"/>
            <w:gridSpan w:val="2"/>
            <w:vAlign w:val="center"/>
          </w:tcPr>
          <w:p w:rsidR="00760B1B" w:rsidRPr="00760B1B" w:rsidRDefault="00760B1B" w:rsidP="00E26408">
            <w:pPr>
              <w:pStyle w:val="TableBullet"/>
              <w:spacing w:before="0" w:line="240" w:lineRule="auto"/>
              <w:cnfStyle w:val="000000100000"/>
              <w:rPr>
                <w:rFonts w:ascii="Arial" w:hAnsi="Arial" w:cs="Arial"/>
                <w:color w:val="auto"/>
              </w:rPr>
            </w:pPr>
            <w:r w:rsidRPr="00760B1B">
              <w:rPr>
                <w:rFonts w:ascii="Arial" w:hAnsi="Arial" w:cs="Arial"/>
                <w:color w:val="auto"/>
              </w:rPr>
              <w:t>Experience (gain)/loss on defined benefit obligation</w:t>
            </w:r>
          </w:p>
        </w:tc>
        <w:tc>
          <w:tcPr>
            <w:cnfStyle w:val="000010000000"/>
            <w:tcW w:w="1418" w:type="dxa"/>
            <w:vAlign w:val="center"/>
          </w:tcPr>
          <w:p w:rsidR="00760B1B" w:rsidRPr="00760B1B" w:rsidRDefault="00964D15" w:rsidP="00E26408">
            <w:pPr>
              <w:pStyle w:val="TableRight"/>
              <w:spacing w:before="0" w:line="240" w:lineRule="auto"/>
              <w:jc w:val="center"/>
              <w:rPr>
                <w:rFonts w:ascii="Arial" w:hAnsi="Arial" w:cs="Arial"/>
                <w:b/>
                <w:color w:val="auto"/>
              </w:rPr>
            </w:pPr>
            <w:r>
              <w:rPr>
                <w:rFonts w:ascii="Arial" w:hAnsi="Arial" w:cs="Arial"/>
                <w:b/>
                <w:color w:val="auto"/>
              </w:rPr>
              <w:t xml:space="preserve">0 </w:t>
            </w:r>
          </w:p>
        </w:tc>
      </w:tr>
      <w:tr w:rsidR="00760B1B" w:rsidRPr="00760B1B" w:rsidTr="00E26408">
        <w:trPr>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(12.6)</w:t>
            </w:r>
          </w:p>
        </w:tc>
        <w:tc>
          <w:tcPr>
            <w:tcW w:w="5244" w:type="dxa"/>
            <w:gridSpan w:val="2"/>
            <w:vAlign w:val="center"/>
          </w:tcPr>
          <w:p w:rsidR="00760B1B" w:rsidRPr="00760B1B" w:rsidRDefault="00760B1B" w:rsidP="00E26408">
            <w:pPr>
              <w:pStyle w:val="TableBullet"/>
              <w:spacing w:before="0" w:line="240" w:lineRule="auto"/>
              <w:cnfStyle w:val="000000000000"/>
              <w:rPr>
                <w:rFonts w:ascii="Arial" w:hAnsi="Arial" w:cs="Arial"/>
                <w:color w:val="auto"/>
              </w:rPr>
            </w:pPr>
            <w:r w:rsidRPr="00760B1B">
              <w:rPr>
                <w:rFonts w:ascii="Arial" w:hAnsi="Arial" w:cs="Arial"/>
                <w:color w:val="auto"/>
              </w:rPr>
              <w:t>Return on plan assets in excess of interest</w:t>
            </w:r>
          </w:p>
        </w:tc>
        <w:tc>
          <w:tcPr>
            <w:cnfStyle w:val="000010000000"/>
            <w:tcW w:w="1418" w:type="dxa"/>
            <w:vAlign w:val="center"/>
          </w:tcPr>
          <w:p w:rsidR="00760B1B" w:rsidRPr="00760B1B" w:rsidRDefault="00964D15" w:rsidP="00E26408">
            <w:pPr>
              <w:pStyle w:val="TableRight"/>
              <w:spacing w:before="0" w:line="240" w:lineRule="auto"/>
              <w:jc w:val="center"/>
              <w:rPr>
                <w:rFonts w:ascii="Arial" w:hAnsi="Arial" w:cs="Arial"/>
                <w:b/>
                <w:color w:val="auto"/>
              </w:rPr>
            </w:pPr>
            <w:r>
              <w:rPr>
                <w:rFonts w:ascii="Arial" w:hAnsi="Arial" w:cs="Arial"/>
                <w:b/>
                <w:color w:val="auto"/>
              </w:rPr>
              <w:t>6.9</w:t>
            </w:r>
          </w:p>
        </w:tc>
      </w:tr>
      <w:tr w:rsidR="00760B1B" w:rsidRPr="00760B1B" w:rsidTr="00E26408">
        <w:trPr>
          <w:cnfStyle w:val="000000100000"/>
          <w:trHeight w:val="284"/>
        </w:trPr>
        <w:tc>
          <w:tcPr>
            <w:cnfStyle w:val="000010000000"/>
            <w:tcW w:w="1560" w:type="dxa"/>
            <w:vAlign w:val="center"/>
          </w:tcPr>
          <w:p w:rsidR="00760B1B" w:rsidRPr="00C32ECC" w:rsidRDefault="00760B1B" w:rsidP="00051379">
            <w:pPr>
              <w:pStyle w:val="NoParagraphStyle"/>
              <w:spacing w:line="276" w:lineRule="auto"/>
              <w:jc w:val="center"/>
              <w:textAlignment w:val="auto"/>
              <w:rPr>
                <w:rFonts w:ascii="Arial" w:hAnsi="Arial" w:cs="Arial"/>
                <w:color w:val="auto"/>
                <w:sz w:val="20"/>
                <w:szCs w:val="20"/>
              </w:rPr>
            </w:pPr>
            <w:r w:rsidRPr="00C32ECC">
              <w:rPr>
                <w:rFonts w:ascii="Arial" w:hAnsi="Arial" w:cs="Arial"/>
                <w:color w:val="auto"/>
                <w:sz w:val="20"/>
                <w:szCs w:val="20"/>
              </w:rPr>
              <w:t>42.8</w:t>
            </w:r>
          </w:p>
        </w:tc>
        <w:tc>
          <w:tcPr>
            <w:tcW w:w="5244" w:type="dxa"/>
            <w:gridSpan w:val="2"/>
            <w:vAlign w:val="center"/>
          </w:tcPr>
          <w:p w:rsidR="00760B1B" w:rsidRPr="00760B1B" w:rsidRDefault="00760B1B" w:rsidP="00014582">
            <w:pPr>
              <w:pStyle w:val="TableItalic"/>
              <w:spacing w:before="0" w:after="0" w:line="276" w:lineRule="auto"/>
              <w:cnfStyle w:val="000000100000"/>
              <w:rPr>
                <w:rFonts w:ascii="Arial" w:hAnsi="Arial" w:cs="Arial"/>
                <w:b/>
                <w:color w:val="auto"/>
                <w:sz w:val="20"/>
                <w:szCs w:val="20"/>
              </w:rPr>
            </w:pPr>
            <w:r w:rsidRPr="00760B1B">
              <w:rPr>
                <w:rStyle w:val="Italic"/>
                <w:rFonts w:ascii="Arial" w:hAnsi="Arial" w:cs="Arial"/>
                <w:b/>
                <w:iCs w:val="0"/>
                <w:color w:val="auto"/>
                <w:sz w:val="20"/>
                <w:szCs w:val="20"/>
              </w:rPr>
              <w:t>Sub Total Other Comprehensive Income and Expenditure</w:t>
            </w:r>
          </w:p>
        </w:tc>
        <w:tc>
          <w:tcPr>
            <w:cnfStyle w:val="000010000000"/>
            <w:tcW w:w="1418" w:type="dxa"/>
            <w:vAlign w:val="center"/>
          </w:tcPr>
          <w:p w:rsidR="00760B1B" w:rsidRPr="00760B1B" w:rsidRDefault="00964D15" w:rsidP="00E26408">
            <w:pPr>
              <w:pStyle w:val="NoParagraphStyle"/>
              <w:spacing w:line="276" w:lineRule="auto"/>
              <w:jc w:val="center"/>
              <w:textAlignment w:val="auto"/>
              <w:rPr>
                <w:rFonts w:ascii="Arial" w:hAnsi="Arial" w:cs="Arial"/>
                <w:b/>
                <w:color w:val="auto"/>
                <w:sz w:val="20"/>
                <w:szCs w:val="20"/>
              </w:rPr>
            </w:pPr>
            <w:r>
              <w:rPr>
                <w:rFonts w:ascii="Arial" w:hAnsi="Arial" w:cs="Arial"/>
                <w:b/>
                <w:color w:val="auto"/>
                <w:sz w:val="20"/>
                <w:szCs w:val="20"/>
              </w:rPr>
              <w:t>(22.7)</w:t>
            </w:r>
          </w:p>
        </w:tc>
      </w:tr>
      <w:tr w:rsidR="00760B1B" w:rsidRPr="00760B1B" w:rsidTr="00172060">
        <w:trPr>
          <w:trHeight w:val="57"/>
        </w:trPr>
        <w:tc>
          <w:tcPr>
            <w:cnfStyle w:val="000010000000"/>
            <w:tcW w:w="1560" w:type="dxa"/>
            <w:vAlign w:val="center"/>
          </w:tcPr>
          <w:p w:rsidR="00760B1B" w:rsidRPr="00C32ECC" w:rsidRDefault="00760B1B" w:rsidP="00051379">
            <w:pPr>
              <w:pStyle w:val="TableRight"/>
              <w:spacing w:before="0" w:line="240" w:lineRule="auto"/>
              <w:jc w:val="center"/>
              <w:rPr>
                <w:rFonts w:ascii="Arial" w:hAnsi="Arial" w:cs="Arial"/>
                <w:color w:val="auto"/>
              </w:rPr>
            </w:pPr>
            <w:r w:rsidRPr="00C32ECC">
              <w:rPr>
                <w:rFonts w:ascii="Arial" w:hAnsi="Arial" w:cs="Arial"/>
                <w:color w:val="auto"/>
              </w:rPr>
              <w:t>53.7</w:t>
            </w:r>
          </w:p>
        </w:tc>
        <w:tc>
          <w:tcPr>
            <w:tcW w:w="5244" w:type="dxa"/>
            <w:gridSpan w:val="2"/>
            <w:vAlign w:val="center"/>
          </w:tcPr>
          <w:p w:rsidR="00760B1B" w:rsidRPr="00760B1B" w:rsidRDefault="00760B1B" w:rsidP="00172060">
            <w:pPr>
              <w:pStyle w:val="TableItalic"/>
              <w:spacing w:before="0" w:after="0" w:line="240" w:lineRule="auto"/>
              <w:cnfStyle w:val="000000000000"/>
              <w:rPr>
                <w:rStyle w:val="Italic"/>
                <w:rFonts w:ascii="Arial" w:hAnsi="Arial" w:cs="Arial"/>
                <w:b/>
                <w:iCs w:val="0"/>
                <w:color w:val="auto"/>
                <w:sz w:val="20"/>
                <w:szCs w:val="20"/>
              </w:rPr>
            </w:pPr>
            <w:r w:rsidRPr="00760B1B">
              <w:rPr>
                <w:rStyle w:val="Italic"/>
                <w:rFonts w:ascii="Arial" w:hAnsi="Arial" w:cs="Arial"/>
                <w:b/>
                <w:iCs w:val="0"/>
                <w:color w:val="auto"/>
                <w:sz w:val="20"/>
                <w:szCs w:val="20"/>
              </w:rPr>
              <w:t>Total Post Employment Benefit Charged to the Comprehensive Income and Expenditure Statement</w:t>
            </w:r>
          </w:p>
        </w:tc>
        <w:tc>
          <w:tcPr>
            <w:cnfStyle w:val="000010000000"/>
            <w:tcW w:w="1418" w:type="dxa"/>
            <w:vAlign w:val="center"/>
          </w:tcPr>
          <w:p w:rsidR="00760B1B" w:rsidRPr="00760B1B" w:rsidRDefault="00964D15" w:rsidP="00135A9B">
            <w:pPr>
              <w:pStyle w:val="TableRight"/>
              <w:spacing w:before="0" w:line="240" w:lineRule="auto"/>
              <w:jc w:val="center"/>
              <w:rPr>
                <w:rFonts w:ascii="Arial" w:hAnsi="Arial" w:cs="Arial"/>
                <w:b/>
                <w:color w:val="auto"/>
              </w:rPr>
            </w:pPr>
            <w:r>
              <w:rPr>
                <w:rFonts w:ascii="Arial" w:hAnsi="Arial" w:cs="Arial"/>
                <w:b/>
                <w:color w:val="auto"/>
              </w:rPr>
              <w:t>(10.</w:t>
            </w:r>
            <w:r w:rsidR="00135A9B">
              <w:rPr>
                <w:rFonts w:ascii="Arial" w:hAnsi="Arial" w:cs="Arial"/>
                <w:b/>
                <w:color w:val="auto"/>
              </w:rPr>
              <w:t>7</w:t>
            </w:r>
            <w:r>
              <w:rPr>
                <w:rFonts w:ascii="Arial" w:hAnsi="Arial" w:cs="Arial"/>
                <w:b/>
                <w:color w:val="auto"/>
              </w:rPr>
              <w:t>)</w:t>
            </w:r>
          </w:p>
        </w:tc>
      </w:tr>
      <w:tr w:rsidR="00760B1B" w:rsidRPr="00760B1B" w:rsidTr="00E26408">
        <w:trPr>
          <w:cnfStyle w:val="000000100000"/>
          <w:trHeight w:val="284"/>
        </w:trPr>
        <w:tc>
          <w:tcPr>
            <w:cnfStyle w:val="000010000000"/>
            <w:tcW w:w="1560" w:type="dxa"/>
            <w:vAlign w:val="center"/>
          </w:tcPr>
          <w:p w:rsidR="00760B1B" w:rsidRPr="00760B1B" w:rsidRDefault="00760B1B" w:rsidP="00051379">
            <w:pPr>
              <w:pStyle w:val="TableRight"/>
              <w:spacing w:line="276" w:lineRule="auto"/>
              <w:jc w:val="center"/>
              <w:rPr>
                <w:rFonts w:ascii="Arial" w:hAnsi="Arial" w:cs="Arial"/>
                <w:b/>
                <w:color w:val="auto"/>
              </w:rPr>
            </w:pPr>
          </w:p>
        </w:tc>
        <w:tc>
          <w:tcPr>
            <w:tcW w:w="5244" w:type="dxa"/>
            <w:gridSpan w:val="2"/>
            <w:vAlign w:val="center"/>
          </w:tcPr>
          <w:p w:rsidR="00760B1B" w:rsidRPr="00760B1B" w:rsidRDefault="00760B1B" w:rsidP="00E26408">
            <w:pPr>
              <w:pStyle w:val="TableBullet"/>
              <w:spacing w:line="276" w:lineRule="auto"/>
              <w:ind w:left="0" w:firstLine="0"/>
              <w:cnfStyle w:val="000000100000"/>
              <w:rPr>
                <w:rFonts w:ascii="Arial" w:hAnsi="Arial" w:cs="Arial"/>
                <w:i/>
                <w:color w:val="auto"/>
              </w:rPr>
            </w:pPr>
            <w:r w:rsidRPr="00760B1B">
              <w:rPr>
                <w:rStyle w:val="Italic"/>
                <w:rFonts w:ascii="Arial" w:hAnsi="Arial" w:cs="Arial"/>
                <w:b/>
                <w:i w:val="0"/>
                <w:color w:val="auto"/>
              </w:rPr>
              <w:t>Movement in Reserves Statement</w:t>
            </w:r>
          </w:p>
        </w:tc>
        <w:tc>
          <w:tcPr>
            <w:cnfStyle w:val="000010000000"/>
            <w:tcW w:w="1418" w:type="dxa"/>
            <w:vAlign w:val="center"/>
          </w:tcPr>
          <w:p w:rsidR="00760B1B" w:rsidRPr="00760B1B" w:rsidRDefault="00760B1B" w:rsidP="00E26408">
            <w:pPr>
              <w:pStyle w:val="TableRight"/>
              <w:spacing w:line="276" w:lineRule="auto"/>
              <w:jc w:val="center"/>
              <w:rPr>
                <w:rFonts w:ascii="Arial" w:hAnsi="Arial" w:cs="Arial"/>
                <w:b/>
                <w:color w:val="auto"/>
              </w:rPr>
            </w:pPr>
          </w:p>
        </w:tc>
      </w:tr>
      <w:tr w:rsidR="00760B1B" w:rsidRPr="00760B1B" w:rsidTr="00E26408">
        <w:trPr>
          <w:trHeight w:val="284"/>
        </w:trPr>
        <w:tc>
          <w:tcPr>
            <w:cnfStyle w:val="000010000000"/>
            <w:tcW w:w="1560" w:type="dxa"/>
            <w:vAlign w:val="center"/>
          </w:tcPr>
          <w:p w:rsidR="00760B1B" w:rsidRPr="00C32ECC" w:rsidRDefault="00760B1B" w:rsidP="00051379">
            <w:pPr>
              <w:pStyle w:val="TableRight"/>
              <w:spacing w:line="276" w:lineRule="auto"/>
              <w:jc w:val="center"/>
              <w:rPr>
                <w:rFonts w:ascii="Arial" w:hAnsi="Arial" w:cs="Arial"/>
                <w:color w:val="auto"/>
              </w:rPr>
            </w:pPr>
            <w:r w:rsidRPr="00C32ECC">
              <w:rPr>
                <w:rFonts w:ascii="Arial" w:hAnsi="Arial" w:cs="Arial"/>
                <w:color w:val="auto"/>
              </w:rPr>
              <w:t>(10.9)</w:t>
            </w:r>
          </w:p>
        </w:tc>
        <w:tc>
          <w:tcPr>
            <w:tcW w:w="5244" w:type="dxa"/>
            <w:gridSpan w:val="2"/>
            <w:vAlign w:val="center"/>
          </w:tcPr>
          <w:p w:rsidR="00760B1B" w:rsidRPr="00760B1B" w:rsidRDefault="00760B1B" w:rsidP="00E26408">
            <w:pPr>
              <w:pStyle w:val="TableBullet"/>
              <w:spacing w:line="276" w:lineRule="auto"/>
              <w:ind w:left="0" w:firstLine="0"/>
              <w:cnfStyle w:val="000000000000"/>
              <w:rPr>
                <w:rFonts w:ascii="Arial" w:hAnsi="Arial" w:cs="Arial"/>
                <w:color w:val="auto"/>
              </w:rPr>
            </w:pPr>
            <w:r w:rsidRPr="00760B1B">
              <w:rPr>
                <w:rFonts w:ascii="Arial" w:hAnsi="Arial" w:cs="Arial"/>
                <w:color w:val="auto"/>
              </w:rPr>
              <w:t>Reversal of net charges made to the Surplus or Deficit  for the Provision of Services for post employment benefits  in accordance with the Code</w:t>
            </w:r>
          </w:p>
        </w:tc>
        <w:tc>
          <w:tcPr>
            <w:cnfStyle w:val="000010000000"/>
            <w:tcW w:w="1418" w:type="dxa"/>
            <w:vAlign w:val="center"/>
          </w:tcPr>
          <w:p w:rsidR="00760B1B" w:rsidRPr="00760B1B" w:rsidRDefault="00C32ECC" w:rsidP="00135A9B">
            <w:pPr>
              <w:pStyle w:val="TableRight"/>
              <w:spacing w:line="276" w:lineRule="auto"/>
              <w:jc w:val="center"/>
              <w:rPr>
                <w:rFonts w:ascii="Arial" w:hAnsi="Arial" w:cs="Arial"/>
                <w:b/>
                <w:color w:val="auto"/>
              </w:rPr>
            </w:pPr>
            <w:r>
              <w:rPr>
                <w:rFonts w:ascii="Arial" w:hAnsi="Arial" w:cs="Arial"/>
                <w:b/>
                <w:color w:val="auto"/>
              </w:rPr>
              <w:t>(12.</w:t>
            </w:r>
            <w:r w:rsidR="00135A9B">
              <w:rPr>
                <w:rFonts w:ascii="Arial" w:hAnsi="Arial" w:cs="Arial"/>
                <w:b/>
                <w:color w:val="auto"/>
              </w:rPr>
              <w:t>0</w:t>
            </w:r>
            <w:r>
              <w:rPr>
                <w:rFonts w:ascii="Arial" w:hAnsi="Arial" w:cs="Arial"/>
                <w:b/>
                <w:color w:val="auto"/>
              </w:rPr>
              <w:t>)</w:t>
            </w:r>
          </w:p>
        </w:tc>
      </w:tr>
      <w:tr w:rsidR="00760B1B" w:rsidRPr="00760B1B" w:rsidTr="00E26408">
        <w:trPr>
          <w:cnfStyle w:val="000000100000"/>
          <w:trHeight w:val="284"/>
        </w:trPr>
        <w:tc>
          <w:tcPr>
            <w:cnfStyle w:val="000010000000"/>
            <w:tcW w:w="1560" w:type="dxa"/>
            <w:vAlign w:val="center"/>
          </w:tcPr>
          <w:p w:rsidR="00760B1B" w:rsidRPr="00C32ECC" w:rsidRDefault="00760B1B" w:rsidP="00051379">
            <w:pPr>
              <w:pStyle w:val="NoParagraphStyle"/>
              <w:spacing w:line="276" w:lineRule="auto"/>
              <w:jc w:val="center"/>
              <w:textAlignment w:val="auto"/>
              <w:rPr>
                <w:rFonts w:ascii="Arial" w:hAnsi="Arial" w:cs="Arial"/>
                <w:color w:val="auto"/>
                <w:sz w:val="20"/>
                <w:szCs w:val="20"/>
              </w:rPr>
            </w:pPr>
          </w:p>
        </w:tc>
        <w:tc>
          <w:tcPr>
            <w:tcW w:w="5244" w:type="dxa"/>
            <w:gridSpan w:val="2"/>
            <w:vAlign w:val="center"/>
          </w:tcPr>
          <w:p w:rsidR="00760B1B" w:rsidRPr="00760B1B" w:rsidRDefault="00760B1B" w:rsidP="00E26408">
            <w:pPr>
              <w:pStyle w:val="TableText"/>
              <w:spacing w:line="276" w:lineRule="auto"/>
              <w:cnfStyle w:val="000000100000"/>
              <w:rPr>
                <w:rFonts w:ascii="Arial" w:hAnsi="Arial" w:cs="Arial"/>
                <w:b/>
                <w:color w:val="auto"/>
              </w:rPr>
            </w:pPr>
            <w:r w:rsidRPr="00760B1B">
              <w:rPr>
                <w:rStyle w:val="Italic"/>
                <w:rFonts w:ascii="Arial" w:hAnsi="Arial" w:cs="Arial"/>
                <w:b/>
                <w:i w:val="0"/>
                <w:color w:val="auto"/>
              </w:rPr>
              <w:t>Actual amount charged against the General Fund Balance for pensions in the year:</w:t>
            </w:r>
          </w:p>
        </w:tc>
        <w:tc>
          <w:tcPr>
            <w:cnfStyle w:val="000010000000"/>
            <w:tcW w:w="1418" w:type="dxa"/>
            <w:vAlign w:val="center"/>
          </w:tcPr>
          <w:p w:rsidR="00760B1B" w:rsidRPr="00760B1B" w:rsidRDefault="00760B1B" w:rsidP="00E26408">
            <w:pPr>
              <w:pStyle w:val="NoParagraphStyle"/>
              <w:spacing w:line="276" w:lineRule="auto"/>
              <w:jc w:val="center"/>
              <w:textAlignment w:val="auto"/>
              <w:rPr>
                <w:rFonts w:ascii="Arial" w:hAnsi="Arial" w:cs="Arial"/>
                <w:b/>
                <w:color w:val="auto"/>
                <w:sz w:val="20"/>
                <w:szCs w:val="20"/>
              </w:rPr>
            </w:pPr>
          </w:p>
        </w:tc>
      </w:tr>
      <w:tr w:rsidR="00760B1B" w:rsidRPr="00760B1B" w:rsidTr="00E26408">
        <w:trPr>
          <w:trHeight w:val="284"/>
        </w:trPr>
        <w:tc>
          <w:tcPr>
            <w:cnfStyle w:val="000010000000"/>
            <w:tcW w:w="1560" w:type="dxa"/>
            <w:vAlign w:val="center"/>
          </w:tcPr>
          <w:p w:rsidR="00760B1B" w:rsidRPr="00C32ECC" w:rsidRDefault="00760B1B" w:rsidP="00051379">
            <w:pPr>
              <w:pStyle w:val="TableRight"/>
              <w:spacing w:line="276" w:lineRule="auto"/>
              <w:jc w:val="center"/>
              <w:rPr>
                <w:rFonts w:ascii="Arial" w:hAnsi="Arial" w:cs="Arial"/>
                <w:color w:val="auto"/>
              </w:rPr>
            </w:pPr>
            <w:r w:rsidRPr="00C32ECC">
              <w:rPr>
                <w:rFonts w:ascii="Arial" w:hAnsi="Arial" w:cs="Arial"/>
                <w:color w:val="auto"/>
              </w:rPr>
              <w:t>5.6</w:t>
            </w:r>
          </w:p>
        </w:tc>
        <w:tc>
          <w:tcPr>
            <w:tcW w:w="5244" w:type="dxa"/>
            <w:gridSpan w:val="2"/>
            <w:vAlign w:val="center"/>
          </w:tcPr>
          <w:p w:rsidR="00760B1B" w:rsidRPr="00760B1B" w:rsidRDefault="00760B1B" w:rsidP="00E26408">
            <w:pPr>
              <w:pStyle w:val="TableBullet"/>
              <w:spacing w:line="276" w:lineRule="auto"/>
              <w:ind w:left="0" w:firstLine="0"/>
              <w:cnfStyle w:val="000000000000"/>
              <w:rPr>
                <w:rFonts w:ascii="Arial" w:hAnsi="Arial" w:cs="Arial"/>
                <w:color w:val="auto"/>
              </w:rPr>
            </w:pPr>
            <w:r w:rsidRPr="00760B1B">
              <w:rPr>
                <w:rFonts w:ascii="Arial" w:hAnsi="Arial" w:cs="Arial"/>
                <w:color w:val="auto"/>
              </w:rPr>
              <w:t>Employers’ contributions payable to scheme</w:t>
            </w:r>
          </w:p>
        </w:tc>
        <w:tc>
          <w:tcPr>
            <w:cnfStyle w:val="000010000000"/>
            <w:tcW w:w="1418" w:type="dxa"/>
            <w:vAlign w:val="center"/>
          </w:tcPr>
          <w:p w:rsidR="00760B1B" w:rsidRPr="00760B1B" w:rsidRDefault="00964D15" w:rsidP="00E26408">
            <w:pPr>
              <w:pStyle w:val="TableRight"/>
              <w:spacing w:line="276" w:lineRule="auto"/>
              <w:jc w:val="center"/>
              <w:rPr>
                <w:rFonts w:ascii="Arial" w:hAnsi="Arial" w:cs="Arial"/>
                <w:b/>
                <w:color w:val="auto"/>
              </w:rPr>
            </w:pPr>
            <w:r>
              <w:rPr>
                <w:rFonts w:ascii="Arial" w:hAnsi="Arial" w:cs="Arial"/>
                <w:b/>
                <w:color w:val="auto"/>
              </w:rPr>
              <w:t>5.5</w:t>
            </w:r>
          </w:p>
        </w:tc>
      </w:tr>
      <w:tr w:rsidR="00760B1B" w:rsidRPr="00760B1B" w:rsidTr="00E26408">
        <w:trPr>
          <w:cnfStyle w:val="000000100000"/>
          <w:trHeight w:val="284"/>
        </w:trPr>
        <w:tc>
          <w:tcPr>
            <w:cnfStyle w:val="000010000000"/>
            <w:tcW w:w="1560" w:type="dxa"/>
            <w:vAlign w:val="center"/>
          </w:tcPr>
          <w:p w:rsidR="00760B1B" w:rsidRPr="00C32ECC" w:rsidRDefault="00760B1B" w:rsidP="00051379">
            <w:pPr>
              <w:pStyle w:val="NoParagraphStyle"/>
              <w:spacing w:line="240" w:lineRule="auto"/>
              <w:jc w:val="center"/>
              <w:textAlignment w:val="auto"/>
              <w:rPr>
                <w:rFonts w:ascii="Arial" w:hAnsi="Arial" w:cs="Arial"/>
                <w:color w:val="auto"/>
                <w:sz w:val="20"/>
                <w:szCs w:val="20"/>
              </w:rPr>
            </w:pPr>
            <w:r w:rsidRPr="00C32ECC">
              <w:rPr>
                <w:rFonts w:ascii="Arial" w:hAnsi="Arial" w:cs="Arial"/>
                <w:color w:val="auto"/>
                <w:sz w:val="20"/>
                <w:szCs w:val="20"/>
              </w:rPr>
              <w:t>0.6</w:t>
            </w:r>
          </w:p>
        </w:tc>
        <w:tc>
          <w:tcPr>
            <w:tcW w:w="5244" w:type="dxa"/>
            <w:gridSpan w:val="2"/>
            <w:vAlign w:val="center"/>
          </w:tcPr>
          <w:p w:rsidR="00760B1B" w:rsidRPr="00760B1B" w:rsidRDefault="00760B1B" w:rsidP="00E26408">
            <w:pPr>
              <w:pStyle w:val="TableBullet"/>
              <w:ind w:left="0" w:firstLine="0"/>
              <w:cnfStyle w:val="000000100000"/>
              <w:rPr>
                <w:rFonts w:ascii="Arial" w:hAnsi="Arial" w:cs="Arial"/>
                <w:color w:val="auto"/>
              </w:rPr>
            </w:pPr>
            <w:r w:rsidRPr="00760B1B">
              <w:rPr>
                <w:rFonts w:ascii="Arial" w:hAnsi="Arial" w:cs="Arial"/>
                <w:color w:val="auto"/>
              </w:rPr>
              <w:t>Retirement benefits payable to pensioners</w:t>
            </w:r>
          </w:p>
        </w:tc>
        <w:tc>
          <w:tcPr>
            <w:cnfStyle w:val="000010000000"/>
            <w:tcW w:w="1418" w:type="dxa"/>
            <w:vAlign w:val="center"/>
          </w:tcPr>
          <w:p w:rsidR="00760B1B" w:rsidRPr="00760B1B" w:rsidRDefault="00964D15" w:rsidP="00E26408">
            <w:pPr>
              <w:pStyle w:val="NoParagraphStyle"/>
              <w:spacing w:line="240" w:lineRule="auto"/>
              <w:jc w:val="center"/>
              <w:textAlignment w:val="auto"/>
              <w:rPr>
                <w:rFonts w:ascii="Arial" w:hAnsi="Arial" w:cs="Arial"/>
                <w:b/>
                <w:color w:val="auto"/>
                <w:sz w:val="20"/>
                <w:szCs w:val="20"/>
              </w:rPr>
            </w:pPr>
            <w:r>
              <w:rPr>
                <w:rFonts w:ascii="Arial" w:hAnsi="Arial" w:cs="Arial"/>
                <w:b/>
                <w:color w:val="auto"/>
                <w:sz w:val="20"/>
                <w:szCs w:val="20"/>
              </w:rPr>
              <w:t>0.6</w:t>
            </w:r>
          </w:p>
        </w:tc>
      </w:tr>
    </w:tbl>
    <w:p w:rsidR="00650992" w:rsidRPr="00D42E0B" w:rsidRDefault="00650992" w:rsidP="005C24C8">
      <w:pPr>
        <w:pStyle w:val="CodeNotesExampleText"/>
        <w:widowControl w:val="0"/>
        <w:outlineLvl w:val="0"/>
        <w:rPr>
          <w:rFonts w:cs="Arial"/>
          <w:b/>
          <w:color w:val="548DD4" w:themeColor="text2" w:themeTint="99"/>
          <w:sz w:val="20"/>
          <w:szCs w:val="20"/>
        </w:rPr>
      </w:pPr>
    </w:p>
    <w:p w:rsidR="005C24C8" w:rsidRPr="00760B1B" w:rsidRDefault="005C24C8" w:rsidP="00613D01">
      <w:pPr>
        <w:pStyle w:val="CodeNotesExampleText"/>
        <w:widowControl w:val="0"/>
        <w:ind w:firstLine="567"/>
        <w:outlineLvl w:val="0"/>
        <w:rPr>
          <w:rFonts w:cs="Arial"/>
          <w:b/>
          <w:color w:val="auto"/>
          <w:sz w:val="20"/>
          <w:szCs w:val="20"/>
        </w:rPr>
      </w:pPr>
      <w:r w:rsidRPr="00760B1B">
        <w:rPr>
          <w:rFonts w:cs="Arial"/>
          <w:b/>
          <w:color w:val="auto"/>
          <w:sz w:val="20"/>
          <w:szCs w:val="20"/>
        </w:rPr>
        <w:t>Reconciliation of fair value of the scheme (plan) assets:</w:t>
      </w:r>
    </w:p>
    <w:p w:rsidR="00D12DE9" w:rsidRPr="00760B1B" w:rsidRDefault="00D12DE9" w:rsidP="005C24C8">
      <w:pPr>
        <w:pStyle w:val="CodeNotesExampleText"/>
        <w:widowControl w:val="0"/>
        <w:outlineLvl w:val="0"/>
        <w:rPr>
          <w:rFonts w:cs="Arial"/>
          <w:b/>
          <w:color w:val="auto"/>
          <w:sz w:val="20"/>
          <w:szCs w:val="20"/>
        </w:rPr>
      </w:pPr>
    </w:p>
    <w:tbl>
      <w:tblPr>
        <w:tblStyle w:val="ListTable3-Accent51"/>
        <w:tblW w:w="8222" w:type="dxa"/>
        <w:tblInd w:w="675" w:type="dxa"/>
        <w:tblLayout w:type="fixed"/>
        <w:tblLook w:val="0000"/>
      </w:tblPr>
      <w:tblGrid>
        <w:gridCol w:w="1560"/>
        <w:gridCol w:w="5244"/>
        <w:gridCol w:w="1418"/>
      </w:tblGrid>
      <w:tr w:rsidR="004B2138" w:rsidRPr="00760B1B" w:rsidTr="004B2138">
        <w:trPr>
          <w:cnfStyle w:val="000000100000"/>
          <w:trHeight w:val="170"/>
        </w:trPr>
        <w:tc>
          <w:tcPr>
            <w:cnfStyle w:val="000010000000"/>
            <w:tcW w:w="1560" w:type="dxa"/>
            <w:shd w:val="clear" w:color="auto" w:fill="4BACC6" w:themeFill="accent5"/>
          </w:tcPr>
          <w:p w:rsidR="004B2138" w:rsidRPr="00760B1B" w:rsidRDefault="004B2138" w:rsidP="00F60BC8">
            <w:pPr>
              <w:widowControl w:val="0"/>
              <w:spacing w:after="0" w:line="240" w:lineRule="auto"/>
              <w:rPr>
                <w:rFonts w:cs="Arial"/>
                <w:color w:val="auto"/>
                <w:sz w:val="18"/>
                <w:szCs w:val="18"/>
              </w:rPr>
            </w:pPr>
          </w:p>
        </w:tc>
        <w:tc>
          <w:tcPr>
            <w:tcW w:w="5244" w:type="dxa"/>
            <w:shd w:val="clear" w:color="auto" w:fill="4BACC6" w:themeFill="accent5"/>
          </w:tcPr>
          <w:p w:rsidR="004B2138" w:rsidRPr="00760B1B" w:rsidRDefault="004B2138" w:rsidP="00F60BC8">
            <w:pPr>
              <w:widowControl w:val="0"/>
              <w:spacing w:after="0" w:line="240" w:lineRule="auto"/>
              <w:cnfStyle w:val="000000100000"/>
              <w:rPr>
                <w:rFonts w:cs="Arial"/>
                <w:color w:val="auto"/>
                <w:sz w:val="18"/>
                <w:szCs w:val="18"/>
              </w:rPr>
            </w:pPr>
          </w:p>
          <w:p w:rsidR="004B2138" w:rsidRPr="00760B1B" w:rsidRDefault="004B2138" w:rsidP="00F60BC8">
            <w:pPr>
              <w:widowControl w:val="0"/>
              <w:spacing w:after="0" w:line="240" w:lineRule="auto"/>
              <w:cnfStyle w:val="000000100000"/>
              <w:rPr>
                <w:rFonts w:cs="Arial"/>
                <w:color w:val="auto"/>
                <w:sz w:val="20"/>
                <w:szCs w:val="20"/>
              </w:rPr>
            </w:pPr>
            <w:r w:rsidRPr="00760B1B">
              <w:rPr>
                <w:rStyle w:val="Bold"/>
                <w:rFonts w:cs="Arial"/>
                <w:bCs/>
                <w:color w:val="auto"/>
                <w:sz w:val="20"/>
                <w:szCs w:val="20"/>
              </w:rPr>
              <w:t>Local Government Pension Scheme</w:t>
            </w:r>
          </w:p>
        </w:tc>
        <w:tc>
          <w:tcPr>
            <w:cnfStyle w:val="000010000000"/>
            <w:tcW w:w="1418" w:type="dxa"/>
            <w:shd w:val="clear" w:color="auto" w:fill="4BACC6" w:themeFill="accent5"/>
          </w:tcPr>
          <w:p w:rsidR="004B2138" w:rsidRPr="00760B1B" w:rsidRDefault="004B2138" w:rsidP="00F60BC8">
            <w:pPr>
              <w:pStyle w:val="TableRightBold"/>
              <w:jc w:val="center"/>
              <w:rPr>
                <w:rFonts w:ascii="Arial" w:hAnsi="Arial" w:cs="Arial"/>
                <w:color w:val="auto"/>
              </w:rPr>
            </w:pPr>
          </w:p>
        </w:tc>
      </w:tr>
      <w:tr w:rsidR="004B2138" w:rsidRPr="00760B1B" w:rsidTr="004B2138">
        <w:trPr>
          <w:trHeight w:val="170"/>
        </w:trPr>
        <w:tc>
          <w:tcPr>
            <w:cnfStyle w:val="000010000000"/>
            <w:tcW w:w="1560" w:type="dxa"/>
            <w:shd w:val="clear" w:color="auto" w:fill="4BACC6" w:themeFill="accent5"/>
          </w:tcPr>
          <w:p w:rsidR="004B2138" w:rsidRPr="00760B1B" w:rsidRDefault="004B2138" w:rsidP="00760B1B">
            <w:pPr>
              <w:pStyle w:val="TableRightBold"/>
              <w:spacing w:line="240" w:lineRule="auto"/>
              <w:jc w:val="center"/>
              <w:rPr>
                <w:rFonts w:ascii="Arial" w:hAnsi="Arial" w:cs="Arial"/>
                <w:color w:val="auto"/>
                <w:sz w:val="18"/>
                <w:szCs w:val="18"/>
              </w:rPr>
            </w:pPr>
            <w:r w:rsidRPr="00760B1B">
              <w:rPr>
                <w:rStyle w:val="Bold"/>
                <w:rFonts w:ascii="Arial" w:hAnsi="Arial" w:cs="Arial"/>
                <w:bCs w:val="0"/>
                <w:color w:val="auto"/>
                <w:sz w:val="18"/>
                <w:szCs w:val="18"/>
              </w:rPr>
              <w:t>201</w:t>
            </w:r>
            <w:r w:rsidR="00760B1B" w:rsidRPr="00760B1B">
              <w:rPr>
                <w:rStyle w:val="Bold"/>
                <w:rFonts w:ascii="Arial" w:hAnsi="Arial" w:cs="Arial"/>
                <w:bCs w:val="0"/>
                <w:color w:val="auto"/>
                <w:sz w:val="18"/>
                <w:szCs w:val="18"/>
              </w:rPr>
              <w:t>4</w:t>
            </w:r>
            <w:r w:rsidRPr="00760B1B">
              <w:rPr>
                <w:rStyle w:val="Bold"/>
                <w:rFonts w:ascii="Arial" w:hAnsi="Arial" w:cs="Arial"/>
                <w:bCs w:val="0"/>
                <w:color w:val="auto"/>
                <w:sz w:val="18"/>
                <w:szCs w:val="18"/>
              </w:rPr>
              <w:t>/1</w:t>
            </w:r>
            <w:r w:rsidR="00760B1B" w:rsidRPr="00760B1B">
              <w:rPr>
                <w:rStyle w:val="Bold"/>
                <w:rFonts w:ascii="Arial" w:hAnsi="Arial" w:cs="Arial"/>
                <w:bCs w:val="0"/>
                <w:color w:val="auto"/>
                <w:sz w:val="18"/>
                <w:szCs w:val="18"/>
              </w:rPr>
              <w:t>5</w:t>
            </w:r>
          </w:p>
        </w:tc>
        <w:tc>
          <w:tcPr>
            <w:tcW w:w="5244" w:type="dxa"/>
            <w:shd w:val="clear" w:color="auto" w:fill="4BACC6" w:themeFill="accent5"/>
          </w:tcPr>
          <w:p w:rsidR="004B2138" w:rsidRPr="00760B1B" w:rsidRDefault="004B2138" w:rsidP="002704DC">
            <w:pPr>
              <w:pStyle w:val="TableText"/>
              <w:ind w:left="0"/>
              <w:cnfStyle w:val="000000000000"/>
              <w:rPr>
                <w:rFonts w:ascii="Arial" w:hAnsi="Arial" w:cs="Arial"/>
                <w:color w:val="auto"/>
                <w:sz w:val="18"/>
                <w:szCs w:val="18"/>
              </w:rPr>
            </w:pPr>
          </w:p>
        </w:tc>
        <w:tc>
          <w:tcPr>
            <w:cnfStyle w:val="000010000000"/>
            <w:tcW w:w="1418" w:type="dxa"/>
            <w:shd w:val="clear" w:color="auto" w:fill="4BACC6" w:themeFill="accent5"/>
          </w:tcPr>
          <w:p w:rsidR="004B2138" w:rsidRPr="00760B1B" w:rsidRDefault="004B2138" w:rsidP="00760B1B">
            <w:pPr>
              <w:pStyle w:val="TableRightBold"/>
              <w:spacing w:line="240" w:lineRule="auto"/>
              <w:jc w:val="center"/>
              <w:rPr>
                <w:rFonts w:ascii="Arial" w:hAnsi="Arial" w:cs="Arial"/>
                <w:color w:val="auto"/>
                <w:sz w:val="18"/>
                <w:szCs w:val="18"/>
              </w:rPr>
            </w:pPr>
            <w:r w:rsidRPr="00760B1B">
              <w:rPr>
                <w:rFonts w:ascii="Arial" w:hAnsi="Arial" w:cs="Arial"/>
                <w:color w:val="auto"/>
                <w:sz w:val="18"/>
                <w:szCs w:val="18"/>
              </w:rPr>
              <w:t>201</w:t>
            </w:r>
            <w:r w:rsidR="00760B1B" w:rsidRPr="00760B1B">
              <w:rPr>
                <w:rFonts w:ascii="Arial" w:hAnsi="Arial" w:cs="Arial"/>
                <w:color w:val="auto"/>
                <w:sz w:val="18"/>
                <w:szCs w:val="18"/>
              </w:rPr>
              <w:t>5</w:t>
            </w:r>
            <w:r w:rsidRPr="00760B1B">
              <w:rPr>
                <w:rFonts w:ascii="Arial" w:hAnsi="Arial" w:cs="Arial"/>
                <w:color w:val="auto"/>
                <w:sz w:val="18"/>
                <w:szCs w:val="18"/>
              </w:rPr>
              <w:t>/1</w:t>
            </w:r>
            <w:r w:rsidR="00760B1B" w:rsidRPr="00760B1B">
              <w:rPr>
                <w:rFonts w:ascii="Arial" w:hAnsi="Arial" w:cs="Arial"/>
                <w:color w:val="auto"/>
                <w:sz w:val="18"/>
                <w:szCs w:val="18"/>
              </w:rPr>
              <w:t>6</w:t>
            </w:r>
          </w:p>
        </w:tc>
      </w:tr>
      <w:tr w:rsidR="004B2138" w:rsidRPr="00760B1B" w:rsidTr="004B2138">
        <w:trPr>
          <w:cnfStyle w:val="000000100000"/>
          <w:trHeight w:val="170"/>
        </w:trPr>
        <w:tc>
          <w:tcPr>
            <w:cnfStyle w:val="000010000000"/>
            <w:tcW w:w="1560" w:type="dxa"/>
            <w:shd w:val="clear" w:color="auto" w:fill="4BACC6" w:themeFill="accent5"/>
          </w:tcPr>
          <w:p w:rsidR="004B2138" w:rsidRPr="00760B1B" w:rsidRDefault="004B2138" w:rsidP="004B2138">
            <w:pPr>
              <w:pStyle w:val="TableRight"/>
              <w:spacing w:before="0" w:line="240" w:lineRule="auto"/>
              <w:jc w:val="center"/>
              <w:rPr>
                <w:rFonts w:ascii="Arial" w:hAnsi="Arial" w:cs="Arial"/>
                <w:color w:val="auto"/>
              </w:rPr>
            </w:pPr>
            <w:r w:rsidRPr="00760B1B">
              <w:rPr>
                <w:rFonts w:ascii="Arial" w:hAnsi="Arial" w:cs="Arial"/>
                <w:color w:val="auto"/>
              </w:rPr>
              <w:t>£m</w:t>
            </w:r>
          </w:p>
        </w:tc>
        <w:tc>
          <w:tcPr>
            <w:tcW w:w="5244" w:type="dxa"/>
            <w:shd w:val="clear" w:color="auto" w:fill="4BACC6" w:themeFill="accent5"/>
          </w:tcPr>
          <w:p w:rsidR="004B2138" w:rsidRPr="00760B1B" w:rsidRDefault="004B2138" w:rsidP="002704DC">
            <w:pPr>
              <w:pStyle w:val="TableText"/>
              <w:spacing w:before="0" w:line="240" w:lineRule="auto"/>
              <w:cnfStyle w:val="000000100000"/>
              <w:rPr>
                <w:rFonts w:ascii="Arial" w:hAnsi="Arial" w:cs="Arial"/>
                <w:color w:val="auto"/>
              </w:rPr>
            </w:pPr>
          </w:p>
        </w:tc>
        <w:tc>
          <w:tcPr>
            <w:cnfStyle w:val="000010000000"/>
            <w:tcW w:w="1418" w:type="dxa"/>
            <w:shd w:val="clear" w:color="auto" w:fill="4BACC6" w:themeFill="accent5"/>
          </w:tcPr>
          <w:p w:rsidR="004B2138" w:rsidRPr="00760B1B" w:rsidRDefault="004B2138" w:rsidP="002704DC">
            <w:pPr>
              <w:pStyle w:val="TableRight"/>
              <w:spacing w:before="0" w:line="240" w:lineRule="auto"/>
              <w:jc w:val="center"/>
              <w:rPr>
                <w:rFonts w:ascii="Arial" w:hAnsi="Arial" w:cs="Arial"/>
                <w:b/>
                <w:color w:val="auto"/>
              </w:rPr>
            </w:pPr>
            <w:r w:rsidRPr="00760B1B">
              <w:rPr>
                <w:rStyle w:val="Bold"/>
                <w:rFonts w:ascii="Arial" w:hAnsi="Arial" w:cs="Arial"/>
                <w:b w:val="0"/>
                <w:bCs/>
                <w:color w:val="auto"/>
              </w:rPr>
              <w:t>£m</w:t>
            </w:r>
          </w:p>
        </w:tc>
      </w:tr>
      <w:tr w:rsidR="00760B1B" w:rsidRPr="00760B1B" w:rsidTr="004B2138">
        <w:trPr>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225.7</w:t>
            </w:r>
          </w:p>
        </w:tc>
        <w:tc>
          <w:tcPr>
            <w:tcW w:w="5244" w:type="dxa"/>
            <w:vAlign w:val="center"/>
          </w:tcPr>
          <w:p w:rsidR="00760B1B" w:rsidRPr="00760B1B" w:rsidRDefault="00760B1B" w:rsidP="004B2138">
            <w:pPr>
              <w:pStyle w:val="TableText"/>
              <w:spacing w:before="0" w:line="240" w:lineRule="auto"/>
              <w:cnfStyle w:val="000000000000"/>
              <w:rPr>
                <w:rFonts w:ascii="Arial" w:hAnsi="Arial" w:cs="Arial"/>
                <w:b/>
                <w:color w:val="auto"/>
              </w:rPr>
            </w:pPr>
            <w:r w:rsidRPr="00760B1B">
              <w:rPr>
                <w:rFonts w:ascii="Arial" w:hAnsi="Arial" w:cs="Arial"/>
                <w:b/>
                <w:color w:val="auto"/>
              </w:rPr>
              <w:t>Opening balance at 1 April</w:t>
            </w:r>
          </w:p>
        </w:tc>
        <w:tc>
          <w:tcPr>
            <w:cnfStyle w:val="000010000000"/>
            <w:tcW w:w="1418" w:type="dxa"/>
            <w:vAlign w:val="center"/>
          </w:tcPr>
          <w:p w:rsidR="00760B1B" w:rsidRPr="00760B1B" w:rsidRDefault="002258E5" w:rsidP="004B2138">
            <w:pPr>
              <w:pStyle w:val="TableRight"/>
              <w:spacing w:before="0" w:line="240" w:lineRule="auto"/>
              <w:jc w:val="center"/>
              <w:rPr>
                <w:rFonts w:ascii="Arial" w:hAnsi="Arial" w:cs="Arial"/>
                <w:b/>
                <w:color w:val="auto"/>
              </w:rPr>
            </w:pPr>
            <w:r>
              <w:rPr>
                <w:rFonts w:ascii="Arial" w:hAnsi="Arial" w:cs="Arial"/>
                <w:b/>
                <w:color w:val="auto"/>
              </w:rPr>
              <w:t>244.1</w:t>
            </w:r>
          </w:p>
        </w:tc>
      </w:tr>
      <w:tr w:rsidR="00760B1B" w:rsidRPr="00760B1B" w:rsidTr="004B2138">
        <w:trPr>
          <w:cnfStyle w:val="000000100000"/>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10.1</w:t>
            </w:r>
          </w:p>
        </w:tc>
        <w:tc>
          <w:tcPr>
            <w:tcW w:w="5244" w:type="dxa"/>
            <w:vAlign w:val="center"/>
          </w:tcPr>
          <w:p w:rsidR="00760B1B" w:rsidRPr="00760B1B" w:rsidRDefault="00760B1B" w:rsidP="004B2138">
            <w:pPr>
              <w:pStyle w:val="TableText"/>
              <w:spacing w:before="0" w:line="240" w:lineRule="auto"/>
              <w:cnfStyle w:val="000000100000"/>
              <w:rPr>
                <w:rFonts w:ascii="Arial" w:hAnsi="Arial" w:cs="Arial"/>
                <w:color w:val="auto"/>
              </w:rPr>
            </w:pPr>
            <w:r w:rsidRPr="00760B1B">
              <w:rPr>
                <w:rFonts w:ascii="Arial" w:hAnsi="Arial" w:cs="Arial"/>
                <w:color w:val="auto"/>
              </w:rPr>
              <w:t>Interest on Assets</w:t>
            </w:r>
          </w:p>
        </w:tc>
        <w:tc>
          <w:tcPr>
            <w:cnfStyle w:val="000010000000"/>
            <w:tcW w:w="1418" w:type="dxa"/>
            <w:vAlign w:val="center"/>
          </w:tcPr>
          <w:p w:rsidR="00760B1B" w:rsidRPr="00760B1B" w:rsidRDefault="004F570E" w:rsidP="004F570E">
            <w:pPr>
              <w:pStyle w:val="TableRight"/>
              <w:spacing w:before="0" w:line="240" w:lineRule="auto"/>
              <w:jc w:val="center"/>
              <w:rPr>
                <w:rFonts w:ascii="Arial" w:hAnsi="Arial" w:cs="Arial"/>
                <w:b/>
                <w:color w:val="auto"/>
              </w:rPr>
            </w:pPr>
            <w:r>
              <w:rPr>
                <w:rFonts w:ascii="Arial" w:hAnsi="Arial" w:cs="Arial"/>
                <w:b/>
                <w:color w:val="auto"/>
              </w:rPr>
              <w:t>7.9</w:t>
            </w:r>
          </w:p>
        </w:tc>
      </w:tr>
      <w:tr w:rsidR="00760B1B" w:rsidRPr="00760B1B" w:rsidTr="004B2138">
        <w:trPr>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12.6</w:t>
            </w:r>
          </w:p>
        </w:tc>
        <w:tc>
          <w:tcPr>
            <w:tcW w:w="5244" w:type="dxa"/>
            <w:vAlign w:val="center"/>
          </w:tcPr>
          <w:p w:rsidR="00760B1B" w:rsidRPr="00760B1B" w:rsidRDefault="00760B1B" w:rsidP="004B2138">
            <w:pPr>
              <w:pStyle w:val="TableText"/>
              <w:spacing w:before="0" w:line="240" w:lineRule="auto"/>
              <w:cnfStyle w:val="000000000000"/>
              <w:rPr>
                <w:rFonts w:ascii="Arial" w:hAnsi="Arial" w:cs="Arial"/>
                <w:color w:val="auto"/>
              </w:rPr>
            </w:pPr>
            <w:r w:rsidRPr="00760B1B">
              <w:rPr>
                <w:rFonts w:ascii="Arial" w:hAnsi="Arial" w:cs="Arial"/>
                <w:color w:val="auto"/>
              </w:rPr>
              <w:t>Return on Assets less Interest</w:t>
            </w:r>
          </w:p>
        </w:tc>
        <w:tc>
          <w:tcPr>
            <w:cnfStyle w:val="000010000000"/>
            <w:tcW w:w="1418" w:type="dxa"/>
            <w:vAlign w:val="center"/>
          </w:tcPr>
          <w:p w:rsidR="00760B1B" w:rsidRPr="00760B1B" w:rsidRDefault="004F570E" w:rsidP="004F570E">
            <w:pPr>
              <w:pStyle w:val="TableRight"/>
              <w:spacing w:before="0" w:line="240" w:lineRule="auto"/>
              <w:jc w:val="center"/>
              <w:rPr>
                <w:rFonts w:ascii="Arial" w:hAnsi="Arial" w:cs="Arial"/>
                <w:b/>
                <w:color w:val="auto"/>
              </w:rPr>
            </w:pPr>
            <w:r>
              <w:rPr>
                <w:rFonts w:ascii="Arial" w:hAnsi="Arial" w:cs="Arial"/>
                <w:b/>
                <w:color w:val="auto"/>
              </w:rPr>
              <w:t>(6.9)</w:t>
            </w:r>
          </w:p>
        </w:tc>
      </w:tr>
      <w:tr w:rsidR="00760B1B" w:rsidRPr="00760B1B" w:rsidTr="004B2138">
        <w:trPr>
          <w:cnfStyle w:val="000000100000"/>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0</w:t>
            </w:r>
          </w:p>
        </w:tc>
        <w:tc>
          <w:tcPr>
            <w:tcW w:w="5244" w:type="dxa"/>
            <w:vAlign w:val="center"/>
          </w:tcPr>
          <w:p w:rsidR="00760B1B" w:rsidRPr="00760B1B" w:rsidRDefault="00760B1B" w:rsidP="004B2138">
            <w:pPr>
              <w:pStyle w:val="TableText"/>
              <w:spacing w:before="0" w:line="240" w:lineRule="auto"/>
              <w:cnfStyle w:val="000000100000"/>
              <w:rPr>
                <w:rFonts w:ascii="Arial" w:hAnsi="Arial" w:cs="Arial"/>
                <w:color w:val="auto"/>
              </w:rPr>
            </w:pPr>
            <w:r w:rsidRPr="00760B1B">
              <w:rPr>
                <w:rFonts w:ascii="Arial" w:hAnsi="Arial" w:cs="Arial"/>
                <w:color w:val="auto"/>
              </w:rPr>
              <w:t>Other Actuarial gains/(losses)</w:t>
            </w:r>
          </w:p>
        </w:tc>
        <w:tc>
          <w:tcPr>
            <w:cnfStyle w:val="000010000000"/>
            <w:tcW w:w="1418" w:type="dxa"/>
            <w:vAlign w:val="center"/>
          </w:tcPr>
          <w:p w:rsidR="00760B1B" w:rsidRPr="00760B1B" w:rsidRDefault="004F570E" w:rsidP="004B2138">
            <w:pPr>
              <w:pStyle w:val="TableRight"/>
              <w:spacing w:before="0" w:line="240" w:lineRule="auto"/>
              <w:jc w:val="center"/>
              <w:rPr>
                <w:rFonts w:ascii="Arial" w:hAnsi="Arial" w:cs="Arial"/>
                <w:b/>
                <w:color w:val="auto"/>
              </w:rPr>
            </w:pPr>
            <w:r>
              <w:rPr>
                <w:rFonts w:ascii="Arial" w:hAnsi="Arial" w:cs="Arial"/>
                <w:b/>
                <w:color w:val="auto"/>
              </w:rPr>
              <w:t>0</w:t>
            </w:r>
          </w:p>
        </w:tc>
      </w:tr>
      <w:tr w:rsidR="00760B1B" w:rsidRPr="00760B1B" w:rsidTr="004B2138">
        <w:trPr>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(0.1)</w:t>
            </w:r>
          </w:p>
        </w:tc>
        <w:tc>
          <w:tcPr>
            <w:tcW w:w="5244" w:type="dxa"/>
            <w:vAlign w:val="center"/>
          </w:tcPr>
          <w:p w:rsidR="00760B1B" w:rsidRPr="00760B1B" w:rsidRDefault="00760B1B" w:rsidP="004B2138">
            <w:pPr>
              <w:pStyle w:val="TableText"/>
              <w:spacing w:before="0" w:line="240" w:lineRule="auto"/>
              <w:cnfStyle w:val="000000000000"/>
              <w:rPr>
                <w:rFonts w:ascii="Arial" w:hAnsi="Arial" w:cs="Arial"/>
                <w:color w:val="auto"/>
              </w:rPr>
            </w:pPr>
            <w:r w:rsidRPr="00760B1B">
              <w:rPr>
                <w:rFonts w:ascii="Arial" w:hAnsi="Arial" w:cs="Arial"/>
                <w:color w:val="auto"/>
              </w:rPr>
              <w:t>Administration Expenses</w:t>
            </w:r>
          </w:p>
        </w:tc>
        <w:tc>
          <w:tcPr>
            <w:cnfStyle w:val="000010000000"/>
            <w:tcW w:w="1418" w:type="dxa"/>
            <w:vAlign w:val="center"/>
          </w:tcPr>
          <w:p w:rsidR="00760B1B" w:rsidRPr="00760B1B" w:rsidRDefault="004F570E" w:rsidP="004B2138">
            <w:pPr>
              <w:pStyle w:val="TableRight"/>
              <w:spacing w:before="0" w:line="240" w:lineRule="auto"/>
              <w:jc w:val="center"/>
              <w:rPr>
                <w:rFonts w:ascii="Arial" w:hAnsi="Arial" w:cs="Arial"/>
                <w:b/>
                <w:color w:val="auto"/>
              </w:rPr>
            </w:pPr>
            <w:r>
              <w:rPr>
                <w:rFonts w:ascii="Arial" w:hAnsi="Arial" w:cs="Arial"/>
                <w:b/>
                <w:color w:val="auto"/>
              </w:rPr>
              <w:t>(0.1)</w:t>
            </w:r>
          </w:p>
        </w:tc>
      </w:tr>
      <w:tr w:rsidR="00760B1B" w:rsidRPr="00760B1B" w:rsidTr="004B2138">
        <w:trPr>
          <w:cnfStyle w:val="000000100000"/>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1.8</w:t>
            </w:r>
          </w:p>
        </w:tc>
        <w:tc>
          <w:tcPr>
            <w:tcW w:w="5244" w:type="dxa"/>
            <w:vAlign w:val="center"/>
          </w:tcPr>
          <w:p w:rsidR="00760B1B" w:rsidRPr="00760B1B" w:rsidRDefault="00760B1B" w:rsidP="004B2138">
            <w:pPr>
              <w:pStyle w:val="TableText"/>
              <w:spacing w:before="0" w:line="240" w:lineRule="auto"/>
              <w:cnfStyle w:val="000000100000"/>
              <w:rPr>
                <w:rFonts w:ascii="Arial" w:hAnsi="Arial" w:cs="Arial"/>
                <w:color w:val="auto"/>
              </w:rPr>
            </w:pPr>
            <w:r w:rsidRPr="00760B1B">
              <w:rPr>
                <w:rFonts w:ascii="Arial" w:hAnsi="Arial" w:cs="Arial"/>
                <w:color w:val="auto"/>
              </w:rPr>
              <w:t>Contributions by scheme participants</w:t>
            </w:r>
          </w:p>
        </w:tc>
        <w:tc>
          <w:tcPr>
            <w:cnfStyle w:val="000010000000"/>
            <w:tcW w:w="1418" w:type="dxa"/>
            <w:vAlign w:val="center"/>
          </w:tcPr>
          <w:p w:rsidR="00760B1B" w:rsidRPr="00760B1B" w:rsidRDefault="004F570E" w:rsidP="004B2138">
            <w:pPr>
              <w:pStyle w:val="TableRight"/>
              <w:spacing w:before="0" w:line="240" w:lineRule="auto"/>
              <w:jc w:val="center"/>
              <w:rPr>
                <w:rFonts w:ascii="Arial" w:hAnsi="Arial" w:cs="Arial"/>
                <w:b/>
                <w:color w:val="auto"/>
              </w:rPr>
            </w:pPr>
            <w:r>
              <w:rPr>
                <w:rFonts w:ascii="Arial" w:hAnsi="Arial" w:cs="Arial"/>
                <w:b/>
                <w:color w:val="auto"/>
              </w:rPr>
              <w:t>1.7</w:t>
            </w:r>
          </w:p>
        </w:tc>
      </w:tr>
      <w:tr w:rsidR="00760B1B" w:rsidRPr="00760B1B" w:rsidTr="004B2138">
        <w:trPr>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6.2</w:t>
            </w:r>
          </w:p>
        </w:tc>
        <w:tc>
          <w:tcPr>
            <w:tcW w:w="5244" w:type="dxa"/>
            <w:vAlign w:val="center"/>
          </w:tcPr>
          <w:p w:rsidR="00760B1B" w:rsidRPr="00760B1B" w:rsidRDefault="00760B1B" w:rsidP="004B2138">
            <w:pPr>
              <w:pStyle w:val="TableText"/>
              <w:spacing w:before="0" w:line="240" w:lineRule="auto"/>
              <w:cnfStyle w:val="000000000000"/>
              <w:rPr>
                <w:rFonts w:ascii="Arial" w:hAnsi="Arial" w:cs="Arial"/>
                <w:color w:val="auto"/>
              </w:rPr>
            </w:pPr>
            <w:r w:rsidRPr="00760B1B">
              <w:rPr>
                <w:rFonts w:ascii="Arial" w:hAnsi="Arial" w:cs="Arial"/>
                <w:color w:val="auto"/>
              </w:rPr>
              <w:t>Employer contributions</w:t>
            </w:r>
          </w:p>
        </w:tc>
        <w:tc>
          <w:tcPr>
            <w:cnfStyle w:val="000010000000"/>
            <w:tcW w:w="1418" w:type="dxa"/>
            <w:vAlign w:val="center"/>
          </w:tcPr>
          <w:p w:rsidR="00760B1B" w:rsidRPr="00760B1B" w:rsidRDefault="004F570E" w:rsidP="004B2138">
            <w:pPr>
              <w:pStyle w:val="TableRight"/>
              <w:spacing w:before="0" w:line="240" w:lineRule="auto"/>
              <w:jc w:val="center"/>
              <w:rPr>
                <w:rFonts w:ascii="Arial" w:hAnsi="Arial" w:cs="Arial"/>
                <w:b/>
                <w:color w:val="auto"/>
              </w:rPr>
            </w:pPr>
            <w:r>
              <w:rPr>
                <w:rFonts w:ascii="Arial" w:hAnsi="Arial" w:cs="Arial"/>
                <w:b/>
                <w:color w:val="auto"/>
              </w:rPr>
              <w:t>6.1</w:t>
            </w:r>
          </w:p>
        </w:tc>
      </w:tr>
      <w:tr w:rsidR="00760B1B" w:rsidRPr="00760B1B" w:rsidTr="004B2138">
        <w:trPr>
          <w:cnfStyle w:val="000000100000"/>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(11.4)</w:t>
            </w:r>
          </w:p>
        </w:tc>
        <w:tc>
          <w:tcPr>
            <w:tcW w:w="5244" w:type="dxa"/>
            <w:vAlign w:val="center"/>
          </w:tcPr>
          <w:p w:rsidR="00760B1B" w:rsidRPr="00760B1B" w:rsidRDefault="00760B1B" w:rsidP="004B2138">
            <w:pPr>
              <w:pStyle w:val="TableText"/>
              <w:spacing w:before="0" w:line="240" w:lineRule="auto"/>
              <w:cnfStyle w:val="000000100000"/>
              <w:rPr>
                <w:rFonts w:ascii="Arial" w:hAnsi="Arial" w:cs="Arial"/>
                <w:color w:val="auto"/>
              </w:rPr>
            </w:pPr>
            <w:r w:rsidRPr="00760B1B">
              <w:rPr>
                <w:rFonts w:ascii="Arial" w:hAnsi="Arial" w:cs="Arial"/>
                <w:color w:val="auto"/>
              </w:rPr>
              <w:t>Benefits paid</w:t>
            </w:r>
          </w:p>
        </w:tc>
        <w:tc>
          <w:tcPr>
            <w:cnfStyle w:val="000010000000"/>
            <w:tcW w:w="1418" w:type="dxa"/>
            <w:vAlign w:val="center"/>
          </w:tcPr>
          <w:p w:rsidR="00760B1B" w:rsidRPr="00760B1B" w:rsidRDefault="004F570E" w:rsidP="004B2138">
            <w:pPr>
              <w:pStyle w:val="TableRight"/>
              <w:spacing w:before="0" w:line="240" w:lineRule="auto"/>
              <w:jc w:val="center"/>
              <w:rPr>
                <w:rFonts w:ascii="Arial" w:hAnsi="Arial" w:cs="Arial"/>
                <w:b/>
                <w:color w:val="auto"/>
              </w:rPr>
            </w:pPr>
            <w:r>
              <w:rPr>
                <w:rFonts w:ascii="Arial" w:hAnsi="Arial" w:cs="Arial"/>
                <w:b/>
                <w:color w:val="auto"/>
              </w:rPr>
              <w:t>(12.4)</w:t>
            </w:r>
          </w:p>
        </w:tc>
      </w:tr>
      <w:tr w:rsidR="00760B1B" w:rsidRPr="00760B1B" w:rsidTr="004B2138">
        <w:trPr>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(0.8)</w:t>
            </w:r>
          </w:p>
        </w:tc>
        <w:tc>
          <w:tcPr>
            <w:tcW w:w="5244" w:type="dxa"/>
            <w:vAlign w:val="center"/>
          </w:tcPr>
          <w:p w:rsidR="00760B1B" w:rsidRPr="00760B1B" w:rsidRDefault="00760B1B" w:rsidP="004B2138">
            <w:pPr>
              <w:pStyle w:val="TableText"/>
              <w:spacing w:before="0" w:line="240" w:lineRule="auto"/>
              <w:cnfStyle w:val="000000000000"/>
              <w:rPr>
                <w:rFonts w:ascii="Arial" w:hAnsi="Arial" w:cs="Arial"/>
                <w:color w:val="auto"/>
              </w:rPr>
            </w:pPr>
            <w:r w:rsidRPr="00760B1B">
              <w:rPr>
                <w:rFonts w:ascii="Arial" w:hAnsi="Arial" w:cs="Arial"/>
                <w:color w:val="auto"/>
              </w:rPr>
              <w:t>Settlement process received/(paid)</w:t>
            </w:r>
          </w:p>
        </w:tc>
        <w:tc>
          <w:tcPr>
            <w:cnfStyle w:val="000010000000"/>
            <w:tcW w:w="1418" w:type="dxa"/>
            <w:vAlign w:val="center"/>
          </w:tcPr>
          <w:p w:rsidR="00760B1B" w:rsidRPr="00760B1B" w:rsidRDefault="004F570E" w:rsidP="004B2138">
            <w:pPr>
              <w:pStyle w:val="TableRight"/>
              <w:spacing w:before="0" w:line="240" w:lineRule="auto"/>
              <w:jc w:val="center"/>
              <w:rPr>
                <w:rFonts w:ascii="Arial" w:hAnsi="Arial" w:cs="Arial"/>
                <w:b/>
                <w:color w:val="auto"/>
              </w:rPr>
            </w:pPr>
            <w:r>
              <w:rPr>
                <w:rFonts w:ascii="Arial" w:hAnsi="Arial" w:cs="Arial"/>
                <w:b/>
                <w:color w:val="auto"/>
              </w:rPr>
              <w:t>(0.6)</w:t>
            </w:r>
          </w:p>
        </w:tc>
      </w:tr>
      <w:tr w:rsidR="00760B1B" w:rsidRPr="00760B1B" w:rsidTr="004B2138">
        <w:trPr>
          <w:cnfStyle w:val="000000100000"/>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244.1</w:t>
            </w:r>
          </w:p>
        </w:tc>
        <w:tc>
          <w:tcPr>
            <w:tcW w:w="5244" w:type="dxa"/>
            <w:vAlign w:val="center"/>
          </w:tcPr>
          <w:p w:rsidR="00760B1B" w:rsidRPr="00760B1B" w:rsidRDefault="00760B1B" w:rsidP="004B2138">
            <w:pPr>
              <w:pStyle w:val="TableText"/>
              <w:spacing w:before="0" w:line="240" w:lineRule="auto"/>
              <w:cnfStyle w:val="000000100000"/>
              <w:rPr>
                <w:rFonts w:ascii="Arial" w:hAnsi="Arial" w:cs="Arial"/>
                <w:b/>
                <w:color w:val="auto"/>
              </w:rPr>
            </w:pPr>
            <w:r w:rsidRPr="00760B1B">
              <w:rPr>
                <w:rFonts w:ascii="Arial" w:hAnsi="Arial" w:cs="Arial"/>
                <w:b/>
                <w:color w:val="auto"/>
              </w:rPr>
              <w:t>Closing balance at 31 March</w:t>
            </w:r>
          </w:p>
        </w:tc>
        <w:tc>
          <w:tcPr>
            <w:cnfStyle w:val="000010000000"/>
            <w:tcW w:w="1418" w:type="dxa"/>
            <w:vAlign w:val="center"/>
          </w:tcPr>
          <w:p w:rsidR="00760B1B" w:rsidRPr="00760B1B" w:rsidRDefault="004F570E" w:rsidP="004B2138">
            <w:pPr>
              <w:pStyle w:val="TableRight"/>
              <w:spacing w:before="0" w:line="240" w:lineRule="auto"/>
              <w:jc w:val="center"/>
              <w:rPr>
                <w:rFonts w:ascii="Arial" w:hAnsi="Arial" w:cs="Arial"/>
                <w:b/>
                <w:color w:val="auto"/>
              </w:rPr>
            </w:pPr>
            <w:r>
              <w:rPr>
                <w:rFonts w:ascii="Arial" w:hAnsi="Arial" w:cs="Arial"/>
                <w:b/>
                <w:color w:val="auto"/>
              </w:rPr>
              <w:t>239.8</w:t>
            </w:r>
          </w:p>
        </w:tc>
      </w:tr>
    </w:tbl>
    <w:p w:rsidR="00183591" w:rsidRPr="00760B1B" w:rsidRDefault="00183591" w:rsidP="002704DC">
      <w:pPr>
        <w:pStyle w:val="CodeNotesExampleText"/>
        <w:widowControl w:val="0"/>
        <w:outlineLvl w:val="0"/>
        <w:rPr>
          <w:rFonts w:cs="Arial"/>
          <w:b/>
          <w:color w:val="auto"/>
          <w:sz w:val="20"/>
          <w:szCs w:val="20"/>
        </w:rPr>
      </w:pPr>
    </w:p>
    <w:p w:rsidR="00650992" w:rsidRPr="00760B1B" w:rsidRDefault="00650992" w:rsidP="00D12DE9">
      <w:pPr>
        <w:pStyle w:val="CodeNotesExampleText"/>
        <w:widowControl w:val="0"/>
        <w:outlineLvl w:val="0"/>
        <w:rPr>
          <w:rFonts w:cs="Arial"/>
          <w:b/>
          <w:color w:val="auto"/>
          <w:sz w:val="20"/>
          <w:szCs w:val="20"/>
        </w:rPr>
      </w:pPr>
    </w:p>
    <w:p w:rsidR="002C6DBC" w:rsidRPr="00760B1B" w:rsidRDefault="00F655C8" w:rsidP="00613D01">
      <w:pPr>
        <w:pStyle w:val="CodeNotesExampleText"/>
        <w:widowControl w:val="0"/>
        <w:ind w:firstLine="567"/>
        <w:outlineLvl w:val="0"/>
        <w:rPr>
          <w:rFonts w:cs="Arial"/>
          <w:b/>
          <w:color w:val="auto"/>
          <w:sz w:val="20"/>
          <w:szCs w:val="20"/>
        </w:rPr>
      </w:pPr>
      <w:r w:rsidRPr="00760B1B">
        <w:rPr>
          <w:rFonts w:cs="Arial"/>
          <w:b/>
          <w:color w:val="auto"/>
          <w:sz w:val="20"/>
          <w:szCs w:val="20"/>
        </w:rPr>
        <w:t>Reconciliation of present value of the scheme liabilities (defined benefit obligation):</w:t>
      </w:r>
    </w:p>
    <w:p w:rsidR="00613D01" w:rsidRPr="00D42E0B" w:rsidRDefault="00613D01" w:rsidP="00D12DE9">
      <w:pPr>
        <w:pStyle w:val="CodeNotesExampleText"/>
        <w:widowControl w:val="0"/>
        <w:outlineLvl w:val="0"/>
        <w:rPr>
          <w:rFonts w:cs="Arial"/>
          <w:color w:val="548DD4" w:themeColor="text2" w:themeTint="99"/>
          <w:sz w:val="20"/>
          <w:szCs w:val="20"/>
        </w:rPr>
      </w:pPr>
    </w:p>
    <w:tbl>
      <w:tblPr>
        <w:tblStyle w:val="ListTable3-Accent51"/>
        <w:tblW w:w="8222" w:type="dxa"/>
        <w:tblInd w:w="675" w:type="dxa"/>
        <w:tblLayout w:type="fixed"/>
        <w:tblLook w:val="0000"/>
      </w:tblPr>
      <w:tblGrid>
        <w:gridCol w:w="1560"/>
        <w:gridCol w:w="5244"/>
        <w:gridCol w:w="1418"/>
      </w:tblGrid>
      <w:tr w:rsidR="00613D01" w:rsidRPr="00760B1B" w:rsidTr="00235651">
        <w:trPr>
          <w:cnfStyle w:val="000000100000"/>
          <w:trHeight w:val="170"/>
        </w:trPr>
        <w:tc>
          <w:tcPr>
            <w:cnfStyle w:val="000010000000"/>
            <w:tcW w:w="1560" w:type="dxa"/>
            <w:shd w:val="clear" w:color="auto" w:fill="4BACC6" w:themeFill="accent5"/>
          </w:tcPr>
          <w:p w:rsidR="00613D01" w:rsidRPr="00760B1B" w:rsidRDefault="00613D01" w:rsidP="002704DC">
            <w:pPr>
              <w:pStyle w:val="NoParagraphStyle"/>
              <w:spacing w:line="240" w:lineRule="auto"/>
              <w:textAlignment w:val="auto"/>
              <w:rPr>
                <w:rFonts w:ascii="Arial" w:hAnsi="Arial" w:cs="Arial"/>
                <w:color w:val="auto"/>
                <w:sz w:val="20"/>
                <w:szCs w:val="20"/>
              </w:rPr>
            </w:pPr>
          </w:p>
        </w:tc>
        <w:tc>
          <w:tcPr>
            <w:tcW w:w="5244" w:type="dxa"/>
            <w:shd w:val="clear" w:color="auto" w:fill="4BACC6" w:themeFill="accent5"/>
          </w:tcPr>
          <w:p w:rsidR="00613D01" w:rsidRPr="00760B1B" w:rsidRDefault="00613D01" w:rsidP="00235651">
            <w:pPr>
              <w:widowControl w:val="0"/>
              <w:spacing w:after="0" w:line="240" w:lineRule="auto"/>
              <w:cnfStyle w:val="000000100000"/>
              <w:rPr>
                <w:rFonts w:cs="Arial"/>
                <w:color w:val="auto"/>
                <w:sz w:val="20"/>
                <w:szCs w:val="20"/>
              </w:rPr>
            </w:pPr>
            <w:r w:rsidRPr="00760B1B">
              <w:rPr>
                <w:rStyle w:val="Bold"/>
                <w:rFonts w:cs="Arial"/>
                <w:bCs/>
                <w:color w:val="auto"/>
                <w:sz w:val="20"/>
                <w:szCs w:val="20"/>
              </w:rPr>
              <w:t>Liabilities: Local Government Pension Scheme</w:t>
            </w:r>
          </w:p>
        </w:tc>
        <w:tc>
          <w:tcPr>
            <w:cnfStyle w:val="000010000000"/>
            <w:tcW w:w="1418" w:type="dxa"/>
            <w:shd w:val="clear" w:color="auto" w:fill="4BACC6" w:themeFill="accent5"/>
          </w:tcPr>
          <w:p w:rsidR="00613D01" w:rsidRPr="00760B1B" w:rsidRDefault="00613D01" w:rsidP="002704DC">
            <w:pPr>
              <w:pStyle w:val="NoParagraphStyle"/>
              <w:spacing w:line="240" w:lineRule="auto"/>
              <w:textAlignment w:val="auto"/>
              <w:rPr>
                <w:rStyle w:val="Bold"/>
                <w:rFonts w:ascii="Arial" w:hAnsi="Arial" w:cs="Arial"/>
                <w:b w:val="0"/>
                <w:bCs/>
                <w:color w:val="auto"/>
              </w:rPr>
            </w:pPr>
          </w:p>
        </w:tc>
      </w:tr>
      <w:tr w:rsidR="00613D01" w:rsidRPr="00760B1B" w:rsidTr="00235651">
        <w:trPr>
          <w:trHeight w:val="170"/>
        </w:trPr>
        <w:tc>
          <w:tcPr>
            <w:cnfStyle w:val="000010000000"/>
            <w:tcW w:w="1560" w:type="dxa"/>
            <w:shd w:val="clear" w:color="auto" w:fill="4BACC6" w:themeFill="accent5"/>
          </w:tcPr>
          <w:p w:rsidR="00613D01" w:rsidRPr="00760B1B" w:rsidRDefault="00613D01" w:rsidP="00760B1B">
            <w:pPr>
              <w:pStyle w:val="TableRightBold"/>
              <w:spacing w:line="240" w:lineRule="auto"/>
              <w:jc w:val="center"/>
              <w:rPr>
                <w:rFonts w:ascii="Arial" w:hAnsi="Arial" w:cs="Arial"/>
                <w:color w:val="auto"/>
                <w:sz w:val="18"/>
                <w:szCs w:val="18"/>
              </w:rPr>
            </w:pPr>
            <w:r w:rsidRPr="00760B1B">
              <w:rPr>
                <w:rStyle w:val="Bold"/>
                <w:rFonts w:ascii="Arial" w:hAnsi="Arial" w:cs="Arial"/>
                <w:bCs w:val="0"/>
                <w:color w:val="auto"/>
                <w:sz w:val="18"/>
                <w:szCs w:val="18"/>
              </w:rPr>
              <w:t>201</w:t>
            </w:r>
            <w:r w:rsidR="00760B1B" w:rsidRPr="00760B1B">
              <w:rPr>
                <w:rStyle w:val="Bold"/>
                <w:rFonts w:ascii="Arial" w:hAnsi="Arial" w:cs="Arial"/>
                <w:bCs w:val="0"/>
                <w:color w:val="auto"/>
                <w:sz w:val="18"/>
                <w:szCs w:val="18"/>
              </w:rPr>
              <w:t>4</w:t>
            </w:r>
            <w:r w:rsidRPr="00760B1B">
              <w:rPr>
                <w:rStyle w:val="Bold"/>
                <w:rFonts w:ascii="Arial" w:hAnsi="Arial" w:cs="Arial"/>
                <w:bCs w:val="0"/>
                <w:color w:val="auto"/>
                <w:sz w:val="18"/>
                <w:szCs w:val="18"/>
              </w:rPr>
              <w:t>/1</w:t>
            </w:r>
            <w:r w:rsidR="00760B1B" w:rsidRPr="00760B1B">
              <w:rPr>
                <w:rStyle w:val="Bold"/>
                <w:rFonts w:ascii="Arial" w:hAnsi="Arial" w:cs="Arial"/>
                <w:bCs w:val="0"/>
                <w:color w:val="auto"/>
                <w:sz w:val="18"/>
                <w:szCs w:val="18"/>
              </w:rPr>
              <w:t>5</w:t>
            </w:r>
          </w:p>
        </w:tc>
        <w:tc>
          <w:tcPr>
            <w:tcW w:w="5244" w:type="dxa"/>
            <w:shd w:val="clear" w:color="auto" w:fill="4BACC6" w:themeFill="accent5"/>
          </w:tcPr>
          <w:p w:rsidR="00613D01" w:rsidRPr="00760B1B" w:rsidRDefault="00613D01" w:rsidP="002704DC">
            <w:pPr>
              <w:pStyle w:val="NoParagraphStyle"/>
              <w:spacing w:line="240" w:lineRule="auto"/>
              <w:textAlignment w:val="auto"/>
              <w:cnfStyle w:val="000000000000"/>
              <w:rPr>
                <w:rFonts w:ascii="Arial" w:hAnsi="Arial" w:cs="Arial"/>
                <w:color w:val="auto"/>
                <w:sz w:val="20"/>
                <w:szCs w:val="20"/>
              </w:rPr>
            </w:pPr>
          </w:p>
        </w:tc>
        <w:tc>
          <w:tcPr>
            <w:cnfStyle w:val="000010000000"/>
            <w:tcW w:w="1418" w:type="dxa"/>
            <w:shd w:val="clear" w:color="auto" w:fill="4BACC6" w:themeFill="accent5"/>
          </w:tcPr>
          <w:p w:rsidR="00613D01" w:rsidRPr="00760B1B" w:rsidRDefault="00613D01" w:rsidP="00760B1B">
            <w:pPr>
              <w:pStyle w:val="TableRightBold"/>
              <w:spacing w:line="240" w:lineRule="auto"/>
              <w:jc w:val="center"/>
              <w:rPr>
                <w:rFonts w:ascii="Arial" w:hAnsi="Arial" w:cs="Arial"/>
                <w:color w:val="auto"/>
                <w:sz w:val="18"/>
                <w:szCs w:val="18"/>
              </w:rPr>
            </w:pPr>
            <w:r w:rsidRPr="00760B1B">
              <w:rPr>
                <w:rFonts w:ascii="Arial" w:hAnsi="Arial" w:cs="Arial"/>
                <w:color w:val="auto"/>
                <w:sz w:val="18"/>
                <w:szCs w:val="18"/>
              </w:rPr>
              <w:t>201</w:t>
            </w:r>
            <w:r w:rsidR="00760B1B" w:rsidRPr="00760B1B">
              <w:rPr>
                <w:rFonts w:ascii="Arial" w:hAnsi="Arial" w:cs="Arial"/>
                <w:color w:val="auto"/>
                <w:sz w:val="18"/>
                <w:szCs w:val="18"/>
              </w:rPr>
              <w:t>5</w:t>
            </w:r>
            <w:r w:rsidRPr="00760B1B">
              <w:rPr>
                <w:rFonts w:ascii="Arial" w:hAnsi="Arial" w:cs="Arial"/>
                <w:color w:val="auto"/>
                <w:sz w:val="18"/>
                <w:szCs w:val="18"/>
              </w:rPr>
              <w:t>/1</w:t>
            </w:r>
            <w:r w:rsidR="00760B1B" w:rsidRPr="00760B1B">
              <w:rPr>
                <w:rFonts w:ascii="Arial" w:hAnsi="Arial" w:cs="Arial"/>
                <w:color w:val="auto"/>
                <w:sz w:val="18"/>
                <w:szCs w:val="18"/>
              </w:rPr>
              <w:t>6</w:t>
            </w:r>
          </w:p>
        </w:tc>
      </w:tr>
      <w:tr w:rsidR="00613D01" w:rsidRPr="00760B1B" w:rsidTr="00235651">
        <w:trPr>
          <w:cnfStyle w:val="000000100000"/>
          <w:trHeight w:val="70"/>
        </w:trPr>
        <w:tc>
          <w:tcPr>
            <w:cnfStyle w:val="000010000000"/>
            <w:tcW w:w="1560" w:type="dxa"/>
            <w:shd w:val="clear" w:color="auto" w:fill="4BACC6" w:themeFill="accent5"/>
          </w:tcPr>
          <w:p w:rsidR="00613D01" w:rsidRPr="00760B1B" w:rsidRDefault="00613D01" w:rsidP="00A67EFA">
            <w:pPr>
              <w:pStyle w:val="TableRight"/>
              <w:spacing w:before="0" w:line="240" w:lineRule="auto"/>
              <w:jc w:val="center"/>
              <w:rPr>
                <w:rFonts w:ascii="Arial" w:hAnsi="Arial" w:cs="Arial"/>
                <w:color w:val="auto"/>
              </w:rPr>
            </w:pPr>
            <w:r w:rsidRPr="00760B1B">
              <w:rPr>
                <w:rFonts w:ascii="Arial" w:hAnsi="Arial" w:cs="Arial"/>
                <w:color w:val="auto"/>
              </w:rPr>
              <w:t>£m</w:t>
            </w:r>
          </w:p>
        </w:tc>
        <w:tc>
          <w:tcPr>
            <w:tcW w:w="5244" w:type="dxa"/>
            <w:shd w:val="clear" w:color="auto" w:fill="4BACC6" w:themeFill="accent5"/>
          </w:tcPr>
          <w:p w:rsidR="00613D01" w:rsidRPr="00760B1B" w:rsidRDefault="00613D01" w:rsidP="002704DC">
            <w:pPr>
              <w:pStyle w:val="TableText"/>
              <w:spacing w:before="0" w:line="240" w:lineRule="auto"/>
              <w:cnfStyle w:val="000000100000"/>
              <w:rPr>
                <w:rFonts w:ascii="Arial" w:hAnsi="Arial" w:cs="Arial"/>
                <w:color w:val="auto"/>
              </w:rPr>
            </w:pPr>
          </w:p>
        </w:tc>
        <w:tc>
          <w:tcPr>
            <w:cnfStyle w:val="000010000000"/>
            <w:tcW w:w="1418" w:type="dxa"/>
            <w:shd w:val="clear" w:color="auto" w:fill="4BACC6" w:themeFill="accent5"/>
          </w:tcPr>
          <w:p w:rsidR="00613D01" w:rsidRPr="00760B1B" w:rsidRDefault="00613D01" w:rsidP="00A67EFA">
            <w:pPr>
              <w:pStyle w:val="TableRight"/>
              <w:spacing w:before="0" w:line="240" w:lineRule="auto"/>
              <w:jc w:val="center"/>
              <w:rPr>
                <w:rFonts w:ascii="Arial" w:hAnsi="Arial" w:cs="Arial"/>
                <w:color w:val="auto"/>
              </w:rPr>
            </w:pPr>
            <w:r w:rsidRPr="00760B1B">
              <w:rPr>
                <w:rFonts w:ascii="Arial" w:hAnsi="Arial" w:cs="Arial"/>
                <w:color w:val="auto"/>
              </w:rPr>
              <w:t>£m</w:t>
            </w:r>
          </w:p>
        </w:tc>
      </w:tr>
      <w:tr w:rsidR="00760B1B" w:rsidRPr="00760B1B" w:rsidTr="00235651">
        <w:trPr>
          <w:trHeight w:val="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(345.9)</w:t>
            </w:r>
          </w:p>
        </w:tc>
        <w:tc>
          <w:tcPr>
            <w:tcW w:w="5244" w:type="dxa"/>
            <w:vAlign w:val="center"/>
          </w:tcPr>
          <w:p w:rsidR="00760B1B" w:rsidRPr="00760B1B" w:rsidRDefault="00760B1B" w:rsidP="00235651">
            <w:pPr>
              <w:pStyle w:val="TableText"/>
              <w:spacing w:before="0" w:line="240" w:lineRule="auto"/>
              <w:cnfStyle w:val="000000000000"/>
              <w:rPr>
                <w:rFonts w:ascii="Arial" w:hAnsi="Arial" w:cs="Arial"/>
                <w:b/>
                <w:color w:val="auto"/>
              </w:rPr>
            </w:pPr>
            <w:r w:rsidRPr="00760B1B">
              <w:rPr>
                <w:rFonts w:ascii="Arial" w:hAnsi="Arial" w:cs="Arial"/>
                <w:b/>
                <w:color w:val="auto"/>
              </w:rPr>
              <w:t>Opening balance at 1 April</w:t>
            </w:r>
          </w:p>
        </w:tc>
        <w:tc>
          <w:tcPr>
            <w:cnfStyle w:val="000010000000"/>
            <w:tcW w:w="1418" w:type="dxa"/>
            <w:vAlign w:val="center"/>
          </w:tcPr>
          <w:p w:rsidR="00760B1B" w:rsidRPr="00760B1B" w:rsidRDefault="00E86E2F" w:rsidP="00235651">
            <w:pPr>
              <w:pStyle w:val="TableRight"/>
              <w:spacing w:before="0" w:line="240" w:lineRule="auto"/>
              <w:jc w:val="center"/>
              <w:rPr>
                <w:rFonts w:ascii="Arial" w:hAnsi="Arial" w:cs="Arial"/>
                <w:b/>
                <w:color w:val="auto"/>
              </w:rPr>
            </w:pPr>
            <w:r>
              <w:rPr>
                <w:rFonts w:ascii="Arial" w:hAnsi="Arial" w:cs="Arial"/>
                <w:b/>
                <w:color w:val="auto"/>
              </w:rPr>
              <w:t>(411.9)</w:t>
            </w:r>
          </w:p>
        </w:tc>
      </w:tr>
      <w:tr w:rsidR="00760B1B" w:rsidRPr="00760B1B" w:rsidTr="00235651">
        <w:trPr>
          <w:cnfStyle w:val="000000100000"/>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(6.5)</w:t>
            </w:r>
          </w:p>
        </w:tc>
        <w:tc>
          <w:tcPr>
            <w:tcW w:w="5244" w:type="dxa"/>
            <w:vAlign w:val="center"/>
          </w:tcPr>
          <w:p w:rsidR="00760B1B" w:rsidRPr="00760B1B" w:rsidRDefault="00760B1B" w:rsidP="00235651">
            <w:pPr>
              <w:pStyle w:val="TableText"/>
              <w:spacing w:before="0" w:line="240" w:lineRule="auto"/>
              <w:cnfStyle w:val="000000100000"/>
              <w:rPr>
                <w:rFonts w:ascii="Arial" w:hAnsi="Arial" w:cs="Arial"/>
                <w:color w:val="auto"/>
              </w:rPr>
            </w:pPr>
            <w:r w:rsidRPr="00760B1B">
              <w:rPr>
                <w:rFonts w:ascii="Arial" w:hAnsi="Arial" w:cs="Arial"/>
                <w:color w:val="auto"/>
              </w:rPr>
              <w:t>Current service cost</w:t>
            </w:r>
          </w:p>
        </w:tc>
        <w:tc>
          <w:tcPr>
            <w:cnfStyle w:val="000010000000"/>
            <w:tcW w:w="1418" w:type="dxa"/>
            <w:vAlign w:val="center"/>
          </w:tcPr>
          <w:p w:rsidR="00760B1B" w:rsidRPr="00760B1B" w:rsidRDefault="00E86E2F" w:rsidP="00235651">
            <w:pPr>
              <w:pStyle w:val="TableRight"/>
              <w:spacing w:before="0" w:line="240" w:lineRule="auto"/>
              <w:jc w:val="center"/>
              <w:rPr>
                <w:rFonts w:ascii="Arial" w:hAnsi="Arial" w:cs="Arial"/>
                <w:b/>
                <w:color w:val="auto"/>
              </w:rPr>
            </w:pPr>
            <w:r>
              <w:rPr>
                <w:rFonts w:ascii="Arial" w:hAnsi="Arial" w:cs="Arial"/>
                <w:b/>
                <w:color w:val="auto"/>
              </w:rPr>
              <w:t>(8.0)</w:t>
            </w:r>
          </w:p>
        </w:tc>
      </w:tr>
      <w:tr w:rsidR="00760B1B" w:rsidRPr="00760B1B" w:rsidTr="00235651">
        <w:trPr>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(1.8)</w:t>
            </w:r>
          </w:p>
        </w:tc>
        <w:tc>
          <w:tcPr>
            <w:tcW w:w="5244" w:type="dxa"/>
            <w:vAlign w:val="center"/>
          </w:tcPr>
          <w:p w:rsidR="00760B1B" w:rsidRPr="00760B1B" w:rsidRDefault="00760B1B" w:rsidP="00235651">
            <w:pPr>
              <w:pStyle w:val="TableText"/>
              <w:spacing w:before="0" w:line="240" w:lineRule="auto"/>
              <w:cnfStyle w:val="000000000000"/>
              <w:rPr>
                <w:rFonts w:ascii="Arial" w:hAnsi="Arial" w:cs="Arial"/>
                <w:color w:val="auto"/>
              </w:rPr>
            </w:pPr>
            <w:r w:rsidRPr="00760B1B">
              <w:rPr>
                <w:rFonts w:ascii="Arial" w:hAnsi="Arial" w:cs="Arial"/>
                <w:color w:val="auto"/>
              </w:rPr>
              <w:t>Contributions by scheme participants</w:t>
            </w:r>
          </w:p>
        </w:tc>
        <w:tc>
          <w:tcPr>
            <w:cnfStyle w:val="000010000000"/>
            <w:tcW w:w="1418" w:type="dxa"/>
            <w:vAlign w:val="center"/>
          </w:tcPr>
          <w:p w:rsidR="00760B1B" w:rsidRPr="00760B1B" w:rsidRDefault="00E86E2F" w:rsidP="00235651">
            <w:pPr>
              <w:pStyle w:val="TableRight"/>
              <w:spacing w:before="0" w:line="240" w:lineRule="auto"/>
              <w:jc w:val="center"/>
              <w:rPr>
                <w:rFonts w:ascii="Arial" w:hAnsi="Arial" w:cs="Arial"/>
                <w:b/>
                <w:color w:val="auto"/>
              </w:rPr>
            </w:pPr>
            <w:r>
              <w:rPr>
                <w:rFonts w:ascii="Arial" w:hAnsi="Arial" w:cs="Arial"/>
                <w:b/>
                <w:color w:val="auto"/>
              </w:rPr>
              <w:t>(1.7)</w:t>
            </w:r>
          </w:p>
        </w:tc>
      </w:tr>
      <w:tr w:rsidR="00760B1B" w:rsidRPr="00760B1B" w:rsidTr="00235651">
        <w:trPr>
          <w:cnfStyle w:val="000000100000"/>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(15.3)</w:t>
            </w:r>
          </w:p>
        </w:tc>
        <w:tc>
          <w:tcPr>
            <w:tcW w:w="5244" w:type="dxa"/>
            <w:vAlign w:val="center"/>
          </w:tcPr>
          <w:p w:rsidR="00760B1B" w:rsidRPr="00760B1B" w:rsidRDefault="00760B1B" w:rsidP="00235651">
            <w:pPr>
              <w:pStyle w:val="TableText"/>
              <w:spacing w:before="0" w:line="240" w:lineRule="auto"/>
              <w:cnfStyle w:val="000000100000"/>
              <w:rPr>
                <w:rFonts w:ascii="Arial" w:hAnsi="Arial" w:cs="Arial"/>
                <w:color w:val="auto"/>
              </w:rPr>
            </w:pPr>
            <w:r w:rsidRPr="00760B1B">
              <w:rPr>
                <w:rFonts w:ascii="Arial" w:hAnsi="Arial" w:cs="Arial"/>
                <w:color w:val="auto"/>
              </w:rPr>
              <w:t>Interest cost</w:t>
            </w:r>
          </w:p>
        </w:tc>
        <w:tc>
          <w:tcPr>
            <w:cnfStyle w:val="000010000000"/>
            <w:tcW w:w="1418" w:type="dxa"/>
            <w:vAlign w:val="center"/>
          </w:tcPr>
          <w:p w:rsidR="00760B1B" w:rsidRPr="00760B1B" w:rsidRDefault="00E86E2F" w:rsidP="00526AAA">
            <w:pPr>
              <w:pStyle w:val="TableRight"/>
              <w:spacing w:before="0" w:line="240" w:lineRule="auto"/>
              <w:jc w:val="center"/>
              <w:rPr>
                <w:rFonts w:ascii="Arial" w:hAnsi="Arial" w:cs="Arial"/>
                <w:b/>
                <w:color w:val="auto"/>
              </w:rPr>
            </w:pPr>
            <w:r>
              <w:rPr>
                <w:rFonts w:ascii="Arial" w:hAnsi="Arial" w:cs="Arial"/>
                <w:b/>
                <w:color w:val="auto"/>
              </w:rPr>
              <w:t>(13.</w:t>
            </w:r>
            <w:r w:rsidR="00526AAA">
              <w:rPr>
                <w:rFonts w:ascii="Arial" w:hAnsi="Arial" w:cs="Arial"/>
                <w:b/>
                <w:color w:val="auto"/>
              </w:rPr>
              <w:t>3</w:t>
            </w:r>
            <w:r>
              <w:rPr>
                <w:rFonts w:ascii="Arial" w:hAnsi="Arial" w:cs="Arial"/>
                <w:b/>
                <w:color w:val="auto"/>
              </w:rPr>
              <w:t>)</w:t>
            </w:r>
          </w:p>
        </w:tc>
      </w:tr>
      <w:tr w:rsidR="00760B1B" w:rsidRPr="00760B1B" w:rsidTr="00235651">
        <w:trPr>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(55.3)</w:t>
            </w:r>
          </w:p>
        </w:tc>
        <w:tc>
          <w:tcPr>
            <w:tcW w:w="5244" w:type="dxa"/>
            <w:vAlign w:val="center"/>
          </w:tcPr>
          <w:p w:rsidR="00760B1B" w:rsidRPr="00760B1B" w:rsidRDefault="00760B1B" w:rsidP="00235651">
            <w:pPr>
              <w:pStyle w:val="TableText"/>
              <w:spacing w:before="0" w:line="240" w:lineRule="auto"/>
              <w:cnfStyle w:val="000000000000"/>
              <w:rPr>
                <w:rFonts w:ascii="Arial" w:hAnsi="Arial" w:cs="Arial"/>
                <w:color w:val="auto"/>
              </w:rPr>
            </w:pPr>
            <w:r w:rsidRPr="00760B1B">
              <w:rPr>
                <w:rFonts w:ascii="Arial" w:hAnsi="Arial" w:cs="Arial"/>
                <w:color w:val="auto"/>
              </w:rPr>
              <w:t>Change in Financial Assumptions</w:t>
            </w:r>
          </w:p>
        </w:tc>
        <w:tc>
          <w:tcPr>
            <w:cnfStyle w:val="000010000000"/>
            <w:tcW w:w="1418" w:type="dxa"/>
            <w:vAlign w:val="center"/>
          </w:tcPr>
          <w:p w:rsidR="00760B1B" w:rsidRPr="00760B1B" w:rsidRDefault="00E86E2F" w:rsidP="00235651">
            <w:pPr>
              <w:pStyle w:val="TableRight"/>
              <w:spacing w:before="0" w:line="240" w:lineRule="auto"/>
              <w:jc w:val="center"/>
              <w:rPr>
                <w:rFonts w:ascii="Arial" w:hAnsi="Arial" w:cs="Arial"/>
                <w:b/>
                <w:color w:val="auto"/>
              </w:rPr>
            </w:pPr>
            <w:r>
              <w:rPr>
                <w:rFonts w:ascii="Arial" w:hAnsi="Arial" w:cs="Arial"/>
                <w:b/>
                <w:color w:val="auto"/>
              </w:rPr>
              <w:t>29.6</w:t>
            </w:r>
          </w:p>
        </w:tc>
      </w:tr>
      <w:tr w:rsidR="00760B1B" w:rsidRPr="00760B1B" w:rsidTr="00235651">
        <w:trPr>
          <w:cnfStyle w:val="000000100000"/>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0</w:t>
            </w:r>
          </w:p>
        </w:tc>
        <w:tc>
          <w:tcPr>
            <w:tcW w:w="5244" w:type="dxa"/>
            <w:vAlign w:val="center"/>
          </w:tcPr>
          <w:p w:rsidR="00760B1B" w:rsidRPr="00760B1B" w:rsidRDefault="00760B1B" w:rsidP="00235651">
            <w:pPr>
              <w:pStyle w:val="TableText"/>
              <w:spacing w:before="0" w:line="240" w:lineRule="auto"/>
              <w:cnfStyle w:val="000000100000"/>
              <w:rPr>
                <w:rFonts w:ascii="Arial" w:hAnsi="Arial" w:cs="Arial"/>
                <w:color w:val="auto"/>
              </w:rPr>
            </w:pPr>
            <w:r w:rsidRPr="00760B1B">
              <w:rPr>
                <w:rFonts w:ascii="Arial" w:hAnsi="Arial" w:cs="Arial"/>
                <w:color w:val="auto"/>
              </w:rPr>
              <w:t>Change in Demographic Assumptions</w:t>
            </w:r>
          </w:p>
        </w:tc>
        <w:tc>
          <w:tcPr>
            <w:cnfStyle w:val="000010000000"/>
            <w:tcW w:w="1418" w:type="dxa"/>
            <w:vAlign w:val="center"/>
          </w:tcPr>
          <w:p w:rsidR="00760B1B" w:rsidRPr="00760B1B" w:rsidRDefault="00E86E2F" w:rsidP="00235651">
            <w:pPr>
              <w:pStyle w:val="TableRight"/>
              <w:spacing w:before="0" w:line="240" w:lineRule="auto"/>
              <w:jc w:val="center"/>
              <w:rPr>
                <w:rFonts w:ascii="Arial" w:hAnsi="Arial" w:cs="Arial"/>
                <w:b/>
                <w:color w:val="auto"/>
              </w:rPr>
            </w:pPr>
            <w:r>
              <w:rPr>
                <w:rFonts w:ascii="Arial" w:hAnsi="Arial" w:cs="Arial"/>
                <w:b/>
                <w:color w:val="auto"/>
              </w:rPr>
              <w:t>0</w:t>
            </w:r>
          </w:p>
        </w:tc>
      </w:tr>
      <w:tr w:rsidR="00760B1B" w:rsidRPr="00760B1B" w:rsidTr="00235651">
        <w:trPr>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(0.1)</w:t>
            </w:r>
          </w:p>
        </w:tc>
        <w:tc>
          <w:tcPr>
            <w:tcW w:w="5244" w:type="dxa"/>
            <w:vAlign w:val="center"/>
          </w:tcPr>
          <w:p w:rsidR="00760B1B" w:rsidRPr="00760B1B" w:rsidRDefault="00760B1B" w:rsidP="00235651">
            <w:pPr>
              <w:pStyle w:val="TableText"/>
              <w:spacing w:before="0" w:line="240" w:lineRule="auto"/>
              <w:cnfStyle w:val="000000000000"/>
              <w:rPr>
                <w:rFonts w:ascii="Arial" w:hAnsi="Arial" w:cs="Arial"/>
                <w:color w:val="auto"/>
              </w:rPr>
            </w:pPr>
            <w:r w:rsidRPr="00760B1B">
              <w:rPr>
                <w:rFonts w:ascii="Arial" w:hAnsi="Arial" w:cs="Arial"/>
                <w:color w:val="auto"/>
              </w:rPr>
              <w:t>Experience (loss)/gain on defined benefit obligation</w:t>
            </w:r>
          </w:p>
        </w:tc>
        <w:tc>
          <w:tcPr>
            <w:cnfStyle w:val="000010000000"/>
            <w:tcW w:w="1418" w:type="dxa"/>
            <w:vAlign w:val="center"/>
          </w:tcPr>
          <w:p w:rsidR="00760B1B" w:rsidRPr="00760B1B" w:rsidRDefault="00E86E2F" w:rsidP="00235651">
            <w:pPr>
              <w:pStyle w:val="TableRight"/>
              <w:spacing w:before="0" w:line="240" w:lineRule="auto"/>
              <w:jc w:val="center"/>
              <w:rPr>
                <w:rFonts w:ascii="Arial" w:hAnsi="Arial" w:cs="Arial"/>
                <w:b/>
                <w:color w:val="auto"/>
              </w:rPr>
            </w:pPr>
            <w:r>
              <w:rPr>
                <w:rFonts w:ascii="Arial" w:hAnsi="Arial" w:cs="Arial"/>
                <w:b/>
                <w:color w:val="auto"/>
              </w:rPr>
              <w:t>0</w:t>
            </w:r>
          </w:p>
        </w:tc>
      </w:tr>
      <w:tr w:rsidR="00760B1B" w:rsidRPr="00760B1B" w:rsidTr="00235651">
        <w:trPr>
          <w:cnfStyle w:val="000000100000"/>
          <w:trHeight w:val="170"/>
        </w:trPr>
        <w:tc>
          <w:tcPr>
            <w:cnfStyle w:val="000010000000"/>
            <w:tcW w:w="1560" w:type="dxa"/>
            <w:vAlign w:val="center"/>
          </w:tcPr>
          <w:p w:rsidR="00760B1B" w:rsidRPr="00760B1B" w:rsidRDefault="00760B1B" w:rsidP="00051379">
            <w:pPr>
              <w:pStyle w:val="TableRight"/>
              <w:spacing w:before="0" w:line="240" w:lineRule="auto"/>
              <w:jc w:val="center"/>
              <w:rPr>
                <w:rFonts w:ascii="Arial" w:hAnsi="Arial" w:cs="Arial"/>
                <w:b/>
                <w:color w:val="auto"/>
              </w:rPr>
            </w:pPr>
            <w:r w:rsidRPr="00760B1B">
              <w:rPr>
                <w:rFonts w:ascii="Arial" w:hAnsi="Arial" w:cs="Arial"/>
                <w:b/>
                <w:color w:val="auto"/>
              </w:rPr>
              <w:t>10.8</w:t>
            </w:r>
          </w:p>
        </w:tc>
        <w:tc>
          <w:tcPr>
            <w:tcW w:w="5244" w:type="dxa"/>
            <w:vAlign w:val="center"/>
          </w:tcPr>
          <w:p w:rsidR="00760B1B" w:rsidRPr="00760B1B" w:rsidRDefault="00760B1B" w:rsidP="00235651">
            <w:pPr>
              <w:pStyle w:val="TableText"/>
              <w:spacing w:before="0" w:line="240" w:lineRule="auto"/>
              <w:cnfStyle w:val="000000100000"/>
              <w:rPr>
                <w:rFonts w:ascii="Arial" w:hAnsi="Arial" w:cs="Arial"/>
                <w:color w:val="auto"/>
              </w:rPr>
            </w:pPr>
            <w:r w:rsidRPr="00760B1B">
              <w:rPr>
                <w:rFonts w:ascii="Arial" w:hAnsi="Arial" w:cs="Arial"/>
                <w:color w:val="auto"/>
              </w:rPr>
              <w:t>Benefits paid</w:t>
            </w:r>
          </w:p>
        </w:tc>
        <w:tc>
          <w:tcPr>
            <w:cnfStyle w:val="000010000000"/>
            <w:tcW w:w="1418" w:type="dxa"/>
            <w:vAlign w:val="center"/>
          </w:tcPr>
          <w:p w:rsidR="00760B1B" w:rsidRPr="00760B1B" w:rsidRDefault="00E86E2F" w:rsidP="00E86E2F">
            <w:pPr>
              <w:pStyle w:val="TableRight"/>
              <w:spacing w:before="0" w:line="240" w:lineRule="auto"/>
              <w:jc w:val="center"/>
              <w:rPr>
                <w:rFonts w:ascii="Arial" w:hAnsi="Arial" w:cs="Arial"/>
                <w:b/>
                <w:color w:val="auto"/>
              </w:rPr>
            </w:pPr>
            <w:r>
              <w:rPr>
                <w:rFonts w:ascii="Arial" w:hAnsi="Arial" w:cs="Arial"/>
                <w:b/>
                <w:color w:val="auto"/>
              </w:rPr>
              <w:t>11.8</w:t>
            </w:r>
          </w:p>
        </w:tc>
      </w:tr>
      <w:tr w:rsidR="00760B1B" w:rsidRPr="00760B1B" w:rsidTr="00235651">
        <w:trPr>
          <w:trHeight w:val="170"/>
        </w:trPr>
        <w:tc>
          <w:tcPr>
            <w:cnfStyle w:val="000010000000"/>
            <w:tcW w:w="1560" w:type="dxa"/>
            <w:vAlign w:val="center"/>
          </w:tcPr>
          <w:p w:rsidR="00760B1B" w:rsidRPr="00760B1B" w:rsidRDefault="00760B1B" w:rsidP="00051379">
            <w:pPr>
              <w:pStyle w:val="TableRight"/>
              <w:spacing w:line="240" w:lineRule="auto"/>
              <w:ind w:left="0"/>
              <w:jc w:val="center"/>
              <w:rPr>
                <w:rFonts w:ascii="Arial" w:hAnsi="Arial" w:cs="Arial"/>
                <w:b/>
                <w:color w:val="auto"/>
              </w:rPr>
            </w:pPr>
            <w:r w:rsidRPr="00760B1B">
              <w:rPr>
                <w:rFonts w:ascii="Arial" w:hAnsi="Arial" w:cs="Arial"/>
                <w:b/>
                <w:color w:val="auto"/>
              </w:rPr>
              <w:t>(0.3)</w:t>
            </w:r>
          </w:p>
        </w:tc>
        <w:tc>
          <w:tcPr>
            <w:tcW w:w="5244" w:type="dxa"/>
            <w:vAlign w:val="center"/>
          </w:tcPr>
          <w:p w:rsidR="00760B1B" w:rsidRPr="00760B1B" w:rsidRDefault="00760B1B" w:rsidP="00235651">
            <w:pPr>
              <w:pStyle w:val="TableText"/>
              <w:spacing w:before="0" w:line="240" w:lineRule="auto"/>
              <w:cnfStyle w:val="000000000000"/>
              <w:rPr>
                <w:rFonts w:ascii="Arial" w:hAnsi="Arial" w:cs="Arial"/>
                <w:color w:val="auto"/>
              </w:rPr>
            </w:pPr>
            <w:r w:rsidRPr="00760B1B">
              <w:rPr>
                <w:rFonts w:ascii="Arial" w:hAnsi="Arial" w:cs="Arial"/>
                <w:color w:val="auto"/>
              </w:rPr>
              <w:t>Past service costs, including Curtailments</w:t>
            </w:r>
          </w:p>
        </w:tc>
        <w:tc>
          <w:tcPr>
            <w:cnfStyle w:val="000010000000"/>
            <w:tcW w:w="1418" w:type="dxa"/>
            <w:vAlign w:val="center"/>
          </w:tcPr>
          <w:p w:rsidR="00760B1B" w:rsidRPr="00760B1B" w:rsidRDefault="00E86E2F" w:rsidP="00235651">
            <w:pPr>
              <w:pStyle w:val="TableRight"/>
              <w:spacing w:line="240" w:lineRule="auto"/>
              <w:ind w:left="0"/>
              <w:jc w:val="center"/>
              <w:rPr>
                <w:rFonts w:ascii="Arial" w:hAnsi="Arial" w:cs="Arial"/>
                <w:b/>
                <w:color w:val="auto"/>
              </w:rPr>
            </w:pPr>
            <w:r>
              <w:rPr>
                <w:rFonts w:ascii="Arial" w:hAnsi="Arial" w:cs="Arial"/>
                <w:b/>
                <w:color w:val="auto"/>
              </w:rPr>
              <w:t>0</w:t>
            </w:r>
          </w:p>
        </w:tc>
      </w:tr>
      <w:tr w:rsidR="00760B1B" w:rsidRPr="00760B1B" w:rsidTr="00235651">
        <w:trPr>
          <w:cnfStyle w:val="000000100000"/>
          <w:trHeight w:val="170"/>
        </w:trPr>
        <w:tc>
          <w:tcPr>
            <w:cnfStyle w:val="000010000000"/>
            <w:tcW w:w="1560" w:type="dxa"/>
            <w:vAlign w:val="center"/>
          </w:tcPr>
          <w:p w:rsidR="00760B1B" w:rsidRPr="00760B1B" w:rsidRDefault="00760B1B" w:rsidP="00051379">
            <w:pPr>
              <w:pStyle w:val="TableRight"/>
              <w:spacing w:line="240" w:lineRule="auto"/>
              <w:jc w:val="center"/>
              <w:rPr>
                <w:rFonts w:ascii="Arial" w:hAnsi="Arial" w:cs="Arial"/>
                <w:b/>
                <w:color w:val="auto"/>
              </w:rPr>
            </w:pPr>
            <w:r w:rsidRPr="00760B1B">
              <w:rPr>
                <w:rFonts w:ascii="Arial" w:hAnsi="Arial" w:cs="Arial"/>
                <w:b/>
                <w:color w:val="auto"/>
              </w:rPr>
              <w:t>1.9</w:t>
            </w:r>
          </w:p>
        </w:tc>
        <w:tc>
          <w:tcPr>
            <w:tcW w:w="5244" w:type="dxa"/>
            <w:vAlign w:val="center"/>
          </w:tcPr>
          <w:p w:rsidR="00760B1B" w:rsidRPr="00760B1B" w:rsidRDefault="00760B1B" w:rsidP="00235651">
            <w:pPr>
              <w:pStyle w:val="TableText"/>
              <w:spacing w:line="240" w:lineRule="auto"/>
              <w:ind w:left="0"/>
              <w:cnfStyle w:val="000000100000"/>
              <w:rPr>
                <w:rFonts w:ascii="Arial" w:hAnsi="Arial" w:cs="Arial"/>
                <w:color w:val="auto"/>
              </w:rPr>
            </w:pPr>
            <w:r w:rsidRPr="00760B1B">
              <w:rPr>
                <w:rFonts w:ascii="Arial" w:hAnsi="Arial" w:cs="Arial"/>
                <w:color w:val="auto"/>
              </w:rPr>
              <w:t>Liabilities (assumed)/extinguished on Settlements</w:t>
            </w:r>
          </w:p>
        </w:tc>
        <w:tc>
          <w:tcPr>
            <w:cnfStyle w:val="000010000000"/>
            <w:tcW w:w="1418" w:type="dxa"/>
            <w:vAlign w:val="center"/>
          </w:tcPr>
          <w:p w:rsidR="00760B1B" w:rsidRPr="00760B1B" w:rsidRDefault="00E86E2F" w:rsidP="00235651">
            <w:pPr>
              <w:pStyle w:val="TableRight"/>
              <w:spacing w:line="240" w:lineRule="auto"/>
              <w:jc w:val="center"/>
              <w:rPr>
                <w:rFonts w:ascii="Arial" w:hAnsi="Arial" w:cs="Arial"/>
                <w:b/>
                <w:color w:val="auto"/>
              </w:rPr>
            </w:pPr>
            <w:r>
              <w:rPr>
                <w:rFonts w:ascii="Arial" w:hAnsi="Arial" w:cs="Arial"/>
                <w:b/>
                <w:color w:val="auto"/>
              </w:rPr>
              <w:t>2.1</w:t>
            </w:r>
          </w:p>
        </w:tc>
      </w:tr>
      <w:tr w:rsidR="00760B1B" w:rsidRPr="00760B1B" w:rsidTr="00235651">
        <w:trPr>
          <w:trHeight w:val="170"/>
        </w:trPr>
        <w:tc>
          <w:tcPr>
            <w:cnfStyle w:val="000010000000"/>
            <w:tcW w:w="1560" w:type="dxa"/>
            <w:vAlign w:val="center"/>
          </w:tcPr>
          <w:p w:rsidR="00760B1B" w:rsidRPr="00760B1B" w:rsidRDefault="00760B1B" w:rsidP="00051379">
            <w:pPr>
              <w:pStyle w:val="TableRight"/>
              <w:spacing w:line="240" w:lineRule="auto"/>
              <w:jc w:val="center"/>
              <w:rPr>
                <w:rFonts w:ascii="Arial" w:hAnsi="Arial" w:cs="Arial"/>
                <w:b/>
                <w:color w:val="auto"/>
              </w:rPr>
            </w:pPr>
            <w:r w:rsidRPr="00760B1B">
              <w:rPr>
                <w:rFonts w:ascii="Arial" w:hAnsi="Arial" w:cs="Arial"/>
                <w:b/>
                <w:color w:val="auto"/>
              </w:rPr>
              <w:t>0.6</w:t>
            </w:r>
          </w:p>
        </w:tc>
        <w:tc>
          <w:tcPr>
            <w:tcW w:w="5244" w:type="dxa"/>
            <w:vAlign w:val="center"/>
          </w:tcPr>
          <w:p w:rsidR="00760B1B" w:rsidRPr="00760B1B" w:rsidRDefault="00760B1B" w:rsidP="00235651">
            <w:pPr>
              <w:pStyle w:val="TableText"/>
              <w:spacing w:line="240" w:lineRule="auto"/>
              <w:cnfStyle w:val="000000000000"/>
              <w:rPr>
                <w:rFonts w:ascii="Arial" w:hAnsi="Arial" w:cs="Arial"/>
                <w:color w:val="auto"/>
              </w:rPr>
            </w:pPr>
            <w:r w:rsidRPr="00760B1B">
              <w:rPr>
                <w:rFonts w:ascii="Arial" w:hAnsi="Arial" w:cs="Arial"/>
                <w:color w:val="auto"/>
              </w:rPr>
              <w:t>Unfunded Pension payments</w:t>
            </w:r>
          </w:p>
        </w:tc>
        <w:tc>
          <w:tcPr>
            <w:cnfStyle w:val="000010000000"/>
            <w:tcW w:w="1418" w:type="dxa"/>
            <w:vAlign w:val="center"/>
          </w:tcPr>
          <w:p w:rsidR="00760B1B" w:rsidRPr="00760B1B" w:rsidRDefault="00E86E2F" w:rsidP="00235651">
            <w:pPr>
              <w:pStyle w:val="TableRight"/>
              <w:spacing w:line="240" w:lineRule="auto"/>
              <w:jc w:val="center"/>
              <w:rPr>
                <w:rFonts w:ascii="Arial" w:hAnsi="Arial" w:cs="Arial"/>
                <w:b/>
                <w:color w:val="auto"/>
              </w:rPr>
            </w:pPr>
            <w:r>
              <w:rPr>
                <w:rFonts w:ascii="Arial" w:hAnsi="Arial" w:cs="Arial"/>
                <w:b/>
                <w:color w:val="auto"/>
              </w:rPr>
              <w:t>0.6</w:t>
            </w:r>
          </w:p>
        </w:tc>
      </w:tr>
      <w:tr w:rsidR="00760B1B" w:rsidRPr="00760B1B" w:rsidTr="00235651">
        <w:trPr>
          <w:cnfStyle w:val="000000100000"/>
          <w:trHeight w:val="170"/>
        </w:trPr>
        <w:tc>
          <w:tcPr>
            <w:cnfStyle w:val="000010000000"/>
            <w:tcW w:w="1560" w:type="dxa"/>
            <w:vAlign w:val="center"/>
          </w:tcPr>
          <w:p w:rsidR="00760B1B" w:rsidRPr="00760B1B" w:rsidRDefault="00760B1B" w:rsidP="00051379">
            <w:pPr>
              <w:pStyle w:val="TableRight"/>
              <w:spacing w:line="240" w:lineRule="auto"/>
              <w:jc w:val="center"/>
              <w:rPr>
                <w:rFonts w:ascii="Arial" w:hAnsi="Arial" w:cs="Arial"/>
                <w:b/>
                <w:color w:val="auto"/>
              </w:rPr>
            </w:pPr>
            <w:r w:rsidRPr="00760B1B">
              <w:rPr>
                <w:rFonts w:ascii="Arial" w:hAnsi="Arial" w:cs="Arial"/>
                <w:b/>
                <w:color w:val="auto"/>
              </w:rPr>
              <w:t>(411.9)</w:t>
            </w:r>
          </w:p>
        </w:tc>
        <w:tc>
          <w:tcPr>
            <w:tcW w:w="5244" w:type="dxa"/>
            <w:vAlign w:val="center"/>
          </w:tcPr>
          <w:p w:rsidR="00760B1B" w:rsidRPr="00760B1B" w:rsidRDefault="00760B1B" w:rsidP="00235651">
            <w:pPr>
              <w:pStyle w:val="TableText"/>
              <w:spacing w:line="240" w:lineRule="auto"/>
              <w:cnfStyle w:val="000000100000"/>
              <w:rPr>
                <w:rFonts w:ascii="Arial" w:hAnsi="Arial" w:cs="Arial"/>
                <w:b/>
                <w:color w:val="auto"/>
              </w:rPr>
            </w:pPr>
            <w:r w:rsidRPr="00760B1B">
              <w:rPr>
                <w:rFonts w:ascii="Arial" w:hAnsi="Arial" w:cs="Arial"/>
                <w:b/>
                <w:color w:val="auto"/>
              </w:rPr>
              <w:t>Closing balance at 31 March</w:t>
            </w:r>
          </w:p>
        </w:tc>
        <w:tc>
          <w:tcPr>
            <w:cnfStyle w:val="000010000000"/>
            <w:tcW w:w="1418" w:type="dxa"/>
            <w:vAlign w:val="center"/>
          </w:tcPr>
          <w:p w:rsidR="00760B1B" w:rsidRPr="00760B1B" w:rsidRDefault="00E86E2F" w:rsidP="00526AAA">
            <w:pPr>
              <w:pStyle w:val="TableRight"/>
              <w:spacing w:line="240" w:lineRule="auto"/>
              <w:jc w:val="center"/>
              <w:rPr>
                <w:rFonts w:ascii="Arial" w:hAnsi="Arial" w:cs="Arial"/>
                <w:b/>
                <w:color w:val="auto"/>
              </w:rPr>
            </w:pPr>
            <w:r>
              <w:rPr>
                <w:rFonts w:ascii="Arial" w:hAnsi="Arial" w:cs="Arial"/>
                <w:b/>
                <w:color w:val="auto"/>
              </w:rPr>
              <w:t>(390.</w:t>
            </w:r>
            <w:r w:rsidR="00526AAA">
              <w:rPr>
                <w:rFonts w:ascii="Arial" w:hAnsi="Arial" w:cs="Arial"/>
                <w:b/>
                <w:color w:val="auto"/>
              </w:rPr>
              <w:t>8</w:t>
            </w:r>
            <w:r>
              <w:rPr>
                <w:rFonts w:ascii="Arial" w:hAnsi="Arial" w:cs="Arial"/>
                <w:b/>
                <w:color w:val="auto"/>
              </w:rPr>
              <w:t>)</w:t>
            </w:r>
          </w:p>
        </w:tc>
      </w:tr>
      <w:tr w:rsidR="00760B1B" w:rsidRPr="00760B1B" w:rsidTr="00235651">
        <w:trPr>
          <w:trHeight w:val="170"/>
        </w:trPr>
        <w:tc>
          <w:tcPr>
            <w:cnfStyle w:val="000010000000"/>
            <w:tcW w:w="1560" w:type="dxa"/>
            <w:vAlign w:val="center"/>
          </w:tcPr>
          <w:p w:rsidR="00760B1B" w:rsidRPr="00760B1B" w:rsidRDefault="00760B1B" w:rsidP="00051379">
            <w:pPr>
              <w:pStyle w:val="TableRight"/>
              <w:spacing w:line="240" w:lineRule="auto"/>
              <w:jc w:val="center"/>
              <w:rPr>
                <w:rFonts w:ascii="Arial" w:hAnsi="Arial" w:cs="Arial"/>
                <w:b/>
                <w:color w:val="auto"/>
              </w:rPr>
            </w:pPr>
            <w:r w:rsidRPr="00760B1B">
              <w:rPr>
                <w:rFonts w:ascii="Arial" w:hAnsi="Arial" w:cs="Arial"/>
                <w:b/>
                <w:color w:val="auto"/>
              </w:rPr>
              <w:t>(9.9)</w:t>
            </w:r>
          </w:p>
        </w:tc>
        <w:tc>
          <w:tcPr>
            <w:tcW w:w="5244" w:type="dxa"/>
            <w:vAlign w:val="center"/>
          </w:tcPr>
          <w:p w:rsidR="00760B1B" w:rsidRPr="00760B1B" w:rsidRDefault="00760B1B" w:rsidP="00235651">
            <w:pPr>
              <w:pStyle w:val="TableText"/>
              <w:spacing w:line="240" w:lineRule="auto"/>
              <w:cnfStyle w:val="000000000000"/>
              <w:rPr>
                <w:rFonts w:ascii="Arial" w:hAnsi="Arial" w:cs="Arial"/>
                <w:b/>
                <w:color w:val="auto"/>
              </w:rPr>
            </w:pPr>
            <w:r w:rsidRPr="00760B1B">
              <w:rPr>
                <w:rFonts w:ascii="Arial" w:hAnsi="Arial" w:cs="Arial"/>
                <w:color w:val="auto"/>
              </w:rPr>
              <w:t>Present Value of Unfunded Obligation included in above</w:t>
            </w:r>
          </w:p>
        </w:tc>
        <w:tc>
          <w:tcPr>
            <w:cnfStyle w:val="000010000000"/>
            <w:tcW w:w="1418" w:type="dxa"/>
            <w:vAlign w:val="center"/>
          </w:tcPr>
          <w:p w:rsidR="00E86E2F" w:rsidRPr="00760B1B" w:rsidRDefault="00E86E2F" w:rsidP="00526AAA">
            <w:pPr>
              <w:pStyle w:val="TableRight"/>
              <w:spacing w:line="240" w:lineRule="auto"/>
              <w:jc w:val="center"/>
              <w:rPr>
                <w:rFonts w:ascii="Arial" w:hAnsi="Arial" w:cs="Arial"/>
                <w:b/>
                <w:color w:val="auto"/>
              </w:rPr>
            </w:pPr>
            <w:r>
              <w:rPr>
                <w:rFonts w:ascii="Arial" w:hAnsi="Arial" w:cs="Arial"/>
                <w:b/>
                <w:color w:val="auto"/>
              </w:rPr>
              <w:t>(9.</w:t>
            </w:r>
            <w:r w:rsidR="00526AAA">
              <w:rPr>
                <w:rFonts w:ascii="Arial" w:hAnsi="Arial" w:cs="Arial"/>
                <w:b/>
                <w:color w:val="auto"/>
              </w:rPr>
              <w:t>1</w:t>
            </w:r>
            <w:r>
              <w:rPr>
                <w:rFonts w:ascii="Arial" w:hAnsi="Arial" w:cs="Arial"/>
                <w:b/>
                <w:color w:val="auto"/>
              </w:rPr>
              <w:t>)</w:t>
            </w:r>
          </w:p>
        </w:tc>
      </w:tr>
    </w:tbl>
    <w:p w:rsidR="00E13756" w:rsidRPr="00D42E0B" w:rsidRDefault="00E13756" w:rsidP="000401DE">
      <w:pPr>
        <w:autoSpaceDE w:val="0"/>
        <w:autoSpaceDN w:val="0"/>
        <w:adjustRightInd w:val="0"/>
        <w:spacing w:after="0" w:line="240" w:lineRule="auto"/>
        <w:rPr>
          <w:rFonts w:eastAsia="Times New Roman" w:cs="Arial"/>
          <w:b/>
          <w:color w:val="548DD4" w:themeColor="text2" w:themeTint="99"/>
          <w:sz w:val="20"/>
          <w:szCs w:val="20"/>
        </w:rPr>
      </w:pPr>
    </w:p>
    <w:p w:rsidR="00B206FD" w:rsidRPr="00D42E0B" w:rsidRDefault="00B206FD" w:rsidP="000401DE">
      <w:pPr>
        <w:autoSpaceDE w:val="0"/>
        <w:autoSpaceDN w:val="0"/>
        <w:adjustRightInd w:val="0"/>
        <w:spacing w:after="0" w:line="240" w:lineRule="auto"/>
        <w:rPr>
          <w:rFonts w:eastAsia="Times New Roman" w:cs="Arial"/>
          <w:b/>
          <w:color w:val="548DD4" w:themeColor="text2" w:themeTint="99"/>
          <w:sz w:val="20"/>
          <w:szCs w:val="20"/>
        </w:rPr>
      </w:pPr>
    </w:p>
    <w:p w:rsidR="00407D28" w:rsidRPr="00760B1B" w:rsidRDefault="005C68D8" w:rsidP="000401DE">
      <w:pPr>
        <w:autoSpaceDE w:val="0"/>
        <w:autoSpaceDN w:val="0"/>
        <w:adjustRightInd w:val="0"/>
        <w:spacing w:after="0" w:line="240" w:lineRule="auto"/>
        <w:rPr>
          <w:rFonts w:eastAsia="Times New Roman"/>
          <w:b/>
          <w:color w:val="auto"/>
        </w:rPr>
      </w:pPr>
      <w:r w:rsidRPr="00760B1B">
        <w:rPr>
          <w:rFonts w:eastAsia="Times New Roman"/>
          <w:b/>
          <w:color w:val="auto"/>
        </w:rPr>
        <w:t>3</w:t>
      </w:r>
      <w:r w:rsidR="00687A34" w:rsidRPr="00760B1B">
        <w:rPr>
          <w:rFonts w:eastAsia="Times New Roman"/>
          <w:b/>
          <w:color w:val="auto"/>
        </w:rPr>
        <w:t>8.3</w:t>
      </w:r>
      <w:r w:rsidR="007E2CD5" w:rsidRPr="00760B1B">
        <w:rPr>
          <w:rFonts w:eastAsia="Times New Roman"/>
          <w:b/>
          <w:color w:val="auto"/>
        </w:rPr>
        <w:t xml:space="preserve"> </w:t>
      </w:r>
      <w:r w:rsidR="00E85988" w:rsidRPr="00760B1B">
        <w:rPr>
          <w:rFonts w:eastAsia="Times New Roman"/>
          <w:b/>
          <w:color w:val="auto"/>
        </w:rPr>
        <w:t xml:space="preserve"> </w:t>
      </w:r>
      <w:r w:rsidR="00B206FD" w:rsidRPr="00760B1B">
        <w:rPr>
          <w:rFonts w:eastAsia="Times New Roman"/>
          <w:b/>
          <w:color w:val="auto"/>
        </w:rPr>
        <w:t xml:space="preserve"> </w:t>
      </w:r>
      <w:r w:rsidR="00E85988" w:rsidRPr="00760B1B">
        <w:rPr>
          <w:rFonts w:eastAsia="Times New Roman"/>
          <w:b/>
          <w:color w:val="auto"/>
        </w:rPr>
        <w:t xml:space="preserve">Fund </w:t>
      </w:r>
      <w:r w:rsidR="00407D28" w:rsidRPr="00760B1B">
        <w:rPr>
          <w:rFonts w:eastAsia="Times New Roman"/>
          <w:b/>
          <w:color w:val="auto"/>
        </w:rPr>
        <w:t>Assets</w:t>
      </w:r>
    </w:p>
    <w:p w:rsidR="00653F9F" w:rsidRPr="00760B1B" w:rsidRDefault="00653F9F" w:rsidP="007849CA">
      <w:pPr>
        <w:autoSpaceDE w:val="0"/>
        <w:autoSpaceDN w:val="0"/>
        <w:adjustRightInd w:val="0"/>
        <w:spacing w:after="0" w:line="240" w:lineRule="auto"/>
        <w:ind w:left="567"/>
        <w:rPr>
          <w:rFonts w:eastAsia="Times New Roman" w:cs="Arial"/>
          <w:b/>
          <w:color w:val="auto"/>
          <w:sz w:val="20"/>
          <w:szCs w:val="20"/>
        </w:rPr>
      </w:pPr>
    </w:p>
    <w:p w:rsidR="00407D28" w:rsidRPr="00760B1B" w:rsidRDefault="00407D28" w:rsidP="007849CA">
      <w:pPr>
        <w:autoSpaceDE w:val="0"/>
        <w:autoSpaceDN w:val="0"/>
        <w:adjustRightInd w:val="0"/>
        <w:spacing w:after="0" w:line="240" w:lineRule="auto"/>
        <w:ind w:left="567"/>
        <w:rPr>
          <w:rFonts w:eastAsia="Times New Roman" w:cs="Arial"/>
          <w:color w:val="auto"/>
          <w:sz w:val="20"/>
          <w:szCs w:val="20"/>
          <w:lang w:eastAsia="en-GB"/>
        </w:rPr>
      </w:pPr>
      <w:r w:rsidRPr="00760B1B">
        <w:rPr>
          <w:rFonts w:eastAsia="Times New Roman" w:cs="Arial"/>
          <w:color w:val="auto"/>
          <w:sz w:val="20"/>
          <w:szCs w:val="20"/>
          <w:lang w:eastAsia="en-GB"/>
        </w:rPr>
        <w:t>The return on the fund (on a bid value to bid value basis) for the year to 31st March 201</w:t>
      </w:r>
      <w:r w:rsidR="00760B1B" w:rsidRPr="00760B1B">
        <w:rPr>
          <w:rFonts w:eastAsia="Times New Roman" w:cs="Arial"/>
          <w:color w:val="auto"/>
          <w:sz w:val="20"/>
          <w:szCs w:val="20"/>
          <w:lang w:eastAsia="en-GB"/>
        </w:rPr>
        <w:t>6</w:t>
      </w:r>
      <w:r w:rsidRPr="00760B1B">
        <w:rPr>
          <w:rFonts w:eastAsia="Times New Roman" w:cs="Arial"/>
          <w:color w:val="auto"/>
          <w:sz w:val="20"/>
          <w:szCs w:val="20"/>
          <w:lang w:eastAsia="en-GB"/>
        </w:rPr>
        <w:t xml:space="preserve"> is estimated to be </w:t>
      </w:r>
      <w:r w:rsidR="0058553F" w:rsidRPr="00760B1B">
        <w:rPr>
          <w:rFonts w:eastAsia="Times New Roman" w:cs="Arial"/>
          <w:color w:val="auto"/>
          <w:sz w:val="20"/>
          <w:szCs w:val="20"/>
          <w:lang w:eastAsia="en-GB"/>
        </w:rPr>
        <w:t>10</w:t>
      </w:r>
      <w:r w:rsidRPr="00760B1B">
        <w:rPr>
          <w:rFonts w:eastAsia="Times New Roman" w:cs="Arial"/>
          <w:color w:val="auto"/>
          <w:sz w:val="20"/>
          <w:szCs w:val="20"/>
          <w:lang w:eastAsia="en-GB"/>
        </w:rPr>
        <w:t>%. The actual return on Fund assets over the year may be different.</w:t>
      </w:r>
    </w:p>
    <w:p w:rsidR="00407D28" w:rsidRPr="00760B1B" w:rsidRDefault="00407D28" w:rsidP="007849CA">
      <w:pPr>
        <w:autoSpaceDE w:val="0"/>
        <w:autoSpaceDN w:val="0"/>
        <w:adjustRightInd w:val="0"/>
        <w:spacing w:after="0" w:line="240" w:lineRule="auto"/>
        <w:ind w:left="567"/>
        <w:rPr>
          <w:rFonts w:eastAsia="Times New Roman" w:cs="Arial"/>
          <w:color w:val="auto"/>
          <w:sz w:val="20"/>
          <w:szCs w:val="20"/>
          <w:lang w:eastAsia="en-GB"/>
        </w:rPr>
      </w:pPr>
    </w:p>
    <w:p w:rsidR="00407D28" w:rsidRDefault="00407D28" w:rsidP="007849CA">
      <w:pPr>
        <w:autoSpaceDE w:val="0"/>
        <w:autoSpaceDN w:val="0"/>
        <w:adjustRightInd w:val="0"/>
        <w:spacing w:after="0" w:line="240" w:lineRule="auto"/>
        <w:ind w:left="567"/>
        <w:rPr>
          <w:rFonts w:eastAsia="Times New Roman" w:cs="Arial"/>
          <w:color w:val="auto"/>
          <w:sz w:val="20"/>
          <w:szCs w:val="20"/>
          <w:lang w:eastAsia="en-GB"/>
        </w:rPr>
      </w:pPr>
      <w:r w:rsidRPr="00760B1B">
        <w:rPr>
          <w:rFonts w:eastAsia="Times New Roman" w:cs="Arial"/>
          <w:color w:val="auto"/>
          <w:sz w:val="20"/>
          <w:szCs w:val="20"/>
          <w:lang w:eastAsia="en-GB"/>
        </w:rPr>
        <w:t>The estimated ass</w:t>
      </w:r>
      <w:r w:rsidR="001D5D6D" w:rsidRPr="00760B1B">
        <w:rPr>
          <w:rFonts w:eastAsia="Times New Roman" w:cs="Arial"/>
          <w:color w:val="auto"/>
          <w:sz w:val="20"/>
          <w:szCs w:val="20"/>
          <w:lang w:eastAsia="en-GB"/>
        </w:rPr>
        <w:t>e</w:t>
      </w:r>
      <w:r w:rsidRPr="00760B1B">
        <w:rPr>
          <w:rFonts w:eastAsia="Times New Roman" w:cs="Arial"/>
          <w:color w:val="auto"/>
          <w:sz w:val="20"/>
          <w:szCs w:val="20"/>
          <w:lang w:eastAsia="en-GB"/>
        </w:rPr>
        <w:t>t allocation for Torbay Council as at 31st March 201</w:t>
      </w:r>
      <w:r w:rsidR="00760B1B" w:rsidRPr="00760B1B">
        <w:rPr>
          <w:rFonts w:eastAsia="Times New Roman" w:cs="Arial"/>
          <w:color w:val="auto"/>
          <w:sz w:val="20"/>
          <w:szCs w:val="20"/>
          <w:lang w:eastAsia="en-GB"/>
        </w:rPr>
        <w:t>6</w:t>
      </w:r>
      <w:r w:rsidRPr="00760B1B">
        <w:rPr>
          <w:rFonts w:eastAsia="Times New Roman" w:cs="Arial"/>
          <w:color w:val="auto"/>
          <w:sz w:val="20"/>
          <w:szCs w:val="20"/>
          <w:lang w:eastAsia="en-GB"/>
        </w:rPr>
        <w:t xml:space="preserve"> is as follows:</w:t>
      </w:r>
    </w:p>
    <w:p w:rsidR="00BB57AD" w:rsidRDefault="00BB57AD" w:rsidP="007849CA">
      <w:pPr>
        <w:autoSpaceDE w:val="0"/>
        <w:autoSpaceDN w:val="0"/>
        <w:adjustRightInd w:val="0"/>
        <w:spacing w:after="0" w:line="240" w:lineRule="auto"/>
        <w:ind w:left="567"/>
        <w:rPr>
          <w:rFonts w:eastAsia="Times New Roman" w:cs="Arial"/>
          <w:color w:val="auto"/>
          <w:sz w:val="20"/>
          <w:szCs w:val="20"/>
          <w:lang w:eastAsia="en-GB"/>
        </w:rPr>
      </w:pPr>
    </w:p>
    <w:p w:rsidR="00BB57AD" w:rsidRDefault="00BB57AD" w:rsidP="007849CA">
      <w:pPr>
        <w:autoSpaceDE w:val="0"/>
        <w:autoSpaceDN w:val="0"/>
        <w:adjustRightInd w:val="0"/>
        <w:spacing w:after="0" w:line="240" w:lineRule="auto"/>
        <w:ind w:left="567"/>
        <w:rPr>
          <w:rFonts w:eastAsia="Times New Roman" w:cs="Arial"/>
          <w:color w:val="auto"/>
          <w:sz w:val="20"/>
          <w:szCs w:val="20"/>
          <w:lang w:eastAsia="en-GB"/>
        </w:rPr>
      </w:pPr>
    </w:p>
    <w:p w:rsidR="00BB57AD" w:rsidRDefault="00BB57AD" w:rsidP="007849CA">
      <w:pPr>
        <w:autoSpaceDE w:val="0"/>
        <w:autoSpaceDN w:val="0"/>
        <w:adjustRightInd w:val="0"/>
        <w:spacing w:after="0" w:line="240" w:lineRule="auto"/>
        <w:ind w:left="567"/>
        <w:rPr>
          <w:rFonts w:eastAsia="Times New Roman" w:cs="Arial"/>
          <w:color w:val="auto"/>
          <w:sz w:val="20"/>
          <w:szCs w:val="20"/>
          <w:lang w:eastAsia="en-GB"/>
        </w:rPr>
      </w:pPr>
    </w:p>
    <w:p w:rsidR="00BB57AD" w:rsidRDefault="00BB57AD" w:rsidP="007849CA">
      <w:pPr>
        <w:autoSpaceDE w:val="0"/>
        <w:autoSpaceDN w:val="0"/>
        <w:adjustRightInd w:val="0"/>
        <w:spacing w:after="0" w:line="240" w:lineRule="auto"/>
        <w:ind w:left="567"/>
        <w:rPr>
          <w:rFonts w:eastAsia="Times New Roman" w:cs="Arial"/>
          <w:color w:val="auto"/>
          <w:sz w:val="20"/>
          <w:szCs w:val="20"/>
          <w:lang w:eastAsia="en-GB"/>
        </w:rPr>
      </w:pPr>
    </w:p>
    <w:p w:rsidR="00BB57AD" w:rsidRDefault="00BB57AD" w:rsidP="007849CA">
      <w:pPr>
        <w:autoSpaceDE w:val="0"/>
        <w:autoSpaceDN w:val="0"/>
        <w:adjustRightInd w:val="0"/>
        <w:spacing w:after="0" w:line="240" w:lineRule="auto"/>
        <w:ind w:left="567"/>
        <w:rPr>
          <w:rFonts w:eastAsia="Times New Roman" w:cs="Arial"/>
          <w:color w:val="auto"/>
          <w:sz w:val="20"/>
          <w:szCs w:val="20"/>
          <w:lang w:eastAsia="en-GB"/>
        </w:rPr>
      </w:pPr>
    </w:p>
    <w:p w:rsidR="00BB57AD" w:rsidRDefault="00BB57AD" w:rsidP="007849CA">
      <w:pPr>
        <w:autoSpaceDE w:val="0"/>
        <w:autoSpaceDN w:val="0"/>
        <w:adjustRightInd w:val="0"/>
        <w:spacing w:after="0" w:line="240" w:lineRule="auto"/>
        <w:ind w:left="567"/>
        <w:rPr>
          <w:rFonts w:eastAsia="Times New Roman" w:cs="Arial"/>
          <w:color w:val="auto"/>
          <w:sz w:val="20"/>
          <w:szCs w:val="20"/>
          <w:lang w:eastAsia="en-GB"/>
        </w:rPr>
      </w:pPr>
    </w:p>
    <w:p w:rsidR="00BB57AD" w:rsidRDefault="00BB57AD" w:rsidP="007849CA">
      <w:pPr>
        <w:autoSpaceDE w:val="0"/>
        <w:autoSpaceDN w:val="0"/>
        <w:adjustRightInd w:val="0"/>
        <w:spacing w:after="0" w:line="240" w:lineRule="auto"/>
        <w:ind w:left="567"/>
        <w:rPr>
          <w:rFonts w:eastAsia="Times New Roman" w:cs="Arial"/>
          <w:color w:val="auto"/>
          <w:sz w:val="20"/>
          <w:szCs w:val="20"/>
          <w:lang w:eastAsia="en-GB"/>
        </w:rPr>
      </w:pPr>
    </w:p>
    <w:p w:rsidR="00BB57AD" w:rsidRPr="00760B1B" w:rsidRDefault="00BB57AD" w:rsidP="007849CA">
      <w:pPr>
        <w:autoSpaceDE w:val="0"/>
        <w:autoSpaceDN w:val="0"/>
        <w:adjustRightInd w:val="0"/>
        <w:spacing w:after="0" w:line="240" w:lineRule="auto"/>
        <w:ind w:left="567"/>
        <w:rPr>
          <w:rFonts w:eastAsia="Times New Roman" w:cs="Arial"/>
          <w:color w:val="auto"/>
          <w:sz w:val="20"/>
          <w:szCs w:val="20"/>
          <w:lang w:eastAsia="en-GB"/>
        </w:rPr>
      </w:pPr>
    </w:p>
    <w:p w:rsidR="00407D28" w:rsidRPr="00760B1B" w:rsidRDefault="00407D28" w:rsidP="00B206FD">
      <w:pPr>
        <w:autoSpaceDE w:val="0"/>
        <w:autoSpaceDN w:val="0"/>
        <w:adjustRightInd w:val="0"/>
        <w:spacing w:after="0" w:line="240" w:lineRule="auto"/>
        <w:rPr>
          <w:rFonts w:eastAsia="Times New Roman" w:cs="Arial"/>
          <w:color w:val="auto"/>
          <w:sz w:val="20"/>
          <w:szCs w:val="20"/>
        </w:rPr>
      </w:pPr>
    </w:p>
    <w:p w:rsidR="00407D28" w:rsidRPr="00760B1B" w:rsidRDefault="00407D28" w:rsidP="007849CA">
      <w:pPr>
        <w:autoSpaceDE w:val="0"/>
        <w:autoSpaceDN w:val="0"/>
        <w:adjustRightInd w:val="0"/>
        <w:spacing w:after="0" w:line="240" w:lineRule="auto"/>
        <w:ind w:left="567"/>
        <w:rPr>
          <w:rFonts w:eastAsia="Times New Roman" w:cs="Arial"/>
          <w:color w:val="auto"/>
          <w:sz w:val="20"/>
          <w:szCs w:val="20"/>
        </w:rPr>
      </w:pPr>
    </w:p>
    <w:tbl>
      <w:tblPr>
        <w:tblStyle w:val="ListTable3-Accent51"/>
        <w:tblW w:w="8222" w:type="dxa"/>
        <w:tblInd w:w="675" w:type="dxa"/>
        <w:tblLayout w:type="fixed"/>
        <w:tblLook w:val="0000"/>
      </w:tblPr>
      <w:tblGrid>
        <w:gridCol w:w="1276"/>
        <w:gridCol w:w="851"/>
        <w:gridCol w:w="3827"/>
        <w:gridCol w:w="1276"/>
        <w:gridCol w:w="992"/>
      </w:tblGrid>
      <w:tr w:rsidR="00B206FD" w:rsidRPr="00760B1B" w:rsidTr="00B206FD">
        <w:trPr>
          <w:trHeight w:val="60"/>
          <w:tblHeader/>
        </w:trPr>
        <w:tc>
          <w:tcPr>
            <w:cnfStyle w:val="000010000000"/>
            <w:tcW w:w="2127" w:type="dxa"/>
            <w:gridSpan w:val="2"/>
            <w:shd w:val="clear" w:color="auto" w:fill="4BACC6" w:themeFill="accent5"/>
          </w:tcPr>
          <w:p w:rsidR="00B206FD" w:rsidRPr="00760B1B" w:rsidRDefault="00B206FD" w:rsidP="0019078B">
            <w:pPr>
              <w:pStyle w:val="TableRightBold"/>
              <w:jc w:val="center"/>
              <w:rPr>
                <w:rFonts w:ascii="Arial" w:hAnsi="Arial" w:cs="Arial"/>
                <w:color w:val="auto"/>
              </w:rPr>
            </w:pPr>
            <w:r w:rsidRPr="00760B1B">
              <w:rPr>
                <w:rStyle w:val="Bold"/>
                <w:rFonts w:ascii="Arial" w:hAnsi="Arial" w:cs="Arial"/>
                <w:bCs w:val="0"/>
                <w:color w:val="auto"/>
                <w:lang w:val="en-GB"/>
              </w:rPr>
              <w:lastRenderedPageBreak/>
              <w:t>31st  March 201</w:t>
            </w:r>
            <w:r w:rsidR="0019078B">
              <w:rPr>
                <w:rStyle w:val="Bold"/>
                <w:rFonts w:ascii="Arial" w:hAnsi="Arial" w:cs="Arial"/>
                <w:bCs w:val="0"/>
                <w:color w:val="auto"/>
                <w:lang w:val="en-GB"/>
              </w:rPr>
              <w:t>5</w:t>
            </w:r>
          </w:p>
        </w:tc>
        <w:tc>
          <w:tcPr>
            <w:tcW w:w="3827" w:type="dxa"/>
            <w:shd w:val="clear" w:color="auto" w:fill="4BACC6" w:themeFill="accent5"/>
          </w:tcPr>
          <w:p w:rsidR="00B206FD" w:rsidRPr="00760B1B" w:rsidRDefault="00B206FD" w:rsidP="00F60BC8">
            <w:pPr>
              <w:pStyle w:val="NoParagraphStyle"/>
              <w:spacing w:line="240" w:lineRule="auto"/>
              <w:textAlignment w:val="auto"/>
              <w:cnfStyle w:val="000000000000"/>
              <w:rPr>
                <w:rFonts w:ascii="Arial" w:hAnsi="Arial" w:cs="Arial"/>
                <w:color w:val="auto"/>
                <w:sz w:val="20"/>
                <w:szCs w:val="20"/>
              </w:rPr>
            </w:pPr>
          </w:p>
        </w:tc>
        <w:tc>
          <w:tcPr>
            <w:cnfStyle w:val="000010000000"/>
            <w:tcW w:w="2268" w:type="dxa"/>
            <w:gridSpan w:val="2"/>
            <w:shd w:val="clear" w:color="auto" w:fill="4BACC6" w:themeFill="accent5"/>
          </w:tcPr>
          <w:p w:rsidR="00B206FD" w:rsidRPr="00760B1B" w:rsidRDefault="00B206FD" w:rsidP="00760B1B">
            <w:pPr>
              <w:pStyle w:val="TableRightBold"/>
              <w:jc w:val="center"/>
              <w:rPr>
                <w:rFonts w:ascii="Arial" w:hAnsi="Arial" w:cs="Arial"/>
                <w:color w:val="auto"/>
              </w:rPr>
            </w:pPr>
            <w:r w:rsidRPr="00760B1B">
              <w:rPr>
                <w:rStyle w:val="Bold"/>
                <w:rFonts w:ascii="Arial" w:hAnsi="Arial" w:cs="Arial"/>
                <w:b/>
                <w:bCs w:val="0"/>
                <w:color w:val="auto"/>
                <w:lang w:val="en-GB"/>
              </w:rPr>
              <w:t>31</w:t>
            </w:r>
            <w:r w:rsidRPr="00760B1B">
              <w:rPr>
                <w:rStyle w:val="Bold"/>
                <w:rFonts w:ascii="Arial" w:hAnsi="Arial" w:cs="Arial"/>
                <w:b/>
                <w:bCs w:val="0"/>
                <w:color w:val="auto"/>
                <w:vertAlign w:val="superscript"/>
                <w:lang w:val="en-GB"/>
              </w:rPr>
              <w:t>st</w:t>
            </w:r>
            <w:r w:rsidRPr="00760B1B">
              <w:rPr>
                <w:rStyle w:val="Bold"/>
                <w:rFonts w:ascii="Arial" w:hAnsi="Arial" w:cs="Arial"/>
                <w:b/>
                <w:bCs w:val="0"/>
                <w:color w:val="auto"/>
                <w:lang w:val="en-GB"/>
              </w:rPr>
              <w:t xml:space="preserve"> March 201</w:t>
            </w:r>
            <w:r w:rsidR="00760B1B" w:rsidRPr="00760B1B">
              <w:rPr>
                <w:rStyle w:val="Bold"/>
                <w:rFonts w:ascii="Arial" w:hAnsi="Arial" w:cs="Arial"/>
                <w:b/>
                <w:bCs w:val="0"/>
                <w:color w:val="auto"/>
                <w:lang w:val="en-GB"/>
              </w:rPr>
              <w:t>6</w:t>
            </w:r>
            <w:r w:rsidRPr="00760B1B">
              <w:rPr>
                <w:rStyle w:val="Bold"/>
                <w:rFonts w:ascii="Arial" w:hAnsi="Arial" w:cs="Arial"/>
                <w:b/>
                <w:bCs w:val="0"/>
                <w:color w:val="auto"/>
                <w:lang w:val="en-GB"/>
              </w:rPr>
              <w:t xml:space="preserve"> </w:t>
            </w:r>
          </w:p>
        </w:tc>
      </w:tr>
      <w:tr w:rsidR="00B206FD" w:rsidRPr="00760B1B" w:rsidTr="00B206FD">
        <w:trPr>
          <w:trHeight w:val="60"/>
          <w:tblHeader/>
        </w:trPr>
        <w:tc>
          <w:tcPr>
            <w:cnfStyle w:val="000010000000"/>
            <w:tcW w:w="1276" w:type="dxa"/>
            <w:shd w:val="clear" w:color="auto" w:fill="4BACC6" w:themeFill="accent5"/>
          </w:tcPr>
          <w:p w:rsidR="00B206FD" w:rsidRPr="00760B1B" w:rsidRDefault="00B206FD" w:rsidP="00A67EFA">
            <w:pPr>
              <w:pStyle w:val="TableRightBold"/>
              <w:spacing w:line="240" w:lineRule="auto"/>
              <w:jc w:val="center"/>
              <w:rPr>
                <w:rStyle w:val="Bold"/>
                <w:rFonts w:ascii="Arial" w:hAnsi="Arial" w:cs="Arial"/>
                <w:bCs w:val="0"/>
                <w:color w:val="auto"/>
                <w:lang w:val="en-GB"/>
              </w:rPr>
            </w:pPr>
            <w:r w:rsidRPr="00760B1B">
              <w:rPr>
                <w:rStyle w:val="Bold"/>
                <w:rFonts w:ascii="Arial" w:hAnsi="Arial" w:cs="Arial"/>
                <w:bCs w:val="0"/>
                <w:color w:val="auto"/>
                <w:lang w:val="en-GB"/>
              </w:rPr>
              <w:t>£m</w:t>
            </w:r>
          </w:p>
        </w:tc>
        <w:tc>
          <w:tcPr>
            <w:tcW w:w="851" w:type="dxa"/>
            <w:shd w:val="clear" w:color="auto" w:fill="4BACC6" w:themeFill="accent5"/>
          </w:tcPr>
          <w:p w:rsidR="00B206FD" w:rsidRPr="00760B1B" w:rsidRDefault="00B206FD" w:rsidP="00A67EFA">
            <w:pPr>
              <w:pStyle w:val="TableRightBold"/>
              <w:spacing w:line="240" w:lineRule="auto"/>
              <w:jc w:val="center"/>
              <w:cnfStyle w:val="000000000000"/>
              <w:rPr>
                <w:rStyle w:val="Bold"/>
                <w:rFonts w:ascii="Arial" w:hAnsi="Arial" w:cs="Arial"/>
                <w:bCs w:val="0"/>
                <w:color w:val="auto"/>
                <w:lang w:val="en-GB"/>
              </w:rPr>
            </w:pPr>
            <w:r w:rsidRPr="00760B1B">
              <w:rPr>
                <w:rStyle w:val="Bold"/>
                <w:rFonts w:ascii="Arial" w:hAnsi="Arial" w:cs="Arial"/>
                <w:bCs w:val="0"/>
                <w:color w:val="auto"/>
                <w:lang w:val="en-GB"/>
              </w:rPr>
              <w:t>%</w:t>
            </w:r>
          </w:p>
        </w:tc>
        <w:tc>
          <w:tcPr>
            <w:cnfStyle w:val="000010000000"/>
            <w:tcW w:w="3827" w:type="dxa"/>
            <w:shd w:val="clear" w:color="auto" w:fill="4BACC6" w:themeFill="accent5"/>
          </w:tcPr>
          <w:p w:rsidR="00B206FD" w:rsidRPr="00760B1B" w:rsidRDefault="00B206FD" w:rsidP="00B206FD">
            <w:pPr>
              <w:pStyle w:val="TableRightBold"/>
              <w:spacing w:line="240" w:lineRule="auto"/>
              <w:jc w:val="center"/>
              <w:rPr>
                <w:rStyle w:val="Bold"/>
                <w:rFonts w:ascii="Arial" w:hAnsi="Arial" w:cs="Arial"/>
                <w:bCs w:val="0"/>
                <w:color w:val="auto"/>
                <w:lang w:val="en-GB"/>
              </w:rPr>
            </w:pPr>
          </w:p>
        </w:tc>
        <w:tc>
          <w:tcPr>
            <w:tcW w:w="1276" w:type="dxa"/>
            <w:shd w:val="clear" w:color="auto" w:fill="4BACC6" w:themeFill="accent5"/>
          </w:tcPr>
          <w:p w:rsidR="00B206FD" w:rsidRPr="00760B1B" w:rsidRDefault="00B206FD" w:rsidP="00B206FD">
            <w:pPr>
              <w:pStyle w:val="TableRightBold"/>
              <w:spacing w:line="240" w:lineRule="auto"/>
              <w:jc w:val="center"/>
              <w:cnfStyle w:val="000000000000"/>
              <w:rPr>
                <w:rStyle w:val="Bold"/>
                <w:rFonts w:ascii="Arial" w:hAnsi="Arial" w:cs="Arial"/>
                <w:bCs w:val="0"/>
                <w:color w:val="auto"/>
                <w:lang w:val="en-GB"/>
              </w:rPr>
            </w:pPr>
            <w:r w:rsidRPr="00760B1B">
              <w:rPr>
                <w:rStyle w:val="Bold"/>
                <w:rFonts w:ascii="Arial" w:hAnsi="Arial" w:cs="Arial"/>
                <w:bCs w:val="0"/>
                <w:color w:val="auto"/>
                <w:lang w:val="en-GB"/>
              </w:rPr>
              <w:t>£m</w:t>
            </w:r>
          </w:p>
        </w:tc>
        <w:tc>
          <w:tcPr>
            <w:cnfStyle w:val="000010000000"/>
            <w:tcW w:w="992" w:type="dxa"/>
            <w:shd w:val="clear" w:color="auto" w:fill="4BACC6" w:themeFill="accent5"/>
          </w:tcPr>
          <w:p w:rsidR="00B206FD" w:rsidRPr="00760B1B" w:rsidRDefault="00B206FD" w:rsidP="000401DE">
            <w:pPr>
              <w:pStyle w:val="TableRightBold"/>
              <w:spacing w:line="240" w:lineRule="auto"/>
              <w:jc w:val="center"/>
              <w:rPr>
                <w:rStyle w:val="Bold"/>
                <w:rFonts w:ascii="Arial" w:hAnsi="Arial" w:cs="Arial"/>
                <w:bCs w:val="0"/>
                <w:color w:val="auto"/>
                <w:lang w:val="en-GB"/>
              </w:rPr>
            </w:pPr>
            <w:r w:rsidRPr="00760B1B">
              <w:rPr>
                <w:rStyle w:val="Bold"/>
                <w:rFonts w:ascii="Arial" w:hAnsi="Arial" w:cs="Arial"/>
                <w:bCs w:val="0"/>
                <w:color w:val="auto"/>
                <w:lang w:val="en-GB"/>
              </w:rPr>
              <w:t>%</w:t>
            </w:r>
          </w:p>
        </w:tc>
      </w:tr>
      <w:tr w:rsidR="00760B1B" w:rsidRPr="00760B1B" w:rsidTr="00B206FD">
        <w:trPr>
          <w:cnfStyle w:val="000000100000"/>
          <w:trHeight w:val="60"/>
        </w:trPr>
        <w:tc>
          <w:tcPr>
            <w:cnfStyle w:val="000010000000"/>
            <w:tcW w:w="1276" w:type="dxa"/>
          </w:tcPr>
          <w:p w:rsidR="00760B1B" w:rsidRPr="00760B1B" w:rsidRDefault="00760B1B" w:rsidP="00051379">
            <w:pPr>
              <w:pStyle w:val="TableRight"/>
              <w:spacing w:before="0" w:line="240" w:lineRule="auto"/>
              <w:jc w:val="center"/>
              <w:rPr>
                <w:rFonts w:ascii="Arial" w:hAnsi="Arial" w:cs="Arial"/>
                <w:color w:val="auto"/>
              </w:rPr>
            </w:pPr>
            <w:r w:rsidRPr="00760B1B">
              <w:rPr>
                <w:rFonts w:ascii="Arial" w:hAnsi="Arial" w:cs="Arial"/>
                <w:color w:val="auto"/>
              </w:rPr>
              <w:t>15.0</w:t>
            </w:r>
          </w:p>
        </w:tc>
        <w:tc>
          <w:tcPr>
            <w:tcW w:w="851" w:type="dxa"/>
          </w:tcPr>
          <w:p w:rsidR="00760B1B" w:rsidRPr="00760B1B" w:rsidRDefault="00760B1B" w:rsidP="00051379">
            <w:pPr>
              <w:pStyle w:val="TableRight"/>
              <w:spacing w:before="0" w:line="240" w:lineRule="auto"/>
              <w:jc w:val="center"/>
              <w:cnfStyle w:val="000000100000"/>
              <w:rPr>
                <w:rFonts w:ascii="Arial" w:hAnsi="Arial" w:cs="Arial"/>
                <w:color w:val="auto"/>
              </w:rPr>
            </w:pPr>
            <w:r w:rsidRPr="00760B1B">
              <w:rPr>
                <w:rFonts w:ascii="Arial" w:hAnsi="Arial" w:cs="Arial"/>
                <w:color w:val="auto"/>
              </w:rPr>
              <w:t>6</w:t>
            </w:r>
          </w:p>
        </w:tc>
        <w:tc>
          <w:tcPr>
            <w:cnfStyle w:val="000010000000"/>
            <w:tcW w:w="3827" w:type="dxa"/>
          </w:tcPr>
          <w:p w:rsidR="00760B1B" w:rsidRPr="00760B1B" w:rsidRDefault="00760B1B" w:rsidP="000401DE">
            <w:pPr>
              <w:pStyle w:val="TableText"/>
              <w:spacing w:before="0" w:line="240" w:lineRule="auto"/>
              <w:rPr>
                <w:rFonts w:ascii="Arial" w:hAnsi="Arial" w:cs="Arial"/>
                <w:color w:val="auto"/>
              </w:rPr>
            </w:pPr>
            <w:r w:rsidRPr="00760B1B">
              <w:rPr>
                <w:rFonts w:ascii="Arial" w:hAnsi="Arial" w:cs="Arial"/>
                <w:color w:val="auto"/>
              </w:rPr>
              <w:t>Gilts</w:t>
            </w:r>
          </w:p>
        </w:tc>
        <w:tc>
          <w:tcPr>
            <w:tcW w:w="1276" w:type="dxa"/>
          </w:tcPr>
          <w:p w:rsidR="00760B1B" w:rsidRPr="00760B1B" w:rsidRDefault="00097F9F" w:rsidP="00233D64">
            <w:pPr>
              <w:pStyle w:val="TableRight"/>
              <w:spacing w:before="0" w:line="240" w:lineRule="auto"/>
              <w:jc w:val="center"/>
              <w:cnfStyle w:val="000000100000"/>
              <w:rPr>
                <w:rFonts w:ascii="Arial" w:hAnsi="Arial" w:cs="Arial"/>
                <w:color w:val="auto"/>
              </w:rPr>
            </w:pPr>
            <w:r>
              <w:rPr>
                <w:rFonts w:ascii="Arial" w:hAnsi="Arial" w:cs="Arial"/>
                <w:color w:val="auto"/>
              </w:rPr>
              <w:t>6.6</w:t>
            </w:r>
          </w:p>
        </w:tc>
        <w:tc>
          <w:tcPr>
            <w:cnfStyle w:val="000010000000"/>
            <w:tcW w:w="992" w:type="dxa"/>
          </w:tcPr>
          <w:p w:rsidR="00760B1B" w:rsidRPr="00760B1B" w:rsidRDefault="00097F9F" w:rsidP="00097F9F">
            <w:pPr>
              <w:pStyle w:val="TableRight"/>
              <w:spacing w:before="0" w:line="240" w:lineRule="auto"/>
              <w:jc w:val="center"/>
              <w:rPr>
                <w:rFonts w:ascii="Arial" w:hAnsi="Arial" w:cs="Arial"/>
                <w:color w:val="auto"/>
              </w:rPr>
            </w:pPr>
            <w:r>
              <w:rPr>
                <w:rFonts w:ascii="Arial" w:hAnsi="Arial" w:cs="Arial"/>
                <w:color w:val="auto"/>
              </w:rPr>
              <w:t>3</w:t>
            </w:r>
          </w:p>
        </w:tc>
      </w:tr>
      <w:tr w:rsidR="00760B1B" w:rsidRPr="00760B1B" w:rsidTr="00B206FD">
        <w:trPr>
          <w:trHeight w:val="60"/>
        </w:trPr>
        <w:tc>
          <w:tcPr>
            <w:cnfStyle w:val="000010000000"/>
            <w:tcW w:w="1276" w:type="dxa"/>
          </w:tcPr>
          <w:p w:rsidR="00760B1B" w:rsidRPr="00760B1B" w:rsidRDefault="00760B1B" w:rsidP="00051379">
            <w:pPr>
              <w:pStyle w:val="TableRight"/>
              <w:spacing w:before="0" w:line="240" w:lineRule="auto"/>
              <w:jc w:val="center"/>
              <w:rPr>
                <w:rFonts w:ascii="Arial" w:hAnsi="Arial" w:cs="Arial"/>
                <w:color w:val="auto"/>
              </w:rPr>
            </w:pPr>
            <w:r w:rsidRPr="00760B1B">
              <w:rPr>
                <w:rFonts w:ascii="Arial" w:hAnsi="Arial" w:cs="Arial"/>
                <w:color w:val="auto"/>
              </w:rPr>
              <w:t>61.6</w:t>
            </w:r>
          </w:p>
        </w:tc>
        <w:tc>
          <w:tcPr>
            <w:tcW w:w="851" w:type="dxa"/>
          </w:tcPr>
          <w:p w:rsidR="00760B1B" w:rsidRPr="00760B1B" w:rsidRDefault="00760B1B" w:rsidP="00051379">
            <w:pPr>
              <w:pStyle w:val="TableRight"/>
              <w:spacing w:before="0" w:line="240" w:lineRule="auto"/>
              <w:jc w:val="center"/>
              <w:cnfStyle w:val="000000000000"/>
              <w:rPr>
                <w:rFonts w:ascii="Arial" w:hAnsi="Arial" w:cs="Arial"/>
                <w:color w:val="auto"/>
              </w:rPr>
            </w:pPr>
            <w:r w:rsidRPr="00760B1B">
              <w:rPr>
                <w:rFonts w:ascii="Arial" w:hAnsi="Arial" w:cs="Arial"/>
                <w:color w:val="auto"/>
              </w:rPr>
              <w:t>25</w:t>
            </w:r>
          </w:p>
        </w:tc>
        <w:tc>
          <w:tcPr>
            <w:cnfStyle w:val="000010000000"/>
            <w:tcW w:w="3827" w:type="dxa"/>
          </w:tcPr>
          <w:p w:rsidR="00760B1B" w:rsidRPr="00760B1B" w:rsidRDefault="00760B1B" w:rsidP="000401DE">
            <w:pPr>
              <w:pStyle w:val="TableText"/>
              <w:spacing w:before="0" w:line="240" w:lineRule="auto"/>
              <w:rPr>
                <w:rFonts w:ascii="Arial" w:hAnsi="Arial" w:cs="Arial"/>
                <w:color w:val="auto"/>
              </w:rPr>
            </w:pPr>
            <w:r w:rsidRPr="00760B1B">
              <w:rPr>
                <w:rFonts w:ascii="Arial" w:hAnsi="Arial" w:cs="Arial"/>
                <w:color w:val="auto"/>
              </w:rPr>
              <w:t>UK Equities</w:t>
            </w:r>
          </w:p>
        </w:tc>
        <w:tc>
          <w:tcPr>
            <w:tcW w:w="1276" w:type="dxa"/>
          </w:tcPr>
          <w:p w:rsidR="00760B1B" w:rsidRPr="00760B1B" w:rsidRDefault="00097F9F" w:rsidP="00233D64">
            <w:pPr>
              <w:pStyle w:val="TableRight"/>
              <w:spacing w:before="0" w:line="240" w:lineRule="auto"/>
              <w:jc w:val="center"/>
              <w:cnfStyle w:val="000000000000"/>
              <w:rPr>
                <w:rFonts w:ascii="Arial" w:hAnsi="Arial" w:cs="Arial"/>
                <w:color w:val="auto"/>
              </w:rPr>
            </w:pPr>
            <w:r>
              <w:rPr>
                <w:rFonts w:ascii="Arial" w:hAnsi="Arial" w:cs="Arial"/>
                <w:color w:val="auto"/>
              </w:rPr>
              <w:t>57.9</w:t>
            </w:r>
          </w:p>
        </w:tc>
        <w:tc>
          <w:tcPr>
            <w:cnfStyle w:val="000010000000"/>
            <w:tcW w:w="992" w:type="dxa"/>
          </w:tcPr>
          <w:p w:rsidR="00760B1B" w:rsidRPr="00760B1B" w:rsidRDefault="00097F9F" w:rsidP="00233D64">
            <w:pPr>
              <w:pStyle w:val="TableRight"/>
              <w:spacing w:before="0" w:line="240" w:lineRule="auto"/>
              <w:jc w:val="center"/>
              <w:rPr>
                <w:rFonts w:ascii="Arial" w:hAnsi="Arial" w:cs="Arial"/>
                <w:color w:val="auto"/>
              </w:rPr>
            </w:pPr>
            <w:r>
              <w:rPr>
                <w:rFonts w:ascii="Arial" w:hAnsi="Arial" w:cs="Arial"/>
                <w:color w:val="auto"/>
              </w:rPr>
              <w:t>24</w:t>
            </w:r>
          </w:p>
        </w:tc>
      </w:tr>
      <w:tr w:rsidR="00760B1B" w:rsidRPr="00760B1B" w:rsidTr="00B206FD">
        <w:trPr>
          <w:cnfStyle w:val="000000100000"/>
          <w:trHeight w:val="60"/>
        </w:trPr>
        <w:tc>
          <w:tcPr>
            <w:cnfStyle w:val="000010000000"/>
            <w:tcW w:w="1276" w:type="dxa"/>
          </w:tcPr>
          <w:p w:rsidR="00760B1B" w:rsidRPr="00760B1B" w:rsidRDefault="00760B1B" w:rsidP="00051379">
            <w:pPr>
              <w:pStyle w:val="TableRight"/>
              <w:spacing w:before="0" w:line="240" w:lineRule="auto"/>
              <w:jc w:val="center"/>
              <w:rPr>
                <w:rFonts w:ascii="Arial" w:hAnsi="Arial" w:cs="Arial"/>
                <w:color w:val="auto"/>
              </w:rPr>
            </w:pPr>
            <w:r w:rsidRPr="00760B1B">
              <w:rPr>
                <w:rFonts w:ascii="Arial" w:hAnsi="Arial" w:cs="Arial"/>
                <w:color w:val="auto"/>
              </w:rPr>
              <w:t>83.1</w:t>
            </w:r>
          </w:p>
        </w:tc>
        <w:tc>
          <w:tcPr>
            <w:tcW w:w="851" w:type="dxa"/>
          </w:tcPr>
          <w:p w:rsidR="00760B1B" w:rsidRPr="00760B1B" w:rsidRDefault="00760B1B" w:rsidP="00051379">
            <w:pPr>
              <w:pStyle w:val="TableRight"/>
              <w:spacing w:before="0" w:line="240" w:lineRule="auto"/>
              <w:jc w:val="center"/>
              <w:cnfStyle w:val="000000100000"/>
              <w:rPr>
                <w:rFonts w:ascii="Arial" w:hAnsi="Arial" w:cs="Arial"/>
                <w:color w:val="auto"/>
              </w:rPr>
            </w:pPr>
            <w:r w:rsidRPr="00760B1B">
              <w:rPr>
                <w:rFonts w:ascii="Arial" w:hAnsi="Arial" w:cs="Arial"/>
                <w:color w:val="auto"/>
              </w:rPr>
              <w:t>34</w:t>
            </w:r>
          </w:p>
        </w:tc>
        <w:tc>
          <w:tcPr>
            <w:cnfStyle w:val="000010000000"/>
            <w:tcW w:w="3827" w:type="dxa"/>
          </w:tcPr>
          <w:p w:rsidR="00760B1B" w:rsidRPr="00760B1B" w:rsidRDefault="00760B1B" w:rsidP="000401DE">
            <w:pPr>
              <w:pStyle w:val="TableText"/>
              <w:spacing w:before="0" w:line="240" w:lineRule="auto"/>
              <w:rPr>
                <w:rFonts w:ascii="Arial" w:hAnsi="Arial" w:cs="Arial"/>
                <w:color w:val="auto"/>
              </w:rPr>
            </w:pPr>
            <w:r w:rsidRPr="00760B1B">
              <w:rPr>
                <w:rFonts w:ascii="Arial" w:hAnsi="Arial" w:cs="Arial"/>
                <w:color w:val="auto"/>
              </w:rPr>
              <w:t>Overseas Equities</w:t>
            </w:r>
          </w:p>
        </w:tc>
        <w:tc>
          <w:tcPr>
            <w:tcW w:w="1276" w:type="dxa"/>
          </w:tcPr>
          <w:p w:rsidR="00760B1B" w:rsidRPr="00760B1B" w:rsidRDefault="00097F9F" w:rsidP="00233D64">
            <w:pPr>
              <w:pStyle w:val="TableRight"/>
              <w:spacing w:before="0" w:line="240" w:lineRule="auto"/>
              <w:jc w:val="center"/>
              <w:cnfStyle w:val="000000100000"/>
              <w:rPr>
                <w:rFonts w:ascii="Arial" w:hAnsi="Arial" w:cs="Arial"/>
                <w:color w:val="auto"/>
              </w:rPr>
            </w:pPr>
            <w:r>
              <w:rPr>
                <w:rFonts w:ascii="Arial" w:hAnsi="Arial" w:cs="Arial"/>
                <w:color w:val="auto"/>
              </w:rPr>
              <w:t>77.1</w:t>
            </w:r>
          </w:p>
        </w:tc>
        <w:tc>
          <w:tcPr>
            <w:cnfStyle w:val="000010000000"/>
            <w:tcW w:w="992" w:type="dxa"/>
          </w:tcPr>
          <w:p w:rsidR="00760B1B" w:rsidRPr="00760B1B" w:rsidRDefault="00097F9F" w:rsidP="00233D64">
            <w:pPr>
              <w:pStyle w:val="TableRight"/>
              <w:spacing w:before="0" w:line="240" w:lineRule="auto"/>
              <w:jc w:val="center"/>
              <w:rPr>
                <w:rFonts w:ascii="Arial" w:hAnsi="Arial" w:cs="Arial"/>
                <w:color w:val="auto"/>
              </w:rPr>
            </w:pPr>
            <w:r>
              <w:rPr>
                <w:rFonts w:ascii="Arial" w:hAnsi="Arial" w:cs="Arial"/>
                <w:color w:val="auto"/>
              </w:rPr>
              <w:t>32</w:t>
            </w:r>
          </w:p>
        </w:tc>
      </w:tr>
      <w:tr w:rsidR="00760B1B" w:rsidRPr="00760B1B" w:rsidTr="00B206FD">
        <w:trPr>
          <w:trHeight w:val="60"/>
        </w:trPr>
        <w:tc>
          <w:tcPr>
            <w:cnfStyle w:val="000010000000"/>
            <w:tcW w:w="1276" w:type="dxa"/>
          </w:tcPr>
          <w:p w:rsidR="00760B1B" w:rsidRPr="00760B1B" w:rsidRDefault="00760B1B" w:rsidP="00051379">
            <w:pPr>
              <w:pStyle w:val="TableRight"/>
              <w:spacing w:before="0" w:line="240" w:lineRule="auto"/>
              <w:jc w:val="center"/>
              <w:rPr>
                <w:rFonts w:ascii="Arial" w:hAnsi="Arial" w:cs="Arial"/>
                <w:color w:val="auto"/>
              </w:rPr>
            </w:pPr>
            <w:r w:rsidRPr="00760B1B">
              <w:rPr>
                <w:rFonts w:ascii="Arial" w:hAnsi="Arial" w:cs="Arial"/>
                <w:color w:val="auto"/>
              </w:rPr>
              <w:t>25.0</w:t>
            </w:r>
          </w:p>
        </w:tc>
        <w:tc>
          <w:tcPr>
            <w:tcW w:w="851" w:type="dxa"/>
          </w:tcPr>
          <w:p w:rsidR="00760B1B" w:rsidRPr="00760B1B" w:rsidRDefault="00760B1B" w:rsidP="00051379">
            <w:pPr>
              <w:pStyle w:val="TableRight"/>
              <w:spacing w:before="0" w:line="240" w:lineRule="auto"/>
              <w:jc w:val="center"/>
              <w:cnfStyle w:val="000000000000"/>
              <w:rPr>
                <w:rFonts w:ascii="Arial" w:hAnsi="Arial" w:cs="Arial"/>
                <w:color w:val="auto"/>
              </w:rPr>
            </w:pPr>
            <w:r w:rsidRPr="00760B1B">
              <w:rPr>
                <w:rFonts w:ascii="Arial" w:hAnsi="Arial" w:cs="Arial"/>
                <w:color w:val="auto"/>
              </w:rPr>
              <w:t>10</w:t>
            </w:r>
          </w:p>
        </w:tc>
        <w:tc>
          <w:tcPr>
            <w:cnfStyle w:val="000010000000"/>
            <w:tcW w:w="3827" w:type="dxa"/>
          </w:tcPr>
          <w:p w:rsidR="00760B1B" w:rsidRPr="00760B1B" w:rsidRDefault="00760B1B" w:rsidP="000401DE">
            <w:pPr>
              <w:pStyle w:val="TableText"/>
              <w:spacing w:before="0" w:line="240" w:lineRule="auto"/>
              <w:rPr>
                <w:rFonts w:ascii="Arial" w:hAnsi="Arial" w:cs="Arial"/>
                <w:color w:val="auto"/>
              </w:rPr>
            </w:pPr>
            <w:r w:rsidRPr="00760B1B">
              <w:rPr>
                <w:rFonts w:ascii="Arial" w:hAnsi="Arial" w:cs="Arial"/>
                <w:color w:val="auto"/>
              </w:rPr>
              <w:t>Property</w:t>
            </w:r>
          </w:p>
        </w:tc>
        <w:tc>
          <w:tcPr>
            <w:tcW w:w="1276" w:type="dxa"/>
          </w:tcPr>
          <w:p w:rsidR="00760B1B" w:rsidRPr="00760B1B" w:rsidRDefault="00097F9F" w:rsidP="00233D64">
            <w:pPr>
              <w:pStyle w:val="TableRight"/>
              <w:spacing w:before="0" w:line="240" w:lineRule="auto"/>
              <w:jc w:val="center"/>
              <w:cnfStyle w:val="000000000000"/>
              <w:rPr>
                <w:rFonts w:ascii="Arial" w:hAnsi="Arial" w:cs="Arial"/>
                <w:color w:val="auto"/>
              </w:rPr>
            </w:pPr>
            <w:r>
              <w:rPr>
                <w:rFonts w:ascii="Arial" w:hAnsi="Arial" w:cs="Arial"/>
                <w:color w:val="auto"/>
              </w:rPr>
              <w:t>26.9</w:t>
            </w:r>
          </w:p>
        </w:tc>
        <w:tc>
          <w:tcPr>
            <w:cnfStyle w:val="000010000000"/>
            <w:tcW w:w="992" w:type="dxa"/>
          </w:tcPr>
          <w:p w:rsidR="00760B1B" w:rsidRPr="00760B1B" w:rsidRDefault="00097F9F" w:rsidP="00233D64">
            <w:pPr>
              <w:pStyle w:val="TableRight"/>
              <w:spacing w:before="0" w:line="240" w:lineRule="auto"/>
              <w:jc w:val="center"/>
              <w:rPr>
                <w:rFonts w:ascii="Arial" w:hAnsi="Arial" w:cs="Arial"/>
                <w:color w:val="auto"/>
              </w:rPr>
            </w:pPr>
            <w:r>
              <w:rPr>
                <w:rFonts w:ascii="Arial" w:hAnsi="Arial" w:cs="Arial"/>
                <w:color w:val="auto"/>
              </w:rPr>
              <w:t>11</w:t>
            </w:r>
          </w:p>
        </w:tc>
      </w:tr>
      <w:tr w:rsidR="00760B1B" w:rsidRPr="00760B1B" w:rsidTr="00B206FD">
        <w:trPr>
          <w:cnfStyle w:val="000000100000"/>
          <w:trHeight w:val="60"/>
        </w:trPr>
        <w:tc>
          <w:tcPr>
            <w:cnfStyle w:val="000010000000"/>
            <w:tcW w:w="1276" w:type="dxa"/>
          </w:tcPr>
          <w:p w:rsidR="00760B1B" w:rsidRPr="00760B1B" w:rsidRDefault="00760B1B" w:rsidP="00051379">
            <w:pPr>
              <w:pStyle w:val="TableRight"/>
              <w:spacing w:before="0" w:line="240" w:lineRule="auto"/>
              <w:jc w:val="center"/>
              <w:rPr>
                <w:rFonts w:ascii="Arial" w:hAnsi="Arial" w:cs="Arial"/>
                <w:color w:val="auto"/>
              </w:rPr>
            </w:pPr>
            <w:r w:rsidRPr="00760B1B">
              <w:rPr>
                <w:rFonts w:ascii="Arial" w:hAnsi="Arial" w:cs="Arial"/>
                <w:color w:val="auto"/>
              </w:rPr>
              <w:t>6.6</w:t>
            </w:r>
          </w:p>
        </w:tc>
        <w:tc>
          <w:tcPr>
            <w:tcW w:w="851" w:type="dxa"/>
          </w:tcPr>
          <w:p w:rsidR="00760B1B" w:rsidRPr="00760B1B" w:rsidRDefault="00760B1B" w:rsidP="00051379">
            <w:pPr>
              <w:pStyle w:val="TableRight"/>
              <w:spacing w:before="0" w:line="240" w:lineRule="auto"/>
              <w:jc w:val="center"/>
              <w:cnfStyle w:val="000000100000"/>
              <w:rPr>
                <w:rFonts w:ascii="Arial" w:hAnsi="Arial" w:cs="Arial"/>
                <w:color w:val="auto"/>
              </w:rPr>
            </w:pPr>
            <w:r w:rsidRPr="00760B1B">
              <w:rPr>
                <w:rFonts w:ascii="Arial" w:hAnsi="Arial" w:cs="Arial"/>
                <w:color w:val="auto"/>
              </w:rPr>
              <w:t>3</w:t>
            </w:r>
          </w:p>
        </w:tc>
        <w:tc>
          <w:tcPr>
            <w:cnfStyle w:val="000010000000"/>
            <w:tcW w:w="3827" w:type="dxa"/>
          </w:tcPr>
          <w:p w:rsidR="00760B1B" w:rsidRPr="00760B1B" w:rsidRDefault="00760B1B" w:rsidP="000401DE">
            <w:pPr>
              <w:pStyle w:val="TableText"/>
              <w:spacing w:before="0" w:line="240" w:lineRule="auto"/>
              <w:rPr>
                <w:rFonts w:ascii="Arial" w:hAnsi="Arial" w:cs="Arial"/>
                <w:color w:val="auto"/>
              </w:rPr>
            </w:pPr>
            <w:r w:rsidRPr="00760B1B">
              <w:rPr>
                <w:rFonts w:ascii="Arial" w:hAnsi="Arial" w:cs="Arial"/>
                <w:color w:val="auto"/>
              </w:rPr>
              <w:t>Infrastructure</w:t>
            </w:r>
          </w:p>
        </w:tc>
        <w:tc>
          <w:tcPr>
            <w:tcW w:w="1276" w:type="dxa"/>
          </w:tcPr>
          <w:p w:rsidR="00760B1B" w:rsidRPr="00760B1B" w:rsidRDefault="00097F9F" w:rsidP="00233D64">
            <w:pPr>
              <w:pStyle w:val="TableRight"/>
              <w:spacing w:before="0" w:line="240" w:lineRule="auto"/>
              <w:jc w:val="center"/>
              <w:cnfStyle w:val="000000100000"/>
              <w:rPr>
                <w:rFonts w:ascii="Arial" w:hAnsi="Arial" w:cs="Arial"/>
                <w:color w:val="auto"/>
              </w:rPr>
            </w:pPr>
            <w:r>
              <w:rPr>
                <w:rFonts w:ascii="Arial" w:hAnsi="Arial" w:cs="Arial"/>
                <w:color w:val="auto"/>
              </w:rPr>
              <w:t>9.1</w:t>
            </w:r>
          </w:p>
        </w:tc>
        <w:tc>
          <w:tcPr>
            <w:cnfStyle w:val="000010000000"/>
            <w:tcW w:w="992" w:type="dxa"/>
          </w:tcPr>
          <w:p w:rsidR="00760B1B" w:rsidRPr="00760B1B" w:rsidRDefault="00097F9F" w:rsidP="00233D64">
            <w:pPr>
              <w:pStyle w:val="TableRight"/>
              <w:spacing w:before="0" w:line="240" w:lineRule="auto"/>
              <w:jc w:val="center"/>
              <w:rPr>
                <w:rFonts w:ascii="Arial" w:hAnsi="Arial" w:cs="Arial"/>
                <w:color w:val="auto"/>
              </w:rPr>
            </w:pPr>
            <w:r>
              <w:rPr>
                <w:rFonts w:ascii="Arial" w:hAnsi="Arial" w:cs="Arial"/>
                <w:color w:val="auto"/>
              </w:rPr>
              <w:t>4</w:t>
            </w:r>
          </w:p>
        </w:tc>
      </w:tr>
      <w:tr w:rsidR="00760B1B" w:rsidRPr="00760B1B" w:rsidTr="00B206FD">
        <w:trPr>
          <w:trHeight w:val="60"/>
        </w:trPr>
        <w:tc>
          <w:tcPr>
            <w:cnfStyle w:val="000010000000"/>
            <w:tcW w:w="1276" w:type="dxa"/>
          </w:tcPr>
          <w:p w:rsidR="00760B1B" w:rsidRPr="00760B1B" w:rsidRDefault="00760B1B" w:rsidP="00051379">
            <w:pPr>
              <w:pStyle w:val="TableRight"/>
              <w:spacing w:before="0" w:line="240" w:lineRule="auto"/>
              <w:jc w:val="center"/>
              <w:rPr>
                <w:rFonts w:ascii="Arial" w:hAnsi="Arial" w:cs="Arial"/>
                <w:color w:val="auto"/>
              </w:rPr>
            </w:pPr>
            <w:r w:rsidRPr="00760B1B">
              <w:rPr>
                <w:rFonts w:ascii="Arial" w:hAnsi="Arial" w:cs="Arial"/>
                <w:color w:val="auto"/>
              </w:rPr>
              <w:t>36.0</w:t>
            </w:r>
          </w:p>
        </w:tc>
        <w:tc>
          <w:tcPr>
            <w:tcW w:w="851" w:type="dxa"/>
          </w:tcPr>
          <w:p w:rsidR="00760B1B" w:rsidRPr="00760B1B" w:rsidRDefault="00760B1B" w:rsidP="00051379">
            <w:pPr>
              <w:pStyle w:val="TableRight"/>
              <w:spacing w:before="0" w:line="240" w:lineRule="auto"/>
              <w:jc w:val="center"/>
              <w:cnfStyle w:val="000000000000"/>
              <w:rPr>
                <w:rFonts w:ascii="Arial" w:hAnsi="Arial" w:cs="Arial"/>
                <w:color w:val="auto"/>
              </w:rPr>
            </w:pPr>
            <w:r w:rsidRPr="00760B1B">
              <w:rPr>
                <w:rFonts w:ascii="Arial" w:hAnsi="Arial" w:cs="Arial"/>
                <w:color w:val="auto"/>
              </w:rPr>
              <w:t>15</w:t>
            </w:r>
          </w:p>
        </w:tc>
        <w:tc>
          <w:tcPr>
            <w:cnfStyle w:val="000010000000"/>
            <w:tcW w:w="3827" w:type="dxa"/>
          </w:tcPr>
          <w:p w:rsidR="00760B1B" w:rsidRPr="00760B1B" w:rsidRDefault="00760B1B" w:rsidP="000401DE">
            <w:pPr>
              <w:pStyle w:val="TableText"/>
              <w:spacing w:before="0" w:line="240" w:lineRule="auto"/>
              <w:rPr>
                <w:rFonts w:ascii="Arial" w:hAnsi="Arial" w:cs="Arial"/>
                <w:color w:val="auto"/>
              </w:rPr>
            </w:pPr>
            <w:r w:rsidRPr="00760B1B">
              <w:rPr>
                <w:rFonts w:ascii="Arial" w:hAnsi="Arial" w:cs="Arial"/>
                <w:color w:val="auto"/>
              </w:rPr>
              <w:t>Target Return portfolio</w:t>
            </w:r>
          </w:p>
        </w:tc>
        <w:tc>
          <w:tcPr>
            <w:tcW w:w="1276" w:type="dxa"/>
          </w:tcPr>
          <w:p w:rsidR="00760B1B" w:rsidRPr="00760B1B" w:rsidRDefault="00097F9F" w:rsidP="00233D64">
            <w:pPr>
              <w:pStyle w:val="TableRight"/>
              <w:spacing w:before="0" w:line="240" w:lineRule="auto"/>
              <w:jc w:val="center"/>
              <w:cnfStyle w:val="000000000000"/>
              <w:rPr>
                <w:rFonts w:ascii="Arial" w:hAnsi="Arial" w:cs="Arial"/>
                <w:color w:val="auto"/>
              </w:rPr>
            </w:pPr>
            <w:r>
              <w:rPr>
                <w:rFonts w:ascii="Arial" w:hAnsi="Arial" w:cs="Arial"/>
                <w:color w:val="auto"/>
              </w:rPr>
              <w:t>34.9</w:t>
            </w:r>
          </w:p>
        </w:tc>
        <w:tc>
          <w:tcPr>
            <w:cnfStyle w:val="000010000000"/>
            <w:tcW w:w="992" w:type="dxa"/>
          </w:tcPr>
          <w:p w:rsidR="00760B1B" w:rsidRPr="00760B1B" w:rsidRDefault="00097F9F" w:rsidP="00097F9F">
            <w:pPr>
              <w:pStyle w:val="TableRight"/>
              <w:spacing w:before="0" w:line="240" w:lineRule="auto"/>
              <w:jc w:val="center"/>
              <w:rPr>
                <w:rFonts w:ascii="Arial" w:hAnsi="Arial" w:cs="Arial"/>
                <w:color w:val="auto"/>
              </w:rPr>
            </w:pPr>
            <w:r>
              <w:rPr>
                <w:rFonts w:ascii="Arial" w:hAnsi="Arial" w:cs="Arial"/>
                <w:color w:val="auto"/>
              </w:rPr>
              <w:t>14</w:t>
            </w:r>
          </w:p>
        </w:tc>
      </w:tr>
      <w:tr w:rsidR="00760B1B" w:rsidRPr="00760B1B" w:rsidTr="00B206FD">
        <w:trPr>
          <w:cnfStyle w:val="000000100000"/>
          <w:trHeight w:val="60"/>
        </w:trPr>
        <w:tc>
          <w:tcPr>
            <w:cnfStyle w:val="000010000000"/>
            <w:tcW w:w="1276" w:type="dxa"/>
          </w:tcPr>
          <w:p w:rsidR="00760B1B" w:rsidRPr="00760B1B" w:rsidRDefault="00760B1B" w:rsidP="00051379">
            <w:pPr>
              <w:pStyle w:val="TableRight"/>
              <w:spacing w:before="0" w:line="240" w:lineRule="auto"/>
              <w:jc w:val="center"/>
              <w:rPr>
                <w:rFonts w:ascii="Arial" w:hAnsi="Arial" w:cs="Arial"/>
                <w:color w:val="auto"/>
              </w:rPr>
            </w:pPr>
            <w:r w:rsidRPr="00760B1B">
              <w:rPr>
                <w:rFonts w:ascii="Arial" w:hAnsi="Arial" w:cs="Arial"/>
                <w:color w:val="auto"/>
              </w:rPr>
              <w:t>4.2</w:t>
            </w:r>
          </w:p>
        </w:tc>
        <w:tc>
          <w:tcPr>
            <w:tcW w:w="851" w:type="dxa"/>
          </w:tcPr>
          <w:p w:rsidR="00760B1B" w:rsidRPr="00760B1B" w:rsidRDefault="00760B1B" w:rsidP="00051379">
            <w:pPr>
              <w:pStyle w:val="TableRight"/>
              <w:spacing w:before="0" w:line="240" w:lineRule="auto"/>
              <w:jc w:val="center"/>
              <w:cnfStyle w:val="000000100000"/>
              <w:rPr>
                <w:rFonts w:ascii="Arial" w:hAnsi="Arial" w:cs="Arial"/>
                <w:color w:val="auto"/>
              </w:rPr>
            </w:pPr>
            <w:r w:rsidRPr="00760B1B">
              <w:rPr>
                <w:rFonts w:ascii="Arial" w:hAnsi="Arial" w:cs="Arial"/>
                <w:color w:val="auto"/>
              </w:rPr>
              <w:t>2</w:t>
            </w:r>
          </w:p>
        </w:tc>
        <w:tc>
          <w:tcPr>
            <w:cnfStyle w:val="000010000000"/>
            <w:tcW w:w="3827" w:type="dxa"/>
          </w:tcPr>
          <w:p w:rsidR="00760B1B" w:rsidRPr="00760B1B" w:rsidRDefault="00760B1B" w:rsidP="000401DE">
            <w:pPr>
              <w:pStyle w:val="TableText"/>
              <w:spacing w:before="0" w:line="240" w:lineRule="auto"/>
              <w:rPr>
                <w:rFonts w:ascii="Arial" w:hAnsi="Arial" w:cs="Arial"/>
                <w:color w:val="auto"/>
              </w:rPr>
            </w:pPr>
            <w:r w:rsidRPr="00760B1B">
              <w:rPr>
                <w:rFonts w:ascii="Arial" w:hAnsi="Arial" w:cs="Arial"/>
                <w:color w:val="auto"/>
              </w:rPr>
              <w:t>Cash</w:t>
            </w:r>
          </w:p>
        </w:tc>
        <w:tc>
          <w:tcPr>
            <w:tcW w:w="1276" w:type="dxa"/>
          </w:tcPr>
          <w:p w:rsidR="00760B1B" w:rsidRPr="00760B1B" w:rsidRDefault="00097F9F" w:rsidP="00233D64">
            <w:pPr>
              <w:pStyle w:val="TableRight"/>
              <w:spacing w:before="0" w:line="240" w:lineRule="auto"/>
              <w:jc w:val="center"/>
              <w:cnfStyle w:val="000000100000"/>
              <w:rPr>
                <w:rFonts w:ascii="Arial" w:hAnsi="Arial" w:cs="Arial"/>
                <w:color w:val="auto"/>
              </w:rPr>
            </w:pPr>
            <w:r>
              <w:rPr>
                <w:rFonts w:ascii="Arial" w:hAnsi="Arial" w:cs="Arial"/>
                <w:color w:val="auto"/>
              </w:rPr>
              <w:t>5.3</w:t>
            </w:r>
          </w:p>
        </w:tc>
        <w:tc>
          <w:tcPr>
            <w:cnfStyle w:val="000010000000"/>
            <w:tcW w:w="992" w:type="dxa"/>
          </w:tcPr>
          <w:p w:rsidR="00760B1B" w:rsidRPr="00760B1B" w:rsidRDefault="00097F9F" w:rsidP="00233D64">
            <w:pPr>
              <w:pStyle w:val="TableRight"/>
              <w:spacing w:before="0" w:line="240" w:lineRule="auto"/>
              <w:jc w:val="center"/>
              <w:rPr>
                <w:rFonts w:ascii="Arial" w:hAnsi="Arial" w:cs="Arial"/>
                <w:color w:val="auto"/>
              </w:rPr>
            </w:pPr>
            <w:r>
              <w:rPr>
                <w:rFonts w:ascii="Arial" w:hAnsi="Arial" w:cs="Arial"/>
                <w:color w:val="auto"/>
              </w:rPr>
              <w:t>2</w:t>
            </w:r>
          </w:p>
        </w:tc>
      </w:tr>
      <w:tr w:rsidR="00760B1B" w:rsidRPr="00760B1B" w:rsidTr="00B206FD">
        <w:trPr>
          <w:trHeight w:val="60"/>
        </w:trPr>
        <w:tc>
          <w:tcPr>
            <w:cnfStyle w:val="000010000000"/>
            <w:tcW w:w="1276" w:type="dxa"/>
          </w:tcPr>
          <w:p w:rsidR="00760B1B" w:rsidRPr="00760B1B" w:rsidRDefault="00760B1B" w:rsidP="00051379">
            <w:pPr>
              <w:pStyle w:val="TableRight"/>
              <w:spacing w:before="0" w:line="240" w:lineRule="auto"/>
              <w:jc w:val="center"/>
              <w:rPr>
                <w:rFonts w:ascii="Arial" w:hAnsi="Arial" w:cs="Arial"/>
                <w:color w:val="auto"/>
              </w:rPr>
            </w:pPr>
            <w:r w:rsidRPr="00760B1B">
              <w:rPr>
                <w:rFonts w:ascii="Arial" w:hAnsi="Arial" w:cs="Arial"/>
                <w:color w:val="auto"/>
              </w:rPr>
              <w:t>8.3</w:t>
            </w:r>
          </w:p>
        </w:tc>
        <w:tc>
          <w:tcPr>
            <w:tcW w:w="851" w:type="dxa"/>
          </w:tcPr>
          <w:p w:rsidR="00760B1B" w:rsidRPr="00760B1B" w:rsidRDefault="00760B1B" w:rsidP="00051379">
            <w:pPr>
              <w:pStyle w:val="TableRight"/>
              <w:spacing w:before="0" w:line="240" w:lineRule="auto"/>
              <w:jc w:val="center"/>
              <w:cnfStyle w:val="000000000000"/>
              <w:rPr>
                <w:rFonts w:ascii="Arial" w:hAnsi="Arial" w:cs="Arial"/>
                <w:color w:val="auto"/>
              </w:rPr>
            </w:pPr>
            <w:r w:rsidRPr="00760B1B">
              <w:rPr>
                <w:rFonts w:ascii="Arial" w:hAnsi="Arial" w:cs="Arial"/>
                <w:color w:val="auto"/>
              </w:rPr>
              <w:t>3</w:t>
            </w:r>
          </w:p>
        </w:tc>
        <w:tc>
          <w:tcPr>
            <w:cnfStyle w:val="000010000000"/>
            <w:tcW w:w="3827" w:type="dxa"/>
          </w:tcPr>
          <w:p w:rsidR="00760B1B" w:rsidRPr="00760B1B" w:rsidRDefault="00760B1B" w:rsidP="000401DE">
            <w:pPr>
              <w:pStyle w:val="TableText"/>
              <w:spacing w:before="0" w:line="240" w:lineRule="auto"/>
              <w:rPr>
                <w:rFonts w:ascii="Arial" w:hAnsi="Arial" w:cs="Arial"/>
                <w:color w:val="auto"/>
              </w:rPr>
            </w:pPr>
            <w:r w:rsidRPr="00760B1B">
              <w:rPr>
                <w:rFonts w:ascii="Arial" w:hAnsi="Arial" w:cs="Arial"/>
                <w:color w:val="auto"/>
              </w:rPr>
              <w:t>Other Bonds</w:t>
            </w:r>
          </w:p>
        </w:tc>
        <w:tc>
          <w:tcPr>
            <w:tcW w:w="1276" w:type="dxa"/>
          </w:tcPr>
          <w:p w:rsidR="00760B1B" w:rsidRPr="00760B1B" w:rsidRDefault="00097F9F" w:rsidP="00233D64">
            <w:pPr>
              <w:pStyle w:val="TableRight"/>
              <w:spacing w:before="0" w:line="240" w:lineRule="auto"/>
              <w:jc w:val="center"/>
              <w:cnfStyle w:val="000000000000"/>
              <w:rPr>
                <w:rFonts w:ascii="Arial" w:hAnsi="Arial" w:cs="Arial"/>
                <w:color w:val="auto"/>
              </w:rPr>
            </w:pPr>
            <w:r>
              <w:rPr>
                <w:rFonts w:ascii="Arial" w:hAnsi="Arial" w:cs="Arial"/>
                <w:color w:val="auto"/>
              </w:rPr>
              <w:t>8.5</w:t>
            </w:r>
          </w:p>
        </w:tc>
        <w:tc>
          <w:tcPr>
            <w:cnfStyle w:val="000010000000"/>
            <w:tcW w:w="992" w:type="dxa"/>
          </w:tcPr>
          <w:p w:rsidR="00760B1B" w:rsidRPr="00760B1B" w:rsidRDefault="00097F9F" w:rsidP="00233D64">
            <w:pPr>
              <w:pStyle w:val="TableRight"/>
              <w:spacing w:before="0" w:line="240" w:lineRule="auto"/>
              <w:jc w:val="center"/>
              <w:rPr>
                <w:rFonts w:ascii="Arial" w:hAnsi="Arial" w:cs="Arial"/>
                <w:color w:val="auto"/>
              </w:rPr>
            </w:pPr>
            <w:r>
              <w:rPr>
                <w:rFonts w:ascii="Arial" w:hAnsi="Arial" w:cs="Arial"/>
                <w:color w:val="auto"/>
              </w:rPr>
              <w:t>4</w:t>
            </w:r>
          </w:p>
        </w:tc>
      </w:tr>
      <w:tr w:rsidR="00760B1B" w:rsidRPr="00760B1B" w:rsidTr="00B206FD">
        <w:trPr>
          <w:cnfStyle w:val="000000100000"/>
          <w:trHeight w:val="60"/>
        </w:trPr>
        <w:tc>
          <w:tcPr>
            <w:cnfStyle w:val="000010000000"/>
            <w:tcW w:w="1276" w:type="dxa"/>
          </w:tcPr>
          <w:p w:rsidR="00760B1B" w:rsidRPr="00760B1B" w:rsidRDefault="00760B1B" w:rsidP="00051379">
            <w:pPr>
              <w:pStyle w:val="TableRight"/>
              <w:spacing w:before="0" w:line="240" w:lineRule="auto"/>
              <w:jc w:val="center"/>
              <w:rPr>
                <w:rFonts w:ascii="Arial" w:hAnsi="Arial" w:cs="Arial"/>
                <w:color w:val="auto"/>
              </w:rPr>
            </w:pPr>
            <w:r w:rsidRPr="00760B1B">
              <w:rPr>
                <w:rFonts w:ascii="Arial" w:hAnsi="Arial" w:cs="Arial"/>
                <w:color w:val="auto"/>
              </w:rPr>
              <w:t>4.3</w:t>
            </w:r>
          </w:p>
        </w:tc>
        <w:tc>
          <w:tcPr>
            <w:tcW w:w="851" w:type="dxa"/>
          </w:tcPr>
          <w:p w:rsidR="00760B1B" w:rsidRPr="00760B1B" w:rsidRDefault="00760B1B" w:rsidP="00051379">
            <w:pPr>
              <w:pStyle w:val="TableRight"/>
              <w:spacing w:before="0" w:line="240" w:lineRule="auto"/>
              <w:jc w:val="center"/>
              <w:cnfStyle w:val="000000100000"/>
              <w:rPr>
                <w:rFonts w:ascii="Arial" w:hAnsi="Arial" w:cs="Arial"/>
                <w:color w:val="auto"/>
              </w:rPr>
            </w:pPr>
            <w:r w:rsidRPr="00760B1B">
              <w:rPr>
                <w:rFonts w:ascii="Arial" w:hAnsi="Arial" w:cs="Arial"/>
                <w:color w:val="auto"/>
              </w:rPr>
              <w:t>2</w:t>
            </w:r>
          </w:p>
        </w:tc>
        <w:tc>
          <w:tcPr>
            <w:cnfStyle w:val="000010000000"/>
            <w:tcW w:w="3827" w:type="dxa"/>
          </w:tcPr>
          <w:p w:rsidR="00760B1B" w:rsidRPr="00760B1B" w:rsidRDefault="00760B1B" w:rsidP="000401DE">
            <w:pPr>
              <w:pStyle w:val="TableText"/>
              <w:spacing w:before="0" w:line="240" w:lineRule="auto"/>
              <w:rPr>
                <w:rFonts w:ascii="Arial" w:hAnsi="Arial" w:cs="Arial"/>
                <w:color w:val="auto"/>
              </w:rPr>
            </w:pPr>
            <w:r w:rsidRPr="00760B1B">
              <w:rPr>
                <w:rFonts w:ascii="Arial" w:hAnsi="Arial" w:cs="Arial"/>
                <w:color w:val="auto"/>
              </w:rPr>
              <w:t>Alternative Assets</w:t>
            </w:r>
          </w:p>
        </w:tc>
        <w:tc>
          <w:tcPr>
            <w:tcW w:w="1276" w:type="dxa"/>
          </w:tcPr>
          <w:p w:rsidR="00760B1B" w:rsidRPr="00760B1B" w:rsidRDefault="00097F9F" w:rsidP="00214ED1">
            <w:pPr>
              <w:pStyle w:val="TableRight"/>
              <w:spacing w:before="0" w:line="240" w:lineRule="auto"/>
              <w:jc w:val="center"/>
              <w:cnfStyle w:val="000000100000"/>
              <w:rPr>
                <w:rFonts w:ascii="Arial" w:hAnsi="Arial" w:cs="Arial"/>
                <w:color w:val="auto"/>
              </w:rPr>
            </w:pPr>
            <w:r>
              <w:rPr>
                <w:rFonts w:ascii="Arial" w:hAnsi="Arial" w:cs="Arial"/>
                <w:color w:val="auto"/>
              </w:rPr>
              <w:t>13.5</w:t>
            </w:r>
          </w:p>
        </w:tc>
        <w:tc>
          <w:tcPr>
            <w:cnfStyle w:val="000010000000"/>
            <w:tcW w:w="992" w:type="dxa"/>
          </w:tcPr>
          <w:p w:rsidR="00760B1B" w:rsidRPr="00760B1B" w:rsidRDefault="00097F9F" w:rsidP="00233D64">
            <w:pPr>
              <w:pStyle w:val="TableRight"/>
              <w:spacing w:before="0" w:line="240" w:lineRule="auto"/>
              <w:jc w:val="center"/>
              <w:rPr>
                <w:rFonts w:ascii="Arial" w:hAnsi="Arial" w:cs="Arial"/>
                <w:color w:val="auto"/>
              </w:rPr>
            </w:pPr>
            <w:r>
              <w:rPr>
                <w:rFonts w:ascii="Arial" w:hAnsi="Arial" w:cs="Arial"/>
                <w:color w:val="auto"/>
              </w:rPr>
              <w:t>6</w:t>
            </w:r>
          </w:p>
        </w:tc>
      </w:tr>
      <w:tr w:rsidR="00760B1B" w:rsidRPr="00760B1B" w:rsidTr="00B206FD">
        <w:trPr>
          <w:trHeight w:val="60"/>
        </w:trPr>
        <w:tc>
          <w:tcPr>
            <w:cnfStyle w:val="000010000000"/>
            <w:tcW w:w="1276" w:type="dxa"/>
          </w:tcPr>
          <w:p w:rsidR="00760B1B" w:rsidRPr="00760B1B" w:rsidRDefault="00760B1B" w:rsidP="00051379">
            <w:pPr>
              <w:pStyle w:val="TableRight"/>
              <w:spacing w:line="240" w:lineRule="auto"/>
              <w:jc w:val="center"/>
              <w:rPr>
                <w:rFonts w:ascii="Arial" w:hAnsi="Arial" w:cs="Arial"/>
                <w:b/>
                <w:color w:val="auto"/>
              </w:rPr>
            </w:pPr>
            <w:r w:rsidRPr="00760B1B">
              <w:rPr>
                <w:rFonts w:ascii="Arial" w:hAnsi="Arial" w:cs="Arial"/>
                <w:b/>
                <w:color w:val="auto"/>
              </w:rPr>
              <w:t>244.1</w:t>
            </w:r>
          </w:p>
        </w:tc>
        <w:tc>
          <w:tcPr>
            <w:tcW w:w="851" w:type="dxa"/>
          </w:tcPr>
          <w:p w:rsidR="00760B1B" w:rsidRPr="00760B1B" w:rsidRDefault="00760B1B" w:rsidP="00051379">
            <w:pPr>
              <w:pStyle w:val="TableRight"/>
              <w:spacing w:line="240" w:lineRule="auto"/>
              <w:jc w:val="center"/>
              <w:cnfStyle w:val="000000000000"/>
              <w:rPr>
                <w:rFonts w:ascii="Arial" w:hAnsi="Arial" w:cs="Arial"/>
                <w:b/>
                <w:color w:val="auto"/>
              </w:rPr>
            </w:pPr>
            <w:r w:rsidRPr="00760B1B">
              <w:rPr>
                <w:rFonts w:ascii="Arial" w:hAnsi="Arial" w:cs="Arial"/>
                <w:b/>
                <w:color w:val="auto"/>
              </w:rPr>
              <w:t>100</w:t>
            </w:r>
          </w:p>
        </w:tc>
        <w:tc>
          <w:tcPr>
            <w:cnfStyle w:val="000010000000"/>
            <w:tcW w:w="3827" w:type="dxa"/>
          </w:tcPr>
          <w:p w:rsidR="00760B1B" w:rsidRPr="00760B1B" w:rsidRDefault="00760B1B" w:rsidP="000401DE">
            <w:pPr>
              <w:pStyle w:val="NoParagraphStyle"/>
              <w:spacing w:line="240" w:lineRule="auto"/>
              <w:textAlignment w:val="auto"/>
              <w:rPr>
                <w:rFonts w:ascii="Arial" w:hAnsi="Arial" w:cs="Arial"/>
                <w:b/>
                <w:color w:val="auto"/>
                <w:sz w:val="20"/>
                <w:szCs w:val="20"/>
              </w:rPr>
            </w:pPr>
          </w:p>
        </w:tc>
        <w:tc>
          <w:tcPr>
            <w:tcW w:w="1276" w:type="dxa"/>
          </w:tcPr>
          <w:p w:rsidR="00760B1B" w:rsidRPr="00760B1B" w:rsidRDefault="00097F9F" w:rsidP="00233D64">
            <w:pPr>
              <w:pStyle w:val="TableRight"/>
              <w:spacing w:line="240" w:lineRule="auto"/>
              <w:jc w:val="center"/>
              <w:cnfStyle w:val="000000000000"/>
              <w:rPr>
                <w:rFonts w:ascii="Arial" w:hAnsi="Arial" w:cs="Arial"/>
                <w:b/>
                <w:color w:val="auto"/>
              </w:rPr>
            </w:pPr>
            <w:r>
              <w:rPr>
                <w:rFonts w:ascii="Arial" w:hAnsi="Arial" w:cs="Arial"/>
                <w:b/>
                <w:color w:val="auto"/>
              </w:rPr>
              <w:t>239.8</w:t>
            </w:r>
          </w:p>
        </w:tc>
        <w:tc>
          <w:tcPr>
            <w:cnfStyle w:val="000010000000"/>
            <w:tcW w:w="992" w:type="dxa"/>
          </w:tcPr>
          <w:p w:rsidR="00760B1B" w:rsidRPr="00760B1B" w:rsidRDefault="00097F9F" w:rsidP="00233D64">
            <w:pPr>
              <w:pStyle w:val="TableRight"/>
              <w:spacing w:line="240" w:lineRule="auto"/>
              <w:jc w:val="center"/>
              <w:rPr>
                <w:rFonts w:ascii="Arial" w:hAnsi="Arial" w:cs="Arial"/>
                <w:b/>
                <w:color w:val="auto"/>
              </w:rPr>
            </w:pPr>
            <w:r>
              <w:rPr>
                <w:rFonts w:ascii="Arial" w:hAnsi="Arial" w:cs="Arial"/>
                <w:b/>
                <w:color w:val="auto"/>
              </w:rPr>
              <w:t>100</w:t>
            </w:r>
          </w:p>
        </w:tc>
      </w:tr>
    </w:tbl>
    <w:p w:rsidR="00407D28" w:rsidRPr="00760B1B" w:rsidRDefault="00407D28" w:rsidP="007849CA">
      <w:pPr>
        <w:autoSpaceDE w:val="0"/>
        <w:autoSpaceDN w:val="0"/>
        <w:adjustRightInd w:val="0"/>
        <w:spacing w:after="0" w:line="240" w:lineRule="auto"/>
        <w:ind w:left="567"/>
        <w:rPr>
          <w:rFonts w:eastAsia="Times New Roman" w:cs="Arial"/>
          <w:color w:val="auto"/>
          <w:sz w:val="20"/>
          <w:szCs w:val="20"/>
        </w:rPr>
      </w:pPr>
    </w:p>
    <w:p w:rsidR="00AB0ED3" w:rsidRPr="00760B1B" w:rsidRDefault="00AB0ED3" w:rsidP="007849CA">
      <w:pPr>
        <w:autoSpaceDE w:val="0"/>
        <w:autoSpaceDN w:val="0"/>
        <w:adjustRightInd w:val="0"/>
        <w:spacing w:after="0" w:line="240" w:lineRule="auto"/>
        <w:ind w:left="567"/>
        <w:rPr>
          <w:rFonts w:eastAsia="Times New Roman" w:cs="Arial"/>
          <w:color w:val="auto"/>
          <w:sz w:val="20"/>
          <w:szCs w:val="20"/>
        </w:rPr>
      </w:pPr>
      <w:r w:rsidRPr="00760B1B">
        <w:rPr>
          <w:rFonts w:eastAsia="Times New Roman" w:cs="Arial"/>
          <w:color w:val="auto"/>
          <w:sz w:val="20"/>
          <w:szCs w:val="20"/>
        </w:rPr>
        <w:t xml:space="preserve">Further </w:t>
      </w:r>
      <w:r w:rsidR="00A65CD1" w:rsidRPr="00760B1B">
        <w:rPr>
          <w:rFonts w:eastAsia="Times New Roman" w:cs="Arial"/>
          <w:color w:val="auto"/>
          <w:sz w:val="20"/>
          <w:szCs w:val="20"/>
        </w:rPr>
        <w:t>information on</w:t>
      </w:r>
      <w:r w:rsidRPr="00760B1B">
        <w:rPr>
          <w:rFonts w:eastAsia="Times New Roman" w:cs="Arial"/>
          <w:color w:val="auto"/>
          <w:sz w:val="20"/>
          <w:szCs w:val="20"/>
        </w:rPr>
        <w:t xml:space="preserve"> the investment activity is available at:-</w:t>
      </w:r>
    </w:p>
    <w:p w:rsidR="0058553F" w:rsidRPr="00760B1B" w:rsidRDefault="0058553F" w:rsidP="007849CA">
      <w:pPr>
        <w:autoSpaceDE w:val="0"/>
        <w:autoSpaceDN w:val="0"/>
        <w:adjustRightInd w:val="0"/>
        <w:spacing w:after="0" w:line="240" w:lineRule="auto"/>
        <w:ind w:left="567"/>
        <w:rPr>
          <w:rFonts w:eastAsia="Times New Roman" w:cs="Arial"/>
          <w:color w:val="auto"/>
          <w:sz w:val="20"/>
          <w:szCs w:val="20"/>
        </w:rPr>
      </w:pPr>
    </w:p>
    <w:p w:rsidR="00407D28" w:rsidRPr="00760B1B" w:rsidRDefault="00AB0ED3" w:rsidP="007849CA">
      <w:pPr>
        <w:autoSpaceDE w:val="0"/>
        <w:autoSpaceDN w:val="0"/>
        <w:adjustRightInd w:val="0"/>
        <w:spacing w:after="0" w:line="240" w:lineRule="auto"/>
        <w:ind w:left="567"/>
        <w:rPr>
          <w:rFonts w:eastAsia="Times New Roman" w:cs="Arial"/>
          <w:color w:val="auto"/>
          <w:sz w:val="20"/>
          <w:szCs w:val="20"/>
        </w:rPr>
      </w:pPr>
      <w:r w:rsidRPr="00760B1B">
        <w:rPr>
          <w:rFonts w:eastAsia="Times New Roman" w:cs="Arial"/>
          <w:color w:val="auto"/>
          <w:sz w:val="20"/>
          <w:szCs w:val="20"/>
        </w:rPr>
        <w:t>http://www.peninsulapensions.org.uk/lgps/pension-fund-investments/devon-county-council-investments/devon-fund-key-documents/</w:t>
      </w:r>
    </w:p>
    <w:p w:rsidR="00653F9F" w:rsidRPr="00760B1B" w:rsidRDefault="00653F9F" w:rsidP="00653F9F">
      <w:pPr>
        <w:autoSpaceDE w:val="0"/>
        <w:autoSpaceDN w:val="0"/>
        <w:adjustRightInd w:val="0"/>
        <w:spacing w:after="0" w:line="240" w:lineRule="auto"/>
        <w:rPr>
          <w:rFonts w:ascii="Calibri" w:hAnsi="Calibri" w:cs="Calibri"/>
          <w:color w:val="auto"/>
          <w:sz w:val="20"/>
          <w:szCs w:val="20"/>
          <w:lang w:eastAsia="en-GB"/>
        </w:rPr>
      </w:pPr>
    </w:p>
    <w:p w:rsidR="00A754EB" w:rsidRPr="00AA67C7" w:rsidRDefault="007E33E1" w:rsidP="00B206FD">
      <w:pPr>
        <w:autoSpaceDE w:val="0"/>
        <w:autoSpaceDN w:val="0"/>
        <w:adjustRightInd w:val="0"/>
        <w:spacing w:after="0" w:line="240" w:lineRule="auto"/>
        <w:rPr>
          <w:rFonts w:eastAsia="Times New Roman"/>
          <w:b/>
          <w:color w:val="auto"/>
        </w:rPr>
      </w:pPr>
      <w:r w:rsidRPr="00AA67C7">
        <w:rPr>
          <w:rFonts w:eastAsia="Times New Roman"/>
          <w:b/>
          <w:color w:val="auto"/>
        </w:rPr>
        <w:t>38.4 Actuarial</w:t>
      </w:r>
      <w:r w:rsidR="004A563D" w:rsidRPr="00AA67C7">
        <w:rPr>
          <w:rFonts w:eastAsia="Times New Roman"/>
          <w:b/>
          <w:color w:val="auto"/>
        </w:rPr>
        <w:t xml:space="preserve"> Assumptions</w:t>
      </w:r>
    </w:p>
    <w:p w:rsidR="00A754EB" w:rsidRPr="00D42E0B" w:rsidRDefault="00A754EB" w:rsidP="000401DE">
      <w:pPr>
        <w:pStyle w:val="ExampleSub"/>
        <w:keepNext w:val="0"/>
        <w:keepLines w:val="0"/>
        <w:spacing w:before="0" w:line="240" w:lineRule="auto"/>
        <w:ind w:left="0"/>
        <w:rPr>
          <w:rFonts w:ascii="Arial" w:hAnsi="Arial" w:cs="Arial"/>
          <w:b w:val="0"/>
          <w:bCs w:val="0"/>
          <w:color w:val="548DD4" w:themeColor="text2" w:themeTint="99"/>
          <w:sz w:val="20"/>
          <w:szCs w:val="20"/>
        </w:rPr>
      </w:pPr>
    </w:p>
    <w:p w:rsidR="00164AC3" w:rsidRPr="00AA67C7" w:rsidRDefault="00164AC3" w:rsidP="00B206FD">
      <w:pPr>
        <w:pStyle w:val="CodeNotesExampleText"/>
        <w:widowControl w:val="0"/>
        <w:ind w:left="567"/>
        <w:rPr>
          <w:rFonts w:cs="Arial"/>
          <w:b/>
          <w:color w:val="auto"/>
          <w:sz w:val="20"/>
          <w:szCs w:val="20"/>
          <w:lang w:eastAsia="en-GB"/>
        </w:rPr>
      </w:pPr>
      <w:r w:rsidRPr="00AA67C7">
        <w:rPr>
          <w:rFonts w:cs="Arial"/>
          <w:b/>
          <w:color w:val="auto"/>
          <w:sz w:val="20"/>
          <w:szCs w:val="20"/>
          <w:lang w:eastAsia="en-GB"/>
        </w:rPr>
        <w:t>Demographi</w:t>
      </w:r>
      <w:r w:rsidR="00940D12" w:rsidRPr="00AA67C7">
        <w:rPr>
          <w:rFonts w:cs="Arial"/>
          <w:b/>
          <w:color w:val="auto"/>
          <w:sz w:val="20"/>
          <w:szCs w:val="20"/>
          <w:lang w:eastAsia="en-GB"/>
        </w:rPr>
        <w:t>c and</w:t>
      </w:r>
      <w:r w:rsidR="002B2DB1" w:rsidRPr="00AA67C7">
        <w:rPr>
          <w:rFonts w:cs="Arial"/>
          <w:b/>
          <w:color w:val="auto"/>
          <w:sz w:val="20"/>
          <w:szCs w:val="20"/>
          <w:lang w:eastAsia="en-GB"/>
        </w:rPr>
        <w:t xml:space="preserve"> </w:t>
      </w:r>
      <w:r w:rsidRPr="00AA67C7">
        <w:rPr>
          <w:rFonts w:cs="Arial"/>
          <w:b/>
          <w:color w:val="auto"/>
          <w:sz w:val="20"/>
          <w:szCs w:val="20"/>
          <w:lang w:eastAsia="en-GB"/>
        </w:rPr>
        <w:t>Statistical Assumptions</w:t>
      </w:r>
    </w:p>
    <w:p w:rsidR="007E4359" w:rsidRPr="00AA67C7" w:rsidRDefault="007E4359" w:rsidP="00B206FD">
      <w:pPr>
        <w:pStyle w:val="CodeNotesExampleText"/>
        <w:widowControl w:val="0"/>
        <w:ind w:left="567"/>
        <w:rPr>
          <w:rFonts w:cs="Arial"/>
          <w:color w:val="auto"/>
          <w:sz w:val="20"/>
          <w:szCs w:val="20"/>
          <w:lang w:eastAsia="en-GB"/>
        </w:rPr>
      </w:pPr>
    </w:p>
    <w:p w:rsidR="007E4359" w:rsidRPr="00AA67C7" w:rsidRDefault="002B65DD" w:rsidP="00B206FD">
      <w:pPr>
        <w:autoSpaceDE w:val="0"/>
        <w:autoSpaceDN w:val="0"/>
        <w:adjustRightInd w:val="0"/>
        <w:spacing w:after="0" w:line="240" w:lineRule="auto"/>
        <w:ind w:left="567"/>
        <w:rPr>
          <w:rFonts w:eastAsia="Times New Roman" w:cs="Arial"/>
          <w:color w:val="auto"/>
          <w:sz w:val="20"/>
          <w:szCs w:val="20"/>
          <w:lang w:eastAsia="en-GB"/>
        </w:rPr>
      </w:pPr>
      <w:r w:rsidRPr="00AA67C7">
        <w:rPr>
          <w:rFonts w:eastAsia="Times New Roman" w:cs="Arial"/>
          <w:color w:val="auto"/>
          <w:sz w:val="20"/>
          <w:szCs w:val="20"/>
          <w:lang w:eastAsia="en-GB"/>
        </w:rPr>
        <w:t xml:space="preserve">The actuary has </w:t>
      </w:r>
      <w:r w:rsidR="007E4359" w:rsidRPr="00AA67C7">
        <w:rPr>
          <w:rFonts w:eastAsia="Times New Roman" w:cs="Arial"/>
          <w:color w:val="auto"/>
          <w:sz w:val="20"/>
          <w:szCs w:val="20"/>
          <w:lang w:eastAsia="en-GB"/>
        </w:rPr>
        <w:t xml:space="preserve">adopted a set of demographic assumptions that are consistent with those used for the funding valuation as at 31 March 2013. The post retirement mortality tables adopted are the S1PA tables with a multiplier of 100% for males and 90% for females. These base tables are then projected using the CMI 2012 Model, allowing for a long term rate of improvement of 1.5% per annum. </w:t>
      </w:r>
    </w:p>
    <w:p w:rsidR="00231640" w:rsidRPr="00D42E0B" w:rsidRDefault="00231640" w:rsidP="00B206FD">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7E4359" w:rsidRPr="00B6365A" w:rsidRDefault="007E4359" w:rsidP="00B206FD">
      <w:pPr>
        <w:pStyle w:val="CodeNotesExampleText"/>
        <w:widowControl w:val="0"/>
        <w:ind w:left="567"/>
        <w:rPr>
          <w:rFonts w:cs="Arial"/>
          <w:color w:val="auto"/>
          <w:sz w:val="20"/>
          <w:szCs w:val="20"/>
          <w:lang w:eastAsia="en-GB"/>
        </w:rPr>
      </w:pPr>
      <w:r w:rsidRPr="00B6365A">
        <w:rPr>
          <w:rFonts w:cs="Arial"/>
          <w:color w:val="auto"/>
          <w:sz w:val="20"/>
          <w:szCs w:val="20"/>
          <w:lang w:eastAsia="en-GB"/>
        </w:rPr>
        <w:t>The assumed life expectations from age 65 are;</w:t>
      </w:r>
    </w:p>
    <w:p w:rsidR="007E4359" w:rsidRPr="00B6365A" w:rsidRDefault="007E4359" w:rsidP="00164AC3">
      <w:pPr>
        <w:pStyle w:val="CodeNotesExampleText"/>
        <w:widowControl w:val="0"/>
        <w:ind w:left="420"/>
        <w:rPr>
          <w:rFonts w:cs="Arial"/>
          <w:color w:val="auto"/>
          <w:sz w:val="20"/>
          <w:szCs w:val="20"/>
          <w:lang w:eastAsia="en-GB"/>
        </w:rPr>
      </w:pPr>
    </w:p>
    <w:tbl>
      <w:tblPr>
        <w:tblStyle w:val="ListTable3-Accent51"/>
        <w:tblW w:w="8647" w:type="dxa"/>
        <w:tblInd w:w="675" w:type="dxa"/>
        <w:tblLayout w:type="fixed"/>
        <w:tblLook w:val="0000"/>
      </w:tblPr>
      <w:tblGrid>
        <w:gridCol w:w="4253"/>
        <w:gridCol w:w="992"/>
        <w:gridCol w:w="1134"/>
        <w:gridCol w:w="1134"/>
        <w:gridCol w:w="1134"/>
      </w:tblGrid>
      <w:tr w:rsidR="00B6365A" w:rsidRPr="00B6365A" w:rsidTr="008C785E">
        <w:trPr>
          <w:cnfStyle w:val="000000100000"/>
          <w:trHeight w:val="60"/>
        </w:trPr>
        <w:tc>
          <w:tcPr>
            <w:cnfStyle w:val="000010000000"/>
            <w:tcW w:w="4253" w:type="dxa"/>
            <w:shd w:val="clear" w:color="auto" w:fill="4BACC6" w:themeFill="accent5"/>
          </w:tcPr>
          <w:p w:rsidR="00B6365A" w:rsidRPr="00B6365A" w:rsidRDefault="00B6365A" w:rsidP="00B206FD">
            <w:pPr>
              <w:pStyle w:val="TableText"/>
              <w:rPr>
                <w:rFonts w:ascii="Arial" w:hAnsi="Arial" w:cs="Arial"/>
                <w:b/>
                <w:color w:val="auto"/>
              </w:rPr>
            </w:pPr>
            <w:r w:rsidRPr="00B6365A">
              <w:rPr>
                <w:rFonts w:ascii="Arial" w:hAnsi="Arial" w:cs="Arial"/>
                <w:b/>
                <w:color w:val="auto"/>
              </w:rPr>
              <w:t>Mortality assumptions:</w:t>
            </w:r>
          </w:p>
        </w:tc>
        <w:tc>
          <w:tcPr>
            <w:tcW w:w="992" w:type="dxa"/>
            <w:shd w:val="clear" w:color="auto" w:fill="4BACC6" w:themeFill="accent5"/>
          </w:tcPr>
          <w:p w:rsidR="00B6365A" w:rsidRPr="00B6365A" w:rsidRDefault="00B6365A" w:rsidP="00051379">
            <w:pPr>
              <w:pStyle w:val="NoParagraphStyle"/>
              <w:spacing w:line="240" w:lineRule="auto"/>
              <w:jc w:val="center"/>
              <w:textAlignment w:val="auto"/>
              <w:cnfStyle w:val="000000100000"/>
              <w:rPr>
                <w:rFonts w:ascii="Arial" w:hAnsi="Arial" w:cs="Arial"/>
                <w:color w:val="auto"/>
                <w:sz w:val="20"/>
                <w:szCs w:val="20"/>
              </w:rPr>
            </w:pPr>
            <w:r w:rsidRPr="00B6365A">
              <w:rPr>
                <w:rFonts w:ascii="Arial" w:hAnsi="Arial" w:cs="Arial"/>
                <w:color w:val="auto"/>
                <w:sz w:val="20"/>
                <w:szCs w:val="20"/>
              </w:rPr>
              <w:t>2012/13</w:t>
            </w:r>
          </w:p>
        </w:tc>
        <w:tc>
          <w:tcPr>
            <w:cnfStyle w:val="000010000000"/>
            <w:tcW w:w="1134" w:type="dxa"/>
            <w:shd w:val="clear" w:color="auto" w:fill="4BACC6" w:themeFill="accent5"/>
          </w:tcPr>
          <w:p w:rsidR="00B6365A" w:rsidRPr="00B6365A" w:rsidRDefault="00B6365A" w:rsidP="00051379">
            <w:pPr>
              <w:pStyle w:val="NoParagraphStyle"/>
              <w:spacing w:line="240" w:lineRule="auto"/>
              <w:jc w:val="center"/>
              <w:textAlignment w:val="auto"/>
              <w:rPr>
                <w:rFonts w:ascii="Arial" w:hAnsi="Arial" w:cs="Arial"/>
                <w:color w:val="auto"/>
                <w:sz w:val="20"/>
                <w:szCs w:val="20"/>
              </w:rPr>
            </w:pPr>
            <w:r w:rsidRPr="00B6365A">
              <w:rPr>
                <w:rFonts w:ascii="Arial" w:hAnsi="Arial" w:cs="Arial"/>
                <w:color w:val="auto"/>
                <w:sz w:val="20"/>
                <w:szCs w:val="20"/>
              </w:rPr>
              <w:t>2013/14</w:t>
            </w:r>
          </w:p>
        </w:tc>
        <w:tc>
          <w:tcPr>
            <w:tcW w:w="1134" w:type="dxa"/>
            <w:shd w:val="clear" w:color="auto" w:fill="4BACC6" w:themeFill="accent5"/>
          </w:tcPr>
          <w:p w:rsidR="00B6365A" w:rsidRPr="00B6365A" w:rsidRDefault="00B6365A" w:rsidP="00051379">
            <w:pPr>
              <w:pStyle w:val="NoParagraphStyle"/>
              <w:spacing w:line="240" w:lineRule="auto"/>
              <w:jc w:val="center"/>
              <w:textAlignment w:val="auto"/>
              <w:cnfStyle w:val="000000100000"/>
              <w:rPr>
                <w:rFonts w:ascii="Arial" w:hAnsi="Arial" w:cs="Arial"/>
                <w:color w:val="auto"/>
                <w:sz w:val="20"/>
                <w:szCs w:val="20"/>
              </w:rPr>
            </w:pPr>
            <w:r w:rsidRPr="00B6365A">
              <w:rPr>
                <w:rFonts w:ascii="Arial" w:hAnsi="Arial" w:cs="Arial"/>
                <w:color w:val="auto"/>
                <w:sz w:val="20"/>
                <w:szCs w:val="20"/>
              </w:rPr>
              <w:t>2014/15</w:t>
            </w:r>
          </w:p>
        </w:tc>
        <w:tc>
          <w:tcPr>
            <w:cnfStyle w:val="000010000000"/>
            <w:tcW w:w="1134" w:type="dxa"/>
            <w:shd w:val="clear" w:color="auto" w:fill="4BACC6" w:themeFill="accent5"/>
          </w:tcPr>
          <w:p w:rsidR="00B6365A" w:rsidRPr="00B6365A" w:rsidRDefault="00B6365A" w:rsidP="00B6365A">
            <w:pPr>
              <w:pStyle w:val="NoParagraphStyle"/>
              <w:spacing w:line="240" w:lineRule="auto"/>
              <w:jc w:val="center"/>
              <w:textAlignment w:val="auto"/>
              <w:rPr>
                <w:rFonts w:ascii="Arial" w:hAnsi="Arial" w:cs="Arial"/>
                <w:b/>
                <w:color w:val="auto"/>
                <w:sz w:val="20"/>
                <w:szCs w:val="20"/>
              </w:rPr>
            </w:pPr>
            <w:r w:rsidRPr="00B6365A">
              <w:rPr>
                <w:rFonts w:ascii="Arial" w:hAnsi="Arial" w:cs="Arial"/>
                <w:b/>
                <w:color w:val="auto"/>
                <w:sz w:val="20"/>
                <w:szCs w:val="20"/>
              </w:rPr>
              <w:t>2015/16</w:t>
            </w:r>
          </w:p>
        </w:tc>
      </w:tr>
      <w:tr w:rsidR="00B6365A" w:rsidRPr="00B6365A" w:rsidTr="008C785E">
        <w:trPr>
          <w:trHeight w:val="60"/>
        </w:trPr>
        <w:tc>
          <w:tcPr>
            <w:cnfStyle w:val="000010000000"/>
            <w:tcW w:w="4253" w:type="dxa"/>
          </w:tcPr>
          <w:p w:rsidR="00B6365A" w:rsidRPr="00B6365A" w:rsidRDefault="00B6365A" w:rsidP="00B206FD">
            <w:pPr>
              <w:pStyle w:val="TableText"/>
              <w:rPr>
                <w:rFonts w:ascii="Arial" w:hAnsi="Arial" w:cs="Arial"/>
                <w:color w:val="auto"/>
              </w:rPr>
            </w:pPr>
            <w:r w:rsidRPr="00B6365A">
              <w:rPr>
                <w:rFonts w:ascii="Arial" w:hAnsi="Arial" w:cs="Arial"/>
                <w:color w:val="auto"/>
              </w:rPr>
              <w:t>Longevity from age 65: retiring today</w:t>
            </w:r>
          </w:p>
        </w:tc>
        <w:tc>
          <w:tcPr>
            <w:tcW w:w="992" w:type="dxa"/>
          </w:tcPr>
          <w:p w:rsidR="00B6365A" w:rsidRPr="00B6365A" w:rsidRDefault="00B6365A" w:rsidP="00B206FD">
            <w:pPr>
              <w:pStyle w:val="NoParagraphStyle"/>
              <w:spacing w:line="240" w:lineRule="auto"/>
              <w:jc w:val="center"/>
              <w:textAlignment w:val="auto"/>
              <w:cnfStyle w:val="000000000000"/>
              <w:rPr>
                <w:rFonts w:ascii="Arial" w:hAnsi="Arial" w:cs="Arial"/>
                <w:color w:val="auto"/>
                <w:sz w:val="20"/>
                <w:szCs w:val="20"/>
              </w:rPr>
            </w:pPr>
          </w:p>
        </w:tc>
        <w:tc>
          <w:tcPr>
            <w:cnfStyle w:val="000010000000"/>
            <w:tcW w:w="1134" w:type="dxa"/>
          </w:tcPr>
          <w:p w:rsidR="00B6365A" w:rsidRPr="00B6365A" w:rsidRDefault="00B6365A" w:rsidP="00B206FD">
            <w:pPr>
              <w:pStyle w:val="NoParagraphStyle"/>
              <w:spacing w:line="240" w:lineRule="auto"/>
              <w:jc w:val="center"/>
              <w:textAlignment w:val="auto"/>
              <w:rPr>
                <w:rFonts w:ascii="Arial" w:hAnsi="Arial" w:cs="Arial"/>
                <w:color w:val="auto"/>
                <w:sz w:val="20"/>
                <w:szCs w:val="20"/>
              </w:rPr>
            </w:pPr>
          </w:p>
        </w:tc>
        <w:tc>
          <w:tcPr>
            <w:tcW w:w="1134" w:type="dxa"/>
          </w:tcPr>
          <w:p w:rsidR="00B6365A" w:rsidRPr="00B6365A" w:rsidRDefault="00B6365A" w:rsidP="00B206FD">
            <w:pPr>
              <w:pStyle w:val="NoParagraphStyle"/>
              <w:spacing w:line="240" w:lineRule="auto"/>
              <w:jc w:val="center"/>
              <w:textAlignment w:val="auto"/>
              <w:cnfStyle w:val="000000000000"/>
              <w:rPr>
                <w:rFonts w:ascii="Arial" w:hAnsi="Arial" w:cs="Arial"/>
                <w:color w:val="auto"/>
                <w:sz w:val="20"/>
                <w:szCs w:val="20"/>
              </w:rPr>
            </w:pPr>
          </w:p>
        </w:tc>
        <w:tc>
          <w:tcPr>
            <w:cnfStyle w:val="000010000000"/>
            <w:tcW w:w="1134" w:type="dxa"/>
          </w:tcPr>
          <w:p w:rsidR="00B6365A" w:rsidRPr="00B6365A" w:rsidRDefault="00B6365A" w:rsidP="00B206FD">
            <w:pPr>
              <w:pStyle w:val="NoParagraphStyle"/>
              <w:spacing w:line="240" w:lineRule="auto"/>
              <w:jc w:val="center"/>
              <w:textAlignment w:val="auto"/>
              <w:rPr>
                <w:rFonts w:ascii="Arial" w:hAnsi="Arial" w:cs="Arial"/>
                <w:color w:val="auto"/>
                <w:sz w:val="20"/>
                <w:szCs w:val="20"/>
              </w:rPr>
            </w:pPr>
          </w:p>
        </w:tc>
      </w:tr>
      <w:tr w:rsidR="00B6365A" w:rsidRPr="00B6365A" w:rsidTr="008C785E">
        <w:trPr>
          <w:cnfStyle w:val="000000100000"/>
          <w:trHeight w:val="60"/>
        </w:trPr>
        <w:tc>
          <w:tcPr>
            <w:cnfStyle w:val="000010000000"/>
            <w:tcW w:w="4253" w:type="dxa"/>
          </w:tcPr>
          <w:p w:rsidR="00B6365A" w:rsidRPr="00B6365A" w:rsidRDefault="00B6365A" w:rsidP="003E10DE">
            <w:pPr>
              <w:pStyle w:val="TableText"/>
              <w:numPr>
                <w:ilvl w:val="0"/>
                <w:numId w:val="26"/>
              </w:numPr>
              <w:spacing w:before="0" w:line="240" w:lineRule="auto"/>
              <w:rPr>
                <w:rFonts w:ascii="Arial" w:hAnsi="Arial" w:cs="Arial"/>
                <w:color w:val="auto"/>
              </w:rPr>
            </w:pPr>
            <w:r w:rsidRPr="00B6365A">
              <w:rPr>
                <w:rFonts w:ascii="Arial" w:hAnsi="Arial" w:cs="Arial"/>
                <w:color w:val="auto"/>
              </w:rPr>
              <w:t xml:space="preserve">Men </w:t>
            </w:r>
          </w:p>
        </w:tc>
        <w:tc>
          <w:tcPr>
            <w:tcW w:w="992" w:type="dxa"/>
          </w:tcPr>
          <w:p w:rsidR="00B6365A" w:rsidRPr="00B6365A" w:rsidRDefault="00B6365A" w:rsidP="00051379">
            <w:pPr>
              <w:pStyle w:val="TableRight"/>
              <w:spacing w:before="0" w:line="240" w:lineRule="auto"/>
              <w:jc w:val="center"/>
              <w:cnfStyle w:val="000000100000"/>
              <w:rPr>
                <w:rFonts w:ascii="Arial" w:hAnsi="Arial" w:cs="Arial"/>
                <w:color w:val="auto"/>
              </w:rPr>
            </w:pPr>
            <w:r w:rsidRPr="00B6365A">
              <w:rPr>
                <w:rFonts w:ascii="Arial" w:hAnsi="Arial" w:cs="Arial"/>
                <w:color w:val="auto"/>
              </w:rPr>
              <w:t>20.6 yrs</w:t>
            </w:r>
          </w:p>
        </w:tc>
        <w:tc>
          <w:tcPr>
            <w:cnfStyle w:val="000010000000"/>
            <w:tcW w:w="1134" w:type="dxa"/>
          </w:tcPr>
          <w:p w:rsidR="00B6365A" w:rsidRPr="00B6365A" w:rsidRDefault="00B6365A" w:rsidP="00051379">
            <w:pPr>
              <w:pStyle w:val="TableRight"/>
              <w:spacing w:before="0" w:line="240" w:lineRule="auto"/>
              <w:jc w:val="center"/>
              <w:rPr>
                <w:rFonts w:ascii="Arial" w:hAnsi="Arial" w:cs="Arial"/>
                <w:color w:val="auto"/>
              </w:rPr>
            </w:pPr>
            <w:r w:rsidRPr="00B6365A">
              <w:rPr>
                <w:rFonts w:ascii="Arial" w:hAnsi="Arial" w:cs="Arial"/>
                <w:color w:val="auto"/>
              </w:rPr>
              <w:t>22.7 yrs</w:t>
            </w:r>
          </w:p>
        </w:tc>
        <w:tc>
          <w:tcPr>
            <w:tcW w:w="1134" w:type="dxa"/>
          </w:tcPr>
          <w:p w:rsidR="00B6365A" w:rsidRPr="00B6365A" w:rsidRDefault="00B6365A" w:rsidP="00051379">
            <w:pPr>
              <w:pStyle w:val="TableRight"/>
              <w:spacing w:before="0" w:line="240" w:lineRule="auto"/>
              <w:jc w:val="center"/>
              <w:cnfStyle w:val="000000100000"/>
              <w:rPr>
                <w:rFonts w:ascii="Arial" w:hAnsi="Arial" w:cs="Arial"/>
                <w:color w:val="auto"/>
              </w:rPr>
            </w:pPr>
            <w:r w:rsidRPr="00B6365A">
              <w:rPr>
                <w:rFonts w:ascii="Arial" w:hAnsi="Arial" w:cs="Arial"/>
                <w:color w:val="auto"/>
              </w:rPr>
              <w:t>22.8 yrs</w:t>
            </w:r>
          </w:p>
        </w:tc>
        <w:tc>
          <w:tcPr>
            <w:cnfStyle w:val="000010000000"/>
            <w:tcW w:w="1134" w:type="dxa"/>
          </w:tcPr>
          <w:p w:rsidR="00B6365A" w:rsidRPr="00B6365A" w:rsidRDefault="003C33D4" w:rsidP="00B206FD">
            <w:pPr>
              <w:pStyle w:val="TableRight"/>
              <w:spacing w:before="0" w:line="240" w:lineRule="auto"/>
              <w:jc w:val="center"/>
              <w:rPr>
                <w:rFonts w:ascii="Arial" w:hAnsi="Arial" w:cs="Arial"/>
                <w:b/>
                <w:color w:val="auto"/>
              </w:rPr>
            </w:pPr>
            <w:r>
              <w:rPr>
                <w:rFonts w:ascii="Arial" w:hAnsi="Arial" w:cs="Arial"/>
                <w:b/>
                <w:color w:val="auto"/>
              </w:rPr>
              <w:t>22.9 yrs</w:t>
            </w:r>
          </w:p>
        </w:tc>
      </w:tr>
      <w:tr w:rsidR="00B6365A" w:rsidRPr="00B6365A" w:rsidTr="008C785E">
        <w:trPr>
          <w:trHeight w:val="60"/>
        </w:trPr>
        <w:tc>
          <w:tcPr>
            <w:cnfStyle w:val="000010000000"/>
            <w:tcW w:w="4253" w:type="dxa"/>
          </w:tcPr>
          <w:p w:rsidR="00B6365A" w:rsidRPr="00B6365A" w:rsidRDefault="00B6365A" w:rsidP="003E10DE">
            <w:pPr>
              <w:pStyle w:val="TableText"/>
              <w:numPr>
                <w:ilvl w:val="0"/>
                <w:numId w:val="26"/>
              </w:numPr>
              <w:spacing w:before="0" w:line="240" w:lineRule="auto"/>
              <w:rPr>
                <w:rFonts w:ascii="Arial" w:hAnsi="Arial" w:cs="Arial"/>
                <w:color w:val="auto"/>
              </w:rPr>
            </w:pPr>
            <w:r w:rsidRPr="00B6365A">
              <w:rPr>
                <w:rFonts w:ascii="Arial" w:hAnsi="Arial" w:cs="Arial"/>
                <w:color w:val="auto"/>
              </w:rPr>
              <w:t>Women</w:t>
            </w:r>
          </w:p>
        </w:tc>
        <w:tc>
          <w:tcPr>
            <w:tcW w:w="992" w:type="dxa"/>
          </w:tcPr>
          <w:p w:rsidR="00B6365A" w:rsidRPr="00B6365A" w:rsidRDefault="00B6365A" w:rsidP="00051379">
            <w:pPr>
              <w:pStyle w:val="TableRight"/>
              <w:spacing w:before="0" w:line="240" w:lineRule="auto"/>
              <w:jc w:val="center"/>
              <w:cnfStyle w:val="000000000000"/>
              <w:rPr>
                <w:rFonts w:ascii="Arial" w:hAnsi="Arial" w:cs="Arial"/>
                <w:color w:val="auto"/>
              </w:rPr>
            </w:pPr>
            <w:r w:rsidRPr="00B6365A">
              <w:rPr>
                <w:rFonts w:ascii="Arial" w:hAnsi="Arial" w:cs="Arial"/>
                <w:color w:val="auto"/>
              </w:rPr>
              <w:t>24.6 yrs</w:t>
            </w:r>
          </w:p>
        </w:tc>
        <w:tc>
          <w:tcPr>
            <w:cnfStyle w:val="000010000000"/>
            <w:tcW w:w="1134" w:type="dxa"/>
          </w:tcPr>
          <w:p w:rsidR="00B6365A" w:rsidRPr="00B6365A" w:rsidRDefault="00B6365A" w:rsidP="00051379">
            <w:pPr>
              <w:pStyle w:val="TableRight"/>
              <w:spacing w:before="0" w:line="240" w:lineRule="auto"/>
              <w:jc w:val="center"/>
              <w:rPr>
                <w:rFonts w:ascii="Arial" w:hAnsi="Arial" w:cs="Arial"/>
                <w:color w:val="auto"/>
              </w:rPr>
            </w:pPr>
            <w:r w:rsidRPr="00B6365A">
              <w:rPr>
                <w:rFonts w:ascii="Arial" w:hAnsi="Arial" w:cs="Arial"/>
                <w:color w:val="auto"/>
              </w:rPr>
              <w:t>26.0 yrs</w:t>
            </w:r>
          </w:p>
        </w:tc>
        <w:tc>
          <w:tcPr>
            <w:tcW w:w="1134" w:type="dxa"/>
          </w:tcPr>
          <w:p w:rsidR="00B6365A" w:rsidRPr="00B6365A" w:rsidRDefault="00B6365A" w:rsidP="00051379">
            <w:pPr>
              <w:pStyle w:val="TableRight"/>
              <w:spacing w:before="0" w:line="240" w:lineRule="auto"/>
              <w:jc w:val="center"/>
              <w:cnfStyle w:val="000000000000"/>
              <w:rPr>
                <w:rFonts w:ascii="Arial" w:hAnsi="Arial" w:cs="Arial"/>
                <w:color w:val="auto"/>
              </w:rPr>
            </w:pPr>
            <w:r w:rsidRPr="00B6365A">
              <w:rPr>
                <w:rFonts w:ascii="Arial" w:hAnsi="Arial" w:cs="Arial"/>
                <w:color w:val="auto"/>
              </w:rPr>
              <w:t>26.1 yrs</w:t>
            </w:r>
          </w:p>
        </w:tc>
        <w:tc>
          <w:tcPr>
            <w:cnfStyle w:val="000010000000"/>
            <w:tcW w:w="1134" w:type="dxa"/>
          </w:tcPr>
          <w:p w:rsidR="00B6365A" w:rsidRPr="00B6365A" w:rsidRDefault="003C33D4" w:rsidP="00B206FD">
            <w:pPr>
              <w:pStyle w:val="TableRight"/>
              <w:spacing w:before="0" w:line="240" w:lineRule="auto"/>
              <w:jc w:val="center"/>
              <w:rPr>
                <w:rFonts w:ascii="Arial" w:hAnsi="Arial" w:cs="Arial"/>
                <w:b/>
                <w:color w:val="auto"/>
              </w:rPr>
            </w:pPr>
            <w:r>
              <w:rPr>
                <w:rFonts w:ascii="Arial" w:hAnsi="Arial" w:cs="Arial"/>
                <w:b/>
                <w:color w:val="auto"/>
              </w:rPr>
              <w:t>26.2 yrs</w:t>
            </w:r>
          </w:p>
        </w:tc>
      </w:tr>
      <w:tr w:rsidR="00B6365A" w:rsidRPr="00B6365A" w:rsidTr="008C785E">
        <w:trPr>
          <w:cnfStyle w:val="000000100000"/>
          <w:trHeight w:val="60"/>
        </w:trPr>
        <w:tc>
          <w:tcPr>
            <w:cnfStyle w:val="000010000000"/>
            <w:tcW w:w="4253" w:type="dxa"/>
          </w:tcPr>
          <w:p w:rsidR="00B6365A" w:rsidRPr="00B6365A" w:rsidRDefault="00B6365A" w:rsidP="00B206FD">
            <w:pPr>
              <w:pStyle w:val="TableText"/>
              <w:spacing w:before="0" w:line="240" w:lineRule="auto"/>
              <w:rPr>
                <w:rFonts w:ascii="Arial" w:hAnsi="Arial" w:cs="Arial"/>
                <w:color w:val="auto"/>
              </w:rPr>
            </w:pPr>
            <w:r w:rsidRPr="00B6365A">
              <w:rPr>
                <w:rFonts w:ascii="Arial" w:hAnsi="Arial" w:cs="Arial"/>
                <w:color w:val="auto"/>
              </w:rPr>
              <w:t>Longevity from age 65: retiring in 20 years</w:t>
            </w:r>
          </w:p>
        </w:tc>
        <w:tc>
          <w:tcPr>
            <w:tcW w:w="992" w:type="dxa"/>
          </w:tcPr>
          <w:p w:rsidR="00B6365A" w:rsidRPr="00B6365A" w:rsidRDefault="00B6365A" w:rsidP="00051379">
            <w:pPr>
              <w:pStyle w:val="NoParagraphStyle"/>
              <w:spacing w:line="240" w:lineRule="auto"/>
              <w:jc w:val="center"/>
              <w:textAlignment w:val="auto"/>
              <w:cnfStyle w:val="000000100000"/>
              <w:rPr>
                <w:rFonts w:ascii="Arial" w:hAnsi="Arial" w:cs="Arial"/>
                <w:color w:val="auto"/>
                <w:sz w:val="20"/>
                <w:szCs w:val="20"/>
              </w:rPr>
            </w:pPr>
          </w:p>
        </w:tc>
        <w:tc>
          <w:tcPr>
            <w:cnfStyle w:val="000010000000"/>
            <w:tcW w:w="1134" w:type="dxa"/>
          </w:tcPr>
          <w:p w:rsidR="00B6365A" w:rsidRPr="00B6365A" w:rsidRDefault="00B6365A" w:rsidP="00051379">
            <w:pPr>
              <w:pStyle w:val="NoParagraphStyle"/>
              <w:spacing w:line="240" w:lineRule="auto"/>
              <w:jc w:val="center"/>
              <w:textAlignment w:val="auto"/>
              <w:rPr>
                <w:rFonts w:ascii="Arial" w:hAnsi="Arial" w:cs="Arial"/>
                <w:color w:val="auto"/>
                <w:sz w:val="20"/>
                <w:szCs w:val="20"/>
              </w:rPr>
            </w:pPr>
          </w:p>
        </w:tc>
        <w:tc>
          <w:tcPr>
            <w:tcW w:w="1134" w:type="dxa"/>
          </w:tcPr>
          <w:p w:rsidR="00B6365A" w:rsidRPr="00B6365A" w:rsidRDefault="00B6365A" w:rsidP="00051379">
            <w:pPr>
              <w:pStyle w:val="NoParagraphStyle"/>
              <w:spacing w:line="240" w:lineRule="auto"/>
              <w:jc w:val="center"/>
              <w:textAlignment w:val="auto"/>
              <w:cnfStyle w:val="000000100000"/>
              <w:rPr>
                <w:rFonts w:ascii="Arial" w:hAnsi="Arial" w:cs="Arial"/>
                <w:color w:val="auto"/>
                <w:sz w:val="20"/>
                <w:szCs w:val="20"/>
              </w:rPr>
            </w:pPr>
          </w:p>
        </w:tc>
        <w:tc>
          <w:tcPr>
            <w:cnfStyle w:val="000010000000"/>
            <w:tcW w:w="1134" w:type="dxa"/>
          </w:tcPr>
          <w:p w:rsidR="00B6365A" w:rsidRPr="00B6365A" w:rsidRDefault="00B6365A" w:rsidP="00B206FD">
            <w:pPr>
              <w:pStyle w:val="NoParagraphStyle"/>
              <w:spacing w:line="240" w:lineRule="auto"/>
              <w:jc w:val="center"/>
              <w:textAlignment w:val="auto"/>
              <w:rPr>
                <w:rFonts w:ascii="Arial" w:hAnsi="Arial" w:cs="Arial"/>
                <w:b/>
                <w:color w:val="auto"/>
                <w:sz w:val="20"/>
                <w:szCs w:val="20"/>
              </w:rPr>
            </w:pPr>
          </w:p>
        </w:tc>
      </w:tr>
      <w:tr w:rsidR="00B6365A" w:rsidRPr="00B6365A" w:rsidTr="008C785E">
        <w:trPr>
          <w:trHeight w:val="60"/>
        </w:trPr>
        <w:tc>
          <w:tcPr>
            <w:cnfStyle w:val="000010000000"/>
            <w:tcW w:w="4253" w:type="dxa"/>
          </w:tcPr>
          <w:p w:rsidR="00B6365A" w:rsidRPr="00B6365A" w:rsidRDefault="00B6365A" w:rsidP="003E10DE">
            <w:pPr>
              <w:pStyle w:val="TableText"/>
              <w:numPr>
                <w:ilvl w:val="0"/>
                <w:numId w:val="26"/>
              </w:numPr>
              <w:spacing w:before="0" w:line="240" w:lineRule="auto"/>
              <w:rPr>
                <w:rFonts w:ascii="Arial" w:hAnsi="Arial" w:cs="Arial"/>
                <w:color w:val="auto"/>
              </w:rPr>
            </w:pPr>
            <w:r w:rsidRPr="00B6365A">
              <w:rPr>
                <w:rFonts w:ascii="Arial" w:hAnsi="Arial" w:cs="Arial"/>
                <w:color w:val="auto"/>
              </w:rPr>
              <w:t>Men</w:t>
            </w:r>
          </w:p>
        </w:tc>
        <w:tc>
          <w:tcPr>
            <w:tcW w:w="992" w:type="dxa"/>
          </w:tcPr>
          <w:p w:rsidR="00B6365A" w:rsidRPr="00B6365A" w:rsidRDefault="00B6365A" w:rsidP="00051379">
            <w:pPr>
              <w:pStyle w:val="TableRight"/>
              <w:spacing w:before="0" w:line="240" w:lineRule="auto"/>
              <w:jc w:val="center"/>
              <w:cnfStyle w:val="000000000000"/>
              <w:rPr>
                <w:rFonts w:ascii="Arial" w:hAnsi="Arial" w:cs="Arial"/>
                <w:color w:val="auto"/>
              </w:rPr>
            </w:pPr>
            <w:r w:rsidRPr="00B6365A">
              <w:rPr>
                <w:rFonts w:ascii="Arial" w:hAnsi="Arial" w:cs="Arial"/>
                <w:color w:val="auto"/>
              </w:rPr>
              <w:t>22.6 yrs</w:t>
            </w:r>
          </w:p>
        </w:tc>
        <w:tc>
          <w:tcPr>
            <w:cnfStyle w:val="000010000000"/>
            <w:tcW w:w="1134" w:type="dxa"/>
          </w:tcPr>
          <w:p w:rsidR="00B6365A" w:rsidRPr="00B6365A" w:rsidRDefault="00B6365A" w:rsidP="00051379">
            <w:pPr>
              <w:pStyle w:val="TableRight"/>
              <w:spacing w:before="0" w:line="240" w:lineRule="auto"/>
              <w:jc w:val="center"/>
              <w:rPr>
                <w:rFonts w:ascii="Arial" w:hAnsi="Arial" w:cs="Arial"/>
                <w:color w:val="auto"/>
              </w:rPr>
            </w:pPr>
            <w:r w:rsidRPr="00B6365A">
              <w:rPr>
                <w:rFonts w:ascii="Arial" w:hAnsi="Arial" w:cs="Arial"/>
                <w:color w:val="auto"/>
              </w:rPr>
              <w:t>24.9 yrs</w:t>
            </w:r>
          </w:p>
        </w:tc>
        <w:tc>
          <w:tcPr>
            <w:tcW w:w="1134" w:type="dxa"/>
          </w:tcPr>
          <w:p w:rsidR="00B6365A" w:rsidRPr="00B6365A" w:rsidRDefault="00B6365A" w:rsidP="00051379">
            <w:pPr>
              <w:pStyle w:val="TableRight"/>
              <w:spacing w:before="0" w:line="240" w:lineRule="auto"/>
              <w:jc w:val="center"/>
              <w:cnfStyle w:val="000000000000"/>
              <w:rPr>
                <w:rFonts w:ascii="Arial" w:hAnsi="Arial" w:cs="Arial"/>
                <w:color w:val="auto"/>
              </w:rPr>
            </w:pPr>
            <w:r w:rsidRPr="00B6365A">
              <w:rPr>
                <w:rFonts w:ascii="Arial" w:hAnsi="Arial" w:cs="Arial"/>
                <w:color w:val="auto"/>
              </w:rPr>
              <w:t>25.1 yrs</w:t>
            </w:r>
          </w:p>
        </w:tc>
        <w:tc>
          <w:tcPr>
            <w:cnfStyle w:val="000010000000"/>
            <w:tcW w:w="1134" w:type="dxa"/>
          </w:tcPr>
          <w:p w:rsidR="00B6365A" w:rsidRPr="00B6365A" w:rsidRDefault="003C33D4" w:rsidP="00B206FD">
            <w:pPr>
              <w:pStyle w:val="TableRight"/>
              <w:spacing w:before="0" w:line="240" w:lineRule="auto"/>
              <w:jc w:val="center"/>
              <w:rPr>
                <w:rFonts w:ascii="Arial" w:hAnsi="Arial" w:cs="Arial"/>
                <w:b/>
                <w:color w:val="auto"/>
              </w:rPr>
            </w:pPr>
            <w:r>
              <w:rPr>
                <w:rFonts w:ascii="Arial" w:hAnsi="Arial" w:cs="Arial"/>
                <w:b/>
                <w:color w:val="auto"/>
              </w:rPr>
              <w:t>25.2 yrs</w:t>
            </w:r>
          </w:p>
        </w:tc>
      </w:tr>
      <w:tr w:rsidR="00B6365A" w:rsidRPr="00B6365A" w:rsidTr="008C785E">
        <w:trPr>
          <w:cnfStyle w:val="000000100000"/>
          <w:trHeight w:val="60"/>
        </w:trPr>
        <w:tc>
          <w:tcPr>
            <w:cnfStyle w:val="000010000000"/>
            <w:tcW w:w="4253" w:type="dxa"/>
          </w:tcPr>
          <w:p w:rsidR="00B6365A" w:rsidRPr="00B6365A" w:rsidRDefault="00B6365A" w:rsidP="003E10DE">
            <w:pPr>
              <w:pStyle w:val="TableText"/>
              <w:numPr>
                <w:ilvl w:val="0"/>
                <w:numId w:val="26"/>
              </w:numPr>
              <w:spacing w:before="0" w:line="240" w:lineRule="auto"/>
              <w:rPr>
                <w:rFonts w:ascii="Arial" w:hAnsi="Arial" w:cs="Arial"/>
                <w:color w:val="auto"/>
              </w:rPr>
            </w:pPr>
            <w:r w:rsidRPr="00B6365A">
              <w:rPr>
                <w:rFonts w:ascii="Arial" w:hAnsi="Arial" w:cs="Arial"/>
                <w:color w:val="auto"/>
              </w:rPr>
              <w:t>Women</w:t>
            </w:r>
          </w:p>
        </w:tc>
        <w:tc>
          <w:tcPr>
            <w:tcW w:w="992" w:type="dxa"/>
          </w:tcPr>
          <w:p w:rsidR="00B6365A" w:rsidRPr="00B6365A" w:rsidRDefault="00B6365A" w:rsidP="00051379">
            <w:pPr>
              <w:pStyle w:val="TableRight"/>
              <w:spacing w:before="0" w:line="240" w:lineRule="auto"/>
              <w:jc w:val="center"/>
              <w:cnfStyle w:val="000000100000"/>
              <w:rPr>
                <w:rFonts w:ascii="Arial" w:hAnsi="Arial" w:cs="Arial"/>
                <w:color w:val="auto"/>
              </w:rPr>
            </w:pPr>
            <w:r w:rsidRPr="00B6365A">
              <w:rPr>
                <w:rFonts w:ascii="Arial" w:hAnsi="Arial" w:cs="Arial"/>
                <w:color w:val="auto"/>
              </w:rPr>
              <w:t>26.5 yrs</w:t>
            </w:r>
          </w:p>
        </w:tc>
        <w:tc>
          <w:tcPr>
            <w:cnfStyle w:val="000010000000"/>
            <w:tcW w:w="1134" w:type="dxa"/>
          </w:tcPr>
          <w:p w:rsidR="00B6365A" w:rsidRPr="00B6365A" w:rsidRDefault="00B6365A" w:rsidP="00051379">
            <w:pPr>
              <w:pStyle w:val="TableRight"/>
              <w:spacing w:before="0" w:line="240" w:lineRule="auto"/>
              <w:jc w:val="center"/>
              <w:rPr>
                <w:rFonts w:ascii="Arial" w:hAnsi="Arial" w:cs="Arial"/>
                <w:color w:val="auto"/>
              </w:rPr>
            </w:pPr>
            <w:r w:rsidRPr="00B6365A">
              <w:rPr>
                <w:rFonts w:ascii="Arial" w:hAnsi="Arial" w:cs="Arial"/>
                <w:color w:val="auto"/>
              </w:rPr>
              <w:t>28.3 yrs</w:t>
            </w:r>
          </w:p>
        </w:tc>
        <w:tc>
          <w:tcPr>
            <w:tcW w:w="1134" w:type="dxa"/>
          </w:tcPr>
          <w:p w:rsidR="00B6365A" w:rsidRPr="00B6365A" w:rsidRDefault="00B6365A" w:rsidP="00051379">
            <w:pPr>
              <w:pStyle w:val="TableRight"/>
              <w:spacing w:before="0" w:line="240" w:lineRule="auto"/>
              <w:jc w:val="center"/>
              <w:cnfStyle w:val="000000100000"/>
              <w:rPr>
                <w:rFonts w:ascii="Arial" w:hAnsi="Arial" w:cs="Arial"/>
                <w:color w:val="auto"/>
              </w:rPr>
            </w:pPr>
            <w:r w:rsidRPr="00B6365A">
              <w:rPr>
                <w:rFonts w:ascii="Arial" w:hAnsi="Arial" w:cs="Arial"/>
                <w:color w:val="auto"/>
              </w:rPr>
              <w:t>28.4 yrs</w:t>
            </w:r>
          </w:p>
        </w:tc>
        <w:tc>
          <w:tcPr>
            <w:cnfStyle w:val="000010000000"/>
            <w:tcW w:w="1134" w:type="dxa"/>
          </w:tcPr>
          <w:p w:rsidR="00B6365A" w:rsidRPr="00B6365A" w:rsidRDefault="003C33D4" w:rsidP="00B206FD">
            <w:pPr>
              <w:pStyle w:val="TableRight"/>
              <w:spacing w:before="0" w:line="240" w:lineRule="auto"/>
              <w:jc w:val="center"/>
              <w:rPr>
                <w:rFonts w:ascii="Arial" w:hAnsi="Arial" w:cs="Arial"/>
                <w:b/>
                <w:color w:val="auto"/>
              </w:rPr>
            </w:pPr>
            <w:r>
              <w:rPr>
                <w:rFonts w:ascii="Arial" w:hAnsi="Arial" w:cs="Arial"/>
                <w:b/>
                <w:color w:val="auto"/>
              </w:rPr>
              <w:t>28.6 yrs</w:t>
            </w:r>
          </w:p>
        </w:tc>
      </w:tr>
    </w:tbl>
    <w:p w:rsidR="000D78C6" w:rsidRPr="00B6365A" w:rsidRDefault="000D78C6" w:rsidP="00164AC3">
      <w:pPr>
        <w:pStyle w:val="CodeNotesExampleText"/>
        <w:widowControl w:val="0"/>
        <w:ind w:left="420"/>
        <w:rPr>
          <w:rFonts w:cs="Arial"/>
          <w:i/>
          <w:color w:val="auto"/>
          <w:sz w:val="20"/>
          <w:szCs w:val="20"/>
        </w:rPr>
      </w:pPr>
    </w:p>
    <w:p w:rsidR="007E4359" w:rsidRPr="00B6365A" w:rsidRDefault="002B65DD" w:rsidP="00163DF6">
      <w:pPr>
        <w:autoSpaceDE w:val="0"/>
        <w:autoSpaceDN w:val="0"/>
        <w:adjustRightInd w:val="0"/>
        <w:spacing w:after="0" w:line="240" w:lineRule="auto"/>
        <w:ind w:left="567"/>
        <w:rPr>
          <w:rFonts w:eastAsia="Times New Roman" w:cs="Arial"/>
          <w:color w:val="auto"/>
          <w:sz w:val="20"/>
          <w:szCs w:val="20"/>
          <w:lang w:eastAsia="en-GB"/>
        </w:rPr>
      </w:pPr>
      <w:r w:rsidRPr="00B6365A">
        <w:rPr>
          <w:rFonts w:eastAsia="Times New Roman" w:cs="Arial"/>
          <w:color w:val="auto"/>
          <w:sz w:val="20"/>
          <w:szCs w:val="20"/>
          <w:lang w:eastAsia="en-GB"/>
        </w:rPr>
        <w:t>The actuary has made t</w:t>
      </w:r>
      <w:r w:rsidR="007E4359" w:rsidRPr="00B6365A">
        <w:rPr>
          <w:rFonts w:eastAsia="Times New Roman" w:cs="Arial"/>
          <w:color w:val="auto"/>
          <w:sz w:val="20"/>
          <w:szCs w:val="20"/>
          <w:lang w:eastAsia="en-GB"/>
        </w:rPr>
        <w:t xml:space="preserve">he following assumptions: </w:t>
      </w:r>
    </w:p>
    <w:p w:rsidR="002B65DD" w:rsidRPr="00B6365A" w:rsidRDefault="002B65DD" w:rsidP="00163DF6">
      <w:pPr>
        <w:autoSpaceDE w:val="0"/>
        <w:autoSpaceDN w:val="0"/>
        <w:adjustRightInd w:val="0"/>
        <w:spacing w:after="0" w:line="240" w:lineRule="auto"/>
        <w:ind w:left="567"/>
        <w:rPr>
          <w:rFonts w:eastAsia="Times New Roman" w:cs="Arial"/>
          <w:color w:val="auto"/>
          <w:sz w:val="20"/>
          <w:szCs w:val="20"/>
          <w:lang w:eastAsia="en-GB"/>
        </w:rPr>
      </w:pPr>
    </w:p>
    <w:p w:rsidR="007E4359" w:rsidRPr="00B6365A" w:rsidRDefault="007E4359" w:rsidP="003E10DE">
      <w:pPr>
        <w:pStyle w:val="ListParagraph"/>
        <w:numPr>
          <w:ilvl w:val="0"/>
          <w:numId w:val="25"/>
        </w:numPr>
        <w:autoSpaceDE w:val="0"/>
        <w:autoSpaceDN w:val="0"/>
        <w:adjustRightInd w:val="0"/>
        <w:spacing w:after="225" w:line="240" w:lineRule="auto"/>
        <w:rPr>
          <w:rFonts w:eastAsia="Times New Roman" w:cs="Arial"/>
          <w:color w:val="auto"/>
          <w:sz w:val="20"/>
          <w:szCs w:val="20"/>
          <w:lang w:eastAsia="en-GB"/>
        </w:rPr>
      </w:pPr>
      <w:r w:rsidRPr="00B6365A">
        <w:rPr>
          <w:rFonts w:eastAsia="Times New Roman" w:cs="Arial"/>
          <w:color w:val="auto"/>
          <w:sz w:val="20"/>
          <w:szCs w:val="20"/>
          <w:lang w:eastAsia="en-GB"/>
        </w:rPr>
        <w:t xml:space="preserve">Members will exchange half of their commutable pension for cash at retirement; </w:t>
      </w:r>
    </w:p>
    <w:p w:rsidR="007E4359" w:rsidRPr="00B6365A" w:rsidRDefault="007E4359" w:rsidP="003E10DE">
      <w:pPr>
        <w:pStyle w:val="ListParagraph"/>
        <w:numPr>
          <w:ilvl w:val="0"/>
          <w:numId w:val="25"/>
        </w:numPr>
        <w:autoSpaceDE w:val="0"/>
        <w:autoSpaceDN w:val="0"/>
        <w:adjustRightInd w:val="0"/>
        <w:spacing w:after="225" w:line="240" w:lineRule="auto"/>
        <w:rPr>
          <w:rFonts w:eastAsia="Times New Roman" w:cs="Arial"/>
          <w:color w:val="auto"/>
          <w:sz w:val="20"/>
          <w:szCs w:val="20"/>
          <w:lang w:eastAsia="en-GB"/>
        </w:rPr>
      </w:pPr>
      <w:r w:rsidRPr="00B6365A">
        <w:rPr>
          <w:rFonts w:eastAsia="Times New Roman" w:cs="Arial"/>
          <w:color w:val="auto"/>
          <w:sz w:val="20"/>
          <w:szCs w:val="20"/>
          <w:lang w:eastAsia="en-GB"/>
        </w:rPr>
        <w:t xml:space="preserve">Members will retire at one retirement age for all tranches of benefit, which will be the pension weighted average tranche retirement age; </w:t>
      </w:r>
    </w:p>
    <w:p w:rsidR="000401DE" w:rsidRPr="00B6365A" w:rsidRDefault="007E4359" w:rsidP="003E10DE">
      <w:pPr>
        <w:pStyle w:val="ListParagraph"/>
        <w:numPr>
          <w:ilvl w:val="0"/>
          <w:numId w:val="25"/>
        </w:numPr>
        <w:autoSpaceDE w:val="0"/>
        <w:autoSpaceDN w:val="0"/>
        <w:adjustRightInd w:val="0"/>
        <w:spacing w:after="0" w:line="240" w:lineRule="auto"/>
        <w:rPr>
          <w:rFonts w:eastAsia="Times New Roman" w:cs="Arial"/>
          <w:color w:val="auto"/>
          <w:sz w:val="20"/>
          <w:szCs w:val="20"/>
          <w:lang w:eastAsia="en-GB"/>
        </w:rPr>
      </w:pPr>
      <w:r w:rsidRPr="00B6365A">
        <w:rPr>
          <w:rFonts w:eastAsia="Times New Roman" w:cs="Arial"/>
          <w:color w:val="auto"/>
          <w:sz w:val="20"/>
          <w:szCs w:val="20"/>
          <w:lang w:eastAsia="en-GB"/>
        </w:rPr>
        <w:t>10% of active members will take up the option under the new LGPS to pay 50% of</w:t>
      </w:r>
    </w:p>
    <w:p w:rsidR="007E4359" w:rsidRPr="00B6365A" w:rsidRDefault="007E4359" w:rsidP="00163DF6">
      <w:pPr>
        <w:autoSpaceDE w:val="0"/>
        <w:autoSpaceDN w:val="0"/>
        <w:adjustRightInd w:val="0"/>
        <w:spacing w:after="0" w:line="240" w:lineRule="auto"/>
        <w:ind w:left="822" w:firstLine="513"/>
        <w:rPr>
          <w:rFonts w:eastAsia="Times New Roman" w:cs="Arial"/>
          <w:color w:val="auto"/>
          <w:sz w:val="20"/>
          <w:szCs w:val="20"/>
          <w:lang w:eastAsia="en-GB"/>
        </w:rPr>
      </w:pPr>
      <w:r w:rsidRPr="00B6365A">
        <w:rPr>
          <w:rFonts w:eastAsia="Times New Roman" w:cs="Arial"/>
          <w:color w:val="auto"/>
          <w:sz w:val="20"/>
          <w:szCs w:val="20"/>
          <w:lang w:eastAsia="en-GB"/>
        </w:rPr>
        <w:t xml:space="preserve"> contributions for 50% of benefits. </w:t>
      </w:r>
    </w:p>
    <w:p w:rsidR="00164AC3" w:rsidRPr="00D42E0B" w:rsidRDefault="00164AC3" w:rsidP="0098499F">
      <w:pPr>
        <w:autoSpaceDE w:val="0"/>
        <w:autoSpaceDN w:val="0"/>
        <w:adjustRightInd w:val="0"/>
        <w:spacing w:after="0" w:line="240" w:lineRule="auto"/>
        <w:rPr>
          <w:rFonts w:eastAsia="Times New Roman" w:cs="Arial"/>
          <w:color w:val="548DD4" w:themeColor="text2" w:themeTint="99"/>
          <w:sz w:val="20"/>
          <w:szCs w:val="20"/>
        </w:rPr>
      </w:pPr>
    </w:p>
    <w:p w:rsidR="00164AC3" w:rsidRPr="00B6365A" w:rsidRDefault="008A6EEE" w:rsidP="007849CA">
      <w:pPr>
        <w:autoSpaceDE w:val="0"/>
        <w:autoSpaceDN w:val="0"/>
        <w:adjustRightInd w:val="0"/>
        <w:spacing w:after="0" w:line="240" w:lineRule="auto"/>
        <w:ind w:left="567"/>
        <w:rPr>
          <w:rFonts w:eastAsia="Times New Roman" w:cs="Arial"/>
          <w:b/>
          <w:color w:val="auto"/>
          <w:sz w:val="20"/>
          <w:szCs w:val="20"/>
        </w:rPr>
      </w:pPr>
      <w:r w:rsidRPr="00B6365A">
        <w:rPr>
          <w:rFonts w:eastAsia="Times New Roman" w:cs="Arial"/>
          <w:b/>
          <w:color w:val="auto"/>
          <w:sz w:val="20"/>
          <w:szCs w:val="20"/>
        </w:rPr>
        <w:t>Financial Assumptions</w:t>
      </w:r>
    </w:p>
    <w:p w:rsidR="00164AC3" w:rsidRPr="00B6365A" w:rsidRDefault="00164AC3" w:rsidP="007849CA">
      <w:pPr>
        <w:autoSpaceDE w:val="0"/>
        <w:autoSpaceDN w:val="0"/>
        <w:adjustRightInd w:val="0"/>
        <w:spacing w:after="0" w:line="240" w:lineRule="auto"/>
        <w:ind w:left="567"/>
        <w:rPr>
          <w:rFonts w:eastAsia="Times New Roman" w:cs="Arial"/>
          <w:color w:val="auto"/>
          <w:sz w:val="20"/>
          <w:szCs w:val="20"/>
        </w:rPr>
      </w:pPr>
    </w:p>
    <w:tbl>
      <w:tblPr>
        <w:tblStyle w:val="ListTable3-Accent51"/>
        <w:tblW w:w="8930" w:type="dxa"/>
        <w:tblInd w:w="534" w:type="dxa"/>
        <w:tblBorders>
          <w:insideH w:val="single" w:sz="4" w:space="0" w:color="4BACC6" w:themeColor="accent5"/>
          <w:insideV w:val="single" w:sz="4" w:space="0" w:color="4BACC6" w:themeColor="accent5"/>
        </w:tblBorders>
        <w:tblLook w:val="04A0"/>
      </w:tblPr>
      <w:tblGrid>
        <w:gridCol w:w="1886"/>
        <w:gridCol w:w="649"/>
        <w:gridCol w:w="158"/>
        <w:gridCol w:w="850"/>
        <w:gridCol w:w="993"/>
        <w:gridCol w:w="850"/>
        <w:gridCol w:w="940"/>
        <w:gridCol w:w="892"/>
        <w:gridCol w:w="861"/>
        <w:gridCol w:w="851"/>
      </w:tblGrid>
      <w:tr w:rsidR="00B63E79" w:rsidRPr="00B6365A" w:rsidTr="00B60050">
        <w:trPr>
          <w:cnfStyle w:val="100000000000"/>
        </w:trPr>
        <w:tc>
          <w:tcPr>
            <w:cnfStyle w:val="001000000100"/>
            <w:tcW w:w="1886" w:type="dxa"/>
          </w:tcPr>
          <w:p w:rsidR="00B63E79" w:rsidRPr="00B6365A" w:rsidRDefault="00B63E79" w:rsidP="007849CA">
            <w:pPr>
              <w:autoSpaceDE w:val="0"/>
              <w:autoSpaceDN w:val="0"/>
              <w:adjustRightInd w:val="0"/>
              <w:spacing w:after="0" w:line="240" w:lineRule="auto"/>
              <w:rPr>
                <w:rFonts w:eastAsia="Times New Roman" w:cs="Arial"/>
                <w:b w:val="0"/>
                <w:color w:val="auto"/>
                <w:sz w:val="20"/>
                <w:szCs w:val="20"/>
              </w:rPr>
            </w:pPr>
            <w:r w:rsidRPr="00B6365A">
              <w:rPr>
                <w:rFonts w:eastAsia="Times New Roman" w:cs="Arial"/>
                <w:b w:val="0"/>
                <w:color w:val="auto"/>
                <w:sz w:val="20"/>
                <w:szCs w:val="20"/>
              </w:rPr>
              <w:t>Assumptions</w:t>
            </w:r>
          </w:p>
        </w:tc>
        <w:tc>
          <w:tcPr>
            <w:tcW w:w="1657" w:type="dxa"/>
            <w:gridSpan w:val="3"/>
          </w:tcPr>
          <w:p w:rsidR="00B63E79" w:rsidRPr="00B6365A" w:rsidRDefault="00B63E79" w:rsidP="00B6365A">
            <w:pPr>
              <w:autoSpaceDE w:val="0"/>
              <w:autoSpaceDN w:val="0"/>
              <w:adjustRightInd w:val="0"/>
              <w:spacing w:after="0" w:line="240" w:lineRule="auto"/>
              <w:jc w:val="center"/>
              <w:cnfStyle w:val="100000000000"/>
              <w:rPr>
                <w:rFonts w:eastAsia="Times New Roman" w:cs="Arial"/>
                <w:b w:val="0"/>
                <w:color w:val="auto"/>
                <w:sz w:val="20"/>
                <w:szCs w:val="20"/>
              </w:rPr>
            </w:pPr>
            <w:r w:rsidRPr="00B6365A">
              <w:rPr>
                <w:rFonts w:eastAsia="Times New Roman" w:cs="Arial"/>
                <w:b w:val="0"/>
                <w:color w:val="auto"/>
                <w:sz w:val="20"/>
                <w:szCs w:val="20"/>
              </w:rPr>
              <w:t>31</w:t>
            </w:r>
            <w:r w:rsidRPr="00B6365A">
              <w:rPr>
                <w:rFonts w:eastAsia="Times New Roman" w:cs="Arial"/>
                <w:b w:val="0"/>
                <w:color w:val="auto"/>
                <w:sz w:val="20"/>
                <w:szCs w:val="20"/>
                <w:vertAlign w:val="superscript"/>
              </w:rPr>
              <w:t>st</w:t>
            </w:r>
            <w:r w:rsidRPr="00B6365A">
              <w:rPr>
                <w:rFonts w:eastAsia="Times New Roman" w:cs="Arial"/>
                <w:b w:val="0"/>
                <w:color w:val="auto"/>
                <w:sz w:val="20"/>
                <w:szCs w:val="20"/>
              </w:rPr>
              <w:t xml:space="preserve"> March 201</w:t>
            </w:r>
            <w:r w:rsidR="00B6365A" w:rsidRPr="00B6365A">
              <w:rPr>
                <w:rFonts w:eastAsia="Times New Roman" w:cs="Arial"/>
                <w:b w:val="0"/>
                <w:color w:val="auto"/>
                <w:sz w:val="20"/>
                <w:szCs w:val="20"/>
              </w:rPr>
              <w:t>3</w:t>
            </w:r>
          </w:p>
        </w:tc>
        <w:tc>
          <w:tcPr>
            <w:tcW w:w="1843" w:type="dxa"/>
            <w:gridSpan w:val="2"/>
          </w:tcPr>
          <w:p w:rsidR="00B63E79" w:rsidRPr="00B6365A" w:rsidRDefault="00B63E79" w:rsidP="00B6365A">
            <w:pPr>
              <w:autoSpaceDE w:val="0"/>
              <w:autoSpaceDN w:val="0"/>
              <w:adjustRightInd w:val="0"/>
              <w:spacing w:after="0" w:line="240" w:lineRule="auto"/>
              <w:jc w:val="center"/>
              <w:cnfStyle w:val="100000000000"/>
              <w:rPr>
                <w:rFonts w:eastAsia="Times New Roman" w:cs="Arial"/>
                <w:b w:val="0"/>
                <w:color w:val="auto"/>
                <w:sz w:val="20"/>
                <w:szCs w:val="20"/>
              </w:rPr>
            </w:pPr>
            <w:r w:rsidRPr="00B6365A">
              <w:rPr>
                <w:rFonts w:eastAsia="Times New Roman" w:cs="Arial"/>
                <w:b w:val="0"/>
                <w:color w:val="auto"/>
                <w:sz w:val="20"/>
                <w:szCs w:val="20"/>
              </w:rPr>
              <w:t>31</w:t>
            </w:r>
            <w:r w:rsidRPr="00B6365A">
              <w:rPr>
                <w:rFonts w:eastAsia="Times New Roman" w:cs="Arial"/>
                <w:b w:val="0"/>
                <w:color w:val="auto"/>
                <w:sz w:val="20"/>
                <w:szCs w:val="20"/>
                <w:vertAlign w:val="superscript"/>
              </w:rPr>
              <w:t>st</w:t>
            </w:r>
            <w:r w:rsidRPr="00B6365A">
              <w:rPr>
                <w:rFonts w:eastAsia="Times New Roman" w:cs="Arial"/>
                <w:b w:val="0"/>
                <w:color w:val="auto"/>
                <w:sz w:val="20"/>
                <w:szCs w:val="20"/>
              </w:rPr>
              <w:t xml:space="preserve"> March 201</w:t>
            </w:r>
            <w:r w:rsidR="00B6365A" w:rsidRPr="00B6365A">
              <w:rPr>
                <w:rFonts w:eastAsia="Times New Roman" w:cs="Arial"/>
                <w:b w:val="0"/>
                <w:color w:val="auto"/>
                <w:sz w:val="20"/>
                <w:szCs w:val="20"/>
              </w:rPr>
              <w:t>4</w:t>
            </w:r>
          </w:p>
        </w:tc>
        <w:tc>
          <w:tcPr>
            <w:tcW w:w="1832" w:type="dxa"/>
            <w:gridSpan w:val="2"/>
          </w:tcPr>
          <w:p w:rsidR="00B63E79" w:rsidRPr="00B6365A" w:rsidRDefault="00B63E79" w:rsidP="00B6365A">
            <w:pPr>
              <w:autoSpaceDE w:val="0"/>
              <w:autoSpaceDN w:val="0"/>
              <w:adjustRightInd w:val="0"/>
              <w:spacing w:after="0" w:line="240" w:lineRule="auto"/>
              <w:jc w:val="center"/>
              <w:cnfStyle w:val="100000000000"/>
              <w:rPr>
                <w:rFonts w:eastAsia="Times New Roman" w:cs="Arial"/>
                <w:b w:val="0"/>
                <w:color w:val="auto"/>
                <w:sz w:val="20"/>
                <w:szCs w:val="20"/>
              </w:rPr>
            </w:pPr>
            <w:r w:rsidRPr="00B6365A">
              <w:rPr>
                <w:rFonts w:eastAsia="Times New Roman" w:cs="Arial"/>
                <w:b w:val="0"/>
                <w:color w:val="auto"/>
                <w:sz w:val="20"/>
                <w:szCs w:val="20"/>
              </w:rPr>
              <w:t>31</w:t>
            </w:r>
            <w:r w:rsidRPr="00B6365A">
              <w:rPr>
                <w:rFonts w:eastAsia="Times New Roman" w:cs="Arial"/>
                <w:b w:val="0"/>
                <w:color w:val="auto"/>
                <w:sz w:val="20"/>
                <w:szCs w:val="20"/>
                <w:vertAlign w:val="superscript"/>
              </w:rPr>
              <w:t>st</w:t>
            </w:r>
            <w:r w:rsidRPr="00B6365A">
              <w:rPr>
                <w:rFonts w:eastAsia="Times New Roman" w:cs="Arial"/>
                <w:b w:val="0"/>
                <w:color w:val="auto"/>
                <w:sz w:val="20"/>
                <w:szCs w:val="20"/>
              </w:rPr>
              <w:t xml:space="preserve"> March 201</w:t>
            </w:r>
            <w:r w:rsidR="00B6365A" w:rsidRPr="00B6365A">
              <w:rPr>
                <w:rFonts w:eastAsia="Times New Roman" w:cs="Arial"/>
                <w:b w:val="0"/>
                <w:color w:val="auto"/>
                <w:sz w:val="20"/>
                <w:szCs w:val="20"/>
              </w:rPr>
              <w:t>5</w:t>
            </w:r>
          </w:p>
        </w:tc>
        <w:tc>
          <w:tcPr>
            <w:tcW w:w="1712" w:type="dxa"/>
            <w:gridSpan w:val="2"/>
          </w:tcPr>
          <w:p w:rsidR="00B63E79" w:rsidRPr="00B6365A" w:rsidRDefault="00B63E79" w:rsidP="00B6365A">
            <w:pPr>
              <w:autoSpaceDE w:val="0"/>
              <w:autoSpaceDN w:val="0"/>
              <w:adjustRightInd w:val="0"/>
              <w:spacing w:after="0" w:line="240" w:lineRule="auto"/>
              <w:jc w:val="center"/>
              <w:cnfStyle w:val="100000000000"/>
              <w:rPr>
                <w:rFonts w:eastAsia="Times New Roman" w:cs="Arial"/>
                <w:color w:val="auto"/>
                <w:sz w:val="20"/>
                <w:szCs w:val="20"/>
              </w:rPr>
            </w:pPr>
            <w:r w:rsidRPr="00B6365A">
              <w:rPr>
                <w:rFonts w:eastAsia="Times New Roman" w:cs="Arial"/>
                <w:color w:val="auto"/>
                <w:sz w:val="20"/>
                <w:szCs w:val="20"/>
              </w:rPr>
              <w:t>31</w:t>
            </w:r>
            <w:r w:rsidRPr="00B6365A">
              <w:rPr>
                <w:rFonts w:eastAsia="Times New Roman" w:cs="Arial"/>
                <w:color w:val="auto"/>
                <w:sz w:val="20"/>
                <w:szCs w:val="20"/>
                <w:vertAlign w:val="superscript"/>
              </w:rPr>
              <w:t>st</w:t>
            </w:r>
            <w:r w:rsidRPr="00B6365A">
              <w:rPr>
                <w:rFonts w:eastAsia="Times New Roman" w:cs="Arial"/>
                <w:color w:val="auto"/>
                <w:sz w:val="20"/>
                <w:szCs w:val="20"/>
              </w:rPr>
              <w:t xml:space="preserve"> March 201</w:t>
            </w:r>
            <w:r w:rsidR="00B6365A" w:rsidRPr="00B6365A">
              <w:rPr>
                <w:rFonts w:eastAsia="Times New Roman" w:cs="Arial"/>
                <w:color w:val="auto"/>
                <w:sz w:val="20"/>
                <w:szCs w:val="20"/>
              </w:rPr>
              <w:t>6</w:t>
            </w:r>
          </w:p>
        </w:tc>
      </w:tr>
      <w:tr w:rsidR="00B63E79" w:rsidRPr="00B6365A" w:rsidTr="00B60050">
        <w:trPr>
          <w:cnfStyle w:val="000000100000"/>
        </w:trPr>
        <w:tc>
          <w:tcPr>
            <w:cnfStyle w:val="001000000000"/>
            <w:tcW w:w="1886" w:type="dxa"/>
            <w:shd w:val="clear" w:color="auto" w:fill="4BACC6" w:themeFill="accent5"/>
          </w:tcPr>
          <w:p w:rsidR="00B63E79" w:rsidRPr="00B6365A" w:rsidRDefault="00B63E79" w:rsidP="007849CA">
            <w:pPr>
              <w:autoSpaceDE w:val="0"/>
              <w:autoSpaceDN w:val="0"/>
              <w:adjustRightInd w:val="0"/>
              <w:spacing w:after="0" w:line="240" w:lineRule="auto"/>
              <w:rPr>
                <w:rFonts w:eastAsia="Times New Roman" w:cs="Arial"/>
                <w:color w:val="auto"/>
                <w:sz w:val="20"/>
                <w:szCs w:val="20"/>
              </w:rPr>
            </w:pPr>
          </w:p>
        </w:tc>
        <w:tc>
          <w:tcPr>
            <w:tcW w:w="807" w:type="dxa"/>
            <w:gridSpan w:val="2"/>
            <w:shd w:val="clear" w:color="auto" w:fill="4BACC6" w:themeFill="accent5"/>
          </w:tcPr>
          <w:p w:rsidR="00B63E79" w:rsidRPr="00B6365A" w:rsidRDefault="00B63E79" w:rsidP="00B63E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 p.a</w:t>
            </w:r>
          </w:p>
        </w:tc>
        <w:tc>
          <w:tcPr>
            <w:tcW w:w="850" w:type="dxa"/>
            <w:shd w:val="clear" w:color="auto" w:fill="4BACC6" w:themeFill="accent5"/>
          </w:tcPr>
          <w:p w:rsidR="00B63E79" w:rsidRPr="00B6365A" w:rsidRDefault="00A61223" w:rsidP="00A61223">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 r</w:t>
            </w:r>
            <w:r w:rsidR="00B63E79" w:rsidRPr="00B6365A">
              <w:rPr>
                <w:rFonts w:eastAsia="Times New Roman" w:cs="Arial"/>
                <w:color w:val="auto"/>
                <w:sz w:val="20"/>
                <w:szCs w:val="20"/>
              </w:rPr>
              <w:t>eal</w:t>
            </w:r>
          </w:p>
        </w:tc>
        <w:tc>
          <w:tcPr>
            <w:tcW w:w="993" w:type="dxa"/>
            <w:shd w:val="clear" w:color="auto" w:fill="4BACC6" w:themeFill="accent5"/>
          </w:tcPr>
          <w:p w:rsidR="00B63E79" w:rsidRPr="00B6365A" w:rsidRDefault="00B63E79" w:rsidP="00ED35CC">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 p.a</w:t>
            </w:r>
          </w:p>
        </w:tc>
        <w:tc>
          <w:tcPr>
            <w:tcW w:w="850" w:type="dxa"/>
            <w:shd w:val="clear" w:color="auto" w:fill="4BACC6" w:themeFill="accent5"/>
          </w:tcPr>
          <w:p w:rsidR="00B63E79" w:rsidRPr="00B6365A" w:rsidRDefault="00A61223" w:rsidP="00A61223">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 r</w:t>
            </w:r>
            <w:r w:rsidR="00B63E79" w:rsidRPr="00B6365A">
              <w:rPr>
                <w:rFonts w:eastAsia="Times New Roman" w:cs="Arial"/>
                <w:color w:val="auto"/>
                <w:sz w:val="20"/>
                <w:szCs w:val="20"/>
              </w:rPr>
              <w:t>eal</w:t>
            </w:r>
          </w:p>
        </w:tc>
        <w:tc>
          <w:tcPr>
            <w:tcW w:w="940" w:type="dxa"/>
            <w:shd w:val="clear" w:color="auto" w:fill="4BACC6" w:themeFill="accent5"/>
          </w:tcPr>
          <w:p w:rsidR="00B63E79" w:rsidRPr="00B6365A" w:rsidRDefault="00B63E79" w:rsidP="00ED35CC">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 p.a</w:t>
            </w:r>
          </w:p>
        </w:tc>
        <w:tc>
          <w:tcPr>
            <w:tcW w:w="892" w:type="dxa"/>
            <w:shd w:val="clear" w:color="auto" w:fill="4BACC6" w:themeFill="accent5"/>
          </w:tcPr>
          <w:p w:rsidR="00B63E79" w:rsidRPr="00B6365A" w:rsidRDefault="00A61223" w:rsidP="00ED35CC">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 r</w:t>
            </w:r>
            <w:r w:rsidR="00B63E79" w:rsidRPr="00B6365A">
              <w:rPr>
                <w:rFonts w:eastAsia="Times New Roman" w:cs="Arial"/>
                <w:color w:val="auto"/>
                <w:sz w:val="20"/>
                <w:szCs w:val="20"/>
              </w:rPr>
              <w:t>eal</w:t>
            </w:r>
          </w:p>
        </w:tc>
        <w:tc>
          <w:tcPr>
            <w:tcW w:w="861" w:type="dxa"/>
            <w:shd w:val="clear" w:color="auto" w:fill="4BACC6" w:themeFill="accent5"/>
          </w:tcPr>
          <w:p w:rsidR="00B63E79" w:rsidRPr="00B6365A" w:rsidRDefault="00B63E79" w:rsidP="00AA6D60">
            <w:pPr>
              <w:autoSpaceDE w:val="0"/>
              <w:autoSpaceDN w:val="0"/>
              <w:adjustRightInd w:val="0"/>
              <w:spacing w:after="0" w:line="240" w:lineRule="auto"/>
              <w:jc w:val="center"/>
              <w:cnfStyle w:val="000000100000"/>
              <w:rPr>
                <w:rFonts w:eastAsia="Times New Roman" w:cs="Arial"/>
                <w:b/>
                <w:color w:val="auto"/>
                <w:sz w:val="20"/>
                <w:szCs w:val="20"/>
              </w:rPr>
            </w:pPr>
            <w:r w:rsidRPr="00B6365A">
              <w:rPr>
                <w:rFonts w:eastAsia="Times New Roman" w:cs="Arial"/>
                <w:b/>
                <w:color w:val="auto"/>
                <w:sz w:val="20"/>
                <w:szCs w:val="20"/>
              </w:rPr>
              <w:t>% p.a</w:t>
            </w:r>
          </w:p>
        </w:tc>
        <w:tc>
          <w:tcPr>
            <w:tcW w:w="851" w:type="dxa"/>
            <w:shd w:val="clear" w:color="auto" w:fill="4BACC6" w:themeFill="accent5"/>
          </w:tcPr>
          <w:p w:rsidR="00B63E79" w:rsidRPr="00B6365A" w:rsidRDefault="00A61223" w:rsidP="00A61223">
            <w:pPr>
              <w:autoSpaceDE w:val="0"/>
              <w:autoSpaceDN w:val="0"/>
              <w:adjustRightInd w:val="0"/>
              <w:spacing w:after="0" w:line="240" w:lineRule="auto"/>
              <w:jc w:val="center"/>
              <w:cnfStyle w:val="000000100000"/>
              <w:rPr>
                <w:rFonts w:eastAsia="Times New Roman" w:cs="Arial"/>
                <w:b/>
                <w:color w:val="auto"/>
                <w:sz w:val="20"/>
                <w:szCs w:val="20"/>
              </w:rPr>
            </w:pPr>
            <w:r w:rsidRPr="00B6365A">
              <w:rPr>
                <w:rFonts w:eastAsia="Times New Roman" w:cs="Arial"/>
                <w:b/>
                <w:color w:val="auto"/>
                <w:sz w:val="20"/>
                <w:szCs w:val="20"/>
              </w:rPr>
              <w:t>% r</w:t>
            </w:r>
            <w:r w:rsidR="00B63E79" w:rsidRPr="00B6365A">
              <w:rPr>
                <w:rFonts w:eastAsia="Times New Roman" w:cs="Arial"/>
                <w:b/>
                <w:color w:val="auto"/>
                <w:sz w:val="20"/>
                <w:szCs w:val="20"/>
              </w:rPr>
              <w:t>eal</w:t>
            </w:r>
          </w:p>
        </w:tc>
      </w:tr>
      <w:tr w:rsidR="00B6365A" w:rsidRPr="00B6365A" w:rsidTr="00B60050">
        <w:tc>
          <w:tcPr>
            <w:cnfStyle w:val="001000000000"/>
            <w:tcW w:w="1886" w:type="dxa"/>
          </w:tcPr>
          <w:p w:rsidR="00B6365A" w:rsidRPr="00B6365A" w:rsidRDefault="00B6365A" w:rsidP="007849CA">
            <w:pPr>
              <w:autoSpaceDE w:val="0"/>
              <w:autoSpaceDN w:val="0"/>
              <w:adjustRightInd w:val="0"/>
              <w:spacing w:after="0" w:line="240" w:lineRule="auto"/>
              <w:rPr>
                <w:rFonts w:eastAsia="Times New Roman" w:cs="Arial"/>
                <w:b w:val="0"/>
                <w:color w:val="auto"/>
                <w:sz w:val="20"/>
                <w:szCs w:val="20"/>
              </w:rPr>
            </w:pPr>
            <w:r w:rsidRPr="00B6365A">
              <w:rPr>
                <w:rFonts w:eastAsia="Times New Roman" w:cs="Arial"/>
                <w:b w:val="0"/>
                <w:color w:val="auto"/>
                <w:sz w:val="20"/>
                <w:szCs w:val="20"/>
              </w:rPr>
              <w:t>RPI Increases</w:t>
            </w:r>
          </w:p>
        </w:tc>
        <w:tc>
          <w:tcPr>
            <w:tcW w:w="649"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3.4</w:t>
            </w:r>
          </w:p>
        </w:tc>
        <w:tc>
          <w:tcPr>
            <w:tcW w:w="1008" w:type="dxa"/>
            <w:gridSpan w:val="2"/>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w:t>
            </w:r>
          </w:p>
        </w:tc>
        <w:tc>
          <w:tcPr>
            <w:tcW w:w="993"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3.6</w:t>
            </w:r>
          </w:p>
        </w:tc>
        <w:tc>
          <w:tcPr>
            <w:tcW w:w="850"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w:t>
            </w:r>
          </w:p>
        </w:tc>
        <w:tc>
          <w:tcPr>
            <w:tcW w:w="940"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3.2</w:t>
            </w:r>
          </w:p>
        </w:tc>
        <w:tc>
          <w:tcPr>
            <w:tcW w:w="892"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w:t>
            </w:r>
          </w:p>
        </w:tc>
        <w:tc>
          <w:tcPr>
            <w:tcW w:w="861" w:type="dxa"/>
          </w:tcPr>
          <w:p w:rsidR="00B6365A" w:rsidRPr="00B6365A" w:rsidRDefault="008E158B" w:rsidP="00AA6D60">
            <w:pPr>
              <w:autoSpaceDE w:val="0"/>
              <w:autoSpaceDN w:val="0"/>
              <w:adjustRightInd w:val="0"/>
              <w:spacing w:after="0" w:line="240" w:lineRule="auto"/>
              <w:jc w:val="center"/>
              <w:cnfStyle w:val="000000000000"/>
              <w:rPr>
                <w:rFonts w:eastAsia="Times New Roman" w:cs="Arial"/>
                <w:b/>
                <w:color w:val="auto"/>
                <w:sz w:val="20"/>
                <w:szCs w:val="20"/>
              </w:rPr>
            </w:pPr>
            <w:r>
              <w:rPr>
                <w:rFonts w:eastAsia="Times New Roman" w:cs="Arial"/>
                <w:b/>
                <w:color w:val="auto"/>
                <w:sz w:val="20"/>
                <w:szCs w:val="20"/>
              </w:rPr>
              <w:t>3.3</w:t>
            </w:r>
          </w:p>
        </w:tc>
        <w:tc>
          <w:tcPr>
            <w:tcW w:w="851" w:type="dxa"/>
          </w:tcPr>
          <w:p w:rsidR="00B6365A" w:rsidRPr="00B6365A" w:rsidRDefault="008E158B" w:rsidP="00AA6D60">
            <w:pPr>
              <w:autoSpaceDE w:val="0"/>
              <w:autoSpaceDN w:val="0"/>
              <w:adjustRightInd w:val="0"/>
              <w:spacing w:after="0" w:line="240" w:lineRule="auto"/>
              <w:jc w:val="center"/>
              <w:cnfStyle w:val="000000000000"/>
              <w:rPr>
                <w:rFonts w:eastAsia="Times New Roman" w:cs="Arial"/>
                <w:b/>
                <w:color w:val="auto"/>
                <w:sz w:val="20"/>
                <w:szCs w:val="20"/>
              </w:rPr>
            </w:pPr>
            <w:r>
              <w:rPr>
                <w:rFonts w:eastAsia="Times New Roman" w:cs="Arial"/>
                <w:b/>
                <w:color w:val="auto"/>
                <w:sz w:val="20"/>
                <w:szCs w:val="20"/>
              </w:rPr>
              <w:t>-</w:t>
            </w:r>
          </w:p>
        </w:tc>
      </w:tr>
      <w:tr w:rsidR="00B6365A" w:rsidRPr="00B6365A" w:rsidTr="00B60050">
        <w:trPr>
          <w:cnfStyle w:val="000000100000"/>
        </w:trPr>
        <w:tc>
          <w:tcPr>
            <w:cnfStyle w:val="001000000000"/>
            <w:tcW w:w="1886" w:type="dxa"/>
          </w:tcPr>
          <w:p w:rsidR="00B6365A" w:rsidRPr="00B6365A" w:rsidRDefault="00B6365A" w:rsidP="007849CA">
            <w:pPr>
              <w:autoSpaceDE w:val="0"/>
              <w:autoSpaceDN w:val="0"/>
              <w:adjustRightInd w:val="0"/>
              <w:spacing w:after="0" w:line="240" w:lineRule="auto"/>
              <w:rPr>
                <w:rFonts w:eastAsia="Times New Roman" w:cs="Arial"/>
                <w:b w:val="0"/>
                <w:color w:val="auto"/>
                <w:sz w:val="20"/>
                <w:szCs w:val="20"/>
              </w:rPr>
            </w:pPr>
            <w:r w:rsidRPr="00B6365A">
              <w:rPr>
                <w:rFonts w:eastAsia="Times New Roman" w:cs="Arial"/>
                <w:b w:val="0"/>
                <w:color w:val="auto"/>
                <w:sz w:val="20"/>
                <w:szCs w:val="20"/>
              </w:rPr>
              <w:t>CPI Increases</w:t>
            </w:r>
          </w:p>
        </w:tc>
        <w:tc>
          <w:tcPr>
            <w:tcW w:w="649"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2.6</w:t>
            </w:r>
          </w:p>
        </w:tc>
        <w:tc>
          <w:tcPr>
            <w:tcW w:w="1008" w:type="dxa"/>
            <w:gridSpan w:val="2"/>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(0.8)</w:t>
            </w:r>
          </w:p>
        </w:tc>
        <w:tc>
          <w:tcPr>
            <w:tcW w:w="993"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2.8</w:t>
            </w:r>
          </w:p>
        </w:tc>
        <w:tc>
          <w:tcPr>
            <w:tcW w:w="850"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(0.8)</w:t>
            </w:r>
          </w:p>
        </w:tc>
        <w:tc>
          <w:tcPr>
            <w:tcW w:w="940"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2.4</w:t>
            </w:r>
          </w:p>
        </w:tc>
        <w:tc>
          <w:tcPr>
            <w:tcW w:w="892"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(0.8)</w:t>
            </w:r>
          </w:p>
        </w:tc>
        <w:tc>
          <w:tcPr>
            <w:tcW w:w="861" w:type="dxa"/>
          </w:tcPr>
          <w:p w:rsidR="00B6365A" w:rsidRPr="00B6365A" w:rsidRDefault="008E158B" w:rsidP="00AA6D60">
            <w:pPr>
              <w:autoSpaceDE w:val="0"/>
              <w:autoSpaceDN w:val="0"/>
              <w:adjustRightInd w:val="0"/>
              <w:spacing w:after="0" w:line="240" w:lineRule="auto"/>
              <w:jc w:val="center"/>
              <w:cnfStyle w:val="000000100000"/>
              <w:rPr>
                <w:rFonts w:eastAsia="Times New Roman" w:cs="Arial"/>
                <w:b/>
                <w:color w:val="auto"/>
                <w:sz w:val="20"/>
                <w:szCs w:val="20"/>
              </w:rPr>
            </w:pPr>
            <w:r>
              <w:rPr>
                <w:rFonts w:eastAsia="Times New Roman" w:cs="Arial"/>
                <w:b/>
                <w:color w:val="auto"/>
                <w:sz w:val="20"/>
                <w:szCs w:val="20"/>
              </w:rPr>
              <w:t>2.4</w:t>
            </w:r>
          </w:p>
        </w:tc>
        <w:tc>
          <w:tcPr>
            <w:tcW w:w="851" w:type="dxa"/>
          </w:tcPr>
          <w:p w:rsidR="00B6365A" w:rsidRPr="00B6365A" w:rsidRDefault="008E158B" w:rsidP="00AA6D60">
            <w:pPr>
              <w:autoSpaceDE w:val="0"/>
              <w:autoSpaceDN w:val="0"/>
              <w:adjustRightInd w:val="0"/>
              <w:spacing w:after="0" w:line="240" w:lineRule="auto"/>
              <w:jc w:val="center"/>
              <w:cnfStyle w:val="000000100000"/>
              <w:rPr>
                <w:rFonts w:eastAsia="Times New Roman" w:cs="Arial"/>
                <w:b/>
                <w:color w:val="auto"/>
                <w:sz w:val="20"/>
                <w:szCs w:val="20"/>
              </w:rPr>
            </w:pPr>
            <w:r>
              <w:rPr>
                <w:rFonts w:eastAsia="Times New Roman" w:cs="Arial"/>
                <w:b/>
                <w:color w:val="auto"/>
                <w:sz w:val="20"/>
                <w:szCs w:val="20"/>
              </w:rPr>
              <w:t>(0.9)</w:t>
            </w:r>
          </w:p>
        </w:tc>
      </w:tr>
      <w:tr w:rsidR="00B6365A" w:rsidRPr="00B6365A" w:rsidTr="00B60050">
        <w:tc>
          <w:tcPr>
            <w:cnfStyle w:val="001000000000"/>
            <w:tcW w:w="1886" w:type="dxa"/>
          </w:tcPr>
          <w:p w:rsidR="00B6365A" w:rsidRPr="00B6365A" w:rsidRDefault="00B6365A" w:rsidP="007849CA">
            <w:pPr>
              <w:autoSpaceDE w:val="0"/>
              <w:autoSpaceDN w:val="0"/>
              <w:adjustRightInd w:val="0"/>
              <w:spacing w:after="0" w:line="240" w:lineRule="auto"/>
              <w:rPr>
                <w:rFonts w:eastAsia="Times New Roman" w:cs="Arial"/>
                <w:b w:val="0"/>
                <w:color w:val="auto"/>
                <w:sz w:val="20"/>
                <w:szCs w:val="20"/>
              </w:rPr>
            </w:pPr>
            <w:r w:rsidRPr="00B6365A">
              <w:rPr>
                <w:rFonts w:eastAsia="Times New Roman" w:cs="Arial"/>
                <w:b w:val="0"/>
                <w:color w:val="auto"/>
                <w:sz w:val="20"/>
                <w:szCs w:val="20"/>
              </w:rPr>
              <w:t>Salary Increases</w:t>
            </w:r>
          </w:p>
        </w:tc>
        <w:tc>
          <w:tcPr>
            <w:tcW w:w="649"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4.8</w:t>
            </w:r>
          </w:p>
        </w:tc>
        <w:tc>
          <w:tcPr>
            <w:tcW w:w="1008" w:type="dxa"/>
            <w:gridSpan w:val="2"/>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1.4</w:t>
            </w:r>
          </w:p>
        </w:tc>
        <w:tc>
          <w:tcPr>
            <w:tcW w:w="993"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4.6</w:t>
            </w:r>
          </w:p>
        </w:tc>
        <w:tc>
          <w:tcPr>
            <w:tcW w:w="850"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1.0</w:t>
            </w:r>
          </w:p>
        </w:tc>
        <w:tc>
          <w:tcPr>
            <w:tcW w:w="940"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4.2</w:t>
            </w:r>
          </w:p>
        </w:tc>
        <w:tc>
          <w:tcPr>
            <w:tcW w:w="892"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1.0</w:t>
            </w:r>
          </w:p>
        </w:tc>
        <w:tc>
          <w:tcPr>
            <w:tcW w:w="861" w:type="dxa"/>
          </w:tcPr>
          <w:p w:rsidR="00B6365A" w:rsidRPr="00B6365A" w:rsidRDefault="008E158B" w:rsidP="00AA6D60">
            <w:pPr>
              <w:autoSpaceDE w:val="0"/>
              <w:autoSpaceDN w:val="0"/>
              <w:adjustRightInd w:val="0"/>
              <w:spacing w:after="0" w:line="240" w:lineRule="auto"/>
              <w:jc w:val="center"/>
              <w:cnfStyle w:val="000000000000"/>
              <w:rPr>
                <w:rFonts w:eastAsia="Times New Roman" w:cs="Arial"/>
                <w:b/>
                <w:color w:val="auto"/>
                <w:sz w:val="20"/>
                <w:szCs w:val="20"/>
              </w:rPr>
            </w:pPr>
            <w:r>
              <w:rPr>
                <w:rFonts w:eastAsia="Times New Roman" w:cs="Arial"/>
                <w:b/>
                <w:color w:val="auto"/>
                <w:sz w:val="20"/>
                <w:szCs w:val="20"/>
              </w:rPr>
              <w:t>4.2</w:t>
            </w:r>
          </w:p>
        </w:tc>
        <w:tc>
          <w:tcPr>
            <w:tcW w:w="851" w:type="dxa"/>
          </w:tcPr>
          <w:p w:rsidR="00B6365A" w:rsidRPr="00B6365A" w:rsidRDefault="008E158B" w:rsidP="00AA6D60">
            <w:pPr>
              <w:autoSpaceDE w:val="0"/>
              <w:autoSpaceDN w:val="0"/>
              <w:adjustRightInd w:val="0"/>
              <w:spacing w:after="0" w:line="240" w:lineRule="auto"/>
              <w:jc w:val="center"/>
              <w:cnfStyle w:val="000000000000"/>
              <w:rPr>
                <w:rFonts w:eastAsia="Times New Roman" w:cs="Arial"/>
                <w:b/>
                <w:color w:val="auto"/>
                <w:sz w:val="20"/>
                <w:szCs w:val="20"/>
              </w:rPr>
            </w:pPr>
            <w:r>
              <w:rPr>
                <w:rFonts w:eastAsia="Times New Roman" w:cs="Arial"/>
                <w:b/>
                <w:color w:val="auto"/>
                <w:sz w:val="20"/>
                <w:szCs w:val="20"/>
              </w:rPr>
              <w:t>0.9</w:t>
            </w:r>
          </w:p>
        </w:tc>
      </w:tr>
      <w:tr w:rsidR="00B6365A" w:rsidRPr="00B6365A" w:rsidTr="00B60050">
        <w:trPr>
          <w:cnfStyle w:val="000000100000"/>
        </w:trPr>
        <w:tc>
          <w:tcPr>
            <w:cnfStyle w:val="001000000000"/>
            <w:tcW w:w="1886" w:type="dxa"/>
          </w:tcPr>
          <w:p w:rsidR="00B6365A" w:rsidRPr="00B6365A" w:rsidRDefault="00B6365A" w:rsidP="007849CA">
            <w:pPr>
              <w:autoSpaceDE w:val="0"/>
              <w:autoSpaceDN w:val="0"/>
              <w:adjustRightInd w:val="0"/>
              <w:spacing w:after="0" w:line="240" w:lineRule="auto"/>
              <w:rPr>
                <w:rFonts w:eastAsia="Times New Roman" w:cs="Arial"/>
                <w:b w:val="0"/>
                <w:color w:val="auto"/>
                <w:sz w:val="20"/>
                <w:szCs w:val="20"/>
              </w:rPr>
            </w:pPr>
            <w:r w:rsidRPr="00B6365A">
              <w:rPr>
                <w:rFonts w:eastAsia="Times New Roman" w:cs="Arial"/>
                <w:b w:val="0"/>
                <w:color w:val="auto"/>
                <w:sz w:val="20"/>
                <w:szCs w:val="20"/>
              </w:rPr>
              <w:t>Pension Increases</w:t>
            </w:r>
          </w:p>
        </w:tc>
        <w:tc>
          <w:tcPr>
            <w:tcW w:w="649"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2.6</w:t>
            </w:r>
          </w:p>
        </w:tc>
        <w:tc>
          <w:tcPr>
            <w:tcW w:w="1008" w:type="dxa"/>
            <w:gridSpan w:val="2"/>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(0.8)</w:t>
            </w:r>
          </w:p>
        </w:tc>
        <w:tc>
          <w:tcPr>
            <w:tcW w:w="993"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2.8</w:t>
            </w:r>
          </w:p>
        </w:tc>
        <w:tc>
          <w:tcPr>
            <w:tcW w:w="850"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(0.8)</w:t>
            </w:r>
          </w:p>
        </w:tc>
        <w:tc>
          <w:tcPr>
            <w:tcW w:w="940"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2.4</w:t>
            </w:r>
          </w:p>
        </w:tc>
        <w:tc>
          <w:tcPr>
            <w:tcW w:w="892" w:type="dxa"/>
          </w:tcPr>
          <w:p w:rsidR="00B6365A" w:rsidRPr="00B6365A" w:rsidRDefault="00B6365A" w:rsidP="00051379">
            <w:pPr>
              <w:autoSpaceDE w:val="0"/>
              <w:autoSpaceDN w:val="0"/>
              <w:adjustRightInd w:val="0"/>
              <w:spacing w:after="0" w:line="240" w:lineRule="auto"/>
              <w:jc w:val="center"/>
              <w:cnfStyle w:val="000000100000"/>
              <w:rPr>
                <w:rFonts w:eastAsia="Times New Roman" w:cs="Arial"/>
                <w:color w:val="auto"/>
                <w:sz w:val="20"/>
                <w:szCs w:val="20"/>
              </w:rPr>
            </w:pPr>
            <w:r w:rsidRPr="00B6365A">
              <w:rPr>
                <w:rFonts w:eastAsia="Times New Roman" w:cs="Arial"/>
                <w:color w:val="auto"/>
                <w:sz w:val="20"/>
                <w:szCs w:val="20"/>
              </w:rPr>
              <w:t>(0.8)</w:t>
            </w:r>
          </w:p>
        </w:tc>
        <w:tc>
          <w:tcPr>
            <w:tcW w:w="861" w:type="dxa"/>
          </w:tcPr>
          <w:p w:rsidR="00B6365A" w:rsidRPr="00B6365A" w:rsidRDefault="008E158B" w:rsidP="00AA6D60">
            <w:pPr>
              <w:autoSpaceDE w:val="0"/>
              <w:autoSpaceDN w:val="0"/>
              <w:adjustRightInd w:val="0"/>
              <w:spacing w:after="0" w:line="240" w:lineRule="auto"/>
              <w:jc w:val="center"/>
              <w:cnfStyle w:val="000000100000"/>
              <w:rPr>
                <w:rFonts w:eastAsia="Times New Roman" w:cs="Arial"/>
                <w:b/>
                <w:color w:val="auto"/>
                <w:sz w:val="20"/>
                <w:szCs w:val="20"/>
              </w:rPr>
            </w:pPr>
            <w:r>
              <w:rPr>
                <w:rFonts w:eastAsia="Times New Roman" w:cs="Arial"/>
                <w:b/>
                <w:color w:val="auto"/>
                <w:sz w:val="20"/>
                <w:szCs w:val="20"/>
              </w:rPr>
              <w:t>2.4</w:t>
            </w:r>
          </w:p>
        </w:tc>
        <w:tc>
          <w:tcPr>
            <w:tcW w:w="851" w:type="dxa"/>
          </w:tcPr>
          <w:p w:rsidR="00B6365A" w:rsidRPr="00B6365A" w:rsidRDefault="008E158B" w:rsidP="00AA6D60">
            <w:pPr>
              <w:autoSpaceDE w:val="0"/>
              <w:autoSpaceDN w:val="0"/>
              <w:adjustRightInd w:val="0"/>
              <w:spacing w:after="0" w:line="240" w:lineRule="auto"/>
              <w:jc w:val="center"/>
              <w:cnfStyle w:val="000000100000"/>
              <w:rPr>
                <w:rFonts w:eastAsia="Times New Roman" w:cs="Arial"/>
                <w:b/>
                <w:color w:val="auto"/>
                <w:sz w:val="20"/>
                <w:szCs w:val="20"/>
              </w:rPr>
            </w:pPr>
            <w:r>
              <w:rPr>
                <w:rFonts w:eastAsia="Times New Roman" w:cs="Arial"/>
                <w:b/>
                <w:color w:val="auto"/>
                <w:sz w:val="20"/>
                <w:szCs w:val="20"/>
              </w:rPr>
              <w:t>(0.9)</w:t>
            </w:r>
          </w:p>
        </w:tc>
      </w:tr>
      <w:tr w:rsidR="00B6365A" w:rsidRPr="00B6365A" w:rsidTr="00B60050">
        <w:tc>
          <w:tcPr>
            <w:cnfStyle w:val="001000000000"/>
            <w:tcW w:w="1886" w:type="dxa"/>
          </w:tcPr>
          <w:p w:rsidR="00B6365A" w:rsidRPr="00B6365A" w:rsidRDefault="00B6365A" w:rsidP="007849CA">
            <w:pPr>
              <w:autoSpaceDE w:val="0"/>
              <w:autoSpaceDN w:val="0"/>
              <w:adjustRightInd w:val="0"/>
              <w:spacing w:after="0" w:line="240" w:lineRule="auto"/>
              <w:rPr>
                <w:rFonts w:eastAsia="Times New Roman" w:cs="Arial"/>
                <w:b w:val="0"/>
                <w:color w:val="auto"/>
                <w:sz w:val="20"/>
                <w:szCs w:val="20"/>
              </w:rPr>
            </w:pPr>
            <w:r w:rsidRPr="00B6365A">
              <w:rPr>
                <w:rFonts w:eastAsia="Times New Roman" w:cs="Arial"/>
                <w:b w:val="0"/>
                <w:color w:val="auto"/>
                <w:sz w:val="20"/>
                <w:szCs w:val="20"/>
              </w:rPr>
              <w:t>Discount Rate</w:t>
            </w:r>
          </w:p>
        </w:tc>
        <w:tc>
          <w:tcPr>
            <w:tcW w:w="649"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4.5</w:t>
            </w:r>
          </w:p>
        </w:tc>
        <w:tc>
          <w:tcPr>
            <w:tcW w:w="1008" w:type="dxa"/>
            <w:gridSpan w:val="2"/>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1.1</w:t>
            </w:r>
          </w:p>
        </w:tc>
        <w:tc>
          <w:tcPr>
            <w:tcW w:w="993"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4.5</w:t>
            </w:r>
          </w:p>
        </w:tc>
        <w:tc>
          <w:tcPr>
            <w:tcW w:w="850"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0.9</w:t>
            </w:r>
          </w:p>
        </w:tc>
        <w:tc>
          <w:tcPr>
            <w:tcW w:w="940"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3.3</w:t>
            </w:r>
          </w:p>
        </w:tc>
        <w:tc>
          <w:tcPr>
            <w:tcW w:w="892" w:type="dxa"/>
          </w:tcPr>
          <w:p w:rsidR="00B6365A" w:rsidRPr="00B6365A" w:rsidRDefault="00B6365A" w:rsidP="00051379">
            <w:pPr>
              <w:autoSpaceDE w:val="0"/>
              <w:autoSpaceDN w:val="0"/>
              <w:adjustRightInd w:val="0"/>
              <w:spacing w:after="0" w:line="240" w:lineRule="auto"/>
              <w:jc w:val="center"/>
              <w:cnfStyle w:val="000000000000"/>
              <w:rPr>
                <w:rFonts w:eastAsia="Times New Roman" w:cs="Arial"/>
                <w:color w:val="auto"/>
                <w:sz w:val="20"/>
                <w:szCs w:val="20"/>
              </w:rPr>
            </w:pPr>
            <w:r w:rsidRPr="00B6365A">
              <w:rPr>
                <w:rFonts w:eastAsia="Times New Roman" w:cs="Arial"/>
                <w:color w:val="auto"/>
                <w:sz w:val="20"/>
                <w:szCs w:val="20"/>
              </w:rPr>
              <w:t>0.1</w:t>
            </w:r>
          </w:p>
        </w:tc>
        <w:tc>
          <w:tcPr>
            <w:tcW w:w="861" w:type="dxa"/>
          </w:tcPr>
          <w:p w:rsidR="00B6365A" w:rsidRPr="00B6365A" w:rsidRDefault="008E158B" w:rsidP="00AA6D60">
            <w:pPr>
              <w:autoSpaceDE w:val="0"/>
              <w:autoSpaceDN w:val="0"/>
              <w:adjustRightInd w:val="0"/>
              <w:spacing w:after="0" w:line="240" w:lineRule="auto"/>
              <w:jc w:val="center"/>
              <w:cnfStyle w:val="000000000000"/>
              <w:rPr>
                <w:rFonts w:eastAsia="Times New Roman" w:cs="Arial"/>
                <w:b/>
                <w:color w:val="auto"/>
                <w:sz w:val="20"/>
                <w:szCs w:val="20"/>
              </w:rPr>
            </w:pPr>
            <w:r>
              <w:rPr>
                <w:rFonts w:eastAsia="Times New Roman" w:cs="Arial"/>
                <w:b/>
                <w:color w:val="auto"/>
                <w:sz w:val="20"/>
                <w:szCs w:val="20"/>
              </w:rPr>
              <w:t>3.7</w:t>
            </w:r>
          </w:p>
        </w:tc>
        <w:tc>
          <w:tcPr>
            <w:tcW w:w="851" w:type="dxa"/>
          </w:tcPr>
          <w:p w:rsidR="00B6365A" w:rsidRPr="00B6365A" w:rsidRDefault="008E158B" w:rsidP="00AA6D60">
            <w:pPr>
              <w:autoSpaceDE w:val="0"/>
              <w:autoSpaceDN w:val="0"/>
              <w:adjustRightInd w:val="0"/>
              <w:spacing w:after="0" w:line="240" w:lineRule="auto"/>
              <w:jc w:val="center"/>
              <w:cnfStyle w:val="000000000000"/>
              <w:rPr>
                <w:rFonts w:eastAsia="Times New Roman" w:cs="Arial"/>
                <w:b/>
                <w:color w:val="auto"/>
                <w:sz w:val="20"/>
                <w:szCs w:val="20"/>
              </w:rPr>
            </w:pPr>
            <w:r>
              <w:rPr>
                <w:rFonts w:eastAsia="Times New Roman" w:cs="Arial"/>
                <w:b/>
                <w:color w:val="auto"/>
                <w:sz w:val="20"/>
                <w:szCs w:val="20"/>
              </w:rPr>
              <w:t>0.4</w:t>
            </w:r>
          </w:p>
        </w:tc>
      </w:tr>
    </w:tbl>
    <w:p w:rsidR="000002CB" w:rsidRPr="00B6365A" w:rsidRDefault="000002CB" w:rsidP="007E4359">
      <w:pPr>
        <w:autoSpaceDE w:val="0"/>
        <w:autoSpaceDN w:val="0"/>
        <w:adjustRightInd w:val="0"/>
        <w:spacing w:after="0" w:line="240" w:lineRule="auto"/>
        <w:rPr>
          <w:rFonts w:eastAsia="Times New Roman" w:cs="Arial"/>
          <w:color w:val="auto"/>
          <w:sz w:val="20"/>
          <w:szCs w:val="20"/>
          <w:lang w:eastAsia="en-GB"/>
        </w:rPr>
      </w:pPr>
    </w:p>
    <w:p w:rsidR="007E4359" w:rsidRPr="00B6365A" w:rsidRDefault="007E4359" w:rsidP="0009240A">
      <w:pPr>
        <w:autoSpaceDE w:val="0"/>
        <w:autoSpaceDN w:val="0"/>
        <w:adjustRightInd w:val="0"/>
        <w:spacing w:after="0" w:line="240" w:lineRule="auto"/>
        <w:ind w:firstLine="567"/>
        <w:rPr>
          <w:rFonts w:eastAsia="Times New Roman" w:cs="Arial"/>
          <w:color w:val="auto"/>
          <w:sz w:val="20"/>
          <w:szCs w:val="20"/>
          <w:lang w:eastAsia="en-GB"/>
        </w:rPr>
      </w:pPr>
      <w:r w:rsidRPr="00B6365A">
        <w:rPr>
          <w:rFonts w:eastAsia="Times New Roman" w:cs="Arial"/>
          <w:color w:val="auto"/>
          <w:sz w:val="20"/>
          <w:szCs w:val="20"/>
          <w:lang w:eastAsia="en-GB"/>
        </w:rPr>
        <w:t>These assumptions are set with reference to market conditions at 31 March 201</w:t>
      </w:r>
      <w:r w:rsidR="00B6365A" w:rsidRPr="00B6365A">
        <w:rPr>
          <w:rFonts w:eastAsia="Times New Roman" w:cs="Arial"/>
          <w:color w:val="auto"/>
          <w:sz w:val="20"/>
          <w:szCs w:val="20"/>
          <w:lang w:eastAsia="en-GB"/>
        </w:rPr>
        <w:t>6</w:t>
      </w:r>
      <w:r w:rsidRPr="00B6365A">
        <w:rPr>
          <w:rFonts w:eastAsia="Times New Roman" w:cs="Arial"/>
          <w:color w:val="auto"/>
          <w:sz w:val="20"/>
          <w:szCs w:val="20"/>
          <w:lang w:eastAsia="en-GB"/>
        </w:rPr>
        <w:t xml:space="preserve">. </w:t>
      </w:r>
    </w:p>
    <w:p w:rsidR="000002CB" w:rsidRPr="000579A8" w:rsidRDefault="000002CB" w:rsidP="007E4359">
      <w:pPr>
        <w:autoSpaceDE w:val="0"/>
        <w:autoSpaceDN w:val="0"/>
        <w:adjustRightInd w:val="0"/>
        <w:spacing w:after="0" w:line="240" w:lineRule="auto"/>
        <w:rPr>
          <w:rFonts w:eastAsia="Times New Roman" w:cs="Arial"/>
          <w:color w:val="auto"/>
          <w:sz w:val="20"/>
          <w:szCs w:val="20"/>
          <w:lang w:eastAsia="en-GB"/>
        </w:rPr>
      </w:pPr>
    </w:p>
    <w:p w:rsidR="007E4359" w:rsidRPr="000579A8" w:rsidRDefault="000002CB" w:rsidP="004A563D">
      <w:pPr>
        <w:autoSpaceDE w:val="0"/>
        <w:autoSpaceDN w:val="0"/>
        <w:adjustRightInd w:val="0"/>
        <w:spacing w:after="0" w:line="240" w:lineRule="auto"/>
        <w:ind w:left="567"/>
        <w:rPr>
          <w:rFonts w:eastAsia="Times New Roman" w:cs="Arial"/>
          <w:color w:val="auto"/>
          <w:sz w:val="20"/>
          <w:szCs w:val="20"/>
          <w:lang w:eastAsia="en-GB"/>
        </w:rPr>
      </w:pPr>
      <w:r w:rsidRPr="000579A8">
        <w:rPr>
          <w:rFonts w:eastAsia="Times New Roman" w:cs="Arial"/>
          <w:color w:val="auto"/>
          <w:sz w:val="20"/>
          <w:szCs w:val="20"/>
          <w:lang w:eastAsia="en-GB"/>
        </w:rPr>
        <w:t xml:space="preserve">The actuary’s </w:t>
      </w:r>
      <w:r w:rsidR="007E4359" w:rsidRPr="000579A8">
        <w:rPr>
          <w:rFonts w:eastAsia="Times New Roman" w:cs="Arial"/>
          <w:color w:val="auto"/>
          <w:sz w:val="20"/>
          <w:szCs w:val="20"/>
          <w:lang w:eastAsia="en-GB"/>
        </w:rPr>
        <w:t xml:space="preserve">estimate of the duration of the Employer’s liabilities is 19 years. </w:t>
      </w:r>
    </w:p>
    <w:p w:rsidR="000002CB" w:rsidRPr="00D42E0B" w:rsidRDefault="000002CB" w:rsidP="004A563D">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7E4359" w:rsidRPr="000579A8" w:rsidRDefault="007E4359" w:rsidP="004A563D">
      <w:pPr>
        <w:autoSpaceDE w:val="0"/>
        <w:autoSpaceDN w:val="0"/>
        <w:adjustRightInd w:val="0"/>
        <w:spacing w:after="0" w:line="240" w:lineRule="auto"/>
        <w:ind w:left="567"/>
        <w:rPr>
          <w:rFonts w:eastAsia="Times New Roman" w:cs="Arial"/>
          <w:color w:val="auto"/>
          <w:sz w:val="20"/>
          <w:szCs w:val="20"/>
          <w:lang w:eastAsia="en-GB"/>
        </w:rPr>
      </w:pPr>
      <w:r w:rsidRPr="000579A8">
        <w:rPr>
          <w:rFonts w:eastAsia="Times New Roman" w:cs="Arial"/>
          <w:color w:val="auto"/>
          <w:sz w:val="20"/>
          <w:szCs w:val="20"/>
          <w:lang w:eastAsia="en-GB"/>
        </w:rPr>
        <w:t xml:space="preserve">The discount rate is the annualised yield at the 19 year point on the Merrill Lynch AA rated corporate bond </w:t>
      </w:r>
      <w:r w:rsidR="000579A8" w:rsidRPr="000579A8">
        <w:rPr>
          <w:rFonts w:eastAsia="Times New Roman" w:cs="Arial"/>
          <w:color w:val="auto"/>
          <w:sz w:val="20"/>
          <w:szCs w:val="20"/>
          <w:lang w:eastAsia="en-GB"/>
        </w:rPr>
        <w:t xml:space="preserve">yield </w:t>
      </w:r>
      <w:r w:rsidRPr="000579A8">
        <w:rPr>
          <w:rFonts w:eastAsia="Times New Roman" w:cs="Arial"/>
          <w:color w:val="auto"/>
          <w:sz w:val="20"/>
          <w:szCs w:val="20"/>
          <w:lang w:eastAsia="en-GB"/>
        </w:rPr>
        <w:t xml:space="preserve">curve which has been chosen to meet the requirements of IAS19 and with consideration of the duration of the Employer’s liabilities. This is consistent with the approach used at the last accounting date. </w:t>
      </w:r>
    </w:p>
    <w:p w:rsidR="000002CB" w:rsidRPr="000579A8" w:rsidRDefault="000002CB" w:rsidP="004A563D">
      <w:pPr>
        <w:autoSpaceDE w:val="0"/>
        <w:autoSpaceDN w:val="0"/>
        <w:adjustRightInd w:val="0"/>
        <w:spacing w:after="0" w:line="240" w:lineRule="auto"/>
        <w:ind w:left="567"/>
        <w:rPr>
          <w:rFonts w:eastAsia="Times New Roman" w:cs="Arial"/>
          <w:color w:val="auto"/>
          <w:sz w:val="20"/>
          <w:szCs w:val="20"/>
          <w:lang w:eastAsia="en-GB"/>
        </w:rPr>
      </w:pPr>
    </w:p>
    <w:p w:rsidR="007E4359" w:rsidRPr="000579A8" w:rsidRDefault="007E4359" w:rsidP="004A563D">
      <w:pPr>
        <w:autoSpaceDE w:val="0"/>
        <w:autoSpaceDN w:val="0"/>
        <w:adjustRightInd w:val="0"/>
        <w:spacing w:after="0" w:line="240" w:lineRule="auto"/>
        <w:ind w:left="567"/>
        <w:rPr>
          <w:rFonts w:eastAsia="Times New Roman" w:cs="Arial"/>
          <w:color w:val="auto"/>
          <w:sz w:val="20"/>
          <w:szCs w:val="20"/>
          <w:lang w:eastAsia="en-GB"/>
        </w:rPr>
      </w:pPr>
      <w:r w:rsidRPr="000579A8">
        <w:rPr>
          <w:rFonts w:eastAsia="Times New Roman" w:cs="Arial"/>
          <w:color w:val="auto"/>
          <w:sz w:val="20"/>
          <w:szCs w:val="20"/>
          <w:lang w:eastAsia="en-GB"/>
        </w:rPr>
        <w:t xml:space="preserve">The RPI increase assumption is set based on the difference between conventional gilt yields and index-linked gilt yields at the accounting date using data published by the Bank of England, specifically the 19 year point on the BoE spot inflation curve. </w:t>
      </w:r>
      <w:r w:rsidR="002F3A61" w:rsidRPr="000579A8">
        <w:rPr>
          <w:rFonts w:eastAsia="Times New Roman" w:cs="Arial"/>
          <w:color w:val="auto"/>
          <w:sz w:val="20"/>
          <w:szCs w:val="20"/>
          <w:lang w:eastAsia="en-GB"/>
        </w:rPr>
        <w:t>The RPI assumption is therefore 3.</w:t>
      </w:r>
      <w:r w:rsidR="000579A8" w:rsidRPr="000579A8">
        <w:rPr>
          <w:rFonts w:eastAsia="Times New Roman" w:cs="Arial"/>
          <w:color w:val="auto"/>
          <w:sz w:val="20"/>
          <w:szCs w:val="20"/>
          <w:lang w:eastAsia="en-GB"/>
        </w:rPr>
        <w:t>3</w:t>
      </w:r>
      <w:r w:rsidR="002F3A61" w:rsidRPr="000579A8">
        <w:rPr>
          <w:rFonts w:eastAsia="Times New Roman" w:cs="Arial"/>
          <w:color w:val="auto"/>
          <w:sz w:val="20"/>
          <w:szCs w:val="20"/>
          <w:lang w:eastAsia="en-GB"/>
        </w:rPr>
        <w:t xml:space="preserve">% per annum. </w:t>
      </w:r>
      <w:r w:rsidRPr="000579A8">
        <w:rPr>
          <w:rFonts w:eastAsia="Times New Roman" w:cs="Arial"/>
          <w:color w:val="auto"/>
          <w:sz w:val="20"/>
          <w:szCs w:val="20"/>
          <w:lang w:eastAsia="en-GB"/>
        </w:rPr>
        <w:t xml:space="preserve">This is consistent with the approach used at the last accounting date. </w:t>
      </w:r>
    </w:p>
    <w:p w:rsidR="00242A8C" w:rsidRPr="00D42E0B" w:rsidRDefault="00242A8C" w:rsidP="004A563D">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7E4359" w:rsidRPr="000579A8" w:rsidRDefault="007E4359" w:rsidP="004A563D">
      <w:pPr>
        <w:autoSpaceDE w:val="0"/>
        <w:autoSpaceDN w:val="0"/>
        <w:adjustRightInd w:val="0"/>
        <w:spacing w:after="0" w:line="240" w:lineRule="auto"/>
        <w:ind w:left="567"/>
        <w:rPr>
          <w:rFonts w:eastAsia="Times New Roman" w:cs="Arial"/>
          <w:color w:val="auto"/>
          <w:sz w:val="20"/>
          <w:szCs w:val="20"/>
          <w:lang w:eastAsia="en-GB"/>
        </w:rPr>
      </w:pPr>
      <w:r w:rsidRPr="000579A8">
        <w:rPr>
          <w:rFonts w:eastAsia="Times New Roman" w:cs="Arial"/>
          <w:color w:val="auto"/>
          <w:sz w:val="20"/>
          <w:szCs w:val="20"/>
          <w:lang w:eastAsia="en-GB"/>
        </w:rPr>
        <w:t xml:space="preserve">As future pension increases are expected to be based on CPI rather than RPI, </w:t>
      </w:r>
      <w:r w:rsidR="003D0B76" w:rsidRPr="000579A8">
        <w:rPr>
          <w:rFonts w:eastAsia="Times New Roman" w:cs="Arial"/>
          <w:color w:val="auto"/>
          <w:sz w:val="20"/>
          <w:szCs w:val="20"/>
          <w:lang w:eastAsia="en-GB"/>
        </w:rPr>
        <w:t>the actuary has</w:t>
      </w:r>
      <w:r w:rsidRPr="000579A8">
        <w:rPr>
          <w:rFonts w:eastAsia="Times New Roman" w:cs="Arial"/>
          <w:color w:val="auto"/>
          <w:sz w:val="20"/>
          <w:szCs w:val="20"/>
          <w:lang w:eastAsia="en-GB"/>
        </w:rPr>
        <w:t xml:space="preserve"> made a further assumption about CPI which is that it will be 0.</w:t>
      </w:r>
      <w:r w:rsidR="000579A8" w:rsidRPr="000579A8">
        <w:rPr>
          <w:rFonts w:eastAsia="Times New Roman" w:cs="Arial"/>
          <w:color w:val="auto"/>
          <w:sz w:val="20"/>
          <w:szCs w:val="20"/>
          <w:lang w:eastAsia="en-GB"/>
        </w:rPr>
        <w:t>9</w:t>
      </w:r>
      <w:r w:rsidRPr="000579A8">
        <w:rPr>
          <w:rFonts w:eastAsia="Times New Roman" w:cs="Arial"/>
          <w:color w:val="auto"/>
          <w:sz w:val="20"/>
          <w:szCs w:val="20"/>
          <w:lang w:eastAsia="en-GB"/>
        </w:rPr>
        <w:t>% below RPI i.e. 2.</w:t>
      </w:r>
      <w:r w:rsidR="002F3A61" w:rsidRPr="000579A8">
        <w:rPr>
          <w:rFonts w:eastAsia="Times New Roman" w:cs="Arial"/>
          <w:color w:val="auto"/>
          <w:sz w:val="20"/>
          <w:szCs w:val="20"/>
          <w:lang w:eastAsia="en-GB"/>
        </w:rPr>
        <w:t>4</w:t>
      </w:r>
      <w:r w:rsidRPr="000579A8">
        <w:rPr>
          <w:rFonts w:eastAsia="Times New Roman" w:cs="Arial"/>
          <w:color w:val="auto"/>
          <w:sz w:val="20"/>
          <w:szCs w:val="20"/>
          <w:lang w:eastAsia="en-GB"/>
        </w:rPr>
        <w:t xml:space="preserve">%. </w:t>
      </w:r>
      <w:r w:rsidR="000579A8" w:rsidRPr="000579A8">
        <w:rPr>
          <w:rFonts w:eastAsia="Times New Roman" w:cs="Arial"/>
          <w:color w:val="auto"/>
          <w:sz w:val="20"/>
          <w:szCs w:val="20"/>
          <w:lang w:eastAsia="en-GB"/>
        </w:rPr>
        <w:t xml:space="preserve">This is a slightly </w:t>
      </w:r>
      <w:r w:rsidR="007E33E1" w:rsidRPr="000579A8">
        <w:rPr>
          <w:rFonts w:eastAsia="Times New Roman" w:cs="Arial"/>
          <w:color w:val="auto"/>
          <w:sz w:val="20"/>
          <w:szCs w:val="20"/>
          <w:lang w:eastAsia="en-GB"/>
        </w:rPr>
        <w:t>higher</w:t>
      </w:r>
      <w:r w:rsidR="000579A8" w:rsidRPr="000579A8">
        <w:rPr>
          <w:rFonts w:eastAsia="Times New Roman" w:cs="Arial"/>
          <w:color w:val="auto"/>
          <w:sz w:val="20"/>
          <w:szCs w:val="20"/>
          <w:lang w:eastAsia="en-GB"/>
        </w:rPr>
        <w:t xml:space="preserve"> differential than last year. </w:t>
      </w:r>
      <w:r w:rsidR="003D0B76" w:rsidRPr="000579A8">
        <w:rPr>
          <w:rFonts w:eastAsia="Times New Roman" w:cs="Arial"/>
          <w:color w:val="auto"/>
          <w:sz w:val="20"/>
          <w:szCs w:val="20"/>
          <w:lang w:eastAsia="en-GB"/>
        </w:rPr>
        <w:t>The actuary belie</w:t>
      </w:r>
      <w:r w:rsidR="005D2C2E" w:rsidRPr="000579A8">
        <w:rPr>
          <w:rFonts w:eastAsia="Times New Roman" w:cs="Arial"/>
          <w:color w:val="auto"/>
          <w:sz w:val="20"/>
          <w:szCs w:val="20"/>
          <w:lang w:eastAsia="en-GB"/>
        </w:rPr>
        <w:t>v</w:t>
      </w:r>
      <w:r w:rsidR="003D0B76" w:rsidRPr="000579A8">
        <w:rPr>
          <w:rFonts w:eastAsia="Times New Roman" w:cs="Arial"/>
          <w:color w:val="auto"/>
          <w:sz w:val="20"/>
          <w:szCs w:val="20"/>
          <w:lang w:eastAsia="en-GB"/>
        </w:rPr>
        <w:t xml:space="preserve">es </w:t>
      </w:r>
      <w:r w:rsidRPr="000579A8">
        <w:rPr>
          <w:rFonts w:eastAsia="Times New Roman" w:cs="Arial"/>
          <w:color w:val="auto"/>
          <w:sz w:val="20"/>
          <w:szCs w:val="20"/>
          <w:lang w:eastAsia="en-GB"/>
        </w:rPr>
        <w:t>that this is a reasonable estimate for the future differences in the indices, based on the different calculation methods</w:t>
      </w:r>
      <w:r w:rsidR="000579A8" w:rsidRPr="000579A8">
        <w:rPr>
          <w:rFonts w:eastAsia="Times New Roman" w:cs="Arial"/>
          <w:color w:val="auto"/>
          <w:sz w:val="20"/>
          <w:szCs w:val="20"/>
          <w:lang w:eastAsia="en-GB"/>
        </w:rPr>
        <w:t xml:space="preserve"> and recent independent forecasts</w:t>
      </w:r>
      <w:r w:rsidRPr="000579A8">
        <w:rPr>
          <w:rFonts w:eastAsia="Times New Roman" w:cs="Arial"/>
          <w:color w:val="auto"/>
          <w:sz w:val="20"/>
          <w:szCs w:val="20"/>
          <w:lang w:eastAsia="en-GB"/>
        </w:rPr>
        <w:t xml:space="preserve">. </w:t>
      </w:r>
    </w:p>
    <w:p w:rsidR="00242A8C" w:rsidRPr="00D42E0B" w:rsidRDefault="00242A8C" w:rsidP="007E4359">
      <w:pPr>
        <w:autoSpaceDE w:val="0"/>
        <w:autoSpaceDN w:val="0"/>
        <w:adjustRightInd w:val="0"/>
        <w:spacing w:after="0" w:line="240" w:lineRule="auto"/>
        <w:ind w:left="567"/>
        <w:rPr>
          <w:rFonts w:eastAsia="Times New Roman" w:cs="Arial"/>
          <w:color w:val="548DD4" w:themeColor="text2" w:themeTint="99"/>
          <w:sz w:val="20"/>
          <w:szCs w:val="20"/>
          <w:lang w:eastAsia="en-GB"/>
        </w:rPr>
      </w:pPr>
    </w:p>
    <w:p w:rsidR="00E13756" w:rsidRPr="008A5A68" w:rsidRDefault="007E4359" w:rsidP="004A563D">
      <w:pPr>
        <w:autoSpaceDE w:val="0"/>
        <w:autoSpaceDN w:val="0"/>
        <w:adjustRightInd w:val="0"/>
        <w:spacing w:after="0" w:line="240" w:lineRule="auto"/>
        <w:ind w:left="567"/>
        <w:rPr>
          <w:rFonts w:eastAsia="Times New Roman" w:cs="Arial"/>
          <w:color w:val="auto"/>
          <w:sz w:val="20"/>
          <w:szCs w:val="20"/>
          <w:lang w:eastAsia="en-GB"/>
        </w:rPr>
      </w:pPr>
      <w:r w:rsidRPr="008A5A68">
        <w:rPr>
          <w:rFonts w:eastAsia="Times New Roman" w:cs="Arial"/>
          <w:color w:val="auto"/>
          <w:sz w:val="20"/>
          <w:szCs w:val="20"/>
          <w:lang w:eastAsia="en-GB"/>
        </w:rPr>
        <w:t xml:space="preserve">Salary increases are then assumed to increase at 1.8% per annum above CPI in addition to a promotional scale. </w:t>
      </w:r>
    </w:p>
    <w:p w:rsidR="00E13756" w:rsidRPr="00D42E0B" w:rsidRDefault="00E13756" w:rsidP="002F518C">
      <w:pPr>
        <w:autoSpaceDE w:val="0"/>
        <w:autoSpaceDN w:val="0"/>
        <w:adjustRightInd w:val="0"/>
        <w:spacing w:after="0" w:line="240" w:lineRule="auto"/>
        <w:ind w:left="567" w:firstLine="153"/>
        <w:rPr>
          <w:rFonts w:eastAsia="Times New Roman" w:cs="Arial"/>
          <w:b/>
          <w:color w:val="548DD4" w:themeColor="text2" w:themeTint="99"/>
          <w:sz w:val="20"/>
          <w:szCs w:val="20"/>
        </w:rPr>
      </w:pPr>
    </w:p>
    <w:p w:rsidR="007E2CD5" w:rsidRPr="00E7618A" w:rsidRDefault="007E2CD5" w:rsidP="004A563D">
      <w:pPr>
        <w:autoSpaceDE w:val="0"/>
        <w:autoSpaceDN w:val="0"/>
        <w:adjustRightInd w:val="0"/>
        <w:spacing w:after="0" w:line="240" w:lineRule="auto"/>
        <w:ind w:left="567"/>
        <w:rPr>
          <w:rFonts w:eastAsia="Times New Roman" w:cs="Arial"/>
          <w:b/>
          <w:color w:val="auto"/>
          <w:sz w:val="20"/>
          <w:szCs w:val="20"/>
          <w:lang w:eastAsia="en-GB"/>
        </w:rPr>
      </w:pPr>
      <w:r w:rsidRPr="00E7618A">
        <w:rPr>
          <w:rFonts w:eastAsia="Times New Roman" w:cs="Arial"/>
          <w:b/>
          <w:color w:val="auto"/>
          <w:sz w:val="20"/>
          <w:szCs w:val="20"/>
          <w:lang w:eastAsia="en-GB"/>
        </w:rPr>
        <w:t>Sensitivity Analysis on Actuarial assumptions:</w:t>
      </w:r>
    </w:p>
    <w:p w:rsidR="007E2CD5" w:rsidRPr="00E7618A" w:rsidRDefault="007E2CD5" w:rsidP="007E2CD5">
      <w:pPr>
        <w:autoSpaceDE w:val="0"/>
        <w:autoSpaceDN w:val="0"/>
        <w:adjustRightInd w:val="0"/>
        <w:spacing w:after="0" w:line="240" w:lineRule="auto"/>
        <w:ind w:left="567"/>
        <w:rPr>
          <w:rFonts w:eastAsia="Times New Roman" w:cs="Arial"/>
          <w:color w:val="auto"/>
          <w:sz w:val="20"/>
          <w:szCs w:val="20"/>
          <w:lang w:eastAsia="en-GB"/>
        </w:rPr>
      </w:pPr>
    </w:p>
    <w:p w:rsidR="007E2CD5" w:rsidRPr="00E7618A" w:rsidRDefault="002F518C" w:rsidP="004A563D">
      <w:pPr>
        <w:autoSpaceDE w:val="0"/>
        <w:autoSpaceDN w:val="0"/>
        <w:adjustRightInd w:val="0"/>
        <w:spacing w:after="0" w:line="240" w:lineRule="auto"/>
        <w:ind w:left="567"/>
        <w:rPr>
          <w:rFonts w:eastAsia="Times New Roman" w:cs="Arial"/>
          <w:color w:val="auto"/>
          <w:sz w:val="20"/>
          <w:szCs w:val="20"/>
          <w:lang w:eastAsia="en-GB"/>
        </w:rPr>
      </w:pPr>
      <w:r w:rsidRPr="00E7618A">
        <w:rPr>
          <w:rFonts w:eastAsia="Times New Roman" w:cs="Arial"/>
          <w:color w:val="auto"/>
          <w:sz w:val="20"/>
          <w:szCs w:val="20"/>
          <w:lang w:eastAsia="en-GB"/>
        </w:rPr>
        <w:t xml:space="preserve">The actuary has proved a sensitivity analysis of a 0.1% change in the key actuarial assumptions showing the impact on the net </w:t>
      </w:r>
      <w:r w:rsidR="007E33E1">
        <w:rPr>
          <w:rFonts w:eastAsia="Times New Roman" w:cs="Arial"/>
          <w:color w:val="auto"/>
          <w:sz w:val="20"/>
          <w:szCs w:val="20"/>
          <w:lang w:eastAsia="en-GB"/>
        </w:rPr>
        <w:t>liability</w:t>
      </w:r>
      <w:r w:rsidRPr="00E7618A">
        <w:rPr>
          <w:rFonts w:eastAsia="Times New Roman" w:cs="Arial"/>
          <w:color w:val="auto"/>
          <w:sz w:val="20"/>
          <w:szCs w:val="20"/>
          <w:lang w:eastAsia="en-GB"/>
        </w:rPr>
        <w:t xml:space="preserve"> and the Servi</w:t>
      </w:r>
      <w:r w:rsidR="00A54A4B" w:rsidRPr="00E7618A">
        <w:rPr>
          <w:rFonts w:eastAsia="Times New Roman" w:cs="Arial"/>
          <w:color w:val="auto"/>
          <w:sz w:val="20"/>
          <w:szCs w:val="20"/>
          <w:lang w:eastAsia="en-GB"/>
        </w:rPr>
        <w:t>c</w:t>
      </w:r>
      <w:r w:rsidRPr="00E7618A">
        <w:rPr>
          <w:rFonts w:eastAsia="Times New Roman" w:cs="Arial"/>
          <w:color w:val="auto"/>
          <w:sz w:val="20"/>
          <w:szCs w:val="20"/>
          <w:lang w:eastAsia="en-GB"/>
        </w:rPr>
        <w:t>e Cost.</w:t>
      </w:r>
    </w:p>
    <w:p w:rsidR="000401DE" w:rsidRPr="00D42E0B" w:rsidRDefault="000401DE" w:rsidP="002F518C">
      <w:pPr>
        <w:autoSpaceDE w:val="0"/>
        <w:autoSpaceDN w:val="0"/>
        <w:adjustRightInd w:val="0"/>
        <w:spacing w:after="0" w:line="240" w:lineRule="auto"/>
        <w:ind w:left="720" w:firstLine="3"/>
        <w:rPr>
          <w:rFonts w:eastAsia="Times New Roman" w:cs="Arial"/>
          <w:color w:val="548DD4" w:themeColor="text2" w:themeTint="99"/>
          <w:sz w:val="20"/>
          <w:szCs w:val="20"/>
          <w:lang w:eastAsia="en-GB"/>
        </w:rPr>
      </w:pPr>
    </w:p>
    <w:p w:rsidR="00922D1C" w:rsidRPr="00D42E0B" w:rsidRDefault="00922D1C" w:rsidP="002F518C">
      <w:pPr>
        <w:autoSpaceDE w:val="0"/>
        <w:autoSpaceDN w:val="0"/>
        <w:adjustRightInd w:val="0"/>
        <w:spacing w:after="0" w:line="240" w:lineRule="auto"/>
        <w:ind w:left="720" w:firstLine="3"/>
        <w:rPr>
          <w:rFonts w:eastAsia="Times New Roman" w:cs="Arial"/>
          <w:color w:val="548DD4" w:themeColor="text2" w:themeTint="99"/>
          <w:sz w:val="20"/>
          <w:szCs w:val="20"/>
          <w:lang w:eastAsia="en-GB"/>
        </w:rPr>
      </w:pPr>
    </w:p>
    <w:tbl>
      <w:tblPr>
        <w:tblStyle w:val="ListTable3-Accent51"/>
        <w:tblpPr w:leftFromText="180" w:rightFromText="180" w:vertAnchor="text" w:horzAnchor="margin" w:tblpXSpec="center" w:tblpY="127"/>
        <w:tblW w:w="0" w:type="auto"/>
        <w:tblBorders>
          <w:insideH w:val="single" w:sz="4" w:space="0" w:color="4BACC6" w:themeColor="accent5"/>
          <w:insideV w:val="single" w:sz="4" w:space="0" w:color="4BACC6" w:themeColor="accent5"/>
        </w:tblBorders>
        <w:tblLook w:val="04A0"/>
      </w:tblPr>
      <w:tblGrid>
        <w:gridCol w:w="3895"/>
        <w:gridCol w:w="1417"/>
        <w:gridCol w:w="1418"/>
        <w:gridCol w:w="1337"/>
      </w:tblGrid>
      <w:tr w:rsidR="004A563D" w:rsidRPr="00D42E0B" w:rsidTr="004A563D">
        <w:trPr>
          <w:cnfStyle w:val="100000000000"/>
        </w:trPr>
        <w:tc>
          <w:tcPr>
            <w:cnfStyle w:val="001000000100"/>
            <w:tcW w:w="3895" w:type="dxa"/>
            <w:tcBorders>
              <w:bottom w:val="none" w:sz="0" w:space="0" w:color="auto"/>
              <w:right w:val="none" w:sz="0" w:space="0" w:color="auto"/>
            </w:tcBorders>
          </w:tcPr>
          <w:p w:rsidR="004A563D" w:rsidRPr="00E7618A" w:rsidRDefault="004A563D" w:rsidP="004A563D">
            <w:pPr>
              <w:autoSpaceDE w:val="0"/>
              <w:autoSpaceDN w:val="0"/>
              <w:adjustRightInd w:val="0"/>
              <w:spacing w:after="0" w:line="240" w:lineRule="auto"/>
              <w:rPr>
                <w:rFonts w:eastAsia="Times New Roman" w:cs="Arial"/>
                <w:b w:val="0"/>
                <w:color w:val="auto"/>
                <w:sz w:val="20"/>
                <w:szCs w:val="20"/>
              </w:rPr>
            </w:pPr>
          </w:p>
        </w:tc>
        <w:tc>
          <w:tcPr>
            <w:tcW w:w="1417" w:type="dxa"/>
          </w:tcPr>
          <w:p w:rsidR="004A563D" w:rsidRPr="00E7618A" w:rsidRDefault="004A563D" w:rsidP="004A563D">
            <w:pPr>
              <w:autoSpaceDE w:val="0"/>
              <w:autoSpaceDN w:val="0"/>
              <w:adjustRightInd w:val="0"/>
              <w:spacing w:after="0" w:line="240" w:lineRule="auto"/>
              <w:jc w:val="center"/>
              <w:cnfStyle w:val="100000000000"/>
              <w:rPr>
                <w:rFonts w:eastAsia="Times New Roman" w:cs="Arial"/>
                <w:b w:val="0"/>
                <w:color w:val="auto"/>
                <w:sz w:val="20"/>
                <w:szCs w:val="20"/>
              </w:rPr>
            </w:pPr>
            <w:r w:rsidRPr="00E7618A">
              <w:rPr>
                <w:rFonts w:eastAsia="Times New Roman" w:cs="Arial"/>
                <w:b w:val="0"/>
                <w:color w:val="auto"/>
                <w:sz w:val="20"/>
                <w:szCs w:val="20"/>
              </w:rPr>
              <w:t>£m</w:t>
            </w:r>
          </w:p>
          <w:p w:rsidR="004A563D" w:rsidRPr="00E7618A" w:rsidRDefault="004A563D" w:rsidP="004A563D">
            <w:pPr>
              <w:autoSpaceDE w:val="0"/>
              <w:autoSpaceDN w:val="0"/>
              <w:adjustRightInd w:val="0"/>
              <w:spacing w:after="0" w:line="240" w:lineRule="auto"/>
              <w:jc w:val="center"/>
              <w:cnfStyle w:val="100000000000"/>
              <w:rPr>
                <w:rFonts w:eastAsia="Times New Roman" w:cs="Arial"/>
                <w:b w:val="0"/>
                <w:color w:val="auto"/>
                <w:sz w:val="20"/>
                <w:szCs w:val="20"/>
              </w:rPr>
            </w:pPr>
          </w:p>
        </w:tc>
        <w:tc>
          <w:tcPr>
            <w:tcW w:w="1418" w:type="dxa"/>
          </w:tcPr>
          <w:p w:rsidR="004A563D" w:rsidRPr="00E7618A" w:rsidRDefault="004A563D" w:rsidP="004A563D">
            <w:pPr>
              <w:autoSpaceDE w:val="0"/>
              <w:autoSpaceDN w:val="0"/>
              <w:adjustRightInd w:val="0"/>
              <w:spacing w:after="0" w:line="240" w:lineRule="auto"/>
              <w:jc w:val="center"/>
              <w:cnfStyle w:val="100000000000"/>
              <w:rPr>
                <w:rFonts w:eastAsia="Times New Roman" w:cs="Arial"/>
                <w:b w:val="0"/>
                <w:color w:val="auto"/>
                <w:sz w:val="20"/>
                <w:szCs w:val="20"/>
              </w:rPr>
            </w:pPr>
            <w:r w:rsidRPr="00E7618A">
              <w:rPr>
                <w:rFonts w:eastAsia="Times New Roman" w:cs="Arial"/>
                <w:b w:val="0"/>
                <w:color w:val="auto"/>
                <w:sz w:val="20"/>
                <w:szCs w:val="20"/>
              </w:rPr>
              <w:t>£m</w:t>
            </w:r>
          </w:p>
        </w:tc>
        <w:tc>
          <w:tcPr>
            <w:tcW w:w="1337" w:type="dxa"/>
          </w:tcPr>
          <w:p w:rsidR="004A563D" w:rsidRPr="00E7618A" w:rsidRDefault="004A563D" w:rsidP="004A563D">
            <w:pPr>
              <w:autoSpaceDE w:val="0"/>
              <w:autoSpaceDN w:val="0"/>
              <w:adjustRightInd w:val="0"/>
              <w:spacing w:after="0" w:line="240" w:lineRule="auto"/>
              <w:jc w:val="center"/>
              <w:cnfStyle w:val="100000000000"/>
              <w:rPr>
                <w:rFonts w:eastAsia="Times New Roman" w:cs="Arial"/>
                <w:b w:val="0"/>
                <w:color w:val="auto"/>
                <w:sz w:val="20"/>
                <w:szCs w:val="20"/>
              </w:rPr>
            </w:pPr>
            <w:r w:rsidRPr="00E7618A">
              <w:rPr>
                <w:rFonts w:eastAsia="Times New Roman" w:cs="Arial"/>
                <w:b w:val="0"/>
                <w:color w:val="auto"/>
                <w:sz w:val="20"/>
                <w:szCs w:val="20"/>
              </w:rPr>
              <w:t>£m</w:t>
            </w:r>
          </w:p>
        </w:tc>
      </w:tr>
      <w:tr w:rsidR="004A563D" w:rsidRPr="00D42E0B" w:rsidTr="004A563D">
        <w:trPr>
          <w:cnfStyle w:val="000000100000"/>
        </w:trPr>
        <w:tc>
          <w:tcPr>
            <w:cnfStyle w:val="001000000000"/>
            <w:tcW w:w="3895" w:type="dxa"/>
            <w:tcBorders>
              <w:top w:val="none" w:sz="0" w:space="0" w:color="auto"/>
              <w:bottom w:val="none" w:sz="0" w:space="0" w:color="auto"/>
              <w:right w:val="none" w:sz="0" w:space="0" w:color="auto"/>
            </w:tcBorders>
          </w:tcPr>
          <w:p w:rsidR="004A563D" w:rsidRPr="00E7618A" w:rsidRDefault="004A563D" w:rsidP="004A563D">
            <w:pPr>
              <w:autoSpaceDE w:val="0"/>
              <w:autoSpaceDN w:val="0"/>
              <w:adjustRightInd w:val="0"/>
              <w:spacing w:after="0" w:line="240" w:lineRule="auto"/>
              <w:rPr>
                <w:rFonts w:eastAsia="Times New Roman" w:cs="Arial"/>
                <w:color w:val="auto"/>
                <w:sz w:val="20"/>
                <w:szCs w:val="20"/>
              </w:rPr>
            </w:pPr>
            <w:r w:rsidRPr="00E7618A">
              <w:rPr>
                <w:rFonts w:eastAsia="Times New Roman" w:cs="Arial"/>
                <w:color w:val="auto"/>
                <w:sz w:val="20"/>
                <w:szCs w:val="20"/>
              </w:rPr>
              <w:t>Adjustment to Discount Rate</w:t>
            </w:r>
          </w:p>
        </w:tc>
        <w:tc>
          <w:tcPr>
            <w:tcW w:w="1417" w:type="dxa"/>
            <w:tcBorders>
              <w:top w:val="none" w:sz="0" w:space="0" w:color="auto"/>
              <w:bottom w:val="none" w:sz="0" w:space="0" w:color="auto"/>
            </w:tcBorders>
          </w:tcPr>
          <w:p w:rsidR="004A563D" w:rsidRPr="00E7618A" w:rsidRDefault="004A563D" w:rsidP="004A563D">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+0.1%</w:t>
            </w:r>
          </w:p>
        </w:tc>
        <w:tc>
          <w:tcPr>
            <w:tcW w:w="1418" w:type="dxa"/>
            <w:tcBorders>
              <w:top w:val="none" w:sz="0" w:space="0" w:color="auto"/>
              <w:bottom w:val="none" w:sz="0" w:space="0" w:color="auto"/>
            </w:tcBorders>
          </w:tcPr>
          <w:p w:rsidR="004A563D" w:rsidRPr="00E7618A" w:rsidRDefault="004A563D" w:rsidP="004A563D">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0</w:t>
            </w:r>
            <w:r w:rsidR="00B81008" w:rsidRPr="00E7618A">
              <w:rPr>
                <w:rFonts w:eastAsia="Times New Roman" w:cs="Arial"/>
                <w:color w:val="auto"/>
                <w:sz w:val="20"/>
                <w:szCs w:val="20"/>
              </w:rPr>
              <w:t>%</w:t>
            </w:r>
          </w:p>
        </w:tc>
        <w:tc>
          <w:tcPr>
            <w:tcW w:w="1337" w:type="dxa"/>
            <w:tcBorders>
              <w:top w:val="none" w:sz="0" w:space="0" w:color="auto"/>
              <w:bottom w:val="none" w:sz="0" w:space="0" w:color="auto"/>
            </w:tcBorders>
          </w:tcPr>
          <w:p w:rsidR="004A563D" w:rsidRPr="00A45C87" w:rsidRDefault="004A563D" w:rsidP="004A563D">
            <w:pPr>
              <w:autoSpaceDE w:val="0"/>
              <w:autoSpaceDN w:val="0"/>
              <w:adjustRightInd w:val="0"/>
              <w:spacing w:after="0" w:line="240" w:lineRule="auto"/>
              <w:jc w:val="center"/>
              <w:cnfStyle w:val="000000100000"/>
              <w:rPr>
                <w:rFonts w:eastAsia="Times New Roman" w:cs="Arial"/>
                <w:color w:val="auto"/>
                <w:sz w:val="20"/>
                <w:szCs w:val="20"/>
              </w:rPr>
            </w:pPr>
            <w:r w:rsidRPr="00A45C87">
              <w:rPr>
                <w:rFonts w:eastAsia="Times New Roman" w:cs="Arial"/>
                <w:color w:val="auto"/>
                <w:sz w:val="20"/>
                <w:szCs w:val="20"/>
              </w:rPr>
              <w:t>(0.1%)</w:t>
            </w:r>
          </w:p>
        </w:tc>
      </w:tr>
      <w:tr w:rsidR="004A563D" w:rsidRPr="00D42E0B" w:rsidTr="004A563D">
        <w:tc>
          <w:tcPr>
            <w:cnfStyle w:val="001000000000"/>
            <w:tcW w:w="3895" w:type="dxa"/>
            <w:tcBorders>
              <w:right w:val="none" w:sz="0" w:space="0" w:color="auto"/>
            </w:tcBorders>
          </w:tcPr>
          <w:p w:rsidR="004A563D" w:rsidRPr="00E7618A" w:rsidRDefault="004A563D" w:rsidP="004A563D">
            <w:pPr>
              <w:autoSpaceDE w:val="0"/>
              <w:autoSpaceDN w:val="0"/>
              <w:adjustRightInd w:val="0"/>
              <w:spacing w:after="0" w:line="240" w:lineRule="auto"/>
              <w:rPr>
                <w:rFonts w:eastAsia="Times New Roman" w:cs="Arial"/>
                <w:b w:val="0"/>
                <w:color w:val="auto"/>
                <w:sz w:val="20"/>
                <w:szCs w:val="20"/>
              </w:rPr>
            </w:pPr>
            <w:r w:rsidRPr="00E7618A">
              <w:rPr>
                <w:rFonts w:eastAsia="Times New Roman" w:cs="Arial"/>
                <w:b w:val="0"/>
                <w:color w:val="auto"/>
                <w:sz w:val="20"/>
                <w:szCs w:val="20"/>
              </w:rPr>
              <w:t>Present Value of obligation</w:t>
            </w:r>
          </w:p>
        </w:tc>
        <w:tc>
          <w:tcPr>
            <w:tcW w:w="1417" w:type="dxa"/>
          </w:tcPr>
          <w:p w:rsidR="004A563D" w:rsidRPr="00E7618A" w:rsidRDefault="00E7618A" w:rsidP="00E7618A">
            <w:pPr>
              <w:autoSpaceDE w:val="0"/>
              <w:autoSpaceDN w:val="0"/>
              <w:adjustRightInd w:val="0"/>
              <w:spacing w:after="0" w:line="240" w:lineRule="auto"/>
              <w:jc w:val="center"/>
              <w:cnfStyle w:val="000000000000"/>
              <w:rPr>
                <w:rFonts w:eastAsia="Times New Roman" w:cs="Arial"/>
                <w:color w:val="auto"/>
                <w:sz w:val="20"/>
                <w:szCs w:val="20"/>
              </w:rPr>
            </w:pPr>
            <w:r w:rsidRPr="00E7618A">
              <w:rPr>
                <w:rFonts w:eastAsia="Times New Roman" w:cs="Arial"/>
                <w:color w:val="auto"/>
                <w:sz w:val="20"/>
                <w:szCs w:val="20"/>
              </w:rPr>
              <w:t>383.8</w:t>
            </w:r>
          </w:p>
        </w:tc>
        <w:tc>
          <w:tcPr>
            <w:tcW w:w="1418" w:type="dxa"/>
          </w:tcPr>
          <w:p w:rsidR="004A563D" w:rsidRPr="00E7618A" w:rsidRDefault="00E7618A" w:rsidP="00B143D9">
            <w:pPr>
              <w:autoSpaceDE w:val="0"/>
              <w:autoSpaceDN w:val="0"/>
              <w:adjustRightInd w:val="0"/>
              <w:spacing w:after="0" w:line="240" w:lineRule="auto"/>
              <w:jc w:val="center"/>
              <w:cnfStyle w:val="000000000000"/>
              <w:rPr>
                <w:rFonts w:eastAsia="Times New Roman" w:cs="Arial"/>
                <w:color w:val="auto"/>
                <w:sz w:val="20"/>
                <w:szCs w:val="20"/>
              </w:rPr>
            </w:pPr>
            <w:r w:rsidRPr="00E7618A">
              <w:rPr>
                <w:rFonts w:eastAsia="Times New Roman" w:cs="Arial"/>
                <w:color w:val="auto"/>
                <w:sz w:val="20"/>
                <w:szCs w:val="20"/>
              </w:rPr>
              <w:t>390.9</w:t>
            </w:r>
          </w:p>
        </w:tc>
        <w:tc>
          <w:tcPr>
            <w:tcW w:w="1337" w:type="dxa"/>
          </w:tcPr>
          <w:p w:rsidR="004A563D" w:rsidRPr="00A45C87" w:rsidRDefault="00A45C87" w:rsidP="00B143D9">
            <w:pPr>
              <w:autoSpaceDE w:val="0"/>
              <w:autoSpaceDN w:val="0"/>
              <w:adjustRightInd w:val="0"/>
              <w:spacing w:after="0" w:line="240" w:lineRule="auto"/>
              <w:jc w:val="center"/>
              <w:cnfStyle w:val="000000000000"/>
              <w:rPr>
                <w:rFonts w:eastAsia="Times New Roman" w:cs="Arial"/>
                <w:color w:val="auto"/>
                <w:sz w:val="20"/>
                <w:szCs w:val="20"/>
              </w:rPr>
            </w:pPr>
            <w:r w:rsidRPr="00A45C87">
              <w:rPr>
                <w:rFonts w:eastAsia="Times New Roman" w:cs="Arial"/>
                <w:color w:val="auto"/>
                <w:sz w:val="20"/>
                <w:szCs w:val="20"/>
              </w:rPr>
              <w:t>398.0</w:t>
            </w:r>
          </w:p>
        </w:tc>
      </w:tr>
      <w:tr w:rsidR="004A563D" w:rsidRPr="00D42E0B" w:rsidTr="004A563D">
        <w:trPr>
          <w:cnfStyle w:val="000000100000"/>
        </w:trPr>
        <w:tc>
          <w:tcPr>
            <w:cnfStyle w:val="001000000000"/>
            <w:tcW w:w="3895" w:type="dxa"/>
            <w:tcBorders>
              <w:top w:val="none" w:sz="0" w:space="0" w:color="auto"/>
              <w:bottom w:val="none" w:sz="0" w:space="0" w:color="auto"/>
              <w:right w:val="none" w:sz="0" w:space="0" w:color="auto"/>
            </w:tcBorders>
          </w:tcPr>
          <w:p w:rsidR="004A563D" w:rsidRPr="00E7618A" w:rsidRDefault="004A563D" w:rsidP="004A563D">
            <w:pPr>
              <w:autoSpaceDE w:val="0"/>
              <w:autoSpaceDN w:val="0"/>
              <w:adjustRightInd w:val="0"/>
              <w:spacing w:after="0" w:line="240" w:lineRule="auto"/>
              <w:rPr>
                <w:rFonts w:eastAsia="Times New Roman" w:cs="Arial"/>
                <w:b w:val="0"/>
                <w:color w:val="auto"/>
                <w:sz w:val="20"/>
                <w:szCs w:val="20"/>
              </w:rPr>
            </w:pPr>
            <w:r w:rsidRPr="00E7618A">
              <w:rPr>
                <w:rFonts w:eastAsia="Times New Roman" w:cs="Arial"/>
                <w:b w:val="0"/>
                <w:color w:val="auto"/>
                <w:sz w:val="20"/>
                <w:szCs w:val="20"/>
              </w:rPr>
              <w:t>Projected Service Cost</w:t>
            </w:r>
          </w:p>
        </w:tc>
        <w:tc>
          <w:tcPr>
            <w:tcW w:w="1417" w:type="dxa"/>
            <w:tcBorders>
              <w:top w:val="none" w:sz="0" w:space="0" w:color="auto"/>
              <w:bottom w:val="none" w:sz="0" w:space="0" w:color="auto"/>
            </w:tcBorders>
          </w:tcPr>
          <w:p w:rsidR="004A563D" w:rsidRPr="00E7618A" w:rsidRDefault="00E7618A" w:rsidP="00E7618A">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6</w:t>
            </w:r>
            <w:r w:rsidR="00B143D9" w:rsidRPr="00E7618A">
              <w:rPr>
                <w:rFonts w:eastAsia="Times New Roman" w:cs="Arial"/>
                <w:color w:val="auto"/>
                <w:sz w:val="20"/>
                <w:szCs w:val="20"/>
              </w:rPr>
              <w:t>.9</w:t>
            </w:r>
          </w:p>
        </w:tc>
        <w:tc>
          <w:tcPr>
            <w:tcW w:w="1418" w:type="dxa"/>
            <w:tcBorders>
              <w:top w:val="none" w:sz="0" w:space="0" w:color="auto"/>
              <w:bottom w:val="none" w:sz="0" w:space="0" w:color="auto"/>
            </w:tcBorders>
          </w:tcPr>
          <w:p w:rsidR="004A563D" w:rsidRPr="00E7618A" w:rsidRDefault="00E7618A" w:rsidP="00E7618A">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7</w:t>
            </w:r>
            <w:r w:rsidR="00B143D9" w:rsidRPr="00E7618A">
              <w:rPr>
                <w:rFonts w:eastAsia="Times New Roman" w:cs="Arial"/>
                <w:color w:val="auto"/>
                <w:sz w:val="20"/>
                <w:szCs w:val="20"/>
              </w:rPr>
              <w:t>.1</w:t>
            </w:r>
          </w:p>
        </w:tc>
        <w:tc>
          <w:tcPr>
            <w:tcW w:w="1337" w:type="dxa"/>
            <w:tcBorders>
              <w:top w:val="none" w:sz="0" w:space="0" w:color="auto"/>
              <w:bottom w:val="none" w:sz="0" w:space="0" w:color="auto"/>
            </w:tcBorders>
          </w:tcPr>
          <w:p w:rsidR="004A563D" w:rsidRPr="00A45C87" w:rsidRDefault="00A45C87" w:rsidP="00A45C87">
            <w:pPr>
              <w:autoSpaceDE w:val="0"/>
              <w:autoSpaceDN w:val="0"/>
              <w:adjustRightInd w:val="0"/>
              <w:spacing w:after="0" w:line="240" w:lineRule="auto"/>
              <w:jc w:val="center"/>
              <w:cnfStyle w:val="000000100000"/>
              <w:rPr>
                <w:rFonts w:eastAsia="Times New Roman" w:cs="Arial"/>
                <w:color w:val="auto"/>
                <w:sz w:val="20"/>
                <w:szCs w:val="20"/>
              </w:rPr>
            </w:pPr>
            <w:r w:rsidRPr="00A45C87">
              <w:rPr>
                <w:rFonts w:eastAsia="Times New Roman" w:cs="Arial"/>
                <w:color w:val="auto"/>
                <w:sz w:val="20"/>
                <w:szCs w:val="20"/>
              </w:rPr>
              <w:t>7</w:t>
            </w:r>
            <w:r w:rsidR="00B143D9" w:rsidRPr="00A45C87">
              <w:rPr>
                <w:rFonts w:eastAsia="Times New Roman" w:cs="Arial"/>
                <w:color w:val="auto"/>
                <w:sz w:val="20"/>
                <w:szCs w:val="20"/>
              </w:rPr>
              <w:t>.3</w:t>
            </w:r>
          </w:p>
        </w:tc>
      </w:tr>
      <w:tr w:rsidR="004A563D" w:rsidRPr="00D42E0B" w:rsidTr="004A563D">
        <w:tc>
          <w:tcPr>
            <w:cnfStyle w:val="001000000000"/>
            <w:tcW w:w="3895" w:type="dxa"/>
            <w:tcBorders>
              <w:right w:val="none" w:sz="0" w:space="0" w:color="auto"/>
            </w:tcBorders>
          </w:tcPr>
          <w:p w:rsidR="004A563D" w:rsidRPr="00E7618A" w:rsidRDefault="004A563D" w:rsidP="004A563D">
            <w:pPr>
              <w:autoSpaceDE w:val="0"/>
              <w:autoSpaceDN w:val="0"/>
              <w:adjustRightInd w:val="0"/>
              <w:spacing w:after="0" w:line="240" w:lineRule="auto"/>
              <w:rPr>
                <w:rFonts w:eastAsia="Times New Roman" w:cs="Arial"/>
                <w:b w:val="0"/>
                <w:color w:val="auto"/>
                <w:sz w:val="20"/>
                <w:szCs w:val="20"/>
              </w:rPr>
            </w:pPr>
          </w:p>
        </w:tc>
        <w:tc>
          <w:tcPr>
            <w:tcW w:w="1417" w:type="dxa"/>
          </w:tcPr>
          <w:p w:rsidR="004A563D" w:rsidRPr="00E7618A" w:rsidRDefault="004A563D" w:rsidP="004A563D">
            <w:pPr>
              <w:autoSpaceDE w:val="0"/>
              <w:autoSpaceDN w:val="0"/>
              <w:adjustRightInd w:val="0"/>
              <w:spacing w:after="0" w:line="240" w:lineRule="auto"/>
              <w:jc w:val="center"/>
              <w:cnfStyle w:val="000000000000"/>
              <w:rPr>
                <w:rFonts w:eastAsia="Times New Roman" w:cs="Arial"/>
                <w:color w:val="auto"/>
                <w:sz w:val="20"/>
                <w:szCs w:val="20"/>
              </w:rPr>
            </w:pPr>
          </w:p>
        </w:tc>
        <w:tc>
          <w:tcPr>
            <w:tcW w:w="1418" w:type="dxa"/>
          </w:tcPr>
          <w:p w:rsidR="004A563D" w:rsidRPr="00E7618A" w:rsidRDefault="004A563D" w:rsidP="004A563D">
            <w:pPr>
              <w:autoSpaceDE w:val="0"/>
              <w:autoSpaceDN w:val="0"/>
              <w:adjustRightInd w:val="0"/>
              <w:spacing w:after="0" w:line="240" w:lineRule="auto"/>
              <w:jc w:val="center"/>
              <w:cnfStyle w:val="000000000000"/>
              <w:rPr>
                <w:rFonts w:eastAsia="Times New Roman" w:cs="Arial"/>
                <w:color w:val="auto"/>
                <w:sz w:val="20"/>
                <w:szCs w:val="20"/>
              </w:rPr>
            </w:pPr>
          </w:p>
        </w:tc>
        <w:tc>
          <w:tcPr>
            <w:tcW w:w="1337" w:type="dxa"/>
          </w:tcPr>
          <w:p w:rsidR="004A563D" w:rsidRPr="00A45C87" w:rsidRDefault="004A563D" w:rsidP="004A563D">
            <w:pPr>
              <w:autoSpaceDE w:val="0"/>
              <w:autoSpaceDN w:val="0"/>
              <w:adjustRightInd w:val="0"/>
              <w:spacing w:after="0" w:line="240" w:lineRule="auto"/>
              <w:jc w:val="center"/>
              <w:cnfStyle w:val="000000000000"/>
              <w:rPr>
                <w:rFonts w:eastAsia="Times New Roman" w:cs="Arial"/>
                <w:color w:val="auto"/>
                <w:sz w:val="20"/>
                <w:szCs w:val="20"/>
              </w:rPr>
            </w:pPr>
          </w:p>
        </w:tc>
      </w:tr>
      <w:tr w:rsidR="00B81008" w:rsidRPr="00D42E0B" w:rsidTr="004A563D">
        <w:trPr>
          <w:cnfStyle w:val="000000100000"/>
        </w:trPr>
        <w:tc>
          <w:tcPr>
            <w:cnfStyle w:val="001000000000"/>
            <w:tcW w:w="3895" w:type="dxa"/>
            <w:tcBorders>
              <w:top w:val="none" w:sz="0" w:space="0" w:color="auto"/>
              <w:bottom w:val="none" w:sz="0" w:space="0" w:color="auto"/>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color w:val="auto"/>
                <w:sz w:val="20"/>
                <w:szCs w:val="20"/>
              </w:rPr>
            </w:pPr>
            <w:r w:rsidRPr="00E7618A">
              <w:rPr>
                <w:rFonts w:eastAsia="Times New Roman" w:cs="Arial"/>
                <w:color w:val="auto"/>
                <w:sz w:val="20"/>
                <w:szCs w:val="20"/>
              </w:rPr>
              <w:t>Adjustment to Long Term Salary increase</w:t>
            </w:r>
          </w:p>
        </w:tc>
        <w:tc>
          <w:tcPr>
            <w:tcW w:w="1417" w:type="dxa"/>
            <w:tcBorders>
              <w:top w:val="none" w:sz="0" w:space="0" w:color="auto"/>
              <w:bottom w:val="none" w:sz="0" w:space="0" w:color="auto"/>
            </w:tcBorders>
          </w:tcPr>
          <w:p w:rsidR="00B81008" w:rsidRPr="00E7618A" w:rsidRDefault="00B81008" w:rsidP="00B81008">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+0.1%</w:t>
            </w:r>
          </w:p>
        </w:tc>
        <w:tc>
          <w:tcPr>
            <w:tcW w:w="1418" w:type="dxa"/>
            <w:tcBorders>
              <w:top w:val="none" w:sz="0" w:space="0" w:color="auto"/>
              <w:bottom w:val="none" w:sz="0" w:space="0" w:color="auto"/>
            </w:tcBorders>
          </w:tcPr>
          <w:p w:rsidR="00B81008" w:rsidRPr="00E7618A" w:rsidRDefault="00B81008" w:rsidP="00B81008">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0%</w:t>
            </w:r>
          </w:p>
        </w:tc>
        <w:tc>
          <w:tcPr>
            <w:tcW w:w="1337" w:type="dxa"/>
            <w:tcBorders>
              <w:top w:val="none" w:sz="0" w:space="0" w:color="auto"/>
              <w:bottom w:val="none" w:sz="0" w:space="0" w:color="auto"/>
            </w:tcBorders>
          </w:tcPr>
          <w:p w:rsidR="00B81008" w:rsidRPr="00A45C87" w:rsidRDefault="00B81008" w:rsidP="00B81008">
            <w:pPr>
              <w:autoSpaceDE w:val="0"/>
              <w:autoSpaceDN w:val="0"/>
              <w:adjustRightInd w:val="0"/>
              <w:spacing w:after="0" w:line="240" w:lineRule="auto"/>
              <w:jc w:val="center"/>
              <w:cnfStyle w:val="000000100000"/>
              <w:rPr>
                <w:rFonts w:eastAsia="Times New Roman" w:cs="Arial"/>
                <w:color w:val="auto"/>
                <w:sz w:val="20"/>
                <w:szCs w:val="20"/>
              </w:rPr>
            </w:pPr>
            <w:r w:rsidRPr="00A45C87">
              <w:rPr>
                <w:rFonts w:eastAsia="Times New Roman" w:cs="Arial"/>
                <w:color w:val="auto"/>
                <w:sz w:val="20"/>
                <w:szCs w:val="20"/>
              </w:rPr>
              <w:t>(0.1%)</w:t>
            </w:r>
          </w:p>
        </w:tc>
      </w:tr>
      <w:tr w:rsidR="00B81008" w:rsidRPr="00D42E0B" w:rsidTr="004A563D">
        <w:tc>
          <w:tcPr>
            <w:cnfStyle w:val="001000000000"/>
            <w:tcW w:w="3895" w:type="dxa"/>
            <w:tcBorders>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b w:val="0"/>
                <w:color w:val="auto"/>
                <w:sz w:val="20"/>
                <w:szCs w:val="20"/>
              </w:rPr>
            </w:pPr>
            <w:r w:rsidRPr="00E7618A">
              <w:rPr>
                <w:rFonts w:eastAsia="Times New Roman" w:cs="Arial"/>
                <w:b w:val="0"/>
                <w:color w:val="auto"/>
                <w:sz w:val="20"/>
                <w:szCs w:val="20"/>
              </w:rPr>
              <w:t>Present Value of obligation</w:t>
            </w:r>
          </w:p>
        </w:tc>
        <w:tc>
          <w:tcPr>
            <w:tcW w:w="1417" w:type="dxa"/>
          </w:tcPr>
          <w:p w:rsidR="00B81008" w:rsidRPr="00E7618A" w:rsidRDefault="00E7618A" w:rsidP="00E7618A">
            <w:pPr>
              <w:autoSpaceDE w:val="0"/>
              <w:autoSpaceDN w:val="0"/>
              <w:adjustRightInd w:val="0"/>
              <w:spacing w:after="0" w:line="240" w:lineRule="auto"/>
              <w:jc w:val="center"/>
              <w:cnfStyle w:val="000000000000"/>
              <w:rPr>
                <w:rFonts w:eastAsia="Times New Roman" w:cs="Arial"/>
                <w:color w:val="auto"/>
                <w:sz w:val="20"/>
                <w:szCs w:val="20"/>
              </w:rPr>
            </w:pPr>
            <w:r w:rsidRPr="00E7618A">
              <w:rPr>
                <w:rFonts w:eastAsia="Times New Roman" w:cs="Arial"/>
                <w:color w:val="auto"/>
                <w:sz w:val="20"/>
                <w:szCs w:val="20"/>
              </w:rPr>
              <w:t>391.6</w:t>
            </w:r>
          </w:p>
        </w:tc>
        <w:tc>
          <w:tcPr>
            <w:tcW w:w="1418" w:type="dxa"/>
          </w:tcPr>
          <w:p w:rsidR="00B81008" w:rsidRPr="00E7618A" w:rsidRDefault="00E7618A" w:rsidP="00B81008">
            <w:pPr>
              <w:autoSpaceDE w:val="0"/>
              <w:autoSpaceDN w:val="0"/>
              <w:adjustRightInd w:val="0"/>
              <w:spacing w:after="0" w:line="240" w:lineRule="auto"/>
              <w:jc w:val="center"/>
              <w:cnfStyle w:val="000000000000"/>
              <w:rPr>
                <w:rFonts w:eastAsia="Times New Roman" w:cs="Arial"/>
                <w:color w:val="auto"/>
                <w:sz w:val="20"/>
                <w:szCs w:val="20"/>
              </w:rPr>
            </w:pPr>
            <w:r w:rsidRPr="00E7618A">
              <w:rPr>
                <w:rFonts w:eastAsia="Times New Roman" w:cs="Arial"/>
                <w:color w:val="auto"/>
                <w:sz w:val="20"/>
                <w:szCs w:val="20"/>
              </w:rPr>
              <w:t>390.9</w:t>
            </w:r>
          </w:p>
        </w:tc>
        <w:tc>
          <w:tcPr>
            <w:tcW w:w="1337" w:type="dxa"/>
          </w:tcPr>
          <w:p w:rsidR="00B81008" w:rsidRPr="00A45C87" w:rsidRDefault="00A45C87" w:rsidP="00B81008">
            <w:pPr>
              <w:autoSpaceDE w:val="0"/>
              <w:autoSpaceDN w:val="0"/>
              <w:adjustRightInd w:val="0"/>
              <w:spacing w:after="0" w:line="240" w:lineRule="auto"/>
              <w:jc w:val="center"/>
              <w:cnfStyle w:val="000000000000"/>
              <w:rPr>
                <w:rFonts w:eastAsia="Times New Roman" w:cs="Arial"/>
                <w:color w:val="auto"/>
                <w:sz w:val="20"/>
                <w:szCs w:val="20"/>
              </w:rPr>
            </w:pPr>
            <w:r w:rsidRPr="00A45C87">
              <w:rPr>
                <w:rFonts w:eastAsia="Times New Roman" w:cs="Arial"/>
                <w:color w:val="auto"/>
                <w:sz w:val="20"/>
                <w:szCs w:val="20"/>
              </w:rPr>
              <w:t>390.1</w:t>
            </w:r>
          </w:p>
        </w:tc>
      </w:tr>
      <w:tr w:rsidR="00B81008" w:rsidRPr="00D42E0B" w:rsidTr="004A563D">
        <w:trPr>
          <w:cnfStyle w:val="000000100000"/>
        </w:trPr>
        <w:tc>
          <w:tcPr>
            <w:cnfStyle w:val="001000000000"/>
            <w:tcW w:w="3895" w:type="dxa"/>
            <w:tcBorders>
              <w:top w:val="none" w:sz="0" w:space="0" w:color="auto"/>
              <w:bottom w:val="none" w:sz="0" w:space="0" w:color="auto"/>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b w:val="0"/>
                <w:color w:val="auto"/>
                <w:sz w:val="20"/>
                <w:szCs w:val="20"/>
              </w:rPr>
            </w:pPr>
            <w:r w:rsidRPr="00E7618A">
              <w:rPr>
                <w:rFonts w:eastAsia="Times New Roman" w:cs="Arial"/>
                <w:b w:val="0"/>
                <w:color w:val="auto"/>
                <w:sz w:val="20"/>
                <w:szCs w:val="20"/>
              </w:rPr>
              <w:t>Projected Service Cost</w:t>
            </w:r>
          </w:p>
        </w:tc>
        <w:tc>
          <w:tcPr>
            <w:tcW w:w="1417" w:type="dxa"/>
            <w:tcBorders>
              <w:top w:val="none" w:sz="0" w:space="0" w:color="auto"/>
              <w:bottom w:val="none" w:sz="0" w:space="0" w:color="auto"/>
            </w:tcBorders>
          </w:tcPr>
          <w:p w:rsidR="00B81008" w:rsidRPr="00E7618A" w:rsidRDefault="00E7618A" w:rsidP="00E7618A">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7</w:t>
            </w:r>
            <w:r w:rsidR="00A51B42" w:rsidRPr="00E7618A">
              <w:rPr>
                <w:rFonts w:eastAsia="Times New Roman" w:cs="Arial"/>
                <w:color w:val="auto"/>
                <w:sz w:val="20"/>
                <w:szCs w:val="20"/>
              </w:rPr>
              <w:t>.1</w:t>
            </w:r>
          </w:p>
        </w:tc>
        <w:tc>
          <w:tcPr>
            <w:tcW w:w="1418" w:type="dxa"/>
            <w:tcBorders>
              <w:top w:val="none" w:sz="0" w:space="0" w:color="auto"/>
              <w:bottom w:val="none" w:sz="0" w:space="0" w:color="auto"/>
            </w:tcBorders>
          </w:tcPr>
          <w:p w:rsidR="00B81008" w:rsidRPr="00E7618A" w:rsidRDefault="00E7618A" w:rsidP="00E7618A">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7.1</w:t>
            </w:r>
          </w:p>
        </w:tc>
        <w:tc>
          <w:tcPr>
            <w:tcW w:w="1337" w:type="dxa"/>
            <w:tcBorders>
              <w:top w:val="none" w:sz="0" w:space="0" w:color="auto"/>
              <w:bottom w:val="none" w:sz="0" w:space="0" w:color="auto"/>
            </w:tcBorders>
          </w:tcPr>
          <w:p w:rsidR="00B81008" w:rsidRPr="00A45C87" w:rsidRDefault="00A45C87" w:rsidP="00A45C87">
            <w:pPr>
              <w:autoSpaceDE w:val="0"/>
              <w:autoSpaceDN w:val="0"/>
              <w:adjustRightInd w:val="0"/>
              <w:spacing w:after="0" w:line="240" w:lineRule="auto"/>
              <w:jc w:val="center"/>
              <w:cnfStyle w:val="000000100000"/>
              <w:rPr>
                <w:rFonts w:eastAsia="Times New Roman" w:cs="Arial"/>
                <w:color w:val="auto"/>
                <w:sz w:val="20"/>
                <w:szCs w:val="20"/>
              </w:rPr>
            </w:pPr>
            <w:r w:rsidRPr="00A45C87">
              <w:rPr>
                <w:rFonts w:eastAsia="Times New Roman" w:cs="Arial"/>
                <w:color w:val="auto"/>
                <w:sz w:val="20"/>
                <w:szCs w:val="20"/>
              </w:rPr>
              <w:t>7</w:t>
            </w:r>
            <w:r w:rsidR="00A51B42" w:rsidRPr="00A45C87">
              <w:rPr>
                <w:rFonts w:eastAsia="Times New Roman" w:cs="Arial"/>
                <w:color w:val="auto"/>
                <w:sz w:val="20"/>
                <w:szCs w:val="20"/>
              </w:rPr>
              <w:t>.1</w:t>
            </w:r>
          </w:p>
        </w:tc>
      </w:tr>
      <w:tr w:rsidR="00B81008" w:rsidRPr="00D42E0B" w:rsidTr="004A563D">
        <w:tc>
          <w:tcPr>
            <w:cnfStyle w:val="001000000000"/>
            <w:tcW w:w="3895" w:type="dxa"/>
            <w:tcBorders>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b w:val="0"/>
                <w:color w:val="auto"/>
                <w:sz w:val="20"/>
                <w:szCs w:val="20"/>
              </w:rPr>
            </w:pPr>
          </w:p>
        </w:tc>
        <w:tc>
          <w:tcPr>
            <w:tcW w:w="1417" w:type="dxa"/>
          </w:tcPr>
          <w:p w:rsidR="00B81008" w:rsidRPr="00E7618A" w:rsidRDefault="00B81008" w:rsidP="00B81008">
            <w:pPr>
              <w:autoSpaceDE w:val="0"/>
              <w:autoSpaceDN w:val="0"/>
              <w:adjustRightInd w:val="0"/>
              <w:spacing w:after="0" w:line="240" w:lineRule="auto"/>
              <w:jc w:val="center"/>
              <w:cnfStyle w:val="000000000000"/>
              <w:rPr>
                <w:rFonts w:eastAsia="Times New Roman" w:cs="Arial"/>
                <w:color w:val="auto"/>
                <w:sz w:val="20"/>
                <w:szCs w:val="20"/>
              </w:rPr>
            </w:pPr>
          </w:p>
        </w:tc>
        <w:tc>
          <w:tcPr>
            <w:tcW w:w="1418" w:type="dxa"/>
          </w:tcPr>
          <w:p w:rsidR="00B81008" w:rsidRPr="00E7618A" w:rsidRDefault="00B81008" w:rsidP="00B81008">
            <w:pPr>
              <w:autoSpaceDE w:val="0"/>
              <w:autoSpaceDN w:val="0"/>
              <w:adjustRightInd w:val="0"/>
              <w:spacing w:after="0" w:line="240" w:lineRule="auto"/>
              <w:jc w:val="center"/>
              <w:cnfStyle w:val="000000000000"/>
              <w:rPr>
                <w:rFonts w:eastAsia="Times New Roman" w:cs="Arial"/>
                <w:color w:val="auto"/>
                <w:sz w:val="20"/>
                <w:szCs w:val="20"/>
              </w:rPr>
            </w:pPr>
          </w:p>
        </w:tc>
        <w:tc>
          <w:tcPr>
            <w:tcW w:w="1337" w:type="dxa"/>
          </w:tcPr>
          <w:p w:rsidR="00B81008" w:rsidRPr="00A45C87" w:rsidRDefault="00B81008" w:rsidP="00B81008">
            <w:pPr>
              <w:autoSpaceDE w:val="0"/>
              <w:autoSpaceDN w:val="0"/>
              <w:adjustRightInd w:val="0"/>
              <w:spacing w:after="0" w:line="240" w:lineRule="auto"/>
              <w:jc w:val="center"/>
              <w:cnfStyle w:val="000000000000"/>
              <w:rPr>
                <w:rFonts w:eastAsia="Times New Roman" w:cs="Arial"/>
                <w:color w:val="auto"/>
                <w:sz w:val="20"/>
                <w:szCs w:val="20"/>
              </w:rPr>
            </w:pPr>
          </w:p>
        </w:tc>
      </w:tr>
      <w:tr w:rsidR="00B81008" w:rsidRPr="00D42E0B" w:rsidTr="004A563D">
        <w:trPr>
          <w:cnfStyle w:val="000000100000"/>
        </w:trPr>
        <w:tc>
          <w:tcPr>
            <w:cnfStyle w:val="001000000000"/>
            <w:tcW w:w="3895" w:type="dxa"/>
            <w:tcBorders>
              <w:top w:val="none" w:sz="0" w:space="0" w:color="auto"/>
              <w:bottom w:val="none" w:sz="0" w:space="0" w:color="auto"/>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color w:val="auto"/>
                <w:sz w:val="20"/>
                <w:szCs w:val="20"/>
              </w:rPr>
            </w:pPr>
            <w:r w:rsidRPr="00E7618A">
              <w:rPr>
                <w:rFonts w:eastAsia="Times New Roman" w:cs="Arial"/>
                <w:color w:val="auto"/>
                <w:sz w:val="20"/>
                <w:szCs w:val="20"/>
              </w:rPr>
              <w:t>Adjustment to Pension increases and deferred revaluation</w:t>
            </w:r>
          </w:p>
        </w:tc>
        <w:tc>
          <w:tcPr>
            <w:tcW w:w="1417" w:type="dxa"/>
            <w:tcBorders>
              <w:top w:val="none" w:sz="0" w:space="0" w:color="auto"/>
              <w:bottom w:val="none" w:sz="0" w:space="0" w:color="auto"/>
            </w:tcBorders>
          </w:tcPr>
          <w:p w:rsidR="00B81008" w:rsidRPr="00E7618A" w:rsidRDefault="00B81008" w:rsidP="00B81008">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+0.1%</w:t>
            </w:r>
          </w:p>
        </w:tc>
        <w:tc>
          <w:tcPr>
            <w:tcW w:w="1418" w:type="dxa"/>
            <w:tcBorders>
              <w:top w:val="none" w:sz="0" w:space="0" w:color="auto"/>
              <w:bottom w:val="none" w:sz="0" w:space="0" w:color="auto"/>
            </w:tcBorders>
          </w:tcPr>
          <w:p w:rsidR="00B81008" w:rsidRPr="00E7618A" w:rsidRDefault="00B81008" w:rsidP="00B81008">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0%</w:t>
            </w:r>
          </w:p>
        </w:tc>
        <w:tc>
          <w:tcPr>
            <w:tcW w:w="1337" w:type="dxa"/>
            <w:tcBorders>
              <w:top w:val="none" w:sz="0" w:space="0" w:color="auto"/>
              <w:bottom w:val="none" w:sz="0" w:space="0" w:color="auto"/>
            </w:tcBorders>
          </w:tcPr>
          <w:p w:rsidR="00B81008" w:rsidRPr="00A45C87" w:rsidRDefault="00B81008" w:rsidP="00B81008">
            <w:pPr>
              <w:autoSpaceDE w:val="0"/>
              <w:autoSpaceDN w:val="0"/>
              <w:adjustRightInd w:val="0"/>
              <w:spacing w:after="0" w:line="240" w:lineRule="auto"/>
              <w:jc w:val="center"/>
              <w:cnfStyle w:val="000000100000"/>
              <w:rPr>
                <w:rFonts w:eastAsia="Times New Roman" w:cs="Arial"/>
                <w:color w:val="auto"/>
                <w:sz w:val="20"/>
                <w:szCs w:val="20"/>
              </w:rPr>
            </w:pPr>
            <w:r w:rsidRPr="00A45C87">
              <w:rPr>
                <w:rFonts w:eastAsia="Times New Roman" w:cs="Arial"/>
                <w:color w:val="auto"/>
                <w:sz w:val="20"/>
                <w:szCs w:val="20"/>
              </w:rPr>
              <w:t>(0.1%)</w:t>
            </w:r>
          </w:p>
        </w:tc>
      </w:tr>
      <w:tr w:rsidR="00B81008" w:rsidRPr="00D42E0B" w:rsidTr="004A563D">
        <w:tc>
          <w:tcPr>
            <w:cnfStyle w:val="001000000000"/>
            <w:tcW w:w="3895" w:type="dxa"/>
            <w:tcBorders>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b w:val="0"/>
                <w:color w:val="auto"/>
                <w:sz w:val="20"/>
                <w:szCs w:val="20"/>
              </w:rPr>
            </w:pPr>
            <w:r w:rsidRPr="00E7618A">
              <w:rPr>
                <w:rFonts w:eastAsia="Times New Roman" w:cs="Arial"/>
                <w:b w:val="0"/>
                <w:color w:val="auto"/>
                <w:sz w:val="20"/>
                <w:szCs w:val="20"/>
              </w:rPr>
              <w:t>Present Value of obligation</w:t>
            </w:r>
          </w:p>
        </w:tc>
        <w:tc>
          <w:tcPr>
            <w:tcW w:w="1417" w:type="dxa"/>
          </w:tcPr>
          <w:p w:rsidR="00B81008" w:rsidRPr="00E7618A" w:rsidRDefault="00E7618A" w:rsidP="00E7618A">
            <w:pPr>
              <w:autoSpaceDE w:val="0"/>
              <w:autoSpaceDN w:val="0"/>
              <w:adjustRightInd w:val="0"/>
              <w:spacing w:after="0" w:line="240" w:lineRule="auto"/>
              <w:jc w:val="center"/>
              <w:cnfStyle w:val="000000000000"/>
              <w:rPr>
                <w:rFonts w:eastAsia="Times New Roman" w:cs="Arial"/>
                <w:color w:val="auto"/>
                <w:sz w:val="20"/>
                <w:szCs w:val="20"/>
              </w:rPr>
            </w:pPr>
            <w:r w:rsidRPr="00E7618A">
              <w:rPr>
                <w:rFonts w:eastAsia="Times New Roman" w:cs="Arial"/>
                <w:color w:val="auto"/>
                <w:sz w:val="20"/>
                <w:szCs w:val="20"/>
              </w:rPr>
              <w:t>397</w:t>
            </w:r>
            <w:r w:rsidR="00A51B42" w:rsidRPr="00E7618A">
              <w:rPr>
                <w:rFonts w:eastAsia="Times New Roman" w:cs="Arial"/>
                <w:color w:val="auto"/>
                <w:sz w:val="20"/>
                <w:szCs w:val="20"/>
              </w:rPr>
              <w:t>.</w:t>
            </w:r>
            <w:r w:rsidRPr="00E7618A">
              <w:rPr>
                <w:rFonts w:eastAsia="Times New Roman" w:cs="Arial"/>
                <w:color w:val="auto"/>
                <w:sz w:val="20"/>
                <w:szCs w:val="20"/>
              </w:rPr>
              <w:t>4</w:t>
            </w:r>
          </w:p>
        </w:tc>
        <w:tc>
          <w:tcPr>
            <w:tcW w:w="1418" w:type="dxa"/>
          </w:tcPr>
          <w:p w:rsidR="00B81008" w:rsidRPr="00E7618A" w:rsidRDefault="00E7618A" w:rsidP="00E7618A">
            <w:pPr>
              <w:autoSpaceDE w:val="0"/>
              <w:autoSpaceDN w:val="0"/>
              <w:adjustRightInd w:val="0"/>
              <w:spacing w:after="0" w:line="240" w:lineRule="auto"/>
              <w:jc w:val="center"/>
              <w:cnfStyle w:val="000000000000"/>
              <w:rPr>
                <w:rFonts w:eastAsia="Times New Roman" w:cs="Arial"/>
                <w:color w:val="auto"/>
                <w:sz w:val="20"/>
                <w:szCs w:val="20"/>
              </w:rPr>
            </w:pPr>
            <w:r w:rsidRPr="00E7618A">
              <w:rPr>
                <w:rFonts w:eastAsia="Times New Roman" w:cs="Arial"/>
                <w:color w:val="auto"/>
                <w:sz w:val="20"/>
                <w:szCs w:val="20"/>
              </w:rPr>
              <w:t>390.9</w:t>
            </w:r>
          </w:p>
        </w:tc>
        <w:tc>
          <w:tcPr>
            <w:tcW w:w="1337" w:type="dxa"/>
          </w:tcPr>
          <w:p w:rsidR="00B81008" w:rsidRPr="00A45C87" w:rsidRDefault="00A45C87" w:rsidP="00B81008">
            <w:pPr>
              <w:autoSpaceDE w:val="0"/>
              <w:autoSpaceDN w:val="0"/>
              <w:adjustRightInd w:val="0"/>
              <w:spacing w:after="0" w:line="240" w:lineRule="auto"/>
              <w:jc w:val="center"/>
              <w:cnfStyle w:val="000000000000"/>
              <w:rPr>
                <w:rFonts w:eastAsia="Times New Roman" w:cs="Arial"/>
                <w:color w:val="auto"/>
                <w:sz w:val="20"/>
                <w:szCs w:val="20"/>
              </w:rPr>
            </w:pPr>
            <w:r w:rsidRPr="00A45C87">
              <w:rPr>
                <w:rFonts w:eastAsia="Times New Roman" w:cs="Arial"/>
                <w:color w:val="auto"/>
                <w:sz w:val="20"/>
                <w:szCs w:val="20"/>
              </w:rPr>
              <w:t>384.5</w:t>
            </w:r>
          </w:p>
        </w:tc>
      </w:tr>
      <w:tr w:rsidR="00B81008" w:rsidRPr="00D42E0B" w:rsidTr="004A563D">
        <w:trPr>
          <w:cnfStyle w:val="000000100000"/>
        </w:trPr>
        <w:tc>
          <w:tcPr>
            <w:cnfStyle w:val="001000000000"/>
            <w:tcW w:w="3895" w:type="dxa"/>
            <w:tcBorders>
              <w:top w:val="none" w:sz="0" w:space="0" w:color="auto"/>
              <w:bottom w:val="none" w:sz="0" w:space="0" w:color="auto"/>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b w:val="0"/>
                <w:color w:val="auto"/>
                <w:sz w:val="20"/>
                <w:szCs w:val="20"/>
              </w:rPr>
            </w:pPr>
            <w:r w:rsidRPr="00E7618A">
              <w:rPr>
                <w:rFonts w:eastAsia="Times New Roman" w:cs="Arial"/>
                <w:b w:val="0"/>
                <w:color w:val="auto"/>
                <w:sz w:val="20"/>
                <w:szCs w:val="20"/>
              </w:rPr>
              <w:t>Projected Service Cost</w:t>
            </w:r>
          </w:p>
        </w:tc>
        <w:tc>
          <w:tcPr>
            <w:tcW w:w="1417" w:type="dxa"/>
            <w:tcBorders>
              <w:top w:val="none" w:sz="0" w:space="0" w:color="auto"/>
              <w:bottom w:val="none" w:sz="0" w:space="0" w:color="auto"/>
            </w:tcBorders>
          </w:tcPr>
          <w:p w:rsidR="00B81008" w:rsidRPr="00E7618A" w:rsidRDefault="00E7618A" w:rsidP="00E7618A">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7</w:t>
            </w:r>
            <w:r w:rsidR="00A51B42" w:rsidRPr="00E7618A">
              <w:rPr>
                <w:rFonts w:eastAsia="Times New Roman" w:cs="Arial"/>
                <w:color w:val="auto"/>
                <w:sz w:val="20"/>
                <w:szCs w:val="20"/>
              </w:rPr>
              <w:t>.3</w:t>
            </w:r>
          </w:p>
        </w:tc>
        <w:tc>
          <w:tcPr>
            <w:tcW w:w="1418" w:type="dxa"/>
            <w:tcBorders>
              <w:top w:val="none" w:sz="0" w:space="0" w:color="auto"/>
              <w:bottom w:val="none" w:sz="0" w:space="0" w:color="auto"/>
            </w:tcBorders>
          </w:tcPr>
          <w:p w:rsidR="00B81008" w:rsidRPr="00E7618A" w:rsidRDefault="00E7618A" w:rsidP="00E7618A">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7</w:t>
            </w:r>
            <w:r w:rsidR="00B81008" w:rsidRPr="00E7618A">
              <w:rPr>
                <w:rFonts w:eastAsia="Times New Roman" w:cs="Arial"/>
                <w:color w:val="auto"/>
                <w:sz w:val="20"/>
                <w:szCs w:val="20"/>
              </w:rPr>
              <w:t>.1</w:t>
            </w:r>
          </w:p>
        </w:tc>
        <w:tc>
          <w:tcPr>
            <w:tcW w:w="1337" w:type="dxa"/>
            <w:tcBorders>
              <w:top w:val="none" w:sz="0" w:space="0" w:color="auto"/>
              <w:bottom w:val="none" w:sz="0" w:space="0" w:color="auto"/>
            </w:tcBorders>
          </w:tcPr>
          <w:p w:rsidR="00B81008" w:rsidRPr="00A45C87" w:rsidRDefault="00A45C87" w:rsidP="00A45C87">
            <w:pPr>
              <w:autoSpaceDE w:val="0"/>
              <w:autoSpaceDN w:val="0"/>
              <w:adjustRightInd w:val="0"/>
              <w:spacing w:after="0" w:line="240" w:lineRule="auto"/>
              <w:jc w:val="center"/>
              <w:cnfStyle w:val="000000100000"/>
              <w:rPr>
                <w:rFonts w:eastAsia="Times New Roman" w:cs="Arial"/>
                <w:color w:val="auto"/>
                <w:sz w:val="20"/>
                <w:szCs w:val="20"/>
              </w:rPr>
            </w:pPr>
            <w:r w:rsidRPr="00A45C87">
              <w:rPr>
                <w:rFonts w:eastAsia="Times New Roman" w:cs="Arial"/>
                <w:color w:val="auto"/>
                <w:sz w:val="20"/>
                <w:szCs w:val="20"/>
              </w:rPr>
              <w:t>6</w:t>
            </w:r>
            <w:r w:rsidR="00A51B42" w:rsidRPr="00A45C87">
              <w:rPr>
                <w:rFonts w:eastAsia="Times New Roman" w:cs="Arial"/>
                <w:color w:val="auto"/>
                <w:sz w:val="20"/>
                <w:szCs w:val="20"/>
              </w:rPr>
              <w:t>.9</w:t>
            </w:r>
          </w:p>
        </w:tc>
      </w:tr>
      <w:tr w:rsidR="00B81008" w:rsidRPr="00D42E0B" w:rsidTr="004A563D">
        <w:tc>
          <w:tcPr>
            <w:cnfStyle w:val="001000000000"/>
            <w:tcW w:w="3895" w:type="dxa"/>
            <w:tcBorders>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b w:val="0"/>
                <w:color w:val="auto"/>
                <w:sz w:val="20"/>
                <w:szCs w:val="20"/>
              </w:rPr>
            </w:pPr>
          </w:p>
        </w:tc>
        <w:tc>
          <w:tcPr>
            <w:tcW w:w="1417" w:type="dxa"/>
          </w:tcPr>
          <w:p w:rsidR="00B81008" w:rsidRPr="00E7618A" w:rsidRDefault="00B81008" w:rsidP="00B81008">
            <w:pPr>
              <w:autoSpaceDE w:val="0"/>
              <w:autoSpaceDN w:val="0"/>
              <w:adjustRightInd w:val="0"/>
              <w:spacing w:after="0" w:line="240" w:lineRule="auto"/>
              <w:jc w:val="center"/>
              <w:cnfStyle w:val="000000000000"/>
              <w:rPr>
                <w:rFonts w:eastAsia="Times New Roman" w:cs="Arial"/>
                <w:color w:val="auto"/>
                <w:sz w:val="20"/>
                <w:szCs w:val="20"/>
              </w:rPr>
            </w:pPr>
          </w:p>
        </w:tc>
        <w:tc>
          <w:tcPr>
            <w:tcW w:w="1418" w:type="dxa"/>
          </w:tcPr>
          <w:p w:rsidR="00B81008" w:rsidRPr="00E7618A" w:rsidRDefault="00B81008" w:rsidP="00B81008">
            <w:pPr>
              <w:autoSpaceDE w:val="0"/>
              <w:autoSpaceDN w:val="0"/>
              <w:adjustRightInd w:val="0"/>
              <w:spacing w:after="0" w:line="240" w:lineRule="auto"/>
              <w:jc w:val="center"/>
              <w:cnfStyle w:val="000000000000"/>
              <w:rPr>
                <w:rFonts w:eastAsia="Times New Roman" w:cs="Arial"/>
                <w:color w:val="auto"/>
                <w:sz w:val="20"/>
                <w:szCs w:val="20"/>
              </w:rPr>
            </w:pPr>
          </w:p>
        </w:tc>
        <w:tc>
          <w:tcPr>
            <w:tcW w:w="1337" w:type="dxa"/>
          </w:tcPr>
          <w:p w:rsidR="00B81008" w:rsidRPr="00A45C87" w:rsidRDefault="00B81008" w:rsidP="00B81008">
            <w:pPr>
              <w:autoSpaceDE w:val="0"/>
              <w:autoSpaceDN w:val="0"/>
              <w:adjustRightInd w:val="0"/>
              <w:spacing w:after="0" w:line="240" w:lineRule="auto"/>
              <w:jc w:val="center"/>
              <w:cnfStyle w:val="000000000000"/>
              <w:rPr>
                <w:rFonts w:eastAsia="Times New Roman" w:cs="Arial"/>
                <w:color w:val="auto"/>
                <w:sz w:val="20"/>
                <w:szCs w:val="20"/>
              </w:rPr>
            </w:pPr>
          </w:p>
        </w:tc>
      </w:tr>
      <w:tr w:rsidR="00B81008" w:rsidRPr="00D42E0B" w:rsidTr="004A563D">
        <w:trPr>
          <w:cnfStyle w:val="000000100000"/>
        </w:trPr>
        <w:tc>
          <w:tcPr>
            <w:cnfStyle w:val="001000000000"/>
            <w:tcW w:w="3895" w:type="dxa"/>
            <w:tcBorders>
              <w:top w:val="none" w:sz="0" w:space="0" w:color="auto"/>
              <w:bottom w:val="none" w:sz="0" w:space="0" w:color="auto"/>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color w:val="auto"/>
                <w:sz w:val="20"/>
                <w:szCs w:val="20"/>
              </w:rPr>
            </w:pPr>
            <w:r w:rsidRPr="00E7618A">
              <w:rPr>
                <w:rFonts w:eastAsia="Times New Roman" w:cs="Arial"/>
                <w:color w:val="auto"/>
                <w:sz w:val="20"/>
                <w:szCs w:val="20"/>
              </w:rPr>
              <w:t>Adjustment to Mortality Age Rating Assumption</w:t>
            </w:r>
          </w:p>
        </w:tc>
        <w:tc>
          <w:tcPr>
            <w:tcW w:w="1417" w:type="dxa"/>
            <w:tcBorders>
              <w:top w:val="none" w:sz="0" w:space="0" w:color="auto"/>
              <w:bottom w:val="none" w:sz="0" w:space="0" w:color="auto"/>
            </w:tcBorders>
          </w:tcPr>
          <w:p w:rsidR="00B81008" w:rsidRPr="00E7618A" w:rsidRDefault="00B81008" w:rsidP="00B81008">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+1 year</w:t>
            </w:r>
          </w:p>
        </w:tc>
        <w:tc>
          <w:tcPr>
            <w:tcW w:w="1418" w:type="dxa"/>
            <w:tcBorders>
              <w:top w:val="none" w:sz="0" w:space="0" w:color="auto"/>
              <w:bottom w:val="none" w:sz="0" w:space="0" w:color="auto"/>
            </w:tcBorders>
          </w:tcPr>
          <w:p w:rsidR="00B81008" w:rsidRPr="00E7618A" w:rsidRDefault="00B81008" w:rsidP="00B81008">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None</w:t>
            </w:r>
          </w:p>
        </w:tc>
        <w:tc>
          <w:tcPr>
            <w:tcW w:w="1337" w:type="dxa"/>
            <w:tcBorders>
              <w:top w:val="none" w:sz="0" w:space="0" w:color="auto"/>
              <w:bottom w:val="none" w:sz="0" w:space="0" w:color="auto"/>
            </w:tcBorders>
          </w:tcPr>
          <w:p w:rsidR="00B81008" w:rsidRPr="00A45C87" w:rsidRDefault="00B81008" w:rsidP="00B81008">
            <w:pPr>
              <w:autoSpaceDE w:val="0"/>
              <w:autoSpaceDN w:val="0"/>
              <w:adjustRightInd w:val="0"/>
              <w:spacing w:after="0" w:line="240" w:lineRule="auto"/>
              <w:jc w:val="center"/>
              <w:cnfStyle w:val="000000100000"/>
              <w:rPr>
                <w:rFonts w:eastAsia="Times New Roman" w:cs="Arial"/>
                <w:color w:val="auto"/>
                <w:sz w:val="20"/>
                <w:szCs w:val="20"/>
              </w:rPr>
            </w:pPr>
            <w:r w:rsidRPr="00A45C87">
              <w:rPr>
                <w:rFonts w:eastAsia="Times New Roman" w:cs="Arial"/>
                <w:color w:val="auto"/>
                <w:sz w:val="20"/>
                <w:szCs w:val="20"/>
              </w:rPr>
              <w:t>(1 year)</w:t>
            </w:r>
          </w:p>
        </w:tc>
      </w:tr>
      <w:tr w:rsidR="00B81008" w:rsidRPr="00D42E0B" w:rsidTr="004A563D">
        <w:tc>
          <w:tcPr>
            <w:cnfStyle w:val="001000000000"/>
            <w:tcW w:w="3895" w:type="dxa"/>
            <w:tcBorders>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b w:val="0"/>
                <w:color w:val="auto"/>
                <w:sz w:val="20"/>
                <w:szCs w:val="20"/>
              </w:rPr>
            </w:pPr>
            <w:r w:rsidRPr="00E7618A">
              <w:rPr>
                <w:rFonts w:eastAsia="Times New Roman" w:cs="Arial"/>
                <w:b w:val="0"/>
                <w:color w:val="auto"/>
                <w:sz w:val="20"/>
                <w:szCs w:val="20"/>
              </w:rPr>
              <w:t>Present Value of obligation</w:t>
            </w:r>
          </w:p>
        </w:tc>
        <w:tc>
          <w:tcPr>
            <w:tcW w:w="1417" w:type="dxa"/>
          </w:tcPr>
          <w:p w:rsidR="00B81008" w:rsidRPr="00E7618A" w:rsidRDefault="00E7618A" w:rsidP="00E7618A">
            <w:pPr>
              <w:autoSpaceDE w:val="0"/>
              <w:autoSpaceDN w:val="0"/>
              <w:adjustRightInd w:val="0"/>
              <w:spacing w:after="0" w:line="240" w:lineRule="auto"/>
              <w:jc w:val="center"/>
              <w:cnfStyle w:val="000000000000"/>
              <w:rPr>
                <w:rFonts w:eastAsia="Times New Roman" w:cs="Arial"/>
                <w:color w:val="auto"/>
                <w:sz w:val="20"/>
                <w:szCs w:val="20"/>
              </w:rPr>
            </w:pPr>
            <w:r w:rsidRPr="00E7618A">
              <w:rPr>
                <w:rFonts w:eastAsia="Times New Roman" w:cs="Arial"/>
                <w:color w:val="auto"/>
                <w:sz w:val="20"/>
                <w:szCs w:val="20"/>
              </w:rPr>
              <w:t>403.0</w:t>
            </w:r>
          </w:p>
        </w:tc>
        <w:tc>
          <w:tcPr>
            <w:tcW w:w="1418" w:type="dxa"/>
          </w:tcPr>
          <w:p w:rsidR="00B81008" w:rsidRPr="00E7618A" w:rsidRDefault="00E7618A" w:rsidP="00B81008">
            <w:pPr>
              <w:autoSpaceDE w:val="0"/>
              <w:autoSpaceDN w:val="0"/>
              <w:adjustRightInd w:val="0"/>
              <w:spacing w:after="0" w:line="240" w:lineRule="auto"/>
              <w:jc w:val="center"/>
              <w:cnfStyle w:val="000000000000"/>
              <w:rPr>
                <w:rFonts w:eastAsia="Times New Roman" w:cs="Arial"/>
                <w:color w:val="auto"/>
                <w:sz w:val="20"/>
                <w:szCs w:val="20"/>
              </w:rPr>
            </w:pPr>
            <w:r w:rsidRPr="00E7618A">
              <w:rPr>
                <w:rFonts w:eastAsia="Times New Roman" w:cs="Arial"/>
                <w:color w:val="auto"/>
                <w:sz w:val="20"/>
                <w:szCs w:val="20"/>
              </w:rPr>
              <w:t>390.9</w:t>
            </w:r>
          </w:p>
        </w:tc>
        <w:tc>
          <w:tcPr>
            <w:tcW w:w="1337" w:type="dxa"/>
          </w:tcPr>
          <w:p w:rsidR="00B81008" w:rsidRPr="00A45C87" w:rsidRDefault="00A45C87" w:rsidP="00B81008">
            <w:pPr>
              <w:autoSpaceDE w:val="0"/>
              <w:autoSpaceDN w:val="0"/>
              <w:adjustRightInd w:val="0"/>
              <w:spacing w:after="0" w:line="240" w:lineRule="auto"/>
              <w:jc w:val="center"/>
              <w:cnfStyle w:val="000000000000"/>
              <w:rPr>
                <w:rFonts w:eastAsia="Times New Roman" w:cs="Arial"/>
                <w:color w:val="auto"/>
                <w:sz w:val="20"/>
                <w:szCs w:val="20"/>
              </w:rPr>
            </w:pPr>
            <w:r w:rsidRPr="00A45C87">
              <w:rPr>
                <w:rFonts w:eastAsia="Times New Roman" w:cs="Arial"/>
                <w:color w:val="auto"/>
                <w:sz w:val="20"/>
                <w:szCs w:val="20"/>
              </w:rPr>
              <w:t>379.1</w:t>
            </w:r>
          </w:p>
        </w:tc>
      </w:tr>
      <w:tr w:rsidR="00B81008" w:rsidRPr="00D42E0B" w:rsidTr="004A563D">
        <w:trPr>
          <w:cnfStyle w:val="000000100000"/>
        </w:trPr>
        <w:tc>
          <w:tcPr>
            <w:cnfStyle w:val="001000000000"/>
            <w:tcW w:w="3895" w:type="dxa"/>
            <w:tcBorders>
              <w:top w:val="none" w:sz="0" w:space="0" w:color="auto"/>
              <w:bottom w:val="none" w:sz="0" w:space="0" w:color="auto"/>
              <w:right w:val="none" w:sz="0" w:space="0" w:color="auto"/>
            </w:tcBorders>
          </w:tcPr>
          <w:p w:rsidR="00B81008" w:rsidRPr="00E7618A" w:rsidRDefault="00B81008" w:rsidP="00B81008">
            <w:pPr>
              <w:autoSpaceDE w:val="0"/>
              <w:autoSpaceDN w:val="0"/>
              <w:adjustRightInd w:val="0"/>
              <w:spacing w:after="0" w:line="240" w:lineRule="auto"/>
              <w:rPr>
                <w:rFonts w:eastAsia="Times New Roman" w:cs="Arial"/>
                <w:b w:val="0"/>
                <w:color w:val="auto"/>
                <w:sz w:val="20"/>
                <w:szCs w:val="20"/>
              </w:rPr>
            </w:pPr>
            <w:r w:rsidRPr="00E7618A">
              <w:rPr>
                <w:rFonts w:eastAsia="Times New Roman" w:cs="Arial"/>
                <w:b w:val="0"/>
                <w:color w:val="auto"/>
                <w:sz w:val="20"/>
                <w:szCs w:val="20"/>
              </w:rPr>
              <w:t>Projected Service Cost</w:t>
            </w:r>
          </w:p>
        </w:tc>
        <w:tc>
          <w:tcPr>
            <w:tcW w:w="1417" w:type="dxa"/>
            <w:tcBorders>
              <w:top w:val="none" w:sz="0" w:space="0" w:color="auto"/>
              <w:bottom w:val="none" w:sz="0" w:space="0" w:color="auto"/>
            </w:tcBorders>
          </w:tcPr>
          <w:p w:rsidR="00B81008" w:rsidRPr="00E7618A" w:rsidRDefault="00A51B42" w:rsidP="00E7618A">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7.</w:t>
            </w:r>
            <w:r w:rsidR="00E7618A" w:rsidRPr="00E7618A">
              <w:rPr>
                <w:rFonts w:eastAsia="Times New Roman" w:cs="Arial"/>
                <w:color w:val="auto"/>
                <w:sz w:val="20"/>
                <w:szCs w:val="20"/>
              </w:rPr>
              <w:t>3</w:t>
            </w:r>
          </w:p>
        </w:tc>
        <w:tc>
          <w:tcPr>
            <w:tcW w:w="1418" w:type="dxa"/>
            <w:tcBorders>
              <w:top w:val="none" w:sz="0" w:space="0" w:color="auto"/>
              <w:bottom w:val="none" w:sz="0" w:space="0" w:color="auto"/>
            </w:tcBorders>
          </w:tcPr>
          <w:p w:rsidR="00B81008" w:rsidRPr="00E7618A" w:rsidRDefault="00E7618A" w:rsidP="00E7618A">
            <w:pPr>
              <w:autoSpaceDE w:val="0"/>
              <w:autoSpaceDN w:val="0"/>
              <w:adjustRightInd w:val="0"/>
              <w:spacing w:after="0" w:line="240" w:lineRule="auto"/>
              <w:jc w:val="center"/>
              <w:cnfStyle w:val="000000100000"/>
              <w:rPr>
                <w:rFonts w:eastAsia="Times New Roman" w:cs="Arial"/>
                <w:color w:val="auto"/>
                <w:sz w:val="20"/>
                <w:szCs w:val="20"/>
              </w:rPr>
            </w:pPr>
            <w:r w:rsidRPr="00E7618A">
              <w:rPr>
                <w:rFonts w:eastAsia="Times New Roman" w:cs="Arial"/>
                <w:color w:val="auto"/>
                <w:sz w:val="20"/>
                <w:szCs w:val="20"/>
              </w:rPr>
              <w:t>7</w:t>
            </w:r>
            <w:r w:rsidR="00B81008" w:rsidRPr="00E7618A">
              <w:rPr>
                <w:rFonts w:eastAsia="Times New Roman" w:cs="Arial"/>
                <w:color w:val="auto"/>
                <w:sz w:val="20"/>
                <w:szCs w:val="20"/>
              </w:rPr>
              <w:t>.1</w:t>
            </w:r>
          </w:p>
        </w:tc>
        <w:tc>
          <w:tcPr>
            <w:tcW w:w="1337" w:type="dxa"/>
            <w:tcBorders>
              <w:top w:val="none" w:sz="0" w:space="0" w:color="auto"/>
              <w:bottom w:val="none" w:sz="0" w:space="0" w:color="auto"/>
            </w:tcBorders>
          </w:tcPr>
          <w:p w:rsidR="00B81008" w:rsidRPr="00A45C87" w:rsidRDefault="00A45C87" w:rsidP="00B81008">
            <w:pPr>
              <w:autoSpaceDE w:val="0"/>
              <w:autoSpaceDN w:val="0"/>
              <w:adjustRightInd w:val="0"/>
              <w:spacing w:after="0" w:line="240" w:lineRule="auto"/>
              <w:jc w:val="center"/>
              <w:cnfStyle w:val="000000100000"/>
              <w:rPr>
                <w:rFonts w:eastAsia="Times New Roman" w:cs="Arial"/>
                <w:color w:val="auto"/>
                <w:sz w:val="20"/>
                <w:szCs w:val="20"/>
              </w:rPr>
            </w:pPr>
            <w:r w:rsidRPr="00A45C87">
              <w:rPr>
                <w:rFonts w:eastAsia="Times New Roman" w:cs="Arial"/>
                <w:color w:val="auto"/>
                <w:sz w:val="20"/>
                <w:szCs w:val="20"/>
              </w:rPr>
              <w:t>6.9</w:t>
            </w:r>
          </w:p>
        </w:tc>
      </w:tr>
    </w:tbl>
    <w:p w:rsidR="000401DE" w:rsidRPr="00D42E0B" w:rsidRDefault="000401DE" w:rsidP="004A563D">
      <w:pPr>
        <w:autoSpaceDE w:val="0"/>
        <w:autoSpaceDN w:val="0"/>
        <w:adjustRightInd w:val="0"/>
        <w:spacing w:after="0" w:line="240" w:lineRule="auto"/>
        <w:rPr>
          <w:rFonts w:eastAsia="Times New Roman" w:cs="Arial"/>
          <w:color w:val="548DD4" w:themeColor="text2" w:themeTint="99"/>
          <w:sz w:val="20"/>
          <w:szCs w:val="20"/>
          <w:lang w:eastAsia="en-GB"/>
        </w:rPr>
      </w:pPr>
    </w:p>
    <w:p w:rsidR="00924F40" w:rsidRPr="00D42E0B" w:rsidRDefault="00924F40" w:rsidP="004A563D">
      <w:pPr>
        <w:pStyle w:val="BodyTextIndent"/>
        <w:ind w:left="0"/>
        <w:rPr>
          <w:color w:val="548DD4" w:themeColor="text2" w:themeTint="99"/>
          <w:sz w:val="20"/>
          <w:szCs w:val="20"/>
        </w:rPr>
      </w:pPr>
    </w:p>
    <w:p w:rsidR="00E51139" w:rsidRPr="00031F59" w:rsidRDefault="004A563D" w:rsidP="004A563D">
      <w:pPr>
        <w:pStyle w:val="Subtitle"/>
        <w:ind w:left="567" w:hanging="567"/>
        <w:rPr>
          <w:b/>
          <w:color w:val="auto"/>
          <w:sz w:val="22"/>
          <w:szCs w:val="22"/>
        </w:rPr>
      </w:pPr>
      <w:r w:rsidRPr="00031F59">
        <w:rPr>
          <w:b/>
          <w:color w:val="auto"/>
          <w:sz w:val="22"/>
          <w:szCs w:val="22"/>
        </w:rPr>
        <w:t>39.</w:t>
      </w:r>
      <w:r w:rsidR="00924F40" w:rsidRPr="00031F59">
        <w:rPr>
          <w:b/>
          <w:color w:val="auto"/>
          <w:sz w:val="22"/>
          <w:szCs w:val="22"/>
        </w:rPr>
        <w:t xml:space="preserve">    </w:t>
      </w:r>
      <w:r w:rsidR="00E51139" w:rsidRPr="00031F59">
        <w:rPr>
          <w:b/>
          <w:color w:val="auto"/>
          <w:sz w:val="22"/>
          <w:szCs w:val="22"/>
        </w:rPr>
        <w:t>Summary of Significant Accounting Policies</w:t>
      </w:r>
    </w:p>
    <w:p w:rsidR="00292A4B" w:rsidRPr="003B786D" w:rsidRDefault="00292A4B" w:rsidP="00292A4B">
      <w:pPr>
        <w:spacing w:after="0" w:line="240" w:lineRule="auto"/>
        <w:ind w:left="567"/>
        <w:jc w:val="both"/>
        <w:rPr>
          <w:rFonts w:eastAsia="Times New Roman" w:cs="Arial"/>
          <w:color w:val="auto"/>
          <w:sz w:val="20"/>
          <w:szCs w:val="20"/>
          <w:lang w:eastAsia="en-GB"/>
        </w:rPr>
      </w:pPr>
      <w:r w:rsidRPr="003B786D">
        <w:rPr>
          <w:rFonts w:eastAsia="Times New Roman" w:cs="Arial"/>
          <w:color w:val="auto"/>
          <w:sz w:val="20"/>
          <w:szCs w:val="20"/>
          <w:lang w:eastAsia="en-GB"/>
        </w:rPr>
        <w:t>The Accounts and Audit (England) Regulations 2015 require the Council to prepare a Statement of Accounts for each financial year in accordance with proper accounting practices. For 2015/16, these proper accounting practices principally comprise:</w:t>
      </w:r>
    </w:p>
    <w:p w:rsidR="00292A4B" w:rsidRPr="003B786D" w:rsidRDefault="00292A4B" w:rsidP="00292A4B">
      <w:pPr>
        <w:spacing w:after="0" w:line="240" w:lineRule="auto"/>
        <w:jc w:val="both"/>
        <w:rPr>
          <w:rFonts w:eastAsia="Times New Roman" w:cs="Arial"/>
          <w:color w:val="auto"/>
          <w:sz w:val="20"/>
          <w:szCs w:val="20"/>
          <w:lang w:eastAsia="en-GB"/>
        </w:rPr>
      </w:pPr>
    </w:p>
    <w:p w:rsidR="00292A4B" w:rsidRPr="003B786D" w:rsidRDefault="00292A4B" w:rsidP="003E10DE">
      <w:pPr>
        <w:pStyle w:val="Default"/>
        <w:numPr>
          <w:ilvl w:val="0"/>
          <w:numId w:val="28"/>
        </w:numPr>
        <w:spacing w:after="8"/>
        <w:rPr>
          <w:rFonts w:ascii="Arial" w:hAnsi="Arial" w:cs="Arial"/>
          <w:color w:val="auto"/>
          <w:sz w:val="20"/>
          <w:szCs w:val="20"/>
        </w:rPr>
      </w:pPr>
      <w:r w:rsidRPr="003B786D">
        <w:rPr>
          <w:rFonts w:ascii="Arial" w:hAnsi="Arial" w:cs="Arial"/>
          <w:color w:val="auto"/>
          <w:sz w:val="20"/>
          <w:szCs w:val="20"/>
        </w:rPr>
        <w:t xml:space="preserve">the Code of Practice on Local Authority Accounting in the United Kingdom 2015/16 (the Code) </w:t>
      </w:r>
    </w:p>
    <w:p w:rsidR="00292A4B" w:rsidRPr="003B786D" w:rsidRDefault="00292A4B" w:rsidP="003E10DE">
      <w:pPr>
        <w:pStyle w:val="Default"/>
        <w:numPr>
          <w:ilvl w:val="0"/>
          <w:numId w:val="28"/>
        </w:numPr>
        <w:spacing w:after="8"/>
        <w:rPr>
          <w:rFonts w:ascii="Arial" w:hAnsi="Arial" w:cs="Arial"/>
          <w:color w:val="auto"/>
          <w:sz w:val="20"/>
          <w:szCs w:val="20"/>
        </w:rPr>
      </w:pPr>
      <w:r w:rsidRPr="003B786D">
        <w:rPr>
          <w:rFonts w:ascii="Arial" w:hAnsi="Arial" w:cs="Arial"/>
          <w:color w:val="auto"/>
          <w:sz w:val="20"/>
          <w:szCs w:val="20"/>
        </w:rPr>
        <w:lastRenderedPageBreak/>
        <w:t xml:space="preserve">Update to the 2015/16 Code of Practice on Local Authority Accounting in the United Kingdom (Code Update) </w:t>
      </w:r>
    </w:p>
    <w:p w:rsidR="00292A4B" w:rsidRPr="003B786D" w:rsidRDefault="00292A4B" w:rsidP="003E10DE">
      <w:pPr>
        <w:pStyle w:val="Default"/>
        <w:numPr>
          <w:ilvl w:val="0"/>
          <w:numId w:val="28"/>
        </w:numPr>
        <w:spacing w:after="8"/>
        <w:rPr>
          <w:rFonts w:ascii="Arial" w:hAnsi="Arial" w:cs="Arial"/>
          <w:color w:val="auto"/>
          <w:sz w:val="20"/>
          <w:szCs w:val="20"/>
        </w:rPr>
      </w:pPr>
      <w:r w:rsidRPr="003B786D">
        <w:rPr>
          <w:rFonts w:ascii="Arial" w:hAnsi="Arial" w:cs="Arial"/>
          <w:color w:val="auto"/>
          <w:sz w:val="20"/>
          <w:szCs w:val="20"/>
        </w:rPr>
        <w:t xml:space="preserve">the Service Reporting Code of Practice 2015/16 (SeRCOP) </w:t>
      </w:r>
    </w:p>
    <w:p w:rsidR="00292A4B" w:rsidRPr="003B786D" w:rsidRDefault="00292A4B" w:rsidP="003E10DE">
      <w:pPr>
        <w:pStyle w:val="Default"/>
        <w:numPr>
          <w:ilvl w:val="0"/>
          <w:numId w:val="28"/>
        </w:numPr>
        <w:rPr>
          <w:rFonts w:ascii="Arial" w:hAnsi="Arial" w:cs="Arial"/>
          <w:color w:val="auto"/>
          <w:sz w:val="20"/>
          <w:szCs w:val="20"/>
        </w:rPr>
      </w:pPr>
      <w:r w:rsidRPr="003B786D">
        <w:rPr>
          <w:rFonts w:ascii="Arial" w:hAnsi="Arial" w:cs="Arial"/>
          <w:color w:val="auto"/>
          <w:sz w:val="20"/>
          <w:szCs w:val="20"/>
        </w:rPr>
        <w:t xml:space="preserve">the Local Authorities (Capital Finance and Accounting)(England) Regulations 2003 (SI 2003 No 3146, as amended) (the 2003 Regs) </w:t>
      </w:r>
    </w:p>
    <w:p w:rsidR="00630BE4" w:rsidRDefault="00630BE4" w:rsidP="00292A4B">
      <w:pPr>
        <w:pStyle w:val="Heading1"/>
        <w:spacing w:line="240" w:lineRule="atLeast"/>
        <w:ind w:left="567"/>
        <w:jc w:val="both"/>
        <w:rPr>
          <w:rFonts w:cs="Arial"/>
          <w:b/>
          <w:color w:val="auto"/>
          <w:sz w:val="20"/>
          <w:szCs w:val="20"/>
        </w:rPr>
      </w:pPr>
    </w:p>
    <w:p w:rsidR="00292A4B" w:rsidRPr="00513741" w:rsidRDefault="00630BE4" w:rsidP="00E44EA0">
      <w:pPr>
        <w:pStyle w:val="Heading1"/>
        <w:spacing w:line="240" w:lineRule="atLeast"/>
        <w:jc w:val="both"/>
        <w:rPr>
          <w:rFonts w:cs="Arial"/>
          <w:b/>
          <w:color w:val="auto"/>
          <w:sz w:val="20"/>
          <w:szCs w:val="20"/>
        </w:rPr>
      </w:pPr>
      <w:r>
        <w:rPr>
          <w:rFonts w:cs="Arial"/>
          <w:b/>
          <w:color w:val="auto"/>
          <w:sz w:val="20"/>
          <w:szCs w:val="20"/>
        </w:rPr>
        <w:t>39.1</w:t>
      </w:r>
      <w:r w:rsidR="00EA2646">
        <w:rPr>
          <w:rFonts w:cs="Arial"/>
          <w:b/>
          <w:color w:val="auto"/>
          <w:sz w:val="20"/>
          <w:szCs w:val="20"/>
        </w:rPr>
        <w:t xml:space="preserve">    </w:t>
      </w:r>
      <w:r w:rsidR="00292A4B" w:rsidRPr="00513741">
        <w:rPr>
          <w:rFonts w:cs="Arial"/>
          <w:b/>
          <w:color w:val="auto"/>
          <w:sz w:val="20"/>
          <w:szCs w:val="20"/>
        </w:rPr>
        <w:t>Accounting Policies</w:t>
      </w:r>
    </w:p>
    <w:p w:rsidR="00292A4B" w:rsidRPr="00513741" w:rsidRDefault="00292A4B" w:rsidP="00292A4B">
      <w:pPr>
        <w:pStyle w:val="BodyTextIndent"/>
        <w:ind w:left="567"/>
        <w:jc w:val="both"/>
        <w:rPr>
          <w:rFonts w:cs="Arial"/>
          <w:color w:val="auto"/>
          <w:sz w:val="20"/>
          <w:szCs w:val="20"/>
        </w:rPr>
      </w:pPr>
      <w:r w:rsidRPr="00513741">
        <w:rPr>
          <w:rFonts w:cs="Arial"/>
          <w:color w:val="auto"/>
          <w:sz w:val="20"/>
          <w:szCs w:val="20"/>
        </w:rPr>
        <w:t xml:space="preserve">Accounting policies are the principles, bases, conventions, rules and practices applied by an entity that specify how the effects of transactions and other events are reflected in the financial statements. These include estimation techniques that have been used in applying the policies. </w:t>
      </w:r>
    </w:p>
    <w:p w:rsidR="00292A4B" w:rsidRPr="00513741" w:rsidRDefault="00292A4B" w:rsidP="00292A4B">
      <w:pPr>
        <w:pStyle w:val="BodyTextIndent"/>
        <w:ind w:left="567"/>
        <w:jc w:val="both"/>
        <w:rPr>
          <w:rFonts w:cs="Arial"/>
          <w:color w:val="auto"/>
          <w:sz w:val="20"/>
          <w:szCs w:val="20"/>
        </w:rPr>
      </w:pPr>
      <w:r w:rsidRPr="00513741">
        <w:rPr>
          <w:rFonts w:cs="Arial"/>
          <w:color w:val="auto"/>
          <w:sz w:val="20"/>
          <w:szCs w:val="20"/>
        </w:rPr>
        <w:t xml:space="preserve">The accounting policies that have a </w:t>
      </w:r>
      <w:r w:rsidRPr="00513741">
        <w:rPr>
          <w:rFonts w:cs="Arial"/>
          <w:color w:val="auto"/>
          <w:sz w:val="20"/>
          <w:szCs w:val="20"/>
          <w:u w:val="single"/>
        </w:rPr>
        <w:t>significant</w:t>
      </w:r>
      <w:r w:rsidRPr="00513741">
        <w:rPr>
          <w:rFonts w:cs="Arial"/>
          <w:color w:val="auto"/>
          <w:sz w:val="20"/>
          <w:szCs w:val="20"/>
        </w:rPr>
        <w:t xml:space="preserve"> effect on the amounts recognised in the Council’s accounts are listed below. Within these polices the abbreviation “CIES” has been used for “Comprehensive Income and Expenditure Statement”.</w:t>
      </w:r>
    </w:p>
    <w:p w:rsidR="00292A4B" w:rsidRPr="00513741" w:rsidRDefault="00292A4B" w:rsidP="00292A4B">
      <w:pPr>
        <w:spacing w:after="0" w:line="240" w:lineRule="auto"/>
        <w:ind w:left="567"/>
        <w:jc w:val="both"/>
        <w:rPr>
          <w:rFonts w:eastAsia="Times New Roman" w:cs="Arial"/>
          <w:color w:val="auto"/>
          <w:sz w:val="20"/>
          <w:szCs w:val="20"/>
          <w:lang w:eastAsia="en-GB"/>
        </w:rPr>
      </w:pPr>
      <w:r w:rsidRPr="00513741">
        <w:rPr>
          <w:rFonts w:eastAsia="Times New Roman" w:cs="Arial"/>
          <w:color w:val="auto"/>
          <w:sz w:val="20"/>
          <w:szCs w:val="20"/>
          <w:lang w:eastAsia="en-GB"/>
        </w:rPr>
        <w:t xml:space="preserve">The Statement of Accounts has been prepared using the going concern and accruals bases.  </w:t>
      </w:r>
    </w:p>
    <w:p w:rsidR="00292A4B" w:rsidRPr="00513741" w:rsidRDefault="00292A4B" w:rsidP="00292A4B">
      <w:pPr>
        <w:spacing w:after="0" w:line="240" w:lineRule="auto"/>
        <w:ind w:left="567"/>
        <w:jc w:val="both"/>
        <w:rPr>
          <w:rFonts w:eastAsia="Times New Roman" w:cs="Arial"/>
          <w:color w:val="auto"/>
          <w:sz w:val="20"/>
          <w:szCs w:val="20"/>
          <w:lang w:eastAsia="en-GB"/>
        </w:rPr>
      </w:pPr>
    </w:p>
    <w:p w:rsidR="00DC35D3" w:rsidRPr="00806D0D" w:rsidRDefault="00DC35D3" w:rsidP="00DC35D3">
      <w:pPr>
        <w:spacing w:after="0" w:line="240" w:lineRule="auto"/>
        <w:jc w:val="both"/>
        <w:rPr>
          <w:rFonts w:eastAsia="Times New Roman" w:cs="Arial"/>
          <w:b/>
          <w:color w:val="auto"/>
          <w:sz w:val="20"/>
          <w:szCs w:val="20"/>
          <w:lang w:eastAsia="en-GB"/>
        </w:rPr>
      </w:pPr>
      <w:r>
        <w:rPr>
          <w:rFonts w:eastAsia="Times New Roman" w:cs="Arial"/>
          <w:b/>
          <w:color w:val="auto"/>
          <w:sz w:val="20"/>
          <w:szCs w:val="20"/>
          <w:lang w:eastAsia="en-GB"/>
        </w:rPr>
        <w:t xml:space="preserve">39.2   </w:t>
      </w:r>
      <w:r w:rsidRPr="00806D0D">
        <w:rPr>
          <w:rFonts w:eastAsia="Times New Roman" w:cs="Arial"/>
          <w:b/>
          <w:color w:val="auto"/>
          <w:sz w:val="20"/>
          <w:szCs w:val="20"/>
          <w:lang w:eastAsia="en-GB"/>
        </w:rPr>
        <w:t>Accruals of Income and Expenditure</w:t>
      </w:r>
    </w:p>
    <w:p w:rsidR="00DC35D3" w:rsidRDefault="00DC35D3" w:rsidP="00DC35D3">
      <w:pPr>
        <w:spacing w:after="0" w:line="240" w:lineRule="auto"/>
        <w:ind w:left="567"/>
        <w:jc w:val="both"/>
        <w:rPr>
          <w:rFonts w:eastAsia="Times New Roman" w:cs="Arial"/>
          <w:color w:val="auto"/>
          <w:sz w:val="20"/>
          <w:szCs w:val="20"/>
          <w:lang w:eastAsia="en-GB"/>
        </w:rPr>
      </w:pPr>
    </w:p>
    <w:p w:rsidR="00DC35D3" w:rsidRPr="00806D0D" w:rsidRDefault="00DC35D3" w:rsidP="00DC35D3">
      <w:pPr>
        <w:spacing w:after="0" w:line="240" w:lineRule="auto"/>
        <w:ind w:left="567"/>
        <w:jc w:val="both"/>
        <w:rPr>
          <w:rFonts w:eastAsia="Times New Roman" w:cs="Arial"/>
          <w:color w:val="auto"/>
          <w:sz w:val="20"/>
          <w:szCs w:val="20"/>
          <w:lang w:eastAsia="en-GB"/>
        </w:rPr>
      </w:pPr>
      <w:r w:rsidRPr="00806D0D">
        <w:rPr>
          <w:rFonts w:eastAsia="Times New Roman" w:cs="Arial"/>
          <w:color w:val="auto"/>
          <w:sz w:val="20"/>
          <w:szCs w:val="20"/>
          <w:lang w:eastAsia="en-GB"/>
        </w:rPr>
        <w:t>Activity is accounted for in the year that it takes place, not simply when cash payments are made or received. Where the exact amount of the sum is unknown an estimate will be made based on historical knowledge of the type of transaction and the value of similar payments. An exception is where there are regular bills, such as utilities and staff travel payments where, if not material, no accruals have been made as over a period of time the number of payments per year will even out. In addition where the exact value of a transaction or a number of transactions is not yet known estimates of the amounts due/owed have been made.</w:t>
      </w:r>
      <w:r>
        <w:rPr>
          <w:rFonts w:eastAsia="Times New Roman" w:cs="Arial"/>
          <w:color w:val="auto"/>
          <w:sz w:val="20"/>
          <w:szCs w:val="20"/>
          <w:lang w:eastAsia="en-GB"/>
        </w:rPr>
        <w:t xml:space="preserve"> </w:t>
      </w:r>
      <w:r w:rsidRPr="00806D0D">
        <w:rPr>
          <w:rFonts w:eastAsia="Times New Roman" w:cs="Arial"/>
          <w:color w:val="auto"/>
          <w:sz w:val="20"/>
          <w:szCs w:val="20"/>
          <w:lang w:eastAsia="en-GB"/>
        </w:rPr>
        <w:t>In particular:</w:t>
      </w:r>
    </w:p>
    <w:p w:rsidR="00DC35D3" w:rsidRDefault="00DC35D3" w:rsidP="00DC35D3">
      <w:pPr>
        <w:spacing w:after="0" w:line="240" w:lineRule="auto"/>
        <w:ind w:left="567"/>
        <w:jc w:val="both"/>
        <w:rPr>
          <w:rFonts w:eastAsia="Times New Roman" w:cs="Arial"/>
          <w:color w:val="auto"/>
          <w:sz w:val="20"/>
          <w:szCs w:val="20"/>
          <w:lang w:eastAsia="en-GB"/>
        </w:rPr>
      </w:pPr>
    </w:p>
    <w:p w:rsidR="00DC35D3" w:rsidRPr="00806D0D" w:rsidRDefault="00DC35D3" w:rsidP="00DC35D3">
      <w:pPr>
        <w:spacing w:after="0" w:line="240" w:lineRule="auto"/>
        <w:ind w:left="567"/>
        <w:jc w:val="both"/>
        <w:rPr>
          <w:rFonts w:eastAsia="Times New Roman" w:cs="Arial"/>
          <w:color w:val="auto"/>
          <w:sz w:val="20"/>
          <w:szCs w:val="20"/>
          <w:lang w:eastAsia="en-GB"/>
        </w:rPr>
      </w:pPr>
      <w:r w:rsidRPr="00806D0D">
        <w:rPr>
          <w:rFonts w:eastAsia="Times New Roman" w:cs="Arial"/>
          <w:color w:val="auto"/>
          <w:sz w:val="20"/>
          <w:szCs w:val="20"/>
          <w:lang w:eastAsia="en-GB"/>
        </w:rPr>
        <w:t>Revenue from the sale of goods is recognised when the Council transfers the significant risks and rewards of ownership to the purchaser and it is probable that economic benefits or service potential associated with the transaction will flow to the Council.</w:t>
      </w:r>
    </w:p>
    <w:p w:rsidR="00DC35D3" w:rsidRPr="00806D0D" w:rsidRDefault="00DC35D3" w:rsidP="00DC35D3">
      <w:pPr>
        <w:spacing w:after="0" w:line="240" w:lineRule="auto"/>
        <w:ind w:left="567"/>
        <w:jc w:val="both"/>
        <w:rPr>
          <w:rFonts w:eastAsia="Times New Roman" w:cs="Arial"/>
          <w:color w:val="auto"/>
          <w:sz w:val="20"/>
          <w:szCs w:val="20"/>
          <w:lang w:eastAsia="en-GB"/>
        </w:rPr>
      </w:pPr>
    </w:p>
    <w:p w:rsidR="00DC35D3" w:rsidRPr="00806D0D" w:rsidRDefault="00DC35D3" w:rsidP="00DC35D3">
      <w:pPr>
        <w:spacing w:after="0" w:line="240" w:lineRule="auto"/>
        <w:ind w:left="567"/>
        <w:jc w:val="both"/>
        <w:rPr>
          <w:rFonts w:eastAsia="Times New Roman" w:cs="Arial"/>
          <w:color w:val="auto"/>
          <w:sz w:val="20"/>
          <w:szCs w:val="20"/>
          <w:lang w:eastAsia="en-GB"/>
        </w:rPr>
      </w:pPr>
      <w:r w:rsidRPr="00806D0D">
        <w:rPr>
          <w:rFonts w:eastAsia="Times New Roman" w:cs="Arial"/>
          <w:color w:val="auto"/>
          <w:sz w:val="20"/>
          <w:szCs w:val="20"/>
          <w:lang w:eastAsia="en-GB"/>
        </w:rPr>
        <w:t>Revenue from the provision of services is recognised when the Council can measure reliably the percentage of completion of the transaction and it is probable that economic benefits or service potential associated with the transaction will flow to the Council.</w:t>
      </w:r>
    </w:p>
    <w:p w:rsidR="00DC35D3" w:rsidRPr="00806D0D" w:rsidRDefault="00DC35D3" w:rsidP="00DC35D3">
      <w:pPr>
        <w:spacing w:after="0" w:line="240" w:lineRule="auto"/>
        <w:ind w:left="567"/>
        <w:jc w:val="both"/>
        <w:rPr>
          <w:rFonts w:eastAsia="Times New Roman" w:cs="Arial"/>
          <w:color w:val="auto"/>
          <w:sz w:val="20"/>
          <w:szCs w:val="20"/>
          <w:lang w:eastAsia="en-GB"/>
        </w:rPr>
      </w:pPr>
    </w:p>
    <w:p w:rsidR="00DC35D3" w:rsidRPr="00806D0D" w:rsidRDefault="00DC35D3" w:rsidP="00DC35D3">
      <w:pPr>
        <w:spacing w:after="0" w:line="240" w:lineRule="auto"/>
        <w:ind w:left="567"/>
        <w:jc w:val="both"/>
        <w:rPr>
          <w:rFonts w:eastAsia="Times New Roman" w:cs="Arial"/>
          <w:color w:val="auto"/>
          <w:sz w:val="20"/>
          <w:szCs w:val="20"/>
          <w:lang w:eastAsia="en-GB"/>
        </w:rPr>
      </w:pPr>
      <w:r w:rsidRPr="00806D0D">
        <w:rPr>
          <w:rFonts w:eastAsia="Times New Roman" w:cs="Arial"/>
          <w:color w:val="auto"/>
          <w:sz w:val="20"/>
          <w:szCs w:val="20"/>
          <w:lang w:eastAsia="en-GB"/>
        </w:rPr>
        <w:t>Revenue relating to such things as council tax, general rates, etc shall be measured at the full amount receivable (net of any impairment losses) as they are non-contractual, non exchange transactions and there can be no difference between the delivery and payment dates.</w:t>
      </w:r>
    </w:p>
    <w:p w:rsidR="00DC35D3" w:rsidRDefault="00DC35D3" w:rsidP="00DC35D3">
      <w:pPr>
        <w:spacing w:after="0" w:line="240" w:lineRule="auto"/>
        <w:ind w:left="567"/>
        <w:jc w:val="both"/>
        <w:rPr>
          <w:rFonts w:eastAsia="Times New Roman" w:cs="Arial"/>
          <w:color w:val="auto"/>
          <w:sz w:val="20"/>
          <w:szCs w:val="20"/>
          <w:lang w:eastAsia="en-GB"/>
        </w:rPr>
      </w:pPr>
    </w:p>
    <w:p w:rsidR="00DC35D3" w:rsidRPr="00806D0D" w:rsidRDefault="00DC35D3" w:rsidP="00DC35D3">
      <w:pPr>
        <w:spacing w:after="0" w:line="240" w:lineRule="auto"/>
        <w:ind w:left="567"/>
        <w:jc w:val="both"/>
        <w:rPr>
          <w:rFonts w:eastAsia="Times New Roman" w:cs="Arial"/>
          <w:color w:val="auto"/>
          <w:sz w:val="20"/>
          <w:szCs w:val="20"/>
          <w:lang w:eastAsia="en-GB"/>
        </w:rPr>
      </w:pPr>
      <w:r w:rsidRPr="00806D0D">
        <w:rPr>
          <w:rFonts w:eastAsia="Times New Roman" w:cs="Arial"/>
          <w:color w:val="auto"/>
          <w:sz w:val="20"/>
          <w:szCs w:val="20"/>
          <w:lang w:eastAsia="en-GB"/>
        </w:rPr>
        <w:t>Supplies are recorded as expenditure when they are consumed. Where appropriate there is a gap between the date supplies are received and their consumption they are carried as inventories on the Balance Sheet.</w:t>
      </w:r>
    </w:p>
    <w:p w:rsidR="00DC35D3" w:rsidRPr="00806D0D" w:rsidRDefault="00DC35D3" w:rsidP="00DC35D3">
      <w:pPr>
        <w:spacing w:after="0" w:line="240" w:lineRule="auto"/>
        <w:ind w:left="567"/>
        <w:jc w:val="both"/>
        <w:rPr>
          <w:rFonts w:eastAsia="Times New Roman" w:cs="Arial"/>
          <w:color w:val="auto"/>
          <w:sz w:val="20"/>
          <w:szCs w:val="20"/>
          <w:lang w:eastAsia="en-GB"/>
        </w:rPr>
      </w:pPr>
    </w:p>
    <w:p w:rsidR="00DC35D3" w:rsidRPr="00806D0D" w:rsidRDefault="00DC35D3" w:rsidP="00DC35D3">
      <w:pPr>
        <w:spacing w:after="0" w:line="240" w:lineRule="auto"/>
        <w:ind w:left="567"/>
        <w:jc w:val="both"/>
        <w:rPr>
          <w:rFonts w:eastAsia="Times New Roman" w:cs="Arial"/>
          <w:color w:val="auto"/>
          <w:sz w:val="20"/>
          <w:szCs w:val="20"/>
          <w:lang w:eastAsia="en-GB"/>
        </w:rPr>
      </w:pPr>
      <w:r w:rsidRPr="00806D0D">
        <w:rPr>
          <w:rFonts w:eastAsia="Times New Roman" w:cs="Arial"/>
          <w:color w:val="auto"/>
          <w:sz w:val="20"/>
          <w:szCs w:val="20"/>
          <w:lang w:eastAsia="en-GB"/>
        </w:rPr>
        <w:t>Expenses in relation to services received (including services provided by employees) are recorded as expenditure when the services are received rather than when payments are made.</w:t>
      </w:r>
    </w:p>
    <w:p w:rsidR="00DC35D3" w:rsidRPr="00806D0D" w:rsidRDefault="00DC35D3" w:rsidP="00DC35D3">
      <w:pPr>
        <w:spacing w:after="0" w:line="240" w:lineRule="auto"/>
        <w:ind w:left="567"/>
        <w:jc w:val="both"/>
        <w:rPr>
          <w:rFonts w:eastAsia="Times New Roman" w:cs="Arial"/>
          <w:color w:val="auto"/>
          <w:sz w:val="20"/>
          <w:szCs w:val="20"/>
          <w:lang w:eastAsia="en-GB"/>
        </w:rPr>
      </w:pPr>
    </w:p>
    <w:p w:rsidR="00DC35D3" w:rsidRDefault="00DC35D3" w:rsidP="00DC35D3">
      <w:pPr>
        <w:autoSpaceDE w:val="0"/>
        <w:autoSpaceDN w:val="0"/>
        <w:adjustRightInd w:val="0"/>
        <w:spacing w:after="0" w:line="240" w:lineRule="auto"/>
        <w:ind w:left="567"/>
        <w:rPr>
          <w:rFonts w:eastAsia="Times New Roman" w:cs="Arial"/>
          <w:color w:val="auto"/>
          <w:sz w:val="20"/>
          <w:szCs w:val="20"/>
        </w:rPr>
      </w:pPr>
      <w:r w:rsidRPr="00806D0D">
        <w:rPr>
          <w:rFonts w:eastAsia="Times New Roman" w:cs="Arial"/>
          <w:color w:val="auto"/>
          <w:sz w:val="20"/>
          <w:szCs w:val="20"/>
          <w:lang w:eastAsia="en-GB"/>
        </w:rPr>
        <w:t>Interest receivable on investments and payable on borrowings, where material is accounted for respectively as income and expenditure on the basis of the effective interest rate for the relevant financial instrument rather than the cash flows fixed or determined by the contract</w:t>
      </w:r>
    </w:p>
    <w:p w:rsidR="00DC35D3" w:rsidRDefault="00DC35D3" w:rsidP="00292A4B">
      <w:pPr>
        <w:autoSpaceDE w:val="0"/>
        <w:autoSpaceDN w:val="0"/>
        <w:adjustRightInd w:val="0"/>
        <w:spacing w:after="0" w:line="240" w:lineRule="auto"/>
        <w:ind w:left="567"/>
        <w:rPr>
          <w:rFonts w:eastAsia="Times New Roman" w:cs="Arial"/>
          <w:color w:val="auto"/>
          <w:sz w:val="20"/>
          <w:szCs w:val="20"/>
        </w:rPr>
      </w:pPr>
    </w:p>
    <w:p w:rsidR="00DC35D3" w:rsidRPr="00DC35D3" w:rsidRDefault="002460EF" w:rsidP="00DC35D3">
      <w:pPr>
        <w:autoSpaceDE w:val="0"/>
        <w:autoSpaceDN w:val="0"/>
        <w:adjustRightInd w:val="0"/>
        <w:spacing w:after="0" w:line="240" w:lineRule="auto"/>
        <w:rPr>
          <w:rFonts w:eastAsia="Times New Roman" w:cs="Arial"/>
          <w:b/>
          <w:color w:val="auto"/>
          <w:sz w:val="20"/>
          <w:szCs w:val="20"/>
        </w:rPr>
      </w:pPr>
      <w:r>
        <w:rPr>
          <w:rFonts w:eastAsia="Times New Roman" w:cs="Arial"/>
          <w:b/>
          <w:color w:val="auto"/>
          <w:sz w:val="20"/>
          <w:szCs w:val="20"/>
        </w:rPr>
        <w:t>39.3    Val</w:t>
      </w:r>
      <w:r w:rsidR="00DC35D3" w:rsidRPr="00DC35D3">
        <w:rPr>
          <w:rFonts w:eastAsia="Times New Roman" w:cs="Arial"/>
          <w:b/>
          <w:color w:val="auto"/>
          <w:sz w:val="20"/>
          <w:szCs w:val="20"/>
        </w:rPr>
        <w:t>u</w:t>
      </w:r>
      <w:r>
        <w:rPr>
          <w:rFonts w:eastAsia="Times New Roman" w:cs="Arial"/>
          <w:b/>
          <w:color w:val="auto"/>
          <w:sz w:val="20"/>
          <w:szCs w:val="20"/>
        </w:rPr>
        <w:t>a</w:t>
      </w:r>
      <w:r w:rsidR="00DC35D3" w:rsidRPr="00DC35D3">
        <w:rPr>
          <w:rFonts w:eastAsia="Times New Roman" w:cs="Arial"/>
          <w:b/>
          <w:color w:val="auto"/>
          <w:sz w:val="20"/>
          <w:szCs w:val="20"/>
        </w:rPr>
        <w:t>tions of Assets &amp; Liabilities</w:t>
      </w:r>
    </w:p>
    <w:p w:rsidR="00DC35D3" w:rsidRDefault="00DC35D3" w:rsidP="00292A4B">
      <w:pPr>
        <w:autoSpaceDE w:val="0"/>
        <w:autoSpaceDN w:val="0"/>
        <w:adjustRightInd w:val="0"/>
        <w:spacing w:after="0" w:line="240" w:lineRule="auto"/>
        <w:ind w:left="567"/>
        <w:rPr>
          <w:rFonts w:eastAsia="Times New Roman" w:cs="Arial"/>
          <w:color w:val="auto"/>
          <w:sz w:val="20"/>
          <w:szCs w:val="20"/>
        </w:rPr>
      </w:pPr>
    </w:p>
    <w:p w:rsidR="00292A4B" w:rsidRPr="00167EAF" w:rsidRDefault="00292A4B" w:rsidP="00775F03">
      <w:pPr>
        <w:autoSpaceDE w:val="0"/>
        <w:autoSpaceDN w:val="0"/>
        <w:adjustRightInd w:val="0"/>
        <w:spacing w:after="0" w:line="240" w:lineRule="auto"/>
        <w:ind w:left="567"/>
        <w:rPr>
          <w:rFonts w:eastAsia="Times New Roman" w:cs="Arial"/>
          <w:color w:val="auto"/>
          <w:sz w:val="20"/>
          <w:szCs w:val="20"/>
          <w:lang w:eastAsia="en-GB"/>
        </w:rPr>
      </w:pPr>
      <w:r w:rsidRPr="00513741">
        <w:rPr>
          <w:rFonts w:eastAsia="Times New Roman" w:cs="Arial"/>
          <w:color w:val="auto"/>
          <w:sz w:val="20"/>
          <w:szCs w:val="20"/>
        </w:rPr>
        <w:t xml:space="preserve">Where assets and liabilities are held at fair value or a disclosure note requires a fair value the following definition has been applied. </w:t>
      </w:r>
      <w:r w:rsidRPr="003E58F9">
        <w:rPr>
          <w:rFonts w:eastAsia="Times New Roman" w:cs="Arial"/>
          <w:color w:val="auto"/>
          <w:sz w:val="20"/>
          <w:szCs w:val="20"/>
        </w:rPr>
        <w:t>Fair value is the price that would be received to sell an asset or paid to transfer a liability in an orderly transaction between market particip</w:t>
      </w:r>
      <w:r w:rsidR="00CA61F1">
        <w:rPr>
          <w:rFonts w:eastAsia="Times New Roman" w:cs="Arial"/>
          <w:color w:val="auto"/>
          <w:sz w:val="20"/>
          <w:szCs w:val="20"/>
        </w:rPr>
        <w:t xml:space="preserve">ants at the measurement date. </w:t>
      </w:r>
      <w:r w:rsidRPr="00167EAF">
        <w:rPr>
          <w:rFonts w:eastAsia="Times New Roman" w:cs="Arial"/>
          <w:color w:val="auto"/>
          <w:sz w:val="20"/>
          <w:szCs w:val="20"/>
          <w:lang w:eastAsia="en-GB"/>
        </w:rPr>
        <w:t xml:space="preserve">The historical cost convention has been applied, modified by the </w:t>
      </w:r>
      <w:r>
        <w:rPr>
          <w:rFonts w:eastAsia="Times New Roman" w:cs="Arial"/>
          <w:color w:val="auto"/>
          <w:sz w:val="20"/>
          <w:szCs w:val="20"/>
          <w:lang w:eastAsia="en-GB"/>
        </w:rPr>
        <w:t>current</w:t>
      </w:r>
      <w:r w:rsidRPr="00167EAF">
        <w:rPr>
          <w:rFonts w:eastAsia="Times New Roman" w:cs="Arial"/>
          <w:color w:val="auto"/>
          <w:sz w:val="20"/>
          <w:szCs w:val="20"/>
          <w:lang w:eastAsia="en-GB"/>
        </w:rPr>
        <w:t xml:space="preserve"> valuation of the following material categories of non-current assets and financial instruments:</w:t>
      </w:r>
    </w:p>
    <w:p w:rsidR="00292A4B" w:rsidRPr="00A767DD" w:rsidRDefault="00292A4B" w:rsidP="00292A4B">
      <w:pPr>
        <w:spacing w:after="0" w:line="240" w:lineRule="auto"/>
        <w:jc w:val="both"/>
        <w:rPr>
          <w:bCs/>
          <w:color w:val="auto"/>
          <w:sz w:val="14"/>
          <w:szCs w:val="14"/>
          <w:highlight w:val="yellow"/>
        </w:rPr>
      </w:pPr>
    </w:p>
    <w:tbl>
      <w:tblPr>
        <w:tblStyle w:val="TableGrid"/>
        <w:tblW w:w="0" w:type="auto"/>
        <w:tblInd w:w="675" w:type="dxa"/>
        <w:tblLook w:val="04A0"/>
      </w:tblPr>
      <w:tblGrid>
        <w:gridCol w:w="2322"/>
        <w:gridCol w:w="6245"/>
      </w:tblGrid>
      <w:tr w:rsidR="00292A4B" w:rsidRPr="00A767DD" w:rsidTr="00F82E5E">
        <w:tc>
          <w:tcPr>
            <w:tcW w:w="2322" w:type="dxa"/>
          </w:tcPr>
          <w:p w:rsidR="00292A4B" w:rsidRPr="00AE4A5D" w:rsidRDefault="00292A4B" w:rsidP="00F82E5E">
            <w:pPr>
              <w:spacing w:before="60" w:after="60"/>
              <w:jc w:val="both"/>
              <w:rPr>
                <w:rFonts w:eastAsia="Times New Roman" w:cs="Arial"/>
                <w:b/>
                <w:color w:val="auto"/>
                <w:sz w:val="20"/>
                <w:szCs w:val="20"/>
                <w:lang w:eastAsia="en-GB"/>
              </w:rPr>
            </w:pPr>
            <w:r w:rsidRPr="00AE4A5D">
              <w:rPr>
                <w:rFonts w:eastAsia="Times New Roman" w:cs="Arial"/>
                <w:b/>
                <w:color w:val="auto"/>
                <w:sz w:val="20"/>
                <w:szCs w:val="20"/>
                <w:lang w:eastAsia="en-GB"/>
              </w:rPr>
              <w:lastRenderedPageBreak/>
              <w:t>Class of Assets</w:t>
            </w:r>
          </w:p>
        </w:tc>
        <w:tc>
          <w:tcPr>
            <w:tcW w:w="6245" w:type="dxa"/>
          </w:tcPr>
          <w:p w:rsidR="00292A4B" w:rsidRPr="00AE4A5D" w:rsidRDefault="00292A4B" w:rsidP="00F82E5E">
            <w:pPr>
              <w:spacing w:before="60" w:after="60"/>
              <w:jc w:val="both"/>
              <w:rPr>
                <w:rFonts w:eastAsia="Times New Roman" w:cs="Arial"/>
                <w:b/>
                <w:color w:val="auto"/>
                <w:sz w:val="20"/>
                <w:szCs w:val="20"/>
                <w:lang w:eastAsia="en-GB"/>
              </w:rPr>
            </w:pPr>
            <w:r w:rsidRPr="00AE4A5D">
              <w:rPr>
                <w:rFonts w:eastAsia="Times New Roman" w:cs="Arial"/>
                <w:b/>
                <w:color w:val="auto"/>
                <w:sz w:val="20"/>
                <w:szCs w:val="20"/>
                <w:lang w:eastAsia="en-GB"/>
              </w:rPr>
              <w:t>Valuation Basis</w:t>
            </w:r>
          </w:p>
        </w:tc>
      </w:tr>
      <w:tr w:rsidR="00292A4B" w:rsidRPr="00A767DD" w:rsidTr="00F82E5E">
        <w:tc>
          <w:tcPr>
            <w:tcW w:w="2322" w:type="dxa"/>
          </w:tcPr>
          <w:p w:rsidR="00292A4B" w:rsidRPr="00AE4A5D" w:rsidRDefault="00292A4B" w:rsidP="00F82E5E">
            <w:pPr>
              <w:spacing w:before="60" w:after="60"/>
              <w:jc w:val="both"/>
              <w:rPr>
                <w:rFonts w:eastAsia="Times New Roman" w:cs="Arial"/>
                <w:color w:val="auto"/>
                <w:sz w:val="20"/>
                <w:szCs w:val="20"/>
                <w:lang w:eastAsia="en-GB"/>
              </w:rPr>
            </w:pPr>
            <w:r w:rsidRPr="00AE4A5D">
              <w:rPr>
                <w:rFonts w:eastAsia="Times New Roman" w:cs="Arial"/>
                <w:color w:val="auto"/>
                <w:sz w:val="20"/>
                <w:szCs w:val="20"/>
                <w:lang w:eastAsia="en-GB"/>
              </w:rPr>
              <w:t>Property, Plant and Equipment: Other Land and Buildings</w:t>
            </w:r>
          </w:p>
        </w:tc>
        <w:tc>
          <w:tcPr>
            <w:tcW w:w="6245" w:type="dxa"/>
          </w:tcPr>
          <w:p w:rsidR="00292A4B" w:rsidRPr="00AE4A5D" w:rsidRDefault="00292A4B" w:rsidP="00F82E5E">
            <w:pPr>
              <w:spacing w:before="60" w:after="60"/>
              <w:jc w:val="both"/>
              <w:rPr>
                <w:rFonts w:eastAsia="Times New Roman" w:cs="Arial"/>
                <w:color w:val="auto"/>
                <w:sz w:val="20"/>
                <w:szCs w:val="20"/>
                <w:lang w:eastAsia="en-GB"/>
              </w:rPr>
            </w:pPr>
            <w:r w:rsidRPr="00AE4A5D">
              <w:rPr>
                <w:rFonts w:eastAsia="Times New Roman" w:cs="Arial"/>
                <w:color w:val="auto"/>
                <w:sz w:val="20"/>
                <w:szCs w:val="20"/>
                <w:lang w:eastAsia="en-GB"/>
              </w:rPr>
              <w:t xml:space="preserve">Existing use value </w:t>
            </w:r>
          </w:p>
          <w:p w:rsidR="00292A4B" w:rsidRPr="00AE4A5D" w:rsidRDefault="00292A4B" w:rsidP="00F82E5E">
            <w:pPr>
              <w:spacing w:before="60" w:after="60"/>
              <w:jc w:val="both"/>
              <w:rPr>
                <w:rFonts w:eastAsia="Times New Roman" w:cs="Arial"/>
                <w:color w:val="auto"/>
                <w:sz w:val="20"/>
                <w:szCs w:val="20"/>
                <w:lang w:eastAsia="en-GB"/>
              </w:rPr>
            </w:pPr>
          </w:p>
          <w:p w:rsidR="00292A4B" w:rsidRPr="00AE4A5D" w:rsidRDefault="00292A4B" w:rsidP="00F82E5E">
            <w:pPr>
              <w:pStyle w:val="Default"/>
              <w:jc w:val="both"/>
              <w:rPr>
                <w:rFonts w:cs="Arial"/>
                <w:color w:val="auto"/>
                <w:sz w:val="20"/>
                <w:szCs w:val="20"/>
              </w:rPr>
            </w:pPr>
            <w:r w:rsidRPr="00AE4A5D">
              <w:rPr>
                <w:rFonts w:ascii="Arial" w:hAnsi="Arial" w:cs="Arial"/>
                <w:color w:val="auto"/>
                <w:sz w:val="20"/>
                <w:szCs w:val="20"/>
              </w:rPr>
              <w:t xml:space="preserve">Where prices for comparable properties are available in an active market, properties are valued at market value taking into account the existing use. Where no market exists or the property is specialised, current value is measured at depreciated replacement cost. </w:t>
            </w:r>
          </w:p>
        </w:tc>
      </w:tr>
      <w:tr w:rsidR="00292A4B" w:rsidRPr="00A767DD" w:rsidTr="00F82E5E">
        <w:tc>
          <w:tcPr>
            <w:tcW w:w="2322" w:type="dxa"/>
          </w:tcPr>
          <w:p w:rsidR="00292A4B" w:rsidRPr="00AE4A5D" w:rsidRDefault="00292A4B" w:rsidP="00F82E5E">
            <w:pPr>
              <w:spacing w:before="60" w:after="60"/>
              <w:jc w:val="both"/>
              <w:rPr>
                <w:rFonts w:eastAsia="Times New Roman" w:cs="Arial"/>
                <w:color w:val="auto"/>
                <w:sz w:val="20"/>
                <w:szCs w:val="20"/>
                <w:lang w:eastAsia="en-GB"/>
              </w:rPr>
            </w:pPr>
            <w:r w:rsidRPr="00AE4A5D">
              <w:rPr>
                <w:rFonts w:eastAsia="Times New Roman" w:cs="Arial"/>
                <w:color w:val="auto"/>
                <w:sz w:val="20"/>
                <w:szCs w:val="20"/>
                <w:lang w:eastAsia="en-GB"/>
              </w:rPr>
              <w:t>Property, Plant and Equipment: Other Land and Buildings – Surplus Assets</w:t>
            </w:r>
          </w:p>
        </w:tc>
        <w:tc>
          <w:tcPr>
            <w:tcW w:w="6245" w:type="dxa"/>
          </w:tcPr>
          <w:p w:rsidR="00292A4B" w:rsidRPr="00AE4A5D" w:rsidRDefault="00292A4B" w:rsidP="00F82E5E">
            <w:pPr>
              <w:spacing w:before="60" w:after="60"/>
              <w:jc w:val="both"/>
              <w:rPr>
                <w:rFonts w:eastAsia="Times New Roman" w:cs="Arial"/>
                <w:color w:val="auto"/>
                <w:sz w:val="20"/>
                <w:szCs w:val="20"/>
                <w:lang w:eastAsia="en-GB"/>
              </w:rPr>
            </w:pPr>
            <w:r w:rsidRPr="00AE4A5D">
              <w:rPr>
                <w:rFonts w:eastAsia="Times New Roman" w:cs="Arial"/>
                <w:color w:val="auto"/>
                <w:sz w:val="20"/>
                <w:szCs w:val="20"/>
                <w:lang w:eastAsia="en-GB"/>
              </w:rPr>
              <w:t>Fair value</w:t>
            </w:r>
            <w:r>
              <w:rPr>
                <w:rFonts w:eastAsia="Times New Roman" w:cs="Arial"/>
                <w:color w:val="auto"/>
                <w:sz w:val="20"/>
                <w:szCs w:val="20"/>
                <w:lang w:eastAsia="en-GB"/>
              </w:rPr>
              <w:t>. T</w:t>
            </w:r>
            <w:r w:rsidRPr="005F12BE">
              <w:rPr>
                <w:rFonts w:eastAsia="Times New Roman" w:cs="Arial"/>
                <w:color w:val="auto"/>
                <w:sz w:val="20"/>
                <w:szCs w:val="20"/>
                <w:lang w:eastAsia="en-GB"/>
              </w:rPr>
              <w:t>he price that would be received to sell an asset or paid to transfer a liability in an orderly transaction between market participants at the measurement date</w:t>
            </w:r>
            <w:r w:rsidRPr="00AE4A5D">
              <w:rPr>
                <w:rFonts w:eastAsia="Times New Roman" w:cs="Arial"/>
                <w:color w:val="auto"/>
                <w:sz w:val="20"/>
                <w:szCs w:val="20"/>
                <w:lang w:eastAsia="en-GB"/>
              </w:rPr>
              <w:t>.</w:t>
            </w:r>
            <w:r w:rsidR="00DB221D">
              <w:rPr>
                <w:rFonts w:eastAsia="Times New Roman" w:cs="Arial"/>
                <w:color w:val="auto"/>
                <w:sz w:val="20"/>
                <w:szCs w:val="20"/>
                <w:lang w:eastAsia="en-GB"/>
              </w:rPr>
              <w:t xml:space="preserve"> IFRS13 Level 2 and 3 inputs used as approporiate.</w:t>
            </w:r>
          </w:p>
        </w:tc>
      </w:tr>
      <w:tr w:rsidR="00292A4B" w:rsidRPr="00A767DD" w:rsidTr="00F82E5E">
        <w:tc>
          <w:tcPr>
            <w:tcW w:w="2322" w:type="dxa"/>
          </w:tcPr>
          <w:p w:rsidR="00292A4B" w:rsidRPr="00AE4A5D" w:rsidRDefault="00292A4B" w:rsidP="00F82E5E">
            <w:pPr>
              <w:spacing w:before="60" w:after="60"/>
              <w:jc w:val="both"/>
              <w:rPr>
                <w:rFonts w:eastAsia="Times New Roman" w:cs="Arial"/>
                <w:color w:val="auto"/>
                <w:sz w:val="20"/>
                <w:szCs w:val="20"/>
                <w:lang w:eastAsia="en-GB"/>
              </w:rPr>
            </w:pPr>
            <w:r w:rsidRPr="00AE4A5D">
              <w:rPr>
                <w:rFonts w:eastAsia="Times New Roman" w:cs="Arial"/>
                <w:color w:val="auto"/>
                <w:sz w:val="20"/>
                <w:szCs w:val="20"/>
                <w:lang w:eastAsia="en-GB"/>
              </w:rPr>
              <w:t>Heritage Assets</w:t>
            </w:r>
          </w:p>
        </w:tc>
        <w:tc>
          <w:tcPr>
            <w:tcW w:w="6245" w:type="dxa"/>
          </w:tcPr>
          <w:p w:rsidR="00292A4B" w:rsidRPr="00AE4A5D" w:rsidRDefault="00292A4B" w:rsidP="00492A30">
            <w:pPr>
              <w:spacing w:before="60" w:after="60"/>
              <w:jc w:val="both"/>
              <w:rPr>
                <w:rFonts w:eastAsia="Times New Roman" w:cs="Arial"/>
                <w:color w:val="auto"/>
                <w:sz w:val="20"/>
                <w:szCs w:val="20"/>
                <w:lang w:eastAsia="en-GB"/>
              </w:rPr>
            </w:pPr>
            <w:r w:rsidRPr="00AE4A5D">
              <w:rPr>
                <w:rFonts w:cs="Arial"/>
                <w:color w:val="auto"/>
                <w:sz w:val="20"/>
                <w:szCs w:val="20"/>
                <w:lang w:eastAsia="en-GB"/>
              </w:rPr>
              <w:t xml:space="preserve">Heritage assets (other than operational heritage assets) are measured at valuation in accordance with </w:t>
            </w:r>
            <w:r w:rsidR="00492A30">
              <w:rPr>
                <w:rFonts w:cs="Arial"/>
                <w:color w:val="auto"/>
                <w:sz w:val="20"/>
                <w:szCs w:val="20"/>
                <w:lang w:eastAsia="en-GB"/>
              </w:rPr>
              <w:t>the Code</w:t>
            </w:r>
            <w:r w:rsidRPr="00AE4A5D">
              <w:rPr>
                <w:rFonts w:cs="Arial"/>
                <w:color w:val="auto"/>
                <w:sz w:val="20"/>
                <w:szCs w:val="20"/>
                <w:lang w:eastAsia="en-GB"/>
              </w:rPr>
              <w:t xml:space="preserve"> </w:t>
            </w:r>
            <w:r w:rsidR="007E33E1" w:rsidRPr="00AE4A5D">
              <w:rPr>
                <w:rFonts w:cs="Arial"/>
                <w:color w:val="auto"/>
                <w:sz w:val="20"/>
                <w:szCs w:val="20"/>
                <w:lang w:eastAsia="en-GB"/>
              </w:rPr>
              <w:t>i.e.</w:t>
            </w:r>
            <w:r w:rsidRPr="00AE4A5D">
              <w:rPr>
                <w:rFonts w:cs="Arial"/>
                <w:color w:val="auto"/>
                <w:sz w:val="20"/>
                <w:szCs w:val="20"/>
                <w:lang w:eastAsia="en-GB"/>
              </w:rPr>
              <w:t xml:space="preserve"> valuations may be made by any method that is appropriate and relevant such as insurance valuations</w:t>
            </w:r>
          </w:p>
        </w:tc>
      </w:tr>
      <w:tr w:rsidR="00292A4B" w:rsidRPr="00A767DD" w:rsidTr="00F82E5E">
        <w:tc>
          <w:tcPr>
            <w:tcW w:w="2322" w:type="dxa"/>
          </w:tcPr>
          <w:p w:rsidR="00292A4B" w:rsidRPr="00AE4A5D" w:rsidRDefault="00292A4B" w:rsidP="00F82E5E">
            <w:pPr>
              <w:spacing w:before="60" w:after="60"/>
              <w:jc w:val="both"/>
              <w:rPr>
                <w:rFonts w:eastAsia="Times New Roman" w:cs="Arial"/>
                <w:color w:val="auto"/>
                <w:sz w:val="20"/>
                <w:szCs w:val="20"/>
                <w:lang w:eastAsia="en-GB"/>
              </w:rPr>
            </w:pPr>
            <w:r w:rsidRPr="00AE4A5D">
              <w:rPr>
                <w:rFonts w:eastAsia="Times New Roman" w:cs="Arial"/>
                <w:color w:val="auto"/>
                <w:sz w:val="20"/>
                <w:szCs w:val="20"/>
                <w:lang w:eastAsia="en-GB"/>
              </w:rPr>
              <w:t>Investment Properties</w:t>
            </w:r>
          </w:p>
        </w:tc>
        <w:tc>
          <w:tcPr>
            <w:tcW w:w="6245" w:type="dxa"/>
          </w:tcPr>
          <w:p w:rsidR="00292A4B" w:rsidRPr="00AE4A5D" w:rsidRDefault="00292A4B" w:rsidP="00F82E5E">
            <w:pPr>
              <w:spacing w:before="60" w:after="60"/>
              <w:jc w:val="both"/>
              <w:rPr>
                <w:rFonts w:eastAsia="Times New Roman" w:cs="Arial"/>
                <w:color w:val="auto"/>
                <w:sz w:val="20"/>
                <w:szCs w:val="20"/>
                <w:lang w:eastAsia="en-GB"/>
              </w:rPr>
            </w:pPr>
            <w:r w:rsidRPr="005F12BE">
              <w:rPr>
                <w:rFonts w:eastAsia="Times New Roman" w:cs="Arial"/>
                <w:color w:val="auto"/>
                <w:sz w:val="20"/>
                <w:szCs w:val="20"/>
                <w:lang w:eastAsia="en-GB"/>
              </w:rPr>
              <w:t>Fair value</w:t>
            </w:r>
            <w:r>
              <w:rPr>
                <w:rFonts w:eastAsia="Times New Roman" w:cs="Arial"/>
                <w:color w:val="auto"/>
                <w:sz w:val="20"/>
                <w:szCs w:val="20"/>
                <w:lang w:eastAsia="en-GB"/>
              </w:rPr>
              <w:t>. T</w:t>
            </w:r>
            <w:r w:rsidRPr="005F12BE">
              <w:rPr>
                <w:rFonts w:eastAsia="Times New Roman" w:cs="Arial"/>
                <w:color w:val="auto"/>
                <w:sz w:val="20"/>
                <w:szCs w:val="20"/>
                <w:lang w:eastAsia="en-GB"/>
              </w:rPr>
              <w:t>he price that would be received to sell an asset or paid to transfer a liability in an orderly transaction between market participants at the measurement date</w:t>
            </w:r>
            <w:r w:rsidRPr="00AE4A5D">
              <w:rPr>
                <w:rFonts w:eastAsia="Times New Roman" w:cs="Arial"/>
                <w:color w:val="auto"/>
                <w:sz w:val="20"/>
                <w:szCs w:val="20"/>
                <w:lang w:eastAsia="en-GB"/>
              </w:rPr>
              <w:t>.</w:t>
            </w:r>
          </w:p>
        </w:tc>
      </w:tr>
      <w:tr w:rsidR="00292A4B" w:rsidRPr="00A767DD" w:rsidTr="00F82E5E">
        <w:tc>
          <w:tcPr>
            <w:tcW w:w="2322" w:type="dxa"/>
          </w:tcPr>
          <w:p w:rsidR="00292A4B" w:rsidRPr="00AE4A5D" w:rsidRDefault="00292A4B" w:rsidP="00F82E5E">
            <w:pPr>
              <w:spacing w:before="60" w:after="60"/>
              <w:jc w:val="both"/>
              <w:rPr>
                <w:rFonts w:eastAsia="Times New Roman" w:cs="Arial"/>
                <w:color w:val="auto"/>
                <w:sz w:val="20"/>
                <w:szCs w:val="20"/>
                <w:lang w:eastAsia="en-GB"/>
              </w:rPr>
            </w:pPr>
            <w:r w:rsidRPr="00AE4A5D">
              <w:rPr>
                <w:rFonts w:eastAsia="Times New Roman" w:cs="Arial"/>
                <w:color w:val="auto"/>
                <w:sz w:val="20"/>
                <w:szCs w:val="20"/>
                <w:lang w:eastAsia="en-GB"/>
              </w:rPr>
              <w:t>Financial Instruments – Available for Sale Assets</w:t>
            </w:r>
          </w:p>
        </w:tc>
        <w:tc>
          <w:tcPr>
            <w:tcW w:w="6245" w:type="dxa"/>
          </w:tcPr>
          <w:p w:rsidR="00292A4B" w:rsidRPr="00AE4A5D" w:rsidRDefault="00292A4B" w:rsidP="00F82E5E">
            <w:pPr>
              <w:pStyle w:val="Pa23"/>
              <w:spacing w:before="40"/>
              <w:jc w:val="both"/>
              <w:rPr>
                <w:rFonts w:ascii="Arial" w:eastAsia="Times New Roman" w:hAnsi="Arial" w:cs="Arial"/>
                <w:sz w:val="20"/>
                <w:szCs w:val="20"/>
                <w:lang w:eastAsia="en-GB"/>
              </w:rPr>
            </w:pPr>
            <w:r w:rsidRPr="00AE4A5D">
              <w:rPr>
                <w:rFonts w:ascii="Arial" w:eastAsia="Times New Roman" w:hAnsi="Arial" w:cs="Arial"/>
                <w:sz w:val="20"/>
                <w:szCs w:val="20"/>
                <w:lang w:eastAsia="en-GB"/>
              </w:rPr>
              <w:t>Fair values based on the following:</w:t>
            </w:r>
          </w:p>
          <w:p w:rsidR="00292A4B" w:rsidRPr="00AE4A5D" w:rsidRDefault="00292A4B" w:rsidP="003E10DE">
            <w:pPr>
              <w:pStyle w:val="Pa23"/>
              <w:numPr>
                <w:ilvl w:val="0"/>
                <w:numId w:val="29"/>
              </w:numPr>
              <w:spacing w:before="40"/>
              <w:ind w:left="318" w:hanging="284"/>
              <w:jc w:val="both"/>
              <w:rPr>
                <w:rFonts w:ascii="Arial" w:eastAsia="Times New Roman" w:hAnsi="Arial" w:cs="Arial"/>
                <w:sz w:val="20"/>
                <w:szCs w:val="20"/>
                <w:lang w:eastAsia="en-GB"/>
              </w:rPr>
            </w:pPr>
            <w:r w:rsidRPr="00AE4A5D">
              <w:rPr>
                <w:rFonts w:ascii="Arial" w:eastAsia="Times New Roman" w:hAnsi="Arial" w:cs="Arial"/>
                <w:sz w:val="20"/>
                <w:szCs w:val="20"/>
                <w:lang w:eastAsia="en-GB"/>
              </w:rPr>
              <w:t>assets quoted on a market – the market price</w:t>
            </w:r>
          </w:p>
          <w:p w:rsidR="00292A4B" w:rsidRPr="00AE4A5D" w:rsidRDefault="00292A4B" w:rsidP="003E10DE">
            <w:pPr>
              <w:pStyle w:val="Pa23"/>
              <w:numPr>
                <w:ilvl w:val="0"/>
                <w:numId w:val="29"/>
              </w:numPr>
              <w:spacing w:before="40"/>
              <w:ind w:left="318" w:hanging="284"/>
              <w:jc w:val="both"/>
              <w:rPr>
                <w:rFonts w:ascii="Arial" w:eastAsia="Times New Roman" w:hAnsi="Arial" w:cs="Arial"/>
                <w:sz w:val="20"/>
                <w:szCs w:val="20"/>
                <w:lang w:eastAsia="en-GB"/>
              </w:rPr>
            </w:pPr>
            <w:r w:rsidRPr="00AE4A5D">
              <w:rPr>
                <w:rFonts w:ascii="Arial" w:eastAsia="Times New Roman" w:hAnsi="Arial" w:cs="Arial"/>
                <w:sz w:val="20"/>
                <w:szCs w:val="20"/>
                <w:lang w:eastAsia="en-GB"/>
              </w:rPr>
              <w:t>assets without an active market – valuation techniques such as net equity of subsidiary</w:t>
            </w:r>
          </w:p>
        </w:tc>
      </w:tr>
      <w:tr w:rsidR="00292A4B" w:rsidRPr="00A767DD" w:rsidTr="00F82E5E">
        <w:tc>
          <w:tcPr>
            <w:tcW w:w="2322" w:type="dxa"/>
          </w:tcPr>
          <w:p w:rsidR="00292A4B" w:rsidRPr="00AE4A5D" w:rsidRDefault="00292A4B" w:rsidP="00F82E5E">
            <w:pPr>
              <w:spacing w:before="60" w:after="60"/>
              <w:jc w:val="both"/>
              <w:rPr>
                <w:rFonts w:eastAsia="Times New Roman" w:cs="Arial"/>
                <w:color w:val="auto"/>
                <w:sz w:val="20"/>
                <w:szCs w:val="20"/>
                <w:lang w:eastAsia="en-GB"/>
              </w:rPr>
            </w:pPr>
            <w:r w:rsidRPr="00AE4A5D">
              <w:rPr>
                <w:rFonts w:eastAsia="Times New Roman" w:cs="Arial"/>
                <w:color w:val="auto"/>
                <w:sz w:val="20"/>
                <w:szCs w:val="20"/>
                <w:lang w:eastAsia="en-GB"/>
              </w:rPr>
              <w:t>Pensions Assets</w:t>
            </w:r>
          </w:p>
        </w:tc>
        <w:tc>
          <w:tcPr>
            <w:tcW w:w="6245" w:type="dxa"/>
          </w:tcPr>
          <w:p w:rsidR="00292A4B" w:rsidRPr="00AE4A5D" w:rsidRDefault="00292A4B" w:rsidP="00F82E5E">
            <w:pPr>
              <w:jc w:val="both"/>
              <w:rPr>
                <w:rFonts w:eastAsia="Times New Roman" w:cs="Arial"/>
                <w:color w:val="auto"/>
                <w:sz w:val="20"/>
                <w:szCs w:val="20"/>
                <w:lang w:eastAsia="en-GB"/>
              </w:rPr>
            </w:pPr>
            <w:r w:rsidRPr="00AE4A5D">
              <w:rPr>
                <w:rFonts w:eastAsia="Times New Roman" w:cs="Arial"/>
                <w:color w:val="auto"/>
                <w:sz w:val="20"/>
                <w:szCs w:val="20"/>
                <w:lang w:eastAsia="en-GB"/>
              </w:rPr>
              <w:t>Fair values based on the following:</w:t>
            </w:r>
          </w:p>
          <w:p w:rsidR="00292A4B" w:rsidRPr="00AE4A5D" w:rsidRDefault="00292A4B" w:rsidP="003E10DE">
            <w:pPr>
              <w:pStyle w:val="Pa23"/>
              <w:numPr>
                <w:ilvl w:val="0"/>
                <w:numId w:val="30"/>
              </w:numPr>
              <w:spacing w:before="40"/>
              <w:jc w:val="both"/>
              <w:rPr>
                <w:rFonts w:ascii="Arial" w:eastAsia="Times New Roman" w:hAnsi="Arial" w:cs="Arial"/>
                <w:sz w:val="20"/>
                <w:szCs w:val="20"/>
                <w:lang w:eastAsia="en-GB"/>
              </w:rPr>
            </w:pPr>
            <w:r w:rsidRPr="00AE4A5D">
              <w:rPr>
                <w:rFonts w:ascii="Arial" w:eastAsia="Times New Roman" w:hAnsi="Arial" w:cs="Arial"/>
                <w:sz w:val="20"/>
                <w:szCs w:val="20"/>
                <w:lang w:eastAsia="en-GB"/>
              </w:rPr>
              <w:t>quoted securities – current bid price</w:t>
            </w:r>
          </w:p>
          <w:p w:rsidR="00292A4B" w:rsidRPr="00AE4A5D" w:rsidRDefault="00292A4B" w:rsidP="003E10DE">
            <w:pPr>
              <w:pStyle w:val="Pa23"/>
              <w:numPr>
                <w:ilvl w:val="0"/>
                <w:numId w:val="30"/>
              </w:numPr>
              <w:spacing w:before="40"/>
              <w:jc w:val="both"/>
              <w:rPr>
                <w:rFonts w:ascii="Arial" w:eastAsia="Times New Roman" w:hAnsi="Arial" w:cs="Arial"/>
                <w:sz w:val="20"/>
                <w:szCs w:val="20"/>
                <w:lang w:eastAsia="en-GB"/>
              </w:rPr>
            </w:pPr>
            <w:r w:rsidRPr="00AE4A5D">
              <w:rPr>
                <w:rFonts w:ascii="Arial" w:eastAsia="Times New Roman" w:hAnsi="Arial" w:cs="Arial"/>
                <w:sz w:val="20"/>
                <w:szCs w:val="20"/>
                <w:lang w:eastAsia="en-GB"/>
              </w:rPr>
              <w:t>unquoted securities – professional estimate</w:t>
            </w:r>
          </w:p>
          <w:p w:rsidR="00292A4B" w:rsidRPr="00AE4A5D" w:rsidRDefault="00292A4B" w:rsidP="003E10DE">
            <w:pPr>
              <w:pStyle w:val="Pa23"/>
              <w:numPr>
                <w:ilvl w:val="0"/>
                <w:numId w:val="30"/>
              </w:numPr>
              <w:spacing w:before="40"/>
              <w:jc w:val="both"/>
              <w:rPr>
                <w:rFonts w:ascii="Arial" w:eastAsia="Times New Roman" w:hAnsi="Arial" w:cs="Arial"/>
                <w:sz w:val="20"/>
                <w:szCs w:val="20"/>
                <w:lang w:eastAsia="en-GB"/>
              </w:rPr>
            </w:pPr>
            <w:r w:rsidRPr="00AE4A5D">
              <w:rPr>
                <w:rFonts w:ascii="Arial" w:eastAsia="Times New Roman" w:hAnsi="Arial" w:cs="Arial"/>
                <w:sz w:val="20"/>
                <w:szCs w:val="20"/>
                <w:lang w:eastAsia="en-GB"/>
              </w:rPr>
              <w:t>unitised securities – current bid price</w:t>
            </w:r>
          </w:p>
          <w:p w:rsidR="00292A4B" w:rsidRPr="00AE4A5D" w:rsidRDefault="00292A4B" w:rsidP="003E10DE">
            <w:pPr>
              <w:pStyle w:val="Pa23"/>
              <w:numPr>
                <w:ilvl w:val="0"/>
                <w:numId w:val="30"/>
              </w:numPr>
              <w:spacing w:before="40"/>
              <w:jc w:val="both"/>
              <w:rPr>
                <w:rFonts w:ascii="Arial" w:eastAsia="Times New Roman" w:hAnsi="Arial" w:cs="Arial"/>
                <w:sz w:val="20"/>
                <w:szCs w:val="20"/>
                <w:lang w:eastAsia="en-GB"/>
              </w:rPr>
            </w:pPr>
            <w:r w:rsidRPr="00AE4A5D">
              <w:rPr>
                <w:rFonts w:ascii="Arial" w:eastAsia="Times New Roman" w:hAnsi="Arial" w:cs="Arial"/>
                <w:sz w:val="20"/>
                <w:szCs w:val="20"/>
                <w:lang w:eastAsia="en-GB"/>
              </w:rPr>
              <w:t>property – market value.</w:t>
            </w:r>
          </w:p>
        </w:tc>
      </w:tr>
    </w:tbl>
    <w:p w:rsidR="00292A4B" w:rsidRPr="00A767DD" w:rsidRDefault="00292A4B" w:rsidP="00292A4B">
      <w:pPr>
        <w:spacing w:after="0" w:line="240" w:lineRule="auto"/>
        <w:jc w:val="both"/>
        <w:rPr>
          <w:rFonts w:eastAsia="Times New Roman" w:cs="Arial"/>
          <w:color w:val="auto"/>
          <w:sz w:val="20"/>
          <w:szCs w:val="20"/>
          <w:highlight w:val="yellow"/>
          <w:lang w:eastAsia="en-GB"/>
        </w:rPr>
      </w:pPr>
    </w:p>
    <w:p w:rsidR="00292A4B" w:rsidRDefault="00292A4B" w:rsidP="00292A4B">
      <w:pPr>
        <w:spacing w:after="0" w:line="240" w:lineRule="auto"/>
        <w:ind w:left="567"/>
        <w:jc w:val="both"/>
        <w:rPr>
          <w:rFonts w:eastAsia="Times New Roman" w:cs="Arial"/>
          <w:color w:val="auto"/>
          <w:sz w:val="20"/>
          <w:szCs w:val="20"/>
          <w:highlight w:val="yellow"/>
          <w:lang w:eastAsia="en-GB"/>
        </w:rPr>
      </w:pPr>
    </w:p>
    <w:p w:rsidR="00292A4B" w:rsidRPr="00730869" w:rsidRDefault="00292A4B" w:rsidP="00292A4B">
      <w:pPr>
        <w:spacing w:after="0" w:line="240" w:lineRule="auto"/>
        <w:ind w:left="567"/>
        <w:jc w:val="both"/>
        <w:rPr>
          <w:rFonts w:eastAsia="Times New Roman" w:cs="Arial"/>
          <w:color w:val="auto"/>
          <w:sz w:val="20"/>
          <w:szCs w:val="20"/>
          <w:lang w:eastAsia="en-GB"/>
        </w:rPr>
      </w:pPr>
      <w:r w:rsidRPr="00730869">
        <w:rPr>
          <w:rFonts w:eastAsia="Times New Roman" w:cs="Arial"/>
          <w:color w:val="auto"/>
          <w:sz w:val="20"/>
          <w:szCs w:val="20"/>
          <w:lang w:eastAsia="en-GB"/>
        </w:rPr>
        <w:t xml:space="preserve">For valuations at Fair Value the Council uses the IFRS13 </w:t>
      </w:r>
      <w:r>
        <w:rPr>
          <w:rFonts w:eastAsia="Times New Roman" w:cs="Arial"/>
          <w:color w:val="auto"/>
          <w:sz w:val="20"/>
          <w:szCs w:val="20"/>
          <w:lang w:eastAsia="en-GB"/>
        </w:rPr>
        <w:t>“</w:t>
      </w:r>
      <w:r w:rsidRPr="00730869">
        <w:rPr>
          <w:rFonts w:eastAsia="Times New Roman" w:cs="Arial"/>
          <w:color w:val="auto"/>
          <w:sz w:val="20"/>
          <w:szCs w:val="20"/>
          <w:lang w:eastAsia="en-GB"/>
        </w:rPr>
        <w:t>three levels</w:t>
      </w:r>
      <w:r>
        <w:rPr>
          <w:rFonts w:eastAsia="Times New Roman" w:cs="Arial"/>
          <w:color w:val="auto"/>
          <w:sz w:val="20"/>
          <w:szCs w:val="20"/>
          <w:lang w:eastAsia="en-GB"/>
        </w:rPr>
        <w:t>”</w:t>
      </w:r>
      <w:r w:rsidRPr="00730869">
        <w:rPr>
          <w:rFonts w:eastAsia="Times New Roman" w:cs="Arial"/>
          <w:color w:val="auto"/>
          <w:sz w:val="20"/>
          <w:szCs w:val="20"/>
          <w:lang w:eastAsia="en-GB"/>
        </w:rPr>
        <w:t xml:space="preserve"> to assess the fair value as depicted in the table below.</w:t>
      </w:r>
    </w:p>
    <w:p w:rsidR="00292A4B" w:rsidRDefault="00292A4B" w:rsidP="00292A4B">
      <w:pPr>
        <w:spacing w:after="0" w:line="240" w:lineRule="auto"/>
        <w:ind w:left="567"/>
        <w:jc w:val="both"/>
        <w:rPr>
          <w:rFonts w:eastAsia="Times New Roman" w:cs="Arial"/>
          <w:color w:val="auto"/>
          <w:sz w:val="20"/>
          <w:szCs w:val="20"/>
          <w:highlight w:val="yellow"/>
          <w:lang w:eastAsia="en-GB"/>
        </w:rPr>
      </w:pPr>
    </w:p>
    <w:p w:rsidR="00292A4B" w:rsidRDefault="00C555E7" w:rsidP="00292A4B">
      <w:pPr>
        <w:spacing w:after="0" w:line="240" w:lineRule="auto"/>
        <w:ind w:left="567"/>
        <w:jc w:val="both"/>
        <w:rPr>
          <w:rFonts w:eastAsia="Times New Roman" w:cs="Arial"/>
          <w:color w:val="auto"/>
          <w:sz w:val="20"/>
          <w:szCs w:val="20"/>
          <w:lang w:eastAsia="en-GB"/>
        </w:rPr>
      </w:pPr>
      <w:r>
        <w:rPr>
          <w:rFonts w:eastAsia="Times New Roman" w:cs="Arial"/>
          <w:noProof/>
          <w:color w:val="auto"/>
          <w:sz w:val="20"/>
          <w:szCs w:val="20"/>
          <w:lang w:eastAsia="en-GB"/>
        </w:rPr>
        <w:pict>
          <v:rect id="_x0000_s1028" style="position:absolute;left:0;text-align:left;margin-left:328.2pt;margin-top:2.5pt;width:70.3pt;height:46.05pt;z-index:251659264" stroked="f"/>
        </w:pict>
      </w:r>
      <w:r w:rsidR="00292A4B" w:rsidRPr="00D41D49">
        <w:rPr>
          <w:rFonts w:eastAsia="Times New Roman" w:cs="Arial"/>
          <w:noProof/>
          <w:color w:val="auto"/>
          <w:sz w:val="20"/>
          <w:szCs w:val="20"/>
          <w:lang w:eastAsia="en-GB"/>
        </w:rPr>
        <w:drawing>
          <wp:inline distT="0" distB="0" distL="0" distR="0">
            <wp:extent cx="4842344" cy="2504661"/>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89032" cy="5398051"/>
                      <a:chOff x="107504" y="260647"/>
                      <a:chExt cx="9289032" cy="5398051"/>
                    </a:xfrm>
                  </a:grpSpPr>
                  <a:sp>
                    <a:nvSpPr>
                      <a:cNvPr id="2" name="Title 1"/>
                      <a:cNvSpPr>
                        <a:spLocks noGrp="1"/>
                      </a:cNvSpPr>
                    </a:nvSpPr>
                    <a:spPr>
                      <a:xfrm>
                        <a:off x="457200" y="274638"/>
                        <a:ext cx="8229600" cy="1143000"/>
                      </a:xfrm>
                      <a:prstGeom prst="rect">
                        <a:avLst/>
                      </a:prstGeom>
                    </a:spPr>
                    <a:txSp>
                      <a:txBody>
                        <a:bodyPr vert="horz" lIns="91440" tIns="45720" rIns="91440" bIns="45720" rtlCol="0" anchor="ctr">
                          <a:normAutofit fontScale="90000"/>
                        </a:bodyPr>
                        <a:lstStyle>
                          <a:lvl1pPr algn="ctr" defTabSz="914400" rtl="0" eaLnBrk="1" latinLnBrk="0" hangingPunct="1">
                            <a:spcBef>
                              <a:spcPct val="0"/>
                            </a:spcBef>
                            <a:buNone/>
                            <a:defRPr sz="4400" kern="1200">
                              <a:solidFill>
                                <a:schemeClr val="tx1"/>
                              </a:solidFill>
                              <a:latin typeface="+mj-lt"/>
                              <a:ea typeface="+mj-ea"/>
                              <a:cs typeface="+mj-cs"/>
                            </a:defRPr>
                          </a:lvl1pPr>
                        </a:lstStyle>
                        <a:p>
                          <a:pPr algn="l"/>
                          <a:r>
                            <a:rPr lang="en-GB" sz="2700" dirty="0"/>
                            <a:t>2015/16 Code</a:t>
                          </a:r>
                          <a:br>
                            <a:rPr lang="en-GB" sz="2700" dirty="0"/>
                          </a:br>
                          <a:r>
                            <a:rPr lang="en-GB" dirty="0" err="1"/>
                            <a:t>IFRS</a:t>
                          </a:r>
                          <a:r>
                            <a:rPr lang="en-GB" dirty="0"/>
                            <a:t> </a:t>
                          </a:r>
                          <a:r>
                            <a:rPr lang="en-GB" dirty="0" smtClean="0"/>
                            <a:t>13 Fair Value Hierarchy</a:t>
                          </a:r>
                          <a:endParaRPr lang="en-GB" dirty="0"/>
                        </a:p>
                      </a:txBody>
                      <a:useSpRect/>
                    </a:txSp>
                  </a:sp>
                  <a:pic>
                    <a:nvPicPr>
                      <a:cNvPr id="4" name="Content Placeholder 4"/>
                      <a:cNvPicPr>
                        <a:picLocks noChangeAspect="1"/>
                      </a:cNvPicPr>
                    </a:nvPicPr>
                    <a:blipFill>
                      <a:blip r:embed="rId48"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7812360" y="260647"/>
                        <a:ext cx="928433" cy="10822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spPr>
                  </a:pic>
                  <a:sp>
                    <a:nvSpPr>
                      <a:cNvPr id="6" name="TextBox 5"/>
                      <a:cNvSpPr txBox="1"/>
                    </a:nvSpPr>
                    <a:spPr>
                      <a:xfrm>
                        <a:off x="4383370" y="2397194"/>
                        <a:ext cx="3456384"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GB" sz="1200" dirty="0" smtClean="0"/>
                            <a:t>Quoted prices in active markets for identical assets/liabilities that the authority can access at the measurement date</a:t>
                          </a:r>
                          <a:endParaRPr lang="en-GB" dirty="0"/>
                        </a:p>
                      </a:txBody>
                      <a:useSpRect/>
                    </a:txSp>
                  </a:sp>
                  <a:graphicFrame>
                    <a:nvGraphicFramePr>
                      <a:cNvPr id="7" name="Diagram 6"/>
                      <a:cNvGraphicFramePr/>
                    </a:nvGraphicFramePr>
                    <a:graphic>
                      <a:graphicData uri="http://schemas.openxmlformats.org/drawingml/2006/diagram">
                        <dgm:relIds xmlns:dgm="http://schemas.openxmlformats.org/drawingml/2006/diagram" xmlns:r="http://schemas.openxmlformats.org/officeDocument/2006/relationships" r:dm="rId49" r:lo="rId50" r:qs="rId51" r:cs="rId52"/>
                      </a:graphicData>
                    </a:graphic>
                    <a:xfrm>
                      <a:off x="971600" y="2123266"/>
                      <a:ext cx="5358876" cy="3535432"/>
                    </a:xfrm>
                  </a:graphicFrame>
                  <a:sp>
                    <a:nvSpPr>
                      <a:cNvPr id="8" name="TextBox 7"/>
                      <a:cNvSpPr txBox="1"/>
                    </a:nvSpPr>
                    <a:spPr>
                      <a:xfrm>
                        <a:off x="5292080" y="3501008"/>
                        <a:ext cx="3456384"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GB" sz="1200" dirty="0" smtClean="0"/>
                            <a:t>Inputs other than quoted prices that are observable for the asset or liability, either directly or indirectly (eg, quoted prices for similar assets, interest rates and yield curves)</a:t>
                          </a:r>
                          <a:endParaRPr lang="en-GB" sz="1200" dirty="0"/>
                        </a:p>
                      </a:txBody>
                      <a:useSpRect/>
                    </a:txSp>
                  </a:sp>
                  <a:sp>
                    <a:nvSpPr>
                      <a:cNvPr id="9" name="TextBox 8"/>
                      <a:cNvSpPr txBox="1"/>
                    </a:nvSpPr>
                    <a:spPr>
                      <a:xfrm>
                        <a:off x="5940152" y="4788731"/>
                        <a:ext cx="3456384"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GB" sz="1200" dirty="0" smtClean="0"/>
                            <a:t>Unobservable inputs for the asset or liability (eg, projected cash flows)</a:t>
                          </a:r>
                          <a:endParaRPr lang="en-GB" dirty="0"/>
                        </a:p>
                      </a:txBody>
                      <a:useSpRect/>
                    </a:txSp>
                  </a:sp>
                  <a:sp>
                    <a:nvSpPr>
                      <a:cNvPr id="10" name="Up Arrow 9"/>
                      <a:cNvSpPr/>
                    </a:nvSpPr>
                    <a:spPr>
                      <a:xfrm>
                        <a:off x="672108" y="2348880"/>
                        <a:ext cx="144016" cy="3240360"/>
                      </a:xfrm>
                      <a:prstGeom prst="upArrow">
                        <a:avLst/>
                      </a:prstGeom>
                      <a:noFill/>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TextBox 10"/>
                      <a:cNvSpPr txBox="1"/>
                    </a:nvSpPr>
                    <a:spPr>
                      <a:xfrm>
                        <a:off x="107504" y="1988840"/>
                        <a:ext cx="2376264"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GB" sz="1400" dirty="0" smtClean="0"/>
                            <a:t>Maximise use of higher levels</a:t>
                          </a:r>
                          <a:endParaRPr lang="en-GB" sz="1400" dirty="0"/>
                        </a:p>
                      </a:txBody>
                      <a:useSpRect/>
                    </a:txSp>
                  </a:sp>
                </lc:lockedCanvas>
              </a:graphicData>
            </a:graphic>
          </wp:inline>
        </w:drawing>
      </w:r>
    </w:p>
    <w:p w:rsidR="00292A4B" w:rsidRDefault="00292A4B" w:rsidP="00292A4B">
      <w:pPr>
        <w:spacing w:after="0" w:line="240" w:lineRule="auto"/>
        <w:ind w:left="567"/>
        <w:jc w:val="both"/>
        <w:rPr>
          <w:rFonts w:eastAsia="Times New Roman" w:cs="Arial"/>
          <w:color w:val="auto"/>
          <w:sz w:val="20"/>
          <w:szCs w:val="20"/>
          <w:lang w:eastAsia="en-GB"/>
        </w:rPr>
      </w:pPr>
    </w:p>
    <w:p w:rsidR="00292A4B" w:rsidRDefault="00292A4B" w:rsidP="00292A4B">
      <w:pPr>
        <w:spacing w:after="0" w:line="240" w:lineRule="auto"/>
        <w:ind w:left="567"/>
        <w:jc w:val="both"/>
        <w:rPr>
          <w:rFonts w:eastAsia="Times New Roman" w:cs="Arial"/>
          <w:color w:val="auto"/>
          <w:sz w:val="20"/>
          <w:szCs w:val="20"/>
          <w:lang w:eastAsia="en-GB"/>
        </w:rPr>
      </w:pPr>
    </w:p>
    <w:p w:rsidR="00292A4B" w:rsidRPr="00B87520" w:rsidRDefault="00292A4B" w:rsidP="00292A4B">
      <w:pPr>
        <w:spacing w:after="0" w:line="240" w:lineRule="auto"/>
        <w:ind w:left="567"/>
        <w:jc w:val="both"/>
        <w:rPr>
          <w:rFonts w:eastAsia="Times New Roman" w:cs="Arial"/>
          <w:color w:val="auto"/>
          <w:sz w:val="20"/>
          <w:szCs w:val="20"/>
          <w:lang w:eastAsia="en-GB"/>
        </w:rPr>
      </w:pPr>
      <w:r w:rsidRPr="00B87520">
        <w:rPr>
          <w:rFonts w:eastAsia="Times New Roman" w:cs="Arial"/>
          <w:color w:val="auto"/>
          <w:sz w:val="20"/>
          <w:szCs w:val="20"/>
          <w:lang w:eastAsia="en-GB"/>
        </w:rPr>
        <w:lastRenderedPageBreak/>
        <w:t xml:space="preserve">The Statement of Accounts has been adjusted to reflect events after 31 March 2016 and before the date the Statement was authorised for </w:t>
      </w:r>
      <w:r w:rsidRPr="004E2D39">
        <w:rPr>
          <w:rFonts w:eastAsia="Times New Roman" w:cs="Arial"/>
          <w:color w:val="auto"/>
          <w:sz w:val="20"/>
          <w:szCs w:val="20"/>
          <w:lang w:eastAsia="en-GB"/>
        </w:rPr>
        <w:t>issue [3rd June 2016] only</w:t>
      </w:r>
      <w:r w:rsidRPr="00B87520">
        <w:rPr>
          <w:rFonts w:eastAsia="Times New Roman" w:cs="Arial"/>
          <w:color w:val="auto"/>
          <w:sz w:val="20"/>
          <w:szCs w:val="20"/>
          <w:lang w:eastAsia="en-GB"/>
        </w:rPr>
        <w:t xml:space="preserve"> where the events provide evidence of conditions that existed at 31 March.</w:t>
      </w:r>
    </w:p>
    <w:p w:rsidR="00292A4B" w:rsidRPr="00A767DD" w:rsidRDefault="00292A4B" w:rsidP="00292A4B">
      <w:pPr>
        <w:spacing w:after="0" w:line="240" w:lineRule="auto"/>
        <w:ind w:left="567"/>
        <w:jc w:val="both"/>
        <w:rPr>
          <w:rFonts w:cs="Arial"/>
          <w:color w:val="auto"/>
          <w:sz w:val="20"/>
          <w:szCs w:val="20"/>
          <w:highlight w:val="yellow"/>
        </w:rPr>
      </w:pPr>
    </w:p>
    <w:p w:rsidR="00292A4B" w:rsidRPr="00630BE4" w:rsidRDefault="00630BE4" w:rsidP="00630BE4">
      <w:pPr>
        <w:spacing w:after="0" w:line="240" w:lineRule="auto"/>
        <w:jc w:val="both"/>
        <w:rPr>
          <w:rFonts w:eastAsia="Times New Roman" w:cs="Arial"/>
          <w:b/>
          <w:bCs/>
          <w:color w:val="auto"/>
          <w:sz w:val="20"/>
          <w:szCs w:val="20"/>
        </w:rPr>
      </w:pPr>
      <w:r>
        <w:rPr>
          <w:rFonts w:eastAsia="Times New Roman" w:cs="Arial"/>
          <w:b/>
          <w:bCs/>
          <w:color w:val="auto"/>
          <w:sz w:val="20"/>
          <w:szCs w:val="20"/>
        </w:rPr>
        <w:t>39.</w:t>
      </w:r>
      <w:r w:rsidR="00775F03">
        <w:rPr>
          <w:rFonts w:eastAsia="Times New Roman" w:cs="Arial"/>
          <w:b/>
          <w:bCs/>
          <w:color w:val="auto"/>
          <w:sz w:val="20"/>
          <w:szCs w:val="20"/>
        </w:rPr>
        <w:t>4</w:t>
      </w:r>
      <w:r w:rsidR="00DF725C">
        <w:rPr>
          <w:rFonts w:eastAsia="Times New Roman" w:cs="Arial"/>
          <w:b/>
          <w:bCs/>
          <w:color w:val="auto"/>
          <w:sz w:val="20"/>
          <w:szCs w:val="20"/>
        </w:rPr>
        <w:t xml:space="preserve">    </w:t>
      </w:r>
      <w:r w:rsidR="00292A4B" w:rsidRPr="00630BE4">
        <w:rPr>
          <w:rFonts w:eastAsia="Times New Roman" w:cs="Arial"/>
          <w:b/>
          <w:bCs/>
          <w:color w:val="auto"/>
          <w:sz w:val="20"/>
          <w:szCs w:val="20"/>
        </w:rPr>
        <w:t>Adjustments Between Accounting Basis and Funding Basis</w:t>
      </w:r>
    </w:p>
    <w:p w:rsidR="00292A4B" w:rsidRPr="00B87520" w:rsidRDefault="00292A4B" w:rsidP="00292A4B">
      <w:pPr>
        <w:spacing w:after="0" w:line="240" w:lineRule="auto"/>
        <w:ind w:left="567"/>
        <w:jc w:val="both"/>
        <w:rPr>
          <w:b/>
          <w:bCs/>
          <w:color w:val="auto"/>
          <w:sz w:val="14"/>
          <w:szCs w:val="14"/>
        </w:rPr>
      </w:pPr>
    </w:p>
    <w:p w:rsidR="00292A4B" w:rsidRDefault="00292A4B" w:rsidP="00292A4B">
      <w:pPr>
        <w:spacing w:after="0" w:line="240" w:lineRule="auto"/>
        <w:ind w:left="567"/>
        <w:jc w:val="both"/>
        <w:rPr>
          <w:rFonts w:eastAsia="Times New Roman" w:cs="Arial"/>
          <w:color w:val="auto"/>
          <w:sz w:val="20"/>
          <w:szCs w:val="20"/>
          <w:lang w:eastAsia="en-GB"/>
        </w:rPr>
      </w:pPr>
      <w:r w:rsidRPr="00B87520">
        <w:rPr>
          <w:rFonts w:eastAsia="Times New Roman" w:cs="Arial"/>
          <w:color w:val="auto"/>
          <w:sz w:val="20"/>
          <w:szCs w:val="20"/>
          <w:lang w:eastAsia="en-GB"/>
        </w:rPr>
        <w:t>The resources available to the Council in any financial year and the expenses that are charged against those resources are specified by statute (the Local Government Act 2003 and the 2003 Regulations).  Where the statutory provisions differ from the accruals basis used in the CIES, adjustments to the accounting treatment are made in the Movement in Reserves Statement so that usable reserves reflect the funding available at the year-end.  Unusable reserves are created to manage the timing differences between the accounting and funding bases.  The material adjustments are:</w:t>
      </w:r>
    </w:p>
    <w:p w:rsidR="00292A4B" w:rsidRPr="00B87520" w:rsidRDefault="00292A4B" w:rsidP="00292A4B">
      <w:pPr>
        <w:spacing w:after="0" w:line="240" w:lineRule="auto"/>
        <w:ind w:left="567"/>
        <w:jc w:val="both"/>
        <w:rPr>
          <w:rFonts w:eastAsia="Times New Roman" w:cs="Arial"/>
          <w:color w:val="auto"/>
          <w:sz w:val="20"/>
          <w:szCs w:val="20"/>
          <w:lang w:eastAsia="en-GB"/>
        </w:rPr>
      </w:pPr>
    </w:p>
    <w:p w:rsidR="00292A4B" w:rsidRPr="00A767DD" w:rsidRDefault="00292A4B" w:rsidP="00292A4B">
      <w:pPr>
        <w:spacing w:after="0" w:line="240" w:lineRule="auto"/>
        <w:jc w:val="both"/>
        <w:rPr>
          <w:rFonts w:eastAsia="Times New Roman" w:cs="Arial"/>
          <w:color w:val="auto"/>
          <w:sz w:val="20"/>
          <w:szCs w:val="20"/>
          <w:highlight w:val="yellow"/>
          <w:lang w:eastAsia="en-GB"/>
        </w:rPr>
      </w:pPr>
    </w:p>
    <w:tbl>
      <w:tblPr>
        <w:tblStyle w:val="TableGrid"/>
        <w:tblW w:w="0" w:type="auto"/>
        <w:tblInd w:w="534" w:type="dxa"/>
        <w:tblLook w:val="04A0"/>
      </w:tblPr>
      <w:tblGrid>
        <w:gridCol w:w="1646"/>
        <w:gridCol w:w="2974"/>
        <w:gridCol w:w="1953"/>
        <w:gridCol w:w="1513"/>
      </w:tblGrid>
      <w:tr w:rsidR="00292A4B" w:rsidRPr="00A767DD" w:rsidTr="008B3593">
        <w:trPr>
          <w:cantSplit/>
          <w:tblHeader/>
        </w:trPr>
        <w:tc>
          <w:tcPr>
            <w:tcW w:w="1646" w:type="dxa"/>
          </w:tcPr>
          <w:p w:rsidR="00292A4B" w:rsidRPr="001D7FB5" w:rsidRDefault="00292A4B" w:rsidP="00F82E5E">
            <w:pPr>
              <w:spacing w:before="60" w:after="60"/>
              <w:jc w:val="both"/>
              <w:rPr>
                <w:rFonts w:eastAsia="Times New Roman" w:cs="Arial"/>
                <w:b/>
                <w:color w:val="auto"/>
                <w:sz w:val="20"/>
                <w:szCs w:val="20"/>
                <w:lang w:eastAsia="en-GB"/>
              </w:rPr>
            </w:pPr>
            <w:r w:rsidRPr="001D7FB5">
              <w:rPr>
                <w:rFonts w:eastAsia="Times New Roman" w:cs="Arial"/>
                <w:b/>
                <w:color w:val="auto"/>
                <w:sz w:val="20"/>
                <w:szCs w:val="20"/>
                <w:lang w:eastAsia="en-GB"/>
              </w:rPr>
              <w:t>Expense</w:t>
            </w:r>
          </w:p>
        </w:tc>
        <w:tc>
          <w:tcPr>
            <w:tcW w:w="2974" w:type="dxa"/>
          </w:tcPr>
          <w:p w:rsidR="00292A4B" w:rsidRPr="001D7FB5" w:rsidRDefault="00292A4B" w:rsidP="00F82E5E">
            <w:pPr>
              <w:spacing w:before="60" w:after="60"/>
              <w:jc w:val="both"/>
              <w:rPr>
                <w:rFonts w:eastAsia="Times New Roman" w:cs="Arial"/>
                <w:b/>
                <w:color w:val="auto"/>
                <w:sz w:val="20"/>
                <w:szCs w:val="20"/>
                <w:lang w:eastAsia="en-GB"/>
              </w:rPr>
            </w:pPr>
            <w:r w:rsidRPr="001D7FB5">
              <w:rPr>
                <w:rFonts w:eastAsia="Times New Roman" w:cs="Arial"/>
                <w:b/>
                <w:color w:val="auto"/>
                <w:sz w:val="20"/>
                <w:szCs w:val="20"/>
                <w:lang w:eastAsia="en-GB"/>
              </w:rPr>
              <w:t>Accounting Basis in CIES</w:t>
            </w:r>
          </w:p>
        </w:tc>
        <w:tc>
          <w:tcPr>
            <w:tcW w:w="1953" w:type="dxa"/>
          </w:tcPr>
          <w:p w:rsidR="00292A4B" w:rsidRPr="001D7FB5" w:rsidRDefault="00292A4B" w:rsidP="00F82E5E">
            <w:pPr>
              <w:spacing w:before="60" w:after="60"/>
              <w:jc w:val="both"/>
              <w:rPr>
                <w:rFonts w:eastAsia="Times New Roman" w:cs="Arial"/>
                <w:b/>
                <w:color w:val="auto"/>
                <w:sz w:val="20"/>
                <w:szCs w:val="20"/>
                <w:lang w:eastAsia="en-GB"/>
              </w:rPr>
            </w:pPr>
            <w:r w:rsidRPr="001D7FB5">
              <w:rPr>
                <w:rFonts w:eastAsia="Times New Roman" w:cs="Arial"/>
                <w:b/>
                <w:color w:val="auto"/>
                <w:sz w:val="20"/>
                <w:szCs w:val="20"/>
                <w:lang w:eastAsia="en-GB"/>
              </w:rPr>
              <w:t>Funding Basis in MiRS</w:t>
            </w:r>
          </w:p>
        </w:tc>
        <w:tc>
          <w:tcPr>
            <w:tcW w:w="1513" w:type="dxa"/>
          </w:tcPr>
          <w:p w:rsidR="00292A4B" w:rsidRPr="001D7FB5" w:rsidRDefault="00292A4B" w:rsidP="00F82E5E">
            <w:pPr>
              <w:spacing w:before="60" w:after="60"/>
              <w:jc w:val="both"/>
              <w:rPr>
                <w:rFonts w:eastAsia="Times New Roman" w:cs="Arial"/>
                <w:b/>
                <w:color w:val="auto"/>
                <w:sz w:val="20"/>
                <w:szCs w:val="20"/>
                <w:lang w:eastAsia="en-GB"/>
              </w:rPr>
            </w:pPr>
            <w:r w:rsidRPr="001D7FB5">
              <w:rPr>
                <w:rFonts w:eastAsia="Times New Roman" w:cs="Arial"/>
                <w:b/>
                <w:color w:val="auto"/>
                <w:sz w:val="20"/>
                <w:szCs w:val="20"/>
                <w:lang w:eastAsia="en-GB"/>
              </w:rPr>
              <w:t>Adjustment Account</w:t>
            </w:r>
          </w:p>
        </w:tc>
      </w:tr>
      <w:tr w:rsidR="00292A4B" w:rsidRPr="00A767DD" w:rsidTr="008B3593">
        <w:trPr>
          <w:cantSplit/>
          <w:tblHeader/>
        </w:trPr>
        <w:tc>
          <w:tcPr>
            <w:tcW w:w="1646"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Property, Plant and Equipment</w:t>
            </w:r>
          </w:p>
        </w:tc>
        <w:tc>
          <w:tcPr>
            <w:tcW w:w="2974"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Depreciation and revaluation/impairment losses</w:t>
            </w:r>
          </w:p>
        </w:tc>
        <w:tc>
          <w:tcPr>
            <w:tcW w:w="195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Revenue provision to cover historical cost determined in accordance with the 2003 Regs</w:t>
            </w:r>
          </w:p>
        </w:tc>
        <w:tc>
          <w:tcPr>
            <w:tcW w:w="151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Capital Adjustment Account</w:t>
            </w:r>
          </w:p>
        </w:tc>
      </w:tr>
      <w:tr w:rsidR="00292A4B" w:rsidRPr="00A767DD" w:rsidTr="008B3593">
        <w:trPr>
          <w:cantSplit/>
          <w:tblHeader/>
        </w:trPr>
        <w:tc>
          <w:tcPr>
            <w:tcW w:w="1646"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Intangible Assets</w:t>
            </w:r>
          </w:p>
        </w:tc>
        <w:tc>
          <w:tcPr>
            <w:tcW w:w="2974"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Amortisation and impairment</w:t>
            </w:r>
          </w:p>
        </w:tc>
        <w:tc>
          <w:tcPr>
            <w:tcW w:w="195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Revenue provision to cover historical cost determined in accordance with the 2003 Regs</w:t>
            </w:r>
          </w:p>
        </w:tc>
        <w:tc>
          <w:tcPr>
            <w:tcW w:w="151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Capital Adjustment Account</w:t>
            </w:r>
          </w:p>
        </w:tc>
      </w:tr>
      <w:tr w:rsidR="00292A4B" w:rsidRPr="00A767DD" w:rsidTr="008B3593">
        <w:trPr>
          <w:cantSplit/>
          <w:tblHeader/>
        </w:trPr>
        <w:tc>
          <w:tcPr>
            <w:tcW w:w="1646"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Heritage Assets</w:t>
            </w:r>
          </w:p>
        </w:tc>
        <w:tc>
          <w:tcPr>
            <w:tcW w:w="2974"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Impairment</w:t>
            </w:r>
          </w:p>
        </w:tc>
        <w:tc>
          <w:tcPr>
            <w:tcW w:w="195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Revenue provision to cover historical cost determined in accordance with the 2003 Regs</w:t>
            </w:r>
          </w:p>
        </w:tc>
        <w:tc>
          <w:tcPr>
            <w:tcW w:w="151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Capital Adjustment Account</w:t>
            </w:r>
          </w:p>
        </w:tc>
      </w:tr>
      <w:tr w:rsidR="00292A4B" w:rsidRPr="00A767DD" w:rsidTr="008B3593">
        <w:trPr>
          <w:cantSplit/>
          <w:tblHeader/>
        </w:trPr>
        <w:tc>
          <w:tcPr>
            <w:tcW w:w="1646"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Investment Properties</w:t>
            </w:r>
          </w:p>
        </w:tc>
        <w:tc>
          <w:tcPr>
            <w:tcW w:w="2974"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Movements in fair value</w:t>
            </w:r>
          </w:p>
        </w:tc>
        <w:tc>
          <w:tcPr>
            <w:tcW w:w="195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Revenue provision to cover historical cost determined in accordance with the 2003 Regs</w:t>
            </w:r>
          </w:p>
        </w:tc>
        <w:tc>
          <w:tcPr>
            <w:tcW w:w="151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Capital Adjustment Account</w:t>
            </w:r>
          </w:p>
          <w:p w:rsidR="00292A4B" w:rsidRPr="001D7FB5" w:rsidRDefault="00292A4B" w:rsidP="00F82E5E">
            <w:pPr>
              <w:spacing w:before="60" w:after="60"/>
              <w:jc w:val="both"/>
              <w:rPr>
                <w:rFonts w:eastAsia="Times New Roman" w:cs="Arial"/>
                <w:color w:val="auto"/>
                <w:sz w:val="20"/>
                <w:szCs w:val="20"/>
                <w:lang w:eastAsia="en-GB"/>
              </w:rPr>
            </w:pPr>
          </w:p>
        </w:tc>
      </w:tr>
      <w:tr w:rsidR="00292A4B" w:rsidRPr="00A767DD" w:rsidTr="008B3593">
        <w:trPr>
          <w:cantSplit/>
          <w:tblHeader/>
        </w:trPr>
        <w:tc>
          <w:tcPr>
            <w:tcW w:w="1646"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Revenue Expenditure Funded from Capital under Statute</w:t>
            </w:r>
          </w:p>
        </w:tc>
        <w:tc>
          <w:tcPr>
            <w:tcW w:w="2974"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Expenditure incurred in 2015/16</w:t>
            </w:r>
          </w:p>
        </w:tc>
        <w:tc>
          <w:tcPr>
            <w:tcW w:w="195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Revenue provision to cover historical cost determined in accordance with the 2003 Regs</w:t>
            </w:r>
          </w:p>
        </w:tc>
        <w:tc>
          <w:tcPr>
            <w:tcW w:w="1513" w:type="dxa"/>
          </w:tcPr>
          <w:p w:rsidR="00292A4B" w:rsidRPr="001D7FB5" w:rsidRDefault="00292A4B"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Capital Adjustment Account</w:t>
            </w:r>
          </w:p>
        </w:tc>
      </w:tr>
      <w:tr w:rsidR="00CA61F1" w:rsidRPr="00A767DD" w:rsidTr="008B3593">
        <w:trPr>
          <w:cantSplit/>
          <w:tblHeader/>
        </w:trPr>
        <w:tc>
          <w:tcPr>
            <w:tcW w:w="1646" w:type="dxa"/>
          </w:tcPr>
          <w:p w:rsidR="00CA61F1" w:rsidRPr="001D7FB5" w:rsidRDefault="00CA61F1" w:rsidP="00CA61F1">
            <w:pPr>
              <w:spacing w:before="60" w:after="60"/>
              <w:jc w:val="both"/>
              <w:rPr>
                <w:rFonts w:eastAsia="Times New Roman" w:cs="Arial"/>
                <w:color w:val="auto"/>
                <w:sz w:val="20"/>
                <w:szCs w:val="20"/>
                <w:lang w:eastAsia="en-GB"/>
              </w:rPr>
            </w:pPr>
            <w:r>
              <w:rPr>
                <w:rFonts w:eastAsia="Times New Roman" w:cs="Arial"/>
                <w:color w:val="auto"/>
                <w:sz w:val="20"/>
                <w:szCs w:val="20"/>
                <w:lang w:eastAsia="en-GB"/>
              </w:rPr>
              <w:t>Deferred Income on PFI contract</w:t>
            </w:r>
          </w:p>
        </w:tc>
        <w:tc>
          <w:tcPr>
            <w:tcW w:w="2974" w:type="dxa"/>
          </w:tcPr>
          <w:p w:rsidR="00CA61F1" w:rsidRPr="001D7FB5" w:rsidRDefault="00CA61F1" w:rsidP="00F82E5E">
            <w:pPr>
              <w:spacing w:before="60" w:after="60"/>
              <w:jc w:val="both"/>
              <w:rPr>
                <w:rFonts w:eastAsia="Times New Roman" w:cs="Arial"/>
                <w:color w:val="auto"/>
                <w:sz w:val="20"/>
                <w:szCs w:val="20"/>
                <w:lang w:eastAsia="en-GB"/>
              </w:rPr>
            </w:pPr>
            <w:r>
              <w:rPr>
                <w:rFonts w:eastAsia="Times New Roman" w:cs="Arial"/>
                <w:color w:val="auto"/>
                <w:sz w:val="20"/>
                <w:szCs w:val="20"/>
                <w:lang w:eastAsia="en-GB"/>
              </w:rPr>
              <w:t>Third party Income in Energy From Waste Plant</w:t>
            </w:r>
          </w:p>
        </w:tc>
        <w:tc>
          <w:tcPr>
            <w:tcW w:w="1953" w:type="dxa"/>
          </w:tcPr>
          <w:p w:rsidR="00CA61F1" w:rsidRPr="001D7FB5" w:rsidRDefault="00CA61F1" w:rsidP="00645E57">
            <w:pPr>
              <w:spacing w:before="60" w:after="60"/>
              <w:rPr>
                <w:rFonts w:eastAsia="Times New Roman" w:cs="Arial"/>
                <w:color w:val="auto"/>
                <w:sz w:val="20"/>
                <w:szCs w:val="20"/>
                <w:lang w:eastAsia="en-GB"/>
              </w:rPr>
            </w:pPr>
            <w:r>
              <w:rPr>
                <w:rFonts w:eastAsia="Times New Roman" w:cs="Arial"/>
                <w:color w:val="auto"/>
                <w:sz w:val="20"/>
                <w:szCs w:val="20"/>
                <w:lang w:eastAsia="en-GB"/>
              </w:rPr>
              <w:t>Non cash trans</w:t>
            </w:r>
            <w:r w:rsidR="00645E57">
              <w:rPr>
                <w:rFonts w:eastAsia="Times New Roman" w:cs="Arial"/>
                <w:color w:val="auto"/>
                <w:sz w:val="20"/>
                <w:szCs w:val="20"/>
                <w:lang w:eastAsia="en-GB"/>
              </w:rPr>
              <w:t>action</w:t>
            </w:r>
          </w:p>
        </w:tc>
        <w:tc>
          <w:tcPr>
            <w:tcW w:w="1513" w:type="dxa"/>
          </w:tcPr>
          <w:p w:rsidR="00CA61F1" w:rsidRPr="001D7FB5" w:rsidRDefault="00CA61F1" w:rsidP="00F82E5E">
            <w:pPr>
              <w:spacing w:before="60" w:after="60"/>
              <w:jc w:val="both"/>
              <w:rPr>
                <w:rFonts w:eastAsia="Times New Roman" w:cs="Arial"/>
                <w:color w:val="auto"/>
                <w:sz w:val="20"/>
                <w:szCs w:val="20"/>
                <w:lang w:eastAsia="en-GB"/>
              </w:rPr>
            </w:pPr>
            <w:r w:rsidRPr="001D7FB5">
              <w:rPr>
                <w:rFonts w:eastAsia="Times New Roman" w:cs="Arial"/>
                <w:color w:val="auto"/>
                <w:sz w:val="20"/>
                <w:szCs w:val="20"/>
                <w:lang w:eastAsia="en-GB"/>
              </w:rPr>
              <w:t>Capital Adjustment Account</w:t>
            </w:r>
          </w:p>
        </w:tc>
      </w:tr>
      <w:tr w:rsidR="00292A4B" w:rsidRPr="00A767DD" w:rsidTr="008B3593">
        <w:trPr>
          <w:cantSplit/>
          <w:tblHeader/>
        </w:trPr>
        <w:tc>
          <w:tcPr>
            <w:tcW w:w="1646" w:type="dxa"/>
          </w:tcPr>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lastRenderedPageBreak/>
              <w:t>Capital Grants and Contributions</w:t>
            </w:r>
          </w:p>
        </w:tc>
        <w:tc>
          <w:tcPr>
            <w:tcW w:w="2974" w:type="dxa"/>
          </w:tcPr>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Grants that became unconditional in 2015/16 or were received in 2015/16 without conditions</w:t>
            </w:r>
          </w:p>
        </w:tc>
        <w:tc>
          <w:tcPr>
            <w:tcW w:w="1953" w:type="dxa"/>
          </w:tcPr>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No credit</w:t>
            </w:r>
          </w:p>
        </w:tc>
        <w:tc>
          <w:tcPr>
            <w:tcW w:w="1513" w:type="dxa"/>
          </w:tcPr>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Capital Grants Unapplied Reserve (amounts unapplied at 31 March 2016)</w:t>
            </w:r>
          </w:p>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Capital Adjustment Account (other amounts)</w:t>
            </w:r>
          </w:p>
        </w:tc>
      </w:tr>
      <w:tr w:rsidR="00292A4B" w:rsidRPr="00A767DD" w:rsidTr="008B3593">
        <w:trPr>
          <w:cantSplit/>
          <w:tblHeader/>
        </w:trPr>
        <w:tc>
          <w:tcPr>
            <w:tcW w:w="1646" w:type="dxa"/>
          </w:tcPr>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Non-Current Asset Disposals</w:t>
            </w:r>
          </w:p>
        </w:tc>
        <w:tc>
          <w:tcPr>
            <w:tcW w:w="2974" w:type="dxa"/>
          </w:tcPr>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Gain or loss based on sale proceeds less carrying amount of asset (net of costs of disposal)</w:t>
            </w:r>
          </w:p>
        </w:tc>
        <w:tc>
          <w:tcPr>
            <w:tcW w:w="1953" w:type="dxa"/>
          </w:tcPr>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No charge or credit</w:t>
            </w:r>
          </w:p>
        </w:tc>
        <w:tc>
          <w:tcPr>
            <w:tcW w:w="1513" w:type="dxa"/>
          </w:tcPr>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Capital Adjustment Account (carrying amount)</w:t>
            </w:r>
          </w:p>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Capital Receipts Reserve (sale proceeds and costs of disposal)</w:t>
            </w:r>
          </w:p>
          <w:p w:rsidR="00292A4B" w:rsidRPr="0041581C" w:rsidRDefault="00292A4B" w:rsidP="00F82E5E">
            <w:pPr>
              <w:spacing w:before="60" w:after="60"/>
              <w:jc w:val="both"/>
              <w:rPr>
                <w:rFonts w:eastAsia="Times New Roman" w:cs="Arial"/>
                <w:color w:val="auto"/>
                <w:sz w:val="20"/>
                <w:szCs w:val="20"/>
                <w:lang w:eastAsia="en-GB"/>
              </w:rPr>
            </w:pPr>
            <w:r w:rsidRPr="0041581C">
              <w:rPr>
                <w:rFonts w:eastAsia="Times New Roman" w:cs="Arial"/>
                <w:color w:val="auto"/>
                <w:sz w:val="20"/>
                <w:szCs w:val="20"/>
                <w:lang w:eastAsia="en-GB"/>
              </w:rPr>
              <w:t>Deferred Capital Receipts Reserve (where sale proceeds have yet to be received)</w:t>
            </w:r>
          </w:p>
        </w:tc>
      </w:tr>
      <w:tr w:rsidR="00292A4B" w:rsidRPr="00A767DD" w:rsidTr="008B3593">
        <w:trPr>
          <w:cantSplit/>
          <w:tblHeader/>
        </w:trPr>
        <w:tc>
          <w:tcPr>
            <w:tcW w:w="1646" w:type="dxa"/>
          </w:tcPr>
          <w:p w:rsidR="00292A4B" w:rsidRPr="005E731F" w:rsidRDefault="00292A4B" w:rsidP="00F82E5E">
            <w:pPr>
              <w:spacing w:before="60" w:after="60"/>
              <w:jc w:val="both"/>
              <w:rPr>
                <w:rFonts w:eastAsia="Times New Roman" w:cs="Arial"/>
                <w:color w:val="auto"/>
                <w:sz w:val="20"/>
                <w:szCs w:val="20"/>
                <w:lang w:eastAsia="en-GB"/>
              </w:rPr>
            </w:pPr>
            <w:r w:rsidRPr="005E731F">
              <w:rPr>
                <w:rFonts w:eastAsia="Times New Roman" w:cs="Arial"/>
                <w:color w:val="auto"/>
                <w:sz w:val="20"/>
                <w:szCs w:val="20"/>
                <w:lang w:eastAsia="en-GB"/>
              </w:rPr>
              <w:t>Pensions Costs</w:t>
            </w:r>
          </w:p>
        </w:tc>
        <w:tc>
          <w:tcPr>
            <w:tcW w:w="2974" w:type="dxa"/>
          </w:tcPr>
          <w:p w:rsidR="00292A4B" w:rsidRPr="005E731F" w:rsidRDefault="00292A4B" w:rsidP="00F82E5E">
            <w:pPr>
              <w:spacing w:before="60" w:after="60"/>
              <w:jc w:val="both"/>
              <w:rPr>
                <w:rFonts w:eastAsia="Times New Roman" w:cs="Arial"/>
                <w:color w:val="auto"/>
                <w:sz w:val="20"/>
                <w:szCs w:val="20"/>
                <w:lang w:eastAsia="en-GB"/>
              </w:rPr>
            </w:pPr>
            <w:r w:rsidRPr="005E731F">
              <w:rPr>
                <w:rFonts w:eastAsia="Times New Roman" w:cs="Arial"/>
                <w:color w:val="auto"/>
                <w:sz w:val="20"/>
                <w:szCs w:val="20"/>
                <w:lang w:eastAsia="en-GB"/>
              </w:rPr>
              <w:t>Movements in pensions assets and liabilities (see policy 1.8)</w:t>
            </w:r>
          </w:p>
        </w:tc>
        <w:tc>
          <w:tcPr>
            <w:tcW w:w="1953" w:type="dxa"/>
          </w:tcPr>
          <w:p w:rsidR="00292A4B" w:rsidRPr="005E731F" w:rsidRDefault="00292A4B" w:rsidP="00F82E5E">
            <w:pPr>
              <w:spacing w:before="60" w:after="60"/>
              <w:jc w:val="both"/>
              <w:rPr>
                <w:rFonts w:eastAsia="Times New Roman" w:cs="Arial"/>
                <w:color w:val="auto"/>
                <w:sz w:val="20"/>
                <w:szCs w:val="20"/>
                <w:lang w:eastAsia="en-GB"/>
              </w:rPr>
            </w:pPr>
            <w:r w:rsidRPr="005E731F">
              <w:rPr>
                <w:rFonts w:eastAsia="Times New Roman" w:cs="Arial"/>
                <w:color w:val="auto"/>
                <w:sz w:val="20"/>
                <w:szCs w:val="20"/>
                <w:lang w:eastAsia="en-GB"/>
              </w:rPr>
              <w:t>Employer’s pensions contributions payable and direct payments made by the Council to pension funds for 2015/16</w:t>
            </w:r>
          </w:p>
        </w:tc>
        <w:tc>
          <w:tcPr>
            <w:tcW w:w="1513" w:type="dxa"/>
          </w:tcPr>
          <w:p w:rsidR="00292A4B" w:rsidRPr="005E731F" w:rsidRDefault="00292A4B" w:rsidP="00F82E5E">
            <w:pPr>
              <w:spacing w:before="60" w:after="60"/>
              <w:jc w:val="both"/>
              <w:rPr>
                <w:rFonts w:eastAsia="Times New Roman" w:cs="Arial"/>
                <w:color w:val="auto"/>
                <w:sz w:val="20"/>
                <w:szCs w:val="20"/>
                <w:lang w:eastAsia="en-GB"/>
              </w:rPr>
            </w:pPr>
            <w:r w:rsidRPr="005E731F">
              <w:rPr>
                <w:rFonts w:eastAsia="Times New Roman" w:cs="Arial"/>
                <w:color w:val="auto"/>
                <w:sz w:val="20"/>
                <w:szCs w:val="20"/>
                <w:lang w:eastAsia="en-GB"/>
              </w:rPr>
              <w:t>Pensions Reserve</w:t>
            </w:r>
          </w:p>
        </w:tc>
      </w:tr>
      <w:tr w:rsidR="00292A4B" w:rsidRPr="00A767DD" w:rsidTr="008B3593">
        <w:trPr>
          <w:cantSplit/>
          <w:tblHeader/>
        </w:trPr>
        <w:tc>
          <w:tcPr>
            <w:tcW w:w="1646" w:type="dxa"/>
          </w:tcPr>
          <w:p w:rsidR="00292A4B" w:rsidRPr="005E731F" w:rsidRDefault="00292A4B" w:rsidP="00F82E5E">
            <w:pPr>
              <w:spacing w:before="60" w:after="60"/>
              <w:jc w:val="both"/>
              <w:rPr>
                <w:rFonts w:eastAsia="Times New Roman" w:cs="Arial"/>
                <w:color w:val="auto"/>
                <w:sz w:val="20"/>
                <w:szCs w:val="20"/>
                <w:lang w:eastAsia="en-GB"/>
              </w:rPr>
            </w:pPr>
            <w:r w:rsidRPr="005E731F">
              <w:rPr>
                <w:rFonts w:eastAsia="Times New Roman" w:cs="Arial"/>
                <w:color w:val="auto"/>
                <w:sz w:val="20"/>
                <w:szCs w:val="20"/>
                <w:lang w:eastAsia="en-GB"/>
              </w:rPr>
              <w:t>Council Tax</w:t>
            </w:r>
          </w:p>
        </w:tc>
        <w:tc>
          <w:tcPr>
            <w:tcW w:w="2974" w:type="dxa"/>
          </w:tcPr>
          <w:p w:rsidR="00292A4B" w:rsidRPr="005E731F" w:rsidRDefault="00292A4B" w:rsidP="00F82E5E">
            <w:pPr>
              <w:spacing w:before="60" w:after="60"/>
              <w:jc w:val="both"/>
              <w:rPr>
                <w:rFonts w:eastAsia="Times New Roman" w:cs="Arial"/>
                <w:color w:val="auto"/>
                <w:sz w:val="20"/>
                <w:szCs w:val="20"/>
                <w:lang w:eastAsia="en-GB"/>
              </w:rPr>
            </w:pPr>
            <w:r w:rsidRPr="005E731F">
              <w:rPr>
                <w:rFonts w:eastAsia="Times New Roman" w:cs="Arial"/>
                <w:color w:val="auto"/>
                <w:sz w:val="20"/>
                <w:szCs w:val="20"/>
                <w:lang w:eastAsia="en-GB"/>
              </w:rPr>
              <w:t>Accrued income from 2015/16 bills</w:t>
            </w:r>
          </w:p>
        </w:tc>
        <w:tc>
          <w:tcPr>
            <w:tcW w:w="1953" w:type="dxa"/>
          </w:tcPr>
          <w:p w:rsidR="00292A4B" w:rsidRPr="005E731F" w:rsidRDefault="00292A4B" w:rsidP="00F82E5E">
            <w:pPr>
              <w:spacing w:before="60" w:after="60"/>
              <w:rPr>
                <w:rFonts w:eastAsia="Times New Roman" w:cs="Arial"/>
                <w:color w:val="auto"/>
                <w:sz w:val="20"/>
                <w:szCs w:val="20"/>
                <w:lang w:eastAsia="en-GB"/>
              </w:rPr>
            </w:pPr>
            <w:r w:rsidRPr="005E731F">
              <w:rPr>
                <w:rFonts w:eastAsia="Times New Roman" w:cs="Arial"/>
                <w:color w:val="auto"/>
                <w:sz w:val="20"/>
                <w:szCs w:val="20"/>
                <w:lang w:eastAsia="en-GB"/>
              </w:rPr>
              <w:t>Demand on the Collection Fund for 2015/16 plus  recovery of estimated deficit/share for 2014/15</w:t>
            </w:r>
          </w:p>
        </w:tc>
        <w:tc>
          <w:tcPr>
            <w:tcW w:w="1513" w:type="dxa"/>
          </w:tcPr>
          <w:p w:rsidR="00292A4B" w:rsidRPr="005E731F" w:rsidRDefault="00292A4B" w:rsidP="00F82E5E">
            <w:pPr>
              <w:spacing w:before="60" w:after="60"/>
              <w:jc w:val="both"/>
              <w:rPr>
                <w:rFonts w:eastAsia="Times New Roman" w:cs="Arial"/>
                <w:color w:val="auto"/>
                <w:sz w:val="20"/>
                <w:szCs w:val="20"/>
                <w:lang w:eastAsia="en-GB"/>
              </w:rPr>
            </w:pPr>
            <w:r w:rsidRPr="005E731F">
              <w:rPr>
                <w:rFonts w:eastAsia="Times New Roman" w:cs="Arial"/>
                <w:color w:val="auto"/>
                <w:sz w:val="20"/>
                <w:szCs w:val="20"/>
                <w:lang w:eastAsia="en-GB"/>
              </w:rPr>
              <w:t>Collection Fund Adjustment Account</w:t>
            </w:r>
          </w:p>
        </w:tc>
      </w:tr>
      <w:tr w:rsidR="00292A4B" w:rsidRPr="00A767DD" w:rsidTr="008B3593">
        <w:trPr>
          <w:cantSplit/>
          <w:tblHeader/>
        </w:trPr>
        <w:tc>
          <w:tcPr>
            <w:tcW w:w="1646" w:type="dxa"/>
          </w:tcPr>
          <w:p w:rsidR="00292A4B" w:rsidRPr="00814484" w:rsidRDefault="00292A4B" w:rsidP="00F82E5E">
            <w:pPr>
              <w:spacing w:before="60" w:after="60"/>
              <w:jc w:val="both"/>
              <w:rPr>
                <w:rFonts w:eastAsia="Times New Roman" w:cs="Arial"/>
                <w:color w:val="auto"/>
                <w:sz w:val="20"/>
                <w:szCs w:val="20"/>
                <w:lang w:eastAsia="en-GB"/>
              </w:rPr>
            </w:pPr>
            <w:r w:rsidRPr="00814484">
              <w:rPr>
                <w:rFonts w:eastAsia="Times New Roman" w:cs="Arial"/>
                <w:color w:val="auto"/>
                <w:sz w:val="20"/>
                <w:szCs w:val="20"/>
                <w:lang w:eastAsia="en-GB"/>
              </w:rPr>
              <w:lastRenderedPageBreak/>
              <w:t>Business Rates</w:t>
            </w:r>
          </w:p>
        </w:tc>
        <w:tc>
          <w:tcPr>
            <w:tcW w:w="2974" w:type="dxa"/>
          </w:tcPr>
          <w:p w:rsidR="00292A4B" w:rsidRPr="00814484" w:rsidRDefault="00292A4B" w:rsidP="00F82E5E">
            <w:pPr>
              <w:spacing w:before="60" w:after="60"/>
              <w:jc w:val="both"/>
              <w:rPr>
                <w:rFonts w:eastAsia="Times New Roman" w:cs="Arial"/>
                <w:color w:val="auto"/>
                <w:sz w:val="20"/>
                <w:szCs w:val="20"/>
                <w:lang w:eastAsia="en-GB"/>
              </w:rPr>
            </w:pPr>
            <w:r w:rsidRPr="00814484">
              <w:rPr>
                <w:rFonts w:eastAsia="Times New Roman" w:cs="Arial"/>
                <w:color w:val="auto"/>
                <w:sz w:val="20"/>
                <w:szCs w:val="20"/>
                <w:lang w:eastAsia="en-GB"/>
              </w:rPr>
              <w:t>Accrued income from 2015/16 bills</w:t>
            </w:r>
          </w:p>
        </w:tc>
        <w:tc>
          <w:tcPr>
            <w:tcW w:w="1953" w:type="dxa"/>
          </w:tcPr>
          <w:p w:rsidR="00292A4B" w:rsidRPr="00814484" w:rsidRDefault="00292A4B" w:rsidP="00F82E5E">
            <w:pPr>
              <w:pStyle w:val="Default"/>
              <w:rPr>
                <w:rFonts w:ascii="Arial" w:hAnsi="Arial" w:cs="Arial"/>
                <w:color w:val="auto"/>
                <w:sz w:val="20"/>
                <w:szCs w:val="20"/>
              </w:rPr>
            </w:pPr>
            <w:r w:rsidRPr="00814484">
              <w:rPr>
                <w:rFonts w:ascii="Arial" w:hAnsi="Arial" w:cs="Arial"/>
                <w:color w:val="auto"/>
                <w:sz w:val="20"/>
                <w:szCs w:val="20"/>
              </w:rPr>
              <w:t xml:space="preserve">Budgeted income receivable from the Collection Fund for 2015/16 plus recovery of estimated deficit/share for 2014/15 </w:t>
            </w:r>
          </w:p>
          <w:p w:rsidR="00292A4B" w:rsidRPr="00814484" w:rsidRDefault="00292A4B" w:rsidP="00F82E5E">
            <w:pPr>
              <w:spacing w:before="60" w:after="60"/>
              <w:jc w:val="both"/>
              <w:rPr>
                <w:rFonts w:eastAsia="Times New Roman" w:cs="Arial"/>
                <w:color w:val="auto"/>
                <w:sz w:val="20"/>
                <w:szCs w:val="20"/>
                <w:lang w:eastAsia="en-GB"/>
              </w:rPr>
            </w:pPr>
          </w:p>
        </w:tc>
        <w:tc>
          <w:tcPr>
            <w:tcW w:w="1513" w:type="dxa"/>
          </w:tcPr>
          <w:p w:rsidR="00292A4B" w:rsidRPr="00814484" w:rsidRDefault="00292A4B" w:rsidP="00F82E5E">
            <w:pPr>
              <w:spacing w:before="60" w:after="60"/>
              <w:jc w:val="both"/>
              <w:rPr>
                <w:rFonts w:eastAsia="Times New Roman" w:cs="Arial"/>
                <w:color w:val="auto"/>
                <w:sz w:val="20"/>
                <w:szCs w:val="20"/>
                <w:lang w:eastAsia="en-GB"/>
              </w:rPr>
            </w:pPr>
            <w:r w:rsidRPr="00814484">
              <w:rPr>
                <w:rFonts w:eastAsia="Times New Roman" w:cs="Arial"/>
                <w:color w:val="auto"/>
                <w:sz w:val="20"/>
                <w:szCs w:val="20"/>
                <w:lang w:eastAsia="en-GB"/>
              </w:rPr>
              <w:t>Collection Fund Adjustment Account</w:t>
            </w:r>
          </w:p>
        </w:tc>
      </w:tr>
      <w:tr w:rsidR="00292A4B" w:rsidRPr="00A767DD" w:rsidTr="008B3593">
        <w:trPr>
          <w:cantSplit/>
          <w:tblHeader/>
        </w:trPr>
        <w:tc>
          <w:tcPr>
            <w:tcW w:w="1646" w:type="dxa"/>
          </w:tcPr>
          <w:p w:rsidR="00292A4B" w:rsidRPr="00814484" w:rsidRDefault="00292A4B" w:rsidP="00F82E5E">
            <w:pPr>
              <w:spacing w:before="60" w:after="60"/>
              <w:jc w:val="both"/>
              <w:rPr>
                <w:rFonts w:eastAsia="Times New Roman" w:cs="Arial"/>
                <w:color w:val="auto"/>
                <w:sz w:val="20"/>
                <w:szCs w:val="20"/>
                <w:lang w:eastAsia="en-GB"/>
              </w:rPr>
            </w:pPr>
            <w:r w:rsidRPr="00814484">
              <w:rPr>
                <w:rFonts w:eastAsia="Times New Roman" w:cs="Arial"/>
                <w:color w:val="auto"/>
                <w:sz w:val="20"/>
                <w:szCs w:val="20"/>
                <w:lang w:eastAsia="en-GB"/>
              </w:rPr>
              <w:t>Untaken Leave entitlements</w:t>
            </w:r>
          </w:p>
        </w:tc>
        <w:tc>
          <w:tcPr>
            <w:tcW w:w="2974" w:type="dxa"/>
          </w:tcPr>
          <w:p w:rsidR="00292A4B" w:rsidRPr="00814484" w:rsidRDefault="00292A4B" w:rsidP="00F82E5E">
            <w:pPr>
              <w:spacing w:before="60" w:after="60"/>
              <w:jc w:val="both"/>
              <w:rPr>
                <w:rFonts w:eastAsia="Times New Roman" w:cs="Arial"/>
                <w:color w:val="auto"/>
                <w:sz w:val="20"/>
                <w:szCs w:val="20"/>
                <w:lang w:eastAsia="en-GB"/>
              </w:rPr>
            </w:pPr>
            <w:r w:rsidRPr="00814484">
              <w:rPr>
                <w:rFonts w:eastAsia="Times New Roman" w:cs="Arial"/>
                <w:color w:val="auto"/>
                <w:sz w:val="20"/>
                <w:szCs w:val="20"/>
                <w:lang w:eastAsia="en-GB"/>
              </w:rPr>
              <w:t>Projected cost of untaken leave entitlements at</w:t>
            </w:r>
            <w:r>
              <w:rPr>
                <w:rFonts w:eastAsia="Times New Roman" w:cs="Arial"/>
                <w:color w:val="auto"/>
                <w:sz w:val="20"/>
                <w:szCs w:val="20"/>
                <w:lang w:eastAsia="en-GB"/>
              </w:rPr>
              <w:t xml:space="preserve"> 31 March 2016</w:t>
            </w:r>
          </w:p>
        </w:tc>
        <w:tc>
          <w:tcPr>
            <w:tcW w:w="1953" w:type="dxa"/>
          </w:tcPr>
          <w:p w:rsidR="00292A4B" w:rsidRPr="00814484" w:rsidRDefault="00292A4B" w:rsidP="00F82E5E">
            <w:pPr>
              <w:spacing w:before="60" w:after="60"/>
              <w:jc w:val="both"/>
              <w:rPr>
                <w:rFonts w:eastAsia="Times New Roman" w:cs="Arial"/>
                <w:color w:val="auto"/>
                <w:sz w:val="20"/>
                <w:szCs w:val="20"/>
                <w:lang w:eastAsia="en-GB"/>
              </w:rPr>
            </w:pPr>
            <w:r w:rsidRPr="00814484">
              <w:rPr>
                <w:rFonts w:eastAsia="Times New Roman" w:cs="Arial"/>
                <w:color w:val="auto"/>
                <w:sz w:val="20"/>
                <w:szCs w:val="20"/>
                <w:lang w:eastAsia="en-GB"/>
              </w:rPr>
              <w:t>No charge</w:t>
            </w:r>
          </w:p>
        </w:tc>
        <w:tc>
          <w:tcPr>
            <w:tcW w:w="1513" w:type="dxa"/>
          </w:tcPr>
          <w:p w:rsidR="00292A4B" w:rsidRPr="00814484" w:rsidRDefault="00292A4B" w:rsidP="00F82E5E">
            <w:pPr>
              <w:spacing w:before="60" w:after="60"/>
              <w:jc w:val="both"/>
              <w:rPr>
                <w:rFonts w:eastAsia="Times New Roman" w:cs="Arial"/>
                <w:color w:val="auto"/>
                <w:sz w:val="20"/>
                <w:szCs w:val="20"/>
                <w:lang w:eastAsia="en-GB"/>
              </w:rPr>
            </w:pPr>
            <w:r w:rsidRPr="00814484">
              <w:rPr>
                <w:rFonts w:eastAsia="Times New Roman" w:cs="Arial"/>
                <w:color w:val="auto"/>
                <w:sz w:val="20"/>
                <w:szCs w:val="20"/>
                <w:lang w:eastAsia="en-GB"/>
              </w:rPr>
              <w:t>Accumulated Absences Adjustment Account</w:t>
            </w:r>
          </w:p>
        </w:tc>
      </w:tr>
    </w:tbl>
    <w:p w:rsidR="00292A4B" w:rsidRPr="00A767DD" w:rsidRDefault="00292A4B" w:rsidP="00292A4B">
      <w:pPr>
        <w:pStyle w:val="Heading1"/>
        <w:spacing w:line="240" w:lineRule="atLeast"/>
        <w:ind w:left="567"/>
        <w:jc w:val="both"/>
        <w:rPr>
          <w:rFonts w:cs="Arial"/>
          <w:b/>
          <w:color w:val="auto"/>
          <w:sz w:val="20"/>
          <w:szCs w:val="20"/>
          <w:highlight w:val="yellow"/>
        </w:rPr>
      </w:pPr>
    </w:p>
    <w:p w:rsidR="00292A4B" w:rsidRPr="00891877" w:rsidRDefault="00630BE4" w:rsidP="00E44EA0">
      <w:pPr>
        <w:pStyle w:val="Heading1"/>
        <w:spacing w:line="240" w:lineRule="atLeast"/>
        <w:jc w:val="both"/>
        <w:rPr>
          <w:rFonts w:cs="Arial"/>
          <w:b/>
          <w:color w:val="auto"/>
          <w:sz w:val="20"/>
          <w:szCs w:val="20"/>
        </w:rPr>
      </w:pPr>
      <w:r>
        <w:rPr>
          <w:rFonts w:cs="Arial"/>
          <w:b/>
          <w:color w:val="auto"/>
          <w:sz w:val="20"/>
          <w:szCs w:val="20"/>
        </w:rPr>
        <w:t>39.</w:t>
      </w:r>
      <w:r w:rsidR="00775F03">
        <w:rPr>
          <w:rFonts w:cs="Arial"/>
          <w:b/>
          <w:color w:val="auto"/>
          <w:sz w:val="20"/>
          <w:szCs w:val="20"/>
        </w:rPr>
        <w:t>5</w:t>
      </w:r>
      <w:r w:rsidR="005057E6">
        <w:rPr>
          <w:rFonts w:cs="Arial"/>
          <w:b/>
          <w:color w:val="auto"/>
          <w:sz w:val="20"/>
          <w:szCs w:val="20"/>
        </w:rPr>
        <w:t xml:space="preserve">    </w:t>
      </w:r>
      <w:r w:rsidR="00292A4B" w:rsidRPr="00891877">
        <w:rPr>
          <w:rFonts w:cs="Arial"/>
          <w:b/>
          <w:color w:val="auto"/>
          <w:sz w:val="20"/>
          <w:szCs w:val="20"/>
        </w:rPr>
        <w:t xml:space="preserve">Prior period Adjustments and Changes in Accounting Policies and Estimates </w:t>
      </w:r>
    </w:p>
    <w:p w:rsidR="00292A4B" w:rsidRPr="00891877" w:rsidRDefault="00292A4B" w:rsidP="00292A4B">
      <w:pPr>
        <w:autoSpaceDE w:val="0"/>
        <w:autoSpaceDN w:val="0"/>
        <w:ind w:left="567"/>
        <w:jc w:val="both"/>
        <w:rPr>
          <w:rFonts w:cs="Arial"/>
          <w:color w:val="auto"/>
          <w:sz w:val="20"/>
          <w:szCs w:val="20"/>
          <w:lang w:eastAsia="en-GB"/>
        </w:rPr>
      </w:pPr>
      <w:r w:rsidRPr="00891877">
        <w:rPr>
          <w:rFonts w:cs="Arial"/>
          <w:color w:val="auto"/>
          <w:sz w:val="20"/>
          <w:szCs w:val="20"/>
          <w:lang w:eastAsia="en-GB"/>
        </w:rPr>
        <w:t>Prior period adjustments may arise as a result of a change in accounting policies or to correct a material error. Changes in accounting estimates are accounted for prospectively, i.e., in the current and future years affected by the change and do not give rise to a prior period adjustment.</w:t>
      </w:r>
    </w:p>
    <w:p w:rsidR="00292A4B" w:rsidRPr="00891877" w:rsidRDefault="00292A4B" w:rsidP="00292A4B">
      <w:pPr>
        <w:autoSpaceDE w:val="0"/>
        <w:autoSpaceDN w:val="0"/>
        <w:ind w:left="567"/>
        <w:jc w:val="both"/>
        <w:rPr>
          <w:rFonts w:cs="Arial"/>
          <w:color w:val="auto"/>
          <w:sz w:val="20"/>
          <w:szCs w:val="20"/>
          <w:lang w:eastAsia="en-GB"/>
        </w:rPr>
      </w:pPr>
      <w:r w:rsidRPr="00891877">
        <w:rPr>
          <w:rFonts w:cs="Arial"/>
          <w:color w:val="auto"/>
          <w:sz w:val="20"/>
          <w:szCs w:val="20"/>
          <w:lang w:eastAsia="en-GB"/>
        </w:rPr>
        <w:t xml:space="preserve">Changes in accounting policies are only made when required by proper accounting practices or the change provides more reliable or relevant information about the effect of transactions, other events and conditions on the Council's financial position or financial performance. Where a change is material, it is applied retrospectively (unless stated otherwise) by adjusting opening balances and comparative amounts for the prior period as if the new policy had always been applied. </w:t>
      </w:r>
    </w:p>
    <w:p w:rsidR="00292A4B" w:rsidRPr="00891877" w:rsidRDefault="00630BE4" w:rsidP="00E44EA0">
      <w:pPr>
        <w:pStyle w:val="Heading1"/>
        <w:spacing w:line="240" w:lineRule="atLeast"/>
        <w:jc w:val="both"/>
        <w:rPr>
          <w:rFonts w:cs="Arial"/>
          <w:b/>
          <w:color w:val="auto"/>
          <w:sz w:val="20"/>
          <w:szCs w:val="20"/>
          <w:lang w:eastAsia="en-GB"/>
        </w:rPr>
      </w:pPr>
      <w:r>
        <w:rPr>
          <w:rFonts w:eastAsia="Arial" w:cs="Arial"/>
          <w:b/>
          <w:bCs w:val="0"/>
          <w:color w:val="auto"/>
          <w:sz w:val="20"/>
          <w:szCs w:val="20"/>
          <w:lang w:eastAsia="en-GB"/>
        </w:rPr>
        <w:t>39.</w:t>
      </w:r>
      <w:r w:rsidR="00775F03">
        <w:rPr>
          <w:rFonts w:eastAsia="Arial" w:cs="Arial"/>
          <w:b/>
          <w:bCs w:val="0"/>
          <w:color w:val="auto"/>
          <w:sz w:val="20"/>
          <w:szCs w:val="20"/>
          <w:lang w:eastAsia="en-GB"/>
        </w:rPr>
        <w:t>6</w:t>
      </w:r>
      <w:r w:rsidR="00292A4B" w:rsidRPr="00891877">
        <w:rPr>
          <w:rFonts w:eastAsia="Arial" w:cs="Arial"/>
          <w:b/>
          <w:bCs w:val="0"/>
          <w:color w:val="auto"/>
          <w:sz w:val="20"/>
          <w:szCs w:val="20"/>
          <w:lang w:eastAsia="en-GB"/>
        </w:rPr>
        <w:t xml:space="preserve">  </w:t>
      </w:r>
      <w:r w:rsidR="005057E6">
        <w:rPr>
          <w:rFonts w:eastAsia="Arial" w:cs="Arial"/>
          <w:b/>
          <w:bCs w:val="0"/>
          <w:color w:val="auto"/>
          <w:sz w:val="20"/>
          <w:szCs w:val="20"/>
          <w:lang w:eastAsia="en-GB"/>
        </w:rPr>
        <w:t xml:space="preserve"> </w:t>
      </w:r>
      <w:r w:rsidR="00292A4B" w:rsidRPr="00891877">
        <w:rPr>
          <w:rFonts w:cs="Arial"/>
          <w:b/>
          <w:color w:val="auto"/>
          <w:sz w:val="20"/>
          <w:szCs w:val="20"/>
          <w:lang w:eastAsia="en-GB"/>
        </w:rPr>
        <w:t>Post-Employment Benefits</w:t>
      </w:r>
    </w:p>
    <w:p w:rsidR="00292A4B" w:rsidRPr="00891877" w:rsidRDefault="00292A4B" w:rsidP="00292A4B">
      <w:pPr>
        <w:spacing w:after="0" w:line="240" w:lineRule="auto"/>
        <w:jc w:val="both"/>
        <w:rPr>
          <w:rFonts w:cs="Arial"/>
          <w:color w:val="auto"/>
          <w:sz w:val="20"/>
          <w:szCs w:val="20"/>
          <w:lang w:eastAsia="en-GB"/>
        </w:rPr>
      </w:pPr>
    </w:p>
    <w:p w:rsidR="00292A4B" w:rsidRPr="00891877" w:rsidRDefault="00292A4B" w:rsidP="00292A4B">
      <w:pPr>
        <w:autoSpaceDE w:val="0"/>
        <w:autoSpaceDN w:val="0"/>
        <w:adjustRightInd w:val="0"/>
        <w:spacing w:after="0"/>
        <w:ind w:left="567"/>
        <w:jc w:val="both"/>
        <w:rPr>
          <w:rFonts w:cs="Arial"/>
          <w:color w:val="auto"/>
          <w:sz w:val="20"/>
          <w:szCs w:val="20"/>
          <w:lang w:eastAsia="en-GB"/>
        </w:rPr>
      </w:pPr>
      <w:r w:rsidRPr="00891877">
        <w:rPr>
          <w:rFonts w:cs="Arial"/>
          <w:color w:val="auto"/>
          <w:sz w:val="20"/>
          <w:szCs w:val="20"/>
          <w:lang w:eastAsia="en-GB"/>
        </w:rPr>
        <w:t xml:space="preserve">Employees of the Council are members of three separate pension schemes: </w:t>
      </w:r>
      <w:r w:rsidRPr="00891877">
        <w:rPr>
          <w:rFonts w:cs="Arial"/>
          <w:color w:val="auto"/>
          <w:sz w:val="20"/>
          <w:szCs w:val="20"/>
          <w:lang w:eastAsia="en-GB"/>
        </w:rPr>
        <w:br/>
      </w:r>
    </w:p>
    <w:p w:rsidR="00292A4B" w:rsidRPr="00891877" w:rsidRDefault="00292A4B" w:rsidP="00292A4B">
      <w:pPr>
        <w:numPr>
          <w:ilvl w:val="0"/>
          <w:numId w:val="15"/>
        </w:numPr>
        <w:autoSpaceDE w:val="0"/>
        <w:autoSpaceDN w:val="0"/>
        <w:adjustRightInd w:val="0"/>
        <w:spacing w:after="0"/>
        <w:ind w:left="567" w:firstLine="0"/>
        <w:rPr>
          <w:rFonts w:cs="Arial"/>
          <w:color w:val="auto"/>
          <w:sz w:val="20"/>
          <w:szCs w:val="20"/>
          <w:lang w:eastAsia="en-GB"/>
        </w:rPr>
      </w:pPr>
      <w:r w:rsidRPr="00891877">
        <w:rPr>
          <w:rFonts w:cs="Arial"/>
          <w:color w:val="auto"/>
          <w:sz w:val="20"/>
          <w:szCs w:val="20"/>
          <w:lang w:eastAsia="en-GB"/>
        </w:rPr>
        <w:t>The Teachers' Pension Scheme, administered by Capita Teachers' Pensions on behalf of the Department for Education (DfE).</w:t>
      </w:r>
      <w:r w:rsidRPr="00891877">
        <w:rPr>
          <w:rFonts w:cs="Arial"/>
          <w:color w:val="auto"/>
          <w:sz w:val="20"/>
          <w:szCs w:val="20"/>
          <w:lang w:eastAsia="en-GB"/>
        </w:rPr>
        <w:br/>
      </w:r>
    </w:p>
    <w:p w:rsidR="00292A4B" w:rsidRPr="00891877" w:rsidRDefault="00292A4B" w:rsidP="00292A4B">
      <w:pPr>
        <w:numPr>
          <w:ilvl w:val="0"/>
          <w:numId w:val="15"/>
        </w:numPr>
        <w:autoSpaceDE w:val="0"/>
        <w:autoSpaceDN w:val="0"/>
        <w:adjustRightInd w:val="0"/>
        <w:spacing w:after="0"/>
        <w:ind w:left="567" w:firstLine="0"/>
        <w:jc w:val="both"/>
        <w:rPr>
          <w:rFonts w:cs="Arial"/>
          <w:color w:val="auto"/>
          <w:sz w:val="20"/>
          <w:szCs w:val="20"/>
          <w:lang w:eastAsia="en-GB"/>
        </w:rPr>
      </w:pPr>
      <w:r w:rsidRPr="00891877">
        <w:rPr>
          <w:rFonts w:cs="Arial"/>
          <w:color w:val="auto"/>
          <w:sz w:val="20"/>
          <w:szCs w:val="20"/>
          <w:lang w:eastAsia="en-GB"/>
        </w:rPr>
        <w:t>The NHS Pension Scheme, administered by NHS Pensions.</w:t>
      </w:r>
    </w:p>
    <w:p w:rsidR="00292A4B" w:rsidRPr="00A767DD" w:rsidRDefault="00292A4B" w:rsidP="00292A4B">
      <w:pPr>
        <w:autoSpaceDE w:val="0"/>
        <w:autoSpaceDN w:val="0"/>
        <w:adjustRightInd w:val="0"/>
        <w:spacing w:after="0"/>
        <w:ind w:left="567"/>
        <w:jc w:val="both"/>
        <w:rPr>
          <w:rFonts w:cs="Arial"/>
          <w:color w:val="auto"/>
          <w:sz w:val="20"/>
          <w:szCs w:val="20"/>
          <w:highlight w:val="yellow"/>
          <w:lang w:eastAsia="en-GB"/>
        </w:rPr>
      </w:pPr>
    </w:p>
    <w:p w:rsidR="00292A4B" w:rsidRPr="00891877" w:rsidRDefault="00292A4B" w:rsidP="00292A4B">
      <w:pPr>
        <w:numPr>
          <w:ilvl w:val="0"/>
          <w:numId w:val="15"/>
        </w:numPr>
        <w:autoSpaceDE w:val="0"/>
        <w:autoSpaceDN w:val="0"/>
        <w:adjustRightInd w:val="0"/>
        <w:spacing w:after="0"/>
        <w:ind w:left="567" w:firstLine="0"/>
        <w:jc w:val="both"/>
        <w:rPr>
          <w:rFonts w:cs="Arial"/>
          <w:color w:val="auto"/>
          <w:sz w:val="20"/>
          <w:szCs w:val="20"/>
          <w:lang w:eastAsia="en-GB"/>
        </w:rPr>
      </w:pPr>
      <w:r w:rsidRPr="00891877">
        <w:rPr>
          <w:rFonts w:cs="Arial"/>
          <w:color w:val="auto"/>
          <w:sz w:val="20"/>
          <w:szCs w:val="20"/>
          <w:lang w:eastAsia="en-GB"/>
        </w:rPr>
        <w:t>The Local Government Pensions Scheme, administered by Devon County Council.</w:t>
      </w:r>
    </w:p>
    <w:p w:rsidR="00292A4B" w:rsidRDefault="00292A4B" w:rsidP="00292A4B">
      <w:pPr>
        <w:autoSpaceDE w:val="0"/>
        <w:autoSpaceDN w:val="0"/>
        <w:ind w:left="567"/>
        <w:jc w:val="both"/>
        <w:rPr>
          <w:rFonts w:cs="Arial"/>
          <w:color w:val="auto"/>
          <w:sz w:val="20"/>
          <w:szCs w:val="20"/>
          <w:lang w:eastAsia="en-GB"/>
        </w:rPr>
      </w:pPr>
    </w:p>
    <w:p w:rsidR="00292A4B" w:rsidRPr="00891877" w:rsidRDefault="00292A4B" w:rsidP="00292A4B">
      <w:pPr>
        <w:autoSpaceDE w:val="0"/>
        <w:autoSpaceDN w:val="0"/>
        <w:ind w:left="567"/>
        <w:jc w:val="both"/>
        <w:rPr>
          <w:rFonts w:cs="Arial"/>
          <w:color w:val="auto"/>
          <w:sz w:val="20"/>
          <w:szCs w:val="20"/>
          <w:lang w:eastAsia="en-GB"/>
        </w:rPr>
      </w:pPr>
      <w:r w:rsidRPr="00891877">
        <w:rPr>
          <w:rFonts w:cs="Arial"/>
          <w:color w:val="auto"/>
          <w:sz w:val="20"/>
          <w:szCs w:val="20"/>
          <w:lang w:eastAsia="en-GB"/>
        </w:rPr>
        <w:t>All schemes provide defined benefits to members (retirement lump sums and pensions), earned as employees worked for the Council.</w:t>
      </w:r>
    </w:p>
    <w:p w:rsidR="00292A4B" w:rsidRPr="00891877" w:rsidRDefault="00292A4B" w:rsidP="00292A4B">
      <w:pPr>
        <w:autoSpaceDE w:val="0"/>
        <w:autoSpaceDN w:val="0"/>
        <w:ind w:left="567"/>
        <w:jc w:val="both"/>
        <w:rPr>
          <w:rFonts w:cs="Arial"/>
          <w:color w:val="auto"/>
          <w:sz w:val="20"/>
          <w:szCs w:val="20"/>
          <w:lang w:eastAsia="en-GB"/>
        </w:rPr>
      </w:pPr>
      <w:r w:rsidRPr="00891877">
        <w:rPr>
          <w:rFonts w:cs="Arial"/>
          <w:color w:val="auto"/>
          <w:sz w:val="20"/>
          <w:szCs w:val="20"/>
          <w:lang w:eastAsia="en-GB"/>
        </w:rPr>
        <w:t>The Teacher’s and NHS Scheme provides defined benefits to members, however, the arrangements for the teachers' scheme and NHS pensions mean that liabilities for these benefits cannot ordinarily be identified specifically to the Council. The scheme is therefore accounted for as if it was a defined contribution scheme and no liability for future payments of benefits is recognised in the Balance Sheet. The relevant lines in the Comprehensive Income and Expenditure account are charged with the employer’s contributions in year.</w:t>
      </w:r>
    </w:p>
    <w:p w:rsidR="00292A4B" w:rsidRPr="00891877" w:rsidRDefault="00292A4B" w:rsidP="00292A4B">
      <w:pPr>
        <w:spacing w:after="0" w:line="240" w:lineRule="auto"/>
        <w:ind w:firstLine="567"/>
        <w:jc w:val="both"/>
        <w:rPr>
          <w:rFonts w:cs="Arial"/>
          <w:color w:val="auto"/>
          <w:sz w:val="20"/>
          <w:szCs w:val="20"/>
          <w:lang w:eastAsia="en-GB"/>
        </w:rPr>
      </w:pPr>
      <w:r w:rsidRPr="00891877">
        <w:rPr>
          <w:rFonts w:cs="Arial"/>
          <w:color w:val="auto"/>
          <w:sz w:val="20"/>
          <w:szCs w:val="20"/>
          <w:lang w:eastAsia="en-GB"/>
        </w:rPr>
        <w:t>The Local Government Pension Scheme is accounted for as a defined benefits scheme:</w:t>
      </w:r>
    </w:p>
    <w:p w:rsidR="00292A4B" w:rsidRPr="00891877" w:rsidRDefault="00292A4B" w:rsidP="00292A4B">
      <w:pPr>
        <w:spacing w:after="0" w:line="240" w:lineRule="auto"/>
        <w:jc w:val="both"/>
        <w:rPr>
          <w:rFonts w:cs="Arial"/>
          <w:color w:val="auto"/>
          <w:sz w:val="20"/>
          <w:szCs w:val="20"/>
          <w:lang w:eastAsia="en-GB"/>
        </w:rPr>
      </w:pPr>
    </w:p>
    <w:p w:rsidR="00292A4B" w:rsidRPr="00891877" w:rsidRDefault="00292A4B" w:rsidP="003E10DE">
      <w:pPr>
        <w:numPr>
          <w:ilvl w:val="0"/>
          <w:numId w:val="28"/>
        </w:numPr>
        <w:autoSpaceDE w:val="0"/>
        <w:autoSpaceDN w:val="0"/>
        <w:adjustRightInd w:val="0"/>
        <w:spacing w:after="0" w:line="240" w:lineRule="auto"/>
        <w:ind w:left="709" w:hanging="142"/>
        <w:jc w:val="both"/>
        <w:rPr>
          <w:rFonts w:cs="Arial"/>
          <w:color w:val="auto"/>
          <w:sz w:val="20"/>
          <w:szCs w:val="20"/>
          <w:lang w:eastAsia="en-GB"/>
        </w:rPr>
      </w:pPr>
      <w:r w:rsidRPr="00891877">
        <w:rPr>
          <w:rFonts w:cs="Arial"/>
          <w:color w:val="auto"/>
          <w:sz w:val="20"/>
          <w:szCs w:val="20"/>
          <w:lang w:eastAsia="en-GB"/>
        </w:rPr>
        <w:t xml:space="preserve">the liabilities of the Devon County Council Pension Fund attributable to the Council are included in the Balance Sheet on an actuarial basis using the projected unit method- i.e. an assessment of the future payments that will be made in relation to retirement benefits earned to-date by employees, based on assumptions about mortality rates, employee turnover rates, etc, and projections of projected earnings for current employees. </w:t>
      </w:r>
    </w:p>
    <w:p w:rsidR="00292A4B" w:rsidRPr="00891877" w:rsidRDefault="00292A4B" w:rsidP="00292A4B">
      <w:pPr>
        <w:autoSpaceDE w:val="0"/>
        <w:autoSpaceDN w:val="0"/>
        <w:adjustRightInd w:val="0"/>
        <w:spacing w:after="0" w:line="240" w:lineRule="auto"/>
        <w:ind w:left="709"/>
        <w:jc w:val="both"/>
        <w:rPr>
          <w:rFonts w:cs="Arial"/>
          <w:color w:val="auto"/>
          <w:sz w:val="20"/>
          <w:szCs w:val="20"/>
          <w:lang w:eastAsia="en-GB"/>
        </w:rPr>
      </w:pPr>
    </w:p>
    <w:p w:rsidR="00292A4B" w:rsidRPr="00891877" w:rsidRDefault="00292A4B" w:rsidP="003E10DE">
      <w:pPr>
        <w:numPr>
          <w:ilvl w:val="0"/>
          <w:numId w:val="28"/>
        </w:numPr>
        <w:autoSpaceDE w:val="0"/>
        <w:autoSpaceDN w:val="0"/>
        <w:adjustRightInd w:val="0"/>
        <w:spacing w:after="0" w:line="240" w:lineRule="auto"/>
        <w:ind w:left="709" w:hanging="142"/>
        <w:jc w:val="both"/>
        <w:rPr>
          <w:rFonts w:cs="Arial"/>
          <w:color w:val="auto"/>
          <w:sz w:val="20"/>
          <w:szCs w:val="20"/>
          <w:lang w:eastAsia="en-GB"/>
        </w:rPr>
      </w:pPr>
      <w:r w:rsidRPr="00891877">
        <w:rPr>
          <w:rFonts w:cs="Arial"/>
          <w:color w:val="auto"/>
          <w:sz w:val="20"/>
          <w:szCs w:val="20"/>
          <w:lang w:eastAsia="en-GB"/>
        </w:rPr>
        <w:t>liabilities are discounted to their value at current prices, using a discount rate based on the indicative rate of return on high quality corporate bond.</w:t>
      </w:r>
    </w:p>
    <w:p w:rsidR="00292A4B" w:rsidRPr="00891877" w:rsidRDefault="00292A4B" w:rsidP="00292A4B">
      <w:pPr>
        <w:autoSpaceDE w:val="0"/>
        <w:autoSpaceDN w:val="0"/>
        <w:adjustRightInd w:val="0"/>
        <w:spacing w:after="0" w:line="240" w:lineRule="auto"/>
        <w:ind w:left="709"/>
        <w:jc w:val="both"/>
        <w:rPr>
          <w:rFonts w:cs="Arial"/>
          <w:color w:val="auto"/>
          <w:sz w:val="20"/>
          <w:szCs w:val="20"/>
          <w:lang w:eastAsia="en-GB"/>
        </w:rPr>
      </w:pPr>
    </w:p>
    <w:p w:rsidR="00292A4B" w:rsidRPr="00891877" w:rsidRDefault="00292A4B" w:rsidP="003E10DE">
      <w:pPr>
        <w:pStyle w:val="ListParagraph"/>
        <w:numPr>
          <w:ilvl w:val="0"/>
          <w:numId w:val="28"/>
        </w:numPr>
        <w:spacing w:after="0" w:line="240" w:lineRule="auto"/>
        <w:ind w:left="709" w:hanging="142"/>
        <w:jc w:val="both"/>
        <w:rPr>
          <w:rFonts w:cs="Arial"/>
          <w:color w:val="auto"/>
          <w:sz w:val="20"/>
          <w:szCs w:val="20"/>
          <w:lang w:eastAsia="en-GB"/>
        </w:rPr>
      </w:pPr>
      <w:r w:rsidRPr="00891877">
        <w:rPr>
          <w:rFonts w:cs="Arial"/>
          <w:color w:val="auto"/>
          <w:sz w:val="20"/>
          <w:szCs w:val="20"/>
          <w:lang w:eastAsia="en-GB"/>
        </w:rPr>
        <w:t>the assets of Devon County Council Pension Fund attributable to the Council are included in the Balance Sheet at their fair value</w:t>
      </w:r>
    </w:p>
    <w:p w:rsidR="00292A4B" w:rsidRPr="00891877" w:rsidRDefault="00292A4B" w:rsidP="00292A4B">
      <w:pPr>
        <w:spacing w:after="0" w:line="240" w:lineRule="auto"/>
        <w:jc w:val="both"/>
        <w:rPr>
          <w:rFonts w:cs="Arial"/>
          <w:color w:val="auto"/>
          <w:sz w:val="20"/>
          <w:szCs w:val="20"/>
          <w:lang w:eastAsia="en-GB"/>
        </w:rPr>
      </w:pPr>
    </w:p>
    <w:p w:rsidR="00292A4B" w:rsidRPr="00891877" w:rsidRDefault="00292A4B" w:rsidP="00292A4B">
      <w:pPr>
        <w:spacing w:after="0" w:line="240" w:lineRule="auto"/>
        <w:ind w:firstLine="567"/>
        <w:jc w:val="both"/>
        <w:rPr>
          <w:rFonts w:cs="Arial"/>
          <w:color w:val="auto"/>
          <w:sz w:val="20"/>
          <w:szCs w:val="20"/>
          <w:lang w:eastAsia="en-GB"/>
        </w:rPr>
      </w:pPr>
      <w:r w:rsidRPr="00891877">
        <w:rPr>
          <w:rFonts w:cs="Arial"/>
          <w:color w:val="auto"/>
          <w:sz w:val="20"/>
          <w:szCs w:val="20"/>
          <w:lang w:eastAsia="en-GB"/>
        </w:rPr>
        <w:t>The change in the net pensions liability is analysed into the following components:</w:t>
      </w:r>
    </w:p>
    <w:p w:rsidR="00292A4B" w:rsidRPr="00A767DD" w:rsidRDefault="00292A4B" w:rsidP="00292A4B">
      <w:pPr>
        <w:spacing w:after="0" w:line="240" w:lineRule="auto"/>
        <w:jc w:val="both"/>
        <w:rPr>
          <w:rFonts w:cs="Arial"/>
          <w:color w:val="auto"/>
          <w:sz w:val="20"/>
          <w:szCs w:val="20"/>
          <w:highlight w:val="yellow"/>
          <w:lang w:eastAsia="en-GB"/>
        </w:rPr>
      </w:pPr>
    </w:p>
    <w:p w:rsidR="00292A4B" w:rsidRPr="00891877" w:rsidRDefault="00292A4B" w:rsidP="003E10DE">
      <w:pPr>
        <w:pStyle w:val="ListParagraph"/>
        <w:numPr>
          <w:ilvl w:val="0"/>
          <w:numId w:val="31"/>
        </w:numPr>
        <w:spacing w:after="0" w:line="240" w:lineRule="auto"/>
        <w:ind w:left="360" w:firstLine="207"/>
        <w:jc w:val="both"/>
        <w:rPr>
          <w:rFonts w:cs="Arial"/>
          <w:color w:val="auto"/>
          <w:sz w:val="20"/>
          <w:szCs w:val="20"/>
          <w:lang w:eastAsia="en-GB"/>
        </w:rPr>
      </w:pPr>
      <w:r w:rsidRPr="00891877">
        <w:rPr>
          <w:rFonts w:cs="Arial"/>
          <w:b/>
          <w:color w:val="auto"/>
          <w:sz w:val="20"/>
          <w:szCs w:val="20"/>
          <w:lang w:eastAsia="en-GB"/>
        </w:rPr>
        <w:t>Service cost</w:t>
      </w:r>
      <w:r w:rsidRPr="00891877">
        <w:rPr>
          <w:rFonts w:cs="Arial"/>
          <w:color w:val="auto"/>
          <w:sz w:val="20"/>
          <w:szCs w:val="20"/>
          <w:lang w:eastAsia="en-GB"/>
        </w:rPr>
        <w:t xml:space="preserve"> comprising:</w:t>
      </w:r>
    </w:p>
    <w:p w:rsidR="00292A4B" w:rsidRPr="00891877" w:rsidRDefault="00292A4B" w:rsidP="00292A4B">
      <w:pPr>
        <w:pStyle w:val="ListParagraph"/>
        <w:spacing w:after="0" w:line="240" w:lineRule="auto"/>
        <w:ind w:left="567"/>
        <w:jc w:val="both"/>
        <w:rPr>
          <w:rFonts w:cs="Arial"/>
          <w:color w:val="auto"/>
          <w:sz w:val="20"/>
          <w:szCs w:val="20"/>
          <w:lang w:eastAsia="en-GB"/>
        </w:rPr>
      </w:pPr>
    </w:p>
    <w:p w:rsidR="00292A4B" w:rsidRPr="00891877" w:rsidRDefault="00292A4B" w:rsidP="00292A4B">
      <w:pPr>
        <w:pStyle w:val="ListParagraph"/>
        <w:spacing w:after="0" w:line="240" w:lineRule="auto"/>
        <w:ind w:left="709"/>
        <w:jc w:val="both"/>
        <w:rPr>
          <w:rFonts w:cs="Arial"/>
          <w:color w:val="auto"/>
          <w:sz w:val="20"/>
          <w:szCs w:val="20"/>
          <w:lang w:eastAsia="en-GB"/>
        </w:rPr>
      </w:pPr>
      <w:r w:rsidRPr="00891877">
        <w:rPr>
          <w:rFonts w:cs="Arial"/>
          <w:color w:val="auto"/>
          <w:sz w:val="20"/>
          <w:szCs w:val="20"/>
          <w:lang w:eastAsia="en-GB"/>
        </w:rPr>
        <w:t>Current service cost – allocated in the CIES to the services for which the employees worked</w:t>
      </w:r>
    </w:p>
    <w:p w:rsidR="00292A4B" w:rsidRPr="00891877" w:rsidRDefault="00292A4B" w:rsidP="00292A4B">
      <w:pPr>
        <w:autoSpaceDE w:val="0"/>
        <w:autoSpaceDN w:val="0"/>
        <w:adjustRightInd w:val="0"/>
        <w:spacing w:after="0"/>
        <w:ind w:left="720"/>
        <w:jc w:val="both"/>
        <w:rPr>
          <w:rFonts w:cs="Arial"/>
          <w:color w:val="auto"/>
          <w:sz w:val="20"/>
          <w:szCs w:val="20"/>
          <w:lang w:eastAsia="en-GB"/>
        </w:rPr>
      </w:pPr>
    </w:p>
    <w:p w:rsidR="00292A4B" w:rsidRPr="00891877" w:rsidRDefault="00292A4B" w:rsidP="00292A4B">
      <w:pPr>
        <w:autoSpaceDE w:val="0"/>
        <w:autoSpaceDN w:val="0"/>
        <w:adjustRightInd w:val="0"/>
        <w:spacing w:after="0"/>
        <w:ind w:left="720"/>
        <w:jc w:val="both"/>
        <w:rPr>
          <w:rFonts w:cs="Arial"/>
          <w:color w:val="auto"/>
          <w:sz w:val="20"/>
          <w:szCs w:val="20"/>
          <w:lang w:eastAsia="en-GB"/>
        </w:rPr>
      </w:pPr>
      <w:r w:rsidRPr="00891877">
        <w:rPr>
          <w:rFonts w:cs="Arial"/>
          <w:color w:val="auto"/>
          <w:sz w:val="20"/>
          <w:szCs w:val="20"/>
          <w:lang w:eastAsia="en-GB"/>
        </w:rPr>
        <w:t>Past service cost - the increase in liabilities arising from current year decisions whose effect relates to years of service earned in earlier years. Includes gains or losses on settlements and curtailments - the result of actions to relieve the Council of liabilities or events that reduce the expected future service or accrual of benefits of employees such as the transfer of staff to an alternative supplier: Debited/Credited to the Surplus or Deficit on the Provision of Services in the CIES as part of Non Distributed Costs.</w:t>
      </w:r>
    </w:p>
    <w:p w:rsidR="00292A4B" w:rsidRPr="00891877" w:rsidRDefault="00292A4B" w:rsidP="00292A4B">
      <w:pPr>
        <w:autoSpaceDE w:val="0"/>
        <w:autoSpaceDN w:val="0"/>
        <w:adjustRightInd w:val="0"/>
        <w:spacing w:after="0"/>
        <w:ind w:left="709"/>
        <w:jc w:val="both"/>
        <w:rPr>
          <w:rFonts w:cs="Arial"/>
          <w:color w:val="auto"/>
          <w:sz w:val="20"/>
          <w:szCs w:val="20"/>
          <w:lang w:eastAsia="en-GB"/>
        </w:rPr>
      </w:pPr>
    </w:p>
    <w:p w:rsidR="00292A4B" w:rsidRPr="00891877" w:rsidRDefault="00292A4B" w:rsidP="00292A4B">
      <w:pPr>
        <w:autoSpaceDE w:val="0"/>
        <w:autoSpaceDN w:val="0"/>
        <w:adjustRightInd w:val="0"/>
        <w:spacing w:after="0"/>
        <w:ind w:left="709"/>
        <w:jc w:val="both"/>
        <w:rPr>
          <w:rFonts w:cs="Arial"/>
          <w:color w:val="auto"/>
          <w:sz w:val="20"/>
          <w:szCs w:val="20"/>
          <w:lang w:eastAsia="en-GB"/>
        </w:rPr>
      </w:pPr>
      <w:r w:rsidRPr="00891877">
        <w:rPr>
          <w:rFonts w:cs="Arial"/>
          <w:color w:val="auto"/>
          <w:sz w:val="20"/>
          <w:szCs w:val="20"/>
          <w:lang w:eastAsia="en-GB"/>
        </w:rPr>
        <w:t>Net Interest on the net pension liability - the expected net increase in the present value of liabilities during the year as they move one year closer to being paid offset by the expected return on assets - the annual investment return on the fund assets attributable to the Council, based on an average of the expected long-term return - debited to the Financing and Investment Income and Expenditure line in the CIES.</w:t>
      </w:r>
    </w:p>
    <w:p w:rsidR="00292A4B" w:rsidRPr="00891877" w:rsidRDefault="00292A4B" w:rsidP="00292A4B">
      <w:pPr>
        <w:autoSpaceDE w:val="0"/>
        <w:autoSpaceDN w:val="0"/>
        <w:adjustRightInd w:val="0"/>
        <w:spacing w:after="0"/>
        <w:ind w:left="709"/>
        <w:jc w:val="both"/>
        <w:rPr>
          <w:rFonts w:cs="Arial"/>
          <w:color w:val="auto"/>
          <w:sz w:val="20"/>
          <w:szCs w:val="20"/>
          <w:lang w:eastAsia="en-GB"/>
        </w:rPr>
      </w:pPr>
    </w:p>
    <w:p w:rsidR="00292A4B" w:rsidRPr="00891877" w:rsidRDefault="00292A4B" w:rsidP="00292A4B">
      <w:pPr>
        <w:autoSpaceDE w:val="0"/>
        <w:autoSpaceDN w:val="0"/>
        <w:adjustRightInd w:val="0"/>
        <w:spacing w:after="0"/>
        <w:ind w:left="709"/>
        <w:jc w:val="both"/>
        <w:rPr>
          <w:rFonts w:cs="Arial"/>
          <w:color w:val="auto"/>
          <w:sz w:val="20"/>
          <w:szCs w:val="20"/>
          <w:lang w:eastAsia="en-GB"/>
        </w:rPr>
      </w:pPr>
      <w:r w:rsidRPr="00891877">
        <w:rPr>
          <w:rFonts w:cs="Arial"/>
          <w:color w:val="auto"/>
          <w:sz w:val="20"/>
          <w:szCs w:val="20"/>
          <w:lang w:eastAsia="en-GB"/>
        </w:rPr>
        <w:t xml:space="preserve">Administration Costs – debited to the Provision of Services in the CIES as part of </w:t>
      </w:r>
      <w:r>
        <w:rPr>
          <w:rFonts w:cs="Arial"/>
          <w:color w:val="auto"/>
          <w:sz w:val="20"/>
          <w:szCs w:val="20"/>
          <w:lang w:eastAsia="en-GB"/>
        </w:rPr>
        <w:t>Corporate Costs.</w:t>
      </w:r>
      <w:r w:rsidRPr="00891877">
        <w:rPr>
          <w:rFonts w:cs="Arial"/>
          <w:color w:val="auto"/>
          <w:sz w:val="20"/>
          <w:szCs w:val="20"/>
          <w:lang w:eastAsia="en-GB"/>
        </w:rPr>
        <w:t xml:space="preserve"> </w:t>
      </w:r>
    </w:p>
    <w:p w:rsidR="00292A4B" w:rsidRPr="00891877" w:rsidRDefault="00292A4B" w:rsidP="00292A4B">
      <w:pPr>
        <w:autoSpaceDE w:val="0"/>
        <w:autoSpaceDN w:val="0"/>
        <w:adjustRightInd w:val="0"/>
        <w:spacing w:after="0"/>
        <w:ind w:left="709"/>
        <w:jc w:val="both"/>
        <w:rPr>
          <w:rFonts w:cs="Arial"/>
          <w:color w:val="auto"/>
          <w:sz w:val="20"/>
          <w:szCs w:val="20"/>
          <w:lang w:eastAsia="en-GB"/>
        </w:rPr>
      </w:pPr>
    </w:p>
    <w:p w:rsidR="00292A4B" w:rsidRPr="00891877" w:rsidRDefault="00292A4B" w:rsidP="003E10DE">
      <w:pPr>
        <w:pStyle w:val="ListParagraph"/>
        <w:numPr>
          <w:ilvl w:val="0"/>
          <w:numId w:val="31"/>
        </w:numPr>
        <w:spacing w:after="0" w:line="240" w:lineRule="auto"/>
        <w:ind w:left="360" w:firstLine="207"/>
        <w:jc w:val="both"/>
        <w:rPr>
          <w:rFonts w:cs="Arial"/>
          <w:color w:val="auto"/>
          <w:sz w:val="20"/>
          <w:szCs w:val="20"/>
          <w:lang w:eastAsia="en-GB"/>
        </w:rPr>
      </w:pPr>
      <w:r w:rsidRPr="00891877">
        <w:rPr>
          <w:rFonts w:cs="Arial"/>
          <w:b/>
          <w:color w:val="auto"/>
          <w:sz w:val="20"/>
          <w:szCs w:val="20"/>
          <w:lang w:eastAsia="en-GB"/>
        </w:rPr>
        <w:t>Remeasurements</w:t>
      </w:r>
      <w:r w:rsidRPr="00891877">
        <w:rPr>
          <w:rFonts w:cs="Arial"/>
          <w:color w:val="auto"/>
          <w:sz w:val="20"/>
          <w:szCs w:val="20"/>
          <w:lang w:eastAsia="en-GB"/>
        </w:rPr>
        <w:t xml:space="preserve"> comprising:</w:t>
      </w:r>
    </w:p>
    <w:p w:rsidR="00292A4B" w:rsidRPr="00891877" w:rsidRDefault="00292A4B" w:rsidP="00292A4B">
      <w:pPr>
        <w:pStyle w:val="ListParagraph"/>
        <w:spacing w:after="0" w:line="240" w:lineRule="auto"/>
        <w:ind w:left="567"/>
        <w:jc w:val="both"/>
        <w:rPr>
          <w:rFonts w:cs="Arial"/>
          <w:color w:val="auto"/>
          <w:sz w:val="20"/>
          <w:szCs w:val="20"/>
          <w:lang w:eastAsia="en-GB"/>
        </w:rPr>
      </w:pPr>
    </w:p>
    <w:p w:rsidR="00292A4B" w:rsidRPr="00891877" w:rsidRDefault="00292A4B" w:rsidP="00292A4B">
      <w:pPr>
        <w:autoSpaceDE w:val="0"/>
        <w:autoSpaceDN w:val="0"/>
        <w:adjustRightInd w:val="0"/>
        <w:spacing w:after="0"/>
        <w:ind w:left="567"/>
        <w:jc w:val="both"/>
        <w:rPr>
          <w:rFonts w:cs="Arial"/>
          <w:color w:val="auto"/>
          <w:sz w:val="20"/>
          <w:szCs w:val="20"/>
          <w:lang w:eastAsia="en-GB"/>
        </w:rPr>
      </w:pPr>
      <w:r w:rsidRPr="00891877">
        <w:rPr>
          <w:rFonts w:cs="Arial"/>
          <w:color w:val="auto"/>
          <w:sz w:val="20"/>
          <w:szCs w:val="20"/>
          <w:lang w:eastAsia="en-GB"/>
        </w:rPr>
        <w:t>Return on Plan Assets – this excluding amounts included in net interest on the net defined benefit liability. Any movement in year is an adjustment to the Pensions Reserve as Other Comprehensive Income and Expenditure.</w:t>
      </w:r>
    </w:p>
    <w:p w:rsidR="00292A4B" w:rsidRPr="00891877" w:rsidRDefault="00292A4B" w:rsidP="00292A4B">
      <w:pPr>
        <w:autoSpaceDE w:val="0"/>
        <w:autoSpaceDN w:val="0"/>
        <w:adjustRightInd w:val="0"/>
        <w:spacing w:after="0"/>
        <w:ind w:left="567"/>
        <w:jc w:val="both"/>
        <w:rPr>
          <w:rFonts w:cs="Arial"/>
          <w:color w:val="auto"/>
          <w:sz w:val="20"/>
          <w:szCs w:val="20"/>
          <w:lang w:eastAsia="en-GB"/>
        </w:rPr>
      </w:pPr>
    </w:p>
    <w:p w:rsidR="00292A4B" w:rsidRPr="00891877" w:rsidRDefault="00292A4B" w:rsidP="00292A4B">
      <w:pPr>
        <w:autoSpaceDE w:val="0"/>
        <w:autoSpaceDN w:val="0"/>
        <w:adjustRightInd w:val="0"/>
        <w:spacing w:after="0"/>
        <w:ind w:left="567"/>
        <w:jc w:val="both"/>
        <w:rPr>
          <w:rFonts w:cs="Arial"/>
          <w:color w:val="auto"/>
          <w:sz w:val="20"/>
          <w:szCs w:val="20"/>
          <w:lang w:eastAsia="en-GB"/>
        </w:rPr>
      </w:pPr>
      <w:r w:rsidRPr="00891877">
        <w:rPr>
          <w:rFonts w:cs="Arial"/>
          <w:color w:val="auto"/>
          <w:sz w:val="20"/>
          <w:szCs w:val="20"/>
          <w:lang w:eastAsia="en-GB"/>
        </w:rPr>
        <w:t>Actuarial gains and losses - changes in the net pensions liability that arise because events have not coincided with assumptions made at the last actuarial valuation or because the actuaries have updated their assumptions – any movement in year is an adjustment to the Pensions Reserve as Other Comprehensive Income and Expenditure.</w:t>
      </w:r>
    </w:p>
    <w:p w:rsidR="00292A4B" w:rsidRPr="00A767DD" w:rsidRDefault="00292A4B" w:rsidP="00292A4B">
      <w:pPr>
        <w:autoSpaceDE w:val="0"/>
        <w:autoSpaceDN w:val="0"/>
        <w:adjustRightInd w:val="0"/>
        <w:spacing w:after="0"/>
        <w:ind w:left="567"/>
        <w:jc w:val="both"/>
        <w:rPr>
          <w:rFonts w:cs="Arial"/>
          <w:color w:val="auto"/>
          <w:sz w:val="20"/>
          <w:szCs w:val="20"/>
          <w:highlight w:val="yellow"/>
          <w:lang w:eastAsia="en-GB"/>
        </w:rPr>
      </w:pPr>
    </w:p>
    <w:p w:rsidR="00292A4B" w:rsidRPr="00891877" w:rsidRDefault="00292A4B" w:rsidP="00292A4B">
      <w:pPr>
        <w:autoSpaceDE w:val="0"/>
        <w:autoSpaceDN w:val="0"/>
        <w:adjustRightInd w:val="0"/>
        <w:spacing w:after="0"/>
        <w:ind w:left="567"/>
        <w:jc w:val="both"/>
        <w:rPr>
          <w:rFonts w:cs="Arial"/>
          <w:b/>
          <w:color w:val="auto"/>
          <w:sz w:val="20"/>
          <w:szCs w:val="20"/>
          <w:lang w:eastAsia="en-GB"/>
        </w:rPr>
      </w:pPr>
      <w:r w:rsidRPr="00891877">
        <w:rPr>
          <w:rFonts w:cs="Arial"/>
          <w:b/>
          <w:color w:val="auto"/>
          <w:sz w:val="20"/>
          <w:szCs w:val="20"/>
          <w:lang w:eastAsia="en-GB"/>
        </w:rPr>
        <w:t>Payments to Fund:</w:t>
      </w:r>
    </w:p>
    <w:p w:rsidR="00292A4B" w:rsidRPr="00891877" w:rsidRDefault="00292A4B" w:rsidP="00292A4B">
      <w:pPr>
        <w:autoSpaceDE w:val="0"/>
        <w:autoSpaceDN w:val="0"/>
        <w:adjustRightInd w:val="0"/>
        <w:spacing w:after="0"/>
        <w:ind w:left="567"/>
        <w:jc w:val="both"/>
        <w:rPr>
          <w:rFonts w:cs="Arial"/>
          <w:color w:val="auto"/>
          <w:sz w:val="20"/>
          <w:szCs w:val="20"/>
          <w:lang w:eastAsia="en-GB"/>
        </w:rPr>
      </w:pPr>
    </w:p>
    <w:p w:rsidR="00292A4B" w:rsidRPr="00891877" w:rsidRDefault="00292A4B" w:rsidP="00292A4B">
      <w:pPr>
        <w:autoSpaceDE w:val="0"/>
        <w:autoSpaceDN w:val="0"/>
        <w:adjustRightInd w:val="0"/>
        <w:spacing w:after="0"/>
        <w:ind w:left="567"/>
        <w:jc w:val="both"/>
        <w:rPr>
          <w:rFonts w:cs="Arial"/>
          <w:color w:val="auto"/>
          <w:sz w:val="20"/>
          <w:szCs w:val="20"/>
          <w:lang w:eastAsia="en-GB"/>
        </w:rPr>
      </w:pPr>
      <w:r w:rsidRPr="00891877">
        <w:rPr>
          <w:rFonts w:cs="Arial"/>
          <w:color w:val="auto"/>
          <w:sz w:val="20"/>
          <w:szCs w:val="20"/>
          <w:lang w:eastAsia="en-GB"/>
        </w:rPr>
        <w:t>Contributions paid to the Devon County Council Local Government Pension Scheme - cash paid as employer's contributions to the pension fund in settlement of liabilities are not accounted for as an expense in the CIES.</w:t>
      </w:r>
    </w:p>
    <w:p w:rsidR="00292A4B" w:rsidRPr="00891877" w:rsidRDefault="00292A4B" w:rsidP="00292A4B">
      <w:pPr>
        <w:pStyle w:val="ListParagraph"/>
        <w:spacing w:after="0" w:line="240" w:lineRule="auto"/>
        <w:ind w:left="567"/>
        <w:jc w:val="both"/>
        <w:rPr>
          <w:rFonts w:cs="Arial"/>
          <w:color w:val="auto"/>
          <w:sz w:val="20"/>
          <w:szCs w:val="20"/>
          <w:lang w:eastAsia="en-GB"/>
        </w:rPr>
      </w:pPr>
    </w:p>
    <w:p w:rsidR="00292A4B" w:rsidRPr="00DB7A38" w:rsidRDefault="00292A4B" w:rsidP="00292A4B">
      <w:pPr>
        <w:spacing w:after="0" w:line="240" w:lineRule="auto"/>
        <w:ind w:left="567"/>
        <w:jc w:val="both"/>
        <w:rPr>
          <w:rFonts w:cs="Arial"/>
          <w:color w:val="auto"/>
          <w:sz w:val="20"/>
          <w:szCs w:val="20"/>
          <w:lang w:eastAsia="en-GB"/>
        </w:rPr>
      </w:pPr>
      <w:r w:rsidRPr="00DB7A38">
        <w:rPr>
          <w:rFonts w:cs="Arial"/>
          <w:color w:val="auto"/>
          <w:sz w:val="20"/>
          <w:szCs w:val="20"/>
          <w:lang w:eastAsia="en-GB"/>
        </w:rPr>
        <w:t>Termination benefits are charged on an accruals basis or as a provision to the appropriate service (or to the Non Distributed Costs line in the CIES where they relate to pensions enhancements) at the earlier of when the Council can no longer withdraw the offer of those benefits or when the Council recognises costs for a restructuring.</w:t>
      </w:r>
    </w:p>
    <w:p w:rsidR="00292A4B" w:rsidRPr="00DB7A38" w:rsidRDefault="00292A4B" w:rsidP="00292A4B">
      <w:pPr>
        <w:spacing w:after="0" w:line="240" w:lineRule="auto"/>
        <w:ind w:left="567"/>
        <w:jc w:val="both"/>
        <w:rPr>
          <w:rFonts w:cs="Arial"/>
          <w:color w:val="auto"/>
          <w:sz w:val="20"/>
          <w:szCs w:val="20"/>
          <w:lang w:eastAsia="en-GB"/>
        </w:rPr>
      </w:pPr>
    </w:p>
    <w:p w:rsidR="00F941E0" w:rsidRDefault="00F941E0" w:rsidP="00292A4B">
      <w:pPr>
        <w:pStyle w:val="BodyTextFirstIndent"/>
        <w:ind w:left="567" w:firstLine="0"/>
        <w:jc w:val="both"/>
        <w:rPr>
          <w:b/>
          <w:color w:val="auto"/>
          <w:sz w:val="20"/>
          <w:szCs w:val="20"/>
          <w:lang w:eastAsia="en-GB"/>
        </w:rPr>
      </w:pPr>
    </w:p>
    <w:p w:rsidR="00292A4B" w:rsidRPr="00DB7A38" w:rsidRDefault="00292A4B" w:rsidP="00292A4B">
      <w:pPr>
        <w:pStyle w:val="BodyTextFirstIndent"/>
        <w:ind w:left="567" w:firstLine="0"/>
        <w:jc w:val="both"/>
        <w:rPr>
          <w:b/>
          <w:color w:val="auto"/>
          <w:sz w:val="20"/>
          <w:szCs w:val="20"/>
          <w:lang w:eastAsia="en-GB"/>
        </w:rPr>
      </w:pPr>
      <w:r w:rsidRPr="00DB7A38">
        <w:rPr>
          <w:b/>
          <w:color w:val="auto"/>
          <w:sz w:val="20"/>
          <w:szCs w:val="20"/>
          <w:lang w:eastAsia="en-GB"/>
        </w:rPr>
        <w:t>Local Government Reorganisation</w:t>
      </w:r>
    </w:p>
    <w:p w:rsidR="00292A4B" w:rsidRPr="00DB7A38" w:rsidRDefault="00292A4B" w:rsidP="00292A4B">
      <w:pPr>
        <w:pStyle w:val="BodyTextFirstIndent"/>
        <w:ind w:left="567" w:firstLine="0"/>
        <w:jc w:val="both"/>
        <w:rPr>
          <w:rFonts w:cs="Arial"/>
          <w:color w:val="auto"/>
          <w:sz w:val="20"/>
          <w:szCs w:val="20"/>
          <w:lang w:eastAsia="en-GB"/>
        </w:rPr>
      </w:pPr>
      <w:r w:rsidRPr="00DB7A38">
        <w:rPr>
          <w:color w:val="auto"/>
          <w:sz w:val="20"/>
          <w:szCs w:val="20"/>
        </w:rPr>
        <w:t xml:space="preserve">Torbay Council in 1998 agreed to fund a tax base share of Devon County’s enhanced pension payments (unfunded benefits). A liability, based on IAS19 actuarial information provided to Devon County Council has been recognised with the corresponding balance held in the Pension Reserve. The movement in the IAS19 liability each year is recognised in Cost of </w:t>
      </w:r>
      <w:r w:rsidRPr="00DB7A38">
        <w:rPr>
          <w:color w:val="auto"/>
          <w:sz w:val="20"/>
          <w:szCs w:val="20"/>
        </w:rPr>
        <w:lastRenderedPageBreak/>
        <w:t>Services and reversed in the Movement in Reserves statement</w:t>
      </w:r>
      <w:r w:rsidRPr="00DB7A38">
        <w:rPr>
          <w:rFonts w:cs="Arial"/>
          <w:color w:val="auto"/>
          <w:sz w:val="20"/>
          <w:szCs w:val="20"/>
          <w:lang w:eastAsia="en-GB"/>
        </w:rPr>
        <w:t>. The payments in year to Devon County Council are recognised in the Cost of Services.</w:t>
      </w:r>
    </w:p>
    <w:p w:rsidR="00292A4B" w:rsidRPr="00D25011" w:rsidRDefault="00630BE4" w:rsidP="00E44EA0">
      <w:pPr>
        <w:pStyle w:val="Heading1"/>
        <w:spacing w:line="240" w:lineRule="atLeast"/>
        <w:jc w:val="both"/>
        <w:rPr>
          <w:rFonts w:cs="Arial"/>
          <w:b/>
          <w:color w:val="auto"/>
          <w:sz w:val="20"/>
          <w:szCs w:val="20"/>
        </w:rPr>
      </w:pPr>
      <w:r>
        <w:rPr>
          <w:rFonts w:cs="Arial"/>
          <w:b/>
          <w:color w:val="auto"/>
          <w:sz w:val="20"/>
          <w:szCs w:val="20"/>
        </w:rPr>
        <w:t>39.</w:t>
      </w:r>
      <w:r w:rsidR="00775F03">
        <w:rPr>
          <w:rFonts w:cs="Arial"/>
          <w:b/>
          <w:color w:val="auto"/>
          <w:sz w:val="20"/>
          <w:szCs w:val="20"/>
        </w:rPr>
        <w:t>7</w:t>
      </w:r>
      <w:r w:rsidR="00651C4B">
        <w:rPr>
          <w:rFonts w:cs="Arial"/>
          <w:b/>
          <w:color w:val="auto"/>
          <w:sz w:val="20"/>
          <w:szCs w:val="20"/>
        </w:rPr>
        <w:t xml:space="preserve">   </w:t>
      </w:r>
      <w:r w:rsidR="00292A4B" w:rsidRPr="00D25011">
        <w:rPr>
          <w:rFonts w:cs="Arial"/>
          <w:b/>
          <w:color w:val="auto"/>
          <w:sz w:val="20"/>
          <w:szCs w:val="20"/>
        </w:rPr>
        <w:t xml:space="preserve"> Financial Instruments </w:t>
      </w:r>
    </w:p>
    <w:p w:rsidR="00292A4B" w:rsidRPr="00D25011" w:rsidRDefault="00292A4B" w:rsidP="00292A4B">
      <w:pPr>
        <w:spacing w:after="0" w:line="240" w:lineRule="auto"/>
        <w:ind w:left="567"/>
        <w:jc w:val="both"/>
        <w:rPr>
          <w:rFonts w:eastAsia="Times New Roman" w:cs="Arial"/>
          <w:color w:val="auto"/>
          <w:sz w:val="20"/>
          <w:szCs w:val="20"/>
        </w:rPr>
      </w:pPr>
      <w:r w:rsidRPr="00D25011">
        <w:rPr>
          <w:rFonts w:eastAsia="Times New Roman" w:cs="Arial"/>
          <w:color w:val="auto"/>
          <w:sz w:val="20"/>
          <w:szCs w:val="20"/>
        </w:rPr>
        <w:t>Financial instruments are recognised on the Balance Sheet when the Council becomes a party to their contractual provisions and are initially measured at fair value.</w:t>
      </w:r>
    </w:p>
    <w:p w:rsidR="00292A4B" w:rsidRPr="00D25011" w:rsidRDefault="00292A4B" w:rsidP="00292A4B">
      <w:pPr>
        <w:spacing w:after="0" w:line="240" w:lineRule="auto"/>
        <w:jc w:val="both"/>
        <w:rPr>
          <w:rFonts w:eastAsia="Times New Roman" w:cs="Arial"/>
          <w:color w:val="auto"/>
          <w:sz w:val="20"/>
          <w:szCs w:val="20"/>
        </w:rPr>
      </w:pPr>
    </w:p>
    <w:p w:rsidR="00292A4B" w:rsidRPr="00D25011" w:rsidRDefault="00292A4B" w:rsidP="00292A4B">
      <w:pPr>
        <w:autoSpaceDE w:val="0"/>
        <w:autoSpaceDN w:val="0"/>
        <w:ind w:left="567"/>
        <w:jc w:val="both"/>
        <w:rPr>
          <w:rFonts w:cs="Arial"/>
          <w:color w:val="auto"/>
          <w:sz w:val="20"/>
          <w:szCs w:val="20"/>
          <w:lang w:val="en-US"/>
        </w:rPr>
      </w:pPr>
      <w:r w:rsidRPr="00D25011">
        <w:rPr>
          <w:rFonts w:eastAsia="Times New Roman" w:cs="Arial"/>
          <w:color w:val="auto"/>
          <w:sz w:val="20"/>
          <w:szCs w:val="20"/>
        </w:rPr>
        <w:t xml:space="preserve">Borrowings and investments are (generally) carried at their amortised cost. Annual debits and credits to the Financing and Investment Income and Expenditure line in the CIES for interest payable and receivable are based on the carrying amount of the instrument, multiplied by its effective rate of interest. </w:t>
      </w:r>
      <w:r w:rsidRPr="00D25011">
        <w:rPr>
          <w:rFonts w:cs="Arial"/>
          <w:color w:val="auto"/>
          <w:sz w:val="20"/>
          <w:szCs w:val="20"/>
          <w:lang w:eastAsia="en-GB"/>
        </w:rPr>
        <w:t xml:space="preserve">The effective interest rate is the rate that exactly discounts estimated future cash payments over the life of the instrument to the amount at which it was originally recognised. </w:t>
      </w:r>
      <w:r w:rsidRPr="00D25011">
        <w:rPr>
          <w:rFonts w:eastAsia="Times New Roman" w:cs="Arial"/>
          <w:color w:val="auto"/>
          <w:sz w:val="20"/>
          <w:szCs w:val="20"/>
        </w:rPr>
        <w:t>For [most of] the instruments that the Council holds, this means that the amount presented in the Balance Sheet is the outstanding principal repayable or receivable (plus accrued interest); and interest debited/credited to the CIES is the amount payable for the year according to the instrument agreement.</w:t>
      </w:r>
      <w:r w:rsidRPr="00D25011">
        <w:rPr>
          <w:rFonts w:cs="Arial"/>
          <w:color w:val="auto"/>
          <w:sz w:val="20"/>
          <w:szCs w:val="20"/>
          <w:lang w:eastAsia="en-GB"/>
        </w:rPr>
        <w:t xml:space="preserve"> </w:t>
      </w:r>
      <w:r w:rsidRPr="00D25011">
        <w:rPr>
          <w:rFonts w:cs="Arial"/>
          <w:color w:val="auto"/>
          <w:sz w:val="20"/>
          <w:szCs w:val="20"/>
          <w:lang w:val="en-US"/>
        </w:rPr>
        <w:t>The interest owed/due is shown on the balance sheet as short or long term depending on the timing of the expected cash flow of the interest payment.</w:t>
      </w:r>
    </w:p>
    <w:p w:rsidR="00292A4B" w:rsidRPr="00F21A0A" w:rsidRDefault="00292A4B" w:rsidP="00292A4B">
      <w:pPr>
        <w:spacing w:after="0" w:line="240" w:lineRule="auto"/>
        <w:ind w:left="567"/>
        <w:jc w:val="both"/>
        <w:rPr>
          <w:rFonts w:eastAsia="Times New Roman" w:cs="Arial"/>
          <w:color w:val="auto"/>
          <w:sz w:val="20"/>
          <w:szCs w:val="20"/>
        </w:rPr>
      </w:pPr>
      <w:r w:rsidRPr="00F21A0A">
        <w:rPr>
          <w:rFonts w:eastAsia="Times New Roman" w:cs="Arial"/>
          <w:color w:val="auto"/>
          <w:sz w:val="20"/>
          <w:szCs w:val="20"/>
        </w:rPr>
        <w:t xml:space="preserve">Changes in the fair value of financial assets, if material, that have a quoted market price and/or do not have fixed or determinable payments (available for sale assets) are recognised in the Balance Sheet and balanced by a debit or credit to the Available for Sale Reserve. </w:t>
      </w:r>
    </w:p>
    <w:p w:rsidR="00292A4B" w:rsidRPr="002341C1" w:rsidRDefault="00292A4B" w:rsidP="00292A4B">
      <w:pPr>
        <w:spacing w:before="100" w:beforeAutospacing="1" w:after="100" w:afterAutospacing="1"/>
        <w:ind w:left="567"/>
        <w:jc w:val="both"/>
        <w:rPr>
          <w:rFonts w:cs="Arial"/>
          <w:b/>
          <w:bCs/>
          <w:color w:val="auto"/>
          <w:sz w:val="20"/>
          <w:szCs w:val="20"/>
          <w:lang w:val="en-US"/>
        </w:rPr>
      </w:pPr>
      <w:r w:rsidRPr="002341C1">
        <w:rPr>
          <w:rFonts w:cs="Arial"/>
          <w:b/>
          <w:bCs/>
          <w:color w:val="auto"/>
          <w:sz w:val="20"/>
          <w:szCs w:val="20"/>
          <w:lang w:val="en-US"/>
        </w:rPr>
        <w:t>Assets carried at Fair Value through Profit and Loss</w:t>
      </w:r>
    </w:p>
    <w:p w:rsidR="00292A4B" w:rsidRPr="002341C1" w:rsidRDefault="00292A4B" w:rsidP="00292A4B">
      <w:pPr>
        <w:spacing w:before="100" w:beforeAutospacing="1" w:after="100" w:afterAutospacing="1"/>
        <w:ind w:left="567"/>
        <w:jc w:val="both"/>
        <w:rPr>
          <w:rFonts w:cs="Arial"/>
          <w:bCs/>
          <w:color w:val="auto"/>
          <w:sz w:val="20"/>
          <w:szCs w:val="20"/>
          <w:lang w:val="en-US"/>
        </w:rPr>
      </w:pPr>
      <w:r w:rsidRPr="002341C1">
        <w:rPr>
          <w:rFonts w:cs="Arial"/>
          <w:bCs/>
          <w:color w:val="auto"/>
          <w:sz w:val="20"/>
          <w:szCs w:val="20"/>
          <w:lang w:val="en-US"/>
        </w:rPr>
        <w:t>The Council’s holding with its funding manager has been designated as a Financial Asset at Fair Value through Profit and Loss. The definition is met as the Council’s holding is part of a portfolio of identified financial instruments that are managed together and for which there is evidence of a recent pattern of short-term profit making as the Fund Manger is a set a benchmark target to achieve for each year.</w:t>
      </w:r>
    </w:p>
    <w:p w:rsidR="00292A4B" w:rsidRPr="002341C1" w:rsidRDefault="00292A4B" w:rsidP="00292A4B">
      <w:pPr>
        <w:spacing w:before="100" w:beforeAutospacing="1" w:after="100" w:afterAutospacing="1"/>
        <w:ind w:left="567"/>
        <w:jc w:val="both"/>
        <w:rPr>
          <w:rFonts w:cs="Arial"/>
          <w:bCs/>
          <w:color w:val="auto"/>
          <w:sz w:val="20"/>
          <w:szCs w:val="20"/>
          <w:lang w:val="en-US"/>
        </w:rPr>
      </w:pPr>
      <w:r w:rsidRPr="002341C1">
        <w:rPr>
          <w:rFonts w:cs="Arial"/>
          <w:bCs/>
          <w:color w:val="auto"/>
          <w:sz w:val="20"/>
          <w:szCs w:val="20"/>
          <w:lang w:val="en-US"/>
        </w:rPr>
        <w:t xml:space="preserve">Any changes in the fair value of the asset are reflected in the carrying value of the asset and the changes in year </w:t>
      </w:r>
      <w:r w:rsidRPr="002341C1">
        <w:rPr>
          <w:rFonts w:cs="Arial"/>
          <w:color w:val="auto"/>
          <w:sz w:val="20"/>
          <w:szCs w:val="20"/>
          <w:lang w:eastAsia="en-GB"/>
        </w:rPr>
        <w:t>credited or debited to the Financing and Investment Income and Expenditure line in the CIES.</w:t>
      </w:r>
      <w:r w:rsidRPr="002341C1">
        <w:rPr>
          <w:rFonts w:cs="Arial"/>
          <w:bCs/>
          <w:color w:val="auto"/>
          <w:sz w:val="20"/>
          <w:szCs w:val="20"/>
          <w:lang w:val="en-US"/>
        </w:rPr>
        <w:t xml:space="preserve"> </w:t>
      </w:r>
    </w:p>
    <w:p w:rsidR="00292A4B" w:rsidRPr="00655B85" w:rsidRDefault="00630BE4" w:rsidP="00E44EA0">
      <w:pPr>
        <w:pStyle w:val="Heading1"/>
        <w:spacing w:line="240" w:lineRule="atLeast"/>
        <w:jc w:val="both"/>
        <w:rPr>
          <w:rFonts w:cs="Arial"/>
          <w:b/>
          <w:color w:val="auto"/>
          <w:sz w:val="20"/>
          <w:szCs w:val="20"/>
        </w:rPr>
      </w:pPr>
      <w:r>
        <w:rPr>
          <w:rFonts w:cs="Arial"/>
          <w:b/>
          <w:color w:val="auto"/>
          <w:sz w:val="20"/>
          <w:szCs w:val="20"/>
        </w:rPr>
        <w:t>39.</w:t>
      </w:r>
      <w:r w:rsidR="00775F03">
        <w:rPr>
          <w:rFonts w:cs="Arial"/>
          <w:b/>
          <w:color w:val="auto"/>
          <w:sz w:val="20"/>
          <w:szCs w:val="20"/>
        </w:rPr>
        <w:t>8</w:t>
      </w:r>
      <w:r w:rsidR="00651C4B">
        <w:rPr>
          <w:rFonts w:cs="Arial"/>
          <w:b/>
          <w:color w:val="auto"/>
          <w:sz w:val="20"/>
          <w:szCs w:val="20"/>
        </w:rPr>
        <w:t xml:space="preserve">  </w:t>
      </w:r>
      <w:r w:rsidR="00292A4B" w:rsidRPr="00655B85">
        <w:rPr>
          <w:rFonts w:cs="Arial"/>
          <w:b/>
          <w:color w:val="auto"/>
          <w:sz w:val="20"/>
          <w:szCs w:val="20"/>
        </w:rPr>
        <w:t xml:space="preserve"> Government Grants and Contributions</w:t>
      </w:r>
    </w:p>
    <w:p w:rsidR="00292A4B" w:rsidRPr="00655B85" w:rsidRDefault="00292A4B" w:rsidP="00292A4B">
      <w:pPr>
        <w:spacing w:after="0" w:line="240" w:lineRule="auto"/>
        <w:ind w:left="567"/>
        <w:jc w:val="both"/>
        <w:rPr>
          <w:rFonts w:cs="Arial"/>
          <w:color w:val="auto"/>
          <w:sz w:val="20"/>
          <w:szCs w:val="20"/>
          <w:lang w:eastAsia="en-GB"/>
        </w:rPr>
      </w:pPr>
      <w:r w:rsidRPr="00655B85">
        <w:rPr>
          <w:rFonts w:cs="Arial"/>
          <w:color w:val="auto"/>
          <w:sz w:val="20"/>
          <w:szCs w:val="20"/>
          <w:lang w:eastAsia="en-GB"/>
        </w:rPr>
        <w:t>Whether paid on account, by instalments or in arrears, government grants and third party contributions such as developers’ contributions under section 106 agreements, and donations (if any) are recognised as due to the Council when there is reasonable assurance that:</w:t>
      </w:r>
    </w:p>
    <w:p w:rsidR="00292A4B" w:rsidRPr="00655B85" w:rsidRDefault="00292A4B" w:rsidP="00292A4B">
      <w:pPr>
        <w:spacing w:after="0" w:line="240" w:lineRule="auto"/>
        <w:jc w:val="both"/>
        <w:rPr>
          <w:rFonts w:cs="Arial"/>
          <w:color w:val="auto"/>
          <w:sz w:val="20"/>
          <w:szCs w:val="20"/>
          <w:lang w:eastAsia="en-GB"/>
        </w:rPr>
      </w:pPr>
    </w:p>
    <w:p w:rsidR="00292A4B" w:rsidRPr="00655B85" w:rsidRDefault="00292A4B" w:rsidP="003E10DE">
      <w:pPr>
        <w:pStyle w:val="ListParagraph"/>
        <w:numPr>
          <w:ilvl w:val="1"/>
          <w:numId w:val="31"/>
        </w:numPr>
        <w:spacing w:after="0" w:line="240" w:lineRule="auto"/>
        <w:jc w:val="both"/>
        <w:rPr>
          <w:rFonts w:cs="Arial"/>
          <w:color w:val="auto"/>
          <w:sz w:val="20"/>
          <w:szCs w:val="20"/>
          <w:lang w:eastAsia="en-GB"/>
        </w:rPr>
      </w:pPr>
      <w:r w:rsidRPr="00655B85">
        <w:rPr>
          <w:rFonts w:cs="Arial"/>
          <w:color w:val="auto"/>
          <w:sz w:val="20"/>
          <w:szCs w:val="20"/>
          <w:lang w:eastAsia="en-GB"/>
        </w:rPr>
        <w:t>the Council will comply with any conditions attached to the payments, and</w:t>
      </w:r>
    </w:p>
    <w:p w:rsidR="00292A4B" w:rsidRPr="00655B85" w:rsidRDefault="00292A4B" w:rsidP="003E10DE">
      <w:pPr>
        <w:pStyle w:val="ListParagraph"/>
        <w:numPr>
          <w:ilvl w:val="1"/>
          <w:numId w:val="31"/>
        </w:numPr>
        <w:spacing w:after="0" w:line="240" w:lineRule="auto"/>
        <w:jc w:val="both"/>
        <w:rPr>
          <w:rFonts w:cs="Arial"/>
          <w:color w:val="auto"/>
          <w:sz w:val="20"/>
          <w:szCs w:val="20"/>
          <w:lang w:eastAsia="en-GB"/>
        </w:rPr>
      </w:pPr>
      <w:r w:rsidRPr="00655B85">
        <w:rPr>
          <w:rFonts w:cs="Arial"/>
          <w:color w:val="auto"/>
          <w:sz w:val="20"/>
          <w:szCs w:val="20"/>
          <w:lang w:eastAsia="en-GB"/>
        </w:rPr>
        <w:t>the grants or contributions will be received</w:t>
      </w:r>
    </w:p>
    <w:p w:rsidR="00292A4B" w:rsidRPr="00655B85" w:rsidRDefault="00292A4B" w:rsidP="00292A4B">
      <w:pPr>
        <w:spacing w:after="0" w:line="240" w:lineRule="auto"/>
        <w:jc w:val="both"/>
        <w:rPr>
          <w:rFonts w:cs="Arial"/>
          <w:color w:val="auto"/>
          <w:sz w:val="20"/>
          <w:szCs w:val="20"/>
          <w:lang w:eastAsia="en-GB"/>
        </w:rPr>
      </w:pPr>
    </w:p>
    <w:p w:rsidR="00292A4B" w:rsidRPr="00655B85" w:rsidRDefault="00292A4B" w:rsidP="00292A4B">
      <w:pPr>
        <w:spacing w:after="0" w:line="240" w:lineRule="auto"/>
        <w:ind w:left="567"/>
        <w:jc w:val="both"/>
        <w:rPr>
          <w:rFonts w:cs="Arial"/>
          <w:color w:val="auto"/>
          <w:sz w:val="20"/>
          <w:szCs w:val="20"/>
          <w:lang w:eastAsia="en-GB"/>
        </w:rPr>
      </w:pPr>
      <w:r w:rsidRPr="00655B85">
        <w:rPr>
          <w:rFonts w:cs="Arial"/>
          <w:color w:val="auto"/>
          <w:sz w:val="20"/>
          <w:szCs w:val="20"/>
          <w:lang w:eastAsia="en-GB"/>
        </w:rPr>
        <w:t xml:space="preserve">Amounts recognised as due to the Council are not credited to the CIES until the Council has satisfied any conditions attached to the grant or contribution that would require repayment if not met. </w:t>
      </w:r>
    </w:p>
    <w:p w:rsidR="00292A4B" w:rsidRPr="00655B85" w:rsidRDefault="00292A4B" w:rsidP="00292A4B">
      <w:pPr>
        <w:spacing w:after="0" w:line="240" w:lineRule="auto"/>
        <w:ind w:left="567"/>
        <w:jc w:val="both"/>
        <w:rPr>
          <w:rFonts w:cs="Arial"/>
          <w:color w:val="auto"/>
          <w:sz w:val="20"/>
          <w:szCs w:val="20"/>
          <w:lang w:eastAsia="en-GB"/>
        </w:rPr>
      </w:pPr>
    </w:p>
    <w:p w:rsidR="00292A4B" w:rsidRPr="00655B85" w:rsidRDefault="00292A4B" w:rsidP="00292A4B">
      <w:pPr>
        <w:spacing w:after="0" w:line="240" w:lineRule="auto"/>
        <w:ind w:left="567"/>
        <w:jc w:val="both"/>
        <w:rPr>
          <w:rFonts w:cs="Arial"/>
          <w:color w:val="auto"/>
          <w:sz w:val="20"/>
          <w:szCs w:val="20"/>
        </w:rPr>
      </w:pPr>
      <w:r w:rsidRPr="00655B85">
        <w:rPr>
          <w:rFonts w:cs="Arial"/>
          <w:color w:val="auto"/>
          <w:sz w:val="20"/>
          <w:szCs w:val="20"/>
          <w:lang w:eastAsia="en-GB"/>
        </w:rPr>
        <w:t>The grant or contribution is credited to the relevant service line (attributable revenue grants and contributions) or Taxation and Non-specific Grant Income and Expenditure (non-</w:t>
      </w:r>
      <w:r w:rsidR="007E33E1" w:rsidRPr="00655B85">
        <w:rPr>
          <w:rFonts w:cs="Arial"/>
          <w:color w:val="auto"/>
          <w:sz w:val="20"/>
          <w:szCs w:val="20"/>
          <w:lang w:eastAsia="en-GB"/>
        </w:rPr>
        <w:t>ring fenced</w:t>
      </w:r>
      <w:r w:rsidRPr="00655B85">
        <w:rPr>
          <w:rFonts w:cs="Arial"/>
          <w:color w:val="auto"/>
          <w:sz w:val="20"/>
          <w:szCs w:val="20"/>
          <w:lang w:eastAsia="en-GB"/>
        </w:rPr>
        <w:t xml:space="preserve"> revenue grants and all capital grants) in the CIES. </w:t>
      </w:r>
      <w:r w:rsidRPr="00655B85">
        <w:rPr>
          <w:rFonts w:cs="Arial"/>
          <w:color w:val="auto"/>
          <w:sz w:val="20"/>
          <w:szCs w:val="20"/>
        </w:rPr>
        <w:t>The recognition of grants and contributions is on an accruals basis. Developer contributions under S106 agreements are presumed to have conditions unless clear evidence to the contrary that would require repayment if not met and are recognised as a receipt in advance.</w:t>
      </w:r>
    </w:p>
    <w:p w:rsidR="00292A4B" w:rsidRPr="00A767DD" w:rsidRDefault="00292A4B" w:rsidP="00292A4B">
      <w:pPr>
        <w:spacing w:after="0" w:line="240" w:lineRule="auto"/>
        <w:ind w:left="567"/>
        <w:jc w:val="both"/>
        <w:rPr>
          <w:rFonts w:cs="Arial"/>
          <w:color w:val="auto"/>
          <w:sz w:val="20"/>
          <w:szCs w:val="20"/>
          <w:highlight w:val="yellow"/>
        </w:rPr>
      </w:pPr>
    </w:p>
    <w:p w:rsidR="00292A4B" w:rsidRPr="00DF58D9" w:rsidRDefault="00630BE4" w:rsidP="00E44EA0">
      <w:pPr>
        <w:pStyle w:val="Heading1"/>
        <w:spacing w:line="240" w:lineRule="atLeast"/>
        <w:jc w:val="both"/>
        <w:rPr>
          <w:rFonts w:cs="Arial"/>
          <w:b/>
          <w:color w:val="auto"/>
          <w:sz w:val="20"/>
          <w:szCs w:val="20"/>
        </w:rPr>
      </w:pPr>
      <w:r>
        <w:rPr>
          <w:rFonts w:cs="Arial"/>
          <w:b/>
          <w:color w:val="auto"/>
          <w:sz w:val="20"/>
          <w:szCs w:val="20"/>
        </w:rPr>
        <w:t>39.</w:t>
      </w:r>
      <w:r w:rsidR="00775F03">
        <w:rPr>
          <w:rFonts w:cs="Arial"/>
          <w:b/>
          <w:color w:val="auto"/>
          <w:sz w:val="20"/>
          <w:szCs w:val="20"/>
        </w:rPr>
        <w:t>9</w:t>
      </w:r>
      <w:r w:rsidR="00651C4B">
        <w:rPr>
          <w:rFonts w:cs="Arial"/>
          <w:b/>
          <w:color w:val="auto"/>
          <w:sz w:val="20"/>
          <w:szCs w:val="20"/>
        </w:rPr>
        <w:t xml:space="preserve">    </w:t>
      </w:r>
      <w:r w:rsidR="00292A4B" w:rsidRPr="00DF58D9">
        <w:rPr>
          <w:rFonts w:cs="Arial"/>
          <w:b/>
          <w:color w:val="auto"/>
          <w:sz w:val="20"/>
          <w:szCs w:val="20"/>
        </w:rPr>
        <w:t xml:space="preserve">Intangible Assets </w:t>
      </w:r>
    </w:p>
    <w:p w:rsidR="00292A4B" w:rsidRPr="00DF58D9" w:rsidRDefault="00292A4B" w:rsidP="00292A4B">
      <w:pPr>
        <w:pStyle w:val="BodyText"/>
        <w:ind w:left="567"/>
        <w:jc w:val="both"/>
        <w:rPr>
          <w:rFonts w:cs="Arial"/>
          <w:color w:val="auto"/>
          <w:sz w:val="20"/>
          <w:szCs w:val="20"/>
          <w:lang w:eastAsia="en-GB"/>
        </w:rPr>
      </w:pPr>
      <w:r w:rsidRPr="00DF58D9">
        <w:rPr>
          <w:rFonts w:cs="Arial"/>
          <w:color w:val="auto"/>
          <w:sz w:val="20"/>
          <w:szCs w:val="20"/>
          <w:lang w:eastAsia="en-GB"/>
        </w:rPr>
        <w:t xml:space="preserve">Subject to a de minimis of £50,000, expenditure on non-monetary assets that do not have physical substance but are controlled by the Council as a result of past events (e.g. software </w:t>
      </w:r>
      <w:r w:rsidRPr="00DF58D9">
        <w:rPr>
          <w:rFonts w:cs="Arial"/>
          <w:color w:val="auto"/>
          <w:sz w:val="20"/>
          <w:szCs w:val="20"/>
          <w:lang w:eastAsia="en-GB"/>
        </w:rPr>
        <w:lastRenderedPageBreak/>
        <w:t>licences) is capitalised when it is expected that future economic benefits or service potential will flow from the intangible asset to the Council.</w:t>
      </w:r>
      <w:r w:rsidRPr="00DF58D9">
        <w:rPr>
          <w:rFonts w:cs="Arial"/>
          <w:color w:val="auto"/>
          <w:sz w:val="20"/>
          <w:szCs w:val="20"/>
        </w:rPr>
        <w:t xml:space="preserve"> Subsequent expenditure is charged to Services in the year it is incurred. </w:t>
      </w:r>
    </w:p>
    <w:p w:rsidR="00292A4B" w:rsidRPr="00DF58D9" w:rsidRDefault="00292A4B" w:rsidP="00292A4B">
      <w:pPr>
        <w:spacing w:after="0" w:line="240" w:lineRule="auto"/>
        <w:ind w:left="567"/>
        <w:jc w:val="both"/>
        <w:rPr>
          <w:rFonts w:cs="Arial"/>
          <w:color w:val="auto"/>
          <w:sz w:val="20"/>
          <w:szCs w:val="20"/>
          <w:lang w:eastAsia="en-GB"/>
        </w:rPr>
      </w:pPr>
      <w:r w:rsidRPr="00DF58D9">
        <w:rPr>
          <w:rFonts w:cs="Arial"/>
          <w:color w:val="auto"/>
          <w:sz w:val="20"/>
          <w:szCs w:val="20"/>
          <w:lang w:eastAsia="en-GB"/>
        </w:rPr>
        <w:t>Intangible assets are measured initially at cost. Amounts are only revalued where the current value of the assets held by the Council can be determined by reference to an active market. In practice, no intangible asset held by the Council meets this criterion, and they are therefore carried at amortised cost</w:t>
      </w:r>
    </w:p>
    <w:p w:rsidR="00292A4B" w:rsidRPr="00DF58D9" w:rsidRDefault="00292A4B" w:rsidP="00292A4B">
      <w:pPr>
        <w:spacing w:after="0" w:line="240" w:lineRule="auto"/>
        <w:jc w:val="both"/>
        <w:rPr>
          <w:rFonts w:cs="Arial"/>
          <w:color w:val="auto"/>
          <w:sz w:val="20"/>
          <w:szCs w:val="20"/>
          <w:lang w:eastAsia="en-GB"/>
        </w:rPr>
      </w:pPr>
    </w:p>
    <w:p w:rsidR="00292A4B" w:rsidRPr="00DF58D9" w:rsidRDefault="00292A4B" w:rsidP="00292A4B">
      <w:pPr>
        <w:autoSpaceDE w:val="0"/>
        <w:autoSpaceDN w:val="0"/>
        <w:ind w:left="567"/>
        <w:jc w:val="both"/>
        <w:rPr>
          <w:rFonts w:cs="Arial"/>
          <w:color w:val="auto"/>
          <w:sz w:val="20"/>
          <w:szCs w:val="20"/>
          <w:lang w:eastAsia="en-GB"/>
        </w:rPr>
      </w:pPr>
      <w:r w:rsidRPr="00DF58D9">
        <w:rPr>
          <w:rFonts w:cs="Arial"/>
          <w:color w:val="auto"/>
          <w:sz w:val="20"/>
          <w:szCs w:val="20"/>
          <w:lang w:eastAsia="en-GB"/>
        </w:rPr>
        <w:t xml:space="preserve">The depreciable amount of an intangible asset is amortised over its useful life, </w:t>
      </w:r>
      <w:r w:rsidRPr="00DF58D9">
        <w:rPr>
          <w:rFonts w:cs="Arial"/>
          <w:color w:val="auto"/>
          <w:sz w:val="20"/>
          <w:szCs w:val="20"/>
        </w:rPr>
        <w:t xml:space="preserve">between 3 -10 years depending on the asset, </w:t>
      </w:r>
      <w:r w:rsidRPr="00DF58D9">
        <w:rPr>
          <w:rFonts w:cs="Arial"/>
          <w:color w:val="auto"/>
          <w:sz w:val="20"/>
          <w:szCs w:val="20"/>
          <w:lang w:eastAsia="en-GB"/>
        </w:rPr>
        <w:t>to the relevant service line(s) in the CIES. An asset is tested for impairment whenever there is an indication that it might be impaired – any losses recognised are posted to the relevant service line(s) in the CIES. Any gain or loss arising on the disposal or abandonment of an intangible asset is posted to the Other Operating Expenditure line in the CIES.</w:t>
      </w:r>
    </w:p>
    <w:p w:rsidR="00292A4B" w:rsidRPr="00521AEB" w:rsidRDefault="00630BE4" w:rsidP="00E44EA0">
      <w:pPr>
        <w:pStyle w:val="Heading1"/>
        <w:spacing w:line="240" w:lineRule="atLeast"/>
        <w:jc w:val="both"/>
        <w:rPr>
          <w:rFonts w:cs="Arial"/>
          <w:b/>
          <w:color w:val="auto"/>
          <w:sz w:val="20"/>
          <w:szCs w:val="20"/>
        </w:rPr>
      </w:pPr>
      <w:r>
        <w:rPr>
          <w:rFonts w:cs="Arial"/>
          <w:b/>
          <w:color w:val="auto"/>
          <w:sz w:val="20"/>
          <w:szCs w:val="20"/>
        </w:rPr>
        <w:t>39.</w:t>
      </w:r>
      <w:r w:rsidR="00775F03">
        <w:rPr>
          <w:rFonts w:cs="Arial"/>
          <w:b/>
          <w:color w:val="auto"/>
          <w:sz w:val="20"/>
          <w:szCs w:val="20"/>
        </w:rPr>
        <w:t>10</w:t>
      </w:r>
      <w:r w:rsidR="00292A4B" w:rsidRPr="00521AEB">
        <w:rPr>
          <w:rFonts w:cs="Arial"/>
          <w:b/>
          <w:color w:val="auto"/>
          <w:sz w:val="20"/>
          <w:szCs w:val="20"/>
        </w:rPr>
        <w:t xml:space="preserve"> </w:t>
      </w:r>
      <w:r w:rsidR="00532774">
        <w:rPr>
          <w:rFonts w:cs="Arial"/>
          <w:b/>
          <w:color w:val="auto"/>
          <w:sz w:val="20"/>
          <w:szCs w:val="20"/>
        </w:rPr>
        <w:t xml:space="preserve"> </w:t>
      </w:r>
      <w:r w:rsidR="00292A4B" w:rsidRPr="00521AEB">
        <w:rPr>
          <w:rFonts w:cs="Arial"/>
          <w:b/>
          <w:color w:val="auto"/>
          <w:sz w:val="20"/>
          <w:szCs w:val="20"/>
        </w:rPr>
        <w:t>Heritage Assets</w:t>
      </w:r>
    </w:p>
    <w:p w:rsidR="00292A4B" w:rsidRDefault="00292A4B" w:rsidP="00292A4B">
      <w:pPr>
        <w:autoSpaceDE w:val="0"/>
        <w:autoSpaceDN w:val="0"/>
        <w:adjustRightInd w:val="0"/>
        <w:spacing w:before="100" w:after="100" w:line="240" w:lineRule="auto"/>
        <w:ind w:left="567"/>
        <w:jc w:val="both"/>
        <w:rPr>
          <w:rFonts w:cs="Arial"/>
          <w:color w:val="auto"/>
          <w:sz w:val="20"/>
          <w:szCs w:val="20"/>
          <w:lang w:eastAsia="en-GB"/>
        </w:rPr>
      </w:pPr>
      <w:r w:rsidRPr="00521AEB">
        <w:rPr>
          <w:rFonts w:cs="Arial"/>
          <w:color w:val="auto"/>
          <w:sz w:val="20"/>
          <w:szCs w:val="20"/>
          <w:lang w:eastAsia="en-GB"/>
        </w:rPr>
        <w:t>Subject to a de minimis of £50,000, expenditure on, or the value of donated heritage asserts, are capitalised where the Council has information on the cost or value of the heritage asset. Within one location a number of articles have been grouped into a single collection which is accounted for as an individual Heritage asset.</w:t>
      </w:r>
    </w:p>
    <w:p w:rsidR="00111739" w:rsidRPr="00521AEB" w:rsidRDefault="00111739" w:rsidP="00292A4B">
      <w:pPr>
        <w:autoSpaceDE w:val="0"/>
        <w:autoSpaceDN w:val="0"/>
        <w:adjustRightInd w:val="0"/>
        <w:spacing w:before="100" w:after="100" w:line="240" w:lineRule="auto"/>
        <w:ind w:left="567"/>
        <w:jc w:val="both"/>
        <w:rPr>
          <w:rFonts w:cs="Arial"/>
          <w:color w:val="auto"/>
          <w:sz w:val="20"/>
          <w:szCs w:val="20"/>
          <w:lang w:eastAsia="en-GB"/>
        </w:rPr>
      </w:pPr>
    </w:p>
    <w:p w:rsidR="00292A4B" w:rsidRPr="00CE346D" w:rsidRDefault="00630BE4" w:rsidP="00E44EA0">
      <w:pPr>
        <w:pStyle w:val="Heading1"/>
        <w:spacing w:line="240" w:lineRule="atLeast"/>
        <w:jc w:val="both"/>
        <w:rPr>
          <w:rFonts w:cs="Arial"/>
          <w:b/>
          <w:color w:val="auto"/>
          <w:sz w:val="20"/>
          <w:szCs w:val="20"/>
        </w:rPr>
      </w:pPr>
      <w:r>
        <w:rPr>
          <w:rFonts w:cs="Arial"/>
          <w:b/>
          <w:color w:val="auto"/>
          <w:sz w:val="20"/>
          <w:szCs w:val="20"/>
        </w:rPr>
        <w:t>39.</w:t>
      </w:r>
      <w:r w:rsidR="00775F03">
        <w:rPr>
          <w:rFonts w:cs="Arial"/>
          <w:b/>
          <w:color w:val="auto"/>
          <w:sz w:val="20"/>
          <w:szCs w:val="20"/>
        </w:rPr>
        <w:t>11</w:t>
      </w:r>
      <w:r w:rsidR="00532774">
        <w:rPr>
          <w:rFonts w:cs="Arial"/>
          <w:b/>
          <w:color w:val="auto"/>
          <w:sz w:val="20"/>
          <w:szCs w:val="20"/>
        </w:rPr>
        <w:t xml:space="preserve">  </w:t>
      </w:r>
      <w:r w:rsidR="00292A4B" w:rsidRPr="00CE346D">
        <w:rPr>
          <w:rFonts w:cs="Arial"/>
          <w:b/>
          <w:color w:val="auto"/>
          <w:sz w:val="20"/>
          <w:szCs w:val="20"/>
        </w:rPr>
        <w:t>Interests in Companies and other Entities</w:t>
      </w:r>
    </w:p>
    <w:p w:rsidR="00292A4B" w:rsidRPr="00CE346D" w:rsidRDefault="00292A4B" w:rsidP="00292A4B">
      <w:pPr>
        <w:autoSpaceDE w:val="0"/>
        <w:autoSpaceDN w:val="0"/>
        <w:ind w:left="567"/>
        <w:jc w:val="both"/>
        <w:rPr>
          <w:rFonts w:cs="Arial"/>
          <w:color w:val="auto"/>
          <w:sz w:val="20"/>
          <w:szCs w:val="20"/>
          <w:lang w:eastAsia="en-GB"/>
        </w:rPr>
      </w:pPr>
      <w:r w:rsidRPr="00CE346D">
        <w:rPr>
          <w:rFonts w:cs="Arial"/>
          <w:color w:val="auto"/>
          <w:sz w:val="20"/>
          <w:szCs w:val="20"/>
          <w:lang w:eastAsia="en-GB"/>
        </w:rPr>
        <w:t>The Council has material interests in companies and other entities that have the nature of subsidiaries and associates. In the Council's own single-entity accounts, the interests in companies and other entities are recorded as financial assets at cost or fair value.  For 2015/16 the value of the Council’s interests in these companies, after consolidation of inter group balances, is not considered to be sufficiently material to require the production of group accounts for the Council.</w:t>
      </w:r>
    </w:p>
    <w:p w:rsidR="00292A4B" w:rsidRPr="00CE346D" w:rsidRDefault="00292A4B" w:rsidP="00292A4B">
      <w:pPr>
        <w:autoSpaceDE w:val="0"/>
        <w:autoSpaceDN w:val="0"/>
        <w:ind w:left="567"/>
        <w:jc w:val="both"/>
        <w:rPr>
          <w:rFonts w:cs="Arial"/>
          <w:color w:val="auto"/>
          <w:sz w:val="20"/>
          <w:szCs w:val="20"/>
          <w:lang w:eastAsia="en-GB"/>
        </w:rPr>
      </w:pPr>
      <w:r w:rsidRPr="00CE346D">
        <w:rPr>
          <w:rFonts w:cs="Arial"/>
          <w:color w:val="auto"/>
          <w:sz w:val="20"/>
          <w:szCs w:val="20"/>
          <w:lang w:eastAsia="en-GB"/>
        </w:rPr>
        <w:t>The Council accounts for it investments in its subsidiary companies at fair value. This is taken to be the net equity of the company at each financial year end. The fair value is recognised as a long term investment with the balance held in the Financial Instruments available for sale reserve.</w:t>
      </w:r>
    </w:p>
    <w:p w:rsidR="00292A4B" w:rsidRPr="00CE346D" w:rsidRDefault="00292A4B" w:rsidP="00292A4B">
      <w:pPr>
        <w:autoSpaceDE w:val="0"/>
        <w:autoSpaceDN w:val="0"/>
        <w:ind w:left="567"/>
        <w:jc w:val="both"/>
        <w:rPr>
          <w:rFonts w:cs="Arial"/>
          <w:color w:val="auto"/>
          <w:sz w:val="20"/>
          <w:szCs w:val="20"/>
          <w:lang w:eastAsia="en-GB"/>
        </w:rPr>
      </w:pPr>
      <w:r w:rsidRPr="00CE346D">
        <w:rPr>
          <w:rFonts w:cs="Arial"/>
          <w:color w:val="auto"/>
          <w:sz w:val="20"/>
          <w:szCs w:val="20"/>
          <w:lang w:eastAsia="en-GB"/>
        </w:rPr>
        <w:t xml:space="preserve">Any movement in fair value will be treated as a revaluation gain or loss unless the value falls below the initial recognition value (nominal value of the shares) when an impairment will be recognised. If the net equity of a subsidiary is negative the fair value is then recognised as nil. </w:t>
      </w:r>
    </w:p>
    <w:p w:rsidR="00292A4B" w:rsidRPr="00CE346D" w:rsidRDefault="00292A4B" w:rsidP="00292A4B">
      <w:pPr>
        <w:autoSpaceDE w:val="0"/>
        <w:autoSpaceDN w:val="0"/>
        <w:ind w:left="567"/>
        <w:jc w:val="both"/>
        <w:rPr>
          <w:rFonts w:cs="Arial"/>
          <w:color w:val="auto"/>
          <w:sz w:val="20"/>
          <w:szCs w:val="20"/>
          <w:u w:val="single"/>
          <w:lang w:eastAsia="en-GB"/>
        </w:rPr>
      </w:pPr>
      <w:r w:rsidRPr="00CE346D">
        <w:rPr>
          <w:rFonts w:cs="Arial"/>
          <w:color w:val="auto"/>
          <w:sz w:val="20"/>
          <w:szCs w:val="20"/>
          <w:lang w:eastAsia="en-GB"/>
        </w:rPr>
        <w:t xml:space="preserve">The Council recognises the value of its other interests in companies, such as associates, at cost. </w:t>
      </w:r>
    </w:p>
    <w:p w:rsidR="00292A4B" w:rsidRPr="00F22050" w:rsidRDefault="00292A4B" w:rsidP="00292A4B">
      <w:pPr>
        <w:pStyle w:val="BodyTextIndent"/>
        <w:ind w:left="567"/>
        <w:jc w:val="both"/>
        <w:rPr>
          <w:rFonts w:cs="Arial"/>
          <w:b/>
          <w:color w:val="auto"/>
          <w:sz w:val="20"/>
          <w:szCs w:val="20"/>
        </w:rPr>
      </w:pPr>
      <w:r w:rsidRPr="00F22050">
        <w:rPr>
          <w:rFonts w:cs="Arial"/>
          <w:b/>
          <w:color w:val="auto"/>
          <w:sz w:val="20"/>
          <w:szCs w:val="20"/>
        </w:rPr>
        <w:t>Torbay and South Devon Healthcare Trust</w:t>
      </w:r>
    </w:p>
    <w:p w:rsidR="00292A4B" w:rsidRPr="000B2560" w:rsidRDefault="00292A4B" w:rsidP="00292A4B">
      <w:pPr>
        <w:pStyle w:val="BodyTextIndent"/>
        <w:ind w:left="567"/>
        <w:jc w:val="both"/>
        <w:rPr>
          <w:rFonts w:cs="Arial"/>
          <w:color w:val="auto"/>
          <w:sz w:val="20"/>
          <w:szCs w:val="20"/>
        </w:rPr>
      </w:pPr>
      <w:r w:rsidRPr="00F22050">
        <w:rPr>
          <w:rFonts w:cs="Arial"/>
          <w:color w:val="auto"/>
          <w:sz w:val="20"/>
          <w:szCs w:val="20"/>
        </w:rPr>
        <w:t>The Council entered a “partnership agreement” with Torbay Care Trust (formerly Torbay Primary Care Trust) on the 1</w:t>
      </w:r>
      <w:r w:rsidRPr="00F22050">
        <w:rPr>
          <w:rFonts w:cs="Arial"/>
          <w:color w:val="auto"/>
          <w:sz w:val="20"/>
          <w:szCs w:val="20"/>
          <w:vertAlign w:val="superscript"/>
        </w:rPr>
        <w:t>st</w:t>
      </w:r>
      <w:r w:rsidRPr="00F22050">
        <w:rPr>
          <w:rFonts w:cs="Arial"/>
          <w:color w:val="auto"/>
          <w:sz w:val="20"/>
          <w:szCs w:val="20"/>
        </w:rPr>
        <w:t xml:space="preserve"> December 2005.  From April 2013 the Care Trust was split into a Clinical Commissioning Group (CCG) and the Torbay and South Devon Health and Care NHS Trust with the Council’s agreement continuing with the latter. Subsequently from October 2015 The Torbay and South Devon Foundation Trust “acquired” the NHS Trust with the Council’s agreement now with the Foundation Trust. As part of this new arrangement the Council has entered into a risk share agreement with the Foundation Trust and Torbay and South Devon Clinical Commissioning Group where the Council’s risk is 9% of the total financial position of the Foundation Trust. The Trust are accounting for the partnership on the basis that the Council is funding the Trust to undertake delegated activities. The Trust will account for income and expenditure on the Adult Social Care functions in the appropriate service category and will account for the funding received for the Council as “providing” income. The Council will show </w:t>
      </w:r>
      <w:r w:rsidRPr="00F22050">
        <w:rPr>
          <w:rFonts w:cs="Arial"/>
          <w:color w:val="auto"/>
          <w:sz w:val="20"/>
          <w:szCs w:val="20"/>
        </w:rPr>
        <w:lastRenderedPageBreak/>
        <w:t>the funding paid to the Trust for providing the delegated functions within its Income and Expenditure Account.</w:t>
      </w:r>
    </w:p>
    <w:p w:rsidR="004D399F" w:rsidRPr="001A2E4B" w:rsidRDefault="004D399F" w:rsidP="004D399F">
      <w:pPr>
        <w:autoSpaceDE w:val="0"/>
        <w:autoSpaceDN w:val="0"/>
        <w:ind w:left="567"/>
        <w:jc w:val="both"/>
        <w:rPr>
          <w:rFonts w:cs="Arial"/>
          <w:b/>
          <w:bCs/>
          <w:color w:val="auto"/>
          <w:sz w:val="20"/>
          <w:szCs w:val="20"/>
          <w:lang w:eastAsia="en-GB"/>
        </w:rPr>
      </w:pPr>
      <w:r w:rsidRPr="001A2E4B">
        <w:rPr>
          <w:rFonts w:cs="Arial"/>
          <w:b/>
          <w:bCs/>
          <w:color w:val="auto"/>
          <w:sz w:val="20"/>
          <w:szCs w:val="20"/>
          <w:lang w:eastAsia="en-GB"/>
        </w:rPr>
        <w:t>Better Care Fund</w:t>
      </w:r>
    </w:p>
    <w:p w:rsidR="004D399F" w:rsidRDefault="004D399F" w:rsidP="004D399F">
      <w:pPr>
        <w:autoSpaceDE w:val="0"/>
        <w:autoSpaceDN w:val="0"/>
        <w:ind w:left="567"/>
        <w:jc w:val="both"/>
        <w:rPr>
          <w:rFonts w:cs="Arial"/>
          <w:bCs/>
          <w:color w:val="auto"/>
          <w:sz w:val="20"/>
          <w:szCs w:val="20"/>
          <w:lang w:eastAsia="en-GB"/>
        </w:rPr>
      </w:pPr>
      <w:r w:rsidRPr="001A2E4B">
        <w:rPr>
          <w:rFonts w:cs="Arial"/>
          <w:bCs/>
          <w:color w:val="auto"/>
          <w:sz w:val="20"/>
          <w:szCs w:val="20"/>
          <w:lang w:eastAsia="en-GB"/>
        </w:rPr>
        <w:t>From April 2015 Torbay Council with the Torbay and South Devon Clinical Commissioning</w:t>
      </w:r>
      <w:r>
        <w:rPr>
          <w:rFonts w:cs="Arial"/>
          <w:bCs/>
          <w:color w:val="auto"/>
          <w:sz w:val="20"/>
          <w:szCs w:val="20"/>
          <w:lang w:eastAsia="en-GB"/>
        </w:rPr>
        <w:t xml:space="preserve"> Group (CCG) jointly received funding as part of the Better Care Fund initiative. The majority of the Better Care Fund is a managed by a s75 pooled budget with the CCG as host. The control of the expenditure in the pooled budget is jointly controlled between the two bodies with any under/overspends shared equally between the two partners. Expenditure and income associated with the pooled budget are accounted for in line with contributions from the two partners in year which are assumed to be the relevant “share”. </w:t>
      </w:r>
    </w:p>
    <w:p w:rsidR="004D399F" w:rsidRDefault="004D399F" w:rsidP="004D399F">
      <w:pPr>
        <w:pStyle w:val="BodyTextIndent"/>
        <w:ind w:left="567"/>
        <w:jc w:val="both"/>
        <w:rPr>
          <w:rFonts w:cs="Arial"/>
          <w:color w:val="auto"/>
          <w:sz w:val="20"/>
          <w:szCs w:val="20"/>
        </w:rPr>
      </w:pPr>
      <w:r w:rsidRPr="001A2E4B">
        <w:rPr>
          <w:rFonts w:cs="Arial"/>
          <w:color w:val="auto"/>
          <w:sz w:val="20"/>
          <w:szCs w:val="20"/>
        </w:rPr>
        <w:t xml:space="preserve">The Council receives </w:t>
      </w:r>
      <w:r>
        <w:rPr>
          <w:rFonts w:cs="Arial"/>
          <w:color w:val="auto"/>
          <w:sz w:val="20"/>
          <w:szCs w:val="20"/>
        </w:rPr>
        <w:t xml:space="preserve">the former </w:t>
      </w:r>
      <w:r w:rsidRPr="001A2E4B">
        <w:rPr>
          <w:rFonts w:cs="Arial"/>
          <w:color w:val="auto"/>
          <w:sz w:val="20"/>
          <w:szCs w:val="20"/>
        </w:rPr>
        <w:t xml:space="preserve">S256 funds from the </w:t>
      </w:r>
      <w:r>
        <w:rPr>
          <w:rFonts w:cs="Arial"/>
          <w:color w:val="auto"/>
          <w:sz w:val="20"/>
          <w:szCs w:val="20"/>
        </w:rPr>
        <w:t xml:space="preserve">Better Care Fund </w:t>
      </w:r>
      <w:r w:rsidRPr="001A2E4B">
        <w:rPr>
          <w:rFonts w:cs="Arial"/>
          <w:color w:val="auto"/>
          <w:sz w:val="20"/>
          <w:szCs w:val="20"/>
        </w:rPr>
        <w:t xml:space="preserve">to be used to support social care. This has been treated as income </w:t>
      </w:r>
      <w:r>
        <w:rPr>
          <w:rFonts w:cs="Arial"/>
          <w:color w:val="auto"/>
          <w:sz w:val="20"/>
          <w:szCs w:val="20"/>
        </w:rPr>
        <w:t xml:space="preserve">and expenditure </w:t>
      </w:r>
      <w:r w:rsidRPr="001A2E4B">
        <w:rPr>
          <w:rFonts w:cs="Arial"/>
          <w:color w:val="auto"/>
          <w:sz w:val="20"/>
          <w:szCs w:val="20"/>
        </w:rPr>
        <w:t>in the Cost of Services.</w:t>
      </w:r>
    </w:p>
    <w:p w:rsidR="00F941E0" w:rsidRDefault="00F941E0" w:rsidP="00630BE4">
      <w:pPr>
        <w:pStyle w:val="Heading1"/>
        <w:spacing w:line="240" w:lineRule="atLeast"/>
        <w:ind w:left="942" w:hanging="942"/>
        <w:jc w:val="both"/>
        <w:rPr>
          <w:rFonts w:eastAsia="Arial" w:cs="Arial"/>
          <w:b/>
          <w:bCs w:val="0"/>
          <w:color w:val="auto"/>
          <w:sz w:val="20"/>
          <w:szCs w:val="20"/>
          <w:lang w:eastAsia="en-GB"/>
        </w:rPr>
      </w:pPr>
    </w:p>
    <w:p w:rsidR="0023284F" w:rsidRPr="002D3E2A" w:rsidRDefault="00630BE4" w:rsidP="00630BE4">
      <w:pPr>
        <w:pStyle w:val="Heading1"/>
        <w:spacing w:line="240" w:lineRule="atLeast"/>
        <w:ind w:left="942" w:hanging="942"/>
        <w:jc w:val="both"/>
        <w:rPr>
          <w:rFonts w:cs="Arial"/>
          <w:b/>
          <w:color w:val="auto"/>
          <w:sz w:val="20"/>
          <w:szCs w:val="20"/>
        </w:rPr>
      </w:pPr>
      <w:r w:rsidRPr="00111739">
        <w:rPr>
          <w:rFonts w:eastAsia="Arial" w:cs="Arial"/>
          <w:b/>
          <w:bCs w:val="0"/>
          <w:color w:val="auto"/>
          <w:sz w:val="20"/>
          <w:szCs w:val="20"/>
          <w:lang w:eastAsia="en-GB"/>
        </w:rPr>
        <w:t>39.1</w:t>
      </w:r>
      <w:r w:rsidR="00775F03">
        <w:rPr>
          <w:rFonts w:eastAsia="Arial" w:cs="Arial"/>
          <w:b/>
          <w:bCs w:val="0"/>
          <w:color w:val="auto"/>
          <w:sz w:val="20"/>
          <w:szCs w:val="20"/>
          <w:lang w:eastAsia="en-GB"/>
        </w:rPr>
        <w:t>2</w:t>
      </w:r>
      <w:r w:rsidR="00D43962">
        <w:rPr>
          <w:rFonts w:eastAsia="Arial" w:cs="Arial"/>
          <w:b/>
          <w:bCs w:val="0"/>
          <w:color w:val="auto"/>
          <w:sz w:val="20"/>
          <w:szCs w:val="20"/>
          <w:lang w:eastAsia="en-GB"/>
        </w:rPr>
        <w:t xml:space="preserve"> </w:t>
      </w:r>
      <w:r w:rsidR="0023284F" w:rsidRPr="002D3E2A">
        <w:rPr>
          <w:rFonts w:cs="Arial"/>
          <w:b/>
          <w:color w:val="auto"/>
          <w:sz w:val="20"/>
          <w:szCs w:val="20"/>
        </w:rPr>
        <w:t xml:space="preserve">Investment Property </w:t>
      </w:r>
    </w:p>
    <w:p w:rsidR="0023284F" w:rsidRPr="002D3E2A" w:rsidRDefault="0023284F" w:rsidP="0023284F">
      <w:pPr>
        <w:pStyle w:val="ListParagraph"/>
        <w:spacing w:after="0" w:line="240" w:lineRule="auto"/>
        <w:ind w:left="567"/>
        <w:jc w:val="both"/>
        <w:rPr>
          <w:rFonts w:cs="Arial"/>
          <w:color w:val="auto"/>
          <w:sz w:val="20"/>
          <w:szCs w:val="20"/>
          <w:lang w:eastAsia="en-GB"/>
        </w:rPr>
      </w:pPr>
      <w:r w:rsidRPr="002D3E2A">
        <w:rPr>
          <w:rFonts w:cs="Arial"/>
          <w:color w:val="auto"/>
          <w:sz w:val="20"/>
          <w:szCs w:val="20"/>
          <w:lang w:eastAsia="en-GB"/>
        </w:rPr>
        <w:t>Investment properties are those that are used solely to earn rentals and/or for capital appreciation. Investment properties are measured initially at cost and subsequently on an annual at fair value.</w:t>
      </w:r>
      <w:r w:rsidRPr="002D3E2A">
        <w:rPr>
          <w:rFonts w:eastAsia="Times New Roman" w:cs="Arial"/>
          <w:color w:val="auto"/>
          <w:sz w:val="20"/>
          <w:szCs w:val="20"/>
          <w:lang w:eastAsia="en-GB"/>
        </w:rPr>
        <w:t xml:space="preserve"> Fair value is the price that would be received to sell an asset or paid to transfer a liability in an orderly transaction between market participants at the measurement date.</w:t>
      </w:r>
      <w:r w:rsidRPr="002D3E2A">
        <w:rPr>
          <w:rFonts w:cs="Arial"/>
          <w:color w:val="auto"/>
          <w:sz w:val="20"/>
          <w:szCs w:val="20"/>
          <w:lang w:eastAsia="en-GB"/>
        </w:rPr>
        <w:t xml:space="preserve"> W</w:t>
      </w:r>
      <w:r w:rsidRPr="002D3E2A">
        <w:rPr>
          <w:rFonts w:eastAsia="Times New Roman" w:cs="Arial"/>
          <w:color w:val="auto"/>
          <w:sz w:val="20"/>
          <w:szCs w:val="20"/>
          <w:lang w:eastAsia="en-GB"/>
        </w:rPr>
        <w:t>here current use is not the highest and best use, fair value will reflect the costs of moving from the current use to prepare for the alternative use (</w:t>
      </w:r>
      <w:r w:rsidR="007E33E1" w:rsidRPr="002D3E2A">
        <w:rPr>
          <w:rFonts w:eastAsia="Times New Roman" w:cs="Arial"/>
          <w:color w:val="auto"/>
          <w:sz w:val="20"/>
          <w:szCs w:val="20"/>
          <w:lang w:eastAsia="en-GB"/>
        </w:rPr>
        <w:t>e.g.</w:t>
      </w:r>
      <w:r w:rsidRPr="002D3E2A">
        <w:rPr>
          <w:rFonts w:eastAsia="Times New Roman" w:cs="Arial"/>
          <w:color w:val="auto"/>
          <w:sz w:val="20"/>
          <w:szCs w:val="20"/>
          <w:lang w:eastAsia="en-GB"/>
        </w:rPr>
        <w:t>, demolishing industrial units to enable housing development)</w:t>
      </w:r>
      <w:r>
        <w:rPr>
          <w:rFonts w:eastAsia="Times New Roman" w:cs="Arial"/>
          <w:color w:val="auto"/>
          <w:sz w:val="20"/>
          <w:szCs w:val="20"/>
          <w:lang w:eastAsia="en-GB"/>
        </w:rPr>
        <w:t xml:space="preserve"> unless the length of the lease is significant. Investment p</w:t>
      </w:r>
      <w:r w:rsidRPr="002D3E2A">
        <w:rPr>
          <w:rFonts w:cs="Arial"/>
          <w:color w:val="auto"/>
          <w:sz w:val="20"/>
          <w:szCs w:val="20"/>
          <w:lang w:eastAsia="en-GB"/>
        </w:rPr>
        <w:t xml:space="preserve">roperties are not depreciated. </w:t>
      </w:r>
    </w:p>
    <w:p w:rsidR="00F941E0" w:rsidRDefault="00F941E0" w:rsidP="00111739">
      <w:pPr>
        <w:autoSpaceDE w:val="0"/>
        <w:autoSpaceDN w:val="0"/>
        <w:jc w:val="both"/>
        <w:rPr>
          <w:rFonts w:cs="Arial"/>
          <w:b/>
          <w:color w:val="auto"/>
          <w:sz w:val="20"/>
          <w:szCs w:val="20"/>
        </w:rPr>
      </w:pPr>
    </w:p>
    <w:p w:rsidR="0023284F" w:rsidRPr="0023284F" w:rsidRDefault="00630BE4" w:rsidP="00111739">
      <w:pPr>
        <w:autoSpaceDE w:val="0"/>
        <w:autoSpaceDN w:val="0"/>
        <w:jc w:val="both"/>
        <w:rPr>
          <w:rFonts w:cs="Arial"/>
          <w:b/>
          <w:bCs/>
          <w:color w:val="auto"/>
          <w:sz w:val="20"/>
          <w:szCs w:val="20"/>
          <w:lang w:eastAsia="en-GB"/>
        </w:rPr>
      </w:pPr>
      <w:r>
        <w:rPr>
          <w:rFonts w:cs="Arial"/>
          <w:b/>
          <w:color w:val="auto"/>
          <w:sz w:val="20"/>
          <w:szCs w:val="20"/>
        </w:rPr>
        <w:t>39.1</w:t>
      </w:r>
      <w:r w:rsidR="00775F03">
        <w:rPr>
          <w:rFonts w:cs="Arial"/>
          <w:b/>
          <w:color w:val="auto"/>
          <w:sz w:val="20"/>
          <w:szCs w:val="20"/>
        </w:rPr>
        <w:t>3</w:t>
      </w:r>
      <w:r w:rsidR="0023284F" w:rsidRPr="0023284F">
        <w:rPr>
          <w:rFonts w:cs="Arial"/>
          <w:b/>
          <w:color w:val="auto"/>
          <w:sz w:val="20"/>
          <w:szCs w:val="20"/>
        </w:rPr>
        <w:t xml:space="preserve"> Joint Operations including Joint Committees</w:t>
      </w:r>
    </w:p>
    <w:p w:rsidR="00292A4B" w:rsidRPr="001A13C4" w:rsidRDefault="00292A4B" w:rsidP="00292A4B">
      <w:pPr>
        <w:autoSpaceDE w:val="0"/>
        <w:autoSpaceDN w:val="0"/>
        <w:ind w:left="567"/>
        <w:jc w:val="both"/>
        <w:rPr>
          <w:rFonts w:cs="Arial"/>
          <w:b/>
          <w:bCs/>
          <w:color w:val="auto"/>
          <w:sz w:val="20"/>
          <w:szCs w:val="20"/>
          <w:lang w:eastAsia="en-GB"/>
        </w:rPr>
      </w:pPr>
      <w:r w:rsidRPr="001A13C4">
        <w:rPr>
          <w:rFonts w:cs="Arial"/>
          <w:b/>
          <w:bCs/>
          <w:color w:val="auto"/>
          <w:sz w:val="20"/>
          <w:szCs w:val="20"/>
          <w:lang w:eastAsia="en-GB"/>
        </w:rPr>
        <w:t>South West Devon Waste Partnership</w:t>
      </w:r>
    </w:p>
    <w:p w:rsidR="00292A4B" w:rsidRPr="001A13C4" w:rsidRDefault="00292A4B" w:rsidP="00292A4B">
      <w:pPr>
        <w:autoSpaceDE w:val="0"/>
        <w:autoSpaceDN w:val="0"/>
        <w:ind w:left="567"/>
        <w:jc w:val="both"/>
        <w:rPr>
          <w:rFonts w:cs="Arial"/>
          <w:bCs/>
          <w:color w:val="auto"/>
          <w:sz w:val="20"/>
          <w:szCs w:val="20"/>
          <w:lang w:eastAsia="en-GB"/>
        </w:rPr>
      </w:pPr>
      <w:r w:rsidRPr="001A13C4">
        <w:rPr>
          <w:rFonts w:cs="Arial"/>
          <w:bCs/>
          <w:color w:val="auto"/>
          <w:sz w:val="20"/>
          <w:szCs w:val="20"/>
          <w:lang w:eastAsia="en-GB"/>
        </w:rPr>
        <w:t xml:space="preserve">Torbay Council, with Plymouth City Council and Devon County Council have jointly contracted for a PFI project for an Energy from Waste Plant (based in Plymouth) to dispose of residual waste collected by the three Councils. As part of the Joint Working Agreement between the three Councils the South West Devon Waste Partnership Joint Committee has been established to facilitate the procurement and subsequent operation and management of the facilities (by the selected contractor).  The Plant became operational in </w:t>
      </w:r>
      <w:r>
        <w:rPr>
          <w:rFonts w:cs="Arial"/>
          <w:bCs/>
          <w:color w:val="auto"/>
          <w:sz w:val="20"/>
          <w:szCs w:val="20"/>
          <w:lang w:eastAsia="en-GB"/>
        </w:rPr>
        <w:t xml:space="preserve">April </w:t>
      </w:r>
      <w:r w:rsidRPr="001A13C4">
        <w:rPr>
          <w:rFonts w:cs="Arial"/>
          <w:bCs/>
          <w:color w:val="auto"/>
          <w:sz w:val="20"/>
          <w:szCs w:val="20"/>
          <w:lang w:eastAsia="en-GB"/>
        </w:rPr>
        <w:t>2015.</w:t>
      </w:r>
    </w:p>
    <w:p w:rsidR="00292A4B" w:rsidRPr="00FF09B2" w:rsidRDefault="00292A4B" w:rsidP="00292A4B">
      <w:pPr>
        <w:autoSpaceDE w:val="0"/>
        <w:autoSpaceDN w:val="0"/>
        <w:ind w:left="567"/>
        <w:jc w:val="both"/>
        <w:rPr>
          <w:rFonts w:cs="Arial"/>
          <w:bCs/>
          <w:color w:val="auto"/>
          <w:sz w:val="20"/>
          <w:szCs w:val="20"/>
          <w:lang w:eastAsia="en-GB"/>
        </w:rPr>
      </w:pPr>
      <w:r w:rsidRPr="001A13C4">
        <w:rPr>
          <w:rFonts w:cs="Arial"/>
          <w:bCs/>
          <w:color w:val="auto"/>
          <w:sz w:val="20"/>
          <w:szCs w:val="20"/>
          <w:lang w:eastAsia="en-GB"/>
        </w:rPr>
        <w:t xml:space="preserve">The expenditure </w:t>
      </w:r>
      <w:r>
        <w:rPr>
          <w:rFonts w:cs="Arial"/>
          <w:bCs/>
          <w:color w:val="auto"/>
          <w:sz w:val="20"/>
          <w:szCs w:val="20"/>
          <w:lang w:eastAsia="en-GB"/>
        </w:rPr>
        <w:t xml:space="preserve">and income </w:t>
      </w:r>
      <w:r w:rsidRPr="001A13C4">
        <w:rPr>
          <w:rFonts w:cs="Arial"/>
          <w:bCs/>
          <w:color w:val="auto"/>
          <w:sz w:val="20"/>
          <w:szCs w:val="20"/>
          <w:lang w:eastAsia="en-GB"/>
        </w:rPr>
        <w:t>associated with this project is being incurred by Plymouth City Council (as lead authority) and then allocated</w:t>
      </w:r>
      <w:r>
        <w:rPr>
          <w:rFonts w:cs="Arial"/>
          <w:bCs/>
          <w:color w:val="auto"/>
          <w:sz w:val="20"/>
          <w:szCs w:val="20"/>
          <w:lang w:eastAsia="en-GB"/>
        </w:rPr>
        <w:t>,</w:t>
      </w:r>
      <w:r w:rsidRPr="001A13C4">
        <w:rPr>
          <w:rFonts w:cs="Arial"/>
          <w:bCs/>
          <w:color w:val="auto"/>
          <w:sz w:val="20"/>
          <w:szCs w:val="20"/>
          <w:lang w:eastAsia="en-GB"/>
        </w:rPr>
        <w:t xml:space="preserve"> based on tonnages as identified in the Financial Allocation Mechanism</w:t>
      </w:r>
      <w:r>
        <w:rPr>
          <w:rFonts w:cs="Arial"/>
          <w:bCs/>
          <w:color w:val="auto"/>
          <w:sz w:val="20"/>
          <w:szCs w:val="20"/>
          <w:lang w:eastAsia="en-GB"/>
        </w:rPr>
        <w:t xml:space="preserve">, </w:t>
      </w:r>
      <w:r w:rsidRPr="001A13C4">
        <w:rPr>
          <w:rFonts w:cs="Arial"/>
          <w:bCs/>
          <w:color w:val="auto"/>
          <w:sz w:val="20"/>
          <w:szCs w:val="20"/>
          <w:lang w:eastAsia="en-GB"/>
        </w:rPr>
        <w:t xml:space="preserve">between the three Councils. This expenditure </w:t>
      </w:r>
      <w:r>
        <w:rPr>
          <w:rFonts w:cs="Arial"/>
          <w:bCs/>
          <w:color w:val="auto"/>
          <w:sz w:val="20"/>
          <w:szCs w:val="20"/>
          <w:lang w:eastAsia="en-GB"/>
        </w:rPr>
        <w:t xml:space="preserve">and income </w:t>
      </w:r>
      <w:r w:rsidRPr="001A13C4">
        <w:rPr>
          <w:rFonts w:cs="Arial"/>
          <w:bCs/>
          <w:color w:val="auto"/>
          <w:sz w:val="20"/>
          <w:szCs w:val="20"/>
          <w:lang w:eastAsia="en-GB"/>
        </w:rPr>
        <w:t>is reflected within the cost of services on the CIES.</w:t>
      </w:r>
    </w:p>
    <w:p w:rsidR="00292A4B" w:rsidRPr="008D2470" w:rsidRDefault="00630BE4" w:rsidP="00E44EA0">
      <w:pPr>
        <w:pStyle w:val="Heading1"/>
        <w:spacing w:line="240" w:lineRule="atLeast"/>
        <w:jc w:val="both"/>
        <w:rPr>
          <w:rFonts w:cs="Arial"/>
          <w:b/>
          <w:color w:val="auto"/>
          <w:sz w:val="20"/>
          <w:szCs w:val="20"/>
        </w:rPr>
      </w:pPr>
      <w:r>
        <w:rPr>
          <w:rFonts w:cs="Arial"/>
          <w:b/>
          <w:color w:val="auto"/>
          <w:sz w:val="20"/>
          <w:szCs w:val="20"/>
        </w:rPr>
        <w:t>39.1</w:t>
      </w:r>
      <w:r w:rsidR="00775F03">
        <w:rPr>
          <w:rFonts w:cs="Arial"/>
          <w:b/>
          <w:color w:val="auto"/>
          <w:sz w:val="20"/>
          <w:szCs w:val="20"/>
        </w:rPr>
        <w:t>4</w:t>
      </w:r>
      <w:r w:rsidR="00532774">
        <w:rPr>
          <w:rFonts w:cs="Arial"/>
          <w:b/>
          <w:color w:val="auto"/>
          <w:sz w:val="20"/>
          <w:szCs w:val="20"/>
        </w:rPr>
        <w:t xml:space="preserve"> </w:t>
      </w:r>
      <w:r w:rsidR="00292A4B" w:rsidRPr="008D2470">
        <w:rPr>
          <w:rFonts w:cs="Arial"/>
          <w:b/>
          <w:color w:val="auto"/>
          <w:sz w:val="20"/>
          <w:szCs w:val="20"/>
        </w:rPr>
        <w:t xml:space="preserve"> Leases </w:t>
      </w:r>
    </w:p>
    <w:p w:rsidR="00292A4B" w:rsidRPr="008D2470" w:rsidRDefault="00292A4B" w:rsidP="00292A4B">
      <w:pPr>
        <w:spacing w:after="0" w:line="240" w:lineRule="auto"/>
        <w:jc w:val="both"/>
        <w:rPr>
          <w:color w:val="auto"/>
          <w:sz w:val="14"/>
          <w:szCs w:val="14"/>
        </w:rPr>
      </w:pPr>
    </w:p>
    <w:p w:rsidR="00292A4B" w:rsidRPr="008D2470" w:rsidRDefault="00292A4B" w:rsidP="00292A4B">
      <w:pPr>
        <w:pStyle w:val="BodyTextIndent"/>
        <w:ind w:left="567"/>
        <w:jc w:val="both"/>
        <w:rPr>
          <w:rFonts w:cs="Arial"/>
          <w:bCs/>
          <w:color w:val="auto"/>
          <w:sz w:val="20"/>
          <w:szCs w:val="20"/>
          <w:lang w:eastAsia="en-GB"/>
        </w:rPr>
      </w:pPr>
      <w:r w:rsidRPr="008D2470">
        <w:rPr>
          <w:rFonts w:cs="Arial"/>
          <w:color w:val="auto"/>
          <w:sz w:val="20"/>
          <w:szCs w:val="20"/>
        </w:rPr>
        <w:t xml:space="preserve">The Council’s leases relate mainly to property where the Council both leases in and leases out property. </w:t>
      </w:r>
      <w:r w:rsidRPr="008D2470">
        <w:rPr>
          <w:rFonts w:cs="Arial"/>
          <w:color w:val="auto"/>
          <w:sz w:val="20"/>
          <w:szCs w:val="20"/>
          <w:lang w:eastAsia="en-GB"/>
        </w:rPr>
        <w:t>The Council has considered all its leases for possible classification as finance or operating leases. The Council presumes a lease to be an operating lease unless there is evidence to the contrary and it is material to the accounts that a lease is classified as a finance lease.</w:t>
      </w:r>
    </w:p>
    <w:p w:rsidR="00292A4B" w:rsidRPr="008D2470" w:rsidRDefault="00292A4B" w:rsidP="00292A4B">
      <w:pPr>
        <w:spacing w:after="0" w:line="240" w:lineRule="auto"/>
        <w:ind w:left="567"/>
        <w:jc w:val="both"/>
        <w:rPr>
          <w:rFonts w:cs="Arial"/>
          <w:bCs/>
          <w:color w:val="auto"/>
          <w:sz w:val="20"/>
          <w:szCs w:val="20"/>
          <w:lang w:eastAsia="en-GB"/>
        </w:rPr>
      </w:pPr>
      <w:r w:rsidRPr="008D2470">
        <w:rPr>
          <w:rFonts w:cs="Arial"/>
          <w:bCs/>
          <w:color w:val="auto"/>
          <w:sz w:val="20"/>
          <w:szCs w:val="20"/>
          <w:lang w:eastAsia="en-GB"/>
        </w:rPr>
        <w:t>Leases are classified as finance leases where the terms of the lease transfer substantially all the risks and rewards incidental to ownership of the property, plant or equipment from the lessor to the lessee. All other leases are classified as operating leases.</w:t>
      </w:r>
    </w:p>
    <w:p w:rsidR="00292A4B" w:rsidRPr="00A767DD" w:rsidRDefault="00292A4B" w:rsidP="00292A4B">
      <w:pPr>
        <w:spacing w:after="0" w:line="240" w:lineRule="auto"/>
        <w:jc w:val="both"/>
        <w:rPr>
          <w:rFonts w:cs="Arial"/>
          <w:bCs/>
          <w:color w:val="auto"/>
          <w:sz w:val="20"/>
          <w:szCs w:val="20"/>
          <w:highlight w:val="yellow"/>
          <w:lang w:eastAsia="en-GB"/>
        </w:rPr>
      </w:pPr>
    </w:p>
    <w:p w:rsidR="00292A4B" w:rsidRPr="008D2470" w:rsidRDefault="00292A4B" w:rsidP="00292A4B">
      <w:pPr>
        <w:autoSpaceDE w:val="0"/>
        <w:autoSpaceDN w:val="0"/>
        <w:ind w:left="567"/>
        <w:jc w:val="both"/>
        <w:rPr>
          <w:rFonts w:cs="Arial"/>
          <w:bCs/>
          <w:color w:val="auto"/>
          <w:sz w:val="20"/>
          <w:szCs w:val="20"/>
          <w:lang w:eastAsia="en-GB"/>
        </w:rPr>
      </w:pPr>
      <w:r w:rsidRPr="008D2470">
        <w:rPr>
          <w:rFonts w:cs="Arial"/>
          <w:bCs/>
          <w:color w:val="auto"/>
          <w:sz w:val="20"/>
          <w:szCs w:val="20"/>
          <w:lang w:eastAsia="en-GB"/>
        </w:rPr>
        <w:t xml:space="preserve">Where a lease covers both land and buildings, the land and buildings elements are considered separately for classification. </w:t>
      </w:r>
      <w:r w:rsidRPr="008D2470">
        <w:rPr>
          <w:rFonts w:cs="Arial"/>
          <w:color w:val="auto"/>
          <w:sz w:val="20"/>
          <w:szCs w:val="20"/>
          <w:lang w:eastAsia="en-GB"/>
        </w:rPr>
        <w:t xml:space="preserve">The land element is now assessed by reference to the prevailing </w:t>
      </w:r>
      <w:r w:rsidRPr="008D2470">
        <w:rPr>
          <w:rFonts w:cs="Arial"/>
          <w:color w:val="auto"/>
          <w:sz w:val="20"/>
          <w:szCs w:val="20"/>
          <w:lang w:eastAsia="en-GB"/>
        </w:rPr>
        <w:lastRenderedPageBreak/>
        <w:t xml:space="preserve">land value in the locality of the asset.  Over the five year rolling programme of valuations all land will be valued on this basis. Previously the land value was assumed to be </w:t>
      </w:r>
      <w:r w:rsidR="00295323">
        <w:rPr>
          <w:rFonts w:cs="Arial"/>
          <w:color w:val="auto"/>
          <w:sz w:val="20"/>
          <w:szCs w:val="20"/>
          <w:lang w:eastAsia="en-GB"/>
        </w:rPr>
        <w:t>3</w:t>
      </w:r>
      <w:r w:rsidRPr="008D2470">
        <w:rPr>
          <w:rFonts w:cs="Arial"/>
          <w:color w:val="auto"/>
          <w:sz w:val="20"/>
          <w:szCs w:val="20"/>
          <w:lang w:eastAsia="en-GB"/>
        </w:rPr>
        <w:t>0% of the total value of the asset unless there was evidence to the contrary.</w:t>
      </w:r>
    </w:p>
    <w:p w:rsidR="00292A4B" w:rsidRPr="009319F1" w:rsidRDefault="00292A4B" w:rsidP="00292A4B">
      <w:pPr>
        <w:spacing w:after="0" w:line="240" w:lineRule="auto"/>
        <w:ind w:left="567"/>
        <w:jc w:val="both"/>
        <w:rPr>
          <w:rFonts w:cs="Arial"/>
          <w:bCs/>
          <w:color w:val="auto"/>
          <w:sz w:val="20"/>
          <w:szCs w:val="20"/>
          <w:lang w:eastAsia="en-GB"/>
        </w:rPr>
      </w:pPr>
      <w:r w:rsidRPr="009319F1">
        <w:rPr>
          <w:rFonts w:cs="Arial"/>
          <w:b/>
          <w:bCs/>
          <w:color w:val="auto"/>
          <w:sz w:val="20"/>
          <w:szCs w:val="20"/>
          <w:lang w:eastAsia="en-GB"/>
        </w:rPr>
        <w:t>As Lessee:</w:t>
      </w:r>
      <w:r w:rsidRPr="009319F1">
        <w:rPr>
          <w:rFonts w:cs="Arial"/>
          <w:bCs/>
          <w:color w:val="auto"/>
          <w:sz w:val="20"/>
          <w:szCs w:val="20"/>
          <w:lang w:eastAsia="en-GB"/>
        </w:rPr>
        <w:t xml:space="preserve"> Rentals paid by the Council under operating leases are charged to the CIES as an expense of the services benefitting from use of the leased property, plant or equipment. Charges are made, if material, on a straight-line basis over the life of the lease, even if this does not match the pattern of payments.</w:t>
      </w:r>
    </w:p>
    <w:p w:rsidR="00292A4B" w:rsidRPr="009319F1" w:rsidRDefault="00292A4B" w:rsidP="00292A4B">
      <w:pPr>
        <w:spacing w:after="0" w:line="240" w:lineRule="auto"/>
        <w:jc w:val="both"/>
        <w:rPr>
          <w:rFonts w:cs="Arial"/>
          <w:bCs/>
          <w:color w:val="auto"/>
          <w:sz w:val="20"/>
          <w:szCs w:val="20"/>
          <w:lang w:eastAsia="en-GB"/>
        </w:rPr>
      </w:pPr>
    </w:p>
    <w:p w:rsidR="00292A4B" w:rsidRPr="009319F1" w:rsidRDefault="00292A4B" w:rsidP="00292A4B">
      <w:pPr>
        <w:spacing w:after="0" w:line="240" w:lineRule="auto"/>
        <w:ind w:left="567"/>
        <w:jc w:val="both"/>
        <w:rPr>
          <w:rFonts w:cs="Arial"/>
          <w:bCs/>
          <w:color w:val="auto"/>
          <w:sz w:val="20"/>
          <w:szCs w:val="20"/>
          <w:lang w:eastAsia="en-GB"/>
        </w:rPr>
      </w:pPr>
      <w:r w:rsidRPr="009319F1">
        <w:rPr>
          <w:rFonts w:cs="Arial"/>
          <w:bCs/>
          <w:color w:val="auto"/>
          <w:sz w:val="20"/>
          <w:szCs w:val="20"/>
          <w:lang w:eastAsia="en-GB"/>
        </w:rPr>
        <w:t>Where the Council grants a finance lease over a property or an item of plant or equipment, the relevant asset is written out of the Balance Sheet as a disposal, with the gain/loss attributable to the difference between the carrying amount of the asset and the Council’s net investment in the lease being credited/debited to the Other Operating Expenditure line in the CIES. The net investment in the lease is recognised as a lease asset in the Balance Sheet, net of any premium paid.  Lease rentals receivable are apportioned between:</w:t>
      </w:r>
    </w:p>
    <w:p w:rsidR="00292A4B" w:rsidRPr="009319F1" w:rsidRDefault="00292A4B" w:rsidP="00292A4B">
      <w:pPr>
        <w:spacing w:after="0" w:line="240" w:lineRule="auto"/>
        <w:jc w:val="both"/>
        <w:rPr>
          <w:rFonts w:cs="Arial"/>
          <w:bCs/>
          <w:color w:val="auto"/>
          <w:sz w:val="20"/>
          <w:szCs w:val="20"/>
          <w:lang w:eastAsia="en-GB"/>
        </w:rPr>
      </w:pPr>
    </w:p>
    <w:p w:rsidR="00292A4B" w:rsidRPr="009319F1" w:rsidRDefault="00292A4B" w:rsidP="003E10DE">
      <w:pPr>
        <w:pStyle w:val="ListParagraph"/>
        <w:numPr>
          <w:ilvl w:val="0"/>
          <w:numId w:val="31"/>
        </w:numPr>
        <w:spacing w:after="0" w:line="240" w:lineRule="auto"/>
        <w:ind w:left="360" w:firstLine="207"/>
        <w:jc w:val="both"/>
        <w:rPr>
          <w:rFonts w:cs="Arial"/>
          <w:bCs/>
          <w:color w:val="auto"/>
          <w:sz w:val="20"/>
          <w:szCs w:val="20"/>
          <w:lang w:eastAsia="en-GB"/>
        </w:rPr>
      </w:pPr>
      <w:r w:rsidRPr="009319F1">
        <w:rPr>
          <w:rFonts w:cs="Arial"/>
          <w:bCs/>
          <w:color w:val="auto"/>
          <w:sz w:val="20"/>
          <w:szCs w:val="20"/>
          <w:lang w:eastAsia="en-GB"/>
        </w:rPr>
        <w:t>a credit for the disposal of the interest in the property – applied to write down the lease asset</w:t>
      </w:r>
    </w:p>
    <w:p w:rsidR="00292A4B" w:rsidRPr="009319F1" w:rsidRDefault="00292A4B" w:rsidP="003E10DE">
      <w:pPr>
        <w:pStyle w:val="ListParagraph"/>
        <w:numPr>
          <w:ilvl w:val="0"/>
          <w:numId w:val="31"/>
        </w:numPr>
        <w:spacing w:after="0" w:line="240" w:lineRule="auto"/>
        <w:ind w:left="709" w:hanging="142"/>
        <w:jc w:val="both"/>
        <w:rPr>
          <w:rFonts w:cs="Arial"/>
          <w:bCs/>
          <w:color w:val="auto"/>
          <w:sz w:val="20"/>
          <w:szCs w:val="20"/>
          <w:lang w:eastAsia="en-GB"/>
        </w:rPr>
      </w:pPr>
      <w:r w:rsidRPr="009319F1">
        <w:rPr>
          <w:rFonts w:cs="Arial"/>
          <w:bCs/>
          <w:color w:val="auto"/>
          <w:sz w:val="20"/>
          <w:szCs w:val="20"/>
          <w:lang w:eastAsia="en-GB"/>
        </w:rPr>
        <w:t>finance income (credited to the Financing and Investment Income and Expenditure line in the CIES).</w:t>
      </w:r>
    </w:p>
    <w:p w:rsidR="00292A4B" w:rsidRPr="00A767DD" w:rsidRDefault="00292A4B" w:rsidP="00292A4B">
      <w:pPr>
        <w:spacing w:after="0" w:line="240" w:lineRule="auto"/>
        <w:jc w:val="both"/>
        <w:rPr>
          <w:rFonts w:cs="Arial"/>
          <w:bCs/>
          <w:color w:val="auto"/>
          <w:sz w:val="20"/>
          <w:szCs w:val="20"/>
          <w:highlight w:val="yellow"/>
          <w:lang w:eastAsia="en-GB"/>
        </w:rPr>
      </w:pPr>
    </w:p>
    <w:p w:rsidR="00292A4B" w:rsidRPr="008D2470" w:rsidRDefault="00292A4B" w:rsidP="00292A4B">
      <w:pPr>
        <w:spacing w:after="0" w:line="240" w:lineRule="auto"/>
        <w:ind w:left="567"/>
        <w:jc w:val="both"/>
        <w:rPr>
          <w:rFonts w:cs="Arial"/>
          <w:bCs/>
          <w:color w:val="auto"/>
          <w:sz w:val="20"/>
          <w:szCs w:val="20"/>
          <w:lang w:eastAsia="en-GB"/>
        </w:rPr>
      </w:pPr>
      <w:r w:rsidRPr="008D2470">
        <w:rPr>
          <w:rFonts w:cs="Arial"/>
          <w:b/>
          <w:bCs/>
          <w:color w:val="auto"/>
          <w:sz w:val="20"/>
          <w:szCs w:val="20"/>
          <w:lang w:eastAsia="en-GB"/>
        </w:rPr>
        <w:t>As Lessor</w:t>
      </w:r>
      <w:r w:rsidRPr="008D2470">
        <w:rPr>
          <w:rFonts w:cs="Arial"/>
          <w:bCs/>
          <w:color w:val="auto"/>
          <w:sz w:val="20"/>
          <w:szCs w:val="20"/>
          <w:lang w:eastAsia="en-GB"/>
        </w:rPr>
        <w:t>: Where the Council grants an operating lease over a property or an item of plant or equipment, the asset is retained in the Balance Sheet. Rental income is credited to the Other Operating Expenditure line in the CIES. Credits are made, if material, on a straight-line basis over the life of the lease, even if this does not match the pattern of payments.</w:t>
      </w:r>
    </w:p>
    <w:p w:rsidR="00292A4B" w:rsidRPr="008D2470" w:rsidRDefault="00292A4B" w:rsidP="00292A4B">
      <w:pPr>
        <w:spacing w:after="0" w:line="240" w:lineRule="auto"/>
        <w:jc w:val="both"/>
        <w:rPr>
          <w:rFonts w:cs="Arial"/>
          <w:bCs/>
          <w:color w:val="auto"/>
          <w:sz w:val="20"/>
          <w:szCs w:val="20"/>
          <w:lang w:eastAsia="en-GB"/>
        </w:rPr>
      </w:pPr>
    </w:p>
    <w:p w:rsidR="00292A4B" w:rsidRPr="00354847" w:rsidRDefault="00630BE4" w:rsidP="00111739">
      <w:pPr>
        <w:pStyle w:val="Heading1"/>
        <w:spacing w:line="240" w:lineRule="atLeast"/>
        <w:jc w:val="both"/>
        <w:rPr>
          <w:rFonts w:cs="Arial"/>
          <w:b/>
          <w:color w:val="auto"/>
          <w:sz w:val="20"/>
          <w:szCs w:val="20"/>
        </w:rPr>
      </w:pPr>
      <w:r>
        <w:rPr>
          <w:rFonts w:cs="Arial"/>
          <w:b/>
          <w:color w:val="auto"/>
          <w:sz w:val="20"/>
          <w:szCs w:val="20"/>
        </w:rPr>
        <w:t>39.1</w:t>
      </w:r>
      <w:r w:rsidR="00775F03">
        <w:rPr>
          <w:rFonts w:cs="Arial"/>
          <w:b/>
          <w:color w:val="auto"/>
          <w:sz w:val="20"/>
          <w:szCs w:val="20"/>
        </w:rPr>
        <w:t>5</w:t>
      </w:r>
      <w:r w:rsidR="00532774">
        <w:rPr>
          <w:rFonts w:cs="Arial"/>
          <w:b/>
          <w:color w:val="auto"/>
          <w:sz w:val="20"/>
          <w:szCs w:val="20"/>
        </w:rPr>
        <w:t xml:space="preserve"> </w:t>
      </w:r>
      <w:r w:rsidR="00292A4B" w:rsidRPr="00354847">
        <w:rPr>
          <w:rFonts w:cs="Arial"/>
          <w:b/>
          <w:color w:val="auto"/>
          <w:sz w:val="20"/>
          <w:szCs w:val="20"/>
        </w:rPr>
        <w:t xml:space="preserve"> Overheads and Support Services </w:t>
      </w:r>
    </w:p>
    <w:p w:rsidR="00292A4B" w:rsidRPr="00354847" w:rsidRDefault="00292A4B" w:rsidP="00292A4B">
      <w:pPr>
        <w:spacing w:after="0" w:line="240" w:lineRule="auto"/>
        <w:ind w:left="567"/>
        <w:jc w:val="both"/>
        <w:rPr>
          <w:rFonts w:cs="Arial"/>
          <w:bCs/>
          <w:color w:val="auto"/>
          <w:sz w:val="20"/>
          <w:szCs w:val="20"/>
          <w:lang w:eastAsia="en-GB"/>
        </w:rPr>
      </w:pPr>
      <w:r w:rsidRPr="00354847">
        <w:rPr>
          <w:rFonts w:cs="Arial"/>
          <w:bCs/>
          <w:color w:val="auto"/>
          <w:sz w:val="20"/>
          <w:szCs w:val="20"/>
          <w:lang w:eastAsia="en-GB"/>
        </w:rPr>
        <w:t>The costs of overheads and support services are charged to those that benefit from the supply or service in accordance with the costing principles of SeRCOP. The total absorption costing principle is used – the full cost of overheads and support services is shared between users in proportion to the benefits received, with the exception of:</w:t>
      </w:r>
    </w:p>
    <w:p w:rsidR="00292A4B" w:rsidRPr="00354847" w:rsidRDefault="00292A4B" w:rsidP="00292A4B">
      <w:pPr>
        <w:spacing w:after="0" w:line="240" w:lineRule="auto"/>
        <w:jc w:val="both"/>
        <w:rPr>
          <w:rFonts w:cs="Arial"/>
          <w:bCs/>
          <w:color w:val="auto"/>
          <w:sz w:val="20"/>
          <w:szCs w:val="20"/>
          <w:lang w:eastAsia="en-GB"/>
        </w:rPr>
      </w:pPr>
    </w:p>
    <w:p w:rsidR="00292A4B" w:rsidRPr="00354847" w:rsidRDefault="00292A4B" w:rsidP="003E10DE">
      <w:pPr>
        <w:pStyle w:val="ListParagraph"/>
        <w:numPr>
          <w:ilvl w:val="0"/>
          <w:numId w:val="31"/>
        </w:numPr>
        <w:spacing w:after="0" w:line="240" w:lineRule="auto"/>
        <w:ind w:left="709" w:hanging="142"/>
        <w:jc w:val="both"/>
        <w:rPr>
          <w:rFonts w:cs="Arial"/>
          <w:bCs/>
          <w:color w:val="auto"/>
          <w:sz w:val="20"/>
          <w:szCs w:val="20"/>
          <w:lang w:eastAsia="en-GB"/>
        </w:rPr>
      </w:pPr>
      <w:r w:rsidRPr="00354847">
        <w:rPr>
          <w:rFonts w:cs="Arial"/>
          <w:bCs/>
          <w:color w:val="auto"/>
          <w:sz w:val="20"/>
          <w:szCs w:val="20"/>
          <w:lang w:eastAsia="en-GB"/>
        </w:rPr>
        <w:t>Corporate and Democratic Core – costs relating to the Council’s status as a multifunctional, democratic organisation.</w:t>
      </w:r>
    </w:p>
    <w:p w:rsidR="00292A4B" w:rsidRPr="00354847" w:rsidRDefault="00292A4B" w:rsidP="003E10DE">
      <w:pPr>
        <w:pStyle w:val="ListParagraph"/>
        <w:numPr>
          <w:ilvl w:val="0"/>
          <w:numId w:val="31"/>
        </w:numPr>
        <w:spacing w:after="0" w:line="240" w:lineRule="auto"/>
        <w:ind w:hanging="153"/>
        <w:jc w:val="both"/>
        <w:rPr>
          <w:rFonts w:cs="Arial"/>
          <w:bCs/>
          <w:color w:val="auto"/>
          <w:sz w:val="20"/>
          <w:szCs w:val="20"/>
          <w:lang w:eastAsia="en-GB"/>
        </w:rPr>
      </w:pPr>
      <w:r w:rsidRPr="00354847">
        <w:rPr>
          <w:rFonts w:cs="Arial"/>
          <w:bCs/>
          <w:color w:val="auto"/>
          <w:sz w:val="20"/>
          <w:szCs w:val="20"/>
          <w:lang w:eastAsia="en-GB"/>
        </w:rPr>
        <w:t>Non Distributed Costs – the cost of discretionary benefits awarded to employees retiring early and impairment losses chargeable on Assets Held for Sale.</w:t>
      </w:r>
    </w:p>
    <w:p w:rsidR="00292A4B" w:rsidRPr="00354847" w:rsidRDefault="00292A4B" w:rsidP="00292A4B">
      <w:pPr>
        <w:autoSpaceDE w:val="0"/>
        <w:autoSpaceDN w:val="0"/>
        <w:adjustRightInd w:val="0"/>
        <w:spacing w:after="0"/>
        <w:ind w:left="567"/>
        <w:jc w:val="both"/>
        <w:rPr>
          <w:rFonts w:cs="Arial"/>
          <w:color w:val="auto"/>
          <w:sz w:val="20"/>
          <w:szCs w:val="20"/>
          <w:lang w:eastAsia="en-GB"/>
        </w:rPr>
      </w:pPr>
    </w:p>
    <w:p w:rsidR="00292A4B" w:rsidRPr="005A174A" w:rsidRDefault="00630BE4" w:rsidP="00111739">
      <w:pPr>
        <w:pStyle w:val="Heading1"/>
        <w:spacing w:line="240" w:lineRule="atLeast"/>
        <w:jc w:val="both"/>
        <w:rPr>
          <w:rFonts w:cs="Arial"/>
          <w:b/>
          <w:color w:val="auto"/>
          <w:sz w:val="20"/>
          <w:szCs w:val="20"/>
        </w:rPr>
      </w:pPr>
      <w:r>
        <w:rPr>
          <w:rFonts w:cs="Arial"/>
          <w:b/>
          <w:color w:val="auto"/>
          <w:sz w:val="20"/>
          <w:szCs w:val="20"/>
        </w:rPr>
        <w:t>39.1</w:t>
      </w:r>
      <w:r w:rsidR="00775F03">
        <w:rPr>
          <w:rFonts w:cs="Arial"/>
          <w:b/>
          <w:color w:val="auto"/>
          <w:sz w:val="20"/>
          <w:szCs w:val="20"/>
        </w:rPr>
        <w:t>6</w:t>
      </w:r>
      <w:r w:rsidR="00532774">
        <w:rPr>
          <w:rFonts w:cs="Arial"/>
          <w:b/>
          <w:color w:val="auto"/>
          <w:sz w:val="20"/>
          <w:szCs w:val="20"/>
        </w:rPr>
        <w:t xml:space="preserve"> </w:t>
      </w:r>
      <w:r w:rsidR="00292A4B" w:rsidRPr="005A174A">
        <w:rPr>
          <w:rFonts w:cs="Arial"/>
          <w:b/>
          <w:color w:val="auto"/>
          <w:sz w:val="20"/>
          <w:szCs w:val="20"/>
        </w:rPr>
        <w:t xml:space="preserve"> Property, Plant and Equipment </w:t>
      </w:r>
    </w:p>
    <w:p w:rsidR="00292A4B" w:rsidRPr="005A174A" w:rsidRDefault="00292A4B" w:rsidP="00292A4B">
      <w:pPr>
        <w:spacing w:after="0" w:line="240" w:lineRule="auto"/>
        <w:ind w:left="567"/>
        <w:jc w:val="both"/>
        <w:rPr>
          <w:rFonts w:eastAsia="Times New Roman" w:cs="Arial"/>
          <w:color w:val="auto"/>
          <w:sz w:val="20"/>
          <w:szCs w:val="20"/>
        </w:rPr>
      </w:pPr>
      <w:r w:rsidRPr="005A174A">
        <w:rPr>
          <w:rFonts w:eastAsia="Times New Roman" w:cs="Arial"/>
          <w:color w:val="auto"/>
          <w:sz w:val="20"/>
          <w:szCs w:val="20"/>
        </w:rPr>
        <w:t>Expenditure on the acquisition, creation or enhancement of Property, Plant and Equipment is capitalised on an accruals basis, provided that it is probable that the future economic benefits or service potential associated with the item will flow to the Council and the cost of the item can be measured reliably. Expenditure that maintains but does not add to an asset’s potential to deliver future economic benefits or service potential (i.e. repairs and maintenance) is charged as an expense when it is incurred.</w:t>
      </w:r>
    </w:p>
    <w:p w:rsidR="00292A4B" w:rsidRPr="005A174A" w:rsidRDefault="00292A4B" w:rsidP="00292A4B">
      <w:pPr>
        <w:spacing w:after="0" w:line="240" w:lineRule="auto"/>
        <w:ind w:left="567"/>
        <w:jc w:val="both"/>
        <w:rPr>
          <w:rFonts w:eastAsia="Times New Roman" w:cs="Arial"/>
          <w:color w:val="auto"/>
          <w:sz w:val="20"/>
          <w:szCs w:val="20"/>
        </w:rPr>
      </w:pPr>
    </w:p>
    <w:p w:rsidR="00292A4B" w:rsidRPr="005A174A" w:rsidRDefault="00292A4B" w:rsidP="00292A4B">
      <w:pPr>
        <w:pStyle w:val="BodyTextIndent"/>
        <w:ind w:left="567"/>
        <w:jc w:val="both"/>
        <w:rPr>
          <w:rFonts w:cs="Arial"/>
          <w:color w:val="auto"/>
          <w:sz w:val="20"/>
          <w:szCs w:val="20"/>
        </w:rPr>
      </w:pPr>
      <w:r w:rsidRPr="005A174A">
        <w:rPr>
          <w:rFonts w:cs="Arial"/>
          <w:color w:val="auto"/>
          <w:sz w:val="20"/>
          <w:szCs w:val="20"/>
        </w:rPr>
        <w:t xml:space="preserve">A general de-minimis limit of £25,000 is applied to recognition of expenditure on </w:t>
      </w:r>
      <w:r w:rsidRPr="005A174A">
        <w:rPr>
          <w:rFonts w:cs="Arial"/>
          <w:color w:val="auto"/>
          <w:sz w:val="20"/>
          <w:szCs w:val="20"/>
          <w:lang w:eastAsia="en-GB"/>
        </w:rPr>
        <w:t>Property, Plant and Equipment</w:t>
      </w:r>
      <w:r w:rsidRPr="005A174A">
        <w:rPr>
          <w:rFonts w:cs="Arial"/>
          <w:color w:val="auto"/>
          <w:sz w:val="20"/>
          <w:szCs w:val="20"/>
        </w:rPr>
        <w:t>. Exceptions to the de-minimis limit are made for projects or individual purchases under £25,000 where there are specific service requirements to do so e.g. school minor improvement works which are funded under Special Government Initiatives and fleet vehicle purchases.</w:t>
      </w:r>
    </w:p>
    <w:p w:rsidR="00292A4B" w:rsidRPr="005A174A" w:rsidRDefault="00292A4B" w:rsidP="00292A4B">
      <w:pPr>
        <w:spacing w:after="0" w:line="240" w:lineRule="auto"/>
        <w:ind w:firstLine="567"/>
        <w:jc w:val="both"/>
        <w:rPr>
          <w:rFonts w:eastAsia="Times New Roman" w:cs="Arial"/>
          <w:color w:val="auto"/>
          <w:sz w:val="20"/>
          <w:szCs w:val="20"/>
        </w:rPr>
      </w:pPr>
      <w:r w:rsidRPr="005A174A">
        <w:rPr>
          <w:rFonts w:eastAsia="Times New Roman" w:cs="Arial"/>
          <w:color w:val="auto"/>
          <w:sz w:val="20"/>
          <w:szCs w:val="20"/>
        </w:rPr>
        <w:t>Assets are initially measured at cost, comprising:</w:t>
      </w:r>
    </w:p>
    <w:p w:rsidR="00292A4B" w:rsidRPr="00A767DD" w:rsidRDefault="00292A4B" w:rsidP="00292A4B">
      <w:pPr>
        <w:spacing w:after="0" w:line="240" w:lineRule="auto"/>
        <w:jc w:val="both"/>
        <w:rPr>
          <w:rFonts w:eastAsia="Times New Roman" w:cs="Arial"/>
          <w:color w:val="auto"/>
          <w:sz w:val="20"/>
          <w:szCs w:val="20"/>
          <w:highlight w:val="yellow"/>
        </w:rPr>
      </w:pPr>
    </w:p>
    <w:p w:rsidR="00292A4B" w:rsidRPr="005A174A" w:rsidRDefault="00292A4B" w:rsidP="003E10DE">
      <w:pPr>
        <w:pStyle w:val="ListParagraph"/>
        <w:numPr>
          <w:ilvl w:val="0"/>
          <w:numId w:val="31"/>
        </w:numPr>
        <w:spacing w:after="0" w:line="240" w:lineRule="auto"/>
        <w:ind w:left="360" w:firstLine="207"/>
        <w:jc w:val="both"/>
        <w:rPr>
          <w:rFonts w:eastAsia="Times New Roman" w:cs="Arial"/>
          <w:color w:val="auto"/>
          <w:sz w:val="20"/>
          <w:szCs w:val="20"/>
        </w:rPr>
      </w:pPr>
      <w:r w:rsidRPr="005A174A">
        <w:rPr>
          <w:rFonts w:eastAsia="Times New Roman" w:cs="Arial"/>
          <w:color w:val="auto"/>
          <w:sz w:val="20"/>
          <w:szCs w:val="20"/>
        </w:rPr>
        <w:t>the purchase price</w:t>
      </w:r>
    </w:p>
    <w:p w:rsidR="00292A4B" w:rsidRPr="005A174A" w:rsidRDefault="00292A4B" w:rsidP="003E10DE">
      <w:pPr>
        <w:pStyle w:val="ListParagraph"/>
        <w:numPr>
          <w:ilvl w:val="0"/>
          <w:numId w:val="31"/>
        </w:numPr>
        <w:spacing w:after="0" w:line="240" w:lineRule="auto"/>
        <w:ind w:left="709" w:hanging="142"/>
        <w:jc w:val="both"/>
        <w:rPr>
          <w:rFonts w:eastAsia="Times New Roman" w:cs="Arial"/>
          <w:color w:val="auto"/>
          <w:sz w:val="20"/>
          <w:szCs w:val="20"/>
        </w:rPr>
      </w:pPr>
      <w:r w:rsidRPr="005A174A">
        <w:rPr>
          <w:rFonts w:eastAsia="Times New Roman" w:cs="Arial"/>
          <w:color w:val="auto"/>
          <w:sz w:val="20"/>
          <w:szCs w:val="20"/>
        </w:rPr>
        <w:t>any costs attributable to bringing the asset to the location and condition necessary for it to be capable of operating in the manner intended by management</w:t>
      </w:r>
    </w:p>
    <w:p w:rsidR="00292A4B" w:rsidRPr="005A174A" w:rsidRDefault="00292A4B" w:rsidP="00292A4B">
      <w:pPr>
        <w:spacing w:after="0" w:line="240" w:lineRule="auto"/>
        <w:jc w:val="both"/>
        <w:rPr>
          <w:rFonts w:eastAsia="Times New Roman" w:cs="Arial"/>
          <w:color w:val="auto"/>
          <w:sz w:val="20"/>
          <w:szCs w:val="20"/>
        </w:rPr>
      </w:pPr>
    </w:p>
    <w:p w:rsidR="00292A4B" w:rsidRPr="005A174A" w:rsidRDefault="00292A4B" w:rsidP="00292A4B">
      <w:pPr>
        <w:pStyle w:val="BodyTextIndent"/>
        <w:ind w:left="567"/>
        <w:jc w:val="both"/>
        <w:rPr>
          <w:rFonts w:cs="Arial"/>
          <w:color w:val="auto"/>
          <w:sz w:val="20"/>
          <w:szCs w:val="20"/>
        </w:rPr>
      </w:pPr>
      <w:r w:rsidRPr="005A174A">
        <w:rPr>
          <w:rFonts w:cs="Arial"/>
          <w:color w:val="auto"/>
          <w:sz w:val="20"/>
          <w:szCs w:val="20"/>
        </w:rPr>
        <w:t>Capital expenditure is not recognised until 31</w:t>
      </w:r>
      <w:r w:rsidRPr="005A174A">
        <w:rPr>
          <w:rFonts w:cs="Arial"/>
          <w:color w:val="auto"/>
          <w:sz w:val="20"/>
          <w:szCs w:val="20"/>
          <w:vertAlign w:val="superscript"/>
        </w:rPr>
        <w:t>st</w:t>
      </w:r>
      <w:r w:rsidRPr="005A174A">
        <w:rPr>
          <w:rFonts w:cs="Arial"/>
          <w:color w:val="auto"/>
          <w:sz w:val="20"/>
          <w:szCs w:val="20"/>
        </w:rPr>
        <w:t xml:space="preserve"> March therefore no depreciation is charged in year of acquisition or enhancement.  </w:t>
      </w:r>
      <w:r>
        <w:rPr>
          <w:rFonts w:cs="Arial"/>
          <w:color w:val="auto"/>
          <w:sz w:val="20"/>
          <w:szCs w:val="20"/>
        </w:rPr>
        <w:t>In April 2015 the EFW plant in Plymouth became operational. The Council has opted to charge depreciation on this asset in the yea</w:t>
      </w:r>
      <w:r w:rsidR="00C86B17">
        <w:rPr>
          <w:rFonts w:cs="Arial"/>
          <w:color w:val="auto"/>
          <w:sz w:val="20"/>
          <w:szCs w:val="20"/>
        </w:rPr>
        <w:t xml:space="preserve">r </w:t>
      </w:r>
      <w:r>
        <w:rPr>
          <w:rFonts w:cs="Arial"/>
          <w:color w:val="auto"/>
          <w:sz w:val="20"/>
          <w:szCs w:val="20"/>
        </w:rPr>
        <w:t xml:space="preserve">of </w:t>
      </w:r>
      <w:r>
        <w:rPr>
          <w:rFonts w:cs="Arial"/>
          <w:color w:val="auto"/>
          <w:sz w:val="20"/>
          <w:szCs w:val="20"/>
        </w:rPr>
        <w:lastRenderedPageBreak/>
        <w:t xml:space="preserve">recognition with an assumed asset life of 30 years which is equal to the contract length of 25 years and the optional 5 year contract extension period.  </w:t>
      </w:r>
      <w:r w:rsidRPr="005A174A">
        <w:rPr>
          <w:rFonts w:cs="Arial"/>
          <w:color w:val="auto"/>
          <w:sz w:val="20"/>
          <w:szCs w:val="20"/>
        </w:rPr>
        <w:t xml:space="preserve">Where capital expenditure has occurred the expenditure in year is deemed to have increased the current value of the asset by a “pound for pound” amount. </w:t>
      </w:r>
    </w:p>
    <w:p w:rsidR="00292A4B" w:rsidRPr="005A174A" w:rsidRDefault="00292A4B" w:rsidP="00292A4B">
      <w:pPr>
        <w:pStyle w:val="BodyTextIndent"/>
        <w:ind w:left="567"/>
        <w:jc w:val="both"/>
        <w:rPr>
          <w:rFonts w:cs="Arial"/>
          <w:color w:val="auto"/>
          <w:sz w:val="20"/>
          <w:szCs w:val="20"/>
        </w:rPr>
      </w:pPr>
      <w:r w:rsidRPr="005A174A">
        <w:rPr>
          <w:rFonts w:cs="Arial"/>
          <w:color w:val="auto"/>
          <w:sz w:val="20"/>
          <w:szCs w:val="20"/>
        </w:rPr>
        <w:t xml:space="preserve">Where, if capital expenditure is assessed as not adding value to the asset, the corresponding value will be written off as impairment.  </w:t>
      </w:r>
    </w:p>
    <w:p w:rsidR="00292A4B" w:rsidRPr="005A174A" w:rsidRDefault="00292A4B" w:rsidP="00292A4B">
      <w:pPr>
        <w:pStyle w:val="BodyText"/>
        <w:ind w:left="567"/>
        <w:jc w:val="both"/>
        <w:rPr>
          <w:rFonts w:eastAsia="Times New Roman" w:cs="Arial"/>
          <w:color w:val="auto"/>
          <w:sz w:val="20"/>
          <w:szCs w:val="20"/>
        </w:rPr>
      </w:pPr>
      <w:r w:rsidRPr="005A174A">
        <w:rPr>
          <w:rFonts w:eastAsia="Times New Roman" w:cs="Arial"/>
          <w:color w:val="auto"/>
          <w:sz w:val="20"/>
          <w:szCs w:val="20"/>
        </w:rPr>
        <w:t xml:space="preserve">Certain categories of Property, Plant and Equipment are measured subsequently at current value – see policy 1 for details.  </w:t>
      </w:r>
    </w:p>
    <w:p w:rsidR="00292A4B" w:rsidRDefault="00292A4B" w:rsidP="00292A4B">
      <w:pPr>
        <w:autoSpaceDE w:val="0"/>
        <w:autoSpaceDN w:val="0"/>
        <w:adjustRightInd w:val="0"/>
        <w:spacing w:after="0" w:line="240" w:lineRule="auto"/>
        <w:ind w:left="567"/>
        <w:jc w:val="both"/>
        <w:rPr>
          <w:rFonts w:eastAsia="Times New Roman" w:cs="Arial"/>
          <w:color w:val="auto"/>
          <w:sz w:val="20"/>
          <w:szCs w:val="20"/>
        </w:rPr>
      </w:pPr>
      <w:r w:rsidRPr="005A174A">
        <w:rPr>
          <w:rFonts w:eastAsia="Times New Roman" w:cs="Arial"/>
          <w:color w:val="auto"/>
          <w:sz w:val="20"/>
          <w:szCs w:val="20"/>
        </w:rPr>
        <w:t xml:space="preserve">Where prices for comparable properties are available in an active market, properties are valued at market value taking into account the existing use. Where no market exists or the property is specialised, current value is measured at depreciated replacement cost. </w:t>
      </w:r>
    </w:p>
    <w:p w:rsidR="00292A4B" w:rsidRPr="005A174A" w:rsidRDefault="00292A4B" w:rsidP="00292A4B">
      <w:pPr>
        <w:autoSpaceDE w:val="0"/>
        <w:autoSpaceDN w:val="0"/>
        <w:adjustRightInd w:val="0"/>
        <w:spacing w:after="0" w:line="240" w:lineRule="auto"/>
        <w:ind w:left="567"/>
        <w:jc w:val="both"/>
        <w:rPr>
          <w:rFonts w:eastAsia="Times New Roman" w:cs="Arial"/>
          <w:color w:val="auto"/>
          <w:sz w:val="20"/>
          <w:szCs w:val="20"/>
        </w:rPr>
      </w:pPr>
    </w:p>
    <w:p w:rsidR="00292A4B" w:rsidRPr="005A174A" w:rsidRDefault="00292A4B" w:rsidP="00292A4B">
      <w:pPr>
        <w:pStyle w:val="BodyText"/>
        <w:ind w:left="567"/>
        <w:jc w:val="both"/>
        <w:rPr>
          <w:rFonts w:eastAsia="Times New Roman" w:cs="Arial"/>
          <w:color w:val="auto"/>
          <w:sz w:val="20"/>
          <w:szCs w:val="20"/>
        </w:rPr>
      </w:pPr>
      <w:r w:rsidRPr="005A174A">
        <w:rPr>
          <w:rFonts w:eastAsia="Times New Roman" w:cs="Arial"/>
          <w:color w:val="auto"/>
          <w:sz w:val="20"/>
          <w:szCs w:val="20"/>
        </w:rPr>
        <w:t>Assets included in the Balance Sheet at current value are revalued sufficiently regularly to ensure that their carrying amount is not materially different from their current value at the year-end, but as a minimum every five years. In general within the rolling programme where an asset’s gross value is a value under £25,000 this asset value will be recorded at nil.</w:t>
      </w:r>
      <w:r w:rsidRPr="005A174A">
        <w:rPr>
          <w:rFonts w:cs="Arial"/>
          <w:color w:val="auto"/>
          <w:sz w:val="20"/>
          <w:szCs w:val="20"/>
        </w:rPr>
        <w:t xml:space="preserve"> All asset valuations are carried out in accordance with the Statements of Asset Valuation Practices and Guidance notes published by RICS and CIPFA. The management of property valuations is undertaken by Paul Palmer M.R.I.C.S. who is an employee of Torbay Development Agency. All planned revaluations in a financial year will be as at 1</w:t>
      </w:r>
      <w:r w:rsidRPr="005A174A">
        <w:rPr>
          <w:rFonts w:cs="Arial"/>
          <w:color w:val="auto"/>
          <w:sz w:val="20"/>
          <w:szCs w:val="20"/>
          <w:vertAlign w:val="superscript"/>
        </w:rPr>
        <w:t>st</w:t>
      </w:r>
      <w:r w:rsidRPr="005A174A">
        <w:rPr>
          <w:rFonts w:cs="Arial"/>
          <w:color w:val="auto"/>
          <w:sz w:val="20"/>
          <w:szCs w:val="20"/>
        </w:rPr>
        <w:t xml:space="preserve"> April of that year which results in depreciation for a year being calculated on the revalued amount. The only exception would be if the total depreciation charge for the year would be materially incorrect. </w:t>
      </w:r>
      <w:r w:rsidRPr="005A174A">
        <w:rPr>
          <w:rFonts w:eastAsia="Times New Roman" w:cs="Arial"/>
          <w:color w:val="auto"/>
          <w:sz w:val="20"/>
          <w:szCs w:val="20"/>
        </w:rPr>
        <w:t xml:space="preserve"> Increases in valuations are matched by credits to the Revaluation Reserve to recognise unrealised gains.</w:t>
      </w:r>
    </w:p>
    <w:p w:rsidR="00292A4B" w:rsidRPr="005A174A" w:rsidRDefault="00292A4B" w:rsidP="00292A4B">
      <w:pPr>
        <w:pStyle w:val="BodyText"/>
        <w:ind w:left="567"/>
        <w:jc w:val="both"/>
        <w:rPr>
          <w:rFonts w:cs="Arial"/>
          <w:color w:val="auto"/>
          <w:sz w:val="20"/>
          <w:szCs w:val="20"/>
          <w:lang w:eastAsia="en-GB"/>
        </w:rPr>
      </w:pPr>
      <w:r w:rsidRPr="005A174A">
        <w:rPr>
          <w:rFonts w:cs="Arial"/>
          <w:color w:val="auto"/>
          <w:sz w:val="20"/>
          <w:szCs w:val="20"/>
          <w:lang w:eastAsia="en-GB"/>
        </w:rPr>
        <w:t>Exceptionally, gains might be credited to the CIES where they arise from the reversal of a loss previously charged to a service.</w:t>
      </w:r>
    </w:p>
    <w:p w:rsidR="00292A4B" w:rsidRPr="005A174A" w:rsidRDefault="00292A4B" w:rsidP="00292A4B">
      <w:pPr>
        <w:autoSpaceDE w:val="0"/>
        <w:autoSpaceDN w:val="0"/>
        <w:ind w:left="567"/>
        <w:jc w:val="both"/>
        <w:rPr>
          <w:rFonts w:eastAsia="Times New Roman" w:cs="Arial"/>
          <w:color w:val="auto"/>
          <w:sz w:val="20"/>
          <w:szCs w:val="20"/>
        </w:rPr>
      </w:pPr>
      <w:r w:rsidRPr="005A174A">
        <w:rPr>
          <w:rFonts w:eastAsia="Times New Roman" w:cs="Arial"/>
          <w:color w:val="auto"/>
          <w:sz w:val="20"/>
          <w:szCs w:val="20"/>
        </w:rPr>
        <w:t>Where decreases in value are identified, they are accounted for by:</w:t>
      </w:r>
    </w:p>
    <w:p w:rsidR="00292A4B" w:rsidRPr="005A174A" w:rsidRDefault="00292A4B" w:rsidP="003E10DE">
      <w:pPr>
        <w:pStyle w:val="ListParagraph"/>
        <w:numPr>
          <w:ilvl w:val="0"/>
          <w:numId w:val="31"/>
        </w:numPr>
        <w:spacing w:after="0" w:line="240" w:lineRule="auto"/>
        <w:ind w:left="709" w:hanging="142"/>
        <w:jc w:val="both"/>
        <w:rPr>
          <w:rFonts w:eastAsia="Times New Roman" w:cs="Arial"/>
          <w:color w:val="auto"/>
          <w:sz w:val="20"/>
          <w:szCs w:val="20"/>
        </w:rPr>
      </w:pPr>
      <w:r w:rsidRPr="005A174A">
        <w:rPr>
          <w:rFonts w:eastAsia="Times New Roman" w:cs="Arial"/>
          <w:color w:val="auto"/>
          <w:sz w:val="20"/>
          <w:szCs w:val="20"/>
        </w:rPr>
        <w:t>where there is a balance of revaluation gains for the asset in the Revaluation Reserve, the carrying amount of the asset is written down against that balance (up to the amount of the accumulated gains)</w:t>
      </w:r>
    </w:p>
    <w:p w:rsidR="00292A4B" w:rsidRPr="005A174A" w:rsidRDefault="00292A4B" w:rsidP="003E10DE">
      <w:pPr>
        <w:pStyle w:val="ListParagraph"/>
        <w:numPr>
          <w:ilvl w:val="0"/>
          <w:numId w:val="31"/>
        </w:numPr>
        <w:spacing w:after="0" w:line="240" w:lineRule="auto"/>
        <w:ind w:left="709" w:hanging="142"/>
        <w:jc w:val="both"/>
        <w:rPr>
          <w:rFonts w:eastAsia="Times New Roman" w:cs="Arial"/>
          <w:color w:val="auto"/>
          <w:sz w:val="20"/>
          <w:szCs w:val="20"/>
        </w:rPr>
      </w:pPr>
      <w:r w:rsidRPr="005A174A">
        <w:rPr>
          <w:rFonts w:eastAsia="Times New Roman" w:cs="Arial"/>
          <w:color w:val="auto"/>
          <w:sz w:val="20"/>
          <w:szCs w:val="20"/>
        </w:rPr>
        <w:t>where there is no balance in the Revaluation Reserve or an insufficient balance, the carrying amount of the asset is written down against the relevant service line(s) in the CIES.</w:t>
      </w:r>
    </w:p>
    <w:p w:rsidR="00292A4B" w:rsidRPr="005A174A" w:rsidRDefault="00292A4B" w:rsidP="00292A4B">
      <w:pPr>
        <w:spacing w:after="0" w:line="240" w:lineRule="auto"/>
        <w:jc w:val="both"/>
        <w:rPr>
          <w:rFonts w:eastAsia="Times New Roman" w:cs="Arial"/>
          <w:color w:val="auto"/>
          <w:sz w:val="20"/>
          <w:szCs w:val="20"/>
        </w:rPr>
      </w:pPr>
    </w:p>
    <w:p w:rsidR="00292A4B" w:rsidRPr="005A174A" w:rsidRDefault="00292A4B" w:rsidP="00292A4B">
      <w:pPr>
        <w:spacing w:after="0" w:line="240" w:lineRule="auto"/>
        <w:ind w:left="567"/>
        <w:jc w:val="both"/>
        <w:rPr>
          <w:rFonts w:eastAsia="Times New Roman" w:cs="Arial"/>
          <w:color w:val="auto"/>
          <w:sz w:val="20"/>
          <w:szCs w:val="20"/>
        </w:rPr>
      </w:pPr>
      <w:r w:rsidRPr="005A174A">
        <w:rPr>
          <w:rFonts w:eastAsia="Times New Roman" w:cs="Arial"/>
          <w:color w:val="auto"/>
          <w:sz w:val="20"/>
          <w:szCs w:val="20"/>
        </w:rPr>
        <w:t>The Revaluation Reserve contains revaluation gains recognised since 1 April 2007 only, the date of its formal implementation. Gains arising before that date have been consolidated into the Capital Adjustment Account.</w:t>
      </w:r>
    </w:p>
    <w:p w:rsidR="00292A4B" w:rsidRPr="005A174A" w:rsidRDefault="00292A4B" w:rsidP="00292A4B">
      <w:pPr>
        <w:spacing w:after="0" w:line="240" w:lineRule="auto"/>
        <w:jc w:val="both"/>
        <w:rPr>
          <w:rFonts w:eastAsia="Times New Roman" w:cs="Arial"/>
          <w:color w:val="auto"/>
          <w:sz w:val="20"/>
          <w:szCs w:val="20"/>
        </w:rPr>
      </w:pPr>
    </w:p>
    <w:p w:rsidR="00292A4B" w:rsidRPr="00E9228D" w:rsidRDefault="00292A4B" w:rsidP="00292A4B">
      <w:pPr>
        <w:spacing w:after="0" w:line="240" w:lineRule="auto"/>
        <w:ind w:left="567"/>
        <w:jc w:val="both"/>
        <w:rPr>
          <w:rFonts w:eastAsia="Times New Roman" w:cs="Arial"/>
          <w:color w:val="auto"/>
          <w:sz w:val="20"/>
          <w:szCs w:val="20"/>
        </w:rPr>
      </w:pPr>
      <w:r w:rsidRPr="005A174A">
        <w:rPr>
          <w:rFonts w:eastAsia="Times New Roman" w:cs="Arial"/>
          <w:color w:val="auto"/>
          <w:sz w:val="20"/>
          <w:szCs w:val="20"/>
        </w:rPr>
        <w:t xml:space="preserve">Assets are assessed at each year-end as to whether there is any indication that items may be impaired. Where indications exist and any possible differences are estimated to be material, the </w:t>
      </w:r>
      <w:r w:rsidRPr="00E9228D">
        <w:rPr>
          <w:rFonts w:eastAsia="Times New Roman" w:cs="Arial"/>
          <w:color w:val="auto"/>
          <w:sz w:val="20"/>
          <w:szCs w:val="20"/>
        </w:rPr>
        <w:t>recoverable amount of the asset is estimated and, where this is less than the carrying amount of the asset, an impairment loss is recognised for the shortfall.  Where impairment losses are identified, they are accounted for in the same way as revaluation losses.</w:t>
      </w:r>
    </w:p>
    <w:p w:rsidR="00292A4B" w:rsidRPr="00E9228D" w:rsidRDefault="00292A4B" w:rsidP="00292A4B">
      <w:pPr>
        <w:spacing w:after="0" w:line="240" w:lineRule="auto"/>
        <w:jc w:val="both"/>
        <w:rPr>
          <w:rFonts w:eastAsia="Times New Roman" w:cs="Arial"/>
          <w:color w:val="auto"/>
          <w:sz w:val="20"/>
          <w:szCs w:val="20"/>
        </w:rPr>
      </w:pPr>
    </w:p>
    <w:p w:rsidR="00292A4B" w:rsidRPr="00E9228D" w:rsidRDefault="00292A4B" w:rsidP="00292A4B">
      <w:pPr>
        <w:pStyle w:val="BodyTextIndent"/>
        <w:ind w:left="567"/>
        <w:jc w:val="both"/>
        <w:rPr>
          <w:rFonts w:cs="Arial"/>
          <w:color w:val="auto"/>
          <w:sz w:val="20"/>
          <w:szCs w:val="20"/>
        </w:rPr>
      </w:pPr>
      <w:r w:rsidRPr="00E9228D">
        <w:rPr>
          <w:rFonts w:cs="Arial"/>
          <w:color w:val="auto"/>
          <w:sz w:val="20"/>
          <w:szCs w:val="20"/>
          <w:lang w:eastAsia="en-GB"/>
        </w:rPr>
        <w:t xml:space="preserve">Depreciation is provided for on all Property, Plant and Equipment assets by the systematic allocation of their depreciable amounts over their useful lives </w:t>
      </w:r>
      <w:r w:rsidRPr="00E9228D">
        <w:rPr>
          <w:rFonts w:cs="Arial"/>
          <w:color w:val="auto"/>
          <w:sz w:val="20"/>
          <w:szCs w:val="20"/>
        </w:rPr>
        <w:t>as estimated by the Council’s valuer, making an allowance for any residual value. Annual depreciation is calculated based upon the Balance Sheet value for each asset as at 1</w:t>
      </w:r>
      <w:r w:rsidRPr="00E9228D">
        <w:rPr>
          <w:rFonts w:cs="Arial"/>
          <w:color w:val="auto"/>
          <w:sz w:val="20"/>
          <w:szCs w:val="20"/>
          <w:vertAlign w:val="superscript"/>
        </w:rPr>
        <w:t>st</w:t>
      </w:r>
      <w:r w:rsidRPr="00E9228D">
        <w:rPr>
          <w:rFonts w:cs="Arial"/>
          <w:color w:val="auto"/>
          <w:sz w:val="20"/>
          <w:szCs w:val="20"/>
        </w:rPr>
        <w:t xml:space="preserve"> April for that year which will include any revaluations in year.</w:t>
      </w:r>
    </w:p>
    <w:p w:rsidR="00292A4B" w:rsidRPr="00E9228D" w:rsidRDefault="00292A4B" w:rsidP="00292A4B">
      <w:pPr>
        <w:spacing w:after="0" w:line="240" w:lineRule="auto"/>
        <w:ind w:left="567"/>
        <w:jc w:val="both"/>
        <w:rPr>
          <w:rFonts w:eastAsia="Times New Roman" w:cs="Arial"/>
          <w:color w:val="auto"/>
          <w:sz w:val="20"/>
          <w:szCs w:val="20"/>
        </w:rPr>
      </w:pPr>
      <w:r w:rsidRPr="00E9228D">
        <w:rPr>
          <w:rFonts w:eastAsia="Times New Roman" w:cs="Arial"/>
          <w:color w:val="auto"/>
          <w:sz w:val="20"/>
          <w:szCs w:val="20"/>
        </w:rPr>
        <w:t>An exception is made for assets without a determinable finite useful life (i.e. freehold land and certain Community Assets) and assets that are not yet available for use (i.e. assets under construction).</w:t>
      </w:r>
    </w:p>
    <w:p w:rsidR="00292A4B" w:rsidRPr="00E9228D" w:rsidRDefault="00292A4B" w:rsidP="00292A4B">
      <w:pPr>
        <w:spacing w:after="0" w:line="240" w:lineRule="auto"/>
        <w:jc w:val="both"/>
        <w:rPr>
          <w:rFonts w:eastAsia="Times New Roman" w:cs="Arial"/>
          <w:color w:val="auto"/>
          <w:sz w:val="20"/>
          <w:szCs w:val="20"/>
        </w:rPr>
      </w:pPr>
    </w:p>
    <w:p w:rsidR="00292A4B" w:rsidRPr="00F941E0" w:rsidRDefault="00292A4B" w:rsidP="00292A4B">
      <w:pPr>
        <w:autoSpaceDE w:val="0"/>
        <w:autoSpaceDN w:val="0"/>
        <w:ind w:firstLine="405"/>
        <w:jc w:val="both"/>
        <w:rPr>
          <w:rFonts w:eastAsia="Times New Roman" w:cs="Arial"/>
          <w:color w:val="auto"/>
          <w:sz w:val="20"/>
          <w:szCs w:val="20"/>
        </w:rPr>
      </w:pPr>
      <w:r w:rsidRPr="00F941E0">
        <w:rPr>
          <w:rFonts w:eastAsia="Times New Roman" w:cs="Arial"/>
          <w:color w:val="auto"/>
          <w:sz w:val="20"/>
          <w:szCs w:val="20"/>
        </w:rPr>
        <w:t>The valuation of land is determined by one of the following:-</w:t>
      </w:r>
    </w:p>
    <w:p w:rsidR="00292A4B" w:rsidRPr="00F941E0" w:rsidRDefault="00292A4B" w:rsidP="003E10DE">
      <w:pPr>
        <w:pStyle w:val="ListParagraph"/>
        <w:numPr>
          <w:ilvl w:val="0"/>
          <w:numId w:val="34"/>
        </w:numPr>
        <w:autoSpaceDE w:val="0"/>
        <w:autoSpaceDN w:val="0"/>
        <w:spacing w:after="0" w:line="240" w:lineRule="auto"/>
        <w:contextualSpacing w:val="0"/>
        <w:jc w:val="both"/>
        <w:rPr>
          <w:rFonts w:eastAsia="Times New Roman" w:cs="Arial"/>
          <w:color w:val="auto"/>
          <w:sz w:val="20"/>
          <w:szCs w:val="20"/>
        </w:rPr>
      </w:pPr>
      <w:r w:rsidRPr="00F941E0">
        <w:rPr>
          <w:rFonts w:eastAsia="Times New Roman" w:cs="Arial"/>
          <w:color w:val="auto"/>
          <w:sz w:val="20"/>
          <w:szCs w:val="20"/>
        </w:rPr>
        <w:lastRenderedPageBreak/>
        <w:t>where the asset being valued includes a building, the land value is assumed to be 30% of the value of the asset, or a percentage as adjusted by the Valuer if they feel a different percentage is appropriate.</w:t>
      </w:r>
    </w:p>
    <w:p w:rsidR="00292A4B" w:rsidRPr="00F941E0" w:rsidRDefault="00292A4B" w:rsidP="00292A4B">
      <w:pPr>
        <w:pStyle w:val="ListParagraph"/>
        <w:autoSpaceDE w:val="0"/>
        <w:autoSpaceDN w:val="0"/>
        <w:spacing w:after="0" w:line="240" w:lineRule="auto"/>
        <w:ind w:left="765"/>
        <w:contextualSpacing w:val="0"/>
        <w:jc w:val="both"/>
        <w:rPr>
          <w:rFonts w:eastAsia="Times New Roman" w:cs="Arial"/>
          <w:color w:val="auto"/>
          <w:sz w:val="20"/>
          <w:szCs w:val="20"/>
        </w:rPr>
      </w:pPr>
    </w:p>
    <w:p w:rsidR="00292A4B" w:rsidRDefault="00292A4B" w:rsidP="003E10DE">
      <w:pPr>
        <w:pStyle w:val="ListParagraph"/>
        <w:numPr>
          <w:ilvl w:val="0"/>
          <w:numId w:val="34"/>
        </w:numPr>
        <w:autoSpaceDE w:val="0"/>
        <w:autoSpaceDN w:val="0"/>
        <w:spacing w:after="0" w:line="240" w:lineRule="auto"/>
        <w:contextualSpacing w:val="0"/>
        <w:jc w:val="both"/>
        <w:rPr>
          <w:rFonts w:eastAsia="Times New Roman" w:cs="Arial"/>
          <w:color w:val="auto"/>
          <w:sz w:val="20"/>
          <w:szCs w:val="20"/>
        </w:rPr>
      </w:pPr>
      <w:r w:rsidRPr="00F941E0">
        <w:rPr>
          <w:rFonts w:eastAsia="Times New Roman" w:cs="Arial"/>
          <w:color w:val="auto"/>
          <w:sz w:val="20"/>
          <w:szCs w:val="20"/>
        </w:rPr>
        <w:t>where there is no building, the prevailing land value in the locality of the asset taking into account its use, is used</w:t>
      </w:r>
    </w:p>
    <w:p w:rsidR="00F941E0" w:rsidRPr="00F941E0" w:rsidRDefault="00F941E0" w:rsidP="00F941E0">
      <w:pPr>
        <w:pStyle w:val="ListParagraph"/>
        <w:rPr>
          <w:rFonts w:eastAsia="Times New Roman" w:cs="Arial"/>
          <w:color w:val="auto"/>
          <w:sz w:val="20"/>
          <w:szCs w:val="20"/>
        </w:rPr>
      </w:pPr>
    </w:p>
    <w:p w:rsidR="00F941E0" w:rsidRPr="00F941E0" w:rsidRDefault="00F941E0" w:rsidP="00F941E0">
      <w:pPr>
        <w:pStyle w:val="ListParagraph"/>
        <w:autoSpaceDE w:val="0"/>
        <w:autoSpaceDN w:val="0"/>
        <w:spacing w:after="0" w:line="240" w:lineRule="auto"/>
        <w:ind w:left="765"/>
        <w:contextualSpacing w:val="0"/>
        <w:jc w:val="both"/>
        <w:rPr>
          <w:rFonts w:eastAsia="Times New Roman" w:cs="Arial"/>
          <w:color w:val="auto"/>
          <w:sz w:val="20"/>
          <w:szCs w:val="20"/>
        </w:rPr>
      </w:pPr>
    </w:p>
    <w:p w:rsidR="00292A4B" w:rsidRPr="00F941E0" w:rsidRDefault="00292A4B" w:rsidP="00D90AE9">
      <w:pPr>
        <w:autoSpaceDE w:val="0"/>
        <w:autoSpaceDN w:val="0"/>
        <w:ind w:left="567"/>
        <w:jc w:val="both"/>
        <w:rPr>
          <w:rFonts w:cs="Arial"/>
          <w:color w:val="auto"/>
          <w:sz w:val="20"/>
          <w:szCs w:val="20"/>
          <w:lang w:eastAsia="en-GB"/>
        </w:rPr>
      </w:pPr>
      <w:r w:rsidRPr="00F941E0">
        <w:rPr>
          <w:rFonts w:cs="Arial"/>
          <w:color w:val="auto"/>
          <w:sz w:val="20"/>
          <w:szCs w:val="20"/>
          <w:lang w:eastAsia="en-GB"/>
        </w:rPr>
        <w:t>Over the five year rolling programme of valuations all land will be valued on the above basis.</w:t>
      </w:r>
    </w:p>
    <w:p w:rsidR="00292A4B" w:rsidRPr="00E9228D" w:rsidRDefault="00292A4B" w:rsidP="00292A4B">
      <w:pPr>
        <w:autoSpaceDE w:val="0"/>
        <w:autoSpaceDN w:val="0"/>
        <w:ind w:left="567"/>
        <w:jc w:val="both"/>
        <w:rPr>
          <w:rFonts w:cs="Arial"/>
          <w:color w:val="auto"/>
          <w:sz w:val="20"/>
          <w:szCs w:val="20"/>
          <w:lang w:eastAsia="en-GB"/>
        </w:rPr>
      </w:pPr>
      <w:r w:rsidRPr="00E9228D">
        <w:rPr>
          <w:rFonts w:cs="Arial"/>
          <w:color w:val="auto"/>
          <w:sz w:val="20"/>
          <w:szCs w:val="20"/>
          <w:lang w:eastAsia="en-GB"/>
        </w:rPr>
        <w:t xml:space="preserve">When it becomes probable that the carrying amount of an asset will be recovered principally through a sale transaction rather than through its continuing use, it is reclassified as an Asset Held for Sale. </w:t>
      </w:r>
    </w:p>
    <w:p w:rsidR="00292A4B" w:rsidRPr="00CE300E" w:rsidRDefault="00292A4B" w:rsidP="00292A4B">
      <w:pPr>
        <w:spacing w:after="0" w:line="240" w:lineRule="auto"/>
        <w:ind w:left="567"/>
        <w:jc w:val="both"/>
        <w:rPr>
          <w:rFonts w:eastAsia="Times New Roman" w:cs="Arial"/>
          <w:color w:val="auto"/>
          <w:sz w:val="20"/>
          <w:szCs w:val="20"/>
        </w:rPr>
      </w:pPr>
      <w:r w:rsidRPr="00CE300E">
        <w:rPr>
          <w:rFonts w:eastAsia="Times New Roman" w:cs="Arial"/>
          <w:color w:val="auto"/>
          <w:sz w:val="20"/>
          <w:szCs w:val="20"/>
        </w:rPr>
        <w:t>When an asset is disposed of or decommissioned, the carrying amount of the asset in the Balance Sheet (whether Property, Plant and Equipment or Assets Held for Sale) is written off to the Other Operating Expenditure line in the CIES against any receipts arising from the disposal as a gain or loss on disposal.</w:t>
      </w:r>
    </w:p>
    <w:p w:rsidR="00D90AE9" w:rsidRDefault="00D90AE9" w:rsidP="00292A4B">
      <w:pPr>
        <w:ind w:left="525"/>
        <w:jc w:val="both"/>
        <w:rPr>
          <w:rFonts w:eastAsia="Times New Roman" w:cs="Arial"/>
          <w:b/>
          <w:color w:val="auto"/>
          <w:sz w:val="20"/>
          <w:szCs w:val="20"/>
        </w:rPr>
      </w:pPr>
    </w:p>
    <w:p w:rsidR="00292A4B" w:rsidRPr="008E7E29" w:rsidRDefault="00292A4B" w:rsidP="00292A4B">
      <w:pPr>
        <w:ind w:left="525"/>
        <w:jc w:val="both"/>
        <w:rPr>
          <w:rFonts w:eastAsia="Times New Roman" w:cs="Arial"/>
          <w:b/>
          <w:color w:val="auto"/>
          <w:sz w:val="20"/>
          <w:szCs w:val="20"/>
        </w:rPr>
      </w:pPr>
      <w:r w:rsidRPr="008E7E29">
        <w:rPr>
          <w:rFonts w:eastAsia="Times New Roman" w:cs="Arial"/>
          <w:b/>
          <w:color w:val="auto"/>
          <w:sz w:val="20"/>
          <w:szCs w:val="20"/>
        </w:rPr>
        <w:t>Schools Recognition</w:t>
      </w:r>
    </w:p>
    <w:p w:rsidR="00292A4B" w:rsidRPr="008E7E29" w:rsidRDefault="00292A4B" w:rsidP="00292A4B">
      <w:pPr>
        <w:ind w:left="525"/>
        <w:jc w:val="both"/>
        <w:rPr>
          <w:rFonts w:eastAsia="Times New Roman" w:cs="Arial"/>
          <w:color w:val="auto"/>
          <w:sz w:val="20"/>
          <w:szCs w:val="20"/>
        </w:rPr>
      </w:pPr>
      <w:r w:rsidRPr="008E7E29">
        <w:rPr>
          <w:rFonts w:eastAsia="Times New Roman" w:cs="Arial"/>
          <w:color w:val="auto"/>
          <w:sz w:val="20"/>
          <w:szCs w:val="20"/>
        </w:rPr>
        <w:t>The Council’s recognition (or otherwise) of the different types of school assets are as follows:</w:t>
      </w:r>
    </w:p>
    <w:tbl>
      <w:tblPr>
        <w:tblStyle w:val="TableGrid"/>
        <w:tblW w:w="0" w:type="auto"/>
        <w:tblInd w:w="675" w:type="dxa"/>
        <w:tblLook w:val="04A0"/>
      </w:tblPr>
      <w:tblGrid>
        <w:gridCol w:w="2127"/>
        <w:gridCol w:w="2121"/>
        <w:gridCol w:w="2196"/>
        <w:gridCol w:w="2123"/>
      </w:tblGrid>
      <w:tr w:rsidR="00292A4B" w:rsidRPr="008E7E29" w:rsidTr="00F82E5E">
        <w:tc>
          <w:tcPr>
            <w:tcW w:w="2127" w:type="dxa"/>
          </w:tcPr>
          <w:p w:rsidR="00292A4B" w:rsidRPr="008E7E29" w:rsidRDefault="00292A4B" w:rsidP="00F82E5E">
            <w:pPr>
              <w:jc w:val="both"/>
              <w:rPr>
                <w:rFonts w:eastAsia="Times New Roman" w:cs="Arial"/>
                <w:b/>
                <w:color w:val="auto"/>
                <w:sz w:val="20"/>
                <w:szCs w:val="20"/>
              </w:rPr>
            </w:pPr>
            <w:r w:rsidRPr="008E7E29">
              <w:rPr>
                <w:rFonts w:eastAsia="Times New Roman" w:cs="Arial"/>
                <w:b/>
                <w:color w:val="auto"/>
                <w:sz w:val="20"/>
                <w:szCs w:val="20"/>
              </w:rPr>
              <w:t>Schools Type</w:t>
            </w:r>
          </w:p>
        </w:tc>
        <w:tc>
          <w:tcPr>
            <w:tcW w:w="2121" w:type="dxa"/>
          </w:tcPr>
          <w:p w:rsidR="00292A4B" w:rsidRPr="008E7E29" w:rsidRDefault="00292A4B" w:rsidP="00F82E5E">
            <w:pPr>
              <w:jc w:val="both"/>
              <w:rPr>
                <w:rFonts w:eastAsia="Times New Roman" w:cs="Arial"/>
                <w:b/>
                <w:color w:val="auto"/>
                <w:sz w:val="20"/>
                <w:szCs w:val="20"/>
              </w:rPr>
            </w:pPr>
            <w:r w:rsidRPr="008E7E29">
              <w:rPr>
                <w:rFonts w:eastAsia="Times New Roman" w:cs="Arial"/>
                <w:b/>
                <w:color w:val="auto"/>
                <w:sz w:val="20"/>
                <w:szCs w:val="20"/>
              </w:rPr>
              <w:t>Land</w:t>
            </w:r>
          </w:p>
        </w:tc>
        <w:tc>
          <w:tcPr>
            <w:tcW w:w="2196" w:type="dxa"/>
          </w:tcPr>
          <w:p w:rsidR="00292A4B" w:rsidRPr="008E7E29" w:rsidRDefault="00292A4B" w:rsidP="00F82E5E">
            <w:pPr>
              <w:jc w:val="both"/>
              <w:rPr>
                <w:rFonts w:eastAsia="Times New Roman" w:cs="Arial"/>
                <w:b/>
                <w:color w:val="auto"/>
                <w:sz w:val="20"/>
                <w:szCs w:val="20"/>
              </w:rPr>
            </w:pPr>
            <w:r w:rsidRPr="008E7E29">
              <w:rPr>
                <w:rFonts w:eastAsia="Times New Roman" w:cs="Arial"/>
                <w:b/>
                <w:color w:val="auto"/>
                <w:sz w:val="20"/>
                <w:szCs w:val="20"/>
              </w:rPr>
              <w:t>Buildings</w:t>
            </w:r>
          </w:p>
        </w:tc>
        <w:tc>
          <w:tcPr>
            <w:tcW w:w="2123" w:type="dxa"/>
          </w:tcPr>
          <w:p w:rsidR="00292A4B" w:rsidRPr="008E7E29" w:rsidRDefault="00292A4B" w:rsidP="00F82E5E">
            <w:pPr>
              <w:jc w:val="both"/>
              <w:rPr>
                <w:rFonts w:eastAsia="Times New Roman" w:cs="Arial"/>
                <w:b/>
                <w:color w:val="auto"/>
                <w:sz w:val="20"/>
                <w:szCs w:val="20"/>
              </w:rPr>
            </w:pPr>
            <w:r w:rsidRPr="008E7E29">
              <w:rPr>
                <w:rFonts w:eastAsia="Times New Roman" w:cs="Arial"/>
                <w:b/>
                <w:color w:val="auto"/>
                <w:sz w:val="20"/>
                <w:szCs w:val="20"/>
              </w:rPr>
              <w:t>Test</w:t>
            </w:r>
          </w:p>
        </w:tc>
      </w:tr>
      <w:tr w:rsidR="00292A4B" w:rsidRPr="008E7E29" w:rsidTr="00F82E5E">
        <w:tc>
          <w:tcPr>
            <w:tcW w:w="2127"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Community</w:t>
            </w:r>
          </w:p>
        </w:tc>
        <w:tc>
          <w:tcPr>
            <w:tcW w:w="2121"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On balance sheet</w:t>
            </w:r>
          </w:p>
        </w:tc>
        <w:tc>
          <w:tcPr>
            <w:tcW w:w="2196"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On balance sheet</w:t>
            </w:r>
          </w:p>
        </w:tc>
        <w:tc>
          <w:tcPr>
            <w:tcW w:w="2123"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Council Control</w:t>
            </w:r>
          </w:p>
        </w:tc>
      </w:tr>
      <w:tr w:rsidR="00292A4B" w:rsidRPr="008E7E29" w:rsidTr="00F82E5E">
        <w:tc>
          <w:tcPr>
            <w:tcW w:w="2127"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Academy</w:t>
            </w:r>
          </w:p>
        </w:tc>
        <w:tc>
          <w:tcPr>
            <w:tcW w:w="2121" w:type="dxa"/>
          </w:tcPr>
          <w:p w:rsidR="00292A4B" w:rsidRPr="008E7E29" w:rsidRDefault="00292A4B" w:rsidP="00F82E5E">
            <w:pPr>
              <w:jc w:val="both"/>
              <w:rPr>
                <w:color w:val="auto"/>
              </w:rPr>
            </w:pPr>
            <w:r w:rsidRPr="008E7E29">
              <w:rPr>
                <w:rFonts w:eastAsia="Times New Roman" w:cs="Arial"/>
                <w:color w:val="auto"/>
                <w:sz w:val="20"/>
                <w:szCs w:val="20"/>
              </w:rPr>
              <w:t>Off balance sheet</w:t>
            </w:r>
          </w:p>
        </w:tc>
        <w:tc>
          <w:tcPr>
            <w:tcW w:w="2196" w:type="dxa"/>
          </w:tcPr>
          <w:p w:rsidR="00292A4B" w:rsidRPr="008E7E29" w:rsidRDefault="00292A4B" w:rsidP="00F82E5E">
            <w:pPr>
              <w:jc w:val="both"/>
              <w:rPr>
                <w:color w:val="auto"/>
              </w:rPr>
            </w:pPr>
            <w:r w:rsidRPr="008E7E29">
              <w:rPr>
                <w:rFonts w:eastAsia="Times New Roman" w:cs="Arial"/>
                <w:color w:val="auto"/>
                <w:sz w:val="20"/>
                <w:szCs w:val="20"/>
              </w:rPr>
              <w:t>Off balance sheet</w:t>
            </w:r>
          </w:p>
        </w:tc>
        <w:tc>
          <w:tcPr>
            <w:tcW w:w="2123"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Academy freehold of long lease</w:t>
            </w:r>
          </w:p>
        </w:tc>
      </w:tr>
      <w:tr w:rsidR="00292A4B" w:rsidRPr="008E7E29" w:rsidTr="00F82E5E">
        <w:tc>
          <w:tcPr>
            <w:tcW w:w="2127"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 xml:space="preserve">Foundation </w:t>
            </w:r>
          </w:p>
        </w:tc>
        <w:tc>
          <w:tcPr>
            <w:tcW w:w="2121" w:type="dxa"/>
          </w:tcPr>
          <w:p w:rsidR="00292A4B" w:rsidRPr="008E7E29" w:rsidRDefault="00292A4B" w:rsidP="00F82E5E">
            <w:pPr>
              <w:jc w:val="both"/>
              <w:rPr>
                <w:color w:val="auto"/>
              </w:rPr>
            </w:pPr>
            <w:r w:rsidRPr="008E7E29">
              <w:rPr>
                <w:rFonts w:eastAsia="Times New Roman" w:cs="Arial"/>
                <w:color w:val="auto"/>
                <w:sz w:val="20"/>
                <w:szCs w:val="20"/>
              </w:rPr>
              <w:t>On balance sheet</w:t>
            </w:r>
          </w:p>
        </w:tc>
        <w:tc>
          <w:tcPr>
            <w:tcW w:w="2196" w:type="dxa"/>
          </w:tcPr>
          <w:p w:rsidR="00292A4B" w:rsidRPr="008E7E29" w:rsidRDefault="00292A4B" w:rsidP="00F82E5E">
            <w:pPr>
              <w:jc w:val="both"/>
              <w:rPr>
                <w:color w:val="auto"/>
              </w:rPr>
            </w:pPr>
            <w:r w:rsidRPr="008E7E29">
              <w:rPr>
                <w:rFonts w:eastAsia="Times New Roman" w:cs="Arial"/>
                <w:color w:val="auto"/>
                <w:sz w:val="20"/>
                <w:szCs w:val="20"/>
              </w:rPr>
              <w:t>On balance sheet</w:t>
            </w:r>
          </w:p>
        </w:tc>
        <w:tc>
          <w:tcPr>
            <w:tcW w:w="2123"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IFRS10 – subsidiary</w:t>
            </w:r>
          </w:p>
        </w:tc>
      </w:tr>
      <w:tr w:rsidR="00292A4B" w:rsidRPr="008E7E29" w:rsidTr="00F82E5E">
        <w:tc>
          <w:tcPr>
            <w:tcW w:w="2127"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Voluntary Aided</w:t>
            </w:r>
          </w:p>
        </w:tc>
        <w:tc>
          <w:tcPr>
            <w:tcW w:w="2121"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Off balance sheet</w:t>
            </w:r>
          </w:p>
        </w:tc>
        <w:tc>
          <w:tcPr>
            <w:tcW w:w="2196"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On balance sheet</w:t>
            </w:r>
          </w:p>
        </w:tc>
        <w:tc>
          <w:tcPr>
            <w:tcW w:w="2123" w:type="dxa"/>
          </w:tcPr>
          <w:p w:rsidR="00292A4B" w:rsidRPr="008E7E29" w:rsidRDefault="00292A4B" w:rsidP="00F82E5E">
            <w:pPr>
              <w:rPr>
                <w:rFonts w:eastAsia="Times New Roman" w:cs="Arial"/>
                <w:color w:val="auto"/>
                <w:sz w:val="20"/>
                <w:szCs w:val="20"/>
              </w:rPr>
            </w:pPr>
            <w:r w:rsidRPr="008E7E29">
              <w:rPr>
                <w:rFonts w:eastAsia="Times New Roman" w:cs="Arial"/>
                <w:color w:val="auto"/>
                <w:sz w:val="20"/>
                <w:szCs w:val="20"/>
              </w:rPr>
              <w:t>Substance of arrangement</w:t>
            </w:r>
          </w:p>
        </w:tc>
      </w:tr>
      <w:tr w:rsidR="00292A4B" w:rsidRPr="008E7E29" w:rsidTr="00F82E5E">
        <w:tc>
          <w:tcPr>
            <w:tcW w:w="2127"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Voluntary Controlled</w:t>
            </w:r>
          </w:p>
        </w:tc>
        <w:tc>
          <w:tcPr>
            <w:tcW w:w="2121"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Off balance sheet</w:t>
            </w:r>
          </w:p>
        </w:tc>
        <w:tc>
          <w:tcPr>
            <w:tcW w:w="2196"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On balance sheet</w:t>
            </w:r>
          </w:p>
        </w:tc>
        <w:tc>
          <w:tcPr>
            <w:tcW w:w="2123" w:type="dxa"/>
          </w:tcPr>
          <w:p w:rsidR="00292A4B" w:rsidRPr="008E7E29" w:rsidRDefault="00292A4B" w:rsidP="00F82E5E">
            <w:pPr>
              <w:rPr>
                <w:rFonts w:eastAsia="Times New Roman" w:cs="Arial"/>
                <w:color w:val="auto"/>
                <w:sz w:val="20"/>
                <w:szCs w:val="20"/>
              </w:rPr>
            </w:pPr>
            <w:r w:rsidRPr="008E7E29">
              <w:rPr>
                <w:rFonts w:eastAsia="Times New Roman" w:cs="Arial"/>
                <w:color w:val="auto"/>
                <w:sz w:val="20"/>
                <w:szCs w:val="20"/>
              </w:rPr>
              <w:t>Substance of arrangement</w:t>
            </w:r>
          </w:p>
        </w:tc>
      </w:tr>
      <w:tr w:rsidR="00292A4B" w:rsidRPr="00A767DD" w:rsidTr="00F82E5E">
        <w:tc>
          <w:tcPr>
            <w:tcW w:w="2127"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Playing Fields</w:t>
            </w:r>
          </w:p>
        </w:tc>
        <w:tc>
          <w:tcPr>
            <w:tcW w:w="2121"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On balance sheet</w:t>
            </w:r>
          </w:p>
        </w:tc>
        <w:tc>
          <w:tcPr>
            <w:tcW w:w="2196"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n/a</w:t>
            </w:r>
          </w:p>
        </w:tc>
        <w:tc>
          <w:tcPr>
            <w:tcW w:w="2123" w:type="dxa"/>
          </w:tcPr>
          <w:p w:rsidR="00292A4B" w:rsidRPr="008E7E29" w:rsidRDefault="00292A4B" w:rsidP="00F82E5E">
            <w:pPr>
              <w:jc w:val="both"/>
              <w:rPr>
                <w:rFonts w:eastAsia="Times New Roman" w:cs="Arial"/>
                <w:color w:val="auto"/>
                <w:sz w:val="20"/>
                <w:szCs w:val="20"/>
              </w:rPr>
            </w:pPr>
            <w:r w:rsidRPr="008E7E29">
              <w:rPr>
                <w:rFonts w:eastAsia="Times New Roman" w:cs="Arial"/>
                <w:color w:val="auto"/>
                <w:sz w:val="20"/>
                <w:szCs w:val="20"/>
              </w:rPr>
              <w:t>Council Control</w:t>
            </w:r>
          </w:p>
        </w:tc>
      </w:tr>
    </w:tbl>
    <w:p w:rsidR="00D90AE9" w:rsidRPr="008E7E29" w:rsidRDefault="00292A4B" w:rsidP="00D90AE9">
      <w:pPr>
        <w:pStyle w:val="BodyTextIndent"/>
        <w:ind w:left="525"/>
        <w:jc w:val="both"/>
        <w:rPr>
          <w:rFonts w:cs="Arial"/>
          <w:i/>
          <w:color w:val="auto"/>
          <w:sz w:val="20"/>
          <w:szCs w:val="20"/>
        </w:rPr>
      </w:pPr>
      <w:r w:rsidRPr="008E7E29">
        <w:rPr>
          <w:rFonts w:cs="Arial"/>
          <w:i/>
          <w:color w:val="auto"/>
          <w:sz w:val="20"/>
          <w:szCs w:val="20"/>
        </w:rPr>
        <w:tab/>
      </w:r>
    </w:p>
    <w:p w:rsidR="00292A4B" w:rsidRPr="008E7E29" w:rsidRDefault="00292A4B" w:rsidP="00292A4B">
      <w:pPr>
        <w:pStyle w:val="BodyTextIndent"/>
        <w:ind w:left="525"/>
        <w:jc w:val="both"/>
        <w:rPr>
          <w:rFonts w:cs="Arial"/>
          <w:color w:val="auto"/>
          <w:sz w:val="20"/>
          <w:szCs w:val="20"/>
        </w:rPr>
      </w:pPr>
      <w:r w:rsidRPr="008E7E29">
        <w:rPr>
          <w:rFonts w:cs="Arial"/>
          <w:color w:val="auto"/>
          <w:sz w:val="20"/>
          <w:szCs w:val="20"/>
        </w:rPr>
        <w:tab/>
        <w:t>Voluntary Aided Schools and Voluntary Controlled Schools:</w:t>
      </w:r>
    </w:p>
    <w:p w:rsidR="00292A4B" w:rsidRPr="0063179D" w:rsidRDefault="00292A4B" w:rsidP="00292A4B">
      <w:pPr>
        <w:pStyle w:val="BodyTextIndent"/>
        <w:ind w:left="525"/>
        <w:jc w:val="both"/>
        <w:rPr>
          <w:rFonts w:cs="Arial"/>
          <w:color w:val="auto"/>
          <w:sz w:val="20"/>
          <w:szCs w:val="20"/>
        </w:rPr>
      </w:pPr>
      <w:r w:rsidRPr="008E7E29">
        <w:rPr>
          <w:rFonts w:cs="Arial"/>
          <w:color w:val="auto"/>
          <w:sz w:val="20"/>
          <w:szCs w:val="20"/>
        </w:rPr>
        <w:t xml:space="preserve">The land and buildings are owned by dioceses. Under IFRS10 maintained schools, including Voluntary Controlled and Voluntary Aided, meet the definition of entities controlled by the Council. Therefore all assets and liabilities of the school are recognised on the Council’s balance sheet. In the absence of any lease arrangements between the diocese and governing body and based on the substance of the arrangement the assets have been recognised on the Council’s balance sheet. The substance of the arrangement is that the asset has been used for </w:t>
      </w:r>
      <w:r w:rsidRPr="0063179D">
        <w:rPr>
          <w:rFonts w:cs="Arial"/>
          <w:color w:val="auto"/>
          <w:sz w:val="20"/>
          <w:szCs w:val="20"/>
        </w:rPr>
        <w:t>school purposes for a number of years and at year end there is no expectation that the diocese will exercise its rights to take back the assets. In addition the Council is funding the school and the governing body are controlling the use of the asset as a school and are maintaining and insuring the assets.</w:t>
      </w:r>
    </w:p>
    <w:p w:rsidR="00292A4B" w:rsidRPr="0063179D" w:rsidRDefault="00292A4B" w:rsidP="00292A4B">
      <w:pPr>
        <w:pStyle w:val="BodyTextIndent"/>
        <w:ind w:left="525"/>
        <w:jc w:val="both"/>
        <w:rPr>
          <w:rFonts w:cs="Arial"/>
          <w:color w:val="auto"/>
          <w:sz w:val="20"/>
          <w:szCs w:val="20"/>
        </w:rPr>
      </w:pPr>
      <w:r w:rsidRPr="0063179D">
        <w:rPr>
          <w:rFonts w:cs="Arial"/>
          <w:color w:val="auto"/>
          <w:sz w:val="20"/>
          <w:szCs w:val="20"/>
        </w:rPr>
        <w:t>Land owned by a diocese and used for school purposes, in the absence of lease arrangement or statutory transfer, has not been recognised as a Council asset due to the infinite life of land.</w:t>
      </w:r>
    </w:p>
    <w:p w:rsidR="00292A4B" w:rsidRPr="0063179D" w:rsidRDefault="00292A4B" w:rsidP="00292A4B">
      <w:pPr>
        <w:pStyle w:val="BodyText"/>
        <w:widowControl w:val="0"/>
        <w:adjustRightInd w:val="0"/>
        <w:spacing w:after="0"/>
        <w:ind w:left="567"/>
        <w:jc w:val="both"/>
        <w:textAlignment w:val="baseline"/>
        <w:rPr>
          <w:i/>
          <w:color w:val="auto"/>
          <w:sz w:val="20"/>
          <w:szCs w:val="20"/>
          <w:lang w:eastAsia="en-GB"/>
        </w:rPr>
      </w:pPr>
    </w:p>
    <w:p w:rsidR="00292A4B" w:rsidRDefault="00630BE4" w:rsidP="00111739">
      <w:pPr>
        <w:pStyle w:val="BodyText"/>
        <w:widowControl w:val="0"/>
        <w:adjustRightInd w:val="0"/>
        <w:spacing w:after="0"/>
        <w:jc w:val="both"/>
        <w:textAlignment w:val="baseline"/>
        <w:rPr>
          <w:rFonts w:cs="Arial"/>
          <w:b/>
          <w:color w:val="auto"/>
          <w:sz w:val="20"/>
          <w:szCs w:val="20"/>
        </w:rPr>
      </w:pPr>
      <w:r>
        <w:rPr>
          <w:rFonts w:cs="Arial"/>
          <w:b/>
          <w:color w:val="auto"/>
          <w:sz w:val="20"/>
          <w:szCs w:val="20"/>
        </w:rPr>
        <w:lastRenderedPageBreak/>
        <w:t>39.1</w:t>
      </w:r>
      <w:r w:rsidR="00775F03">
        <w:rPr>
          <w:rFonts w:cs="Arial"/>
          <w:b/>
          <w:color w:val="auto"/>
          <w:sz w:val="20"/>
          <w:szCs w:val="20"/>
        </w:rPr>
        <w:t>7</w:t>
      </w:r>
      <w:r w:rsidR="00532774">
        <w:rPr>
          <w:rFonts w:cs="Arial"/>
          <w:b/>
          <w:color w:val="auto"/>
          <w:sz w:val="20"/>
          <w:szCs w:val="20"/>
        </w:rPr>
        <w:t xml:space="preserve">  </w:t>
      </w:r>
      <w:r w:rsidR="00292A4B" w:rsidRPr="00C1756D">
        <w:rPr>
          <w:rFonts w:cs="Arial"/>
          <w:b/>
          <w:color w:val="auto"/>
          <w:sz w:val="20"/>
          <w:szCs w:val="20"/>
        </w:rPr>
        <w:t xml:space="preserve">Service Concessions - Private Finance Initiative (PFI) </w:t>
      </w:r>
    </w:p>
    <w:p w:rsidR="00111739" w:rsidRPr="00C1756D" w:rsidRDefault="00111739" w:rsidP="00111739">
      <w:pPr>
        <w:pStyle w:val="BodyText"/>
        <w:widowControl w:val="0"/>
        <w:adjustRightInd w:val="0"/>
        <w:spacing w:after="0"/>
        <w:jc w:val="both"/>
        <w:textAlignment w:val="baseline"/>
        <w:rPr>
          <w:rFonts w:cs="Arial"/>
          <w:b/>
          <w:color w:val="auto"/>
          <w:sz w:val="20"/>
          <w:szCs w:val="20"/>
        </w:rPr>
      </w:pPr>
    </w:p>
    <w:p w:rsidR="00292A4B" w:rsidRPr="00C1756D" w:rsidRDefault="00292A4B" w:rsidP="00292A4B">
      <w:pPr>
        <w:spacing w:after="0" w:line="240" w:lineRule="auto"/>
        <w:ind w:left="567"/>
        <w:jc w:val="both"/>
        <w:rPr>
          <w:rFonts w:cs="Arial"/>
          <w:color w:val="auto"/>
          <w:sz w:val="20"/>
          <w:szCs w:val="20"/>
          <w:lang w:eastAsia="en-GB"/>
        </w:rPr>
      </w:pPr>
      <w:r w:rsidRPr="00C1756D">
        <w:rPr>
          <w:rFonts w:cs="Arial"/>
          <w:color w:val="auto"/>
          <w:sz w:val="20"/>
          <w:szCs w:val="20"/>
          <w:lang w:eastAsia="en-GB"/>
        </w:rPr>
        <w:t>If the Council is deemed to control the services that are provided under its PFI contracts, and as ownership of the property, plant and equipment will pass to the Council at the end of the contracts for no additional charge; the assets used are recognised on the Balance Sheet as part of Property, Plant and Equipment.</w:t>
      </w:r>
    </w:p>
    <w:p w:rsidR="00292A4B" w:rsidRPr="00C1756D" w:rsidRDefault="00292A4B" w:rsidP="00292A4B">
      <w:pPr>
        <w:spacing w:after="0" w:line="240" w:lineRule="auto"/>
        <w:jc w:val="both"/>
        <w:rPr>
          <w:rFonts w:cs="Arial"/>
          <w:color w:val="auto"/>
          <w:sz w:val="20"/>
          <w:szCs w:val="20"/>
          <w:lang w:eastAsia="en-GB"/>
        </w:rPr>
      </w:pPr>
    </w:p>
    <w:p w:rsidR="00292A4B" w:rsidRPr="00C1756D" w:rsidRDefault="00292A4B" w:rsidP="00292A4B">
      <w:pPr>
        <w:spacing w:after="0" w:line="240" w:lineRule="auto"/>
        <w:ind w:left="567"/>
        <w:jc w:val="both"/>
        <w:rPr>
          <w:rFonts w:cs="Arial"/>
          <w:color w:val="auto"/>
          <w:sz w:val="20"/>
          <w:szCs w:val="20"/>
          <w:lang w:eastAsia="en-GB"/>
        </w:rPr>
      </w:pPr>
      <w:r w:rsidRPr="00C1756D">
        <w:rPr>
          <w:rFonts w:cs="Arial"/>
          <w:color w:val="auto"/>
          <w:sz w:val="20"/>
          <w:szCs w:val="20"/>
          <w:lang w:eastAsia="en-GB"/>
        </w:rPr>
        <w:t>The original recognition of these assets at current value was balanced by the recognition of a liability for amounts due to the scheme operator to pay for the capital investment.</w:t>
      </w:r>
    </w:p>
    <w:p w:rsidR="00292A4B" w:rsidRPr="00C1756D" w:rsidRDefault="00292A4B" w:rsidP="00292A4B">
      <w:pPr>
        <w:spacing w:after="0" w:line="240" w:lineRule="auto"/>
        <w:jc w:val="both"/>
        <w:rPr>
          <w:rFonts w:cs="Arial"/>
          <w:color w:val="auto"/>
          <w:sz w:val="20"/>
          <w:szCs w:val="20"/>
          <w:lang w:eastAsia="en-GB"/>
        </w:rPr>
      </w:pPr>
    </w:p>
    <w:p w:rsidR="00292A4B" w:rsidRPr="00C1756D" w:rsidRDefault="00292A4B" w:rsidP="00292A4B">
      <w:pPr>
        <w:spacing w:after="0" w:line="240" w:lineRule="auto"/>
        <w:ind w:firstLine="567"/>
        <w:jc w:val="both"/>
        <w:rPr>
          <w:rFonts w:cs="Arial"/>
          <w:color w:val="auto"/>
          <w:sz w:val="20"/>
          <w:szCs w:val="20"/>
          <w:lang w:eastAsia="en-GB"/>
        </w:rPr>
      </w:pPr>
      <w:r w:rsidRPr="00C1756D">
        <w:rPr>
          <w:rFonts w:cs="Arial"/>
          <w:color w:val="auto"/>
          <w:sz w:val="20"/>
          <w:szCs w:val="20"/>
          <w:lang w:eastAsia="en-GB"/>
        </w:rPr>
        <w:t>The amounts payable to the PFI operators each year are analysed into three elements:</w:t>
      </w:r>
    </w:p>
    <w:p w:rsidR="00292A4B" w:rsidRPr="00C1756D" w:rsidRDefault="00292A4B" w:rsidP="00292A4B">
      <w:pPr>
        <w:pStyle w:val="ListParagraph"/>
        <w:spacing w:after="0" w:line="240" w:lineRule="auto"/>
        <w:ind w:left="1440"/>
        <w:jc w:val="both"/>
        <w:rPr>
          <w:rFonts w:cs="Arial"/>
          <w:color w:val="auto"/>
          <w:sz w:val="20"/>
          <w:szCs w:val="20"/>
          <w:lang w:eastAsia="en-GB"/>
        </w:rPr>
      </w:pPr>
    </w:p>
    <w:p w:rsidR="00292A4B" w:rsidRPr="00C1756D" w:rsidRDefault="00292A4B" w:rsidP="003E10DE">
      <w:pPr>
        <w:numPr>
          <w:ilvl w:val="0"/>
          <w:numId w:val="16"/>
        </w:numPr>
        <w:autoSpaceDE w:val="0"/>
        <w:autoSpaceDN w:val="0"/>
        <w:adjustRightInd w:val="0"/>
        <w:spacing w:after="0"/>
        <w:ind w:left="567" w:firstLine="0"/>
        <w:jc w:val="both"/>
        <w:rPr>
          <w:rFonts w:cs="Arial"/>
          <w:color w:val="auto"/>
          <w:sz w:val="20"/>
          <w:szCs w:val="20"/>
          <w:lang w:eastAsia="en-GB"/>
        </w:rPr>
      </w:pPr>
      <w:r w:rsidRPr="00C1756D">
        <w:rPr>
          <w:rFonts w:cs="Arial"/>
          <w:color w:val="auto"/>
          <w:sz w:val="20"/>
          <w:szCs w:val="20"/>
          <w:lang w:eastAsia="en-GB"/>
        </w:rPr>
        <w:t>current value of the services received during the year - debited to the relevant service in the CIES.</w:t>
      </w:r>
    </w:p>
    <w:p w:rsidR="00292A4B" w:rsidRPr="00C1756D" w:rsidRDefault="00292A4B" w:rsidP="003E10DE">
      <w:pPr>
        <w:numPr>
          <w:ilvl w:val="0"/>
          <w:numId w:val="16"/>
        </w:numPr>
        <w:autoSpaceDE w:val="0"/>
        <w:autoSpaceDN w:val="0"/>
        <w:adjustRightInd w:val="0"/>
        <w:spacing w:after="0"/>
        <w:ind w:left="567" w:firstLine="0"/>
        <w:jc w:val="both"/>
        <w:rPr>
          <w:rFonts w:cs="Arial"/>
          <w:color w:val="auto"/>
          <w:sz w:val="20"/>
          <w:szCs w:val="20"/>
        </w:rPr>
      </w:pPr>
      <w:r w:rsidRPr="00C1756D">
        <w:rPr>
          <w:rFonts w:cs="Arial"/>
          <w:color w:val="auto"/>
          <w:sz w:val="20"/>
          <w:szCs w:val="20"/>
          <w:lang w:eastAsia="en-GB"/>
        </w:rPr>
        <w:t xml:space="preserve">finance cost - an interest charge on the outstanding Balance Sheet liability, debited to the Financing and Investment Income and Expenditure line in the CIES. </w:t>
      </w:r>
    </w:p>
    <w:p w:rsidR="00292A4B" w:rsidRPr="008E2A2A" w:rsidRDefault="00292A4B" w:rsidP="003E10DE">
      <w:pPr>
        <w:numPr>
          <w:ilvl w:val="0"/>
          <w:numId w:val="16"/>
        </w:numPr>
        <w:autoSpaceDE w:val="0"/>
        <w:autoSpaceDN w:val="0"/>
        <w:adjustRightInd w:val="0"/>
        <w:spacing w:after="0"/>
        <w:ind w:left="567" w:firstLine="0"/>
        <w:jc w:val="both"/>
        <w:rPr>
          <w:rFonts w:cs="Arial"/>
          <w:i/>
          <w:color w:val="auto"/>
          <w:sz w:val="20"/>
          <w:szCs w:val="20"/>
          <w:lang w:eastAsia="en-GB"/>
        </w:rPr>
      </w:pPr>
      <w:r w:rsidRPr="00C1756D">
        <w:rPr>
          <w:rFonts w:cs="Arial"/>
          <w:color w:val="auto"/>
          <w:sz w:val="20"/>
          <w:szCs w:val="20"/>
          <w:lang w:eastAsia="en-GB"/>
        </w:rPr>
        <w:t>payment towards liability - applied to write down the Balance Sheet liability towards the PFI operator.</w:t>
      </w:r>
      <w:r w:rsidRPr="00C1756D">
        <w:rPr>
          <w:rFonts w:cs="Arial"/>
          <w:color w:val="auto"/>
          <w:sz w:val="20"/>
          <w:szCs w:val="20"/>
        </w:rPr>
        <w:t xml:space="preserve"> In addition the Council makes an annual revenue provision to the Capital Adjustment Account that is equal to the annual reduction in the liability to the contractor and correspondingly reduces the Council’s Capital Financing Requirement. </w:t>
      </w:r>
    </w:p>
    <w:p w:rsidR="00292A4B" w:rsidRDefault="00292A4B" w:rsidP="00292A4B">
      <w:pPr>
        <w:autoSpaceDE w:val="0"/>
        <w:autoSpaceDN w:val="0"/>
        <w:adjustRightInd w:val="0"/>
        <w:spacing w:after="0"/>
        <w:ind w:left="567"/>
        <w:jc w:val="both"/>
        <w:rPr>
          <w:rFonts w:cs="Arial"/>
          <w:color w:val="auto"/>
          <w:sz w:val="20"/>
          <w:szCs w:val="20"/>
        </w:rPr>
      </w:pPr>
    </w:p>
    <w:p w:rsidR="00292A4B" w:rsidRDefault="00292A4B" w:rsidP="00292A4B">
      <w:pPr>
        <w:autoSpaceDE w:val="0"/>
        <w:autoSpaceDN w:val="0"/>
        <w:adjustRightInd w:val="0"/>
        <w:spacing w:after="0"/>
        <w:ind w:left="567"/>
        <w:jc w:val="both"/>
        <w:rPr>
          <w:rFonts w:cs="Arial"/>
          <w:color w:val="auto"/>
          <w:sz w:val="20"/>
          <w:szCs w:val="20"/>
        </w:rPr>
      </w:pPr>
      <w:r>
        <w:rPr>
          <w:rFonts w:cs="Arial"/>
          <w:color w:val="auto"/>
          <w:sz w:val="20"/>
          <w:szCs w:val="20"/>
        </w:rPr>
        <w:t>For the Energy From waste scheme there are two additional elements.</w:t>
      </w:r>
    </w:p>
    <w:p w:rsidR="00292A4B" w:rsidRPr="00C1756D" w:rsidRDefault="00292A4B" w:rsidP="00292A4B">
      <w:pPr>
        <w:autoSpaceDE w:val="0"/>
        <w:autoSpaceDN w:val="0"/>
        <w:adjustRightInd w:val="0"/>
        <w:spacing w:after="0"/>
        <w:ind w:left="567"/>
        <w:jc w:val="both"/>
        <w:rPr>
          <w:rFonts w:cs="Arial"/>
          <w:i/>
          <w:color w:val="auto"/>
          <w:sz w:val="20"/>
          <w:szCs w:val="20"/>
          <w:lang w:eastAsia="en-GB"/>
        </w:rPr>
      </w:pPr>
    </w:p>
    <w:p w:rsidR="00292A4B" w:rsidRPr="00C1756D" w:rsidRDefault="00292A4B" w:rsidP="003E10DE">
      <w:pPr>
        <w:numPr>
          <w:ilvl w:val="0"/>
          <w:numId w:val="16"/>
        </w:numPr>
        <w:autoSpaceDE w:val="0"/>
        <w:autoSpaceDN w:val="0"/>
        <w:adjustRightInd w:val="0"/>
        <w:spacing w:after="0"/>
        <w:ind w:left="567" w:firstLine="0"/>
        <w:jc w:val="both"/>
        <w:rPr>
          <w:rFonts w:cs="Arial"/>
          <w:color w:val="auto"/>
          <w:sz w:val="20"/>
          <w:szCs w:val="20"/>
          <w:lang w:eastAsia="en-GB"/>
        </w:rPr>
      </w:pPr>
      <w:r>
        <w:rPr>
          <w:rFonts w:cs="Arial"/>
          <w:color w:val="auto"/>
          <w:sz w:val="20"/>
          <w:szCs w:val="20"/>
          <w:lang w:eastAsia="en-GB"/>
        </w:rPr>
        <w:t xml:space="preserve">deferred credit from the write down of the long term liability for the expected third party </w:t>
      </w:r>
      <w:r w:rsidR="007E33E1">
        <w:rPr>
          <w:rFonts w:cs="Arial"/>
          <w:color w:val="auto"/>
          <w:sz w:val="20"/>
          <w:szCs w:val="20"/>
          <w:lang w:eastAsia="en-GB"/>
        </w:rPr>
        <w:t xml:space="preserve">income </w:t>
      </w:r>
      <w:r w:rsidR="007E33E1" w:rsidRPr="00C1756D">
        <w:rPr>
          <w:rFonts w:cs="Arial"/>
          <w:color w:val="auto"/>
          <w:sz w:val="20"/>
          <w:szCs w:val="20"/>
          <w:lang w:eastAsia="en-GB"/>
        </w:rPr>
        <w:t>received</w:t>
      </w:r>
      <w:r w:rsidRPr="00C1756D">
        <w:rPr>
          <w:rFonts w:cs="Arial"/>
          <w:color w:val="auto"/>
          <w:sz w:val="20"/>
          <w:szCs w:val="20"/>
          <w:lang w:eastAsia="en-GB"/>
        </w:rPr>
        <w:t xml:space="preserve"> during the year - </w:t>
      </w:r>
      <w:r>
        <w:rPr>
          <w:rFonts w:cs="Arial"/>
          <w:color w:val="auto"/>
          <w:sz w:val="20"/>
          <w:szCs w:val="20"/>
          <w:lang w:eastAsia="en-GB"/>
        </w:rPr>
        <w:t>cr</w:t>
      </w:r>
      <w:r w:rsidRPr="00C1756D">
        <w:rPr>
          <w:rFonts w:cs="Arial"/>
          <w:color w:val="auto"/>
          <w:sz w:val="20"/>
          <w:szCs w:val="20"/>
          <w:lang w:eastAsia="en-GB"/>
        </w:rPr>
        <w:t>edited to the relevant service in the CIES</w:t>
      </w:r>
      <w:r>
        <w:rPr>
          <w:rFonts w:cs="Arial"/>
          <w:color w:val="auto"/>
          <w:sz w:val="20"/>
          <w:szCs w:val="20"/>
          <w:lang w:eastAsia="en-GB"/>
        </w:rPr>
        <w:t>, with a reversal in the MIRS to the Capital Adjustment Account.</w:t>
      </w:r>
    </w:p>
    <w:p w:rsidR="00292A4B" w:rsidRPr="00C1756D" w:rsidRDefault="00292A4B" w:rsidP="003E10DE">
      <w:pPr>
        <w:numPr>
          <w:ilvl w:val="0"/>
          <w:numId w:val="16"/>
        </w:numPr>
        <w:autoSpaceDE w:val="0"/>
        <w:autoSpaceDN w:val="0"/>
        <w:adjustRightInd w:val="0"/>
        <w:spacing w:after="0"/>
        <w:ind w:left="567" w:firstLine="0"/>
        <w:jc w:val="both"/>
        <w:rPr>
          <w:rFonts w:cs="Arial"/>
          <w:color w:val="auto"/>
          <w:sz w:val="20"/>
          <w:szCs w:val="20"/>
        </w:rPr>
      </w:pPr>
      <w:r>
        <w:rPr>
          <w:rFonts w:cs="Arial"/>
          <w:color w:val="auto"/>
          <w:sz w:val="20"/>
          <w:szCs w:val="20"/>
          <w:lang w:eastAsia="en-GB"/>
        </w:rPr>
        <w:t>contingent rent</w:t>
      </w:r>
      <w:r w:rsidRPr="00C1756D">
        <w:rPr>
          <w:rFonts w:cs="Arial"/>
          <w:color w:val="auto"/>
          <w:sz w:val="20"/>
          <w:szCs w:val="20"/>
          <w:lang w:eastAsia="en-GB"/>
        </w:rPr>
        <w:t xml:space="preserve"> - a</w:t>
      </w:r>
      <w:r>
        <w:rPr>
          <w:rFonts w:cs="Arial"/>
          <w:color w:val="auto"/>
          <w:sz w:val="20"/>
          <w:szCs w:val="20"/>
          <w:lang w:eastAsia="en-GB"/>
        </w:rPr>
        <w:t xml:space="preserve"> reduction to the finance costs in year due to the impact of third party income on the total costs to the council.</w:t>
      </w:r>
    </w:p>
    <w:p w:rsidR="00292A4B" w:rsidRPr="00C1756D" w:rsidRDefault="00292A4B" w:rsidP="00292A4B">
      <w:pPr>
        <w:autoSpaceDE w:val="0"/>
        <w:autoSpaceDN w:val="0"/>
        <w:adjustRightInd w:val="0"/>
        <w:spacing w:after="0"/>
        <w:jc w:val="both"/>
        <w:rPr>
          <w:rFonts w:cs="Arial"/>
          <w:color w:val="auto"/>
          <w:sz w:val="20"/>
          <w:szCs w:val="20"/>
        </w:rPr>
      </w:pPr>
    </w:p>
    <w:p w:rsidR="00292A4B" w:rsidRDefault="00292A4B" w:rsidP="00292A4B">
      <w:pPr>
        <w:pStyle w:val="BodyTextIndent"/>
        <w:ind w:left="567"/>
        <w:jc w:val="both"/>
        <w:rPr>
          <w:rFonts w:cs="Arial"/>
          <w:color w:val="auto"/>
          <w:sz w:val="20"/>
          <w:szCs w:val="20"/>
        </w:rPr>
      </w:pPr>
      <w:r w:rsidRPr="00C1756D">
        <w:rPr>
          <w:rFonts w:cs="Arial"/>
          <w:color w:val="auto"/>
          <w:sz w:val="20"/>
          <w:szCs w:val="20"/>
        </w:rPr>
        <w:t xml:space="preserve">Any lifecycle costs incurred by the contractor are assumed to be revenue in nature in maintaining the existing value of the asset. </w:t>
      </w:r>
    </w:p>
    <w:p w:rsidR="00292A4B" w:rsidRPr="00C1756D" w:rsidRDefault="00292A4B" w:rsidP="00292A4B">
      <w:pPr>
        <w:pStyle w:val="BodyTextIndent"/>
        <w:ind w:left="567"/>
        <w:jc w:val="both"/>
        <w:rPr>
          <w:rFonts w:cs="Arial"/>
          <w:i/>
          <w:color w:val="auto"/>
          <w:sz w:val="20"/>
          <w:szCs w:val="20"/>
          <w:lang w:eastAsia="en-GB"/>
        </w:rPr>
      </w:pPr>
      <w:r w:rsidRPr="00C1756D">
        <w:rPr>
          <w:rFonts w:cs="Arial"/>
          <w:color w:val="auto"/>
          <w:sz w:val="20"/>
          <w:szCs w:val="20"/>
        </w:rPr>
        <w:t xml:space="preserve">Any variations of a capital nature requested and funded by the school are treated as capital expenditure and capital resources outside the PFI contract. </w:t>
      </w:r>
    </w:p>
    <w:p w:rsidR="00292A4B" w:rsidRPr="00A767DD" w:rsidRDefault="00292A4B" w:rsidP="00292A4B">
      <w:pPr>
        <w:autoSpaceDE w:val="0"/>
        <w:autoSpaceDN w:val="0"/>
        <w:adjustRightInd w:val="0"/>
        <w:spacing w:after="0"/>
        <w:ind w:left="567"/>
        <w:jc w:val="both"/>
        <w:rPr>
          <w:rFonts w:cs="Arial"/>
          <w:i/>
          <w:color w:val="auto"/>
          <w:sz w:val="20"/>
          <w:szCs w:val="20"/>
          <w:highlight w:val="yellow"/>
          <w:lang w:eastAsia="en-GB"/>
        </w:rPr>
      </w:pPr>
    </w:p>
    <w:p w:rsidR="00292A4B" w:rsidRPr="00A033A9" w:rsidRDefault="00292A4B" w:rsidP="00292A4B">
      <w:pPr>
        <w:autoSpaceDE w:val="0"/>
        <w:autoSpaceDN w:val="0"/>
        <w:ind w:left="567"/>
        <w:jc w:val="both"/>
        <w:rPr>
          <w:rFonts w:cs="Arial"/>
          <w:b/>
          <w:bCs/>
          <w:color w:val="auto"/>
          <w:sz w:val="20"/>
          <w:szCs w:val="20"/>
          <w:lang w:eastAsia="en-GB"/>
        </w:rPr>
      </w:pPr>
      <w:r w:rsidRPr="00A033A9">
        <w:rPr>
          <w:rFonts w:cs="Arial"/>
          <w:b/>
          <w:bCs/>
          <w:color w:val="auto"/>
          <w:sz w:val="20"/>
          <w:szCs w:val="20"/>
          <w:lang w:eastAsia="en-GB"/>
        </w:rPr>
        <w:t>Energy From Waste Plant – Private Finance Initiative</w:t>
      </w:r>
    </w:p>
    <w:p w:rsidR="00292A4B" w:rsidRPr="00A033A9" w:rsidRDefault="00292A4B" w:rsidP="00292A4B">
      <w:pPr>
        <w:autoSpaceDE w:val="0"/>
        <w:autoSpaceDN w:val="0"/>
        <w:ind w:left="567"/>
        <w:jc w:val="both"/>
        <w:rPr>
          <w:rFonts w:cs="Arial"/>
          <w:bCs/>
          <w:color w:val="auto"/>
          <w:sz w:val="20"/>
          <w:szCs w:val="20"/>
          <w:lang w:eastAsia="en-GB"/>
        </w:rPr>
      </w:pPr>
      <w:r w:rsidRPr="00A033A9">
        <w:rPr>
          <w:rFonts w:cs="Arial"/>
          <w:bCs/>
          <w:color w:val="auto"/>
          <w:sz w:val="20"/>
          <w:szCs w:val="20"/>
          <w:lang w:eastAsia="en-GB"/>
        </w:rPr>
        <w:t xml:space="preserve">Torbay, in partnership with Plymouth and Devon County Councils has entered into a PFI contract with MVV Environment for the construction and operation of an Energy From Waste Plant for the disposal of domestic waste. The Plant was operational from April 2015. </w:t>
      </w:r>
    </w:p>
    <w:p w:rsidR="00292A4B" w:rsidRDefault="007E33E1" w:rsidP="00292A4B">
      <w:pPr>
        <w:pStyle w:val="BodyTextIndent"/>
        <w:ind w:left="567"/>
        <w:jc w:val="both"/>
        <w:rPr>
          <w:rFonts w:cs="Arial"/>
          <w:color w:val="auto"/>
          <w:sz w:val="20"/>
          <w:szCs w:val="20"/>
        </w:rPr>
      </w:pPr>
      <w:r w:rsidRPr="00A033A9">
        <w:rPr>
          <w:rFonts w:cs="Arial"/>
          <w:color w:val="auto"/>
          <w:sz w:val="20"/>
          <w:szCs w:val="20"/>
        </w:rPr>
        <w:t>The three Councils entered into a 25 year contract with a private sector partner, for the provision of energy from waste plant to receive and incinerate waste</w:t>
      </w:r>
      <w:r>
        <w:rPr>
          <w:rFonts w:cs="Arial"/>
          <w:color w:val="auto"/>
          <w:sz w:val="20"/>
          <w:szCs w:val="20"/>
        </w:rPr>
        <w:t xml:space="preserve"> to a capacity of 245,000 tonnes per annum</w:t>
      </w:r>
      <w:r w:rsidRPr="00A033A9">
        <w:rPr>
          <w:rFonts w:cs="Arial"/>
          <w:color w:val="auto"/>
          <w:sz w:val="20"/>
          <w:szCs w:val="20"/>
        </w:rPr>
        <w:t xml:space="preserve">.  </w:t>
      </w:r>
      <w:r w:rsidR="00292A4B" w:rsidRPr="00A033A9">
        <w:rPr>
          <w:rFonts w:cs="Arial"/>
          <w:color w:val="auto"/>
          <w:sz w:val="20"/>
          <w:szCs w:val="20"/>
        </w:rPr>
        <w:t xml:space="preserve">The Project Agreement was </w:t>
      </w:r>
      <w:r w:rsidR="00292A4B" w:rsidRPr="00B367FB">
        <w:rPr>
          <w:rFonts w:cs="Arial"/>
          <w:color w:val="auto"/>
          <w:sz w:val="20"/>
          <w:szCs w:val="20"/>
        </w:rPr>
        <w:t xml:space="preserve">signed on 31st March 2000 with MVV Umwelt Limited. The contract is a “design, build, finance and operate” PFI contract. </w:t>
      </w:r>
    </w:p>
    <w:p w:rsidR="00292A4B" w:rsidRDefault="00292A4B" w:rsidP="00292A4B">
      <w:pPr>
        <w:pStyle w:val="BodyTextIndent"/>
        <w:ind w:left="567"/>
        <w:jc w:val="both"/>
        <w:rPr>
          <w:rFonts w:cs="Arial"/>
          <w:color w:val="auto"/>
          <w:sz w:val="20"/>
          <w:szCs w:val="20"/>
        </w:rPr>
      </w:pPr>
      <w:r>
        <w:rPr>
          <w:rFonts w:cs="Arial"/>
          <w:color w:val="auto"/>
          <w:sz w:val="20"/>
          <w:szCs w:val="20"/>
        </w:rPr>
        <w:t xml:space="preserve">The Councils are obliged to pay a fixed, by indexed linked, gate fee based </w:t>
      </w:r>
      <w:r w:rsidR="007E33E1">
        <w:rPr>
          <w:rFonts w:cs="Arial"/>
          <w:color w:val="auto"/>
          <w:sz w:val="20"/>
          <w:szCs w:val="20"/>
        </w:rPr>
        <w:t>on a</w:t>
      </w:r>
      <w:r>
        <w:rPr>
          <w:rFonts w:cs="Arial"/>
          <w:color w:val="auto"/>
          <w:sz w:val="20"/>
          <w:szCs w:val="20"/>
        </w:rPr>
        <w:t xml:space="preserve"> guaranteed waste tonnage with an additional charge for any waste delivered by the Councils over and above the contracted tonnages.</w:t>
      </w:r>
    </w:p>
    <w:p w:rsidR="00292A4B" w:rsidRDefault="00292A4B" w:rsidP="00292A4B">
      <w:pPr>
        <w:pStyle w:val="BodyTextIndent"/>
        <w:ind w:left="567"/>
        <w:jc w:val="both"/>
        <w:rPr>
          <w:rFonts w:cs="Arial"/>
          <w:color w:val="auto"/>
          <w:sz w:val="20"/>
          <w:szCs w:val="20"/>
        </w:rPr>
      </w:pPr>
      <w:r>
        <w:rPr>
          <w:rFonts w:cs="Arial"/>
          <w:color w:val="auto"/>
          <w:sz w:val="20"/>
          <w:szCs w:val="20"/>
        </w:rPr>
        <w:t>The three councils have a separate agreement, the Financial Allocation Model, to apportion the contract and any contract management overheads costs between the three councils. The apportionment of the majority of costs are linked to the split of forecast tonnages between the three Councils subject to the three councils not incurring additional costs by delivering a higher than forecast level of tonnages to the facility.</w:t>
      </w:r>
    </w:p>
    <w:p w:rsidR="00292A4B" w:rsidRPr="00A033A9" w:rsidRDefault="00292A4B" w:rsidP="00292A4B">
      <w:pPr>
        <w:pStyle w:val="BodyTextIndent"/>
        <w:ind w:left="567"/>
        <w:jc w:val="both"/>
        <w:rPr>
          <w:rFonts w:cs="Arial"/>
          <w:color w:val="auto"/>
          <w:sz w:val="20"/>
          <w:szCs w:val="20"/>
        </w:rPr>
      </w:pPr>
      <w:r w:rsidRPr="00B367FB">
        <w:rPr>
          <w:rFonts w:cs="Arial"/>
          <w:color w:val="auto"/>
          <w:sz w:val="20"/>
          <w:szCs w:val="20"/>
          <w:lang w:eastAsia="en-GB"/>
        </w:rPr>
        <w:t>All three Councils have assessed the facility to be "on balance sheet" under IFRIC12 as a service concession arrangement.</w:t>
      </w:r>
      <w:r>
        <w:rPr>
          <w:rFonts w:cs="Arial"/>
          <w:color w:val="auto"/>
          <w:sz w:val="20"/>
          <w:szCs w:val="20"/>
          <w:lang w:eastAsia="en-GB"/>
        </w:rPr>
        <w:t xml:space="preserve"> The Facility has been classified as "other land and buildings" with one value for the entire facility. The year end value of the asset has been assessed for all three Councils by John Penaligon, a qualified valuer employed by the NPS group.</w:t>
      </w:r>
    </w:p>
    <w:p w:rsidR="00292A4B" w:rsidRDefault="00292A4B" w:rsidP="00292A4B">
      <w:pPr>
        <w:pStyle w:val="BodyTextIndent"/>
        <w:ind w:left="567"/>
        <w:jc w:val="both"/>
        <w:rPr>
          <w:rFonts w:cs="Arial"/>
          <w:color w:val="auto"/>
          <w:sz w:val="20"/>
          <w:szCs w:val="20"/>
          <w:lang w:eastAsia="en-GB"/>
        </w:rPr>
      </w:pPr>
      <w:r w:rsidRPr="00A033A9">
        <w:rPr>
          <w:rFonts w:cs="Arial"/>
          <w:color w:val="auto"/>
          <w:sz w:val="20"/>
          <w:szCs w:val="20"/>
          <w:lang w:eastAsia="en-GB"/>
        </w:rPr>
        <w:lastRenderedPageBreak/>
        <w:t xml:space="preserve">The original recognition of these assets at current value (based on the cost to purchase the property, plant and equipment) was balanced by the recognition of a liability for amounts due to the scheme operator to pay for the capital investment. The Council has recognised </w:t>
      </w:r>
      <w:r>
        <w:rPr>
          <w:rFonts w:cs="Arial"/>
          <w:color w:val="auto"/>
          <w:sz w:val="20"/>
          <w:szCs w:val="20"/>
          <w:lang w:eastAsia="en-GB"/>
        </w:rPr>
        <w:t xml:space="preserve">(on acquisition) </w:t>
      </w:r>
      <w:r w:rsidRPr="00A033A9">
        <w:rPr>
          <w:rFonts w:cs="Arial"/>
          <w:color w:val="auto"/>
          <w:sz w:val="20"/>
          <w:szCs w:val="20"/>
          <w:lang w:eastAsia="en-GB"/>
        </w:rPr>
        <w:t xml:space="preserve">its (£33m/17%) share of the Energy From Waste facility in Plymouth based on estimated tonnages per the business case for the facility and the financial allocation model agreed between Torbay, Plymouth and Devon Councils.. </w:t>
      </w:r>
    </w:p>
    <w:p w:rsidR="00292A4B" w:rsidRPr="00A033A9" w:rsidRDefault="00292A4B" w:rsidP="00292A4B">
      <w:pPr>
        <w:pStyle w:val="BodyTextIndent"/>
        <w:ind w:left="567"/>
        <w:jc w:val="both"/>
        <w:rPr>
          <w:rFonts w:cs="Arial"/>
          <w:color w:val="auto"/>
          <w:sz w:val="20"/>
          <w:szCs w:val="20"/>
          <w:lang w:eastAsia="en-GB"/>
        </w:rPr>
      </w:pPr>
      <w:r w:rsidRPr="00A033A9">
        <w:rPr>
          <w:rFonts w:cs="Arial"/>
          <w:color w:val="auto"/>
          <w:sz w:val="20"/>
          <w:szCs w:val="20"/>
          <w:lang w:eastAsia="en-GB"/>
        </w:rPr>
        <w:t>The Council has recognised a liability to the value of the asset recognised. This liability is apportioned between the Council's own liability to fund the asset based on forecast unitary payments over the life of the facility from the three councils (£12m/37%) and the expected third party income (£21m/63%) based on the business case. The third party income liability has been accounted for as deferred income with the balance allocated to the Council's CI&amp;E statement over the life of the 25 year contract.  As a "non cash" transaction this credit will be reversed in the MIRS to the Capital Adjustment Account</w:t>
      </w:r>
    </w:p>
    <w:p w:rsidR="00292A4B" w:rsidRPr="00A033A9" w:rsidRDefault="00292A4B" w:rsidP="00292A4B">
      <w:pPr>
        <w:pStyle w:val="BodyTextIndent"/>
        <w:ind w:left="567"/>
        <w:jc w:val="both"/>
        <w:rPr>
          <w:rFonts w:cs="Arial"/>
          <w:color w:val="auto"/>
          <w:sz w:val="20"/>
          <w:szCs w:val="20"/>
        </w:rPr>
      </w:pPr>
      <w:r w:rsidRPr="00A033A9">
        <w:rPr>
          <w:rFonts w:cs="Arial"/>
          <w:color w:val="auto"/>
          <w:sz w:val="20"/>
          <w:szCs w:val="20"/>
        </w:rPr>
        <w:t xml:space="preserve">The three Councils are in receipt of Government support via PFI Credits for part of the cost of the scheme.  </w:t>
      </w:r>
    </w:p>
    <w:p w:rsidR="00292A4B" w:rsidRPr="003A53F9" w:rsidRDefault="00630BE4" w:rsidP="00111739">
      <w:pPr>
        <w:pStyle w:val="Heading1"/>
        <w:spacing w:line="240" w:lineRule="atLeast"/>
        <w:jc w:val="both"/>
        <w:rPr>
          <w:rFonts w:cs="Arial"/>
          <w:b/>
          <w:color w:val="auto"/>
          <w:sz w:val="20"/>
          <w:szCs w:val="20"/>
        </w:rPr>
      </w:pPr>
      <w:r>
        <w:rPr>
          <w:rFonts w:cs="Arial"/>
          <w:b/>
          <w:color w:val="auto"/>
          <w:sz w:val="20"/>
          <w:szCs w:val="20"/>
        </w:rPr>
        <w:t>39.1</w:t>
      </w:r>
      <w:r w:rsidR="00775F03">
        <w:rPr>
          <w:rFonts w:cs="Arial"/>
          <w:b/>
          <w:color w:val="auto"/>
          <w:sz w:val="20"/>
          <w:szCs w:val="20"/>
        </w:rPr>
        <w:t>8</w:t>
      </w:r>
      <w:r w:rsidR="00D446CA">
        <w:rPr>
          <w:rFonts w:cs="Arial"/>
          <w:b/>
          <w:color w:val="auto"/>
          <w:sz w:val="20"/>
          <w:szCs w:val="20"/>
        </w:rPr>
        <w:t xml:space="preserve"> </w:t>
      </w:r>
      <w:r w:rsidR="00292A4B" w:rsidRPr="003A53F9">
        <w:rPr>
          <w:rFonts w:cs="Arial"/>
          <w:b/>
          <w:color w:val="auto"/>
          <w:sz w:val="20"/>
          <w:szCs w:val="20"/>
        </w:rPr>
        <w:t xml:space="preserve"> Provisions</w:t>
      </w:r>
    </w:p>
    <w:p w:rsidR="00292A4B" w:rsidRPr="003A53F9" w:rsidRDefault="00292A4B" w:rsidP="00292A4B">
      <w:pPr>
        <w:spacing w:after="0" w:line="240" w:lineRule="auto"/>
        <w:ind w:left="567"/>
        <w:jc w:val="both"/>
        <w:rPr>
          <w:rFonts w:cs="Arial"/>
          <w:color w:val="auto"/>
          <w:sz w:val="20"/>
          <w:szCs w:val="20"/>
          <w:lang w:eastAsia="en-GB"/>
        </w:rPr>
      </w:pPr>
      <w:r w:rsidRPr="003A53F9">
        <w:rPr>
          <w:rFonts w:cs="Arial"/>
          <w:color w:val="auto"/>
          <w:sz w:val="20"/>
          <w:szCs w:val="20"/>
          <w:lang w:eastAsia="en-GB"/>
        </w:rPr>
        <w:t>Provisions are charged as an expense to the appropriate service line in the CIES where an event has taken place that gives the Council a legal or constructive obligation that probably requires settlement by a transfer of economic benefits or service potential, and a reliable estimate can be made of the amount of the obligation.  Provisions are charged as the best estimate at the balance sheet date of the expenditure required to settle the obligation, taking into account relevant risks and uncertainties.</w:t>
      </w:r>
    </w:p>
    <w:p w:rsidR="00292A4B" w:rsidRPr="003A53F9" w:rsidRDefault="00292A4B" w:rsidP="00292A4B">
      <w:pPr>
        <w:spacing w:after="0" w:line="240" w:lineRule="auto"/>
        <w:ind w:left="567"/>
        <w:jc w:val="both"/>
        <w:rPr>
          <w:rFonts w:cs="Arial"/>
          <w:color w:val="auto"/>
          <w:sz w:val="20"/>
          <w:szCs w:val="20"/>
          <w:lang w:eastAsia="en-GB"/>
        </w:rPr>
      </w:pPr>
    </w:p>
    <w:p w:rsidR="00292A4B" w:rsidRPr="003A53F9" w:rsidRDefault="00292A4B" w:rsidP="00292A4B">
      <w:pPr>
        <w:autoSpaceDE w:val="0"/>
        <w:autoSpaceDN w:val="0"/>
        <w:ind w:left="567"/>
        <w:jc w:val="both"/>
        <w:rPr>
          <w:rFonts w:cs="Arial"/>
          <w:color w:val="auto"/>
          <w:sz w:val="20"/>
          <w:szCs w:val="20"/>
          <w:lang w:eastAsia="en-GB"/>
        </w:rPr>
      </w:pPr>
      <w:r w:rsidRPr="003A53F9">
        <w:rPr>
          <w:rFonts w:cs="Arial"/>
          <w:color w:val="auto"/>
          <w:sz w:val="20"/>
          <w:szCs w:val="20"/>
          <w:lang w:eastAsia="en-GB"/>
        </w:rPr>
        <w:t>The Council is required to provide for the cost of any backdated NNDR refunds arising from appeals submitted to the Valuation Office that are successful. The Council has estimated the impact of appeals submitted by 31</w:t>
      </w:r>
      <w:r w:rsidRPr="003A53F9">
        <w:rPr>
          <w:rFonts w:cs="Arial"/>
          <w:color w:val="auto"/>
          <w:sz w:val="20"/>
          <w:szCs w:val="20"/>
          <w:vertAlign w:val="superscript"/>
          <w:lang w:eastAsia="en-GB"/>
        </w:rPr>
        <w:t>st</w:t>
      </w:r>
      <w:r w:rsidRPr="003A53F9">
        <w:rPr>
          <w:rFonts w:cs="Arial"/>
          <w:color w:val="auto"/>
          <w:sz w:val="20"/>
          <w:szCs w:val="20"/>
          <w:lang w:eastAsia="en-GB"/>
        </w:rPr>
        <w:t xml:space="preserve"> March using historic information; however for appeals that could be submitted after 31</w:t>
      </w:r>
      <w:r w:rsidRPr="003A53F9">
        <w:rPr>
          <w:rFonts w:cs="Arial"/>
          <w:color w:val="auto"/>
          <w:sz w:val="20"/>
          <w:szCs w:val="20"/>
          <w:vertAlign w:val="superscript"/>
          <w:lang w:eastAsia="en-GB"/>
        </w:rPr>
        <w:t>st</w:t>
      </w:r>
      <w:r w:rsidRPr="003A53F9">
        <w:rPr>
          <w:rFonts w:cs="Arial"/>
          <w:color w:val="auto"/>
          <w:sz w:val="20"/>
          <w:szCs w:val="20"/>
          <w:lang w:eastAsia="en-GB"/>
        </w:rPr>
        <w:t xml:space="preserve"> March that may relate to 2015/16 or earlier years NNDR income there is not enough certainty to enable a reliable estimate to be made. The Council’s balance sheet only reflects the Council’s 49% share of the provision. </w:t>
      </w:r>
    </w:p>
    <w:p w:rsidR="00D446CA" w:rsidRPr="004B4EB9" w:rsidRDefault="00D446CA" w:rsidP="00D446CA">
      <w:pPr>
        <w:pStyle w:val="Heading1"/>
        <w:spacing w:line="240" w:lineRule="atLeast"/>
        <w:jc w:val="both"/>
        <w:rPr>
          <w:rFonts w:cs="Arial"/>
          <w:b/>
          <w:color w:val="auto"/>
          <w:sz w:val="20"/>
          <w:szCs w:val="20"/>
        </w:rPr>
      </w:pPr>
      <w:r>
        <w:rPr>
          <w:rFonts w:cs="Arial"/>
          <w:b/>
          <w:color w:val="auto"/>
          <w:sz w:val="20"/>
          <w:szCs w:val="20"/>
        </w:rPr>
        <w:t xml:space="preserve">39.19  </w:t>
      </w:r>
      <w:r w:rsidRPr="004B4EB9">
        <w:rPr>
          <w:rFonts w:cs="Arial"/>
          <w:b/>
          <w:color w:val="auto"/>
          <w:sz w:val="20"/>
          <w:szCs w:val="20"/>
        </w:rPr>
        <w:t xml:space="preserve">Prior period Adjustments and Changes in Accounting Policies and Estimates </w:t>
      </w:r>
    </w:p>
    <w:p w:rsidR="00D446CA" w:rsidRPr="004B4EB9" w:rsidRDefault="00D446CA" w:rsidP="00D446CA">
      <w:pPr>
        <w:autoSpaceDE w:val="0"/>
        <w:autoSpaceDN w:val="0"/>
        <w:ind w:left="567"/>
        <w:jc w:val="both"/>
        <w:rPr>
          <w:rFonts w:cs="Arial"/>
          <w:color w:val="auto"/>
          <w:sz w:val="20"/>
          <w:szCs w:val="20"/>
          <w:lang w:eastAsia="en-GB"/>
        </w:rPr>
      </w:pPr>
      <w:r w:rsidRPr="004B4EB9">
        <w:rPr>
          <w:rFonts w:cs="Arial"/>
          <w:color w:val="auto"/>
          <w:sz w:val="20"/>
          <w:szCs w:val="20"/>
          <w:lang w:eastAsia="en-GB"/>
        </w:rPr>
        <w:t>Prior period adjustments may arise as a result of a change in accounting policies or to correct a material error. Changes in accounting estimates are accounted for prospectively, i.e., in the current and future years affected by the change and do not give rise to a prior period adjustment.</w:t>
      </w:r>
    </w:p>
    <w:p w:rsidR="00D446CA" w:rsidRPr="00A002AB" w:rsidRDefault="00D446CA" w:rsidP="00D446CA">
      <w:pPr>
        <w:autoSpaceDE w:val="0"/>
        <w:autoSpaceDN w:val="0"/>
        <w:ind w:left="567"/>
        <w:jc w:val="both"/>
        <w:rPr>
          <w:rFonts w:cs="Arial"/>
          <w:i/>
          <w:color w:val="auto"/>
          <w:sz w:val="20"/>
          <w:szCs w:val="20"/>
          <w:lang w:eastAsia="en-GB"/>
        </w:rPr>
      </w:pPr>
      <w:r w:rsidRPr="004B4EB9">
        <w:rPr>
          <w:rFonts w:cs="Arial"/>
          <w:color w:val="auto"/>
          <w:sz w:val="20"/>
          <w:szCs w:val="20"/>
          <w:lang w:eastAsia="en-GB"/>
        </w:rPr>
        <w:t xml:space="preserve">Changes in accounting policies are only made when required by proper accounting practices or the change provides more reliable or relevant information about the effect of transactions, other events and conditions on the Council's financial position or financial performance. Where a change is material, it is applied retrospectively (unless stated otherwise) by adjusting opening </w:t>
      </w:r>
      <w:r w:rsidRPr="003A277A">
        <w:rPr>
          <w:rFonts w:cs="Arial"/>
          <w:color w:val="auto"/>
          <w:sz w:val="20"/>
          <w:szCs w:val="20"/>
          <w:lang w:eastAsia="en-GB"/>
        </w:rPr>
        <w:t>balances and comparative amounts for the prior period as if the new policy had always been applied.</w:t>
      </w:r>
      <w:r w:rsidRPr="00A002AB">
        <w:rPr>
          <w:rFonts w:cs="Arial"/>
          <w:i/>
          <w:color w:val="auto"/>
          <w:sz w:val="20"/>
          <w:szCs w:val="20"/>
          <w:lang w:eastAsia="en-GB"/>
        </w:rPr>
        <w:t xml:space="preserve"> </w:t>
      </w:r>
    </w:p>
    <w:p w:rsidR="00292A4B" w:rsidRPr="003A53F9" w:rsidRDefault="00292A4B" w:rsidP="00292A4B">
      <w:pPr>
        <w:autoSpaceDE w:val="0"/>
        <w:autoSpaceDN w:val="0"/>
        <w:ind w:left="567"/>
        <w:jc w:val="both"/>
        <w:rPr>
          <w:rFonts w:cs="Arial"/>
          <w:b/>
          <w:i/>
          <w:color w:val="auto"/>
          <w:sz w:val="20"/>
          <w:szCs w:val="20"/>
          <w:lang w:eastAsia="en-GB"/>
        </w:rPr>
      </w:pPr>
    </w:p>
    <w:p w:rsidR="00292A4B" w:rsidRPr="003A53F9" w:rsidRDefault="00292A4B" w:rsidP="00292A4B">
      <w:pPr>
        <w:autoSpaceDE w:val="0"/>
        <w:autoSpaceDN w:val="0"/>
        <w:ind w:left="567"/>
        <w:jc w:val="both"/>
        <w:rPr>
          <w:rFonts w:cs="Arial"/>
          <w:b/>
          <w:i/>
          <w:color w:val="auto"/>
          <w:sz w:val="20"/>
          <w:szCs w:val="20"/>
          <w:lang w:eastAsia="en-GB"/>
        </w:rPr>
      </w:pPr>
    </w:p>
    <w:p w:rsidR="00292A4B" w:rsidRPr="00A767DD" w:rsidRDefault="00292A4B" w:rsidP="00292A4B">
      <w:pPr>
        <w:rPr>
          <w:color w:val="auto"/>
        </w:rPr>
      </w:pPr>
    </w:p>
    <w:p w:rsidR="00B13F72" w:rsidRPr="00CA6041" w:rsidRDefault="00B13F72" w:rsidP="00CA6041">
      <w:pPr>
        <w:pStyle w:val="BodyText"/>
      </w:pPr>
    </w:p>
    <w:p w:rsidR="00D5763F" w:rsidRPr="00D42E0B" w:rsidRDefault="00D5763F" w:rsidP="00C13C79">
      <w:pPr>
        <w:autoSpaceDE w:val="0"/>
        <w:autoSpaceDN w:val="0"/>
        <w:ind w:left="567"/>
        <w:jc w:val="both"/>
        <w:rPr>
          <w:rFonts w:cs="Arial"/>
          <w:color w:val="548DD4" w:themeColor="text2" w:themeTint="99"/>
          <w:sz w:val="20"/>
          <w:szCs w:val="20"/>
          <w:lang w:eastAsia="en-GB"/>
        </w:rPr>
      </w:pPr>
    </w:p>
    <w:p w:rsidR="00D5763F" w:rsidRPr="00D42E0B" w:rsidRDefault="00D5763F" w:rsidP="00C13C79">
      <w:pPr>
        <w:autoSpaceDE w:val="0"/>
        <w:autoSpaceDN w:val="0"/>
        <w:ind w:left="567"/>
        <w:jc w:val="both"/>
        <w:rPr>
          <w:rFonts w:cs="Arial"/>
          <w:color w:val="548DD4" w:themeColor="text2" w:themeTint="99"/>
          <w:sz w:val="20"/>
          <w:szCs w:val="20"/>
          <w:lang w:eastAsia="en-GB"/>
        </w:rPr>
      </w:pPr>
    </w:p>
    <w:p w:rsidR="00E51139" w:rsidRPr="00F36BA7" w:rsidRDefault="00E51139" w:rsidP="005337EA">
      <w:pPr>
        <w:autoSpaceDE w:val="0"/>
        <w:autoSpaceDN w:val="0"/>
        <w:ind w:firstLine="525"/>
        <w:jc w:val="center"/>
        <w:rPr>
          <w:rFonts w:cs="Arial"/>
          <w:color w:val="auto"/>
          <w:sz w:val="20"/>
          <w:szCs w:val="20"/>
          <w:lang w:eastAsia="en-GB"/>
        </w:rPr>
      </w:pPr>
      <w:r w:rsidRPr="00F36BA7">
        <w:rPr>
          <w:b/>
          <w:color w:val="auto"/>
          <w:sz w:val="20"/>
          <w:szCs w:val="20"/>
        </w:rPr>
        <w:lastRenderedPageBreak/>
        <w:t>COLLECTION FUND SUMMARY ACCOUNT 201</w:t>
      </w:r>
      <w:r w:rsidR="00F36BA7" w:rsidRPr="00F36BA7">
        <w:rPr>
          <w:b/>
          <w:color w:val="auto"/>
          <w:sz w:val="20"/>
          <w:szCs w:val="20"/>
        </w:rPr>
        <w:t>5</w:t>
      </w:r>
      <w:r w:rsidR="006837C0" w:rsidRPr="00F36BA7">
        <w:rPr>
          <w:b/>
          <w:color w:val="auto"/>
          <w:sz w:val="20"/>
          <w:szCs w:val="20"/>
        </w:rPr>
        <w:t>/1</w:t>
      </w:r>
      <w:r w:rsidR="00F36BA7" w:rsidRPr="00F36BA7">
        <w:rPr>
          <w:b/>
          <w:color w:val="auto"/>
          <w:sz w:val="20"/>
          <w:szCs w:val="20"/>
        </w:rPr>
        <w:t>6</w:t>
      </w:r>
    </w:p>
    <w:tbl>
      <w:tblPr>
        <w:tblW w:w="0" w:type="auto"/>
        <w:jc w:val="center"/>
        <w:tblLayout w:type="fixed"/>
        <w:tblLook w:val="0000"/>
      </w:tblPr>
      <w:tblGrid>
        <w:gridCol w:w="8910"/>
      </w:tblGrid>
      <w:tr w:rsidR="00E51139" w:rsidRPr="00F36BA7" w:rsidTr="00A414A8">
        <w:trPr>
          <w:trHeight w:val="1418"/>
          <w:jc w:val="center"/>
        </w:trPr>
        <w:tc>
          <w:tcPr>
            <w:tcW w:w="8910" w:type="dxa"/>
          </w:tcPr>
          <w:p w:rsidR="00E51139" w:rsidRPr="00F36BA7" w:rsidRDefault="00E51139" w:rsidP="00087128">
            <w:pPr>
              <w:pStyle w:val="BodyTextIndent"/>
              <w:tabs>
                <w:tab w:val="left" w:pos="1350"/>
              </w:tabs>
              <w:ind w:left="0"/>
              <w:rPr>
                <w:color w:val="auto"/>
                <w:sz w:val="20"/>
                <w:szCs w:val="20"/>
              </w:rPr>
            </w:pPr>
            <w:r w:rsidRPr="00F36BA7">
              <w:rPr>
                <w:color w:val="auto"/>
                <w:sz w:val="20"/>
                <w:szCs w:val="20"/>
              </w:rPr>
              <w:t>This account reflects the statutory requirements for billing authorities to maintain a separate Collection Fund, which shows the transactions of the billing authority in relation to non-domestic rates and the council tax, and illustrates the way in which these have been distributed to preceptors and the General Fund.</w:t>
            </w:r>
          </w:p>
          <w:tbl>
            <w:tblPr>
              <w:tblStyle w:val="ListTable3-Accent51"/>
              <w:tblW w:w="8760" w:type="dxa"/>
              <w:tblBorders>
                <w:insideH w:val="single" w:sz="4" w:space="0" w:color="4BACC6" w:themeColor="accent5"/>
                <w:insideV w:val="single" w:sz="4" w:space="0" w:color="4BACC6" w:themeColor="accent5"/>
              </w:tblBorders>
              <w:tblLayout w:type="fixed"/>
              <w:tblLook w:val="04A0"/>
            </w:tblPr>
            <w:tblGrid>
              <w:gridCol w:w="963"/>
              <w:gridCol w:w="709"/>
              <w:gridCol w:w="851"/>
              <w:gridCol w:w="3685"/>
              <w:gridCol w:w="846"/>
              <w:gridCol w:w="855"/>
              <w:gridCol w:w="851"/>
            </w:tblGrid>
            <w:tr w:rsidR="00412758" w:rsidRPr="00F36BA7" w:rsidTr="00A414A8">
              <w:trPr>
                <w:cnfStyle w:val="100000000000"/>
                <w:trHeight w:val="255"/>
                <w:tblHeader/>
              </w:trPr>
              <w:tc>
                <w:tcPr>
                  <w:cnfStyle w:val="001000000100"/>
                  <w:tcW w:w="963" w:type="dxa"/>
                  <w:tcBorders>
                    <w:bottom w:val="none" w:sz="0" w:space="0" w:color="auto"/>
                    <w:right w:val="none" w:sz="0" w:space="0" w:color="auto"/>
                  </w:tcBorders>
                  <w:noWrap/>
                  <w:hideMark/>
                </w:tcPr>
                <w:p w:rsidR="00412758" w:rsidRPr="00F36BA7" w:rsidRDefault="00412758" w:rsidP="00412758">
                  <w:pPr>
                    <w:spacing w:after="0" w:line="240" w:lineRule="auto"/>
                    <w:jc w:val="center"/>
                    <w:rPr>
                      <w:rFonts w:eastAsia="Times New Roman" w:cs="Arial"/>
                      <w:b w:val="0"/>
                      <w:bCs w:val="0"/>
                      <w:color w:val="auto"/>
                      <w:sz w:val="16"/>
                      <w:szCs w:val="16"/>
                      <w:lang w:eastAsia="en-GB"/>
                    </w:rPr>
                  </w:pPr>
                  <w:bookmarkStart w:id="3" w:name="RANGE!A51:G95"/>
                  <w:bookmarkEnd w:id="3"/>
                  <w:r w:rsidRPr="00F36BA7">
                    <w:rPr>
                      <w:rFonts w:eastAsia="Times New Roman" w:cs="Arial"/>
                      <w:b w:val="0"/>
                      <w:bCs w:val="0"/>
                      <w:color w:val="auto"/>
                      <w:sz w:val="16"/>
                      <w:szCs w:val="16"/>
                      <w:lang w:eastAsia="en-GB"/>
                    </w:rPr>
                    <w:t>Council tax</w:t>
                  </w:r>
                </w:p>
                <w:p w:rsidR="00412758" w:rsidRPr="00F36BA7" w:rsidRDefault="00412758" w:rsidP="00412758">
                  <w:pPr>
                    <w:spacing w:after="0" w:line="240" w:lineRule="auto"/>
                    <w:jc w:val="center"/>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£m</w:t>
                  </w:r>
                </w:p>
              </w:tc>
              <w:tc>
                <w:tcPr>
                  <w:tcW w:w="709" w:type="dxa"/>
                  <w:noWrap/>
                  <w:hideMark/>
                </w:tcPr>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NNDR</w:t>
                  </w:r>
                </w:p>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p>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£m</w:t>
                  </w:r>
                </w:p>
              </w:tc>
              <w:tc>
                <w:tcPr>
                  <w:tcW w:w="851" w:type="dxa"/>
                  <w:noWrap/>
                  <w:hideMark/>
                </w:tcPr>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Total</w:t>
                  </w:r>
                </w:p>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p>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£m</w:t>
                  </w:r>
                </w:p>
              </w:tc>
              <w:tc>
                <w:tcPr>
                  <w:tcW w:w="3685" w:type="dxa"/>
                  <w:hideMark/>
                </w:tcPr>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p>
              </w:tc>
              <w:tc>
                <w:tcPr>
                  <w:tcW w:w="846" w:type="dxa"/>
                  <w:noWrap/>
                  <w:hideMark/>
                </w:tcPr>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Council tax</w:t>
                  </w:r>
                </w:p>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£m</w:t>
                  </w:r>
                </w:p>
              </w:tc>
              <w:tc>
                <w:tcPr>
                  <w:tcW w:w="855" w:type="dxa"/>
                  <w:noWrap/>
                  <w:hideMark/>
                </w:tcPr>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NNDR</w:t>
                  </w:r>
                </w:p>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p>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£m</w:t>
                  </w:r>
                </w:p>
              </w:tc>
              <w:tc>
                <w:tcPr>
                  <w:tcW w:w="851" w:type="dxa"/>
                  <w:noWrap/>
                  <w:hideMark/>
                </w:tcPr>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Total</w:t>
                  </w:r>
                </w:p>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p>
                <w:p w:rsidR="00412758" w:rsidRPr="00F36BA7" w:rsidRDefault="00412758" w:rsidP="00412758">
                  <w:pPr>
                    <w:spacing w:after="0" w:line="240" w:lineRule="auto"/>
                    <w:jc w:val="center"/>
                    <w:cnfStyle w:val="100000000000"/>
                    <w:rPr>
                      <w:rFonts w:eastAsia="Times New Roman" w:cs="Arial"/>
                      <w:b w:val="0"/>
                      <w:bCs w:val="0"/>
                      <w:color w:val="auto"/>
                      <w:sz w:val="16"/>
                      <w:szCs w:val="16"/>
                      <w:lang w:eastAsia="en-GB"/>
                    </w:rPr>
                  </w:pPr>
                  <w:r w:rsidRPr="00F36BA7">
                    <w:rPr>
                      <w:rFonts w:eastAsia="Times New Roman" w:cs="Arial"/>
                      <w:b w:val="0"/>
                      <w:bCs w:val="0"/>
                      <w:color w:val="auto"/>
                      <w:sz w:val="16"/>
                      <w:szCs w:val="16"/>
                      <w:lang w:eastAsia="en-GB"/>
                    </w:rPr>
                    <w:t>£m</w:t>
                  </w:r>
                </w:p>
              </w:tc>
            </w:tr>
            <w:tr w:rsidR="00030521" w:rsidRPr="00F36BA7" w:rsidTr="00A414A8">
              <w:trPr>
                <w:cnfStyle w:val="000000100000"/>
                <w:trHeight w:val="270"/>
              </w:trPr>
              <w:tc>
                <w:tcPr>
                  <w:cnfStyle w:val="001000000000"/>
                  <w:tcW w:w="2523" w:type="dxa"/>
                  <w:gridSpan w:val="3"/>
                  <w:tcBorders>
                    <w:top w:val="none" w:sz="0" w:space="0" w:color="auto"/>
                    <w:bottom w:val="none" w:sz="0" w:space="0" w:color="auto"/>
                    <w:right w:val="none" w:sz="0" w:space="0" w:color="auto"/>
                  </w:tcBorders>
                  <w:noWrap/>
                  <w:hideMark/>
                </w:tcPr>
                <w:p w:rsidR="00030521" w:rsidRPr="001A0F84" w:rsidRDefault="00030521" w:rsidP="00F36BA7">
                  <w:pPr>
                    <w:spacing w:after="0" w:line="240" w:lineRule="auto"/>
                    <w:jc w:val="center"/>
                    <w:rPr>
                      <w:rFonts w:eastAsia="Times New Roman" w:cs="Arial"/>
                      <w:b w:val="0"/>
                      <w:bCs w:val="0"/>
                      <w:color w:val="auto"/>
                      <w:sz w:val="18"/>
                      <w:szCs w:val="18"/>
                      <w:lang w:eastAsia="en-GB"/>
                    </w:rPr>
                  </w:pPr>
                  <w:r w:rsidRPr="001A0F84">
                    <w:rPr>
                      <w:rFonts w:eastAsia="Times New Roman" w:cs="Arial"/>
                      <w:b w:val="0"/>
                      <w:bCs w:val="0"/>
                      <w:color w:val="auto"/>
                      <w:sz w:val="18"/>
                      <w:szCs w:val="18"/>
                      <w:lang w:eastAsia="en-GB"/>
                    </w:rPr>
                    <w:t>201</w:t>
                  </w:r>
                  <w:r w:rsidR="00F36BA7" w:rsidRPr="001A0F84">
                    <w:rPr>
                      <w:rFonts w:eastAsia="Times New Roman" w:cs="Arial"/>
                      <w:b w:val="0"/>
                      <w:bCs w:val="0"/>
                      <w:color w:val="auto"/>
                      <w:sz w:val="18"/>
                      <w:szCs w:val="18"/>
                      <w:lang w:eastAsia="en-GB"/>
                    </w:rPr>
                    <w:t>4</w:t>
                  </w:r>
                  <w:r w:rsidRPr="001A0F84">
                    <w:rPr>
                      <w:rFonts w:eastAsia="Times New Roman" w:cs="Arial"/>
                      <w:b w:val="0"/>
                      <w:bCs w:val="0"/>
                      <w:color w:val="auto"/>
                      <w:sz w:val="18"/>
                      <w:szCs w:val="18"/>
                      <w:lang w:eastAsia="en-GB"/>
                    </w:rPr>
                    <w:t>/1</w:t>
                  </w:r>
                  <w:r w:rsidR="00F36BA7" w:rsidRPr="001A0F84">
                    <w:rPr>
                      <w:rFonts w:eastAsia="Times New Roman" w:cs="Arial"/>
                      <w:b w:val="0"/>
                      <w:bCs w:val="0"/>
                      <w:color w:val="auto"/>
                      <w:sz w:val="18"/>
                      <w:szCs w:val="18"/>
                      <w:lang w:eastAsia="en-GB"/>
                    </w:rPr>
                    <w:t>5</w:t>
                  </w:r>
                </w:p>
              </w:tc>
              <w:tc>
                <w:tcPr>
                  <w:tcW w:w="3685" w:type="dxa"/>
                  <w:tcBorders>
                    <w:top w:val="none" w:sz="0" w:space="0" w:color="auto"/>
                    <w:bottom w:val="none" w:sz="0" w:space="0" w:color="auto"/>
                  </w:tcBorders>
                  <w:hideMark/>
                </w:tcPr>
                <w:p w:rsidR="00030521" w:rsidRPr="00F36BA7" w:rsidRDefault="00030521" w:rsidP="00412758">
                  <w:pPr>
                    <w:spacing w:after="0" w:line="240" w:lineRule="auto"/>
                    <w:cnfStyle w:val="000000100000"/>
                    <w:rPr>
                      <w:rFonts w:eastAsia="Times New Roman" w:cs="Arial"/>
                      <w:b/>
                      <w:bCs/>
                      <w:color w:val="auto"/>
                      <w:sz w:val="18"/>
                      <w:szCs w:val="18"/>
                      <w:lang w:eastAsia="en-GB"/>
                    </w:rPr>
                  </w:pPr>
                </w:p>
              </w:tc>
              <w:tc>
                <w:tcPr>
                  <w:tcW w:w="2552" w:type="dxa"/>
                  <w:gridSpan w:val="3"/>
                  <w:tcBorders>
                    <w:top w:val="none" w:sz="0" w:space="0" w:color="auto"/>
                    <w:bottom w:val="none" w:sz="0" w:space="0" w:color="auto"/>
                  </w:tcBorders>
                  <w:noWrap/>
                  <w:hideMark/>
                </w:tcPr>
                <w:p w:rsidR="00030521" w:rsidRPr="00F36BA7" w:rsidRDefault="00030521" w:rsidP="00F36BA7">
                  <w:pPr>
                    <w:spacing w:after="0" w:line="240" w:lineRule="auto"/>
                    <w:jc w:val="center"/>
                    <w:cnfStyle w:val="000000100000"/>
                    <w:rPr>
                      <w:rFonts w:eastAsia="Times New Roman" w:cs="Arial"/>
                      <w:b/>
                      <w:bCs/>
                      <w:color w:val="auto"/>
                      <w:sz w:val="18"/>
                      <w:szCs w:val="18"/>
                      <w:lang w:eastAsia="en-GB"/>
                    </w:rPr>
                  </w:pPr>
                  <w:r w:rsidRPr="00F36BA7">
                    <w:rPr>
                      <w:rFonts w:eastAsia="Times New Roman" w:cs="Arial"/>
                      <w:b/>
                      <w:bCs/>
                      <w:color w:val="auto"/>
                      <w:sz w:val="18"/>
                      <w:szCs w:val="18"/>
                      <w:lang w:eastAsia="en-GB"/>
                    </w:rPr>
                    <w:t>201</w:t>
                  </w:r>
                  <w:r w:rsidR="00F36BA7" w:rsidRPr="00F36BA7">
                    <w:rPr>
                      <w:rFonts w:eastAsia="Times New Roman" w:cs="Arial"/>
                      <w:b/>
                      <w:bCs/>
                      <w:color w:val="auto"/>
                      <w:sz w:val="18"/>
                      <w:szCs w:val="18"/>
                      <w:lang w:eastAsia="en-GB"/>
                    </w:rPr>
                    <w:t>5</w:t>
                  </w:r>
                  <w:r w:rsidRPr="00F36BA7">
                    <w:rPr>
                      <w:rFonts w:eastAsia="Times New Roman" w:cs="Arial"/>
                      <w:b/>
                      <w:bCs/>
                      <w:color w:val="auto"/>
                      <w:sz w:val="18"/>
                      <w:szCs w:val="18"/>
                      <w:lang w:eastAsia="en-GB"/>
                    </w:rPr>
                    <w:t>/1</w:t>
                  </w:r>
                  <w:r w:rsidR="00F36BA7" w:rsidRPr="00F36BA7">
                    <w:rPr>
                      <w:rFonts w:eastAsia="Times New Roman" w:cs="Arial"/>
                      <w:b/>
                      <w:bCs/>
                      <w:color w:val="auto"/>
                      <w:sz w:val="18"/>
                      <w:szCs w:val="18"/>
                      <w:lang w:eastAsia="en-GB"/>
                    </w:rPr>
                    <w:t>6</w:t>
                  </w:r>
                </w:p>
              </w:tc>
            </w:tr>
            <w:tr w:rsidR="00F36BA7" w:rsidRPr="00F36BA7" w:rsidTr="00A414A8">
              <w:trPr>
                <w:trHeight w:val="299"/>
              </w:trPr>
              <w:tc>
                <w:tcPr>
                  <w:cnfStyle w:val="001000000000"/>
                  <w:tcW w:w="963" w:type="dxa"/>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(88.3)</w:t>
                  </w:r>
                </w:p>
              </w:tc>
              <w:tc>
                <w:tcPr>
                  <w:tcW w:w="709" w:type="dxa"/>
                  <w:noWrap/>
                  <w:hideMark/>
                </w:tcPr>
                <w:p w:rsidR="00F36BA7" w:rsidRPr="001A0F84" w:rsidRDefault="00F36BA7" w:rsidP="00051379">
                  <w:pPr>
                    <w:spacing w:after="0" w:line="240" w:lineRule="auto"/>
                    <w:jc w:val="right"/>
                    <w:cnfStyle w:val="000000000000"/>
                    <w:rPr>
                      <w:rFonts w:eastAsia="Times New Roman" w:cs="Arial"/>
                      <w:bCs/>
                      <w:color w:val="auto"/>
                      <w:sz w:val="18"/>
                      <w:szCs w:val="18"/>
                      <w:lang w:eastAsia="en-GB"/>
                    </w:rPr>
                  </w:pPr>
                  <w:r w:rsidRPr="001A0F84">
                    <w:rPr>
                      <w:rFonts w:eastAsia="Times New Roman" w:cs="Arial"/>
                      <w:bCs/>
                      <w:color w:val="auto"/>
                      <w:sz w:val="18"/>
                      <w:szCs w:val="18"/>
                      <w:lang w:eastAsia="en-GB"/>
                    </w:rPr>
                    <w:t>-</w:t>
                  </w:r>
                </w:p>
              </w:tc>
              <w:tc>
                <w:tcPr>
                  <w:tcW w:w="851" w:type="dxa"/>
                  <w:noWrap/>
                  <w:hideMark/>
                </w:tcPr>
                <w:p w:rsidR="00F36BA7" w:rsidRPr="001A0F84" w:rsidRDefault="00F36BA7" w:rsidP="00051379">
                  <w:pPr>
                    <w:spacing w:after="0" w:line="240" w:lineRule="auto"/>
                    <w:jc w:val="right"/>
                    <w:cnfStyle w:val="000000000000"/>
                    <w:rPr>
                      <w:rFonts w:eastAsia="Times New Roman" w:cs="Arial"/>
                      <w:bCs/>
                      <w:color w:val="auto"/>
                      <w:sz w:val="18"/>
                      <w:szCs w:val="18"/>
                      <w:lang w:eastAsia="en-GB"/>
                    </w:rPr>
                  </w:pPr>
                  <w:r w:rsidRPr="001A0F84">
                    <w:rPr>
                      <w:rFonts w:eastAsia="Times New Roman" w:cs="Arial"/>
                      <w:bCs/>
                      <w:color w:val="auto"/>
                      <w:sz w:val="18"/>
                      <w:szCs w:val="18"/>
                      <w:lang w:eastAsia="en-GB"/>
                    </w:rPr>
                    <w:t>-</w:t>
                  </w:r>
                </w:p>
              </w:tc>
              <w:tc>
                <w:tcPr>
                  <w:tcW w:w="3685" w:type="dxa"/>
                  <w:hideMark/>
                </w:tcPr>
                <w:p w:rsidR="00F36BA7" w:rsidRPr="00F36BA7" w:rsidRDefault="00F36BA7" w:rsidP="00AD2762">
                  <w:pPr>
                    <w:pStyle w:val="BodyTextIndent"/>
                    <w:tabs>
                      <w:tab w:val="left" w:pos="1350"/>
                    </w:tabs>
                    <w:ind w:left="0"/>
                    <w:cnfStyle w:val="000000000000"/>
                    <w:rPr>
                      <w:color w:val="auto"/>
                      <w:sz w:val="20"/>
                      <w:szCs w:val="20"/>
                    </w:rPr>
                  </w:pPr>
                  <w:r w:rsidRPr="00F36BA7">
                    <w:rPr>
                      <w:color w:val="auto"/>
                      <w:sz w:val="20"/>
                      <w:szCs w:val="20"/>
                    </w:rPr>
                    <w:t>Gross Council Tax Payable for Year</w:t>
                  </w:r>
                </w:p>
              </w:tc>
              <w:tc>
                <w:tcPr>
                  <w:tcW w:w="846" w:type="dxa"/>
                  <w:noWrap/>
                  <w:hideMark/>
                </w:tcPr>
                <w:p w:rsidR="00F36BA7" w:rsidRPr="00F36BA7" w:rsidRDefault="00C550A9" w:rsidP="00432670">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(89.3)</w:t>
                  </w:r>
                </w:p>
              </w:tc>
              <w:tc>
                <w:tcPr>
                  <w:tcW w:w="855" w:type="dxa"/>
                  <w:noWrap/>
                  <w:hideMark/>
                </w:tcPr>
                <w:p w:rsidR="00F36BA7" w:rsidRPr="00F36BA7" w:rsidRDefault="007358BD" w:rsidP="0067189C">
                  <w:pPr>
                    <w:spacing w:after="0" w:line="240" w:lineRule="auto"/>
                    <w:jc w:val="right"/>
                    <w:cnfStyle w:val="000000000000"/>
                    <w:rPr>
                      <w:rFonts w:eastAsia="Times New Roman" w:cs="Arial"/>
                      <w:b/>
                      <w:bCs/>
                      <w:color w:val="auto"/>
                      <w:sz w:val="18"/>
                      <w:szCs w:val="18"/>
                      <w:lang w:eastAsia="en-GB"/>
                    </w:rPr>
                  </w:pPr>
                  <w:r>
                    <w:rPr>
                      <w:rFonts w:eastAsia="Times New Roman" w:cs="Arial"/>
                      <w:b/>
                      <w:bCs/>
                      <w:color w:val="auto"/>
                      <w:sz w:val="18"/>
                      <w:szCs w:val="18"/>
                      <w:lang w:eastAsia="en-GB"/>
                    </w:rPr>
                    <w:t>-</w:t>
                  </w:r>
                </w:p>
              </w:tc>
              <w:tc>
                <w:tcPr>
                  <w:tcW w:w="851" w:type="dxa"/>
                  <w:noWrap/>
                  <w:hideMark/>
                </w:tcPr>
                <w:p w:rsidR="00F36BA7" w:rsidRPr="00F36BA7" w:rsidRDefault="007358BD" w:rsidP="0067189C">
                  <w:pPr>
                    <w:spacing w:after="0" w:line="240" w:lineRule="auto"/>
                    <w:jc w:val="right"/>
                    <w:cnfStyle w:val="000000000000"/>
                    <w:rPr>
                      <w:rFonts w:eastAsia="Times New Roman" w:cs="Arial"/>
                      <w:b/>
                      <w:bCs/>
                      <w:color w:val="auto"/>
                      <w:sz w:val="18"/>
                      <w:szCs w:val="18"/>
                      <w:lang w:eastAsia="en-GB"/>
                    </w:rPr>
                  </w:pPr>
                  <w:r>
                    <w:rPr>
                      <w:rFonts w:eastAsia="Times New Roman" w:cs="Arial"/>
                      <w:b/>
                      <w:bCs/>
                      <w:color w:val="auto"/>
                      <w:sz w:val="18"/>
                      <w:szCs w:val="18"/>
                      <w:lang w:eastAsia="en-GB"/>
                    </w:rPr>
                    <w:t>-</w:t>
                  </w:r>
                </w:p>
              </w:tc>
            </w:tr>
            <w:tr w:rsidR="00F36BA7" w:rsidRPr="00F36BA7" w:rsidTr="00A414A8">
              <w:trPr>
                <w:cnfStyle w:val="000000100000"/>
                <w:trHeight w:val="299"/>
              </w:trPr>
              <w:tc>
                <w:tcPr>
                  <w:cnfStyle w:val="001000000000"/>
                  <w:tcW w:w="963" w:type="dxa"/>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22.5</w:t>
                  </w:r>
                </w:p>
              </w:tc>
              <w:tc>
                <w:tcPr>
                  <w:tcW w:w="709" w:type="dxa"/>
                  <w:noWrap/>
                  <w:hideMark/>
                </w:tcPr>
                <w:p w:rsidR="00F36BA7" w:rsidRPr="001A0F84" w:rsidRDefault="00F36BA7" w:rsidP="00051379">
                  <w:pPr>
                    <w:spacing w:after="0" w:line="240" w:lineRule="auto"/>
                    <w:jc w:val="right"/>
                    <w:cnfStyle w:val="000000100000"/>
                    <w:rPr>
                      <w:rFonts w:eastAsia="Times New Roman" w:cs="Arial"/>
                      <w:bCs/>
                      <w:color w:val="auto"/>
                      <w:sz w:val="18"/>
                      <w:szCs w:val="18"/>
                      <w:lang w:eastAsia="en-GB"/>
                    </w:rPr>
                  </w:pPr>
                  <w:r w:rsidRPr="001A0F84">
                    <w:rPr>
                      <w:rFonts w:eastAsia="Times New Roman" w:cs="Arial"/>
                      <w:bCs/>
                      <w:color w:val="auto"/>
                      <w:sz w:val="18"/>
                      <w:szCs w:val="18"/>
                      <w:lang w:eastAsia="en-GB"/>
                    </w:rPr>
                    <w:t>-</w:t>
                  </w:r>
                </w:p>
              </w:tc>
              <w:tc>
                <w:tcPr>
                  <w:tcW w:w="851" w:type="dxa"/>
                  <w:noWrap/>
                  <w:hideMark/>
                </w:tcPr>
                <w:p w:rsidR="00F36BA7" w:rsidRPr="001A0F84" w:rsidRDefault="00F36BA7" w:rsidP="00051379">
                  <w:pPr>
                    <w:spacing w:after="0" w:line="240" w:lineRule="auto"/>
                    <w:jc w:val="right"/>
                    <w:cnfStyle w:val="000000100000"/>
                    <w:rPr>
                      <w:rFonts w:eastAsia="Times New Roman" w:cs="Arial"/>
                      <w:bCs/>
                      <w:color w:val="auto"/>
                      <w:sz w:val="18"/>
                      <w:szCs w:val="18"/>
                      <w:lang w:eastAsia="en-GB"/>
                    </w:rPr>
                  </w:pPr>
                  <w:r w:rsidRPr="001A0F84">
                    <w:rPr>
                      <w:rFonts w:eastAsia="Times New Roman" w:cs="Arial"/>
                      <w:bCs/>
                      <w:color w:val="auto"/>
                      <w:sz w:val="18"/>
                      <w:szCs w:val="18"/>
                      <w:lang w:eastAsia="en-GB"/>
                    </w:rPr>
                    <w:t>-</w:t>
                  </w:r>
                </w:p>
              </w:tc>
              <w:tc>
                <w:tcPr>
                  <w:tcW w:w="3685" w:type="dxa"/>
                  <w:hideMark/>
                </w:tcPr>
                <w:p w:rsidR="00F36BA7" w:rsidRPr="00F36BA7" w:rsidRDefault="00F36BA7" w:rsidP="00AD2762">
                  <w:pPr>
                    <w:pStyle w:val="BodyTextIndent"/>
                    <w:tabs>
                      <w:tab w:val="left" w:pos="1350"/>
                    </w:tabs>
                    <w:ind w:left="0"/>
                    <w:cnfStyle w:val="000000100000"/>
                    <w:rPr>
                      <w:color w:val="auto"/>
                      <w:sz w:val="20"/>
                      <w:szCs w:val="20"/>
                    </w:rPr>
                  </w:pPr>
                  <w:r w:rsidRPr="00F36BA7">
                    <w:rPr>
                      <w:color w:val="auto"/>
                      <w:sz w:val="20"/>
                      <w:szCs w:val="20"/>
                    </w:rPr>
                    <w:t>Reduced Assessments</w:t>
                  </w:r>
                </w:p>
              </w:tc>
              <w:tc>
                <w:tcPr>
                  <w:tcW w:w="846" w:type="dxa"/>
                  <w:noWrap/>
                  <w:hideMark/>
                </w:tcPr>
                <w:p w:rsidR="00F36BA7" w:rsidRPr="00F36BA7" w:rsidRDefault="00C550A9" w:rsidP="00A46738">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22</w:t>
                  </w:r>
                  <w:r w:rsidR="00B43737">
                    <w:rPr>
                      <w:rFonts w:eastAsia="Times New Roman" w:cs="Arial"/>
                      <w:color w:val="auto"/>
                      <w:sz w:val="18"/>
                      <w:szCs w:val="18"/>
                      <w:lang w:eastAsia="en-GB"/>
                    </w:rPr>
                    <w:t>.0</w:t>
                  </w:r>
                </w:p>
              </w:tc>
              <w:tc>
                <w:tcPr>
                  <w:tcW w:w="855" w:type="dxa"/>
                  <w:noWrap/>
                  <w:hideMark/>
                </w:tcPr>
                <w:p w:rsidR="00F36BA7" w:rsidRPr="00F36BA7" w:rsidRDefault="007358BD" w:rsidP="0067189C">
                  <w:pPr>
                    <w:spacing w:after="0" w:line="240" w:lineRule="auto"/>
                    <w:jc w:val="right"/>
                    <w:cnfStyle w:val="000000100000"/>
                    <w:rPr>
                      <w:rFonts w:eastAsia="Times New Roman" w:cs="Arial"/>
                      <w:b/>
                      <w:bCs/>
                      <w:color w:val="auto"/>
                      <w:sz w:val="18"/>
                      <w:szCs w:val="18"/>
                      <w:lang w:eastAsia="en-GB"/>
                    </w:rPr>
                  </w:pPr>
                  <w:r>
                    <w:rPr>
                      <w:rFonts w:eastAsia="Times New Roman" w:cs="Arial"/>
                      <w:b/>
                      <w:bCs/>
                      <w:color w:val="auto"/>
                      <w:sz w:val="18"/>
                      <w:szCs w:val="18"/>
                      <w:lang w:eastAsia="en-GB"/>
                    </w:rPr>
                    <w:t>-</w:t>
                  </w:r>
                </w:p>
              </w:tc>
              <w:tc>
                <w:tcPr>
                  <w:tcW w:w="851" w:type="dxa"/>
                  <w:noWrap/>
                  <w:hideMark/>
                </w:tcPr>
                <w:p w:rsidR="00F36BA7" w:rsidRPr="00F36BA7" w:rsidRDefault="007358BD" w:rsidP="0067189C">
                  <w:pPr>
                    <w:spacing w:after="0" w:line="240" w:lineRule="auto"/>
                    <w:jc w:val="right"/>
                    <w:cnfStyle w:val="000000100000"/>
                    <w:rPr>
                      <w:rFonts w:eastAsia="Times New Roman" w:cs="Arial"/>
                      <w:b/>
                      <w:bCs/>
                      <w:color w:val="auto"/>
                      <w:sz w:val="18"/>
                      <w:szCs w:val="18"/>
                      <w:lang w:eastAsia="en-GB"/>
                    </w:rPr>
                  </w:pPr>
                  <w:r>
                    <w:rPr>
                      <w:rFonts w:eastAsia="Times New Roman" w:cs="Arial"/>
                      <w:b/>
                      <w:bCs/>
                      <w:color w:val="auto"/>
                      <w:sz w:val="18"/>
                      <w:szCs w:val="18"/>
                      <w:lang w:eastAsia="en-GB"/>
                    </w:rPr>
                    <w:t>-</w:t>
                  </w:r>
                </w:p>
              </w:tc>
            </w:tr>
            <w:tr w:rsidR="00F36BA7" w:rsidRPr="00F36BA7" w:rsidTr="00A414A8">
              <w:trPr>
                <w:trHeight w:val="299"/>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bCs w:val="0"/>
                      <w:color w:val="auto"/>
                      <w:sz w:val="18"/>
                      <w:szCs w:val="18"/>
                      <w:lang w:eastAsia="en-GB"/>
                    </w:rPr>
                  </w:pPr>
                  <w:r w:rsidRPr="001A0F84">
                    <w:rPr>
                      <w:rFonts w:eastAsia="Times New Roman" w:cs="Arial"/>
                      <w:b w:val="0"/>
                      <w:bCs w:val="0"/>
                      <w:color w:val="auto"/>
                      <w:sz w:val="18"/>
                      <w:szCs w:val="18"/>
                      <w:lang w:eastAsia="en-GB"/>
                    </w:rPr>
                    <w:t>(65.8)</w:t>
                  </w:r>
                </w:p>
              </w:tc>
              <w:tc>
                <w:tcPr>
                  <w:tcW w:w="709" w:type="dxa"/>
                  <w:noWrap/>
                  <w:hideMark/>
                </w:tcPr>
                <w:p w:rsidR="00F36BA7" w:rsidRPr="001A0F84" w:rsidRDefault="00F36BA7" w:rsidP="00051379">
                  <w:pPr>
                    <w:spacing w:after="0" w:line="240" w:lineRule="auto"/>
                    <w:jc w:val="right"/>
                    <w:cnfStyle w:val="000000000000"/>
                    <w:rPr>
                      <w:rFonts w:eastAsia="Times New Roman" w:cs="Arial"/>
                      <w:bCs/>
                      <w:color w:val="auto"/>
                      <w:sz w:val="18"/>
                      <w:szCs w:val="18"/>
                      <w:lang w:eastAsia="en-GB"/>
                    </w:rPr>
                  </w:pPr>
                  <w:r w:rsidRPr="001A0F84">
                    <w:rPr>
                      <w:rFonts w:eastAsia="Times New Roman" w:cs="Arial"/>
                      <w:bCs/>
                      <w:color w:val="auto"/>
                      <w:sz w:val="18"/>
                      <w:szCs w:val="18"/>
                      <w:lang w:eastAsia="en-GB"/>
                    </w:rPr>
                    <w:t>(35.6)</w:t>
                  </w:r>
                </w:p>
              </w:tc>
              <w:tc>
                <w:tcPr>
                  <w:tcW w:w="851" w:type="dxa"/>
                  <w:noWrap/>
                  <w:hideMark/>
                </w:tcPr>
                <w:p w:rsidR="00F36BA7" w:rsidRPr="001A0F84" w:rsidRDefault="00F36BA7" w:rsidP="00051379">
                  <w:pPr>
                    <w:spacing w:after="0" w:line="240" w:lineRule="auto"/>
                    <w:jc w:val="right"/>
                    <w:cnfStyle w:val="000000000000"/>
                    <w:rPr>
                      <w:rFonts w:eastAsia="Times New Roman" w:cs="Arial"/>
                      <w:bCs/>
                      <w:color w:val="auto"/>
                      <w:sz w:val="18"/>
                      <w:szCs w:val="18"/>
                      <w:lang w:eastAsia="en-GB"/>
                    </w:rPr>
                  </w:pPr>
                  <w:r w:rsidRPr="001A0F84">
                    <w:rPr>
                      <w:rFonts w:eastAsia="Times New Roman" w:cs="Arial"/>
                      <w:bCs/>
                      <w:color w:val="auto"/>
                      <w:sz w:val="18"/>
                      <w:szCs w:val="18"/>
                      <w:lang w:eastAsia="en-GB"/>
                    </w:rPr>
                    <w:t>(101.4)</w:t>
                  </w:r>
                </w:p>
              </w:tc>
              <w:tc>
                <w:tcPr>
                  <w:tcW w:w="3685" w:type="dxa"/>
                  <w:hideMark/>
                </w:tcPr>
                <w:p w:rsidR="00F36BA7" w:rsidRPr="00F36BA7" w:rsidRDefault="00F36BA7" w:rsidP="00C83F77">
                  <w:pPr>
                    <w:spacing w:after="0" w:line="240" w:lineRule="auto"/>
                    <w:cnfStyle w:val="000000000000"/>
                    <w:rPr>
                      <w:rFonts w:eastAsia="Times New Roman" w:cs="Arial"/>
                      <w:b/>
                      <w:bCs/>
                      <w:color w:val="auto"/>
                      <w:sz w:val="18"/>
                      <w:szCs w:val="18"/>
                      <w:lang w:eastAsia="en-GB"/>
                    </w:rPr>
                  </w:pPr>
                  <w:r w:rsidRPr="00F36BA7">
                    <w:rPr>
                      <w:rFonts w:eastAsia="Times New Roman" w:cs="Arial"/>
                      <w:b/>
                      <w:bCs/>
                      <w:color w:val="auto"/>
                      <w:sz w:val="18"/>
                      <w:szCs w:val="18"/>
                      <w:lang w:eastAsia="en-GB"/>
                    </w:rPr>
                    <w:t>Council Tax &amp; NNDR Receivable</w:t>
                  </w:r>
                </w:p>
              </w:tc>
              <w:tc>
                <w:tcPr>
                  <w:tcW w:w="846" w:type="dxa"/>
                  <w:noWrap/>
                  <w:hideMark/>
                </w:tcPr>
                <w:p w:rsidR="00F36BA7" w:rsidRPr="00F36BA7" w:rsidRDefault="00C550A9" w:rsidP="00432670">
                  <w:pPr>
                    <w:spacing w:after="0" w:line="240" w:lineRule="auto"/>
                    <w:jc w:val="right"/>
                    <w:cnfStyle w:val="000000000000"/>
                    <w:rPr>
                      <w:rFonts w:eastAsia="Times New Roman" w:cs="Arial"/>
                      <w:b/>
                      <w:bCs/>
                      <w:color w:val="auto"/>
                      <w:sz w:val="18"/>
                      <w:szCs w:val="18"/>
                      <w:lang w:eastAsia="en-GB"/>
                    </w:rPr>
                  </w:pPr>
                  <w:r>
                    <w:rPr>
                      <w:rFonts w:eastAsia="Times New Roman" w:cs="Arial"/>
                      <w:b/>
                      <w:bCs/>
                      <w:color w:val="auto"/>
                      <w:sz w:val="18"/>
                      <w:szCs w:val="18"/>
                      <w:lang w:eastAsia="en-GB"/>
                    </w:rPr>
                    <w:t>(67.3)</w:t>
                  </w:r>
                </w:p>
              </w:tc>
              <w:tc>
                <w:tcPr>
                  <w:tcW w:w="855" w:type="dxa"/>
                  <w:noWrap/>
                  <w:hideMark/>
                </w:tcPr>
                <w:p w:rsidR="00F36BA7" w:rsidRPr="00F36BA7" w:rsidRDefault="00C550A9" w:rsidP="0067189C">
                  <w:pPr>
                    <w:spacing w:after="0" w:line="240" w:lineRule="auto"/>
                    <w:jc w:val="right"/>
                    <w:cnfStyle w:val="000000000000"/>
                    <w:rPr>
                      <w:rFonts w:eastAsia="Times New Roman" w:cs="Arial"/>
                      <w:b/>
                      <w:bCs/>
                      <w:color w:val="auto"/>
                      <w:sz w:val="18"/>
                      <w:szCs w:val="18"/>
                      <w:lang w:eastAsia="en-GB"/>
                    </w:rPr>
                  </w:pPr>
                  <w:r>
                    <w:rPr>
                      <w:rFonts w:eastAsia="Times New Roman" w:cs="Arial"/>
                      <w:b/>
                      <w:bCs/>
                      <w:color w:val="auto"/>
                      <w:sz w:val="18"/>
                      <w:szCs w:val="18"/>
                      <w:lang w:eastAsia="en-GB"/>
                    </w:rPr>
                    <w:t>(36.6)</w:t>
                  </w:r>
                </w:p>
              </w:tc>
              <w:tc>
                <w:tcPr>
                  <w:tcW w:w="851" w:type="dxa"/>
                  <w:noWrap/>
                  <w:hideMark/>
                </w:tcPr>
                <w:p w:rsidR="00F36BA7" w:rsidRPr="00F36BA7" w:rsidRDefault="00C550A9" w:rsidP="00432670">
                  <w:pPr>
                    <w:spacing w:after="0" w:line="240" w:lineRule="auto"/>
                    <w:jc w:val="right"/>
                    <w:cnfStyle w:val="000000000000"/>
                    <w:rPr>
                      <w:rFonts w:eastAsia="Times New Roman" w:cs="Arial"/>
                      <w:b/>
                      <w:bCs/>
                      <w:color w:val="auto"/>
                      <w:sz w:val="18"/>
                      <w:szCs w:val="18"/>
                      <w:lang w:eastAsia="en-GB"/>
                    </w:rPr>
                  </w:pPr>
                  <w:r>
                    <w:rPr>
                      <w:rFonts w:eastAsia="Times New Roman" w:cs="Arial"/>
                      <w:b/>
                      <w:bCs/>
                      <w:color w:val="auto"/>
                      <w:sz w:val="18"/>
                      <w:szCs w:val="18"/>
                      <w:lang w:eastAsia="en-GB"/>
                    </w:rPr>
                    <w:t>(103.9)</w:t>
                  </w:r>
                </w:p>
              </w:tc>
            </w:tr>
            <w:tr w:rsidR="00F36BA7" w:rsidRPr="00F36BA7" w:rsidTr="00A414A8">
              <w:trPr>
                <w:cnfStyle w:val="000000100000"/>
                <w:trHeight w:val="270"/>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p>
              </w:tc>
              <w:tc>
                <w:tcPr>
                  <w:tcW w:w="3685" w:type="dxa"/>
                  <w:tcBorders>
                    <w:top w:val="none" w:sz="0" w:space="0" w:color="auto"/>
                    <w:bottom w:val="none" w:sz="0" w:space="0" w:color="auto"/>
                  </w:tcBorders>
                  <w:hideMark/>
                </w:tcPr>
                <w:p w:rsidR="00F36BA7" w:rsidRPr="00F36BA7" w:rsidRDefault="00F36BA7" w:rsidP="00412758">
                  <w:pPr>
                    <w:spacing w:after="0" w:line="240" w:lineRule="auto"/>
                    <w:cnfStyle w:val="000000100000"/>
                    <w:rPr>
                      <w:rFonts w:eastAsia="Times New Roman" w:cs="Arial"/>
                      <w:b/>
                      <w:bCs/>
                      <w:color w:val="auto"/>
                      <w:sz w:val="18"/>
                      <w:szCs w:val="18"/>
                      <w:lang w:eastAsia="en-GB"/>
                    </w:rPr>
                  </w:pPr>
                  <w:r w:rsidRPr="00F36BA7">
                    <w:rPr>
                      <w:rFonts w:eastAsia="Times New Roman" w:cs="Arial"/>
                      <w:b/>
                      <w:bCs/>
                      <w:color w:val="auto"/>
                      <w:sz w:val="18"/>
                      <w:szCs w:val="18"/>
                      <w:lang w:eastAsia="en-GB"/>
                    </w:rPr>
                    <w:t>Expenditure:</w:t>
                  </w:r>
                </w:p>
              </w:tc>
              <w:tc>
                <w:tcPr>
                  <w:tcW w:w="846" w:type="dxa"/>
                  <w:tcBorders>
                    <w:top w:val="none" w:sz="0" w:space="0" w:color="auto"/>
                    <w:bottom w:val="none" w:sz="0" w:space="0" w:color="auto"/>
                  </w:tcBorders>
                  <w:noWrap/>
                  <w:hideMark/>
                </w:tcPr>
                <w:p w:rsidR="00F36BA7" w:rsidRPr="00F36BA7" w:rsidRDefault="00F36BA7" w:rsidP="0067189C">
                  <w:pPr>
                    <w:spacing w:after="0" w:line="240" w:lineRule="auto"/>
                    <w:jc w:val="right"/>
                    <w:cnfStyle w:val="000000100000"/>
                    <w:rPr>
                      <w:rFonts w:eastAsia="Times New Roman" w:cs="Arial"/>
                      <w:color w:val="auto"/>
                      <w:sz w:val="18"/>
                      <w:szCs w:val="18"/>
                      <w:lang w:eastAsia="en-GB"/>
                    </w:rPr>
                  </w:pPr>
                </w:p>
              </w:tc>
              <w:tc>
                <w:tcPr>
                  <w:tcW w:w="855" w:type="dxa"/>
                  <w:tcBorders>
                    <w:top w:val="none" w:sz="0" w:space="0" w:color="auto"/>
                    <w:bottom w:val="none" w:sz="0" w:space="0" w:color="auto"/>
                  </w:tcBorders>
                  <w:noWrap/>
                  <w:hideMark/>
                </w:tcPr>
                <w:p w:rsidR="00F36BA7" w:rsidRPr="00F36BA7" w:rsidRDefault="00F36BA7" w:rsidP="0067189C">
                  <w:pPr>
                    <w:spacing w:after="0" w:line="240" w:lineRule="auto"/>
                    <w:jc w:val="right"/>
                    <w:cnfStyle w:val="000000100000"/>
                    <w:rPr>
                      <w:rFonts w:eastAsia="Times New Roman" w:cs="Arial"/>
                      <w:color w:val="auto"/>
                      <w:sz w:val="18"/>
                      <w:szCs w:val="18"/>
                      <w:lang w:eastAsia="en-GB"/>
                    </w:rPr>
                  </w:pPr>
                </w:p>
              </w:tc>
              <w:tc>
                <w:tcPr>
                  <w:tcW w:w="851" w:type="dxa"/>
                  <w:tcBorders>
                    <w:top w:val="none" w:sz="0" w:space="0" w:color="auto"/>
                    <w:bottom w:val="none" w:sz="0" w:space="0" w:color="auto"/>
                  </w:tcBorders>
                  <w:noWrap/>
                  <w:hideMark/>
                </w:tcPr>
                <w:p w:rsidR="00F36BA7" w:rsidRPr="00F36BA7" w:rsidRDefault="00F36BA7" w:rsidP="0067189C">
                  <w:pPr>
                    <w:spacing w:after="0" w:line="240" w:lineRule="auto"/>
                    <w:jc w:val="right"/>
                    <w:cnfStyle w:val="000000100000"/>
                    <w:rPr>
                      <w:rFonts w:eastAsia="Times New Roman" w:cs="Arial"/>
                      <w:color w:val="auto"/>
                      <w:sz w:val="18"/>
                      <w:szCs w:val="18"/>
                      <w:lang w:eastAsia="en-GB"/>
                    </w:rPr>
                  </w:pPr>
                </w:p>
              </w:tc>
            </w:tr>
            <w:tr w:rsidR="00F36BA7" w:rsidRPr="00F36BA7" w:rsidTr="00A414A8">
              <w:trPr>
                <w:trHeight w:val="255"/>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p>
              </w:tc>
              <w:tc>
                <w:tcPr>
                  <w:tcW w:w="709"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p>
              </w:tc>
              <w:tc>
                <w:tcPr>
                  <w:tcW w:w="851"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p>
              </w:tc>
              <w:tc>
                <w:tcPr>
                  <w:tcW w:w="3685" w:type="dxa"/>
                  <w:hideMark/>
                </w:tcPr>
                <w:p w:rsidR="00F36BA7" w:rsidRPr="00F36BA7" w:rsidRDefault="00F36BA7" w:rsidP="00412758">
                  <w:pPr>
                    <w:spacing w:after="0" w:line="240" w:lineRule="auto"/>
                    <w:cnfStyle w:val="000000000000"/>
                    <w:rPr>
                      <w:rFonts w:eastAsia="Times New Roman" w:cs="Arial"/>
                      <w:b/>
                      <w:color w:val="auto"/>
                      <w:sz w:val="18"/>
                      <w:szCs w:val="18"/>
                      <w:lang w:eastAsia="en-GB"/>
                    </w:rPr>
                  </w:pPr>
                  <w:r w:rsidRPr="00F36BA7">
                    <w:rPr>
                      <w:rFonts w:eastAsia="Times New Roman" w:cs="Arial"/>
                      <w:b/>
                      <w:color w:val="auto"/>
                      <w:sz w:val="18"/>
                      <w:szCs w:val="18"/>
                      <w:lang w:eastAsia="en-GB"/>
                    </w:rPr>
                    <w:t>Precepts and Demands</w:t>
                  </w:r>
                </w:p>
              </w:tc>
              <w:tc>
                <w:tcPr>
                  <w:tcW w:w="846" w:type="dxa"/>
                  <w:noWrap/>
                  <w:hideMark/>
                </w:tcPr>
                <w:p w:rsidR="00F36BA7" w:rsidRPr="00F36BA7" w:rsidRDefault="00F36BA7" w:rsidP="0067189C">
                  <w:pPr>
                    <w:spacing w:after="0" w:line="240" w:lineRule="auto"/>
                    <w:jc w:val="right"/>
                    <w:cnfStyle w:val="000000000000"/>
                    <w:rPr>
                      <w:rFonts w:eastAsia="Times New Roman" w:cs="Arial"/>
                      <w:color w:val="auto"/>
                      <w:sz w:val="18"/>
                      <w:szCs w:val="18"/>
                      <w:lang w:eastAsia="en-GB"/>
                    </w:rPr>
                  </w:pPr>
                </w:p>
              </w:tc>
              <w:tc>
                <w:tcPr>
                  <w:tcW w:w="855" w:type="dxa"/>
                  <w:noWrap/>
                  <w:hideMark/>
                </w:tcPr>
                <w:p w:rsidR="00F36BA7" w:rsidRPr="00F36BA7" w:rsidRDefault="00F36BA7" w:rsidP="0067189C">
                  <w:pPr>
                    <w:spacing w:after="0" w:line="240" w:lineRule="auto"/>
                    <w:jc w:val="right"/>
                    <w:cnfStyle w:val="000000000000"/>
                    <w:rPr>
                      <w:rFonts w:eastAsia="Times New Roman" w:cs="Arial"/>
                      <w:color w:val="auto"/>
                      <w:sz w:val="18"/>
                      <w:szCs w:val="18"/>
                      <w:lang w:eastAsia="en-GB"/>
                    </w:rPr>
                  </w:pPr>
                </w:p>
              </w:tc>
              <w:tc>
                <w:tcPr>
                  <w:tcW w:w="851" w:type="dxa"/>
                  <w:noWrap/>
                  <w:hideMark/>
                </w:tcPr>
                <w:p w:rsidR="00F36BA7" w:rsidRPr="00F36BA7" w:rsidRDefault="00F36BA7" w:rsidP="0067189C">
                  <w:pPr>
                    <w:spacing w:after="0" w:line="240" w:lineRule="auto"/>
                    <w:jc w:val="right"/>
                    <w:cnfStyle w:val="000000000000"/>
                    <w:rPr>
                      <w:rFonts w:eastAsia="Times New Roman" w:cs="Arial"/>
                      <w:color w:val="auto"/>
                      <w:sz w:val="18"/>
                      <w:szCs w:val="18"/>
                      <w:lang w:eastAsia="en-GB"/>
                    </w:rPr>
                  </w:pPr>
                </w:p>
              </w:tc>
            </w:tr>
            <w:tr w:rsidR="00F36BA7" w:rsidRPr="00F36BA7" w:rsidTr="00A414A8">
              <w:trPr>
                <w:cnfStyle w:val="000000100000"/>
                <w:trHeight w:val="255"/>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6.9</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0</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6.9</w:t>
                  </w:r>
                </w:p>
              </w:tc>
              <w:tc>
                <w:tcPr>
                  <w:tcW w:w="3685" w:type="dxa"/>
                  <w:tcBorders>
                    <w:top w:val="none" w:sz="0" w:space="0" w:color="auto"/>
                    <w:bottom w:val="none" w:sz="0" w:space="0" w:color="auto"/>
                  </w:tcBorders>
                  <w:hideMark/>
                </w:tcPr>
                <w:p w:rsidR="00F36BA7" w:rsidRPr="00F36BA7" w:rsidRDefault="00F36BA7" w:rsidP="00491DC7">
                  <w:pPr>
                    <w:spacing w:after="0" w:line="240" w:lineRule="auto"/>
                    <w:cnfStyle w:val="000000100000"/>
                    <w:rPr>
                      <w:rFonts w:eastAsia="Times New Roman" w:cs="Arial"/>
                      <w:color w:val="auto"/>
                      <w:sz w:val="18"/>
                      <w:szCs w:val="18"/>
                      <w:lang w:eastAsia="en-GB"/>
                    </w:rPr>
                  </w:pPr>
                  <w:r w:rsidRPr="00F36BA7">
                    <w:rPr>
                      <w:rFonts w:eastAsia="Times New Roman" w:cs="Arial"/>
                      <w:color w:val="auto"/>
                      <w:sz w:val="18"/>
                      <w:szCs w:val="18"/>
                      <w:lang w:eastAsia="en-GB"/>
                    </w:rPr>
                    <w:t>Police and Crime Commissioner for Devon and Cornwall</w:t>
                  </w:r>
                </w:p>
              </w:tc>
              <w:tc>
                <w:tcPr>
                  <w:tcW w:w="846" w:type="dxa"/>
                  <w:tcBorders>
                    <w:top w:val="none" w:sz="0" w:space="0" w:color="auto"/>
                    <w:bottom w:val="none" w:sz="0" w:space="0" w:color="auto"/>
                  </w:tcBorders>
                  <w:noWrap/>
                  <w:hideMark/>
                </w:tcPr>
                <w:p w:rsidR="00F36BA7" w:rsidRPr="00F36BA7" w:rsidRDefault="00C550A9" w:rsidP="00491DC7">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7.2</w:t>
                  </w:r>
                </w:p>
              </w:tc>
              <w:tc>
                <w:tcPr>
                  <w:tcW w:w="855" w:type="dxa"/>
                  <w:tcBorders>
                    <w:top w:val="none" w:sz="0" w:space="0" w:color="auto"/>
                    <w:bottom w:val="none" w:sz="0" w:space="0" w:color="auto"/>
                  </w:tcBorders>
                  <w:noWrap/>
                  <w:hideMark/>
                </w:tcPr>
                <w:p w:rsidR="00F36BA7" w:rsidRPr="00F36BA7" w:rsidRDefault="00C550A9" w:rsidP="00491DC7">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0</w:t>
                  </w:r>
                </w:p>
              </w:tc>
              <w:tc>
                <w:tcPr>
                  <w:tcW w:w="851" w:type="dxa"/>
                  <w:tcBorders>
                    <w:top w:val="none" w:sz="0" w:space="0" w:color="auto"/>
                    <w:bottom w:val="none" w:sz="0" w:space="0" w:color="auto"/>
                  </w:tcBorders>
                  <w:noWrap/>
                  <w:hideMark/>
                </w:tcPr>
                <w:p w:rsidR="00F36BA7" w:rsidRPr="00F36BA7" w:rsidRDefault="00C550A9" w:rsidP="00491DC7">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7.2</w:t>
                  </w:r>
                </w:p>
              </w:tc>
            </w:tr>
            <w:tr w:rsidR="00F36BA7" w:rsidRPr="00F36BA7" w:rsidTr="00A414A8">
              <w:trPr>
                <w:trHeight w:val="255"/>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3.2</w:t>
                  </w:r>
                </w:p>
              </w:tc>
              <w:tc>
                <w:tcPr>
                  <w:tcW w:w="709"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0.4</w:t>
                  </w:r>
                </w:p>
              </w:tc>
              <w:tc>
                <w:tcPr>
                  <w:tcW w:w="851"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3.6</w:t>
                  </w:r>
                </w:p>
              </w:tc>
              <w:tc>
                <w:tcPr>
                  <w:tcW w:w="3685" w:type="dxa"/>
                  <w:hideMark/>
                </w:tcPr>
                <w:p w:rsidR="00F36BA7" w:rsidRPr="00F36BA7" w:rsidRDefault="00F36BA7" w:rsidP="00491DC7">
                  <w:pPr>
                    <w:spacing w:after="0" w:line="240" w:lineRule="auto"/>
                    <w:cnfStyle w:val="000000000000"/>
                    <w:rPr>
                      <w:rFonts w:eastAsia="Times New Roman" w:cs="Arial"/>
                      <w:color w:val="auto"/>
                      <w:sz w:val="18"/>
                      <w:szCs w:val="18"/>
                      <w:lang w:eastAsia="en-GB"/>
                    </w:rPr>
                  </w:pPr>
                  <w:r w:rsidRPr="00F36BA7">
                    <w:rPr>
                      <w:rFonts w:eastAsia="Times New Roman" w:cs="Arial"/>
                      <w:color w:val="auto"/>
                      <w:sz w:val="18"/>
                      <w:szCs w:val="18"/>
                      <w:lang w:eastAsia="en-GB"/>
                    </w:rPr>
                    <w:t>Devon &amp; Somerset Fire &amp; Rescue Authority</w:t>
                  </w:r>
                </w:p>
                <w:p w:rsidR="00F36BA7" w:rsidRPr="00F36BA7" w:rsidRDefault="00F36BA7" w:rsidP="00491DC7">
                  <w:pPr>
                    <w:spacing w:after="0" w:line="240" w:lineRule="auto"/>
                    <w:cnfStyle w:val="000000000000"/>
                    <w:rPr>
                      <w:rFonts w:eastAsia="Times New Roman" w:cs="Arial"/>
                      <w:color w:val="auto"/>
                      <w:sz w:val="18"/>
                      <w:szCs w:val="18"/>
                      <w:lang w:eastAsia="en-GB"/>
                    </w:rPr>
                  </w:pPr>
                </w:p>
              </w:tc>
              <w:tc>
                <w:tcPr>
                  <w:tcW w:w="846" w:type="dxa"/>
                  <w:noWrap/>
                  <w:hideMark/>
                </w:tcPr>
                <w:p w:rsidR="00F36BA7" w:rsidRPr="00F36BA7" w:rsidRDefault="00C550A9" w:rsidP="00491DC7">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3.3</w:t>
                  </w:r>
                </w:p>
              </w:tc>
              <w:tc>
                <w:tcPr>
                  <w:tcW w:w="855" w:type="dxa"/>
                  <w:noWrap/>
                  <w:hideMark/>
                </w:tcPr>
                <w:p w:rsidR="00F36BA7" w:rsidRPr="00F36BA7" w:rsidRDefault="00C550A9" w:rsidP="00491DC7">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0.4</w:t>
                  </w:r>
                </w:p>
              </w:tc>
              <w:tc>
                <w:tcPr>
                  <w:tcW w:w="851" w:type="dxa"/>
                  <w:noWrap/>
                  <w:hideMark/>
                </w:tcPr>
                <w:p w:rsidR="00F36BA7" w:rsidRPr="00F36BA7" w:rsidRDefault="00C550A9" w:rsidP="00B43737">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3.7</w:t>
                  </w:r>
                </w:p>
              </w:tc>
            </w:tr>
            <w:tr w:rsidR="00F36BA7" w:rsidRPr="00F36BA7" w:rsidTr="00A414A8">
              <w:trPr>
                <w:cnfStyle w:val="000000100000"/>
                <w:trHeight w:val="255"/>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0</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17.5</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17.5</w:t>
                  </w:r>
                </w:p>
              </w:tc>
              <w:tc>
                <w:tcPr>
                  <w:tcW w:w="3685" w:type="dxa"/>
                  <w:tcBorders>
                    <w:top w:val="none" w:sz="0" w:space="0" w:color="auto"/>
                    <w:bottom w:val="none" w:sz="0" w:space="0" w:color="auto"/>
                  </w:tcBorders>
                  <w:noWrap/>
                  <w:hideMark/>
                </w:tcPr>
                <w:p w:rsidR="00F36BA7" w:rsidRPr="00F36BA7" w:rsidRDefault="00F36BA7" w:rsidP="00491DC7">
                  <w:pPr>
                    <w:spacing w:after="0" w:line="240" w:lineRule="auto"/>
                    <w:cnfStyle w:val="000000100000"/>
                    <w:rPr>
                      <w:rFonts w:eastAsia="Times New Roman" w:cs="Arial"/>
                      <w:color w:val="auto"/>
                      <w:sz w:val="18"/>
                      <w:szCs w:val="18"/>
                      <w:lang w:eastAsia="en-GB"/>
                    </w:rPr>
                  </w:pPr>
                  <w:r w:rsidRPr="00F36BA7">
                    <w:rPr>
                      <w:rFonts w:eastAsia="Times New Roman" w:cs="Arial"/>
                      <w:color w:val="auto"/>
                      <w:sz w:val="18"/>
                      <w:szCs w:val="18"/>
                      <w:lang w:eastAsia="en-GB"/>
                    </w:rPr>
                    <w:t>DCLG, (Central Government)</w:t>
                  </w:r>
                </w:p>
                <w:p w:rsidR="00F36BA7" w:rsidRPr="00F36BA7" w:rsidRDefault="00F36BA7" w:rsidP="00491DC7">
                  <w:pPr>
                    <w:spacing w:after="0" w:line="240" w:lineRule="auto"/>
                    <w:cnfStyle w:val="000000100000"/>
                    <w:rPr>
                      <w:rFonts w:eastAsia="Times New Roman" w:cs="Arial"/>
                      <w:color w:val="auto"/>
                      <w:sz w:val="18"/>
                      <w:szCs w:val="18"/>
                      <w:lang w:eastAsia="en-GB"/>
                    </w:rPr>
                  </w:pPr>
                </w:p>
              </w:tc>
              <w:tc>
                <w:tcPr>
                  <w:tcW w:w="846" w:type="dxa"/>
                  <w:tcBorders>
                    <w:top w:val="none" w:sz="0" w:space="0" w:color="auto"/>
                    <w:bottom w:val="none" w:sz="0" w:space="0" w:color="auto"/>
                  </w:tcBorders>
                  <w:noWrap/>
                  <w:hideMark/>
                </w:tcPr>
                <w:p w:rsidR="00F36BA7" w:rsidRPr="00F36BA7" w:rsidRDefault="00C550A9" w:rsidP="00491DC7">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0</w:t>
                  </w:r>
                </w:p>
              </w:tc>
              <w:tc>
                <w:tcPr>
                  <w:tcW w:w="855" w:type="dxa"/>
                  <w:tcBorders>
                    <w:top w:val="none" w:sz="0" w:space="0" w:color="auto"/>
                    <w:bottom w:val="none" w:sz="0" w:space="0" w:color="auto"/>
                  </w:tcBorders>
                  <w:noWrap/>
                  <w:hideMark/>
                </w:tcPr>
                <w:p w:rsidR="00F36BA7" w:rsidRPr="00F36BA7" w:rsidRDefault="00C550A9" w:rsidP="00491DC7">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18.2</w:t>
                  </w:r>
                </w:p>
              </w:tc>
              <w:tc>
                <w:tcPr>
                  <w:tcW w:w="851" w:type="dxa"/>
                  <w:tcBorders>
                    <w:top w:val="none" w:sz="0" w:space="0" w:color="auto"/>
                    <w:bottom w:val="none" w:sz="0" w:space="0" w:color="auto"/>
                  </w:tcBorders>
                  <w:noWrap/>
                  <w:hideMark/>
                </w:tcPr>
                <w:p w:rsidR="00F36BA7" w:rsidRPr="00F36BA7" w:rsidRDefault="00C550A9" w:rsidP="00491DC7">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18.2</w:t>
                  </w:r>
                </w:p>
              </w:tc>
            </w:tr>
            <w:tr w:rsidR="00F36BA7" w:rsidRPr="00F36BA7" w:rsidTr="00A414A8">
              <w:trPr>
                <w:trHeight w:val="270"/>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52.8</w:t>
                  </w:r>
                </w:p>
              </w:tc>
              <w:tc>
                <w:tcPr>
                  <w:tcW w:w="709"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17.2</w:t>
                  </w:r>
                </w:p>
              </w:tc>
              <w:tc>
                <w:tcPr>
                  <w:tcW w:w="851"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70.0</w:t>
                  </w:r>
                </w:p>
              </w:tc>
              <w:tc>
                <w:tcPr>
                  <w:tcW w:w="3685" w:type="dxa"/>
                  <w:hideMark/>
                </w:tcPr>
                <w:p w:rsidR="00F36BA7" w:rsidRPr="00F36BA7" w:rsidRDefault="00F36BA7" w:rsidP="00491DC7">
                  <w:pPr>
                    <w:spacing w:after="0" w:line="240" w:lineRule="auto"/>
                    <w:cnfStyle w:val="000000000000"/>
                    <w:rPr>
                      <w:rFonts w:eastAsia="Times New Roman" w:cs="Arial"/>
                      <w:color w:val="auto"/>
                      <w:sz w:val="18"/>
                      <w:szCs w:val="18"/>
                      <w:lang w:eastAsia="en-GB"/>
                    </w:rPr>
                  </w:pPr>
                  <w:r w:rsidRPr="00F36BA7">
                    <w:rPr>
                      <w:rFonts w:eastAsia="Times New Roman" w:cs="Arial"/>
                      <w:color w:val="auto"/>
                      <w:sz w:val="18"/>
                      <w:szCs w:val="18"/>
                      <w:lang w:eastAsia="en-GB"/>
                    </w:rPr>
                    <w:t>Torbay Council's Own Demand (Including Brixham Town Council)</w:t>
                  </w:r>
                </w:p>
              </w:tc>
              <w:tc>
                <w:tcPr>
                  <w:tcW w:w="846" w:type="dxa"/>
                  <w:noWrap/>
                  <w:hideMark/>
                </w:tcPr>
                <w:p w:rsidR="00F36BA7" w:rsidRPr="00F36BA7" w:rsidRDefault="00C550A9" w:rsidP="00491DC7">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53.7</w:t>
                  </w:r>
                </w:p>
              </w:tc>
              <w:tc>
                <w:tcPr>
                  <w:tcW w:w="855" w:type="dxa"/>
                  <w:noWrap/>
                  <w:hideMark/>
                </w:tcPr>
                <w:p w:rsidR="00F36BA7" w:rsidRPr="00F36BA7" w:rsidRDefault="00C550A9" w:rsidP="00491DC7">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17.8</w:t>
                  </w:r>
                </w:p>
              </w:tc>
              <w:tc>
                <w:tcPr>
                  <w:tcW w:w="851" w:type="dxa"/>
                  <w:noWrap/>
                  <w:hideMark/>
                </w:tcPr>
                <w:p w:rsidR="00F36BA7" w:rsidRPr="00F36BA7" w:rsidRDefault="00C550A9" w:rsidP="00491DC7">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71.5</w:t>
                  </w:r>
                </w:p>
              </w:tc>
            </w:tr>
            <w:tr w:rsidR="00F36BA7" w:rsidRPr="00F36BA7" w:rsidTr="00A414A8">
              <w:trPr>
                <w:cnfStyle w:val="000000100000"/>
                <w:trHeight w:val="154"/>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62.9</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35.1</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98.0</w:t>
                  </w:r>
                </w:p>
              </w:tc>
              <w:tc>
                <w:tcPr>
                  <w:tcW w:w="3685" w:type="dxa"/>
                  <w:tcBorders>
                    <w:top w:val="none" w:sz="0" w:space="0" w:color="auto"/>
                    <w:bottom w:val="none" w:sz="0" w:space="0" w:color="auto"/>
                  </w:tcBorders>
                  <w:hideMark/>
                </w:tcPr>
                <w:p w:rsidR="00F36BA7" w:rsidRPr="00F36BA7" w:rsidRDefault="00F36BA7" w:rsidP="00FD2994">
                  <w:pPr>
                    <w:spacing w:after="0" w:line="240" w:lineRule="auto"/>
                    <w:cnfStyle w:val="000000100000"/>
                    <w:rPr>
                      <w:rFonts w:eastAsia="Times New Roman" w:cs="Arial"/>
                      <w:b/>
                      <w:color w:val="auto"/>
                      <w:sz w:val="18"/>
                      <w:szCs w:val="18"/>
                      <w:lang w:eastAsia="en-GB"/>
                    </w:rPr>
                  </w:pPr>
                  <w:r w:rsidRPr="00F36BA7">
                    <w:rPr>
                      <w:rFonts w:eastAsia="Times New Roman" w:cs="Arial"/>
                      <w:b/>
                      <w:color w:val="auto"/>
                      <w:sz w:val="18"/>
                      <w:szCs w:val="18"/>
                      <w:lang w:eastAsia="en-GB"/>
                    </w:rPr>
                    <w:t>Total Precepts and Demands</w:t>
                  </w:r>
                </w:p>
                <w:p w:rsidR="00F36BA7" w:rsidRPr="00F36BA7" w:rsidRDefault="00F36BA7" w:rsidP="00FD2994">
                  <w:pPr>
                    <w:spacing w:after="0" w:line="240" w:lineRule="auto"/>
                    <w:cnfStyle w:val="000000100000"/>
                    <w:rPr>
                      <w:rFonts w:eastAsia="Times New Roman" w:cs="Arial"/>
                      <w:b/>
                      <w:color w:val="auto"/>
                      <w:sz w:val="18"/>
                      <w:szCs w:val="18"/>
                      <w:lang w:eastAsia="en-GB"/>
                    </w:rPr>
                  </w:pPr>
                </w:p>
              </w:tc>
              <w:tc>
                <w:tcPr>
                  <w:tcW w:w="846" w:type="dxa"/>
                  <w:tcBorders>
                    <w:top w:val="none" w:sz="0" w:space="0" w:color="auto"/>
                    <w:bottom w:val="none" w:sz="0" w:space="0" w:color="auto"/>
                  </w:tcBorders>
                  <w:noWrap/>
                  <w:hideMark/>
                </w:tcPr>
                <w:p w:rsidR="00F36BA7" w:rsidRPr="00F36BA7" w:rsidRDefault="00C550A9" w:rsidP="00CB08BC">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64.2</w:t>
                  </w:r>
                </w:p>
              </w:tc>
              <w:tc>
                <w:tcPr>
                  <w:tcW w:w="855" w:type="dxa"/>
                  <w:tcBorders>
                    <w:top w:val="none" w:sz="0" w:space="0" w:color="auto"/>
                    <w:bottom w:val="none" w:sz="0" w:space="0" w:color="auto"/>
                  </w:tcBorders>
                  <w:noWrap/>
                  <w:hideMark/>
                </w:tcPr>
                <w:p w:rsidR="00F36BA7" w:rsidRPr="00F36BA7" w:rsidRDefault="00C550A9" w:rsidP="00491DC7">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36.4</w:t>
                  </w:r>
                </w:p>
              </w:tc>
              <w:tc>
                <w:tcPr>
                  <w:tcW w:w="851" w:type="dxa"/>
                  <w:tcBorders>
                    <w:top w:val="none" w:sz="0" w:space="0" w:color="auto"/>
                    <w:bottom w:val="none" w:sz="0" w:space="0" w:color="auto"/>
                  </w:tcBorders>
                  <w:noWrap/>
                  <w:hideMark/>
                </w:tcPr>
                <w:p w:rsidR="00F36BA7" w:rsidRPr="00F36BA7" w:rsidRDefault="00C550A9" w:rsidP="00491DC7">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100.6</w:t>
                  </w:r>
                </w:p>
              </w:tc>
            </w:tr>
            <w:tr w:rsidR="00F36BA7" w:rsidRPr="00F36BA7" w:rsidTr="00A414A8">
              <w:trPr>
                <w:trHeight w:val="270"/>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0</w:t>
                  </w:r>
                </w:p>
              </w:tc>
              <w:tc>
                <w:tcPr>
                  <w:tcW w:w="709"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0.2</w:t>
                  </w:r>
                </w:p>
              </w:tc>
              <w:tc>
                <w:tcPr>
                  <w:tcW w:w="851"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0.2</w:t>
                  </w:r>
                </w:p>
              </w:tc>
              <w:tc>
                <w:tcPr>
                  <w:tcW w:w="3685" w:type="dxa"/>
                  <w:hideMark/>
                </w:tcPr>
                <w:p w:rsidR="00F36BA7" w:rsidRPr="00F36BA7" w:rsidRDefault="00F36BA7" w:rsidP="00491DC7">
                  <w:pPr>
                    <w:spacing w:after="0" w:line="240" w:lineRule="auto"/>
                    <w:cnfStyle w:val="000000000000"/>
                    <w:rPr>
                      <w:rFonts w:eastAsia="Times New Roman" w:cs="Arial"/>
                      <w:b/>
                      <w:bCs/>
                      <w:color w:val="auto"/>
                      <w:sz w:val="18"/>
                      <w:szCs w:val="18"/>
                      <w:lang w:eastAsia="en-GB"/>
                    </w:rPr>
                  </w:pPr>
                  <w:r w:rsidRPr="00F36BA7">
                    <w:rPr>
                      <w:rFonts w:eastAsia="Times New Roman" w:cs="Arial"/>
                      <w:b/>
                      <w:bCs/>
                      <w:color w:val="auto"/>
                      <w:sz w:val="18"/>
                      <w:szCs w:val="18"/>
                      <w:lang w:eastAsia="en-GB"/>
                    </w:rPr>
                    <w:t>Cost of Collection Allowance</w:t>
                  </w:r>
                </w:p>
              </w:tc>
              <w:tc>
                <w:tcPr>
                  <w:tcW w:w="846" w:type="dxa"/>
                  <w:noWrap/>
                  <w:hideMark/>
                </w:tcPr>
                <w:p w:rsidR="00F36BA7" w:rsidRPr="00F36BA7" w:rsidRDefault="00C550A9" w:rsidP="00CB08BC">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0</w:t>
                  </w:r>
                </w:p>
              </w:tc>
              <w:tc>
                <w:tcPr>
                  <w:tcW w:w="855" w:type="dxa"/>
                  <w:noWrap/>
                  <w:hideMark/>
                </w:tcPr>
                <w:p w:rsidR="00F36BA7" w:rsidRPr="00F36BA7" w:rsidRDefault="00C550A9" w:rsidP="00491DC7">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0.2</w:t>
                  </w:r>
                </w:p>
              </w:tc>
              <w:tc>
                <w:tcPr>
                  <w:tcW w:w="851" w:type="dxa"/>
                  <w:noWrap/>
                  <w:hideMark/>
                </w:tcPr>
                <w:p w:rsidR="00F36BA7" w:rsidRPr="00F36BA7" w:rsidRDefault="00C550A9" w:rsidP="00491DC7">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0.2</w:t>
                  </w:r>
                </w:p>
              </w:tc>
            </w:tr>
            <w:tr w:rsidR="00F36BA7" w:rsidRPr="00F36BA7" w:rsidTr="00A414A8">
              <w:trPr>
                <w:cnfStyle w:val="000000100000"/>
                <w:trHeight w:val="255"/>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rPr>
                      <w:rFonts w:eastAsia="Times New Roman" w:cs="Arial"/>
                      <w:b w:val="0"/>
                      <w:color w:val="auto"/>
                      <w:sz w:val="18"/>
                      <w:szCs w:val="18"/>
                      <w:lang w:eastAsia="en-GB"/>
                    </w:rPr>
                  </w:pP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cnfStyle w:val="000000100000"/>
                    <w:rPr>
                      <w:rFonts w:eastAsia="Times New Roman" w:cs="Arial"/>
                      <w:color w:val="auto"/>
                      <w:sz w:val="18"/>
                      <w:szCs w:val="18"/>
                      <w:lang w:eastAsia="en-GB"/>
                    </w:rPr>
                  </w:pP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cnfStyle w:val="000000100000"/>
                    <w:rPr>
                      <w:rFonts w:eastAsia="Times New Roman" w:cs="Arial"/>
                      <w:color w:val="auto"/>
                      <w:sz w:val="18"/>
                      <w:szCs w:val="18"/>
                      <w:lang w:eastAsia="en-GB"/>
                    </w:rPr>
                  </w:pPr>
                </w:p>
              </w:tc>
              <w:tc>
                <w:tcPr>
                  <w:tcW w:w="3685" w:type="dxa"/>
                  <w:tcBorders>
                    <w:top w:val="none" w:sz="0" w:space="0" w:color="auto"/>
                    <w:bottom w:val="none" w:sz="0" w:space="0" w:color="auto"/>
                  </w:tcBorders>
                  <w:hideMark/>
                </w:tcPr>
                <w:p w:rsidR="00F36BA7" w:rsidRPr="00F36BA7" w:rsidRDefault="00F36BA7" w:rsidP="00117B4A">
                  <w:pPr>
                    <w:spacing w:after="0" w:line="240" w:lineRule="auto"/>
                    <w:cnfStyle w:val="000000100000"/>
                    <w:rPr>
                      <w:rFonts w:eastAsia="Times New Roman" w:cs="Arial"/>
                      <w:b/>
                      <w:bCs/>
                      <w:color w:val="auto"/>
                      <w:sz w:val="18"/>
                      <w:szCs w:val="18"/>
                      <w:lang w:eastAsia="en-GB"/>
                    </w:rPr>
                  </w:pPr>
                  <w:r w:rsidRPr="00F36BA7">
                    <w:rPr>
                      <w:rFonts w:eastAsia="Times New Roman" w:cs="Arial"/>
                      <w:b/>
                      <w:bCs/>
                      <w:color w:val="auto"/>
                      <w:sz w:val="18"/>
                      <w:szCs w:val="18"/>
                      <w:lang w:eastAsia="en-GB"/>
                    </w:rPr>
                    <w:t>Distribution of Previous Years Estimated Surplus/(Defict);</w:t>
                  </w:r>
                </w:p>
              </w:tc>
              <w:tc>
                <w:tcPr>
                  <w:tcW w:w="846" w:type="dxa"/>
                  <w:tcBorders>
                    <w:top w:val="none" w:sz="0" w:space="0" w:color="auto"/>
                    <w:bottom w:val="none" w:sz="0" w:space="0" w:color="auto"/>
                  </w:tcBorders>
                  <w:noWrap/>
                  <w:hideMark/>
                </w:tcPr>
                <w:p w:rsidR="00F36BA7" w:rsidRPr="00F36BA7" w:rsidRDefault="00F36BA7" w:rsidP="00412758">
                  <w:pPr>
                    <w:spacing w:after="0" w:line="240" w:lineRule="auto"/>
                    <w:cnfStyle w:val="000000100000"/>
                    <w:rPr>
                      <w:rFonts w:eastAsia="Times New Roman" w:cs="Arial"/>
                      <w:color w:val="auto"/>
                      <w:sz w:val="18"/>
                      <w:szCs w:val="18"/>
                      <w:lang w:eastAsia="en-GB"/>
                    </w:rPr>
                  </w:pPr>
                </w:p>
              </w:tc>
              <w:tc>
                <w:tcPr>
                  <w:tcW w:w="855" w:type="dxa"/>
                  <w:tcBorders>
                    <w:top w:val="none" w:sz="0" w:space="0" w:color="auto"/>
                    <w:bottom w:val="none" w:sz="0" w:space="0" w:color="auto"/>
                  </w:tcBorders>
                  <w:noWrap/>
                  <w:hideMark/>
                </w:tcPr>
                <w:p w:rsidR="00F36BA7" w:rsidRPr="00F36BA7" w:rsidRDefault="00F36BA7" w:rsidP="00412758">
                  <w:pPr>
                    <w:spacing w:after="0" w:line="240" w:lineRule="auto"/>
                    <w:cnfStyle w:val="000000100000"/>
                    <w:rPr>
                      <w:rFonts w:eastAsia="Times New Roman" w:cs="Arial"/>
                      <w:color w:val="auto"/>
                      <w:sz w:val="18"/>
                      <w:szCs w:val="18"/>
                      <w:lang w:eastAsia="en-GB"/>
                    </w:rPr>
                  </w:pPr>
                </w:p>
              </w:tc>
              <w:tc>
                <w:tcPr>
                  <w:tcW w:w="851" w:type="dxa"/>
                  <w:tcBorders>
                    <w:top w:val="none" w:sz="0" w:space="0" w:color="auto"/>
                    <w:bottom w:val="none" w:sz="0" w:space="0" w:color="auto"/>
                  </w:tcBorders>
                  <w:noWrap/>
                  <w:hideMark/>
                </w:tcPr>
                <w:p w:rsidR="00F36BA7" w:rsidRPr="00F36BA7" w:rsidRDefault="00F36BA7" w:rsidP="00412758">
                  <w:pPr>
                    <w:spacing w:after="0" w:line="240" w:lineRule="auto"/>
                    <w:cnfStyle w:val="000000100000"/>
                    <w:rPr>
                      <w:rFonts w:eastAsia="Times New Roman" w:cs="Arial"/>
                      <w:color w:val="auto"/>
                      <w:sz w:val="18"/>
                      <w:szCs w:val="18"/>
                      <w:lang w:eastAsia="en-GB"/>
                    </w:rPr>
                  </w:pPr>
                </w:p>
              </w:tc>
            </w:tr>
            <w:tr w:rsidR="00F36BA7" w:rsidRPr="00F36BA7" w:rsidTr="00A414A8">
              <w:trPr>
                <w:trHeight w:val="255"/>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iCs/>
                      <w:color w:val="auto"/>
                      <w:sz w:val="18"/>
                      <w:szCs w:val="18"/>
                      <w:lang w:eastAsia="en-GB"/>
                    </w:rPr>
                  </w:pPr>
                  <w:r w:rsidRPr="001A0F84">
                    <w:rPr>
                      <w:rFonts w:eastAsia="Times New Roman" w:cs="Arial"/>
                      <w:b w:val="0"/>
                      <w:iCs/>
                      <w:color w:val="auto"/>
                      <w:sz w:val="18"/>
                      <w:szCs w:val="18"/>
                      <w:lang w:eastAsia="en-GB"/>
                    </w:rPr>
                    <w:t>0.1</w:t>
                  </w:r>
                </w:p>
              </w:tc>
              <w:tc>
                <w:tcPr>
                  <w:tcW w:w="709" w:type="dxa"/>
                  <w:noWrap/>
                  <w:hideMark/>
                </w:tcPr>
                <w:p w:rsidR="00F36BA7" w:rsidRPr="001A0F84" w:rsidRDefault="00F36BA7" w:rsidP="00051379">
                  <w:pPr>
                    <w:spacing w:after="0" w:line="240" w:lineRule="auto"/>
                    <w:jc w:val="right"/>
                    <w:cnfStyle w:val="000000000000"/>
                    <w:rPr>
                      <w:rFonts w:eastAsia="Times New Roman" w:cs="Arial"/>
                      <w:iCs/>
                      <w:color w:val="auto"/>
                      <w:sz w:val="18"/>
                      <w:szCs w:val="18"/>
                      <w:lang w:eastAsia="en-GB"/>
                    </w:rPr>
                  </w:pPr>
                  <w:r w:rsidRPr="001A0F84">
                    <w:rPr>
                      <w:rFonts w:eastAsia="Times New Roman" w:cs="Arial"/>
                      <w:iCs/>
                      <w:color w:val="auto"/>
                      <w:sz w:val="18"/>
                      <w:szCs w:val="18"/>
                      <w:lang w:eastAsia="en-GB"/>
                    </w:rPr>
                    <w:t>0</w:t>
                  </w:r>
                </w:p>
              </w:tc>
              <w:tc>
                <w:tcPr>
                  <w:tcW w:w="851" w:type="dxa"/>
                  <w:noWrap/>
                  <w:hideMark/>
                </w:tcPr>
                <w:p w:rsidR="00F36BA7" w:rsidRPr="001A0F84" w:rsidRDefault="00F36BA7" w:rsidP="00051379">
                  <w:pPr>
                    <w:spacing w:after="0" w:line="240" w:lineRule="auto"/>
                    <w:jc w:val="right"/>
                    <w:cnfStyle w:val="000000000000"/>
                    <w:rPr>
                      <w:rFonts w:eastAsia="Times New Roman" w:cs="Arial"/>
                      <w:iCs/>
                      <w:color w:val="auto"/>
                      <w:sz w:val="18"/>
                      <w:szCs w:val="18"/>
                      <w:lang w:eastAsia="en-GB"/>
                    </w:rPr>
                  </w:pPr>
                  <w:r w:rsidRPr="001A0F84">
                    <w:rPr>
                      <w:rFonts w:eastAsia="Times New Roman" w:cs="Arial"/>
                      <w:iCs/>
                      <w:color w:val="auto"/>
                      <w:sz w:val="18"/>
                      <w:szCs w:val="18"/>
                      <w:lang w:eastAsia="en-GB"/>
                    </w:rPr>
                    <w:t>0.1</w:t>
                  </w:r>
                </w:p>
              </w:tc>
              <w:tc>
                <w:tcPr>
                  <w:tcW w:w="3685" w:type="dxa"/>
                  <w:hideMark/>
                </w:tcPr>
                <w:p w:rsidR="00F36BA7" w:rsidRPr="00F36BA7" w:rsidRDefault="00F36BA7" w:rsidP="00412758">
                  <w:pPr>
                    <w:spacing w:after="0" w:line="240" w:lineRule="auto"/>
                    <w:cnfStyle w:val="000000000000"/>
                    <w:rPr>
                      <w:rFonts w:eastAsia="Times New Roman" w:cs="Arial"/>
                      <w:iCs/>
                      <w:color w:val="auto"/>
                      <w:sz w:val="18"/>
                      <w:szCs w:val="18"/>
                      <w:lang w:eastAsia="en-GB"/>
                    </w:rPr>
                  </w:pPr>
                  <w:r w:rsidRPr="00F36BA7">
                    <w:rPr>
                      <w:rFonts w:eastAsia="Times New Roman" w:cs="Arial"/>
                      <w:iCs/>
                      <w:color w:val="auto"/>
                      <w:sz w:val="18"/>
                      <w:szCs w:val="18"/>
                      <w:lang w:eastAsia="en-GB"/>
                    </w:rPr>
                    <w:t>Police and Crime Commissioner for Devon and Cornwall</w:t>
                  </w:r>
                </w:p>
              </w:tc>
              <w:tc>
                <w:tcPr>
                  <w:tcW w:w="846" w:type="dxa"/>
                  <w:noWrap/>
                  <w:hideMark/>
                </w:tcPr>
                <w:p w:rsidR="00F36BA7" w:rsidRPr="00F36BA7" w:rsidRDefault="00C550A9" w:rsidP="00545296">
                  <w:pPr>
                    <w:spacing w:after="0" w:line="240" w:lineRule="auto"/>
                    <w:jc w:val="right"/>
                    <w:cnfStyle w:val="000000000000"/>
                    <w:rPr>
                      <w:rFonts w:eastAsia="Times New Roman" w:cs="Arial"/>
                      <w:iCs/>
                      <w:color w:val="auto"/>
                      <w:sz w:val="18"/>
                      <w:szCs w:val="18"/>
                      <w:lang w:eastAsia="en-GB"/>
                    </w:rPr>
                  </w:pPr>
                  <w:r>
                    <w:rPr>
                      <w:rFonts w:eastAsia="Times New Roman" w:cs="Arial"/>
                      <w:iCs/>
                      <w:color w:val="auto"/>
                      <w:sz w:val="18"/>
                      <w:szCs w:val="18"/>
                      <w:lang w:eastAsia="en-GB"/>
                    </w:rPr>
                    <w:t>0.</w:t>
                  </w:r>
                  <w:r w:rsidR="00545296">
                    <w:rPr>
                      <w:rFonts w:eastAsia="Times New Roman" w:cs="Arial"/>
                      <w:iCs/>
                      <w:color w:val="auto"/>
                      <w:sz w:val="18"/>
                      <w:szCs w:val="18"/>
                      <w:lang w:eastAsia="en-GB"/>
                    </w:rPr>
                    <w:t>1</w:t>
                  </w:r>
                </w:p>
              </w:tc>
              <w:tc>
                <w:tcPr>
                  <w:tcW w:w="855" w:type="dxa"/>
                  <w:noWrap/>
                  <w:hideMark/>
                </w:tcPr>
                <w:p w:rsidR="00F36BA7" w:rsidRPr="00F36BA7" w:rsidRDefault="00C550A9" w:rsidP="0067189C">
                  <w:pPr>
                    <w:spacing w:after="0" w:line="240" w:lineRule="auto"/>
                    <w:jc w:val="right"/>
                    <w:cnfStyle w:val="000000000000"/>
                    <w:rPr>
                      <w:rFonts w:eastAsia="Times New Roman" w:cs="Arial"/>
                      <w:iCs/>
                      <w:color w:val="auto"/>
                      <w:sz w:val="18"/>
                      <w:szCs w:val="18"/>
                      <w:lang w:eastAsia="en-GB"/>
                    </w:rPr>
                  </w:pPr>
                  <w:r>
                    <w:rPr>
                      <w:rFonts w:eastAsia="Times New Roman" w:cs="Arial"/>
                      <w:iCs/>
                      <w:color w:val="auto"/>
                      <w:sz w:val="18"/>
                      <w:szCs w:val="18"/>
                      <w:lang w:eastAsia="en-GB"/>
                    </w:rPr>
                    <w:t>0</w:t>
                  </w:r>
                </w:p>
              </w:tc>
              <w:tc>
                <w:tcPr>
                  <w:tcW w:w="851" w:type="dxa"/>
                  <w:noWrap/>
                  <w:hideMark/>
                </w:tcPr>
                <w:p w:rsidR="00F36BA7" w:rsidRPr="00F36BA7" w:rsidRDefault="00C550A9" w:rsidP="00545296">
                  <w:pPr>
                    <w:spacing w:after="0" w:line="240" w:lineRule="auto"/>
                    <w:jc w:val="right"/>
                    <w:cnfStyle w:val="000000000000"/>
                    <w:rPr>
                      <w:rFonts w:eastAsia="Times New Roman" w:cs="Arial"/>
                      <w:iCs/>
                      <w:color w:val="auto"/>
                      <w:sz w:val="18"/>
                      <w:szCs w:val="18"/>
                      <w:lang w:eastAsia="en-GB"/>
                    </w:rPr>
                  </w:pPr>
                  <w:r>
                    <w:rPr>
                      <w:rFonts w:eastAsia="Times New Roman" w:cs="Arial"/>
                      <w:iCs/>
                      <w:color w:val="auto"/>
                      <w:sz w:val="18"/>
                      <w:szCs w:val="18"/>
                      <w:lang w:eastAsia="en-GB"/>
                    </w:rPr>
                    <w:t>0.</w:t>
                  </w:r>
                  <w:r w:rsidR="00545296">
                    <w:rPr>
                      <w:rFonts w:eastAsia="Times New Roman" w:cs="Arial"/>
                      <w:iCs/>
                      <w:color w:val="auto"/>
                      <w:sz w:val="18"/>
                      <w:szCs w:val="18"/>
                      <w:lang w:eastAsia="en-GB"/>
                    </w:rPr>
                    <w:t>1</w:t>
                  </w:r>
                </w:p>
              </w:tc>
            </w:tr>
            <w:tr w:rsidR="00F36BA7" w:rsidRPr="00F36BA7" w:rsidTr="00A414A8">
              <w:trPr>
                <w:cnfStyle w:val="000000100000"/>
                <w:trHeight w:val="255"/>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iCs/>
                      <w:color w:val="auto"/>
                      <w:sz w:val="18"/>
                      <w:szCs w:val="18"/>
                      <w:lang w:eastAsia="en-GB"/>
                    </w:rPr>
                  </w:pPr>
                  <w:r w:rsidRPr="001A0F84">
                    <w:rPr>
                      <w:rFonts w:eastAsia="Times New Roman" w:cs="Arial"/>
                      <w:b w:val="0"/>
                      <w:iCs/>
                      <w:color w:val="auto"/>
                      <w:sz w:val="18"/>
                      <w:szCs w:val="18"/>
                      <w:lang w:eastAsia="en-GB"/>
                    </w:rPr>
                    <w:t>0</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iCs/>
                      <w:color w:val="auto"/>
                      <w:sz w:val="18"/>
                      <w:szCs w:val="18"/>
                      <w:lang w:eastAsia="en-GB"/>
                    </w:rPr>
                  </w:pPr>
                  <w:r w:rsidRPr="001A0F84">
                    <w:rPr>
                      <w:rFonts w:eastAsia="Times New Roman" w:cs="Arial"/>
                      <w:iCs/>
                      <w:color w:val="auto"/>
                      <w:sz w:val="18"/>
                      <w:szCs w:val="18"/>
                      <w:lang w:eastAsia="en-GB"/>
                    </w:rPr>
                    <w:t>0</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iCs/>
                      <w:color w:val="auto"/>
                      <w:sz w:val="18"/>
                      <w:szCs w:val="18"/>
                      <w:lang w:eastAsia="en-GB"/>
                    </w:rPr>
                  </w:pPr>
                  <w:r w:rsidRPr="001A0F84">
                    <w:rPr>
                      <w:rFonts w:eastAsia="Times New Roman" w:cs="Arial"/>
                      <w:iCs/>
                      <w:color w:val="auto"/>
                      <w:sz w:val="18"/>
                      <w:szCs w:val="18"/>
                      <w:lang w:eastAsia="en-GB"/>
                    </w:rPr>
                    <w:t>0</w:t>
                  </w:r>
                </w:p>
              </w:tc>
              <w:tc>
                <w:tcPr>
                  <w:tcW w:w="3685" w:type="dxa"/>
                  <w:tcBorders>
                    <w:top w:val="none" w:sz="0" w:space="0" w:color="auto"/>
                    <w:bottom w:val="none" w:sz="0" w:space="0" w:color="auto"/>
                  </w:tcBorders>
                  <w:hideMark/>
                </w:tcPr>
                <w:p w:rsidR="00F36BA7" w:rsidRPr="00F36BA7" w:rsidRDefault="00F36BA7" w:rsidP="00412758">
                  <w:pPr>
                    <w:spacing w:after="0" w:line="240" w:lineRule="auto"/>
                    <w:cnfStyle w:val="000000100000"/>
                    <w:rPr>
                      <w:rFonts w:eastAsia="Times New Roman" w:cs="Arial"/>
                      <w:iCs/>
                      <w:color w:val="auto"/>
                      <w:sz w:val="18"/>
                      <w:szCs w:val="18"/>
                      <w:lang w:eastAsia="en-GB"/>
                    </w:rPr>
                  </w:pPr>
                  <w:r w:rsidRPr="00F36BA7">
                    <w:rPr>
                      <w:rFonts w:eastAsia="Times New Roman" w:cs="Arial"/>
                      <w:iCs/>
                      <w:color w:val="auto"/>
                      <w:sz w:val="18"/>
                      <w:szCs w:val="18"/>
                      <w:lang w:eastAsia="en-GB"/>
                    </w:rPr>
                    <w:t>Devon &amp; Somerset Fire &amp; Rescue Authority</w:t>
                  </w:r>
                </w:p>
              </w:tc>
              <w:tc>
                <w:tcPr>
                  <w:tcW w:w="846"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iCs/>
                      <w:color w:val="auto"/>
                      <w:sz w:val="18"/>
                      <w:szCs w:val="18"/>
                      <w:lang w:eastAsia="en-GB"/>
                    </w:rPr>
                  </w:pPr>
                  <w:r>
                    <w:rPr>
                      <w:rFonts w:eastAsia="Times New Roman" w:cs="Arial"/>
                      <w:iCs/>
                      <w:color w:val="auto"/>
                      <w:sz w:val="18"/>
                      <w:szCs w:val="18"/>
                      <w:lang w:eastAsia="en-GB"/>
                    </w:rPr>
                    <w:t>0.1</w:t>
                  </w:r>
                </w:p>
              </w:tc>
              <w:tc>
                <w:tcPr>
                  <w:tcW w:w="855"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iCs/>
                      <w:color w:val="auto"/>
                      <w:sz w:val="18"/>
                      <w:szCs w:val="18"/>
                      <w:lang w:eastAsia="en-GB"/>
                    </w:rPr>
                  </w:pPr>
                  <w:r>
                    <w:rPr>
                      <w:rFonts w:eastAsia="Times New Roman" w:cs="Arial"/>
                      <w:iCs/>
                      <w:color w:val="auto"/>
                      <w:sz w:val="18"/>
                      <w:szCs w:val="18"/>
                      <w:lang w:eastAsia="en-GB"/>
                    </w:rPr>
                    <w:t>0</w:t>
                  </w:r>
                </w:p>
              </w:tc>
              <w:tc>
                <w:tcPr>
                  <w:tcW w:w="851"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iCs/>
                      <w:color w:val="auto"/>
                      <w:sz w:val="18"/>
                      <w:szCs w:val="18"/>
                      <w:lang w:eastAsia="en-GB"/>
                    </w:rPr>
                  </w:pPr>
                  <w:r>
                    <w:rPr>
                      <w:rFonts w:eastAsia="Times New Roman" w:cs="Arial"/>
                      <w:iCs/>
                      <w:color w:val="auto"/>
                      <w:sz w:val="18"/>
                      <w:szCs w:val="18"/>
                      <w:lang w:eastAsia="en-GB"/>
                    </w:rPr>
                    <w:t>0.1</w:t>
                  </w:r>
                </w:p>
              </w:tc>
            </w:tr>
            <w:tr w:rsidR="00F36BA7" w:rsidRPr="00F36BA7" w:rsidTr="00A414A8">
              <w:trPr>
                <w:trHeight w:val="255"/>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iCs/>
                      <w:color w:val="auto"/>
                      <w:sz w:val="18"/>
                      <w:szCs w:val="18"/>
                      <w:lang w:eastAsia="en-GB"/>
                    </w:rPr>
                  </w:pPr>
                  <w:r w:rsidRPr="001A0F84">
                    <w:rPr>
                      <w:rFonts w:eastAsia="Times New Roman" w:cs="Arial"/>
                      <w:b w:val="0"/>
                      <w:iCs/>
                      <w:color w:val="auto"/>
                      <w:sz w:val="18"/>
                      <w:szCs w:val="18"/>
                      <w:lang w:eastAsia="en-GB"/>
                    </w:rPr>
                    <w:t>0</w:t>
                  </w:r>
                </w:p>
              </w:tc>
              <w:tc>
                <w:tcPr>
                  <w:tcW w:w="709" w:type="dxa"/>
                  <w:noWrap/>
                  <w:hideMark/>
                </w:tcPr>
                <w:p w:rsidR="00F36BA7" w:rsidRPr="001A0F84" w:rsidRDefault="00F36BA7" w:rsidP="00051379">
                  <w:pPr>
                    <w:spacing w:after="0" w:line="240" w:lineRule="auto"/>
                    <w:jc w:val="right"/>
                    <w:cnfStyle w:val="000000000000"/>
                    <w:rPr>
                      <w:rFonts w:eastAsia="Times New Roman" w:cs="Arial"/>
                      <w:iCs/>
                      <w:color w:val="auto"/>
                      <w:sz w:val="18"/>
                      <w:szCs w:val="18"/>
                      <w:lang w:eastAsia="en-GB"/>
                    </w:rPr>
                  </w:pPr>
                  <w:r w:rsidRPr="001A0F84">
                    <w:rPr>
                      <w:rFonts w:eastAsia="Times New Roman" w:cs="Arial"/>
                      <w:iCs/>
                      <w:color w:val="auto"/>
                      <w:sz w:val="18"/>
                      <w:szCs w:val="18"/>
                      <w:lang w:eastAsia="en-GB"/>
                    </w:rPr>
                    <w:t>(1.7)</w:t>
                  </w:r>
                </w:p>
              </w:tc>
              <w:tc>
                <w:tcPr>
                  <w:tcW w:w="851" w:type="dxa"/>
                  <w:noWrap/>
                  <w:hideMark/>
                </w:tcPr>
                <w:p w:rsidR="00F36BA7" w:rsidRPr="001A0F84" w:rsidRDefault="00F36BA7" w:rsidP="00051379">
                  <w:pPr>
                    <w:spacing w:after="0" w:line="240" w:lineRule="auto"/>
                    <w:jc w:val="right"/>
                    <w:cnfStyle w:val="000000000000"/>
                    <w:rPr>
                      <w:rFonts w:eastAsia="Times New Roman" w:cs="Arial"/>
                      <w:iCs/>
                      <w:color w:val="auto"/>
                      <w:sz w:val="18"/>
                      <w:szCs w:val="18"/>
                      <w:lang w:eastAsia="en-GB"/>
                    </w:rPr>
                  </w:pPr>
                  <w:r w:rsidRPr="001A0F84">
                    <w:rPr>
                      <w:rFonts w:eastAsia="Times New Roman" w:cs="Arial"/>
                      <w:iCs/>
                      <w:color w:val="auto"/>
                      <w:sz w:val="18"/>
                      <w:szCs w:val="18"/>
                      <w:lang w:eastAsia="en-GB"/>
                    </w:rPr>
                    <w:t>(1.7)</w:t>
                  </w:r>
                </w:p>
              </w:tc>
              <w:tc>
                <w:tcPr>
                  <w:tcW w:w="3685" w:type="dxa"/>
                  <w:hideMark/>
                </w:tcPr>
                <w:p w:rsidR="00F36BA7" w:rsidRPr="00F36BA7" w:rsidRDefault="00F36BA7" w:rsidP="00A11885">
                  <w:pPr>
                    <w:spacing w:after="0" w:line="240" w:lineRule="auto"/>
                    <w:cnfStyle w:val="000000000000"/>
                    <w:rPr>
                      <w:rFonts w:eastAsia="Times New Roman" w:cs="Arial"/>
                      <w:iCs/>
                      <w:color w:val="auto"/>
                      <w:sz w:val="18"/>
                      <w:szCs w:val="18"/>
                      <w:lang w:eastAsia="en-GB"/>
                    </w:rPr>
                  </w:pPr>
                  <w:r w:rsidRPr="00F36BA7">
                    <w:rPr>
                      <w:rFonts w:eastAsia="Times New Roman" w:cs="Arial"/>
                      <w:iCs/>
                      <w:color w:val="auto"/>
                      <w:sz w:val="18"/>
                      <w:szCs w:val="18"/>
                      <w:lang w:eastAsia="en-GB"/>
                    </w:rPr>
                    <w:t>DCLG, (Central Government)</w:t>
                  </w:r>
                </w:p>
              </w:tc>
              <w:tc>
                <w:tcPr>
                  <w:tcW w:w="846" w:type="dxa"/>
                  <w:noWrap/>
                  <w:hideMark/>
                </w:tcPr>
                <w:p w:rsidR="00F36BA7" w:rsidRPr="00F36BA7" w:rsidRDefault="00C550A9" w:rsidP="0067189C">
                  <w:pPr>
                    <w:spacing w:after="0" w:line="240" w:lineRule="auto"/>
                    <w:jc w:val="right"/>
                    <w:cnfStyle w:val="000000000000"/>
                    <w:rPr>
                      <w:rFonts w:eastAsia="Times New Roman" w:cs="Arial"/>
                      <w:iCs/>
                      <w:color w:val="auto"/>
                      <w:sz w:val="18"/>
                      <w:szCs w:val="18"/>
                      <w:lang w:eastAsia="en-GB"/>
                    </w:rPr>
                  </w:pPr>
                  <w:r>
                    <w:rPr>
                      <w:rFonts w:eastAsia="Times New Roman" w:cs="Arial"/>
                      <w:iCs/>
                      <w:color w:val="auto"/>
                      <w:sz w:val="18"/>
                      <w:szCs w:val="18"/>
                      <w:lang w:eastAsia="en-GB"/>
                    </w:rPr>
                    <w:t>0</w:t>
                  </w:r>
                </w:p>
              </w:tc>
              <w:tc>
                <w:tcPr>
                  <w:tcW w:w="855" w:type="dxa"/>
                  <w:noWrap/>
                  <w:hideMark/>
                </w:tcPr>
                <w:p w:rsidR="00F36BA7" w:rsidRPr="00F36BA7" w:rsidRDefault="00C550A9" w:rsidP="0067189C">
                  <w:pPr>
                    <w:spacing w:after="0" w:line="240" w:lineRule="auto"/>
                    <w:jc w:val="right"/>
                    <w:cnfStyle w:val="000000000000"/>
                    <w:rPr>
                      <w:rFonts w:eastAsia="Times New Roman" w:cs="Arial"/>
                      <w:iCs/>
                      <w:color w:val="auto"/>
                      <w:sz w:val="18"/>
                      <w:szCs w:val="18"/>
                      <w:lang w:eastAsia="en-GB"/>
                    </w:rPr>
                  </w:pPr>
                  <w:r>
                    <w:rPr>
                      <w:rFonts w:eastAsia="Times New Roman" w:cs="Arial"/>
                      <w:iCs/>
                      <w:color w:val="auto"/>
                      <w:sz w:val="18"/>
                      <w:szCs w:val="18"/>
                      <w:lang w:eastAsia="en-GB"/>
                    </w:rPr>
                    <w:t>0</w:t>
                  </w:r>
                </w:p>
              </w:tc>
              <w:tc>
                <w:tcPr>
                  <w:tcW w:w="851" w:type="dxa"/>
                  <w:noWrap/>
                  <w:hideMark/>
                </w:tcPr>
                <w:p w:rsidR="00F36BA7" w:rsidRPr="00F36BA7" w:rsidRDefault="00C550A9" w:rsidP="0067189C">
                  <w:pPr>
                    <w:spacing w:after="0" w:line="240" w:lineRule="auto"/>
                    <w:jc w:val="right"/>
                    <w:cnfStyle w:val="000000000000"/>
                    <w:rPr>
                      <w:rFonts w:eastAsia="Times New Roman" w:cs="Arial"/>
                      <w:iCs/>
                      <w:color w:val="auto"/>
                      <w:sz w:val="18"/>
                      <w:szCs w:val="18"/>
                      <w:lang w:eastAsia="en-GB"/>
                    </w:rPr>
                  </w:pPr>
                  <w:r>
                    <w:rPr>
                      <w:rFonts w:eastAsia="Times New Roman" w:cs="Arial"/>
                      <w:iCs/>
                      <w:color w:val="auto"/>
                      <w:sz w:val="18"/>
                      <w:szCs w:val="18"/>
                      <w:lang w:eastAsia="en-GB"/>
                    </w:rPr>
                    <w:t>0</w:t>
                  </w:r>
                </w:p>
              </w:tc>
            </w:tr>
            <w:tr w:rsidR="00F36BA7" w:rsidRPr="00F36BA7" w:rsidTr="00A414A8">
              <w:trPr>
                <w:cnfStyle w:val="000000100000"/>
                <w:trHeight w:val="255"/>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iCs/>
                      <w:color w:val="auto"/>
                      <w:sz w:val="18"/>
                      <w:szCs w:val="18"/>
                      <w:lang w:eastAsia="en-GB"/>
                    </w:rPr>
                  </w:pPr>
                  <w:r w:rsidRPr="001A0F84">
                    <w:rPr>
                      <w:rFonts w:eastAsia="Times New Roman" w:cs="Arial"/>
                      <w:b w:val="0"/>
                      <w:iCs/>
                      <w:color w:val="auto"/>
                      <w:sz w:val="18"/>
                      <w:szCs w:val="18"/>
                      <w:lang w:eastAsia="en-GB"/>
                    </w:rPr>
                    <w:t>0.7</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iCs/>
                      <w:color w:val="auto"/>
                      <w:sz w:val="18"/>
                      <w:szCs w:val="18"/>
                      <w:lang w:eastAsia="en-GB"/>
                    </w:rPr>
                  </w:pPr>
                  <w:r w:rsidRPr="001A0F84">
                    <w:rPr>
                      <w:rFonts w:eastAsia="Times New Roman" w:cs="Arial"/>
                      <w:iCs/>
                      <w:color w:val="auto"/>
                      <w:sz w:val="18"/>
                      <w:szCs w:val="18"/>
                      <w:lang w:eastAsia="en-GB"/>
                    </w:rPr>
                    <w:t>(1.7)</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iCs/>
                      <w:color w:val="auto"/>
                      <w:sz w:val="18"/>
                      <w:szCs w:val="18"/>
                      <w:lang w:eastAsia="en-GB"/>
                    </w:rPr>
                  </w:pPr>
                  <w:r w:rsidRPr="001A0F84">
                    <w:rPr>
                      <w:rFonts w:eastAsia="Times New Roman" w:cs="Arial"/>
                      <w:iCs/>
                      <w:color w:val="auto"/>
                      <w:sz w:val="18"/>
                      <w:szCs w:val="18"/>
                      <w:lang w:eastAsia="en-GB"/>
                    </w:rPr>
                    <w:t>(1.0)</w:t>
                  </w:r>
                </w:p>
              </w:tc>
              <w:tc>
                <w:tcPr>
                  <w:tcW w:w="3685" w:type="dxa"/>
                  <w:tcBorders>
                    <w:top w:val="none" w:sz="0" w:space="0" w:color="auto"/>
                    <w:bottom w:val="none" w:sz="0" w:space="0" w:color="auto"/>
                  </w:tcBorders>
                  <w:hideMark/>
                </w:tcPr>
                <w:p w:rsidR="00F36BA7" w:rsidRPr="00F36BA7" w:rsidRDefault="00F36BA7" w:rsidP="00412758">
                  <w:pPr>
                    <w:spacing w:after="0" w:line="240" w:lineRule="auto"/>
                    <w:cnfStyle w:val="000000100000"/>
                    <w:rPr>
                      <w:rFonts w:eastAsia="Times New Roman" w:cs="Arial"/>
                      <w:iCs/>
                      <w:color w:val="auto"/>
                      <w:sz w:val="18"/>
                      <w:szCs w:val="18"/>
                      <w:lang w:eastAsia="en-GB"/>
                    </w:rPr>
                  </w:pPr>
                  <w:r w:rsidRPr="00F36BA7">
                    <w:rPr>
                      <w:rFonts w:eastAsia="Times New Roman" w:cs="Arial"/>
                      <w:iCs/>
                      <w:color w:val="auto"/>
                      <w:sz w:val="18"/>
                      <w:szCs w:val="18"/>
                      <w:lang w:eastAsia="en-GB"/>
                    </w:rPr>
                    <w:t>Torbay Council</w:t>
                  </w:r>
                </w:p>
              </w:tc>
              <w:tc>
                <w:tcPr>
                  <w:tcW w:w="846"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iCs/>
                      <w:color w:val="auto"/>
                      <w:sz w:val="18"/>
                      <w:szCs w:val="18"/>
                      <w:lang w:eastAsia="en-GB"/>
                    </w:rPr>
                  </w:pPr>
                  <w:r>
                    <w:rPr>
                      <w:rFonts w:eastAsia="Times New Roman" w:cs="Arial"/>
                      <w:iCs/>
                      <w:color w:val="auto"/>
                      <w:sz w:val="18"/>
                      <w:szCs w:val="18"/>
                      <w:lang w:eastAsia="en-GB"/>
                    </w:rPr>
                    <w:t>1.0</w:t>
                  </w:r>
                </w:p>
              </w:tc>
              <w:tc>
                <w:tcPr>
                  <w:tcW w:w="855"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iCs/>
                      <w:color w:val="auto"/>
                      <w:sz w:val="18"/>
                      <w:szCs w:val="18"/>
                      <w:lang w:eastAsia="en-GB"/>
                    </w:rPr>
                  </w:pPr>
                  <w:r>
                    <w:rPr>
                      <w:rFonts w:eastAsia="Times New Roman" w:cs="Arial"/>
                      <w:iCs/>
                      <w:color w:val="auto"/>
                      <w:sz w:val="18"/>
                      <w:szCs w:val="18"/>
                      <w:lang w:eastAsia="en-GB"/>
                    </w:rPr>
                    <w:t>0</w:t>
                  </w:r>
                </w:p>
              </w:tc>
              <w:tc>
                <w:tcPr>
                  <w:tcW w:w="851" w:type="dxa"/>
                  <w:tcBorders>
                    <w:top w:val="none" w:sz="0" w:space="0" w:color="auto"/>
                    <w:bottom w:val="none" w:sz="0" w:space="0" w:color="auto"/>
                  </w:tcBorders>
                  <w:noWrap/>
                  <w:hideMark/>
                </w:tcPr>
                <w:p w:rsidR="00F36BA7" w:rsidRPr="00F36BA7" w:rsidRDefault="00C550A9" w:rsidP="00A85A7A">
                  <w:pPr>
                    <w:spacing w:after="0" w:line="240" w:lineRule="auto"/>
                    <w:jc w:val="right"/>
                    <w:cnfStyle w:val="000000100000"/>
                    <w:rPr>
                      <w:rFonts w:eastAsia="Times New Roman" w:cs="Arial"/>
                      <w:iCs/>
                      <w:color w:val="auto"/>
                      <w:sz w:val="18"/>
                      <w:szCs w:val="18"/>
                      <w:lang w:eastAsia="en-GB"/>
                    </w:rPr>
                  </w:pPr>
                  <w:r>
                    <w:rPr>
                      <w:rFonts w:eastAsia="Times New Roman" w:cs="Arial"/>
                      <w:iCs/>
                      <w:color w:val="auto"/>
                      <w:sz w:val="18"/>
                      <w:szCs w:val="18"/>
                      <w:lang w:eastAsia="en-GB"/>
                    </w:rPr>
                    <w:t>1.0</w:t>
                  </w:r>
                </w:p>
              </w:tc>
            </w:tr>
            <w:tr w:rsidR="00F36BA7" w:rsidRPr="00F36BA7" w:rsidTr="00A414A8">
              <w:trPr>
                <w:trHeight w:val="255"/>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iCs/>
                      <w:color w:val="auto"/>
                      <w:sz w:val="18"/>
                      <w:szCs w:val="18"/>
                      <w:lang w:eastAsia="en-GB"/>
                    </w:rPr>
                  </w:pPr>
                  <w:r w:rsidRPr="001A0F84">
                    <w:rPr>
                      <w:rFonts w:eastAsia="Times New Roman" w:cs="Arial"/>
                      <w:b w:val="0"/>
                      <w:iCs/>
                      <w:color w:val="auto"/>
                      <w:sz w:val="18"/>
                      <w:szCs w:val="18"/>
                      <w:lang w:eastAsia="en-GB"/>
                    </w:rPr>
                    <w:t>0.8</w:t>
                  </w:r>
                </w:p>
              </w:tc>
              <w:tc>
                <w:tcPr>
                  <w:tcW w:w="709" w:type="dxa"/>
                  <w:noWrap/>
                  <w:hideMark/>
                </w:tcPr>
                <w:p w:rsidR="00F36BA7" w:rsidRPr="001A0F84" w:rsidRDefault="00F36BA7" w:rsidP="00051379">
                  <w:pPr>
                    <w:spacing w:after="0" w:line="240" w:lineRule="auto"/>
                    <w:jc w:val="right"/>
                    <w:cnfStyle w:val="000000000000"/>
                    <w:rPr>
                      <w:rFonts w:eastAsia="Times New Roman" w:cs="Arial"/>
                      <w:iCs/>
                      <w:color w:val="auto"/>
                      <w:sz w:val="18"/>
                      <w:szCs w:val="18"/>
                      <w:lang w:eastAsia="en-GB"/>
                    </w:rPr>
                  </w:pPr>
                  <w:r w:rsidRPr="001A0F84">
                    <w:rPr>
                      <w:rFonts w:eastAsia="Times New Roman" w:cs="Arial"/>
                      <w:iCs/>
                      <w:color w:val="auto"/>
                      <w:sz w:val="18"/>
                      <w:szCs w:val="18"/>
                      <w:lang w:eastAsia="en-GB"/>
                    </w:rPr>
                    <w:t>(3.4)</w:t>
                  </w:r>
                </w:p>
              </w:tc>
              <w:tc>
                <w:tcPr>
                  <w:tcW w:w="851" w:type="dxa"/>
                  <w:noWrap/>
                  <w:hideMark/>
                </w:tcPr>
                <w:p w:rsidR="00F36BA7" w:rsidRPr="001A0F84" w:rsidRDefault="00F36BA7" w:rsidP="00051379">
                  <w:pPr>
                    <w:spacing w:after="0" w:line="240" w:lineRule="auto"/>
                    <w:jc w:val="right"/>
                    <w:cnfStyle w:val="000000000000"/>
                    <w:rPr>
                      <w:rFonts w:eastAsia="Times New Roman" w:cs="Arial"/>
                      <w:iCs/>
                      <w:color w:val="auto"/>
                      <w:sz w:val="18"/>
                      <w:szCs w:val="18"/>
                      <w:lang w:eastAsia="en-GB"/>
                    </w:rPr>
                  </w:pPr>
                  <w:r w:rsidRPr="001A0F84">
                    <w:rPr>
                      <w:rFonts w:eastAsia="Times New Roman" w:cs="Arial"/>
                      <w:iCs/>
                      <w:color w:val="auto"/>
                      <w:sz w:val="18"/>
                      <w:szCs w:val="18"/>
                      <w:lang w:eastAsia="en-GB"/>
                    </w:rPr>
                    <w:t>(2.6)</w:t>
                  </w:r>
                </w:p>
              </w:tc>
              <w:tc>
                <w:tcPr>
                  <w:tcW w:w="3685" w:type="dxa"/>
                  <w:hideMark/>
                </w:tcPr>
                <w:p w:rsidR="00F36BA7" w:rsidRPr="00F36BA7" w:rsidRDefault="00F36BA7" w:rsidP="00412758">
                  <w:pPr>
                    <w:spacing w:after="0" w:line="240" w:lineRule="auto"/>
                    <w:cnfStyle w:val="000000000000"/>
                    <w:rPr>
                      <w:rFonts w:eastAsia="Times New Roman" w:cs="Arial"/>
                      <w:b/>
                      <w:iCs/>
                      <w:color w:val="auto"/>
                      <w:sz w:val="18"/>
                      <w:szCs w:val="18"/>
                      <w:lang w:eastAsia="en-GB"/>
                    </w:rPr>
                  </w:pPr>
                  <w:r w:rsidRPr="00F36BA7">
                    <w:rPr>
                      <w:rFonts w:eastAsia="Times New Roman" w:cs="Arial"/>
                      <w:b/>
                      <w:iCs/>
                      <w:color w:val="auto"/>
                      <w:sz w:val="18"/>
                      <w:szCs w:val="18"/>
                      <w:lang w:eastAsia="en-GB"/>
                    </w:rPr>
                    <w:t>Total Distribution of previous year’s Surplus/(Deficit)</w:t>
                  </w:r>
                </w:p>
              </w:tc>
              <w:tc>
                <w:tcPr>
                  <w:tcW w:w="846" w:type="dxa"/>
                  <w:noWrap/>
                  <w:hideMark/>
                </w:tcPr>
                <w:p w:rsidR="00F36BA7" w:rsidRPr="00F36BA7" w:rsidRDefault="00C550A9" w:rsidP="00545296">
                  <w:pPr>
                    <w:spacing w:after="0" w:line="240" w:lineRule="auto"/>
                    <w:jc w:val="right"/>
                    <w:cnfStyle w:val="000000000000"/>
                    <w:rPr>
                      <w:rFonts w:eastAsia="Times New Roman" w:cs="Arial"/>
                      <w:b/>
                      <w:iCs/>
                      <w:color w:val="auto"/>
                      <w:sz w:val="18"/>
                      <w:szCs w:val="18"/>
                      <w:lang w:eastAsia="en-GB"/>
                    </w:rPr>
                  </w:pPr>
                  <w:r>
                    <w:rPr>
                      <w:rFonts w:eastAsia="Times New Roman" w:cs="Arial"/>
                      <w:b/>
                      <w:iCs/>
                      <w:color w:val="auto"/>
                      <w:sz w:val="18"/>
                      <w:szCs w:val="18"/>
                      <w:lang w:eastAsia="en-GB"/>
                    </w:rPr>
                    <w:t>1.</w:t>
                  </w:r>
                  <w:r w:rsidR="00545296">
                    <w:rPr>
                      <w:rFonts w:eastAsia="Times New Roman" w:cs="Arial"/>
                      <w:b/>
                      <w:iCs/>
                      <w:color w:val="auto"/>
                      <w:sz w:val="18"/>
                      <w:szCs w:val="18"/>
                      <w:lang w:eastAsia="en-GB"/>
                    </w:rPr>
                    <w:t>2</w:t>
                  </w:r>
                </w:p>
              </w:tc>
              <w:tc>
                <w:tcPr>
                  <w:tcW w:w="855" w:type="dxa"/>
                  <w:noWrap/>
                  <w:hideMark/>
                </w:tcPr>
                <w:p w:rsidR="00F36BA7" w:rsidRPr="00F36BA7" w:rsidRDefault="00C550A9" w:rsidP="0067189C">
                  <w:pPr>
                    <w:spacing w:after="0" w:line="240" w:lineRule="auto"/>
                    <w:jc w:val="right"/>
                    <w:cnfStyle w:val="000000000000"/>
                    <w:rPr>
                      <w:rFonts w:eastAsia="Times New Roman" w:cs="Arial"/>
                      <w:b/>
                      <w:iCs/>
                      <w:color w:val="auto"/>
                      <w:sz w:val="18"/>
                      <w:szCs w:val="18"/>
                      <w:lang w:eastAsia="en-GB"/>
                    </w:rPr>
                  </w:pPr>
                  <w:r>
                    <w:rPr>
                      <w:rFonts w:eastAsia="Times New Roman" w:cs="Arial"/>
                      <w:b/>
                      <w:iCs/>
                      <w:color w:val="auto"/>
                      <w:sz w:val="18"/>
                      <w:szCs w:val="18"/>
                      <w:lang w:eastAsia="en-GB"/>
                    </w:rPr>
                    <w:t>0</w:t>
                  </w:r>
                </w:p>
              </w:tc>
              <w:tc>
                <w:tcPr>
                  <w:tcW w:w="851" w:type="dxa"/>
                  <w:noWrap/>
                  <w:hideMark/>
                </w:tcPr>
                <w:p w:rsidR="00F36BA7" w:rsidRPr="00F36BA7" w:rsidRDefault="00C550A9" w:rsidP="00545296">
                  <w:pPr>
                    <w:spacing w:after="0" w:line="240" w:lineRule="auto"/>
                    <w:jc w:val="right"/>
                    <w:cnfStyle w:val="000000000000"/>
                    <w:rPr>
                      <w:rFonts w:eastAsia="Times New Roman" w:cs="Arial"/>
                      <w:b/>
                      <w:iCs/>
                      <w:color w:val="auto"/>
                      <w:sz w:val="18"/>
                      <w:szCs w:val="18"/>
                      <w:lang w:eastAsia="en-GB"/>
                    </w:rPr>
                  </w:pPr>
                  <w:r>
                    <w:rPr>
                      <w:rFonts w:eastAsia="Times New Roman" w:cs="Arial"/>
                      <w:b/>
                      <w:iCs/>
                      <w:color w:val="auto"/>
                      <w:sz w:val="18"/>
                      <w:szCs w:val="18"/>
                      <w:lang w:eastAsia="en-GB"/>
                    </w:rPr>
                    <w:t>1.</w:t>
                  </w:r>
                  <w:r w:rsidR="00545296">
                    <w:rPr>
                      <w:rFonts w:eastAsia="Times New Roman" w:cs="Arial"/>
                      <w:b/>
                      <w:iCs/>
                      <w:color w:val="auto"/>
                      <w:sz w:val="18"/>
                      <w:szCs w:val="18"/>
                      <w:lang w:eastAsia="en-GB"/>
                    </w:rPr>
                    <w:t>2</w:t>
                  </w:r>
                </w:p>
              </w:tc>
            </w:tr>
            <w:tr w:rsidR="00F36BA7" w:rsidRPr="00F36BA7" w:rsidTr="00A414A8">
              <w:trPr>
                <w:cnfStyle w:val="000000100000"/>
                <w:trHeight w:val="373"/>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ED35CC">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 </w:t>
                  </w:r>
                </w:p>
              </w:tc>
              <w:tc>
                <w:tcPr>
                  <w:tcW w:w="709" w:type="dxa"/>
                  <w:tcBorders>
                    <w:top w:val="none" w:sz="0" w:space="0" w:color="auto"/>
                    <w:bottom w:val="none" w:sz="0" w:space="0" w:color="auto"/>
                  </w:tcBorders>
                  <w:noWrap/>
                  <w:hideMark/>
                </w:tcPr>
                <w:p w:rsidR="00F36BA7" w:rsidRPr="001A0F84" w:rsidRDefault="00F36BA7" w:rsidP="00ED35CC">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 </w:t>
                  </w:r>
                </w:p>
              </w:tc>
              <w:tc>
                <w:tcPr>
                  <w:tcW w:w="851" w:type="dxa"/>
                  <w:tcBorders>
                    <w:top w:val="none" w:sz="0" w:space="0" w:color="auto"/>
                    <w:bottom w:val="none" w:sz="0" w:space="0" w:color="auto"/>
                  </w:tcBorders>
                  <w:noWrap/>
                  <w:hideMark/>
                </w:tcPr>
                <w:p w:rsidR="00F36BA7" w:rsidRPr="001A0F84" w:rsidRDefault="00F36BA7" w:rsidP="00ED35CC">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 </w:t>
                  </w:r>
                </w:p>
              </w:tc>
              <w:tc>
                <w:tcPr>
                  <w:tcW w:w="3685" w:type="dxa"/>
                  <w:tcBorders>
                    <w:top w:val="none" w:sz="0" w:space="0" w:color="auto"/>
                    <w:bottom w:val="none" w:sz="0" w:space="0" w:color="auto"/>
                  </w:tcBorders>
                  <w:vAlign w:val="center"/>
                  <w:hideMark/>
                </w:tcPr>
                <w:p w:rsidR="00F36BA7" w:rsidRPr="00F36BA7" w:rsidRDefault="00F36BA7" w:rsidP="00A414A8">
                  <w:pPr>
                    <w:spacing w:after="0" w:line="240" w:lineRule="auto"/>
                    <w:cnfStyle w:val="000000100000"/>
                    <w:rPr>
                      <w:rFonts w:eastAsia="Times New Roman" w:cs="Arial"/>
                      <w:b/>
                      <w:bCs/>
                      <w:i/>
                      <w:color w:val="auto"/>
                      <w:sz w:val="18"/>
                      <w:szCs w:val="18"/>
                      <w:lang w:eastAsia="en-GB"/>
                    </w:rPr>
                  </w:pPr>
                  <w:r w:rsidRPr="00F36BA7">
                    <w:rPr>
                      <w:rFonts w:eastAsia="Times New Roman" w:cs="Arial"/>
                      <w:b/>
                      <w:bCs/>
                      <w:i/>
                      <w:color w:val="auto"/>
                      <w:sz w:val="18"/>
                      <w:szCs w:val="18"/>
                      <w:lang w:eastAsia="en-GB"/>
                    </w:rPr>
                    <w:t>Bad and Doubtful Debts/Appeals</w:t>
                  </w:r>
                </w:p>
              </w:tc>
              <w:tc>
                <w:tcPr>
                  <w:tcW w:w="846" w:type="dxa"/>
                  <w:tcBorders>
                    <w:top w:val="none" w:sz="0" w:space="0" w:color="auto"/>
                    <w:bottom w:val="none" w:sz="0" w:space="0" w:color="auto"/>
                  </w:tcBorders>
                  <w:noWrap/>
                  <w:hideMark/>
                </w:tcPr>
                <w:p w:rsidR="00F36BA7" w:rsidRPr="00F36BA7" w:rsidRDefault="00F36BA7" w:rsidP="0067189C">
                  <w:pPr>
                    <w:spacing w:after="0" w:line="240" w:lineRule="auto"/>
                    <w:jc w:val="right"/>
                    <w:cnfStyle w:val="000000100000"/>
                    <w:rPr>
                      <w:rFonts w:eastAsia="Times New Roman" w:cs="Arial"/>
                      <w:color w:val="auto"/>
                      <w:sz w:val="18"/>
                      <w:szCs w:val="18"/>
                      <w:lang w:eastAsia="en-GB"/>
                    </w:rPr>
                  </w:pPr>
                </w:p>
              </w:tc>
              <w:tc>
                <w:tcPr>
                  <w:tcW w:w="855" w:type="dxa"/>
                  <w:tcBorders>
                    <w:top w:val="none" w:sz="0" w:space="0" w:color="auto"/>
                    <w:bottom w:val="none" w:sz="0" w:space="0" w:color="auto"/>
                  </w:tcBorders>
                  <w:noWrap/>
                  <w:hideMark/>
                </w:tcPr>
                <w:p w:rsidR="00F36BA7" w:rsidRPr="00F36BA7" w:rsidRDefault="00F36BA7" w:rsidP="0067189C">
                  <w:pPr>
                    <w:spacing w:after="0" w:line="240" w:lineRule="auto"/>
                    <w:jc w:val="right"/>
                    <w:cnfStyle w:val="000000100000"/>
                    <w:rPr>
                      <w:rFonts w:eastAsia="Times New Roman" w:cs="Arial"/>
                      <w:color w:val="auto"/>
                      <w:sz w:val="18"/>
                      <w:szCs w:val="18"/>
                      <w:lang w:eastAsia="en-GB"/>
                    </w:rPr>
                  </w:pPr>
                </w:p>
              </w:tc>
              <w:tc>
                <w:tcPr>
                  <w:tcW w:w="851" w:type="dxa"/>
                  <w:tcBorders>
                    <w:top w:val="none" w:sz="0" w:space="0" w:color="auto"/>
                    <w:bottom w:val="none" w:sz="0" w:space="0" w:color="auto"/>
                  </w:tcBorders>
                  <w:noWrap/>
                  <w:hideMark/>
                </w:tcPr>
                <w:p w:rsidR="00F36BA7" w:rsidRPr="00F36BA7" w:rsidRDefault="00F36BA7" w:rsidP="0067189C">
                  <w:pPr>
                    <w:spacing w:after="0" w:line="240" w:lineRule="auto"/>
                    <w:jc w:val="right"/>
                    <w:cnfStyle w:val="000000100000"/>
                    <w:rPr>
                      <w:rFonts w:eastAsia="Times New Roman" w:cs="Arial"/>
                      <w:color w:val="auto"/>
                      <w:sz w:val="18"/>
                      <w:szCs w:val="18"/>
                      <w:lang w:eastAsia="en-GB"/>
                    </w:rPr>
                  </w:pPr>
                </w:p>
              </w:tc>
            </w:tr>
            <w:tr w:rsidR="00F36BA7" w:rsidRPr="00F36BA7" w:rsidTr="00A414A8">
              <w:trPr>
                <w:trHeight w:val="255"/>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0.5</w:t>
                  </w:r>
                </w:p>
              </w:tc>
              <w:tc>
                <w:tcPr>
                  <w:tcW w:w="709"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0.5</w:t>
                  </w:r>
                </w:p>
              </w:tc>
              <w:tc>
                <w:tcPr>
                  <w:tcW w:w="851"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1.0</w:t>
                  </w:r>
                </w:p>
              </w:tc>
              <w:tc>
                <w:tcPr>
                  <w:tcW w:w="3685" w:type="dxa"/>
                  <w:hideMark/>
                </w:tcPr>
                <w:p w:rsidR="00F36BA7" w:rsidRPr="00F36BA7" w:rsidRDefault="00F36BA7" w:rsidP="00412758">
                  <w:pPr>
                    <w:spacing w:after="0" w:line="240" w:lineRule="auto"/>
                    <w:cnfStyle w:val="000000000000"/>
                    <w:rPr>
                      <w:rFonts w:eastAsia="Times New Roman" w:cs="Arial"/>
                      <w:color w:val="auto"/>
                      <w:sz w:val="18"/>
                      <w:szCs w:val="18"/>
                      <w:lang w:eastAsia="en-GB"/>
                    </w:rPr>
                  </w:pPr>
                  <w:r w:rsidRPr="00F36BA7">
                    <w:rPr>
                      <w:rFonts w:eastAsia="Times New Roman" w:cs="Arial"/>
                      <w:color w:val="auto"/>
                      <w:sz w:val="18"/>
                      <w:szCs w:val="18"/>
                      <w:lang w:eastAsia="en-GB"/>
                    </w:rPr>
                    <w:t>Write Offs</w:t>
                  </w:r>
                </w:p>
              </w:tc>
              <w:tc>
                <w:tcPr>
                  <w:tcW w:w="846" w:type="dxa"/>
                  <w:noWrap/>
                  <w:hideMark/>
                </w:tcPr>
                <w:p w:rsidR="00F36BA7" w:rsidRPr="00F36BA7" w:rsidRDefault="00C550A9" w:rsidP="00545296">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0.</w:t>
                  </w:r>
                  <w:r w:rsidR="00545296">
                    <w:rPr>
                      <w:rFonts w:eastAsia="Times New Roman" w:cs="Arial"/>
                      <w:color w:val="auto"/>
                      <w:sz w:val="18"/>
                      <w:szCs w:val="18"/>
                      <w:lang w:eastAsia="en-GB"/>
                    </w:rPr>
                    <w:t>5</w:t>
                  </w:r>
                </w:p>
              </w:tc>
              <w:tc>
                <w:tcPr>
                  <w:tcW w:w="855" w:type="dxa"/>
                  <w:noWrap/>
                  <w:hideMark/>
                </w:tcPr>
                <w:p w:rsidR="00F36BA7" w:rsidRPr="00F36BA7" w:rsidRDefault="00C550A9" w:rsidP="00653B4C">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0.5</w:t>
                  </w:r>
                </w:p>
              </w:tc>
              <w:tc>
                <w:tcPr>
                  <w:tcW w:w="851" w:type="dxa"/>
                  <w:noWrap/>
                  <w:hideMark/>
                </w:tcPr>
                <w:p w:rsidR="00F36BA7" w:rsidRPr="00F36BA7" w:rsidRDefault="00C550A9" w:rsidP="00545296">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1.</w:t>
                  </w:r>
                  <w:r w:rsidR="00545296">
                    <w:rPr>
                      <w:rFonts w:eastAsia="Times New Roman" w:cs="Arial"/>
                      <w:color w:val="auto"/>
                      <w:sz w:val="18"/>
                      <w:szCs w:val="18"/>
                      <w:lang w:eastAsia="en-GB"/>
                    </w:rPr>
                    <w:t>0</w:t>
                  </w:r>
                </w:p>
              </w:tc>
            </w:tr>
            <w:tr w:rsidR="00F36BA7" w:rsidRPr="00F36BA7" w:rsidTr="00A414A8">
              <w:trPr>
                <w:cnfStyle w:val="000000100000"/>
                <w:trHeight w:val="255"/>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0.5</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(0.2)</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0.3</w:t>
                  </w:r>
                </w:p>
              </w:tc>
              <w:tc>
                <w:tcPr>
                  <w:tcW w:w="3685" w:type="dxa"/>
                  <w:tcBorders>
                    <w:top w:val="none" w:sz="0" w:space="0" w:color="auto"/>
                    <w:bottom w:val="none" w:sz="0" w:space="0" w:color="auto"/>
                  </w:tcBorders>
                  <w:hideMark/>
                </w:tcPr>
                <w:p w:rsidR="00F36BA7" w:rsidRPr="00F36BA7" w:rsidRDefault="00F36BA7" w:rsidP="00412758">
                  <w:pPr>
                    <w:spacing w:after="0" w:line="240" w:lineRule="auto"/>
                    <w:cnfStyle w:val="000000100000"/>
                    <w:rPr>
                      <w:rFonts w:eastAsia="Times New Roman" w:cs="Arial"/>
                      <w:color w:val="auto"/>
                      <w:sz w:val="18"/>
                      <w:szCs w:val="18"/>
                      <w:lang w:eastAsia="en-GB"/>
                    </w:rPr>
                  </w:pPr>
                  <w:r w:rsidRPr="00F36BA7">
                    <w:rPr>
                      <w:rFonts w:eastAsia="Times New Roman" w:cs="Arial"/>
                      <w:color w:val="auto"/>
                      <w:sz w:val="18"/>
                      <w:szCs w:val="18"/>
                      <w:lang w:eastAsia="en-GB"/>
                    </w:rPr>
                    <w:t>Impairment for Uncollectable debt</w:t>
                  </w:r>
                </w:p>
              </w:tc>
              <w:tc>
                <w:tcPr>
                  <w:tcW w:w="846"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0.3</w:t>
                  </w:r>
                </w:p>
              </w:tc>
              <w:tc>
                <w:tcPr>
                  <w:tcW w:w="855"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0.1</w:t>
                  </w:r>
                </w:p>
              </w:tc>
              <w:tc>
                <w:tcPr>
                  <w:tcW w:w="851"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color w:val="auto"/>
                      <w:sz w:val="18"/>
                      <w:szCs w:val="18"/>
                      <w:lang w:eastAsia="en-GB"/>
                    </w:rPr>
                  </w:pPr>
                  <w:r>
                    <w:rPr>
                      <w:rFonts w:eastAsia="Times New Roman" w:cs="Arial"/>
                      <w:color w:val="auto"/>
                      <w:sz w:val="18"/>
                      <w:szCs w:val="18"/>
                      <w:lang w:eastAsia="en-GB"/>
                    </w:rPr>
                    <w:t>0.4</w:t>
                  </w:r>
                </w:p>
              </w:tc>
            </w:tr>
            <w:tr w:rsidR="00F36BA7" w:rsidRPr="00F36BA7" w:rsidTr="00A414A8">
              <w:trPr>
                <w:trHeight w:val="270"/>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0</w:t>
                  </w:r>
                </w:p>
              </w:tc>
              <w:tc>
                <w:tcPr>
                  <w:tcW w:w="709"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(0.1)</w:t>
                  </w:r>
                </w:p>
              </w:tc>
              <w:tc>
                <w:tcPr>
                  <w:tcW w:w="851"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(0.1)</w:t>
                  </w:r>
                </w:p>
              </w:tc>
              <w:tc>
                <w:tcPr>
                  <w:tcW w:w="3685" w:type="dxa"/>
                  <w:hideMark/>
                </w:tcPr>
                <w:p w:rsidR="00F36BA7" w:rsidRPr="00F36BA7" w:rsidRDefault="00F36BA7" w:rsidP="00412758">
                  <w:pPr>
                    <w:spacing w:after="0" w:line="240" w:lineRule="auto"/>
                    <w:cnfStyle w:val="000000000000"/>
                    <w:rPr>
                      <w:rFonts w:eastAsia="Times New Roman" w:cs="Arial"/>
                      <w:color w:val="auto"/>
                      <w:sz w:val="18"/>
                      <w:szCs w:val="18"/>
                      <w:lang w:eastAsia="en-GB"/>
                    </w:rPr>
                  </w:pPr>
                  <w:r w:rsidRPr="00F36BA7">
                    <w:rPr>
                      <w:rFonts w:eastAsia="Times New Roman" w:cs="Arial"/>
                      <w:color w:val="auto"/>
                      <w:sz w:val="18"/>
                      <w:szCs w:val="18"/>
                      <w:lang w:eastAsia="en-GB"/>
                    </w:rPr>
                    <w:t>Provision for Appeals</w:t>
                  </w:r>
                </w:p>
              </w:tc>
              <w:tc>
                <w:tcPr>
                  <w:tcW w:w="846" w:type="dxa"/>
                  <w:noWrap/>
                  <w:hideMark/>
                </w:tcPr>
                <w:p w:rsidR="00F36BA7" w:rsidRPr="00F36BA7" w:rsidRDefault="00C550A9" w:rsidP="0067189C">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0</w:t>
                  </w:r>
                </w:p>
              </w:tc>
              <w:tc>
                <w:tcPr>
                  <w:tcW w:w="855" w:type="dxa"/>
                  <w:noWrap/>
                  <w:hideMark/>
                </w:tcPr>
                <w:p w:rsidR="00F36BA7" w:rsidRPr="00F36BA7" w:rsidRDefault="00C550A9" w:rsidP="0067189C">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1.7</w:t>
                  </w:r>
                </w:p>
              </w:tc>
              <w:tc>
                <w:tcPr>
                  <w:tcW w:w="851" w:type="dxa"/>
                  <w:noWrap/>
                  <w:hideMark/>
                </w:tcPr>
                <w:p w:rsidR="00F36BA7" w:rsidRPr="00F36BA7" w:rsidRDefault="00C550A9" w:rsidP="0067189C">
                  <w:pPr>
                    <w:spacing w:after="0" w:line="240" w:lineRule="auto"/>
                    <w:jc w:val="right"/>
                    <w:cnfStyle w:val="000000000000"/>
                    <w:rPr>
                      <w:rFonts w:eastAsia="Times New Roman" w:cs="Arial"/>
                      <w:color w:val="auto"/>
                      <w:sz w:val="18"/>
                      <w:szCs w:val="18"/>
                      <w:lang w:eastAsia="en-GB"/>
                    </w:rPr>
                  </w:pPr>
                  <w:r>
                    <w:rPr>
                      <w:rFonts w:eastAsia="Times New Roman" w:cs="Arial"/>
                      <w:color w:val="auto"/>
                      <w:sz w:val="18"/>
                      <w:szCs w:val="18"/>
                      <w:lang w:eastAsia="en-GB"/>
                    </w:rPr>
                    <w:t>1.7</w:t>
                  </w:r>
                </w:p>
              </w:tc>
            </w:tr>
            <w:tr w:rsidR="00F36BA7" w:rsidRPr="00F36BA7" w:rsidTr="00A414A8">
              <w:trPr>
                <w:cnfStyle w:val="000000100000"/>
                <w:trHeight w:val="327"/>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1.0</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0.2</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1.2</w:t>
                  </w:r>
                </w:p>
              </w:tc>
              <w:tc>
                <w:tcPr>
                  <w:tcW w:w="3685" w:type="dxa"/>
                  <w:tcBorders>
                    <w:top w:val="none" w:sz="0" w:space="0" w:color="auto"/>
                    <w:bottom w:val="none" w:sz="0" w:space="0" w:color="auto"/>
                  </w:tcBorders>
                  <w:hideMark/>
                </w:tcPr>
                <w:p w:rsidR="00F36BA7" w:rsidRPr="00F36BA7" w:rsidRDefault="00F36BA7" w:rsidP="00412758">
                  <w:pPr>
                    <w:spacing w:after="0" w:line="240" w:lineRule="auto"/>
                    <w:cnfStyle w:val="000000100000"/>
                    <w:rPr>
                      <w:rFonts w:eastAsia="Times New Roman" w:cs="Arial"/>
                      <w:b/>
                      <w:color w:val="auto"/>
                      <w:sz w:val="18"/>
                      <w:szCs w:val="18"/>
                      <w:lang w:eastAsia="en-GB"/>
                    </w:rPr>
                  </w:pPr>
                  <w:r w:rsidRPr="00F36BA7">
                    <w:rPr>
                      <w:rFonts w:eastAsia="Times New Roman" w:cs="Arial"/>
                      <w:b/>
                      <w:color w:val="auto"/>
                      <w:sz w:val="18"/>
                      <w:szCs w:val="18"/>
                      <w:lang w:eastAsia="en-GB"/>
                    </w:rPr>
                    <w:t>Total Bad &amp; Doubtful Debt and Appeals</w:t>
                  </w:r>
                </w:p>
              </w:tc>
              <w:tc>
                <w:tcPr>
                  <w:tcW w:w="846" w:type="dxa"/>
                  <w:tcBorders>
                    <w:top w:val="none" w:sz="0" w:space="0" w:color="auto"/>
                    <w:bottom w:val="none" w:sz="0" w:space="0" w:color="auto"/>
                  </w:tcBorders>
                  <w:noWrap/>
                  <w:hideMark/>
                </w:tcPr>
                <w:p w:rsidR="00F36BA7" w:rsidRPr="00F36BA7" w:rsidRDefault="00C550A9" w:rsidP="00545296">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0.</w:t>
                  </w:r>
                  <w:r w:rsidR="00545296">
                    <w:rPr>
                      <w:rFonts w:eastAsia="Times New Roman" w:cs="Arial"/>
                      <w:b/>
                      <w:color w:val="auto"/>
                      <w:sz w:val="18"/>
                      <w:szCs w:val="18"/>
                      <w:lang w:eastAsia="en-GB"/>
                    </w:rPr>
                    <w:t>8</w:t>
                  </w:r>
                </w:p>
              </w:tc>
              <w:tc>
                <w:tcPr>
                  <w:tcW w:w="855" w:type="dxa"/>
                  <w:tcBorders>
                    <w:top w:val="none" w:sz="0" w:space="0" w:color="auto"/>
                    <w:bottom w:val="none" w:sz="0" w:space="0" w:color="auto"/>
                  </w:tcBorders>
                  <w:noWrap/>
                  <w:hideMark/>
                </w:tcPr>
                <w:p w:rsidR="00F36BA7" w:rsidRPr="00F36BA7" w:rsidRDefault="00C550A9" w:rsidP="00814AA1">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2.3</w:t>
                  </w:r>
                </w:p>
              </w:tc>
              <w:tc>
                <w:tcPr>
                  <w:tcW w:w="851" w:type="dxa"/>
                  <w:tcBorders>
                    <w:top w:val="none" w:sz="0" w:space="0" w:color="auto"/>
                    <w:bottom w:val="none" w:sz="0" w:space="0" w:color="auto"/>
                  </w:tcBorders>
                  <w:noWrap/>
                  <w:hideMark/>
                </w:tcPr>
                <w:p w:rsidR="00F36BA7" w:rsidRPr="00F36BA7" w:rsidRDefault="00C550A9" w:rsidP="00545296">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3.</w:t>
                  </w:r>
                  <w:r w:rsidR="00545296">
                    <w:rPr>
                      <w:rFonts w:eastAsia="Times New Roman" w:cs="Arial"/>
                      <w:b/>
                      <w:color w:val="auto"/>
                      <w:sz w:val="18"/>
                      <w:szCs w:val="18"/>
                      <w:lang w:eastAsia="en-GB"/>
                    </w:rPr>
                    <w:t>1</w:t>
                  </w:r>
                </w:p>
              </w:tc>
            </w:tr>
            <w:tr w:rsidR="00F36BA7" w:rsidRPr="00F36BA7" w:rsidTr="00A414A8">
              <w:trPr>
                <w:trHeight w:val="313"/>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bCs w:val="0"/>
                      <w:color w:val="auto"/>
                      <w:sz w:val="18"/>
                      <w:szCs w:val="18"/>
                      <w:lang w:eastAsia="en-GB"/>
                    </w:rPr>
                  </w:pPr>
                  <w:r w:rsidRPr="001A0F84">
                    <w:rPr>
                      <w:rFonts w:eastAsia="Times New Roman" w:cs="Arial"/>
                      <w:b w:val="0"/>
                      <w:bCs w:val="0"/>
                      <w:color w:val="auto"/>
                      <w:sz w:val="18"/>
                      <w:szCs w:val="18"/>
                      <w:lang w:eastAsia="en-GB"/>
                    </w:rPr>
                    <w:t>64.7</w:t>
                  </w:r>
                </w:p>
              </w:tc>
              <w:tc>
                <w:tcPr>
                  <w:tcW w:w="709" w:type="dxa"/>
                  <w:noWrap/>
                  <w:hideMark/>
                </w:tcPr>
                <w:p w:rsidR="00F36BA7" w:rsidRPr="001A0F84" w:rsidRDefault="00F36BA7" w:rsidP="00051379">
                  <w:pPr>
                    <w:spacing w:after="0" w:line="240" w:lineRule="auto"/>
                    <w:jc w:val="right"/>
                    <w:cnfStyle w:val="000000000000"/>
                    <w:rPr>
                      <w:rFonts w:eastAsia="Times New Roman" w:cs="Arial"/>
                      <w:bCs/>
                      <w:color w:val="auto"/>
                      <w:sz w:val="18"/>
                      <w:szCs w:val="18"/>
                      <w:lang w:eastAsia="en-GB"/>
                    </w:rPr>
                  </w:pPr>
                  <w:r w:rsidRPr="001A0F84">
                    <w:rPr>
                      <w:rFonts w:eastAsia="Times New Roman" w:cs="Arial"/>
                      <w:bCs/>
                      <w:color w:val="auto"/>
                      <w:sz w:val="18"/>
                      <w:szCs w:val="18"/>
                      <w:lang w:eastAsia="en-GB"/>
                    </w:rPr>
                    <w:t>32.1</w:t>
                  </w:r>
                </w:p>
              </w:tc>
              <w:tc>
                <w:tcPr>
                  <w:tcW w:w="851" w:type="dxa"/>
                  <w:noWrap/>
                  <w:hideMark/>
                </w:tcPr>
                <w:p w:rsidR="00F36BA7" w:rsidRPr="001A0F84" w:rsidRDefault="00F36BA7" w:rsidP="00051379">
                  <w:pPr>
                    <w:spacing w:after="0" w:line="240" w:lineRule="auto"/>
                    <w:jc w:val="right"/>
                    <w:cnfStyle w:val="000000000000"/>
                    <w:rPr>
                      <w:rFonts w:eastAsia="Times New Roman" w:cs="Arial"/>
                      <w:bCs/>
                      <w:color w:val="auto"/>
                      <w:sz w:val="18"/>
                      <w:szCs w:val="18"/>
                      <w:lang w:eastAsia="en-GB"/>
                    </w:rPr>
                  </w:pPr>
                  <w:r w:rsidRPr="001A0F84">
                    <w:rPr>
                      <w:rFonts w:eastAsia="Times New Roman" w:cs="Arial"/>
                      <w:bCs/>
                      <w:color w:val="auto"/>
                      <w:sz w:val="18"/>
                      <w:szCs w:val="18"/>
                      <w:lang w:eastAsia="en-GB"/>
                    </w:rPr>
                    <w:t>96.8</w:t>
                  </w:r>
                </w:p>
              </w:tc>
              <w:tc>
                <w:tcPr>
                  <w:tcW w:w="3685" w:type="dxa"/>
                  <w:hideMark/>
                </w:tcPr>
                <w:p w:rsidR="00F36BA7" w:rsidRPr="00F36BA7" w:rsidRDefault="00F36BA7" w:rsidP="00412758">
                  <w:pPr>
                    <w:spacing w:after="0" w:line="240" w:lineRule="auto"/>
                    <w:cnfStyle w:val="000000000000"/>
                    <w:rPr>
                      <w:rFonts w:eastAsia="Times New Roman" w:cs="Arial"/>
                      <w:b/>
                      <w:bCs/>
                      <w:color w:val="auto"/>
                      <w:sz w:val="18"/>
                      <w:szCs w:val="18"/>
                      <w:lang w:eastAsia="en-GB"/>
                    </w:rPr>
                  </w:pPr>
                  <w:r w:rsidRPr="00F36BA7">
                    <w:rPr>
                      <w:rFonts w:eastAsia="Times New Roman" w:cs="Arial"/>
                      <w:b/>
                      <w:bCs/>
                      <w:color w:val="auto"/>
                      <w:sz w:val="18"/>
                      <w:szCs w:val="18"/>
                      <w:lang w:eastAsia="en-GB"/>
                    </w:rPr>
                    <w:t>Total Expenditure</w:t>
                  </w:r>
                </w:p>
              </w:tc>
              <w:tc>
                <w:tcPr>
                  <w:tcW w:w="846" w:type="dxa"/>
                  <w:noWrap/>
                  <w:hideMark/>
                </w:tcPr>
                <w:p w:rsidR="00F36BA7" w:rsidRPr="00F36BA7" w:rsidRDefault="00C550A9" w:rsidP="00545296">
                  <w:pPr>
                    <w:spacing w:after="0" w:line="240" w:lineRule="auto"/>
                    <w:jc w:val="right"/>
                    <w:cnfStyle w:val="000000000000"/>
                    <w:rPr>
                      <w:rFonts w:eastAsia="Times New Roman" w:cs="Arial"/>
                      <w:b/>
                      <w:bCs/>
                      <w:color w:val="auto"/>
                      <w:sz w:val="18"/>
                      <w:szCs w:val="18"/>
                      <w:lang w:eastAsia="en-GB"/>
                    </w:rPr>
                  </w:pPr>
                  <w:r>
                    <w:rPr>
                      <w:rFonts w:eastAsia="Times New Roman" w:cs="Arial"/>
                      <w:b/>
                      <w:bCs/>
                      <w:color w:val="auto"/>
                      <w:sz w:val="18"/>
                      <w:szCs w:val="18"/>
                      <w:lang w:eastAsia="en-GB"/>
                    </w:rPr>
                    <w:t>66.</w:t>
                  </w:r>
                  <w:r w:rsidR="00545296">
                    <w:rPr>
                      <w:rFonts w:eastAsia="Times New Roman" w:cs="Arial"/>
                      <w:b/>
                      <w:bCs/>
                      <w:color w:val="auto"/>
                      <w:sz w:val="18"/>
                      <w:szCs w:val="18"/>
                      <w:lang w:eastAsia="en-GB"/>
                    </w:rPr>
                    <w:t>2</w:t>
                  </w:r>
                </w:p>
              </w:tc>
              <w:tc>
                <w:tcPr>
                  <w:tcW w:w="855" w:type="dxa"/>
                  <w:noWrap/>
                  <w:hideMark/>
                </w:tcPr>
                <w:p w:rsidR="00F36BA7" w:rsidRPr="00F36BA7" w:rsidRDefault="00C550A9" w:rsidP="00653B4C">
                  <w:pPr>
                    <w:spacing w:after="0" w:line="240" w:lineRule="auto"/>
                    <w:jc w:val="right"/>
                    <w:cnfStyle w:val="000000000000"/>
                    <w:rPr>
                      <w:rFonts w:eastAsia="Times New Roman" w:cs="Arial"/>
                      <w:b/>
                      <w:bCs/>
                      <w:color w:val="auto"/>
                      <w:sz w:val="18"/>
                      <w:szCs w:val="18"/>
                      <w:lang w:eastAsia="en-GB"/>
                    </w:rPr>
                  </w:pPr>
                  <w:r>
                    <w:rPr>
                      <w:rFonts w:eastAsia="Times New Roman" w:cs="Arial"/>
                      <w:b/>
                      <w:bCs/>
                      <w:color w:val="auto"/>
                      <w:sz w:val="18"/>
                      <w:szCs w:val="18"/>
                      <w:lang w:eastAsia="en-GB"/>
                    </w:rPr>
                    <w:t>38.9</w:t>
                  </w:r>
                </w:p>
              </w:tc>
              <w:tc>
                <w:tcPr>
                  <w:tcW w:w="851" w:type="dxa"/>
                  <w:noWrap/>
                  <w:hideMark/>
                </w:tcPr>
                <w:p w:rsidR="00F36BA7" w:rsidRPr="00F36BA7" w:rsidRDefault="00C550A9" w:rsidP="00545296">
                  <w:pPr>
                    <w:spacing w:after="0" w:line="240" w:lineRule="auto"/>
                    <w:jc w:val="right"/>
                    <w:cnfStyle w:val="000000000000"/>
                    <w:rPr>
                      <w:rFonts w:eastAsia="Times New Roman" w:cs="Arial"/>
                      <w:b/>
                      <w:bCs/>
                      <w:color w:val="auto"/>
                      <w:sz w:val="18"/>
                      <w:szCs w:val="18"/>
                      <w:lang w:eastAsia="en-GB"/>
                    </w:rPr>
                  </w:pPr>
                  <w:r>
                    <w:rPr>
                      <w:rFonts w:eastAsia="Times New Roman" w:cs="Arial"/>
                      <w:b/>
                      <w:bCs/>
                      <w:color w:val="auto"/>
                      <w:sz w:val="18"/>
                      <w:szCs w:val="18"/>
                      <w:lang w:eastAsia="en-GB"/>
                    </w:rPr>
                    <w:t>105.</w:t>
                  </w:r>
                  <w:r w:rsidR="00545296">
                    <w:rPr>
                      <w:rFonts w:eastAsia="Times New Roman" w:cs="Arial"/>
                      <w:b/>
                      <w:bCs/>
                      <w:color w:val="auto"/>
                      <w:sz w:val="18"/>
                      <w:szCs w:val="18"/>
                      <w:lang w:eastAsia="en-GB"/>
                    </w:rPr>
                    <w:t>1</w:t>
                  </w:r>
                </w:p>
              </w:tc>
            </w:tr>
            <w:tr w:rsidR="00F36BA7" w:rsidRPr="00F36BA7" w:rsidTr="00A414A8">
              <w:trPr>
                <w:cnfStyle w:val="000000100000"/>
                <w:trHeight w:val="270"/>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bCs w:val="0"/>
                      <w:color w:val="auto"/>
                      <w:sz w:val="18"/>
                      <w:szCs w:val="18"/>
                      <w:lang w:eastAsia="en-GB"/>
                    </w:rPr>
                  </w:pPr>
                  <w:r w:rsidRPr="001A0F84">
                    <w:rPr>
                      <w:rFonts w:eastAsia="Times New Roman" w:cs="Arial"/>
                      <w:b w:val="0"/>
                      <w:bCs w:val="0"/>
                      <w:color w:val="auto"/>
                      <w:sz w:val="18"/>
                      <w:szCs w:val="18"/>
                      <w:lang w:eastAsia="en-GB"/>
                    </w:rPr>
                    <w:t>(1.1)</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bCs/>
                      <w:color w:val="auto"/>
                      <w:sz w:val="18"/>
                      <w:szCs w:val="18"/>
                      <w:lang w:eastAsia="en-GB"/>
                    </w:rPr>
                  </w:pPr>
                  <w:r w:rsidRPr="001A0F84">
                    <w:rPr>
                      <w:rFonts w:eastAsia="Times New Roman" w:cs="Arial"/>
                      <w:bCs/>
                      <w:color w:val="auto"/>
                      <w:sz w:val="18"/>
                      <w:szCs w:val="18"/>
                      <w:lang w:eastAsia="en-GB"/>
                    </w:rPr>
                    <w:t>(3.5)</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bCs/>
                      <w:color w:val="auto"/>
                      <w:sz w:val="18"/>
                      <w:szCs w:val="18"/>
                      <w:lang w:eastAsia="en-GB"/>
                    </w:rPr>
                  </w:pPr>
                  <w:r w:rsidRPr="001A0F84">
                    <w:rPr>
                      <w:rFonts w:eastAsia="Times New Roman" w:cs="Arial"/>
                      <w:bCs/>
                      <w:color w:val="auto"/>
                      <w:sz w:val="18"/>
                      <w:szCs w:val="18"/>
                      <w:lang w:eastAsia="en-GB"/>
                    </w:rPr>
                    <w:t>(4.6)</w:t>
                  </w:r>
                </w:p>
              </w:tc>
              <w:tc>
                <w:tcPr>
                  <w:tcW w:w="3685" w:type="dxa"/>
                  <w:tcBorders>
                    <w:top w:val="none" w:sz="0" w:space="0" w:color="auto"/>
                    <w:bottom w:val="none" w:sz="0" w:space="0" w:color="auto"/>
                  </w:tcBorders>
                  <w:hideMark/>
                </w:tcPr>
                <w:p w:rsidR="00F36BA7" w:rsidRPr="00F36BA7" w:rsidRDefault="00F36BA7" w:rsidP="00FD2994">
                  <w:pPr>
                    <w:spacing w:after="0" w:line="240" w:lineRule="auto"/>
                    <w:cnfStyle w:val="000000100000"/>
                    <w:rPr>
                      <w:rFonts w:eastAsia="Times New Roman" w:cs="Arial"/>
                      <w:b/>
                      <w:bCs/>
                      <w:color w:val="auto"/>
                      <w:sz w:val="18"/>
                      <w:szCs w:val="18"/>
                      <w:lang w:eastAsia="en-GB"/>
                    </w:rPr>
                  </w:pPr>
                  <w:r w:rsidRPr="00F36BA7">
                    <w:rPr>
                      <w:rFonts w:eastAsia="Times New Roman" w:cs="Arial"/>
                      <w:b/>
                      <w:bCs/>
                      <w:color w:val="auto"/>
                      <w:sz w:val="18"/>
                      <w:szCs w:val="18"/>
                      <w:lang w:eastAsia="en-GB"/>
                    </w:rPr>
                    <w:t>(Surplus)/Deficit for Year</w:t>
                  </w:r>
                </w:p>
              </w:tc>
              <w:tc>
                <w:tcPr>
                  <w:tcW w:w="846" w:type="dxa"/>
                  <w:tcBorders>
                    <w:top w:val="none" w:sz="0" w:space="0" w:color="auto"/>
                    <w:bottom w:val="none" w:sz="0" w:space="0" w:color="auto"/>
                  </w:tcBorders>
                  <w:noWrap/>
                  <w:hideMark/>
                </w:tcPr>
                <w:p w:rsidR="00F36BA7" w:rsidRPr="00F36BA7" w:rsidRDefault="00C550A9" w:rsidP="00545296">
                  <w:pPr>
                    <w:spacing w:after="0" w:line="240" w:lineRule="auto"/>
                    <w:jc w:val="right"/>
                    <w:cnfStyle w:val="000000100000"/>
                    <w:rPr>
                      <w:rFonts w:eastAsia="Times New Roman" w:cs="Arial"/>
                      <w:b/>
                      <w:bCs/>
                      <w:color w:val="auto"/>
                      <w:sz w:val="18"/>
                      <w:szCs w:val="18"/>
                      <w:lang w:eastAsia="en-GB"/>
                    </w:rPr>
                  </w:pPr>
                  <w:r>
                    <w:rPr>
                      <w:rFonts w:eastAsia="Times New Roman" w:cs="Arial"/>
                      <w:b/>
                      <w:bCs/>
                      <w:color w:val="auto"/>
                      <w:sz w:val="18"/>
                      <w:szCs w:val="18"/>
                      <w:lang w:eastAsia="en-GB"/>
                    </w:rPr>
                    <w:t>(</w:t>
                  </w:r>
                  <w:r w:rsidR="00545296">
                    <w:rPr>
                      <w:rFonts w:eastAsia="Times New Roman" w:cs="Arial"/>
                      <w:b/>
                      <w:bCs/>
                      <w:color w:val="auto"/>
                      <w:sz w:val="18"/>
                      <w:szCs w:val="18"/>
                      <w:lang w:eastAsia="en-GB"/>
                    </w:rPr>
                    <w:t>1.1</w:t>
                  </w:r>
                  <w:r>
                    <w:rPr>
                      <w:rFonts w:eastAsia="Times New Roman" w:cs="Arial"/>
                      <w:b/>
                      <w:bCs/>
                      <w:color w:val="auto"/>
                      <w:sz w:val="18"/>
                      <w:szCs w:val="18"/>
                      <w:lang w:eastAsia="en-GB"/>
                    </w:rPr>
                    <w:t>)</w:t>
                  </w:r>
                </w:p>
              </w:tc>
              <w:tc>
                <w:tcPr>
                  <w:tcW w:w="855" w:type="dxa"/>
                  <w:tcBorders>
                    <w:top w:val="none" w:sz="0" w:space="0" w:color="auto"/>
                    <w:bottom w:val="none" w:sz="0" w:space="0" w:color="auto"/>
                  </w:tcBorders>
                  <w:noWrap/>
                  <w:hideMark/>
                </w:tcPr>
                <w:p w:rsidR="00F36BA7" w:rsidRPr="00F36BA7" w:rsidRDefault="00C550A9" w:rsidP="00A85A7A">
                  <w:pPr>
                    <w:spacing w:after="0" w:line="240" w:lineRule="auto"/>
                    <w:jc w:val="right"/>
                    <w:cnfStyle w:val="000000100000"/>
                    <w:rPr>
                      <w:rFonts w:eastAsia="Times New Roman" w:cs="Arial"/>
                      <w:b/>
                      <w:bCs/>
                      <w:color w:val="auto"/>
                      <w:sz w:val="18"/>
                      <w:szCs w:val="18"/>
                      <w:lang w:eastAsia="en-GB"/>
                    </w:rPr>
                  </w:pPr>
                  <w:r>
                    <w:rPr>
                      <w:rFonts w:eastAsia="Times New Roman" w:cs="Arial"/>
                      <w:b/>
                      <w:bCs/>
                      <w:color w:val="auto"/>
                      <w:sz w:val="18"/>
                      <w:szCs w:val="18"/>
                      <w:lang w:eastAsia="en-GB"/>
                    </w:rPr>
                    <w:t>2.3</w:t>
                  </w:r>
                </w:p>
              </w:tc>
              <w:tc>
                <w:tcPr>
                  <w:tcW w:w="851" w:type="dxa"/>
                  <w:tcBorders>
                    <w:top w:val="none" w:sz="0" w:space="0" w:color="auto"/>
                    <w:bottom w:val="none" w:sz="0" w:space="0" w:color="auto"/>
                  </w:tcBorders>
                  <w:noWrap/>
                  <w:hideMark/>
                </w:tcPr>
                <w:p w:rsidR="00F36BA7" w:rsidRPr="00F36BA7" w:rsidRDefault="00C550A9" w:rsidP="00545296">
                  <w:pPr>
                    <w:spacing w:after="0" w:line="240" w:lineRule="auto"/>
                    <w:jc w:val="right"/>
                    <w:cnfStyle w:val="000000100000"/>
                    <w:rPr>
                      <w:rFonts w:eastAsia="Times New Roman" w:cs="Arial"/>
                      <w:b/>
                      <w:bCs/>
                      <w:color w:val="auto"/>
                      <w:sz w:val="18"/>
                      <w:szCs w:val="18"/>
                      <w:lang w:eastAsia="en-GB"/>
                    </w:rPr>
                  </w:pPr>
                  <w:r>
                    <w:rPr>
                      <w:rFonts w:eastAsia="Times New Roman" w:cs="Arial"/>
                      <w:b/>
                      <w:bCs/>
                      <w:color w:val="auto"/>
                      <w:sz w:val="18"/>
                      <w:szCs w:val="18"/>
                      <w:lang w:eastAsia="en-GB"/>
                    </w:rPr>
                    <w:t>1.</w:t>
                  </w:r>
                  <w:r w:rsidR="00545296">
                    <w:rPr>
                      <w:rFonts w:eastAsia="Times New Roman" w:cs="Arial"/>
                      <w:b/>
                      <w:bCs/>
                      <w:color w:val="auto"/>
                      <w:sz w:val="18"/>
                      <w:szCs w:val="18"/>
                      <w:lang w:eastAsia="en-GB"/>
                    </w:rPr>
                    <w:t>2</w:t>
                  </w:r>
                </w:p>
              </w:tc>
            </w:tr>
            <w:tr w:rsidR="00F36BA7" w:rsidRPr="00F36BA7" w:rsidTr="00A414A8">
              <w:trPr>
                <w:trHeight w:val="352"/>
              </w:trPr>
              <w:tc>
                <w:tcPr>
                  <w:cnfStyle w:val="001000000000"/>
                  <w:tcW w:w="963" w:type="dxa"/>
                  <w:tcBorders>
                    <w:right w:val="none" w:sz="0" w:space="0" w:color="auto"/>
                  </w:tcBorders>
                  <w:noWrap/>
                  <w:vAlign w:val="center"/>
                  <w:hideMark/>
                </w:tcPr>
                <w:p w:rsidR="00F36BA7" w:rsidRPr="001A0F84" w:rsidRDefault="00F36BA7" w:rsidP="00051379">
                  <w:pPr>
                    <w:spacing w:after="0" w:line="240" w:lineRule="auto"/>
                    <w:rPr>
                      <w:rFonts w:eastAsia="Times New Roman" w:cs="Arial"/>
                      <w:b w:val="0"/>
                      <w:color w:val="auto"/>
                      <w:sz w:val="18"/>
                      <w:szCs w:val="18"/>
                      <w:lang w:eastAsia="en-GB"/>
                    </w:rPr>
                  </w:pPr>
                </w:p>
              </w:tc>
              <w:tc>
                <w:tcPr>
                  <w:tcW w:w="709" w:type="dxa"/>
                  <w:noWrap/>
                  <w:vAlign w:val="center"/>
                  <w:hideMark/>
                </w:tcPr>
                <w:p w:rsidR="00F36BA7" w:rsidRPr="001A0F84" w:rsidRDefault="00F36BA7" w:rsidP="00051379">
                  <w:pPr>
                    <w:spacing w:after="0" w:line="240" w:lineRule="auto"/>
                    <w:cnfStyle w:val="000000000000"/>
                    <w:rPr>
                      <w:rFonts w:eastAsia="Times New Roman" w:cs="Arial"/>
                      <w:color w:val="auto"/>
                      <w:sz w:val="18"/>
                      <w:szCs w:val="18"/>
                      <w:lang w:eastAsia="en-GB"/>
                    </w:rPr>
                  </w:pPr>
                </w:p>
              </w:tc>
              <w:tc>
                <w:tcPr>
                  <w:tcW w:w="851" w:type="dxa"/>
                  <w:noWrap/>
                  <w:vAlign w:val="center"/>
                  <w:hideMark/>
                </w:tcPr>
                <w:p w:rsidR="00F36BA7" w:rsidRPr="001A0F84" w:rsidRDefault="00F36BA7" w:rsidP="00051379">
                  <w:pPr>
                    <w:spacing w:after="0" w:line="240" w:lineRule="auto"/>
                    <w:cnfStyle w:val="000000000000"/>
                    <w:rPr>
                      <w:rFonts w:eastAsia="Times New Roman" w:cs="Arial"/>
                      <w:color w:val="auto"/>
                      <w:sz w:val="18"/>
                      <w:szCs w:val="18"/>
                      <w:lang w:eastAsia="en-GB"/>
                    </w:rPr>
                  </w:pPr>
                </w:p>
              </w:tc>
              <w:tc>
                <w:tcPr>
                  <w:tcW w:w="3685" w:type="dxa"/>
                  <w:vAlign w:val="center"/>
                  <w:hideMark/>
                </w:tcPr>
                <w:p w:rsidR="00F36BA7" w:rsidRPr="00F36BA7" w:rsidRDefault="00F36BA7" w:rsidP="00A414A8">
                  <w:pPr>
                    <w:spacing w:after="0" w:line="240" w:lineRule="auto"/>
                    <w:cnfStyle w:val="000000000000"/>
                    <w:rPr>
                      <w:rFonts w:eastAsia="Times New Roman" w:cs="Arial"/>
                      <w:b/>
                      <w:bCs/>
                      <w:color w:val="auto"/>
                      <w:sz w:val="18"/>
                      <w:szCs w:val="18"/>
                      <w:lang w:eastAsia="en-GB"/>
                    </w:rPr>
                  </w:pPr>
                  <w:r w:rsidRPr="00F36BA7">
                    <w:rPr>
                      <w:rFonts w:eastAsia="Times New Roman" w:cs="Arial"/>
                      <w:b/>
                      <w:bCs/>
                      <w:color w:val="auto"/>
                      <w:sz w:val="18"/>
                      <w:szCs w:val="18"/>
                      <w:lang w:eastAsia="en-GB"/>
                    </w:rPr>
                    <w:t>Movement of Collection Fund Balance</w:t>
                  </w:r>
                </w:p>
              </w:tc>
              <w:tc>
                <w:tcPr>
                  <w:tcW w:w="846" w:type="dxa"/>
                  <w:noWrap/>
                  <w:vAlign w:val="center"/>
                  <w:hideMark/>
                </w:tcPr>
                <w:p w:rsidR="00F36BA7" w:rsidRPr="00F36BA7" w:rsidRDefault="00F36BA7" w:rsidP="00A414A8">
                  <w:pPr>
                    <w:spacing w:after="0" w:line="240" w:lineRule="auto"/>
                    <w:cnfStyle w:val="000000000000"/>
                    <w:rPr>
                      <w:rFonts w:eastAsia="Times New Roman" w:cs="Arial"/>
                      <w:color w:val="auto"/>
                      <w:sz w:val="18"/>
                      <w:szCs w:val="18"/>
                      <w:lang w:eastAsia="en-GB"/>
                    </w:rPr>
                  </w:pPr>
                </w:p>
              </w:tc>
              <w:tc>
                <w:tcPr>
                  <w:tcW w:w="855" w:type="dxa"/>
                  <w:noWrap/>
                  <w:vAlign w:val="center"/>
                  <w:hideMark/>
                </w:tcPr>
                <w:p w:rsidR="00F36BA7" w:rsidRPr="00F36BA7" w:rsidRDefault="00F36BA7" w:rsidP="00A414A8">
                  <w:pPr>
                    <w:spacing w:after="0" w:line="240" w:lineRule="auto"/>
                    <w:cnfStyle w:val="000000000000"/>
                    <w:rPr>
                      <w:rFonts w:eastAsia="Times New Roman" w:cs="Arial"/>
                      <w:color w:val="auto"/>
                      <w:sz w:val="18"/>
                      <w:szCs w:val="18"/>
                      <w:lang w:eastAsia="en-GB"/>
                    </w:rPr>
                  </w:pPr>
                </w:p>
              </w:tc>
              <w:tc>
                <w:tcPr>
                  <w:tcW w:w="851" w:type="dxa"/>
                  <w:noWrap/>
                  <w:vAlign w:val="center"/>
                  <w:hideMark/>
                </w:tcPr>
                <w:p w:rsidR="00F36BA7" w:rsidRPr="00F36BA7" w:rsidRDefault="00F36BA7" w:rsidP="00A414A8">
                  <w:pPr>
                    <w:spacing w:after="0" w:line="240" w:lineRule="auto"/>
                    <w:cnfStyle w:val="000000000000"/>
                    <w:rPr>
                      <w:rFonts w:eastAsia="Times New Roman" w:cs="Arial"/>
                      <w:color w:val="auto"/>
                      <w:sz w:val="18"/>
                      <w:szCs w:val="18"/>
                      <w:lang w:eastAsia="en-GB"/>
                    </w:rPr>
                  </w:pPr>
                </w:p>
              </w:tc>
            </w:tr>
            <w:tr w:rsidR="00F36BA7" w:rsidRPr="00F36BA7" w:rsidTr="00A414A8">
              <w:trPr>
                <w:cnfStyle w:val="000000100000"/>
                <w:trHeight w:val="241"/>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(0.9)</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3.8</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2.9</w:t>
                  </w:r>
                </w:p>
              </w:tc>
              <w:tc>
                <w:tcPr>
                  <w:tcW w:w="3685" w:type="dxa"/>
                  <w:tcBorders>
                    <w:top w:val="none" w:sz="0" w:space="0" w:color="auto"/>
                    <w:bottom w:val="none" w:sz="0" w:space="0" w:color="auto"/>
                  </w:tcBorders>
                  <w:hideMark/>
                </w:tcPr>
                <w:p w:rsidR="00F36BA7" w:rsidRPr="00F36BA7" w:rsidRDefault="00F36BA7" w:rsidP="00412758">
                  <w:pPr>
                    <w:spacing w:after="0" w:line="240" w:lineRule="auto"/>
                    <w:cnfStyle w:val="000000100000"/>
                    <w:rPr>
                      <w:rFonts w:eastAsia="Times New Roman" w:cs="Arial"/>
                      <w:color w:val="auto"/>
                      <w:sz w:val="18"/>
                      <w:szCs w:val="18"/>
                      <w:lang w:eastAsia="en-GB"/>
                    </w:rPr>
                  </w:pPr>
                  <w:r w:rsidRPr="00F36BA7">
                    <w:rPr>
                      <w:rFonts w:eastAsia="Times New Roman" w:cs="Arial"/>
                      <w:color w:val="auto"/>
                      <w:sz w:val="18"/>
                      <w:szCs w:val="18"/>
                      <w:lang w:eastAsia="en-GB"/>
                    </w:rPr>
                    <w:t>Balance brought forward as at 1st April</w:t>
                  </w:r>
                </w:p>
              </w:tc>
              <w:tc>
                <w:tcPr>
                  <w:tcW w:w="846" w:type="dxa"/>
                  <w:tcBorders>
                    <w:top w:val="none" w:sz="0" w:space="0" w:color="auto"/>
                    <w:bottom w:val="none" w:sz="0" w:space="0" w:color="auto"/>
                  </w:tcBorders>
                  <w:noWrap/>
                  <w:hideMark/>
                </w:tcPr>
                <w:p w:rsidR="00F36BA7" w:rsidRPr="00F36BA7" w:rsidRDefault="00C550A9" w:rsidP="00545296">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(2.</w:t>
                  </w:r>
                  <w:r w:rsidR="00545296">
                    <w:rPr>
                      <w:rFonts w:eastAsia="Times New Roman" w:cs="Arial"/>
                      <w:b/>
                      <w:color w:val="auto"/>
                      <w:sz w:val="18"/>
                      <w:szCs w:val="18"/>
                      <w:lang w:eastAsia="en-GB"/>
                    </w:rPr>
                    <w:t>0</w:t>
                  </w:r>
                  <w:r>
                    <w:rPr>
                      <w:rFonts w:eastAsia="Times New Roman" w:cs="Arial"/>
                      <w:b/>
                      <w:color w:val="auto"/>
                      <w:sz w:val="18"/>
                      <w:szCs w:val="18"/>
                      <w:lang w:eastAsia="en-GB"/>
                    </w:rPr>
                    <w:t>)</w:t>
                  </w:r>
                </w:p>
              </w:tc>
              <w:tc>
                <w:tcPr>
                  <w:tcW w:w="855" w:type="dxa"/>
                  <w:tcBorders>
                    <w:top w:val="none" w:sz="0" w:space="0" w:color="auto"/>
                    <w:bottom w:val="none" w:sz="0" w:space="0" w:color="auto"/>
                  </w:tcBorders>
                  <w:noWrap/>
                  <w:hideMark/>
                </w:tcPr>
                <w:p w:rsidR="00F36BA7" w:rsidRPr="00F36BA7" w:rsidRDefault="00C550A9" w:rsidP="00513BFE">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0.3</w:t>
                  </w:r>
                </w:p>
              </w:tc>
              <w:tc>
                <w:tcPr>
                  <w:tcW w:w="851" w:type="dxa"/>
                  <w:tcBorders>
                    <w:top w:val="none" w:sz="0" w:space="0" w:color="auto"/>
                    <w:bottom w:val="none" w:sz="0" w:space="0" w:color="auto"/>
                  </w:tcBorders>
                  <w:noWrap/>
                  <w:hideMark/>
                </w:tcPr>
                <w:p w:rsidR="00F36BA7" w:rsidRPr="00F36BA7" w:rsidRDefault="00C550A9" w:rsidP="00545296">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(1.</w:t>
                  </w:r>
                  <w:r w:rsidR="00545296">
                    <w:rPr>
                      <w:rFonts w:eastAsia="Times New Roman" w:cs="Arial"/>
                      <w:b/>
                      <w:color w:val="auto"/>
                      <w:sz w:val="18"/>
                      <w:szCs w:val="18"/>
                      <w:lang w:eastAsia="en-GB"/>
                    </w:rPr>
                    <w:t>7</w:t>
                  </w:r>
                  <w:r>
                    <w:rPr>
                      <w:rFonts w:eastAsia="Times New Roman" w:cs="Arial"/>
                      <w:b/>
                      <w:color w:val="auto"/>
                      <w:sz w:val="18"/>
                      <w:szCs w:val="18"/>
                      <w:lang w:eastAsia="en-GB"/>
                    </w:rPr>
                    <w:t>)</w:t>
                  </w:r>
                </w:p>
              </w:tc>
            </w:tr>
            <w:tr w:rsidR="00F36BA7" w:rsidRPr="00F36BA7" w:rsidTr="00A414A8">
              <w:trPr>
                <w:trHeight w:val="255"/>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(1.1)</w:t>
                  </w:r>
                </w:p>
              </w:tc>
              <w:tc>
                <w:tcPr>
                  <w:tcW w:w="709"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(3.5)</w:t>
                  </w:r>
                </w:p>
              </w:tc>
              <w:tc>
                <w:tcPr>
                  <w:tcW w:w="851"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r w:rsidRPr="001A0F84">
                    <w:rPr>
                      <w:rFonts w:eastAsia="Times New Roman" w:cs="Arial"/>
                      <w:color w:val="auto"/>
                      <w:sz w:val="18"/>
                      <w:szCs w:val="18"/>
                      <w:lang w:eastAsia="en-GB"/>
                    </w:rPr>
                    <w:t>(4.6)</w:t>
                  </w:r>
                </w:p>
              </w:tc>
              <w:tc>
                <w:tcPr>
                  <w:tcW w:w="3685" w:type="dxa"/>
                  <w:hideMark/>
                </w:tcPr>
                <w:p w:rsidR="00F36BA7" w:rsidRPr="00F36BA7" w:rsidRDefault="00F36BA7" w:rsidP="00412758">
                  <w:pPr>
                    <w:spacing w:after="0" w:line="240" w:lineRule="auto"/>
                    <w:cnfStyle w:val="000000000000"/>
                    <w:rPr>
                      <w:rFonts w:eastAsia="Times New Roman" w:cs="Arial"/>
                      <w:color w:val="auto"/>
                      <w:sz w:val="18"/>
                      <w:szCs w:val="18"/>
                      <w:lang w:eastAsia="en-GB"/>
                    </w:rPr>
                  </w:pPr>
                  <w:r w:rsidRPr="00F36BA7">
                    <w:rPr>
                      <w:rFonts w:eastAsia="Times New Roman" w:cs="Arial"/>
                      <w:color w:val="auto"/>
                      <w:sz w:val="18"/>
                      <w:szCs w:val="18"/>
                      <w:lang w:eastAsia="en-GB"/>
                    </w:rPr>
                    <w:t>(Surplus)/Deficit for Year</w:t>
                  </w:r>
                </w:p>
              </w:tc>
              <w:tc>
                <w:tcPr>
                  <w:tcW w:w="846" w:type="dxa"/>
                  <w:noWrap/>
                  <w:hideMark/>
                </w:tcPr>
                <w:p w:rsidR="00F36BA7" w:rsidRPr="00F36BA7" w:rsidRDefault="00C550A9" w:rsidP="00545296">
                  <w:pPr>
                    <w:spacing w:after="0" w:line="240" w:lineRule="auto"/>
                    <w:jc w:val="right"/>
                    <w:cnfStyle w:val="000000000000"/>
                    <w:rPr>
                      <w:rFonts w:eastAsia="Times New Roman" w:cs="Arial"/>
                      <w:b/>
                      <w:color w:val="auto"/>
                      <w:sz w:val="18"/>
                      <w:szCs w:val="18"/>
                      <w:lang w:eastAsia="en-GB"/>
                    </w:rPr>
                  </w:pPr>
                  <w:r>
                    <w:rPr>
                      <w:rFonts w:eastAsia="Times New Roman" w:cs="Arial"/>
                      <w:b/>
                      <w:color w:val="auto"/>
                      <w:sz w:val="18"/>
                      <w:szCs w:val="18"/>
                      <w:lang w:eastAsia="en-GB"/>
                    </w:rPr>
                    <w:t>(</w:t>
                  </w:r>
                  <w:r w:rsidR="00545296">
                    <w:rPr>
                      <w:rFonts w:eastAsia="Times New Roman" w:cs="Arial"/>
                      <w:b/>
                      <w:color w:val="auto"/>
                      <w:sz w:val="18"/>
                      <w:szCs w:val="18"/>
                      <w:lang w:eastAsia="en-GB"/>
                    </w:rPr>
                    <w:t>1.1</w:t>
                  </w:r>
                  <w:r>
                    <w:rPr>
                      <w:rFonts w:eastAsia="Times New Roman" w:cs="Arial"/>
                      <w:b/>
                      <w:color w:val="auto"/>
                      <w:sz w:val="18"/>
                      <w:szCs w:val="18"/>
                      <w:lang w:eastAsia="en-GB"/>
                    </w:rPr>
                    <w:t>)</w:t>
                  </w:r>
                </w:p>
              </w:tc>
              <w:tc>
                <w:tcPr>
                  <w:tcW w:w="855" w:type="dxa"/>
                  <w:noWrap/>
                  <w:hideMark/>
                </w:tcPr>
                <w:p w:rsidR="00F36BA7" w:rsidRPr="00F36BA7" w:rsidRDefault="00C550A9" w:rsidP="00653B4C">
                  <w:pPr>
                    <w:spacing w:after="0" w:line="240" w:lineRule="auto"/>
                    <w:jc w:val="right"/>
                    <w:cnfStyle w:val="000000000000"/>
                    <w:rPr>
                      <w:rFonts w:eastAsia="Times New Roman" w:cs="Arial"/>
                      <w:b/>
                      <w:color w:val="auto"/>
                      <w:sz w:val="18"/>
                      <w:szCs w:val="18"/>
                      <w:lang w:eastAsia="en-GB"/>
                    </w:rPr>
                  </w:pPr>
                  <w:r>
                    <w:rPr>
                      <w:rFonts w:eastAsia="Times New Roman" w:cs="Arial"/>
                      <w:b/>
                      <w:color w:val="auto"/>
                      <w:sz w:val="18"/>
                      <w:szCs w:val="18"/>
                      <w:lang w:eastAsia="en-GB"/>
                    </w:rPr>
                    <w:t>2.3</w:t>
                  </w:r>
                </w:p>
              </w:tc>
              <w:tc>
                <w:tcPr>
                  <w:tcW w:w="851" w:type="dxa"/>
                  <w:noWrap/>
                  <w:hideMark/>
                </w:tcPr>
                <w:p w:rsidR="00F36BA7" w:rsidRPr="00F36BA7" w:rsidRDefault="00C550A9" w:rsidP="00545296">
                  <w:pPr>
                    <w:spacing w:after="0" w:line="240" w:lineRule="auto"/>
                    <w:jc w:val="right"/>
                    <w:cnfStyle w:val="000000000000"/>
                    <w:rPr>
                      <w:rFonts w:eastAsia="Times New Roman" w:cs="Arial"/>
                      <w:b/>
                      <w:color w:val="auto"/>
                      <w:sz w:val="18"/>
                      <w:szCs w:val="18"/>
                      <w:lang w:eastAsia="en-GB"/>
                    </w:rPr>
                  </w:pPr>
                  <w:r>
                    <w:rPr>
                      <w:rFonts w:eastAsia="Times New Roman" w:cs="Arial"/>
                      <w:b/>
                      <w:color w:val="auto"/>
                      <w:sz w:val="18"/>
                      <w:szCs w:val="18"/>
                      <w:lang w:eastAsia="en-GB"/>
                    </w:rPr>
                    <w:t>1.</w:t>
                  </w:r>
                  <w:r w:rsidR="00545296">
                    <w:rPr>
                      <w:rFonts w:eastAsia="Times New Roman" w:cs="Arial"/>
                      <w:b/>
                      <w:color w:val="auto"/>
                      <w:sz w:val="18"/>
                      <w:szCs w:val="18"/>
                      <w:lang w:eastAsia="en-GB"/>
                    </w:rPr>
                    <w:t>2</w:t>
                  </w:r>
                </w:p>
              </w:tc>
            </w:tr>
            <w:tr w:rsidR="00F36BA7" w:rsidRPr="00F36BA7" w:rsidTr="00A414A8">
              <w:trPr>
                <w:cnfStyle w:val="000000100000"/>
                <w:trHeight w:val="305"/>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r w:rsidRPr="001A0F84">
                    <w:rPr>
                      <w:rFonts w:eastAsia="Times New Roman" w:cs="Arial"/>
                      <w:b w:val="0"/>
                      <w:color w:val="auto"/>
                      <w:sz w:val="18"/>
                      <w:szCs w:val="18"/>
                      <w:lang w:eastAsia="en-GB"/>
                    </w:rPr>
                    <w:t>(2.0)</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0.3</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color w:val="auto"/>
                      <w:sz w:val="18"/>
                      <w:szCs w:val="18"/>
                      <w:lang w:eastAsia="en-GB"/>
                    </w:rPr>
                  </w:pPr>
                  <w:r w:rsidRPr="001A0F84">
                    <w:rPr>
                      <w:rFonts w:eastAsia="Times New Roman" w:cs="Arial"/>
                      <w:color w:val="auto"/>
                      <w:sz w:val="18"/>
                      <w:szCs w:val="18"/>
                      <w:lang w:eastAsia="en-GB"/>
                    </w:rPr>
                    <w:t>(1.7)</w:t>
                  </w:r>
                </w:p>
              </w:tc>
              <w:tc>
                <w:tcPr>
                  <w:tcW w:w="3685" w:type="dxa"/>
                  <w:tcBorders>
                    <w:top w:val="none" w:sz="0" w:space="0" w:color="auto"/>
                    <w:bottom w:val="none" w:sz="0" w:space="0" w:color="auto"/>
                  </w:tcBorders>
                  <w:hideMark/>
                </w:tcPr>
                <w:p w:rsidR="00F36BA7" w:rsidRPr="00F36BA7" w:rsidRDefault="00F36BA7" w:rsidP="00412758">
                  <w:pPr>
                    <w:spacing w:after="0" w:line="240" w:lineRule="auto"/>
                    <w:cnfStyle w:val="000000100000"/>
                    <w:rPr>
                      <w:rFonts w:eastAsia="Times New Roman" w:cs="Arial"/>
                      <w:b/>
                      <w:color w:val="auto"/>
                      <w:sz w:val="18"/>
                      <w:szCs w:val="18"/>
                      <w:lang w:eastAsia="en-GB"/>
                    </w:rPr>
                  </w:pPr>
                  <w:r w:rsidRPr="00F36BA7">
                    <w:rPr>
                      <w:rFonts w:eastAsia="Times New Roman" w:cs="Arial"/>
                      <w:b/>
                      <w:color w:val="auto"/>
                      <w:sz w:val="18"/>
                      <w:szCs w:val="18"/>
                      <w:lang w:eastAsia="en-GB"/>
                    </w:rPr>
                    <w:t>Balance carried forward as at 31st March</w:t>
                  </w:r>
                </w:p>
              </w:tc>
              <w:tc>
                <w:tcPr>
                  <w:tcW w:w="846" w:type="dxa"/>
                  <w:tcBorders>
                    <w:top w:val="none" w:sz="0" w:space="0" w:color="auto"/>
                    <w:bottom w:val="none" w:sz="0" w:space="0" w:color="auto"/>
                  </w:tcBorders>
                  <w:noWrap/>
                  <w:hideMark/>
                </w:tcPr>
                <w:p w:rsidR="00F36BA7" w:rsidRPr="00F36BA7" w:rsidRDefault="00C550A9" w:rsidP="00545296">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(3.</w:t>
                  </w:r>
                  <w:r w:rsidR="00545296">
                    <w:rPr>
                      <w:rFonts w:eastAsia="Times New Roman" w:cs="Arial"/>
                      <w:b/>
                      <w:color w:val="auto"/>
                      <w:sz w:val="18"/>
                      <w:szCs w:val="18"/>
                      <w:lang w:eastAsia="en-GB"/>
                    </w:rPr>
                    <w:t>1</w:t>
                  </w:r>
                  <w:r>
                    <w:rPr>
                      <w:rFonts w:eastAsia="Times New Roman" w:cs="Arial"/>
                      <w:b/>
                      <w:color w:val="auto"/>
                      <w:sz w:val="18"/>
                      <w:szCs w:val="18"/>
                      <w:lang w:eastAsia="en-GB"/>
                    </w:rPr>
                    <w:t>)</w:t>
                  </w:r>
                </w:p>
              </w:tc>
              <w:tc>
                <w:tcPr>
                  <w:tcW w:w="855" w:type="dxa"/>
                  <w:tcBorders>
                    <w:top w:val="none" w:sz="0" w:space="0" w:color="auto"/>
                    <w:bottom w:val="none" w:sz="0" w:space="0" w:color="auto"/>
                  </w:tcBorders>
                  <w:noWrap/>
                  <w:hideMark/>
                </w:tcPr>
                <w:p w:rsidR="00F36BA7" w:rsidRPr="00F36BA7" w:rsidRDefault="00C550A9" w:rsidP="00653B4C">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2.6</w:t>
                  </w:r>
                </w:p>
              </w:tc>
              <w:tc>
                <w:tcPr>
                  <w:tcW w:w="851" w:type="dxa"/>
                  <w:tcBorders>
                    <w:top w:val="none" w:sz="0" w:space="0" w:color="auto"/>
                    <w:bottom w:val="none" w:sz="0" w:space="0" w:color="auto"/>
                  </w:tcBorders>
                  <w:noWrap/>
                  <w:hideMark/>
                </w:tcPr>
                <w:p w:rsidR="00F36BA7" w:rsidRPr="00F36BA7" w:rsidRDefault="00C550A9" w:rsidP="00545296">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(0.</w:t>
                  </w:r>
                  <w:r w:rsidR="00545296">
                    <w:rPr>
                      <w:rFonts w:eastAsia="Times New Roman" w:cs="Arial"/>
                      <w:b/>
                      <w:color w:val="auto"/>
                      <w:sz w:val="18"/>
                      <w:szCs w:val="18"/>
                      <w:lang w:eastAsia="en-GB"/>
                    </w:rPr>
                    <w:t>5</w:t>
                  </w:r>
                  <w:r>
                    <w:rPr>
                      <w:rFonts w:eastAsia="Times New Roman" w:cs="Arial"/>
                      <w:b/>
                      <w:color w:val="auto"/>
                      <w:sz w:val="18"/>
                      <w:szCs w:val="18"/>
                      <w:lang w:eastAsia="en-GB"/>
                    </w:rPr>
                    <w:t>)</w:t>
                  </w:r>
                </w:p>
              </w:tc>
            </w:tr>
            <w:tr w:rsidR="00F36BA7" w:rsidRPr="00F36BA7" w:rsidTr="00A414A8">
              <w:trPr>
                <w:trHeight w:val="510"/>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color w:val="auto"/>
                      <w:sz w:val="18"/>
                      <w:szCs w:val="18"/>
                      <w:lang w:eastAsia="en-GB"/>
                    </w:rPr>
                  </w:pPr>
                </w:p>
              </w:tc>
              <w:tc>
                <w:tcPr>
                  <w:tcW w:w="709"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p>
              </w:tc>
              <w:tc>
                <w:tcPr>
                  <w:tcW w:w="851" w:type="dxa"/>
                  <w:noWrap/>
                  <w:hideMark/>
                </w:tcPr>
                <w:p w:rsidR="00F36BA7" w:rsidRPr="001A0F84" w:rsidRDefault="00F36BA7" w:rsidP="00051379">
                  <w:pPr>
                    <w:spacing w:after="0" w:line="240" w:lineRule="auto"/>
                    <w:jc w:val="right"/>
                    <w:cnfStyle w:val="000000000000"/>
                    <w:rPr>
                      <w:rFonts w:eastAsia="Times New Roman" w:cs="Arial"/>
                      <w:color w:val="auto"/>
                      <w:sz w:val="18"/>
                      <w:szCs w:val="18"/>
                      <w:lang w:eastAsia="en-GB"/>
                    </w:rPr>
                  </w:pPr>
                </w:p>
              </w:tc>
              <w:tc>
                <w:tcPr>
                  <w:tcW w:w="3685" w:type="dxa"/>
                  <w:hideMark/>
                </w:tcPr>
                <w:p w:rsidR="00F36BA7" w:rsidRPr="00F36BA7" w:rsidRDefault="00F36BA7" w:rsidP="00412758">
                  <w:pPr>
                    <w:spacing w:after="0" w:line="240" w:lineRule="auto"/>
                    <w:cnfStyle w:val="000000000000"/>
                    <w:rPr>
                      <w:rFonts w:eastAsia="Times New Roman" w:cs="Arial"/>
                      <w:b/>
                      <w:color w:val="auto"/>
                      <w:sz w:val="18"/>
                      <w:szCs w:val="18"/>
                      <w:lang w:eastAsia="en-GB"/>
                    </w:rPr>
                  </w:pPr>
                  <w:r w:rsidRPr="00F36BA7">
                    <w:rPr>
                      <w:rFonts w:eastAsia="Times New Roman" w:cs="Arial"/>
                      <w:b/>
                      <w:color w:val="auto"/>
                      <w:sz w:val="18"/>
                      <w:szCs w:val="18"/>
                      <w:lang w:eastAsia="en-GB"/>
                    </w:rPr>
                    <w:t>Balance Attributable to major precepting bodies</w:t>
                  </w:r>
                </w:p>
              </w:tc>
              <w:tc>
                <w:tcPr>
                  <w:tcW w:w="846" w:type="dxa"/>
                  <w:noWrap/>
                  <w:hideMark/>
                </w:tcPr>
                <w:p w:rsidR="00F36BA7" w:rsidRPr="00F36BA7" w:rsidRDefault="00F36BA7" w:rsidP="0067189C">
                  <w:pPr>
                    <w:spacing w:after="0" w:line="240" w:lineRule="auto"/>
                    <w:jc w:val="right"/>
                    <w:cnfStyle w:val="000000000000"/>
                    <w:rPr>
                      <w:rFonts w:eastAsia="Times New Roman" w:cs="Arial"/>
                      <w:b/>
                      <w:color w:val="auto"/>
                      <w:sz w:val="18"/>
                      <w:szCs w:val="18"/>
                      <w:lang w:eastAsia="en-GB"/>
                    </w:rPr>
                  </w:pPr>
                </w:p>
              </w:tc>
              <w:tc>
                <w:tcPr>
                  <w:tcW w:w="855" w:type="dxa"/>
                  <w:noWrap/>
                  <w:hideMark/>
                </w:tcPr>
                <w:p w:rsidR="00F36BA7" w:rsidRPr="00F36BA7" w:rsidRDefault="00F36BA7" w:rsidP="0067189C">
                  <w:pPr>
                    <w:spacing w:after="0" w:line="240" w:lineRule="auto"/>
                    <w:jc w:val="right"/>
                    <w:cnfStyle w:val="000000000000"/>
                    <w:rPr>
                      <w:rFonts w:eastAsia="Times New Roman" w:cs="Arial"/>
                      <w:b/>
                      <w:color w:val="auto"/>
                      <w:sz w:val="18"/>
                      <w:szCs w:val="18"/>
                      <w:lang w:eastAsia="en-GB"/>
                    </w:rPr>
                  </w:pPr>
                </w:p>
              </w:tc>
              <w:tc>
                <w:tcPr>
                  <w:tcW w:w="851" w:type="dxa"/>
                  <w:noWrap/>
                  <w:hideMark/>
                </w:tcPr>
                <w:p w:rsidR="00F36BA7" w:rsidRPr="00F36BA7" w:rsidRDefault="00F36BA7" w:rsidP="0067189C">
                  <w:pPr>
                    <w:spacing w:after="0" w:line="240" w:lineRule="auto"/>
                    <w:jc w:val="right"/>
                    <w:cnfStyle w:val="000000000000"/>
                    <w:rPr>
                      <w:rFonts w:eastAsia="Times New Roman" w:cs="Arial"/>
                      <w:b/>
                      <w:color w:val="auto"/>
                      <w:sz w:val="18"/>
                      <w:szCs w:val="18"/>
                      <w:lang w:eastAsia="en-GB"/>
                    </w:rPr>
                  </w:pPr>
                </w:p>
              </w:tc>
            </w:tr>
            <w:tr w:rsidR="00F36BA7" w:rsidRPr="00F36BA7" w:rsidTr="00A414A8">
              <w:trPr>
                <w:cnfStyle w:val="000000100000"/>
                <w:trHeight w:val="255"/>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iCs/>
                      <w:color w:val="auto"/>
                      <w:sz w:val="18"/>
                      <w:szCs w:val="18"/>
                      <w:lang w:eastAsia="en-GB"/>
                    </w:rPr>
                  </w:pPr>
                  <w:r w:rsidRPr="001A0F84">
                    <w:rPr>
                      <w:rFonts w:eastAsia="Times New Roman" w:cs="Arial"/>
                      <w:b w:val="0"/>
                      <w:iCs/>
                      <w:color w:val="auto"/>
                      <w:sz w:val="18"/>
                      <w:szCs w:val="18"/>
                      <w:lang w:eastAsia="en-GB"/>
                    </w:rPr>
                    <w:t>(0.2)</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iCs/>
                      <w:color w:val="auto"/>
                      <w:sz w:val="18"/>
                      <w:szCs w:val="18"/>
                      <w:lang w:eastAsia="en-GB"/>
                    </w:rPr>
                  </w:pPr>
                  <w:r w:rsidRPr="001A0F84">
                    <w:rPr>
                      <w:rFonts w:eastAsia="Times New Roman" w:cs="Arial"/>
                      <w:iCs/>
                      <w:color w:val="auto"/>
                      <w:sz w:val="18"/>
                      <w:szCs w:val="18"/>
                      <w:lang w:eastAsia="en-GB"/>
                    </w:rPr>
                    <w:t>0</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iCs/>
                      <w:color w:val="auto"/>
                      <w:sz w:val="18"/>
                      <w:szCs w:val="18"/>
                      <w:lang w:eastAsia="en-GB"/>
                    </w:rPr>
                  </w:pPr>
                  <w:r w:rsidRPr="001A0F84">
                    <w:rPr>
                      <w:rFonts w:eastAsia="Times New Roman" w:cs="Arial"/>
                      <w:iCs/>
                      <w:color w:val="auto"/>
                      <w:sz w:val="18"/>
                      <w:szCs w:val="18"/>
                      <w:lang w:eastAsia="en-GB"/>
                    </w:rPr>
                    <w:t>(0.2)</w:t>
                  </w:r>
                </w:p>
              </w:tc>
              <w:tc>
                <w:tcPr>
                  <w:tcW w:w="3685" w:type="dxa"/>
                  <w:tcBorders>
                    <w:top w:val="none" w:sz="0" w:space="0" w:color="auto"/>
                    <w:bottom w:val="none" w:sz="0" w:space="0" w:color="auto"/>
                  </w:tcBorders>
                  <w:hideMark/>
                </w:tcPr>
                <w:p w:rsidR="00F36BA7" w:rsidRPr="00F36BA7" w:rsidRDefault="00F36BA7" w:rsidP="00412758">
                  <w:pPr>
                    <w:spacing w:after="0" w:line="240" w:lineRule="auto"/>
                    <w:cnfStyle w:val="000000100000"/>
                    <w:rPr>
                      <w:rFonts w:eastAsia="Times New Roman" w:cs="Arial"/>
                      <w:iCs/>
                      <w:color w:val="auto"/>
                      <w:sz w:val="18"/>
                      <w:szCs w:val="18"/>
                      <w:lang w:eastAsia="en-GB"/>
                    </w:rPr>
                  </w:pPr>
                  <w:r w:rsidRPr="00F36BA7">
                    <w:rPr>
                      <w:rFonts w:eastAsia="Times New Roman" w:cs="Arial"/>
                      <w:iCs/>
                      <w:color w:val="auto"/>
                      <w:sz w:val="18"/>
                      <w:szCs w:val="18"/>
                      <w:lang w:eastAsia="en-GB"/>
                    </w:rPr>
                    <w:t>Police and Crime Commissioner for Devon and Cornwall</w:t>
                  </w:r>
                </w:p>
              </w:tc>
              <w:tc>
                <w:tcPr>
                  <w:tcW w:w="846" w:type="dxa"/>
                  <w:tcBorders>
                    <w:top w:val="none" w:sz="0" w:space="0" w:color="auto"/>
                    <w:bottom w:val="none" w:sz="0" w:space="0" w:color="auto"/>
                  </w:tcBorders>
                  <w:noWrap/>
                  <w:hideMark/>
                </w:tcPr>
                <w:p w:rsidR="00F36BA7" w:rsidRPr="00F36BA7" w:rsidRDefault="00C550A9" w:rsidP="00482746">
                  <w:pPr>
                    <w:spacing w:after="0" w:line="240" w:lineRule="auto"/>
                    <w:jc w:val="right"/>
                    <w:cnfStyle w:val="000000100000"/>
                    <w:rPr>
                      <w:rFonts w:eastAsia="Times New Roman" w:cs="Arial"/>
                      <w:b/>
                      <w:iCs/>
                      <w:color w:val="auto"/>
                      <w:sz w:val="18"/>
                      <w:szCs w:val="18"/>
                      <w:lang w:eastAsia="en-GB"/>
                    </w:rPr>
                  </w:pPr>
                  <w:r>
                    <w:rPr>
                      <w:rFonts w:eastAsia="Times New Roman" w:cs="Arial"/>
                      <w:b/>
                      <w:iCs/>
                      <w:color w:val="auto"/>
                      <w:sz w:val="18"/>
                      <w:szCs w:val="18"/>
                      <w:lang w:eastAsia="en-GB"/>
                    </w:rPr>
                    <w:t>(0.3)</w:t>
                  </w:r>
                </w:p>
              </w:tc>
              <w:tc>
                <w:tcPr>
                  <w:tcW w:w="855" w:type="dxa"/>
                  <w:tcBorders>
                    <w:top w:val="none" w:sz="0" w:space="0" w:color="auto"/>
                    <w:bottom w:val="none" w:sz="0" w:space="0" w:color="auto"/>
                  </w:tcBorders>
                  <w:noWrap/>
                  <w:hideMark/>
                </w:tcPr>
                <w:p w:rsidR="00F36BA7" w:rsidRPr="00F36BA7" w:rsidRDefault="00C550A9" w:rsidP="00482746">
                  <w:pPr>
                    <w:spacing w:after="0" w:line="240" w:lineRule="auto"/>
                    <w:jc w:val="right"/>
                    <w:cnfStyle w:val="000000100000"/>
                    <w:rPr>
                      <w:rFonts w:eastAsia="Times New Roman" w:cs="Arial"/>
                      <w:b/>
                      <w:iCs/>
                      <w:color w:val="auto"/>
                      <w:sz w:val="18"/>
                      <w:szCs w:val="18"/>
                      <w:lang w:eastAsia="en-GB"/>
                    </w:rPr>
                  </w:pPr>
                  <w:r>
                    <w:rPr>
                      <w:rFonts w:eastAsia="Times New Roman" w:cs="Arial"/>
                      <w:b/>
                      <w:iCs/>
                      <w:color w:val="auto"/>
                      <w:sz w:val="18"/>
                      <w:szCs w:val="18"/>
                      <w:lang w:eastAsia="en-GB"/>
                    </w:rPr>
                    <w:t>0</w:t>
                  </w:r>
                </w:p>
              </w:tc>
              <w:tc>
                <w:tcPr>
                  <w:tcW w:w="851"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b/>
                      <w:iCs/>
                      <w:color w:val="auto"/>
                      <w:sz w:val="18"/>
                      <w:szCs w:val="18"/>
                      <w:lang w:eastAsia="en-GB"/>
                    </w:rPr>
                  </w:pPr>
                  <w:r>
                    <w:rPr>
                      <w:rFonts w:eastAsia="Times New Roman" w:cs="Arial"/>
                      <w:b/>
                      <w:iCs/>
                      <w:color w:val="auto"/>
                      <w:sz w:val="18"/>
                      <w:szCs w:val="18"/>
                      <w:lang w:eastAsia="en-GB"/>
                    </w:rPr>
                    <w:t>(0.3)</w:t>
                  </w:r>
                </w:p>
              </w:tc>
            </w:tr>
            <w:tr w:rsidR="00F36BA7" w:rsidRPr="00F36BA7" w:rsidTr="00A414A8">
              <w:trPr>
                <w:trHeight w:val="255"/>
              </w:trPr>
              <w:tc>
                <w:tcPr>
                  <w:cnfStyle w:val="001000000000"/>
                  <w:tcW w:w="963" w:type="dxa"/>
                  <w:tcBorders>
                    <w:right w:val="none" w:sz="0" w:space="0" w:color="auto"/>
                  </w:tcBorders>
                  <w:noWrap/>
                  <w:hideMark/>
                </w:tcPr>
                <w:p w:rsidR="00F36BA7" w:rsidRPr="001A0F84" w:rsidRDefault="00F36BA7" w:rsidP="00051379">
                  <w:pPr>
                    <w:spacing w:after="0" w:line="240" w:lineRule="auto"/>
                    <w:jc w:val="right"/>
                    <w:rPr>
                      <w:rFonts w:eastAsia="Times New Roman" w:cs="Arial"/>
                      <w:b w:val="0"/>
                      <w:iCs/>
                      <w:color w:val="auto"/>
                      <w:sz w:val="18"/>
                      <w:szCs w:val="18"/>
                      <w:lang w:eastAsia="en-GB"/>
                    </w:rPr>
                  </w:pPr>
                  <w:r w:rsidRPr="001A0F84">
                    <w:rPr>
                      <w:rFonts w:eastAsia="Times New Roman" w:cs="Arial"/>
                      <w:b w:val="0"/>
                      <w:iCs/>
                      <w:color w:val="auto"/>
                      <w:sz w:val="18"/>
                      <w:szCs w:val="18"/>
                      <w:lang w:eastAsia="en-GB"/>
                    </w:rPr>
                    <w:t>(0.1)</w:t>
                  </w:r>
                </w:p>
              </w:tc>
              <w:tc>
                <w:tcPr>
                  <w:tcW w:w="709" w:type="dxa"/>
                  <w:noWrap/>
                  <w:hideMark/>
                </w:tcPr>
                <w:p w:rsidR="00F36BA7" w:rsidRPr="001A0F84" w:rsidRDefault="00F36BA7" w:rsidP="00051379">
                  <w:pPr>
                    <w:spacing w:after="0" w:line="240" w:lineRule="auto"/>
                    <w:jc w:val="right"/>
                    <w:cnfStyle w:val="000000000000"/>
                    <w:rPr>
                      <w:rFonts w:eastAsia="Times New Roman" w:cs="Arial"/>
                      <w:iCs/>
                      <w:color w:val="auto"/>
                      <w:sz w:val="18"/>
                      <w:szCs w:val="18"/>
                      <w:lang w:eastAsia="en-GB"/>
                    </w:rPr>
                  </w:pPr>
                  <w:r w:rsidRPr="001A0F84">
                    <w:rPr>
                      <w:rFonts w:eastAsia="Times New Roman" w:cs="Arial"/>
                      <w:iCs/>
                      <w:color w:val="auto"/>
                      <w:sz w:val="18"/>
                      <w:szCs w:val="18"/>
                      <w:lang w:eastAsia="en-GB"/>
                    </w:rPr>
                    <w:t>0</w:t>
                  </w:r>
                </w:p>
              </w:tc>
              <w:tc>
                <w:tcPr>
                  <w:tcW w:w="851" w:type="dxa"/>
                  <w:noWrap/>
                  <w:hideMark/>
                </w:tcPr>
                <w:p w:rsidR="00F36BA7" w:rsidRPr="001A0F84" w:rsidRDefault="00F36BA7" w:rsidP="00051379">
                  <w:pPr>
                    <w:spacing w:after="0" w:line="240" w:lineRule="auto"/>
                    <w:jc w:val="right"/>
                    <w:cnfStyle w:val="000000000000"/>
                    <w:rPr>
                      <w:rFonts w:eastAsia="Times New Roman" w:cs="Arial"/>
                      <w:iCs/>
                      <w:color w:val="auto"/>
                      <w:sz w:val="18"/>
                      <w:szCs w:val="18"/>
                      <w:lang w:eastAsia="en-GB"/>
                    </w:rPr>
                  </w:pPr>
                  <w:r w:rsidRPr="001A0F84">
                    <w:rPr>
                      <w:rFonts w:eastAsia="Times New Roman" w:cs="Arial"/>
                      <w:iCs/>
                      <w:color w:val="auto"/>
                      <w:sz w:val="18"/>
                      <w:szCs w:val="18"/>
                      <w:lang w:eastAsia="en-GB"/>
                    </w:rPr>
                    <w:t>(0.1)</w:t>
                  </w:r>
                </w:p>
              </w:tc>
              <w:tc>
                <w:tcPr>
                  <w:tcW w:w="3685" w:type="dxa"/>
                  <w:hideMark/>
                </w:tcPr>
                <w:p w:rsidR="00F36BA7" w:rsidRPr="00F36BA7" w:rsidRDefault="00F36BA7" w:rsidP="00412758">
                  <w:pPr>
                    <w:spacing w:after="0" w:line="240" w:lineRule="auto"/>
                    <w:cnfStyle w:val="000000000000"/>
                    <w:rPr>
                      <w:rFonts w:eastAsia="Times New Roman" w:cs="Arial"/>
                      <w:iCs/>
                      <w:color w:val="auto"/>
                      <w:sz w:val="18"/>
                      <w:szCs w:val="18"/>
                      <w:lang w:eastAsia="en-GB"/>
                    </w:rPr>
                  </w:pPr>
                  <w:r w:rsidRPr="00F36BA7">
                    <w:rPr>
                      <w:rFonts w:eastAsia="Times New Roman" w:cs="Arial"/>
                      <w:iCs/>
                      <w:color w:val="auto"/>
                      <w:sz w:val="18"/>
                      <w:szCs w:val="18"/>
                      <w:lang w:eastAsia="en-GB"/>
                    </w:rPr>
                    <w:t>Devon &amp; Somerset Fire &amp; Rescue Authority</w:t>
                  </w:r>
                </w:p>
              </w:tc>
              <w:tc>
                <w:tcPr>
                  <w:tcW w:w="846" w:type="dxa"/>
                  <w:noWrap/>
                  <w:hideMark/>
                </w:tcPr>
                <w:p w:rsidR="00F36BA7" w:rsidRPr="00F36BA7" w:rsidRDefault="00C550A9" w:rsidP="0067189C">
                  <w:pPr>
                    <w:spacing w:after="0" w:line="240" w:lineRule="auto"/>
                    <w:jc w:val="right"/>
                    <w:cnfStyle w:val="000000000000"/>
                    <w:rPr>
                      <w:rFonts w:eastAsia="Times New Roman" w:cs="Arial"/>
                      <w:b/>
                      <w:iCs/>
                      <w:color w:val="auto"/>
                      <w:sz w:val="18"/>
                      <w:szCs w:val="18"/>
                      <w:lang w:eastAsia="en-GB"/>
                    </w:rPr>
                  </w:pPr>
                  <w:r>
                    <w:rPr>
                      <w:rFonts w:eastAsia="Times New Roman" w:cs="Arial"/>
                      <w:b/>
                      <w:iCs/>
                      <w:color w:val="auto"/>
                      <w:sz w:val="18"/>
                      <w:szCs w:val="18"/>
                      <w:lang w:eastAsia="en-GB"/>
                    </w:rPr>
                    <w:t>(0.2)</w:t>
                  </w:r>
                </w:p>
              </w:tc>
              <w:tc>
                <w:tcPr>
                  <w:tcW w:w="855" w:type="dxa"/>
                  <w:noWrap/>
                  <w:hideMark/>
                </w:tcPr>
                <w:p w:rsidR="00F36BA7" w:rsidRPr="00F36BA7" w:rsidRDefault="00C550A9" w:rsidP="0067189C">
                  <w:pPr>
                    <w:spacing w:after="0" w:line="240" w:lineRule="auto"/>
                    <w:jc w:val="right"/>
                    <w:cnfStyle w:val="000000000000"/>
                    <w:rPr>
                      <w:rFonts w:eastAsia="Times New Roman" w:cs="Arial"/>
                      <w:b/>
                      <w:iCs/>
                      <w:color w:val="auto"/>
                      <w:sz w:val="18"/>
                      <w:szCs w:val="18"/>
                      <w:lang w:eastAsia="en-GB"/>
                    </w:rPr>
                  </w:pPr>
                  <w:r>
                    <w:rPr>
                      <w:rFonts w:eastAsia="Times New Roman" w:cs="Arial"/>
                      <w:b/>
                      <w:iCs/>
                      <w:color w:val="auto"/>
                      <w:sz w:val="18"/>
                      <w:szCs w:val="18"/>
                      <w:lang w:eastAsia="en-GB"/>
                    </w:rPr>
                    <w:t>0</w:t>
                  </w:r>
                </w:p>
              </w:tc>
              <w:tc>
                <w:tcPr>
                  <w:tcW w:w="851" w:type="dxa"/>
                  <w:noWrap/>
                  <w:hideMark/>
                </w:tcPr>
                <w:p w:rsidR="00F36BA7" w:rsidRPr="00F36BA7" w:rsidRDefault="00C550A9" w:rsidP="0067189C">
                  <w:pPr>
                    <w:spacing w:after="0" w:line="240" w:lineRule="auto"/>
                    <w:jc w:val="right"/>
                    <w:cnfStyle w:val="000000000000"/>
                    <w:rPr>
                      <w:rFonts w:eastAsia="Times New Roman" w:cs="Arial"/>
                      <w:b/>
                      <w:iCs/>
                      <w:color w:val="auto"/>
                      <w:sz w:val="18"/>
                      <w:szCs w:val="18"/>
                      <w:lang w:eastAsia="en-GB"/>
                    </w:rPr>
                  </w:pPr>
                  <w:r>
                    <w:rPr>
                      <w:rFonts w:eastAsia="Times New Roman" w:cs="Arial"/>
                      <w:b/>
                      <w:iCs/>
                      <w:color w:val="auto"/>
                      <w:sz w:val="18"/>
                      <w:szCs w:val="18"/>
                      <w:lang w:eastAsia="en-GB"/>
                    </w:rPr>
                    <w:t>(0.2)</w:t>
                  </w:r>
                </w:p>
              </w:tc>
            </w:tr>
            <w:tr w:rsidR="00F36BA7" w:rsidRPr="00F36BA7" w:rsidTr="00A414A8">
              <w:trPr>
                <w:cnfStyle w:val="000000100000"/>
                <w:trHeight w:val="255"/>
              </w:trPr>
              <w:tc>
                <w:tcPr>
                  <w:cnfStyle w:val="001000000000"/>
                  <w:tcW w:w="963" w:type="dxa"/>
                  <w:tcBorders>
                    <w:top w:val="none" w:sz="0" w:space="0" w:color="auto"/>
                    <w:bottom w:val="none" w:sz="0" w:space="0" w:color="auto"/>
                    <w:right w:val="none" w:sz="0" w:space="0" w:color="auto"/>
                  </w:tcBorders>
                  <w:noWrap/>
                  <w:hideMark/>
                </w:tcPr>
                <w:p w:rsidR="00F36BA7" w:rsidRPr="001A0F84" w:rsidRDefault="00F36BA7" w:rsidP="00051379">
                  <w:pPr>
                    <w:spacing w:after="0" w:line="240" w:lineRule="auto"/>
                    <w:jc w:val="right"/>
                    <w:rPr>
                      <w:rFonts w:eastAsia="Times New Roman" w:cs="Arial"/>
                      <w:b w:val="0"/>
                      <w:iCs/>
                      <w:color w:val="auto"/>
                      <w:sz w:val="18"/>
                      <w:szCs w:val="18"/>
                      <w:lang w:eastAsia="en-GB"/>
                    </w:rPr>
                  </w:pPr>
                  <w:r w:rsidRPr="001A0F84">
                    <w:rPr>
                      <w:rFonts w:eastAsia="Times New Roman" w:cs="Arial"/>
                      <w:b w:val="0"/>
                      <w:iCs/>
                      <w:color w:val="auto"/>
                      <w:sz w:val="18"/>
                      <w:szCs w:val="18"/>
                      <w:lang w:eastAsia="en-GB"/>
                    </w:rPr>
                    <w:t>0</w:t>
                  </w:r>
                </w:p>
              </w:tc>
              <w:tc>
                <w:tcPr>
                  <w:tcW w:w="709"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iCs/>
                      <w:color w:val="auto"/>
                      <w:sz w:val="18"/>
                      <w:szCs w:val="18"/>
                      <w:lang w:eastAsia="en-GB"/>
                    </w:rPr>
                  </w:pPr>
                  <w:r w:rsidRPr="001A0F84">
                    <w:rPr>
                      <w:rFonts w:eastAsia="Times New Roman" w:cs="Arial"/>
                      <w:iCs/>
                      <w:color w:val="auto"/>
                      <w:sz w:val="18"/>
                      <w:szCs w:val="18"/>
                      <w:lang w:eastAsia="en-GB"/>
                    </w:rPr>
                    <w:t>0.2</w:t>
                  </w:r>
                </w:p>
              </w:tc>
              <w:tc>
                <w:tcPr>
                  <w:tcW w:w="851" w:type="dxa"/>
                  <w:tcBorders>
                    <w:top w:val="none" w:sz="0" w:space="0" w:color="auto"/>
                    <w:bottom w:val="none" w:sz="0" w:space="0" w:color="auto"/>
                  </w:tcBorders>
                  <w:noWrap/>
                  <w:hideMark/>
                </w:tcPr>
                <w:p w:rsidR="00F36BA7" w:rsidRPr="001A0F84" w:rsidRDefault="00F36BA7" w:rsidP="00051379">
                  <w:pPr>
                    <w:spacing w:after="0" w:line="240" w:lineRule="auto"/>
                    <w:jc w:val="right"/>
                    <w:cnfStyle w:val="000000100000"/>
                    <w:rPr>
                      <w:rFonts w:eastAsia="Times New Roman" w:cs="Arial"/>
                      <w:iCs/>
                      <w:color w:val="auto"/>
                      <w:sz w:val="18"/>
                      <w:szCs w:val="18"/>
                      <w:lang w:eastAsia="en-GB"/>
                    </w:rPr>
                  </w:pPr>
                  <w:r w:rsidRPr="001A0F84">
                    <w:rPr>
                      <w:rFonts w:eastAsia="Times New Roman" w:cs="Arial"/>
                      <w:iCs/>
                      <w:color w:val="auto"/>
                      <w:sz w:val="18"/>
                      <w:szCs w:val="18"/>
                      <w:lang w:eastAsia="en-GB"/>
                    </w:rPr>
                    <w:t>0.2</w:t>
                  </w:r>
                </w:p>
              </w:tc>
              <w:tc>
                <w:tcPr>
                  <w:tcW w:w="3685" w:type="dxa"/>
                  <w:tcBorders>
                    <w:top w:val="none" w:sz="0" w:space="0" w:color="auto"/>
                    <w:bottom w:val="none" w:sz="0" w:space="0" w:color="auto"/>
                  </w:tcBorders>
                  <w:hideMark/>
                </w:tcPr>
                <w:p w:rsidR="00F36BA7" w:rsidRPr="00F36BA7" w:rsidRDefault="00F36BA7" w:rsidP="00412758">
                  <w:pPr>
                    <w:spacing w:after="0" w:line="240" w:lineRule="auto"/>
                    <w:cnfStyle w:val="000000100000"/>
                    <w:rPr>
                      <w:rFonts w:eastAsia="Times New Roman" w:cs="Arial"/>
                      <w:iCs/>
                      <w:color w:val="auto"/>
                      <w:sz w:val="18"/>
                      <w:szCs w:val="18"/>
                      <w:lang w:eastAsia="en-GB"/>
                    </w:rPr>
                  </w:pPr>
                  <w:r w:rsidRPr="00F36BA7">
                    <w:rPr>
                      <w:rFonts w:eastAsia="Times New Roman" w:cs="Arial"/>
                      <w:iCs/>
                      <w:color w:val="auto"/>
                      <w:sz w:val="18"/>
                      <w:szCs w:val="18"/>
                      <w:lang w:eastAsia="en-GB"/>
                    </w:rPr>
                    <w:t>Central Government</w:t>
                  </w:r>
                </w:p>
              </w:tc>
              <w:tc>
                <w:tcPr>
                  <w:tcW w:w="846"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b/>
                      <w:iCs/>
                      <w:color w:val="auto"/>
                      <w:sz w:val="18"/>
                      <w:szCs w:val="18"/>
                      <w:lang w:eastAsia="en-GB"/>
                    </w:rPr>
                  </w:pPr>
                  <w:r>
                    <w:rPr>
                      <w:rFonts w:eastAsia="Times New Roman" w:cs="Arial"/>
                      <w:b/>
                      <w:iCs/>
                      <w:color w:val="auto"/>
                      <w:sz w:val="18"/>
                      <w:szCs w:val="18"/>
                      <w:lang w:eastAsia="en-GB"/>
                    </w:rPr>
                    <w:t>0</w:t>
                  </w:r>
                </w:p>
              </w:tc>
              <w:tc>
                <w:tcPr>
                  <w:tcW w:w="855"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b/>
                      <w:iCs/>
                      <w:color w:val="auto"/>
                      <w:sz w:val="18"/>
                      <w:szCs w:val="18"/>
                      <w:lang w:eastAsia="en-GB"/>
                    </w:rPr>
                  </w:pPr>
                  <w:r>
                    <w:rPr>
                      <w:rFonts w:eastAsia="Times New Roman" w:cs="Arial"/>
                      <w:b/>
                      <w:iCs/>
                      <w:color w:val="auto"/>
                      <w:sz w:val="18"/>
                      <w:szCs w:val="18"/>
                      <w:lang w:eastAsia="en-GB"/>
                    </w:rPr>
                    <w:t>1.3</w:t>
                  </w:r>
                </w:p>
              </w:tc>
              <w:tc>
                <w:tcPr>
                  <w:tcW w:w="851" w:type="dxa"/>
                  <w:tcBorders>
                    <w:top w:val="none" w:sz="0" w:space="0" w:color="auto"/>
                    <w:bottom w:val="none" w:sz="0" w:space="0" w:color="auto"/>
                  </w:tcBorders>
                  <w:noWrap/>
                  <w:hideMark/>
                </w:tcPr>
                <w:p w:rsidR="00F36BA7" w:rsidRPr="00F36BA7" w:rsidRDefault="00C550A9" w:rsidP="0067189C">
                  <w:pPr>
                    <w:spacing w:after="0" w:line="240" w:lineRule="auto"/>
                    <w:jc w:val="right"/>
                    <w:cnfStyle w:val="000000100000"/>
                    <w:rPr>
                      <w:rFonts w:eastAsia="Times New Roman" w:cs="Arial"/>
                      <w:b/>
                      <w:iCs/>
                      <w:color w:val="auto"/>
                      <w:sz w:val="18"/>
                      <w:szCs w:val="18"/>
                      <w:lang w:eastAsia="en-GB"/>
                    </w:rPr>
                  </w:pPr>
                  <w:r>
                    <w:rPr>
                      <w:rFonts w:eastAsia="Times New Roman" w:cs="Arial"/>
                      <w:b/>
                      <w:iCs/>
                      <w:color w:val="auto"/>
                      <w:sz w:val="18"/>
                      <w:szCs w:val="18"/>
                      <w:lang w:eastAsia="en-GB"/>
                    </w:rPr>
                    <w:t>1.3</w:t>
                  </w:r>
                </w:p>
              </w:tc>
            </w:tr>
            <w:tr w:rsidR="00F36BA7" w:rsidRPr="00F36BA7" w:rsidTr="00A414A8">
              <w:trPr>
                <w:trHeight w:val="259"/>
              </w:trPr>
              <w:tc>
                <w:tcPr>
                  <w:cnfStyle w:val="001000000000"/>
                  <w:tcW w:w="963" w:type="dxa"/>
                  <w:tcBorders>
                    <w:bottom w:val="single" w:sz="4" w:space="0" w:color="4BACC6" w:themeColor="accent5"/>
                    <w:right w:val="none" w:sz="0" w:space="0" w:color="auto"/>
                  </w:tcBorders>
                  <w:noWrap/>
                  <w:hideMark/>
                </w:tcPr>
                <w:p w:rsidR="00F36BA7" w:rsidRPr="001A0F84" w:rsidRDefault="00F36BA7" w:rsidP="00051379">
                  <w:pPr>
                    <w:spacing w:after="0" w:line="240" w:lineRule="auto"/>
                    <w:jc w:val="right"/>
                    <w:rPr>
                      <w:rFonts w:eastAsia="Times New Roman" w:cs="Arial"/>
                      <w:color w:val="auto"/>
                      <w:sz w:val="18"/>
                      <w:szCs w:val="18"/>
                      <w:lang w:eastAsia="en-GB"/>
                    </w:rPr>
                  </w:pPr>
                  <w:r w:rsidRPr="001A0F84">
                    <w:rPr>
                      <w:rFonts w:eastAsia="Times New Roman" w:cs="Arial"/>
                      <w:color w:val="auto"/>
                      <w:sz w:val="18"/>
                      <w:szCs w:val="18"/>
                      <w:lang w:eastAsia="en-GB"/>
                    </w:rPr>
                    <w:t>(1.7)</w:t>
                  </w:r>
                </w:p>
              </w:tc>
              <w:tc>
                <w:tcPr>
                  <w:tcW w:w="709" w:type="dxa"/>
                  <w:tcBorders>
                    <w:bottom w:val="single" w:sz="4" w:space="0" w:color="4BACC6" w:themeColor="accent5"/>
                  </w:tcBorders>
                  <w:noWrap/>
                  <w:hideMark/>
                </w:tcPr>
                <w:p w:rsidR="00F36BA7" w:rsidRPr="001A0F84" w:rsidRDefault="00F36BA7" w:rsidP="00051379">
                  <w:pPr>
                    <w:spacing w:after="0" w:line="240" w:lineRule="auto"/>
                    <w:jc w:val="right"/>
                    <w:cnfStyle w:val="000000000000"/>
                    <w:rPr>
                      <w:rFonts w:eastAsia="Times New Roman" w:cs="Arial"/>
                      <w:b/>
                      <w:color w:val="auto"/>
                      <w:sz w:val="18"/>
                      <w:szCs w:val="18"/>
                      <w:lang w:eastAsia="en-GB"/>
                    </w:rPr>
                  </w:pPr>
                  <w:r w:rsidRPr="001A0F84">
                    <w:rPr>
                      <w:rFonts w:eastAsia="Times New Roman" w:cs="Arial"/>
                      <w:b/>
                      <w:color w:val="auto"/>
                      <w:sz w:val="18"/>
                      <w:szCs w:val="18"/>
                      <w:lang w:eastAsia="en-GB"/>
                    </w:rPr>
                    <w:t>0.1</w:t>
                  </w:r>
                </w:p>
              </w:tc>
              <w:tc>
                <w:tcPr>
                  <w:tcW w:w="851" w:type="dxa"/>
                  <w:tcBorders>
                    <w:bottom w:val="single" w:sz="4" w:space="0" w:color="4BACC6" w:themeColor="accent5"/>
                  </w:tcBorders>
                  <w:noWrap/>
                  <w:hideMark/>
                </w:tcPr>
                <w:p w:rsidR="00F36BA7" w:rsidRPr="001A0F84" w:rsidRDefault="00F36BA7" w:rsidP="00051379">
                  <w:pPr>
                    <w:spacing w:after="0" w:line="240" w:lineRule="auto"/>
                    <w:jc w:val="right"/>
                    <w:cnfStyle w:val="000000000000"/>
                    <w:rPr>
                      <w:rFonts w:eastAsia="Times New Roman" w:cs="Arial"/>
                      <w:b/>
                      <w:color w:val="auto"/>
                      <w:sz w:val="18"/>
                      <w:szCs w:val="18"/>
                      <w:lang w:eastAsia="en-GB"/>
                    </w:rPr>
                  </w:pPr>
                  <w:r w:rsidRPr="001A0F84">
                    <w:rPr>
                      <w:rFonts w:eastAsia="Times New Roman" w:cs="Arial"/>
                      <w:b/>
                      <w:color w:val="auto"/>
                      <w:sz w:val="18"/>
                      <w:szCs w:val="18"/>
                      <w:lang w:eastAsia="en-GB"/>
                    </w:rPr>
                    <w:t>(1.6)</w:t>
                  </w:r>
                </w:p>
              </w:tc>
              <w:tc>
                <w:tcPr>
                  <w:tcW w:w="3685" w:type="dxa"/>
                  <w:tcBorders>
                    <w:bottom w:val="single" w:sz="4" w:space="0" w:color="4BACC6" w:themeColor="accent5"/>
                  </w:tcBorders>
                  <w:hideMark/>
                </w:tcPr>
                <w:p w:rsidR="00F36BA7" w:rsidRPr="00F36BA7" w:rsidRDefault="00F36BA7" w:rsidP="00412758">
                  <w:pPr>
                    <w:spacing w:after="0" w:line="240" w:lineRule="auto"/>
                    <w:cnfStyle w:val="000000000000"/>
                    <w:rPr>
                      <w:rFonts w:eastAsia="Times New Roman" w:cs="Arial"/>
                      <w:color w:val="auto"/>
                      <w:sz w:val="18"/>
                      <w:szCs w:val="18"/>
                      <w:lang w:eastAsia="en-GB"/>
                    </w:rPr>
                  </w:pPr>
                  <w:r w:rsidRPr="00F36BA7">
                    <w:rPr>
                      <w:rFonts w:eastAsia="Times New Roman" w:cs="Arial"/>
                      <w:color w:val="auto"/>
                      <w:sz w:val="18"/>
                      <w:szCs w:val="18"/>
                      <w:lang w:eastAsia="en-GB"/>
                    </w:rPr>
                    <w:t>Torbay Council</w:t>
                  </w:r>
                </w:p>
              </w:tc>
              <w:tc>
                <w:tcPr>
                  <w:tcW w:w="846" w:type="dxa"/>
                  <w:tcBorders>
                    <w:bottom w:val="single" w:sz="4" w:space="0" w:color="4BACC6" w:themeColor="accent5"/>
                  </w:tcBorders>
                  <w:noWrap/>
                  <w:hideMark/>
                </w:tcPr>
                <w:p w:rsidR="00F36BA7" w:rsidRPr="00F36BA7" w:rsidRDefault="00C550A9" w:rsidP="00545296">
                  <w:pPr>
                    <w:spacing w:after="0" w:line="240" w:lineRule="auto"/>
                    <w:jc w:val="right"/>
                    <w:cnfStyle w:val="000000000000"/>
                    <w:rPr>
                      <w:rFonts w:eastAsia="Times New Roman" w:cs="Arial"/>
                      <w:b/>
                      <w:color w:val="auto"/>
                      <w:sz w:val="18"/>
                      <w:szCs w:val="18"/>
                      <w:lang w:eastAsia="en-GB"/>
                    </w:rPr>
                  </w:pPr>
                  <w:r>
                    <w:rPr>
                      <w:rFonts w:eastAsia="Times New Roman" w:cs="Arial"/>
                      <w:b/>
                      <w:color w:val="auto"/>
                      <w:sz w:val="18"/>
                      <w:szCs w:val="18"/>
                      <w:lang w:eastAsia="en-GB"/>
                    </w:rPr>
                    <w:t>(2.</w:t>
                  </w:r>
                  <w:r w:rsidR="00545296">
                    <w:rPr>
                      <w:rFonts w:eastAsia="Times New Roman" w:cs="Arial"/>
                      <w:b/>
                      <w:color w:val="auto"/>
                      <w:sz w:val="18"/>
                      <w:szCs w:val="18"/>
                      <w:lang w:eastAsia="en-GB"/>
                    </w:rPr>
                    <w:t>6</w:t>
                  </w:r>
                  <w:r>
                    <w:rPr>
                      <w:rFonts w:eastAsia="Times New Roman" w:cs="Arial"/>
                      <w:b/>
                      <w:color w:val="auto"/>
                      <w:sz w:val="18"/>
                      <w:szCs w:val="18"/>
                      <w:lang w:eastAsia="en-GB"/>
                    </w:rPr>
                    <w:t>)</w:t>
                  </w:r>
                </w:p>
              </w:tc>
              <w:tc>
                <w:tcPr>
                  <w:tcW w:w="855" w:type="dxa"/>
                  <w:tcBorders>
                    <w:bottom w:val="single" w:sz="4" w:space="0" w:color="4BACC6" w:themeColor="accent5"/>
                  </w:tcBorders>
                  <w:noWrap/>
                  <w:hideMark/>
                </w:tcPr>
                <w:p w:rsidR="00F36BA7" w:rsidRPr="00F36BA7" w:rsidRDefault="00C550A9" w:rsidP="0067189C">
                  <w:pPr>
                    <w:spacing w:after="0" w:line="240" w:lineRule="auto"/>
                    <w:jc w:val="right"/>
                    <w:cnfStyle w:val="000000000000"/>
                    <w:rPr>
                      <w:rFonts w:eastAsia="Times New Roman" w:cs="Arial"/>
                      <w:b/>
                      <w:color w:val="auto"/>
                      <w:sz w:val="18"/>
                      <w:szCs w:val="18"/>
                      <w:lang w:eastAsia="en-GB"/>
                    </w:rPr>
                  </w:pPr>
                  <w:r>
                    <w:rPr>
                      <w:rFonts w:eastAsia="Times New Roman" w:cs="Arial"/>
                      <w:b/>
                      <w:color w:val="auto"/>
                      <w:sz w:val="18"/>
                      <w:szCs w:val="18"/>
                      <w:lang w:eastAsia="en-GB"/>
                    </w:rPr>
                    <w:t>1.3</w:t>
                  </w:r>
                </w:p>
              </w:tc>
              <w:tc>
                <w:tcPr>
                  <w:tcW w:w="851" w:type="dxa"/>
                  <w:tcBorders>
                    <w:bottom w:val="single" w:sz="4" w:space="0" w:color="4BACC6" w:themeColor="accent5"/>
                  </w:tcBorders>
                  <w:noWrap/>
                  <w:hideMark/>
                </w:tcPr>
                <w:p w:rsidR="00F36BA7" w:rsidRPr="00F36BA7" w:rsidRDefault="00141909" w:rsidP="00001CBA">
                  <w:pPr>
                    <w:spacing w:after="0" w:line="240" w:lineRule="auto"/>
                    <w:jc w:val="right"/>
                    <w:cnfStyle w:val="000000000000"/>
                    <w:rPr>
                      <w:rFonts w:eastAsia="Times New Roman" w:cs="Arial"/>
                      <w:b/>
                      <w:color w:val="auto"/>
                      <w:sz w:val="18"/>
                      <w:szCs w:val="18"/>
                      <w:lang w:eastAsia="en-GB"/>
                    </w:rPr>
                  </w:pPr>
                  <w:r>
                    <w:rPr>
                      <w:rFonts w:eastAsia="Times New Roman" w:cs="Arial"/>
                      <w:b/>
                      <w:color w:val="auto"/>
                      <w:sz w:val="18"/>
                      <w:szCs w:val="18"/>
                      <w:lang w:eastAsia="en-GB"/>
                    </w:rPr>
                    <w:t>(</w:t>
                  </w:r>
                  <w:r w:rsidR="00C550A9">
                    <w:rPr>
                      <w:rFonts w:eastAsia="Times New Roman" w:cs="Arial"/>
                      <w:b/>
                      <w:color w:val="auto"/>
                      <w:sz w:val="18"/>
                      <w:szCs w:val="18"/>
                      <w:lang w:eastAsia="en-GB"/>
                    </w:rPr>
                    <w:t>1.3</w:t>
                  </w:r>
                  <w:r>
                    <w:rPr>
                      <w:rFonts w:eastAsia="Times New Roman" w:cs="Arial"/>
                      <w:b/>
                      <w:color w:val="auto"/>
                      <w:sz w:val="18"/>
                      <w:szCs w:val="18"/>
                      <w:lang w:eastAsia="en-GB"/>
                    </w:rPr>
                    <w:t>)</w:t>
                  </w:r>
                </w:p>
              </w:tc>
            </w:tr>
            <w:tr w:rsidR="00F36BA7" w:rsidRPr="00F36BA7" w:rsidTr="00C02AA5">
              <w:trPr>
                <w:cnfStyle w:val="000000100000"/>
                <w:trHeight w:val="259"/>
              </w:trPr>
              <w:tc>
                <w:tcPr>
                  <w:cnfStyle w:val="001000000000"/>
                  <w:tcW w:w="963" w:type="dxa"/>
                  <w:tcBorders>
                    <w:left w:val="single" w:sz="4" w:space="0" w:color="4BACC6" w:themeColor="accent5"/>
                    <w:right w:val="single" w:sz="4" w:space="0" w:color="4BACC6" w:themeColor="accent5"/>
                  </w:tcBorders>
                  <w:noWrap/>
                  <w:hideMark/>
                </w:tcPr>
                <w:p w:rsidR="00F36BA7" w:rsidRPr="001A0F84" w:rsidRDefault="00F36BA7" w:rsidP="00051379">
                  <w:pPr>
                    <w:spacing w:after="0" w:line="240" w:lineRule="auto"/>
                    <w:jc w:val="right"/>
                    <w:rPr>
                      <w:rFonts w:eastAsia="Times New Roman" w:cs="Arial"/>
                      <w:color w:val="auto"/>
                      <w:sz w:val="18"/>
                      <w:szCs w:val="18"/>
                      <w:lang w:eastAsia="en-GB"/>
                    </w:rPr>
                  </w:pPr>
                  <w:r w:rsidRPr="001A0F84">
                    <w:rPr>
                      <w:rFonts w:eastAsia="Times New Roman" w:cs="Arial"/>
                      <w:color w:val="auto"/>
                      <w:sz w:val="18"/>
                      <w:szCs w:val="18"/>
                      <w:lang w:eastAsia="en-GB"/>
                    </w:rPr>
                    <w:t>(2.0)</w:t>
                  </w:r>
                </w:p>
              </w:tc>
              <w:tc>
                <w:tcPr>
                  <w:tcW w:w="709" w:type="dxa"/>
                  <w:tcBorders>
                    <w:left w:val="single" w:sz="4" w:space="0" w:color="4BACC6" w:themeColor="accent5"/>
                    <w:right w:val="single" w:sz="4" w:space="0" w:color="4BACC6" w:themeColor="accent5"/>
                  </w:tcBorders>
                  <w:noWrap/>
                  <w:hideMark/>
                </w:tcPr>
                <w:p w:rsidR="00F36BA7" w:rsidRPr="001A0F84" w:rsidRDefault="00F36BA7" w:rsidP="00051379">
                  <w:pPr>
                    <w:spacing w:after="0" w:line="240" w:lineRule="auto"/>
                    <w:jc w:val="right"/>
                    <w:cnfStyle w:val="000000100000"/>
                    <w:rPr>
                      <w:rFonts w:eastAsia="Times New Roman" w:cs="Arial"/>
                      <w:b/>
                      <w:color w:val="auto"/>
                      <w:sz w:val="18"/>
                      <w:szCs w:val="18"/>
                      <w:lang w:eastAsia="en-GB"/>
                    </w:rPr>
                  </w:pPr>
                  <w:r w:rsidRPr="001A0F84">
                    <w:rPr>
                      <w:rFonts w:eastAsia="Times New Roman" w:cs="Arial"/>
                      <w:b/>
                      <w:color w:val="auto"/>
                      <w:sz w:val="18"/>
                      <w:szCs w:val="18"/>
                      <w:lang w:eastAsia="en-GB"/>
                    </w:rPr>
                    <w:t>0.3</w:t>
                  </w:r>
                </w:p>
              </w:tc>
              <w:tc>
                <w:tcPr>
                  <w:tcW w:w="851" w:type="dxa"/>
                  <w:tcBorders>
                    <w:left w:val="single" w:sz="4" w:space="0" w:color="4BACC6" w:themeColor="accent5"/>
                    <w:right w:val="single" w:sz="4" w:space="0" w:color="4BACC6" w:themeColor="accent5"/>
                  </w:tcBorders>
                  <w:noWrap/>
                  <w:hideMark/>
                </w:tcPr>
                <w:p w:rsidR="00F36BA7" w:rsidRPr="001A0F84" w:rsidRDefault="00F36BA7" w:rsidP="00051379">
                  <w:pPr>
                    <w:spacing w:after="0" w:line="240" w:lineRule="auto"/>
                    <w:jc w:val="right"/>
                    <w:cnfStyle w:val="000000100000"/>
                    <w:rPr>
                      <w:rFonts w:eastAsia="Times New Roman" w:cs="Arial"/>
                      <w:b/>
                      <w:color w:val="auto"/>
                      <w:sz w:val="18"/>
                      <w:szCs w:val="18"/>
                      <w:lang w:eastAsia="en-GB"/>
                    </w:rPr>
                  </w:pPr>
                  <w:r w:rsidRPr="001A0F84">
                    <w:rPr>
                      <w:rFonts w:eastAsia="Times New Roman" w:cs="Arial"/>
                      <w:b/>
                      <w:color w:val="auto"/>
                      <w:sz w:val="18"/>
                      <w:szCs w:val="18"/>
                      <w:lang w:eastAsia="en-GB"/>
                    </w:rPr>
                    <w:t>(1.7)</w:t>
                  </w:r>
                </w:p>
              </w:tc>
              <w:tc>
                <w:tcPr>
                  <w:tcW w:w="3685" w:type="dxa"/>
                  <w:tcBorders>
                    <w:left w:val="single" w:sz="4" w:space="0" w:color="4BACC6" w:themeColor="accent5"/>
                    <w:right w:val="single" w:sz="4" w:space="0" w:color="4BACC6" w:themeColor="accent5"/>
                  </w:tcBorders>
                  <w:hideMark/>
                </w:tcPr>
                <w:p w:rsidR="00F36BA7" w:rsidRPr="00F36BA7" w:rsidRDefault="00F36BA7" w:rsidP="00D1783E">
                  <w:pPr>
                    <w:spacing w:after="0" w:line="240" w:lineRule="auto"/>
                    <w:cnfStyle w:val="000000100000"/>
                    <w:rPr>
                      <w:rFonts w:eastAsia="Times New Roman" w:cs="Arial"/>
                      <w:b/>
                      <w:color w:val="auto"/>
                      <w:sz w:val="18"/>
                      <w:szCs w:val="18"/>
                      <w:lang w:eastAsia="en-GB"/>
                    </w:rPr>
                  </w:pPr>
                  <w:r w:rsidRPr="00F36BA7">
                    <w:rPr>
                      <w:rFonts w:eastAsia="Times New Roman" w:cs="Arial"/>
                      <w:b/>
                      <w:color w:val="auto"/>
                      <w:sz w:val="18"/>
                      <w:szCs w:val="18"/>
                      <w:lang w:eastAsia="en-GB"/>
                    </w:rPr>
                    <w:t>Balance carried forward at 31st March</w:t>
                  </w:r>
                </w:p>
              </w:tc>
              <w:tc>
                <w:tcPr>
                  <w:tcW w:w="846" w:type="dxa"/>
                  <w:tcBorders>
                    <w:left w:val="single" w:sz="4" w:space="0" w:color="4BACC6" w:themeColor="accent5"/>
                    <w:right w:val="single" w:sz="4" w:space="0" w:color="4BACC6" w:themeColor="accent5"/>
                  </w:tcBorders>
                  <w:noWrap/>
                  <w:hideMark/>
                </w:tcPr>
                <w:p w:rsidR="00F36BA7" w:rsidRPr="00F36BA7" w:rsidRDefault="00C550A9" w:rsidP="00545296">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(3.</w:t>
                  </w:r>
                  <w:r w:rsidR="00545296">
                    <w:rPr>
                      <w:rFonts w:eastAsia="Times New Roman" w:cs="Arial"/>
                      <w:b/>
                      <w:color w:val="auto"/>
                      <w:sz w:val="18"/>
                      <w:szCs w:val="18"/>
                      <w:lang w:eastAsia="en-GB"/>
                    </w:rPr>
                    <w:t>1</w:t>
                  </w:r>
                  <w:r>
                    <w:rPr>
                      <w:rFonts w:eastAsia="Times New Roman" w:cs="Arial"/>
                      <w:b/>
                      <w:color w:val="auto"/>
                      <w:sz w:val="18"/>
                      <w:szCs w:val="18"/>
                      <w:lang w:eastAsia="en-GB"/>
                    </w:rPr>
                    <w:t>)</w:t>
                  </w:r>
                </w:p>
              </w:tc>
              <w:tc>
                <w:tcPr>
                  <w:tcW w:w="855" w:type="dxa"/>
                  <w:tcBorders>
                    <w:left w:val="single" w:sz="4" w:space="0" w:color="4BACC6" w:themeColor="accent5"/>
                    <w:right w:val="single" w:sz="4" w:space="0" w:color="4BACC6" w:themeColor="accent5"/>
                  </w:tcBorders>
                  <w:noWrap/>
                  <w:hideMark/>
                </w:tcPr>
                <w:p w:rsidR="00F36BA7" w:rsidRPr="00F36BA7" w:rsidRDefault="00C550A9" w:rsidP="00BD4DEE">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2.6</w:t>
                  </w:r>
                </w:p>
              </w:tc>
              <w:tc>
                <w:tcPr>
                  <w:tcW w:w="851" w:type="dxa"/>
                  <w:tcBorders>
                    <w:left w:val="single" w:sz="4" w:space="0" w:color="4BACC6" w:themeColor="accent5"/>
                    <w:right w:val="single" w:sz="4" w:space="0" w:color="4BACC6" w:themeColor="accent5"/>
                  </w:tcBorders>
                  <w:noWrap/>
                  <w:hideMark/>
                </w:tcPr>
                <w:p w:rsidR="00F36BA7" w:rsidRPr="00F36BA7" w:rsidRDefault="00C550A9" w:rsidP="00545296">
                  <w:pPr>
                    <w:spacing w:after="0" w:line="240" w:lineRule="auto"/>
                    <w:jc w:val="right"/>
                    <w:cnfStyle w:val="000000100000"/>
                    <w:rPr>
                      <w:rFonts w:eastAsia="Times New Roman" w:cs="Arial"/>
                      <w:b/>
                      <w:color w:val="auto"/>
                      <w:sz w:val="18"/>
                      <w:szCs w:val="18"/>
                      <w:lang w:eastAsia="en-GB"/>
                    </w:rPr>
                  </w:pPr>
                  <w:r>
                    <w:rPr>
                      <w:rFonts w:eastAsia="Times New Roman" w:cs="Arial"/>
                      <w:b/>
                      <w:color w:val="auto"/>
                      <w:sz w:val="18"/>
                      <w:szCs w:val="18"/>
                      <w:lang w:eastAsia="en-GB"/>
                    </w:rPr>
                    <w:t>(0.</w:t>
                  </w:r>
                  <w:r w:rsidR="00545296">
                    <w:rPr>
                      <w:rFonts w:eastAsia="Times New Roman" w:cs="Arial"/>
                      <w:b/>
                      <w:color w:val="auto"/>
                      <w:sz w:val="18"/>
                      <w:szCs w:val="18"/>
                      <w:lang w:eastAsia="en-GB"/>
                    </w:rPr>
                    <w:t>5</w:t>
                  </w:r>
                  <w:r>
                    <w:rPr>
                      <w:rFonts w:eastAsia="Times New Roman" w:cs="Arial"/>
                      <w:b/>
                      <w:color w:val="auto"/>
                      <w:sz w:val="18"/>
                      <w:szCs w:val="18"/>
                      <w:lang w:eastAsia="en-GB"/>
                    </w:rPr>
                    <w:t>)</w:t>
                  </w:r>
                </w:p>
              </w:tc>
            </w:tr>
          </w:tbl>
          <w:p w:rsidR="00202DEC" w:rsidRPr="00F36BA7" w:rsidRDefault="00202DEC" w:rsidP="00087128">
            <w:pPr>
              <w:pStyle w:val="BodyTextIndent"/>
              <w:tabs>
                <w:tab w:val="left" w:pos="1350"/>
              </w:tabs>
              <w:ind w:left="0"/>
              <w:rPr>
                <w:color w:val="auto"/>
                <w:sz w:val="20"/>
                <w:szCs w:val="20"/>
              </w:rPr>
            </w:pPr>
          </w:p>
        </w:tc>
      </w:tr>
    </w:tbl>
    <w:p w:rsidR="00E51139" w:rsidRPr="00F36BA7" w:rsidRDefault="00E51139" w:rsidP="00C02AA5">
      <w:pPr>
        <w:pStyle w:val="BodyTextIndent"/>
        <w:tabs>
          <w:tab w:val="left" w:pos="1350"/>
        </w:tabs>
        <w:ind w:left="567"/>
        <w:rPr>
          <w:b/>
          <w:color w:val="auto"/>
          <w:sz w:val="20"/>
          <w:szCs w:val="20"/>
        </w:rPr>
      </w:pPr>
      <w:r w:rsidRPr="00F36BA7">
        <w:rPr>
          <w:b/>
          <w:color w:val="auto"/>
          <w:sz w:val="20"/>
          <w:szCs w:val="20"/>
        </w:rPr>
        <w:lastRenderedPageBreak/>
        <w:t>NOTES TO THE COLLECTION FUND SUMMARY ACCOUNT</w:t>
      </w:r>
    </w:p>
    <w:p w:rsidR="00CC4CEF" w:rsidRPr="00F36BA7" w:rsidRDefault="00E51139" w:rsidP="004500E8">
      <w:pPr>
        <w:pStyle w:val="BodyTextIndent"/>
        <w:tabs>
          <w:tab w:val="left" w:pos="1350"/>
        </w:tabs>
        <w:ind w:left="567"/>
        <w:rPr>
          <w:color w:val="auto"/>
          <w:sz w:val="20"/>
          <w:szCs w:val="20"/>
        </w:rPr>
      </w:pPr>
      <w:r w:rsidRPr="00F36BA7">
        <w:rPr>
          <w:color w:val="auto"/>
          <w:sz w:val="20"/>
          <w:szCs w:val="20"/>
        </w:rPr>
        <w:t>These notes represent the statutory requirement for a billing Council to maintain a separate Collection Fund.  The accounts are consolidated with the Council’s main accounts.</w:t>
      </w:r>
      <w:r w:rsidR="004500E8" w:rsidRPr="00F36BA7">
        <w:rPr>
          <w:color w:val="auto"/>
          <w:sz w:val="20"/>
          <w:szCs w:val="20"/>
        </w:rPr>
        <w:t xml:space="preserve"> </w:t>
      </w:r>
      <w:r w:rsidR="00CC4CEF" w:rsidRPr="00F36BA7">
        <w:rPr>
          <w:color w:val="auto"/>
          <w:sz w:val="20"/>
          <w:szCs w:val="20"/>
        </w:rPr>
        <w:t xml:space="preserve">In </w:t>
      </w:r>
      <w:r w:rsidR="004500E8" w:rsidRPr="00F36BA7">
        <w:rPr>
          <w:color w:val="auto"/>
          <w:sz w:val="20"/>
          <w:szCs w:val="20"/>
        </w:rPr>
        <w:t>its</w:t>
      </w:r>
      <w:r w:rsidR="00CC4CEF" w:rsidRPr="00F36BA7">
        <w:rPr>
          <w:color w:val="auto"/>
          <w:sz w:val="20"/>
          <w:szCs w:val="20"/>
        </w:rPr>
        <w:t xml:space="preserve"> Balance Sheet the Council includes the disaggregated amounts for the Major Precepting Bodies within its current assets and liabilities. The surplus attributable to Torbay Council has been treated as a credit on the Collection Fund Adjustment Account.  </w:t>
      </w:r>
    </w:p>
    <w:p w:rsidR="00CC4CEF" w:rsidRPr="00F36BA7" w:rsidRDefault="00CC4CEF" w:rsidP="00CC4CEF">
      <w:pPr>
        <w:pStyle w:val="examplebullet0"/>
        <w:spacing w:line="240" w:lineRule="atLeast"/>
        <w:ind w:left="567"/>
        <w:jc w:val="left"/>
        <w:rPr>
          <w:rFonts w:ascii="Arial" w:hAnsi="Arial"/>
          <w:sz w:val="20"/>
          <w:szCs w:val="20"/>
        </w:rPr>
      </w:pPr>
      <w:r w:rsidRPr="00F36BA7">
        <w:rPr>
          <w:rFonts w:ascii="Arial" w:hAnsi="Arial"/>
          <w:sz w:val="20"/>
          <w:szCs w:val="20"/>
        </w:rPr>
        <w:t>In addition to the statutory Collection Fund Statement, the Council in its Income &amp; Expenditure account now reflects, as income in year, its share, based on precepting values, of the year end Collection Fund position.  The Council on its balance sheet reflects its share of year end assets (arrears and impairment) and liabilities (prepayments) attributable to the Collection Fund.  The balance is shown in the accounts of the individual precepting bodies.</w:t>
      </w:r>
    </w:p>
    <w:p w:rsidR="0010203C" w:rsidRPr="00F36BA7" w:rsidRDefault="0010203C" w:rsidP="0010203C">
      <w:pPr>
        <w:pStyle w:val="BodyTextIndent"/>
        <w:tabs>
          <w:tab w:val="left" w:pos="709"/>
        </w:tabs>
        <w:ind w:left="567"/>
        <w:rPr>
          <w:color w:val="auto"/>
          <w:sz w:val="20"/>
          <w:szCs w:val="20"/>
        </w:rPr>
      </w:pPr>
      <w:r w:rsidRPr="00F36BA7">
        <w:rPr>
          <w:color w:val="auto"/>
          <w:sz w:val="20"/>
          <w:szCs w:val="20"/>
        </w:rPr>
        <w:t>Brixham Town Council, a local precepting authority, ‘precepts’ on Torbay Council as a billing authority to fund its activities, the precept for 201</w:t>
      </w:r>
      <w:r w:rsidR="00F36BA7" w:rsidRPr="00F36BA7">
        <w:rPr>
          <w:color w:val="auto"/>
          <w:sz w:val="20"/>
          <w:szCs w:val="20"/>
        </w:rPr>
        <w:t>5</w:t>
      </w:r>
      <w:r w:rsidRPr="00F36BA7">
        <w:rPr>
          <w:color w:val="auto"/>
          <w:sz w:val="20"/>
          <w:szCs w:val="20"/>
        </w:rPr>
        <w:t>/1</w:t>
      </w:r>
      <w:r w:rsidR="00F36BA7" w:rsidRPr="00F36BA7">
        <w:rPr>
          <w:color w:val="auto"/>
          <w:sz w:val="20"/>
          <w:szCs w:val="20"/>
        </w:rPr>
        <w:t>6</w:t>
      </w:r>
      <w:r w:rsidRPr="00F36BA7">
        <w:rPr>
          <w:color w:val="auto"/>
          <w:sz w:val="20"/>
          <w:szCs w:val="20"/>
        </w:rPr>
        <w:t xml:space="preserve"> was</w:t>
      </w:r>
      <w:r w:rsidRPr="00D42E0B">
        <w:rPr>
          <w:color w:val="548DD4" w:themeColor="text2" w:themeTint="99"/>
          <w:sz w:val="20"/>
          <w:szCs w:val="20"/>
        </w:rPr>
        <w:t xml:space="preserve"> </w:t>
      </w:r>
      <w:r w:rsidRPr="00B33EA7">
        <w:rPr>
          <w:color w:val="auto"/>
          <w:sz w:val="20"/>
          <w:szCs w:val="20"/>
        </w:rPr>
        <w:t>£0.</w:t>
      </w:r>
      <w:r w:rsidR="00B33EA7" w:rsidRPr="00B33EA7">
        <w:rPr>
          <w:color w:val="auto"/>
          <w:sz w:val="20"/>
          <w:szCs w:val="20"/>
        </w:rPr>
        <w:t>223</w:t>
      </w:r>
      <w:r w:rsidRPr="00B33EA7">
        <w:rPr>
          <w:color w:val="auto"/>
          <w:sz w:val="20"/>
          <w:szCs w:val="20"/>
        </w:rPr>
        <w:t>m</w:t>
      </w:r>
      <w:r w:rsidRPr="00D42E0B">
        <w:rPr>
          <w:color w:val="548DD4" w:themeColor="text2" w:themeTint="99"/>
          <w:sz w:val="20"/>
          <w:szCs w:val="20"/>
        </w:rPr>
        <w:t xml:space="preserve"> </w:t>
      </w:r>
      <w:r w:rsidRPr="00F36BA7">
        <w:rPr>
          <w:color w:val="auto"/>
          <w:sz w:val="20"/>
          <w:szCs w:val="20"/>
        </w:rPr>
        <w:t>(£0.1</w:t>
      </w:r>
      <w:r w:rsidR="00F36BA7" w:rsidRPr="00F36BA7">
        <w:rPr>
          <w:color w:val="auto"/>
          <w:sz w:val="20"/>
          <w:szCs w:val="20"/>
        </w:rPr>
        <w:t>94</w:t>
      </w:r>
      <w:r w:rsidRPr="00F36BA7">
        <w:rPr>
          <w:color w:val="auto"/>
          <w:sz w:val="20"/>
          <w:szCs w:val="20"/>
        </w:rPr>
        <w:t>m in 201</w:t>
      </w:r>
      <w:r w:rsidR="00F36BA7" w:rsidRPr="00F36BA7">
        <w:rPr>
          <w:color w:val="auto"/>
          <w:sz w:val="20"/>
          <w:szCs w:val="20"/>
        </w:rPr>
        <w:t>4</w:t>
      </w:r>
      <w:r w:rsidRPr="00F36BA7">
        <w:rPr>
          <w:color w:val="auto"/>
          <w:sz w:val="20"/>
          <w:szCs w:val="20"/>
        </w:rPr>
        <w:t>/1</w:t>
      </w:r>
      <w:r w:rsidR="00F36BA7" w:rsidRPr="00F36BA7">
        <w:rPr>
          <w:color w:val="auto"/>
          <w:sz w:val="20"/>
          <w:szCs w:val="20"/>
        </w:rPr>
        <w:t>5</w:t>
      </w:r>
      <w:r w:rsidRPr="00F36BA7">
        <w:rPr>
          <w:color w:val="auto"/>
          <w:sz w:val="20"/>
          <w:szCs w:val="20"/>
        </w:rPr>
        <w:t>) and is received from council taxpayers in the town council’s area.   This precept is included in Torbay Council’s demand on the collection fund.</w:t>
      </w:r>
    </w:p>
    <w:p w:rsidR="00A61992" w:rsidRPr="00D42E0B" w:rsidRDefault="00A61992" w:rsidP="00C02AA5">
      <w:pPr>
        <w:pStyle w:val="BodyTextIndent"/>
        <w:tabs>
          <w:tab w:val="left" w:pos="735"/>
        </w:tabs>
        <w:ind w:left="567" w:hanging="567"/>
        <w:rPr>
          <w:b/>
          <w:color w:val="548DD4" w:themeColor="text2" w:themeTint="99"/>
        </w:rPr>
      </w:pPr>
    </w:p>
    <w:p w:rsidR="00E51139" w:rsidRPr="00C969C6" w:rsidRDefault="00E51139" w:rsidP="00C02AA5">
      <w:pPr>
        <w:pStyle w:val="BodyTextIndent"/>
        <w:tabs>
          <w:tab w:val="left" w:pos="735"/>
        </w:tabs>
        <w:ind w:left="567" w:hanging="567"/>
        <w:rPr>
          <w:b/>
          <w:color w:val="auto"/>
        </w:rPr>
      </w:pPr>
      <w:r w:rsidRPr="00C969C6">
        <w:rPr>
          <w:b/>
          <w:color w:val="auto"/>
        </w:rPr>
        <w:t>A)</w:t>
      </w:r>
      <w:r w:rsidRPr="00C969C6">
        <w:rPr>
          <w:b/>
          <w:color w:val="auto"/>
        </w:rPr>
        <w:tab/>
        <w:t xml:space="preserve">Council Tax Base </w:t>
      </w:r>
      <w:r w:rsidR="00C02AA5" w:rsidRPr="00C969C6">
        <w:rPr>
          <w:b/>
          <w:color w:val="auto"/>
        </w:rPr>
        <w:t>201</w:t>
      </w:r>
      <w:r w:rsidR="00601D1B" w:rsidRPr="00C969C6">
        <w:rPr>
          <w:b/>
          <w:color w:val="auto"/>
        </w:rPr>
        <w:t>5</w:t>
      </w:r>
      <w:r w:rsidR="00C02AA5" w:rsidRPr="00C969C6">
        <w:rPr>
          <w:b/>
          <w:color w:val="auto"/>
        </w:rPr>
        <w:t>/1</w:t>
      </w:r>
      <w:r w:rsidR="00601D1B" w:rsidRPr="00C969C6">
        <w:rPr>
          <w:b/>
          <w:color w:val="auto"/>
        </w:rPr>
        <w:t>6</w:t>
      </w:r>
      <w:r w:rsidRPr="00C969C6">
        <w:rPr>
          <w:b/>
          <w:color w:val="auto"/>
        </w:rPr>
        <w:tab/>
      </w:r>
    </w:p>
    <w:p w:rsidR="00BC5180" w:rsidRPr="00C969C6" w:rsidRDefault="00BC5180" w:rsidP="00BC5180">
      <w:pPr>
        <w:pStyle w:val="BodyTextIndent"/>
        <w:tabs>
          <w:tab w:val="left" w:pos="567"/>
        </w:tabs>
        <w:ind w:left="567"/>
        <w:rPr>
          <w:color w:val="auto"/>
          <w:sz w:val="20"/>
          <w:szCs w:val="20"/>
        </w:rPr>
      </w:pPr>
      <w:r w:rsidRPr="00C969C6">
        <w:rPr>
          <w:rFonts w:eastAsia="Arial" w:cs="Arial"/>
          <w:color w:val="auto"/>
          <w:sz w:val="20"/>
          <w:szCs w:val="20"/>
          <w:lang w:eastAsia="en-GB"/>
        </w:rPr>
        <w:t>The number of dwellings Band D equivalent for 201</w:t>
      </w:r>
      <w:r w:rsidR="00C969C6" w:rsidRPr="00C969C6">
        <w:rPr>
          <w:rFonts w:eastAsia="Arial" w:cs="Arial"/>
          <w:color w:val="auto"/>
          <w:sz w:val="20"/>
          <w:szCs w:val="20"/>
          <w:lang w:eastAsia="en-GB"/>
        </w:rPr>
        <w:t>5</w:t>
      </w:r>
      <w:r w:rsidRPr="00C969C6">
        <w:rPr>
          <w:rFonts w:eastAsia="Arial" w:cs="Arial"/>
          <w:color w:val="auto"/>
          <w:sz w:val="20"/>
          <w:szCs w:val="20"/>
          <w:lang w:eastAsia="en-GB"/>
        </w:rPr>
        <w:t>/1</w:t>
      </w:r>
      <w:r w:rsidR="00C969C6" w:rsidRPr="00C969C6">
        <w:rPr>
          <w:rFonts w:eastAsia="Arial" w:cs="Arial"/>
          <w:color w:val="auto"/>
          <w:sz w:val="20"/>
          <w:szCs w:val="20"/>
          <w:lang w:eastAsia="en-GB"/>
        </w:rPr>
        <w:t>6</w:t>
      </w:r>
      <w:r w:rsidRPr="00C969C6">
        <w:rPr>
          <w:rFonts w:eastAsia="Arial" w:cs="Arial"/>
          <w:color w:val="auto"/>
          <w:sz w:val="20"/>
          <w:szCs w:val="20"/>
          <w:lang w:eastAsia="en-GB"/>
        </w:rPr>
        <w:t xml:space="preserve"> is required for the setting of the Council Tax. It is calculated prior to the start of the financial year by using the number of dwellings on the valuation list adjusted to set the number of chargeable dwellings per band. This is then adjusted for an appropriate level of reduced assessments (discounts) prior to the number of dwellings in each band</w:t>
      </w:r>
      <w:r w:rsidRPr="00C969C6">
        <w:rPr>
          <w:color w:val="auto"/>
          <w:sz w:val="20"/>
          <w:szCs w:val="20"/>
        </w:rPr>
        <w:t xml:space="preserve"> being put in a ratio compared to Band D.  For further details on this please see “Council Tax Base 201</w:t>
      </w:r>
      <w:r w:rsidR="00C969C6" w:rsidRPr="00C969C6">
        <w:rPr>
          <w:color w:val="auto"/>
          <w:sz w:val="20"/>
          <w:szCs w:val="20"/>
        </w:rPr>
        <w:t>5</w:t>
      </w:r>
      <w:r w:rsidRPr="00C969C6">
        <w:rPr>
          <w:color w:val="auto"/>
          <w:sz w:val="20"/>
          <w:szCs w:val="20"/>
        </w:rPr>
        <w:t>/1</w:t>
      </w:r>
      <w:r w:rsidR="00C969C6" w:rsidRPr="00C969C6">
        <w:rPr>
          <w:color w:val="auto"/>
          <w:sz w:val="20"/>
          <w:szCs w:val="20"/>
        </w:rPr>
        <w:t>6</w:t>
      </w:r>
      <w:r w:rsidRPr="00C969C6">
        <w:rPr>
          <w:color w:val="auto"/>
          <w:sz w:val="20"/>
          <w:szCs w:val="20"/>
        </w:rPr>
        <w:t>” report from the Council meeting in December 201</w:t>
      </w:r>
      <w:r w:rsidR="00C969C6" w:rsidRPr="00C969C6">
        <w:rPr>
          <w:color w:val="auto"/>
          <w:sz w:val="20"/>
          <w:szCs w:val="20"/>
        </w:rPr>
        <w:t>4</w:t>
      </w:r>
      <w:r w:rsidRPr="00C969C6">
        <w:rPr>
          <w:color w:val="auto"/>
          <w:sz w:val="20"/>
          <w:szCs w:val="20"/>
        </w:rPr>
        <w:t>.</w:t>
      </w:r>
    </w:p>
    <w:p w:rsidR="00E51139" w:rsidRDefault="00BC5180" w:rsidP="00C02AA5">
      <w:pPr>
        <w:pStyle w:val="BodyTextIndent"/>
        <w:tabs>
          <w:tab w:val="left" w:pos="735"/>
        </w:tabs>
        <w:ind w:left="567" w:hanging="567"/>
        <w:rPr>
          <w:color w:val="auto"/>
          <w:sz w:val="20"/>
          <w:szCs w:val="20"/>
        </w:rPr>
      </w:pPr>
      <w:r w:rsidRPr="00D42E0B">
        <w:rPr>
          <w:color w:val="548DD4" w:themeColor="text2" w:themeTint="99"/>
          <w:sz w:val="20"/>
          <w:szCs w:val="20"/>
        </w:rPr>
        <w:tab/>
      </w:r>
      <w:r w:rsidR="00E51139" w:rsidRPr="00601D1B">
        <w:rPr>
          <w:color w:val="auto"/>
          <w:sz w:val="20"/>
          <w:szCs w:val="20"/>
        </w:rPr>
        <w:t xml:space="preserve">For Council tax purposes the number of domestic properties in each band converted to a Band D equivalent for </w:t>
      </w:r>
      <w:r w:rsidR="00C02AA5" w:rsidRPr="00601D1B">
        <w:rPr>
          <w:b/>
          <w:color w:val="auto"/>
          <w:sz w:val="20"/>
          <w:szCs w:val="20"/>
        </w:rPr>
        <w:t>201</w:t>
      </w:r>
      <w:r w:rsidR="00601D1B">
        <w:rPr>
          <w:b/>
          <w:color w:val="auto"/>
          <w:sz w:val="20"/>
          <w:szCs w:val="20"/>
        </w:rPr>
        <w:t>5</w:t>
      </w:r>
      <w:r w:rsidR="00C02AA5" w:rsidRPr="00601D1B">
        <w:rPr>
          <w:b/>
          <w:color w:val="auto"/>
          <w:sz w:val="20"/>
          <w:szCs w:val="20"/>
        </w:rPr>
        <w:t>/</w:t>
      </w:r>
      <w:r w:rsidR="00C338FB" w:rsidRPr="00601D1B">
        <w:rPr>
          <w:b/>
          <w:color w:val="auto"/>
          <w:sz w:val="20"/>
          <w:szCs w:val="20"/>
        </w:rPr>
        <w:t>1</w:t>
      </w:r>
      <w:r w:rsidR="00601D1B">
        <w:rPr>
          <w:b/>
          <w:color w:val="auto"/>
          <w:sz w:val="20"/>
          <w:szCs w:val="20"/>
        </w:rPr>
        <w:t>6</w:t>
      </w:r>
      <w:r w:rsidR="00E51139" w:rsidRPr="00601D1B">
        <w:rPr>
          <w:color w:val="auto"/>
          <w:sz w:val="20"/>
          <w:szCs w:val="20"/>
        </w:rPr>
        <w:t xml:space="preserve"> was as follows:</w:t>
      </w: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Default="00F941E0" w:rsidP="00C02AA5">
      <w:pPr>
        <w:pStyle w:val="BodyTextIndent"/>
        <w:tabs>
          <w:tab w:val="left" w:pos="735"/>
        </w:tabs>
        <w:ind w:left="567" w:hanging="567"/>
        <w:rPr>
          <w:color w:val="auto"/>
          <w:sz w:val="20"/>
          <w:szCs w:val="20"/>
        </w:rPr>
      </w:pPr>
    </w:p>
    <w:p w:rsidR="00F941E0" w:rsidRPr="00601D1B" w:rsidRDefault="00F941E0" w:rsidP="00C02AA5">
      <w:pPr>
        <w:pStyle w:val="BodyTextIndent"/>
        <w:tabs>
          <w:tab w:val="left" w:pos="735"/>
        </w:tabs>
        <w:ind w:left="567" w:hanging="567"/>
        <w:rPr>
          <w:color w:val="auto"/>
          <w:sz w:val="20"/>
          <w:szCs w:val="20"/>
        </w:rPr>
      </w:pPr>
    </w:p>
    <w:p w:rsidR="009142A8" w:rsidRPr="00D42E0B" w:rsidRDefault="009142A8" w:rsidP="00C02AA5">
      <w:pPr>
        <w:pStyle w:val="BodyTextIndent"/>
        <w:tabs>
          <w:tab w:val="left" w:pos="735"/>
        </w:tabs>
        <w:ind w:left="567" w:hanging="567"/>
        <w:rPr>
          <w:color w:val="548DD4" w:themeColor="text2" w:themeTint="99"/>
          <w:sz w:val="20"/>
          <w:szCs w:val="20"/>
        </w:rPr>
      </w:pPr>
    </w:p>
    <w:tbl>
      <w:tblPr>
        <w:tblStyle w:val="ListTable3-Accent51"/>
        <w:tblW w:w="9630" w:type="dxa"/>
        <w:tblLayout w:type="fixed"/>
        <w:tblLook w:val="0000"/>
      </w:tblPr>
      <w:tblGrid>
        <w:gridCol w:w="1101"/>
        <w:gridCol w:w="992"/>
        <w:gridCol w:w="1159"/>
        <w:gridCol w:w="1254"/>
        <w:gridCol w:w="1272"/>
        <w:gridCol w:w="1159"/>
        <w:gridCol w:w="1244"/>
        <w:gridCol w:w="1449"/>
      </w:tblGrid>
      <w:tr w:rsidR="00F17C3C" w:rsidRPr="00601D1B" w:rsidTr="00D85DF8">
        <w:trPr>
          <w:cnfStyle w:val="000000100000"/>
          <w:trHeight w:val="291"/>
        </w:trPr>
        <w:tc>
          <w:tcPr>
            <w:cnfStyle w:val="000010000000"/>
            <w:tcW w:w="1101" w:type="dxa"/>
            <w:vMerge w:val="restart"/>
            <w:shd w:val="clear" w:color="auto" w:fill="4BACC6" w:themeFill="accent5"/>
          </w:tcPr>
          <w:p w:rsidR="00F17C3C" w:rsidRPr="00601D1B" w:rsidRDefault="00F17C3C" w:rsidP="004B68AE">
            <w:pPr>
              <w:pStyle w:val="BodyTextIndent"/>
              <w:tabs>
                <w:tab w:val="left" w:pos="1350"/>
              </w:tabs>
              <w:ind w:left="0"/>
              <w:jc w:val="center"/>
              <w:rPr>
                <w:color w:val="auto"/>
                <w:sz w:val="20"/>
                <w:szCs w:val="20"/>
              </w:rPr>
            </w:pPr>
            <w:r w:rsidRPr="00601D1B">
              <w:rPr>
                <w:color w:val="auto"/>
                <w:sz w:val="20"/>
                <w:szCs w:val="20"/>
              </w:rPr>
              <w:lastRenderedPageBreak/>
              <w:t>Valuation Band</w:t>
            </w:r>
          </w:p>
        </w:tc>
        <w:tc>
          <w:tcPr>
            <w:tcW w:w="992" w:type="dxa"/>
            <w:vMerge w:val="restart"/>
            <w:shd w:val="clear" w:color="auto" w:fill="4BACC6" w:themeFill="accent5"/>
          </w:tcPr>
          <w:p w:rsidR="00F17C3C" w:rsidRPr="00601D1B" w:rsidRDefault="00F17C3C" w:rsidP="004B68AE">
            <w:pPr>
              <w:pStyle w:val="BodyTextIndent"/>
              <w:tabs>
                <w:tab w:val="left" w:pos="1350"/>
              </w:tabs>
              <w:ind w:left="0"/>
              <w:jc w:val="center"/>
              <w:cnfStyle w:val="000000100000"/>
              <w:rPr>
                <w:b/>
                <w:color w:val="auto"/>
                <w:sz w:val="20"/>
                <w:szCs w:val="20"/>
              </w:rPr>
            </w:pPr>
            <w:r w:rsidRPr="00601D1B">
              <w:rPr>
                <w:color w:val="auto"/>
                <w:sz w:val="20"/>
                <w:szCs w:val="20"/>
              </w:rPr>
              <w:t>Ratio to Band D</w:t>
            </w:r>
          </w:p>
        </w:tc>
        <w:tc>
          <w:tcPr>
            <w:cnfStyle w:val="000010000000"/>
            <w:tcW w:w="3685" w:type="dxa"/>
            <w:gridSpan w:val="3"/>
            <w:shd w:val="clear" w:color="auto" w:fill="4BACC6" w:themeFill="accent5"/>
          </w:tcPr>
          <w:p w:rsidR="00F17C3C" w:rsidRPr="00601D1B" w:rsidRDefault="00F17C3C" w:rsidP="004B68AE">
            <w:pPr>
              <w:pStyle w:val="BodyTextIndent"/>
              <w:tabs>
                <w:tab w:val="left" w:pos="1350"/>
              </w:tabs>
              <w:ind w:left="0"/>
              <w:jc w:val="center"/>
              <w:rPr>
                <w:color w:val="auto"/>
                <w:sz w:val="20"/>
                <w:szCs w:val="20"/>
              </w:rPr>
            </w:pPr>
            <w:r w:rsidRPr="00601D1B">
              <w:rPr>
                <w:color w:val="auto"/>
                <w:sz w:val="20"/>
                <w:szCs w:val="20"/>
              </w:rPr>
              <w:t>Amount payable by all council tax payers</w:t>
            </w:r>
          </w:p>
        </w:tc>
        <w:tc>
          <w:tcPr>
            <w:tcW w:w="3852" w:type="dxa"/>
            <w:gridSpan w:val="3"/>
            <w:shd w:val="clear" w:color="auto" w:fill="4BACC6" w:themeFill="accent5"/>
          </w:tcPr>
          <w:p w:rsidR="00F17C3C" w:rsidRPr="00601D1B" w:rsidRDefault="00F17C3C" w:rsidP="004B68AE">
            <w:pPr>
              <w:pStyle w:val="BodyTextIndent"/>
              <w:tabs>
                <w:tab w:val="left" w:pos="1350"/>
              </w:tabs>
              <w:ind w:left="0"/>
              <w:jc w:val="center"/>
              <w:cnfStyle w:val="000000100000"/>
              <w:rPr>
                <w:color w:val="auto"/>
                <w:sz w:val="20"/>
                <w:szCs w:val="20"/>
              </w:rPr>
            </w:pPr>
            <w:r w:rsidRPr="00601D1B">
              <w:rPr>
                <w:color w:val="auto"/>
                <w:sz w:val="20"/>
                <w:szCs w:val="20"/>
              </w:rPr>
              <w:t>Additional amount payable by council tax payers resident in the Brixham Town Council area</w:t>
            </w:r>
          </w:p>
        </w:tc>
      </w:tr>
      <w:tr w:rsidR="00F17C3C" w:rsidRPr="00601D1B" w:rsidTr="00D85DF8">
        <w:trPr>
          <w:trHeight w:val="1235"/>
        </w:trPr>
        <w:tc>
          <w:tcPr>
            <w:cnfStyle w:val="000010000000"/>
            <w:tcW w:w="1101" w:type="dxa"/>
            <w:vMerge/>
            <w:shd w:val="clear" w:color="auto" w:fill="4BACC6" w:themeFill="accent5"/>
          </w:tcPr>
          <w:p w:rsidR="00F17C3C" w:rsidRPr="00601D1B" w:rsidRDefault="00F17C3C" w:rsidP="004B68AE">
            <w:pPr>
              <w:pStyle w:val="BodyTextIndent"/>
              <w:tabs>
                <w:tab w:val="left" w:pos="1350"/>
              </w:tabs>
              <w:ind w:left="0"/>
              <w:rPr>
                <w:b/>
                <w:color w:val="auto"/>
                <w:sz w:val="20"/>
                <w:szCs w:val="20"/>
              </w:rPr>
            </w:pPr>
          </w:p>
        </w:tc>
        <w:tc>
          <w:tcPr>
            <w:tcW w:w="992" w:type="dxa"/>
            <w:vMerge/>
            <w:shd w:val="clear" w:color="auto" w:fill="4BACC6" w:themeFill="accent5"/>
          </w:tcPr>
          <w:p w:rsidR="00F17C3C" w:rsidRPr="00601D1B" w:rsidRDefault="00F17C3C" w:rsidP="004B68AE">
            <w:pPr>
              <w:pStyle w:val="BodyTextIndent"/>
              <w:tabs>
                <w:tab w:val="left" w:pos="1350"/>
              </w:tabs>
              <w:ind w:left="0"/>
              <w:cnfStyle w:val="000000000000"/>
              <w:rPr>
                <w:b/>
                <w:color w:val="auto"/>
                <w:sz w:val="20"/>
                <w:szCs w:val="20"/>
              </w:rPr>
            </w:pPr>
          </w:p>
        </w:tc>
        <w:tc>
          <w:tcPr>
            <w:cnfStyle w:val="000010000000"/>
            <w:tcW w:w="1159" w:type="dxa"/>
            <w:shd w:val="clear" w:color="auto" w:fill="4BACC6" w:themeFill="accent5"/>
          </w:tcPr>
          <w:p w:rsidR="00F17C3C" w:rsidRPr="00601D1B" w:rsidRDefault="00F17C3C" w:rsidP="004B68AE">
            <w:pPr>
              <w:pStyle w:val="BodyTextIndent"/>
              <w:tabs>
                <w:tab w:val="left" w:pos="1350"/>
              </w:tabs>
              <w:ind w:left="0"/>
              <w:jc w:val="center"/>
              <w:rPr>
                <w:color w:val="auto"/>
                <w:sz w:val="20"/>
                <w:szCs w:val="20"/>
              </w:rPr>
            </w:pPr>
            <w:r w:rsidRPr="00601D1B">
              <w:rPr>
                <w:color w:val="auto"/>
                <w:sz w:val="20"/>
                <w:szCs w:val="20"/>
              </w:rPr>
              <w:t>No Dwellings in valuation list</w:t>
            </w:r>
          </w:p>
        </w:tc>
        <w:tc>
          <w:tcPr>
            <w:tcW w:w="1254" w:type="dxa"/>
            <w:shd w:val="clear" w:color="auto" w:fill="4BACC6" w:themeFill="accent5"/>
          </w:tcPr>
          <w:p w:rsidR="00F17C3C" w:rsidRPr="00601D1B" w:rsidRDefault="00F17C3C" w:rsidP="004B68AE">
            <w:pPr>
              <w:pStyle w:val="BodyTextIndent"/>
              <w:tabs>
                <w:tab w:val="left" w:pos="1350"/>
              </w:tabs>
              <w:ind w:left="0"/>
              <w:jc w:val="center"/>
              <w:cnfStyle w:val="000000000000"/>
              <w:rPr>
                <w:color w:val="auto"/>
                <w:sz w:val="20"/>
                <w:szCs w:val="20"/>
              </w:rPr>
            </w:pPr>
            <w:r w:rsidRPr="00601D1B">
              <w:rPr>
                <w:color w:val="auto"/>
                <w:sz w:val="20"/>
                <w:szCs w:val="20"/>
              </w:rPr>
              <w:t>No of Dwellings Band D Equivalent</w:t>
            </w:r>
          </w:p>
        </w:tc>
        <w:tc>
          <w:tcPr>
            <w:cnfStyle w:val="000010000000"/>
            <w:tcW w:w="1272" w:type="dxa"/>
            <w:shd w:val="clear" w:color="auto" w:fill="4BACC6" w:themeFill="accent5"/>
          </w:tcPr>
          <w:p w:rsidR="00F17C3C" w:rsidRPr="00601D1B" w:rsidRDefault="00F17C3C" w:rsidP="004B68AE">
            <w:pPr>
              <w:pStyle w:val="BodyTextIndent"/>
              <w:tabs>
                <w:tab w:val="left" w:pos="1350"/>
              </w:tabs>
              <w:ind w:left="0"/>
              <w:jc w:val="center"/>
              <w:rPr>
                <w:color w:val="auto"/>
                <w:sz w:val="20"/>
                <w:szCs w:val="20"/>
              </w:rPr>
            </w:pPr>
            <w:r w:rsidRPr="00601D1B">
              <w:rPr>
                <w:color w:val="auto"/>
                <w:sz w:val="20"/>
                <w:szCs w:val="20"/>
              </w:rPr>
              <w:t>Average Council Tax Per Dwelling £</w:t>
            </w:r>
          </w:p>
        </w:tc>
        <w:tc>
          <w:tcPr>
            <w:tcW w:w="1159" w:type="dxa"/>
            <w:shd w:val="clear" w:color="auto" w:fill="4BACC6" w:themeFill="accent5"/>
          </w:tcPr>
          <w:p w:rsidR="00F17C3C" w:rsidRPr="00601D1B" w:rsidRDefault="00F17C3C" w:rsidP="004B68AE">
            <w:pPr>
              <w:pStyle w:val="BodyTextIndent"/>
              <w:tabs>
                <w:tab w:val="left" w:pos="1350"/>
              </w:tabs>
              <w:ind w:left="0"/>
              <w:jc w:val="center"/>
              <w:cnfStyle w:val="000000000000"/>
              <w:rPr>
                <w:color w:val="auto"/>
                <w:sz w:val="20"/>
                <w:szCs w:val="20"/>
              </w:rPr>
            </w:pPr>
            <w:r w:rsidRPr="00601D1B">
              <w:rPr>
                <w:color w:val="auto"/>
                <w:sz w:val="20"/>
                <w:szCs w:val="20"/>
              </w:rPr>
              <w:t>No Dwellings in valuation list</w:t>
            </w:r>
          </w:p>
        </w:tc>
        <w:tc>
          <w:tcPr>
            <w:cnfStyle w:val="000010000000"/>
            <w:tcW w:w="1244" w:type="dxa"/>
            <w:shd w:val="clear" w:color="auto" w:fill="4BACC6" w:themeFill="accent5"/>
          </w:tcPr>
          <w:p w:rsidR="00F17C3C" w:rsidRPr="00601D1B" w:rsidRDefault="00F17C3C" w:rsidP="004B68AE">
            <w:pPr>
              <w:pStyle w:val="BodyTextIndent"/>
              <w:tabs>
                <w:tab w:val="left" w:pos="1350"/>
              </w:tabs>
              <w:ind w:left="0"/>
              <w:jc w:val="center"/>
              <w:rPr>
                <w:color w:val="auto"/>
                <w:sz w:val="20"/>
                <w:szCs w:val="20"/>
              </w:rPr>
            </w:pPr>
            <w:r w:rsidRPr="00601D1B">
              <w:rPr>
                <w:color w:val="auto"/>
                <w:sz w:val="20"/>
                <w:szCs w:val="20"/>
              </w:rPr>
              <w:t>No of Dwellings Band D Equivalent</w:t>
            </w:r>
          </w:p>
        </w:tc>
        <w:tc>
          <w:tcPr>
            <w:tcW w:w="1449" w:type="dxa"/>
            <w:shd w:val="clear" w:color="auto" w:fill="4BACC6" w:themeFill="accent5"/>
          </w:tcPr>
          <w:p w:rsidR="00F17C3C" w:rsidRPr="00601D1B" w:rsidRDefault="00F17C3C" w:rsidP="004B68AE">
            <w:pPr>
              <w:pStyle w:val="BodyTextIndent"/>
              <w:tabs>
                <w:tab w:val="left" w:pos="1350"/>
              </w:tabs>
              <w:ind w:left="0"/>
              <w:jc w:val="center"/>
              <w:cnfStyle w:val="000000000000"/>
              <w:rPr>
                <w:color w:val="auto"/>
                <w:sz w:val="20"/>
                <w:szCs w:val="20"/>
              </w:rPr>
            </w:pPr>
            <w:r w:rsidRPr="00601D1B">
              <w:rPr>
                <w:color w:val="auto"/>
                <w:sz w:val="20"/>
                <w:szCs w:val="20"/>
              </w:rPr>
              <w:t>Average Council Tax Per Dwelling £</w:t>
            </w:r>
          </w:p>
        </w:tc>
      </w:tr>
      <w:tr w:rsidR="00F17C3C" w:rsidRPr="00601D1B" w:rsidTr="00D85DF8">
        <w:trPr>
          <w:cnfStyle w:val="000000100000"/>
          <w:trHeight w:val="234"/>
        </w:trPr>
        <w:tc>
          <w:tcPr>
            <w:cnfStyle w:val="000010000000"/>
            <w:tcW w:w="1101" w:type="dxa"/>
          </w:tcPr>
          <w:p w:rsidR="00F17C3C" w:rsidRPr="00601D1B" w:rsidRDefault="00F17C3C" w:rsidP="004B68AE">
            <w:pPr>
              <w:pStyle w:val="BodyTextIndent"/>
              <w:tabs>
                <w:tab w:val="left" w:pos="1350"/>
              </w:tabs>
              <w:ind w:left="0"/>
              <w:jc w:val="center"/>
              <w:rPr>
                <w:rFonts w:cs="Arial"/>
                <w:color w:val="auto"/>
                <w:sz w:val="20"/>
                <w:szCs w:val="20"/>
              </w:rPr>
            </w:pPr>
            <w:r w:rsidRPr="00601D1B">
              <w:rPr>
                <w:rFonts w:cs="Arial"/>
                <w:color w:val="auto"/>
                <w:sz w:val="20"/>
                <w:szCs w:val="20"/>
              </w:rPr>
              <w:t>A</w:t>
            </w:r>
          </w:p>
        </w:tc>
        <w:tc>
          <w:tcPr>
            <w:tcW w:w="992" w:type="dxa"/>
          </w:tcPr>
          <w:p w:rsidR="00F17C3C" w:rsidRPr="00601D1B" w:rsidRDefault="00C969C6" w:rsidP="004B68AE">
            <w:pPr>
              <w:pStyle w:val="BodyTextIndent"/>
              <w:tabs>
                <w:tab w:val="left" w:pos="1350"/>
              </w:tabs>
              <w:ind w:left="0"/>
              <w:jc w:val="center"/>
              <w:cnfStyle w:val="000000100000"/>
              <w:rPr>
                <w:rFonts w:cs="Arial"/>
                <w:color w:val="auto"/>
                <w:sz w:val="20"/>
                <w:szCs w:val="20"/>
              </w:rPr>
            </w:pPr>
            <w:r>
              <w:rPr>
                <w:rFonts w:cs="Arial"/>
                <w:color w:val="auto"/>
                <w:sz w:val="20"/>
                <w:szCs w:val="20"/>
              </w:rPr>
              <w:t>6/9</w:t>
            </w:r>
          </w:p>
        </w:tc>
        <w:tc>
          <w:tcPr>
            <w:cnfStyle w:val="000010000000"/>
            <w:tcW w:w="1159" w:type="dxa"/>
          </w:tcPr>
          <w:p w:rsidR="00F17C3C" w:rsidRPr="00601D1B" w:rsidRDefault="00C969C6" w:rsidP="004B68AE">
            <w:pPr>
              <w:pStyle w:val="BodyTextIndent"/>
              <w:tabs>
                <w:tab w:val="left" w:pos="1350"/>
              </w:tabs>
              <w:ind w:left="0"/>
              <w:jc w:val="right"/>
              <w:rPr>
                <w:rFonts w:cs="Arial"/>
                <w:color w:val="auto"/>
                <w:sz w:val="20"/>
                <w:szCs w:val="20"/>
              </w:rPr>
            </w:pPr>
            <w:r>
              <w:rPr>
                <w:rFonts w:cs="Arial"/>
                <w:color w:val="auto"/>
                <w:sz w:val="20"/>
                <w:szCs w:val="20"/>
              </w:rPr>
              <w:t>13,384</w:t>
            </w:r>
          </w:p>
        </w:tc>
        <w:tc>
          <w:tcPr>
            <w:tcW w:w="1254" w:type="dxa"/>
          </w:tcPr>
          <w:p w:rsidR="00F17C3C" w:rsidRPr="00601D1B" w:rsidRDefault="00C969C6" w:rsidP="004B68AE">
            <w:pPr>
              <w:pStyle w:val="BodyTextIndent"/>
              <w:tabs>
                <w:tab w:val="left" w:pos="1350"/>
              </w:tabs>
              <w:ind w:left="331" w:hanging="331"/>
              <w:jc w:val="right"/>
              <w:cnfStyle w:val="000000100000"/>
              <w:rPr>
                <w:rFonts w:cs="Arial"/>
                <w:b/>
                <w:color w:val="auto"/>
                <w:sz w:val="20"/>
                <w:szCs w:val="20"/>
              </w:rPr>
            </w:pPr>
            <w:r>
              <w:rPr>
                <w:rFonts w:cs="Arial"/>
                <w:b/>
                <w:color w:val="auto"/>
                <w:sz w:val="20"/>
                <w:szCs w:val="20"/>
              </w:rPr>
              <w:t>4,881</w:t>
            </w:r>
          </w:p>
        </w:tc>
        <w:tc>
          <w:tcPr>
            <w:cnfStyle w:val="000010000000"/>
            <w:tcW w:w="1272" w:type="dxa"/>
          </w:tcPr>
          <w:p w:rsidR="00F17C3C" w:rsidRPr="00601D1B" w:rsidRDefault="00C969C6" w:rsidP="004B68AE">
            <w:pPr>
              <w:autoSpaceDE w:val="0"/>
              <w:autoSpaceDN w:val="0"/>
              <w:adjustRightInd w:val="0"/>
              <w:spacing w:after="0" w:line="240" w:lineRule="auto"/>
              <w:jc w:val="right"/>
              <w:rPr>
                <w:rFonts w:cs="Arial"/>
                <w:bCs/>
                <w:color w:val="auto"/>
                <w:sz w:val="20"/>
                <w:szCs w:val="20"/>
                <w:lang w:eastAsia="en-GB"/>
              </w:rPr>
            </w:pPr>
            <w:r>
              <w:rPr>
                <w:rFonts w:cs="Arial"/>
                <w:bCs/>
                <w:color w:val="auto"/>
                <w:sz w:val="20"/>
                <w:szCs w:val="20"/>
                <w:lang w:eastAsia="en-GB"/>
              </w:rPr>
              <w:t>1,006.04</w:t>
            </w:r>
          </w:p>
        </w:tc>
        <w:tc>
          <w:tcPr>
            <w:tcW w:w="1159" w:type="dxa"/>
          </w:tcPr>
          <w:p w:rsidR="00F17C3C" w:rsidRPr="00601D1B" w:rsidRDefault="00C969C6" w:rsidP="004B68AE">
            <w:pPr>
              <w:pStyle w:val="BodyTextIndent"/>
              <w:tabs>
                <w:tab w:val="left" w:pos="1350"/>
              </w:tabs>
              <w:ind w:left="0"/>
              <w:jc w:val="right"/>
              <w:cnfStyle w:val="000000100000"/>
              <w:rPr>
                <w:rFonts w:cs="Arial"/>
                <w:color w:val="auto"/>
                <w:sz w:val="20"/>
                <w:szCs w:val="20"/>
              </w:rPr>
            </w:pPr>
            <w:r>
              <w:rPr>
                <w:rFonts w:cs="Arial"/>
                <w:color w:val="auto"/>
                <w:sz w:val="20"/>
                <w:szCs w:val="20"/>
              </w:rPr>
              <w:t>1,404</w:t>
            </w: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514</w:t>
            </w:r>
          </w:p>
        </w:tc>
        <w:tc>
          <w:tcPr>
            <w:tcW w:w="1449" w:type="dxa"/>
          </w:tcPr>
          <w:p w:rsidR="00F17C3C" w:rsidRPr="00601D1B" w:rsidRDefault="00C969C6" w:rsidP="004B68AE">
            <w:pPr>
              <w:autoSpaceDE w:val="0"/>
              <w:autoSpaceDN w:val="0"/>
              <w:adjustRightInd w:val="0"/>
              <w:spacing w:after="0" w:line="240" w:lineRule="auto"/>
              <w:jc w:val="right"/>
              <w:cnfStyle w:val="000000100000"/>
              <w:rPr>
                <w:rFonts w:cs="Arial"/>
                <w:color w:val="auto"/>
                <w:sz w:val="20"/>
                <w:szCs w:val="20"/>
                <w:lang w:eastAsia="en-GB"/>
              </w:rPr>
            </w:pPr>
            <w:r>
              <w:rPr>
                <w:rFonts w:cs="Arial"/>
                <w:color w:val="auto"/>
                <w:sz w:val="20"/>
                <w:szCs w:val="20"/>
                <w:lang w:eastAsia="en-GB"/>
              </w:rPr>
              <w:t>26.00</w:t>
            </w:r>
          </w:p>
        </w:tc>
      </w:tr>
      <w:tr w:rsidR="00F17C3C" w:rsidRPr="00601D1B" w:rsidTr="00D85DF8">
        <w:trPr>
          <w:trHeight w:val="279"/>
        </w:trPr>
        <w:tc>
          <w:tcPr>
            <w:cnfStyle w:val="000010000000"/>
            <w:tcW w:w="1101" w:type="dxa"/>
          </w:tcPr>
          <w:p w:rsidR="00F17C3C" w:rsidRPr="00601D1B" w:rsidRDefault="00F17C3C" w:rsidP="004B68AE">
            <w:pPr>
              <w:pStyle w:val="BodyTextIndent"/>
              <w:tabs>
                <w:tab w:val="left" w:pos="1350"/>
              </w:tabs>
              <w:ind w:left="0"/>
              <w:jc w:val="center"/>
              <w:rPr>
                <w:rFonts w:cs="Arial"/>
                <w:color w:val="auto"/>
                <w:sz w:val="20"/>
                <w:szCs w:val="20"/>
              </w:rPr>
            </w:pPr>
            <w:r w:rsidRPr="00601D1B">
              <w:rPr>
                <w:rFonts w:cs="Arial"/>
                <w:color w:val="auto"/>
                <w:sz w:val="20"/>
                <w:szCs w:val="20"/>
              </w:rPr>
              <w:t>B</w:t>
            </w:r>
          </w:p>
        </w:tc>
        <w:tc>
          <w:tcPr>
            <w:tcW w:w="992" w:type="dxa"/>
          </w:tcPr>
          <w:p w:rsidR="00F17C3C" w:rsidRPr="00601D1B" w:rsidRDefault="00C969C6" w:rsidP="004B68AE">
            <w:pPr>
              <w:pStyle w:val="BodyTextIndent"/>
              <w:tabs>
                <w:tab w:val="left" w:pos="1350"/>
              </w:tabs>
              <w:ind w:left="0"/>
              <w:jc w:val="center"/>
              <w:cnfStyle w:val="000000000000"/>
              <w:rPr>
                <w:rFonts w:cs="Arial"/>
                <w:color w:val="auto"/>
                <w:sz w:val="20"/>
                <w:szCs w:val="20"/>
              </w:rPr>
            </w:pPr>
            <w:r>
              <w:rPr>
                <w:rFonts w:cs="Arial"/>
                <w:color w:val="auto"/>
                <w:sz w:val="20"/>
                <w:szCs w:val="20"/>
              </w:rPr>
              <w:t>7/9</w:t>
            </w:r>
          </w:p>
        </w:tc>
        <w:tc>
          <w:tcPr>
            <w:cnfStyle w:val="000010000000"/>
            <w:tcW w:w="1159" w:type="dxa"/>
          </w:tcPr>
          <w:p w:rsidR="00F17C3C" w:rsidRPr="00601D1B" w:rsidRDefault="00C969C6" w:rsidP="004B68AE">
            <w:pPr>
              <w:pStyle w:val="BodyTextIndent"/>
              <w:tabs>
                <w:tab w:val="left" w:pos="1350"/>
              </w:tabs>
              <w:ind w:left="0"/>
              <w:jc w:val="right"/>
              <w:rPr>
                <w:rFonts w:cs="Arial"/>
                <w:color w:val="auto"/>
                <w:sz w:val="20"/>
                <w:szCs w:val="20"/>
              </w:rPr>
            </w:pPr>
            <w:r>
              <w:rPr>
                <w:rFonts w:cs="Arial"/>
                <w:color w:val="auto"/>
                <w:sz w:val="20"/>
                <w:szCs w:val="20"/>
              </w:rPr>
              <w:t>17,376</w:t>
            </w:r>
          </w:p>
        </w:tc>
        <w:tc>
          <w:tcPr>
            <w:tcW w:w="1254" w:type="dxa"/>
          </w:tcPr>
          <w:p w:rsidR="00F17C3C" w:rsidRPr="00601D1B" w:rsidRDefault="00C969C6" w:rsidP="00D35653">
            <w:pPr>
              <w:pStyle w:val="BodyTextIndent"/>
              <w:tabs>
                <w:tab w:val="left" w:pos="1350"/>
              </w:tabs>
              <w:ind w:left="331" w:hanging="331"/>
              <w:jc w:val="right"/>
              <w:cnfStyle w:val="000000000000"/>
              <w:rPr>
                <w:rFonts w:cs="Arial"/>
                <w:b/>
                <w:color w:val="auto"/>
                <w:sz w:val="20"/>
                <w:szCs w:val="20"/>
              </w:rPr>
            </w:pPr>
            <w:r>
              <w:rPr>
                <w:rFonts w:cs="Arial"/>
                <w:b/>
                <w:color w:val="auto"/>
                <w:sz w:val="20"/>
                <w:szCs w:val="20"/>
              </w:rPr>
              <w:t>9,246</w:t>
            </w:r>
          </w:p>
        </w:tc>
        <w:tc>
          <w:tcPr>
            <w:cnfStyle w:val="000010000000"/>
            <w:tcW w:w="1272" w:type="dxa"/>
          </w:tcPr>
          <w:p w:rsidR="00F17C3C" w:rsidRPr="00601D1B" w:rsidRDefault="00C969C6" w:rsidP="004B68AE">
            <w:pPr>
              <w:autoSpaceDE w:val="0"/>
              <w:autoSpaceDN w:val="0"/>
              <w:adjustRightInd w:val="0"/>
              <w:spacing w:after="0" w:line="240" w:lineRule="auto"/>
              <w:jc w:val="right"/>
              <w:rPr>
                <w:rFonts w:cs="Arial"/>
                <w:bCs/>
                <w:color w:val="auto"/>
                <w:sz w:val="20"/>
                <w:szCs w:val="20"/>
                <w:lang w:eastAsia="en-GB"/>
              </w:rPr>
            </w:pPr>
            <w:r>
              <w:rPr>
                <w:rFonts w:cs="Arial"/>
                <w:bCs/>
                <w:color w:val="auto"/>
                <w:sz w:val="20"/>
                <w:szCs w:val="20"/>
                <w:lang w:eastAsia="en-GB"/>
              </w:rPr>
              <w:t>1,173.71</w:t>
            </w:r>
          </w:p>
        </w:tc>
        <w:tc>
          <w:tcPr>
            <w:tcW w:w="1159" w:type="dxa"/>
          </w:tcPr>
          <w:p w:rsidR="00F17C3C" w:rsidRPr="00601D1B" w:rsidRDefault="00C969C6" w:rsidP="004B68AE">
            <w:pPr>
              <w:pStyle w:val="BodyTextIndent"/>
              <w:tabs>
                <w:tab w:val="left" w:pos="1350"/>
              </w:tabs>
              <w:ind w:left="0"/>
              <w:jc w:val="right"/>
              <w:cnfStyle w:val="000000000000"/>
              <w:rPr>
                <w:rFonts w:cs="Arial"/>
                <w:color w:val="auto"/>
                <w:sz w:val="20"/>
                <w:szCs w:val="20"/>
              </w:rPr>
            </w:pPr>
            <w:r>
              <w:rPr>
                <w:rFonts w:cs="Arial"/>
                <w:color w:val="auto"/>
                <w:sz w:val="20"/>
                <w:szCs w:val="20"/>
              </w:rPr>
              <w:t>2,249</w:t>
            </w: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1,205</w:t>
            </w:r>
          </w:p>
        </w:tc>
        <w:tc>
          <w:tcPr>
            <w:tcW w:w="1449" w:type="dxa"/>
          </w:tcPr>
          <w:p w:rsidR="00F17C3C" w:rsidRPr="00601D1B" w:rsidRDefault="00C969C6" w:rsidP="004B68AE">
            <w:pPr>
              <w:autoSpaceDE w:val="0"/>
              <w:autoSpaceDN w:val="0"/>
              <w:adjustRightInd w:val="0"/>
              <w:spacing w:after="0" w:line="240" w:lineRule="auto"/>
              <w:jc w:val="right"/>
              <w:cnfStyle w:val="000000000000"/>
              <w:rPr>
                <w:rFonts w:cs="Arial"/>
                <w:color w:val="auto"/>
                <w:sz w:val="20"/>
                <w:szCs w:val="20"/>
                <w:lang w:eastAsia="en-GB"/>
              </w:rPr>
            </w:pPr>
            <w:r>
              <w:rPr>
                <w:rFonts w:cs="Arial"/>
                <w:color w:val="auto"/>
                <w:sz w:val="20"/>
                <w:szCs w:val="20"/>
                <w:lang w:eastAsia="en-GB"/>
              </w:rPr>
              <w:t>30.33</w:t>
            </w:r>
          </w:p>
        </w:tc>
      </w:tr>
      <w:tr w:rsidR="00F17C3C" w:rsidRPr="00601D1B" w:rsidTr="00D85DF8">
        <w:trPr>
          <w:cnfStyle w:val="000000100000"/>
          <w:trHeight w:val="270"/>
        </w:trPr>
        <w:tc>
          <w:tcPr>
            <w:cnfStyle w:val="000010000000"/>
            <w:tcW w:w="1101" w:type="dxa"/>
          </w:tcPr>
          <w:p w:rsidR="00F17C3C" w:rsidRPr="00601D1B" w:rsidRDefault="00F17C3C" w:rsidP="004B68AE">
            <w:pPr>
              <w:pStyle w:val="BodyTextIndent"/>
              <w:tabs>
                <w:tab w:val="left" w:pos="1350"/>
              </w:tabs>
              <w:ind w:left="0"/>
              <w:jc w:val="center"/>
              <w:rPr>
                <w:rFonts w:cs="Arial"/>
                <w:color w:val="auto"/>
                <w:sz w:val="20"/>
                <w:szCs w:val="20"/>
              </w:rPr>
            </w:pPr>
            <w:r w:rsidRPr="00601D1B">
              <w:rPr>
                <w:rFonts w:cs="Arial"/>
                <w:color w:val="auto"/>
                <w:sz w:val="20"/>
                <w:szCs w:val="20"/>
              </w:rPr>
              <w:t>C</w:t>
            </w:r>
          </w:p>
        </w:tc>
        <w:tc>
          <w:tcPr>
            <w:tcW w:w="992" w:type="dxa"/>
          </w:tcPr>
          <w:p w:rsidR="00F17C3C" w:rsidRPr="00601D1B" w:rsidRDefault="00C969C6" w:rsidP="004B68AE">
            <w:pPr>
              <w:pStyle w:val="BodyTextIndent"/>
              <w:tabs>
                <w:tab w:val="left" w:pos="1350"/>
              </w:tabs>
              <w:ind w:left="0"/>
              <w:jc w:val="center"/>
              <w:cnfStyle w:val="000000100000"/>
              <w:rPr>
                <w:rFonts w:cs="Arial"/>
                <w:color w:val="auto"/>
                <w:sz w:val="20"/>
                <w:szCs w:val="20"/>
              </w:rPr>
            </w:pPr>
            <w:r>
              <w:rPr>
                <w:rFonts w:cs="Arial"/>
                <w:color w:val="auto"/>
                <w:sz w:val="20"/>
                <w:szCs w:val="20"/>
              </w:rPr>
              <w:t>8/9</w:t>
            </w:r>
          </w:p>
        </w:tc>
        <w:tc>
          <w:tcPr>
            <w:cnfStyle w:val="000010000000"/>
            <w:tcW w:w="1159" w:type="dxa"/>
          </w:tcPr>
          <w:p w:rsidR="00F17C3C" w:rsidRPr="00601D1B" w:rsidRDefault="00C969C6" w:rsidP="004B68AE">
            <w:pPr>
              <w:pStyle w:val="BodyTextIndent"/>
              <w:tabs>
                <w:tab w:val="left" w:pos="1350"/>
              </w:tabs>
              <w:ind w:left="0"/>
              <w:jc w:val="right"/>
              <w:rPr>
                <w:rFonts w:cs="Arial"/>
                <w:color w:val="auto"/>
                <w:sz w:val="20"/>
                <w:szCs w:val="20"/>
              </w:rPr>
            </w:pPr>
            <w:r>
              <w:rPr>
                <w:rFonts w:cs="Arial"/>
                <w:color w:val="auto"/>
                <w:sz w:val="20"/>
                <w:szCs w:val="20"/>
              </w:rPr>
              <w:t>16,405</w:t>
            </w:r>
          </w:p>
        </w:tc>
        <w:tc>
          <w:tcPr>
            <w:tcW w:w="1254" w:type="dxa"/>
          </w:tcPr>
          <w:p w:rsidR="00F17C3C" w:rsidRPr="00601D1B" w:rsidRDefault="00C969C6" w:rsidP="004B68AE">
            <w:pPr>
              <w:pStyle w:val="BodyTextIndent"/>
              <w:tabs>
                <w:tab w:val="left" w:pos="1350"/>
              </w:tabs>
              <w:ind w:left="331" w:hanging="331"/>
              <w:jc w:val="right"/>
              <w:cnfStyle w:val="000000100000"/>
              <w:rPr>
                <w:rFonts w:cs="Arial"/>
                <w:b/>
                <w:color w:val="auto"/>
                <w:sz w:val="20"/>
                <w:szCs w:val="20"/>
              </w:rPr>
            </w:pPr>
            <w:r>
              <w:rPr>
                <w:rFonts w:cs="Arial"/>
                <w:b/>
                <w:color w:val="auto"/>
                <w:sz w:val="20"/>
                <w:szCs w:val="20"/>
              </w:rPr>
              <w:t>11,189</w:t>
            </w:r>
          </w:p>
        </w:tc>
        <w:tc>
          <w:tcPr>
            <w:cnfStyle w:val="000010000000"/>
            <w:tcW w:w="1272" w:type="dxa"/>
          </w:tcPr>
          <w:p w:rsidR="00F17C3C" w:rsidRPr="00601D1B" w:rsidRDefault="00C969C6" w:rsidP="004B68AE">
            <w:pPr>
              <w:autoSpaceDE w:val="0"/>
              <w:autoSpaceDN w:val="0"/>
              <w:adjustRightInd w:val="0"/>
              <w:spacing w:after="0" w:line="240" w:lineRule="auto"/>
              <w:jc w:val="right"/>
              <w:rPr>
                <w:rFonts w:cs="Arial"/>
                <w:bCs/>
                <w:color w:val="auto"/>
                <w:sz w:val="20"/>
                <w:szCs w:val="20"/>
                <w:lang w:eastAsia="en-GB"/>
              </w:rPr>
            </w:pPr>
            <w:r>
              <w:rPr>
                <w:rFonts w:cs="Arial"/>
                <w:bCs/>
                <w:color w:val="auto"/>
                <w:sz w:val="20"/>
                <w:szCs w:val="20"/>
                <w:lang w:eastAsia="en-GB"/>
              </w:rPr>
              <w:t>1,341.39</w:t>
            </w:r>
          </w:p>
        </w:tc>
        <w:tc>
          <w:tcPr>
            <w:tcW w:w="1159" w:type="dxa"/>
          </w:tcPr>
          <w:p w:rsidR="00F17C3C" w:rsidRPr="00601D1B" w:rsidRDefault="00C969C6" w:rsidP="004B68AE">
            <w:pPr>
              <w:pStyle w:val="BodyTextIndent"/>
              <w:tabs>
                <w:tab w:val="left" w:pos="1350"/>
              </w:tabs>
              <w:ind w:left="0"/>
              <w:jc w:val="right"/>
              <w:cnfStyle w:val="000000100000"/>
              <w:rPr>
                <w:rFonts w:cs="Arial"/>
                <w:color w:val="auto"/>
                <w:sz w:val="20"/>
                <w:szCs w:val="20"/>
              </w:rPr>
            </w:pPr>
            <w:r>
              <w:rPr>
                <w:rFonts w:cs="Arial"/>
                <w:color w:val="auto"/>
                <w:sz w:val="20"/>
                <w:szCs w:val="20"/>
              </w:rPr>
              <w:t>2,462</w:t>
            </w: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1,677</w:t>
            </w:r>
          </w:p>
        </w:tc>
        <w:tc>
          <w:tcPr>
            <w:tcW w:w="1449" w:type="dxa"/>
          </w:tcPr>
          <w:p w:rsidR="00F17C3C" w:rsidRPr="00601D1B" w:rsidRDefault="00C969C6" w:rsidP="004B68AE">
            <w:pPr>
              <w:autoSpaceDE w:val="0"/>
              <w:autoSpaceDN w:val="0"/>
              <w:adjustRightInd w:val="0"/>
              <w:spacing w:after="0" w:line="240" w:lineRule="auto"/>
              <w:jc w:val="right"/>
              <w:cnfStyle w:val="000000100000"/>
              <w:rPr>
                <w:rFonts w:cs="Arial"/>
                <w:color w:val="auto"/>
                <w:sz w:val="20"/>
                <w:szCs w:val="20"/>
                <w:lang w:eastAsia="en-GB"/>
              </w:rPr>
            </w:pPr>
            <w:r>
              <w:rPr>
                <w:rFonts w:cs="Arial"/>
                <w:color w:val="auto"/>
                <w:sz w:val="20"/>
                <w:szCs w:val="20"/>
                <w:lang w:eastAsia="en-GB"/>
              </w:rPr>
              <w:t>34.67</w:t>
            </w:r>
          </w:p>
        </w:tc>
      </w:tr>
      <w:tr w:rsidR="00F17C3C" w:rsidRPr="00601D1B" w:rsidTr="00D85DF8">
        <w:trPr>
          <w:trHeight w:val="270"/>
        </w:trPr>
        <w:tc>
          <w:tcPr>
            <w:cnfStyle w:val="000010000000"/>
            <w:tcW w:w="1101" w:type="dxa"/>
          </w:tcPr>
          <w:p w:rsidR="00F17C3C" w:rsidRPr="00601D1B" w:rsidRDefault="00F17C3C" w:rsidP="004B68AE">
            <w:pPr>
              <w:pStyle w:val="BodyTextIndent"/>
              <w:tabs>
                <w:tab w:val="left" w:pos="1350"/>
              </w:tabs>
              <w:ind w:left="0"/>
              <w:jc w:val="center"/>
              <w:rPr>
                <w:rFonts w:cs="Arial"/>
                <w:color w:val="auto"/>
                <w:sz w:val="20"/>
                <w:szCs w:val="20"/>
              </w:rPr>
            </w:pPr>
            <w:r w:rsidRPr="00601D1B">
              <w:rPr>
                <w:rFonts w:cs="Arial"/>
                <w:color w:val="auto"/>
                <w:sz w:val="20"/>
                <w:szCs w:val="20"/>
              </w:rPr>
              <w:t>D</w:t>
            </w:r>
          </w:p>
        </w:tc>
        <w:tc>
          <w:tcPr>
            <w:tcW w:w="992" w:type="dxa"/>
          </w:tcPr>
          <w:p w:rsidR="00F17C3C" w:rsidRPr="00601D1B" w:rsidRDefault="00C969C6" w:rsidP="004B68AE">
            <w:pPr>
              <w:pStyle w:val="BodyTextIndent"/>
              <w:tabs>
                <w:tab w:val="left" w:pos="1350"/>
              </w:tabs>
              <w:ind w:left="0"/>
              <w:jc w:val="center"/>
              <w:cnfStyle w:val="000000000000"/>
              <w:rPr>
                <w:rFonts w:cs="Arial"/>
                <w:color w:val="auto"/>
                <w:sz w:val="20"/>
                <w:szCs w:val="20"/>
              </w:rPr>
            </w:pPr>
            <w:r>
              <w:rPr>
                <w:rFonts w:cs="Arial"/>
                <w:color w:val="auto"/>
                <w:sz w:val="20"/>
                <w:szCs w:val="20"/>
              </w:rPr>
              <w:t>1</w:t>
            </w:r>
          </w:p>
        </w:tc>
        <w:tc>
          <w:tcPr>
            <w:cnfStyle w:val="000010000000"/>
            <w:tcW w:w="1159" w:type="dxa"/>
          </w:tcPr>
          <w:p w:rsidR="00F17C3C" w:rsidRPr="00601D1B" w:rsidRDefault="00C969C6" w:rsidP="004B68AE">
            <w:pPr>
              <w:pStyle w:val="BodyTextIndent"/>
              <w:tabs>
                <w:tab w:val="left" w:pos="1350"/>
              </w:tabs>
              <w:ind w:left="0"/>
              <w:jc w:val="right"/>
              <w:rPr>
                <w:rFonts w:cs="Arial"/>
                <w:color w:val="auto"/>
                <w:sz w:val="20"/>
                <w:szCs w:val="20"/>
              </w:rPr>
            </w:pPr>
            <w:r>
              <w:rPr>
                <w:rFonts w:cs="Arial"/>
                <w:color w:val="auto"/>
                <w:sz w:val="20"/>
                <w:szCs w:val="20"/>
              </w:rPr>
              <w:t>9,973</w:t>
            </w:r>
          </w:p>
        </w:tc>
        <w:tc>
          <w:tcPr>
            <w:tcW w:w="1254" w:type="dxa"/>
          </w:tcPr>
          <w:p w:rsidR="00F17C3C" w:rsidRPr="00601D1B" w:rsidRDefault="00C969C6" w:rsidP="004B68AE">
            <w:pPr>
              <w:pStyle w:val="BodyTextIndent"/>
              <w:tabs>
                <w:tab w:val="left" w:pos="1350"/>
              </w:tabs>
              <w:ind w:left="331" w:hanging="331"/>
              <w:jc w:val="right"/>
              <w:cnfStyle w:val="000000000000"/>
              <w:rPr>
                <w:rFonts w:cs="Arial"/>
                <w:b/>
                <w:color w:val="auto"/>
                <w:sz w:val="20"/>
                <w:szCs w:val="20"/>
              </w:rPr>
            </w:pPr>
            <w:r>
              <w:rPr>
                <w:rFonts w:cs="Arial"/>
                <w:b/>
                <w:color w:val="auto"/>
                <w:sz w:val="20"/>
                <w:szCs w:val="20"/>
              </w:rPr>
              <w:t>8,458</w:t>
            </w:r>
          </w:p>
        </w:tc>
        <w:tc>
          <w:tcPr>
            <w:cnfStyle w:val="000010000000"/>
            <w:tcW w:w="1272" w:type="dxa"/>
          </w:tcPr>
          <w:p w:rsidR="00F17C3C" w:rsidRPr="00601D1B" w:rsidRDefault="00C969C6" w:rsidP="004B68AE">
            <w:pPr>
              <w:autoSpaceDE w:val="0"/>
              <w:autoSpaceDN w:val="0"/>
              <w:adjustRightInd w:val="0"/>
              <w:spacing w:after="0" w:line="240" w:lineRule="auto"/>
              <w:jc w:val="right"/>
              <w:rPr>
                <w:rFonts w:cs="Arial"/>
                <w:bCs/>
                <w:color w:val="auto"/>
                <w:sz w:val="20"/>
                <w:szCs w:val="20"/>
                <w:lang w:eastAsia="en-GB"/>
              </w:rPr>
            </w:pPr>
            <w:r>
              <w:rPr>
                <w:rFonts w:cs="Arial"/>
                <w:bCs/>
                <w:color w:val="auto"/>
                <w:sz w:val="20"/>
                <w:szCs w:val="20"/>
                <w:lang w:eastAsia="en-GB"/>
              </w:rPr>
              <w:t>1,509.06</w:t>
            </w:r>
          </w:p>
        </w:tc>
        <w:tc>
          <w:tcPr>
            <w:tcW w:w="1159" w:type="dxa"/>
          </w:tcPr>
          <w:p w:rsidR="00F17C3C" w:rsidRPr="00601D1B" w:rsidRDefault="00C969C6" w:rsidP="004B68AE">
            <w:pPr>
              <w:pStyle w:val="BodyTextIndent"/>
              <w:tabs>
                <w:tab w:val="left" w:pos="1350"/>
              </w:tabs>
              <w:ind w:left="0"/>
              <w:jc w:val="right"/>
              <w:cnfStyle w:val="000000000000"/>
              <w:rPr>
                <w:rFonts w:cs="Arial"/>
                <w:color w:val="auto"/>
                <w:sz w:val="20"/>
                <w:szCs w:val="20"/>
              </w:rPr>
            </w:pPr>
            <w:r>
              <w:rPr>
                <w:rFonts w:cs="Arial"/>
                <w:color w:val="auto"/>
                <w:sz w:val="20"/>
                <w:szCs w:val="20"/>
              </w:rPr>
              <w:t>1,546</w:t>
            </w: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1,315</w:t>
            </w:r>
          </w:p>
        </w:tc>
        <w:tc>
          <w:tcPr>
            <w:tcW w:w="1449" w:type="dxa"/>
          </w:tcPr>
          <w:p w:rsidR="00F17C3C" w:rsidRPr="00601D1B" w:rsidRDefault="00C969C6" w:rsidP="004B68AE">
            <w:pPr>
              <w:autoSpaceDE w:val="0"/>
              <w:autoSpaceDN w:val="0"/>
              <w:adjustRightInd w:val="0"/>
              <w:spacing w:after="0" w:line="240" w:lineRule="auto"/>
              <w:jc w:val="right"/>
              <w:cnfStyle w:val="000000000000"/>
              <w:rPr>
                <w:rFonts w:cs="Arial"/>
                <w:color w:val="auto"/>
                <w:sz w:val="20"/>
                <w:szCs w:val="20"/>
                <w:lang w:eastAsia="en-GB"/>
              </w:rPr>
            </w:pPr>
            <w:r>
              <w:rPr>
                <w:rFonts w:cs="Arial"/>
                <w:color w:val="auto"/>
                <w:sz w:val="20"/>
                <w:szCs w:val="20"/>
                <w:lang w:eastAsia="en-GB"/>
              </w:rPr>
              <w:t>39.00</w:t>
            </w:r>
          </w:p>
        </w:tc>
      </w:tr>
      <w:tr w:rsidR="00F17C3C" w:rsidRPr="00601D1B" w:rsidTr="00D85DF8">
        <w:trPr>
          <w:cnfStyle w:val="000000100000"/>
          <w:trHeight w:val="270"/>
        </w:trPr>
        <w:tc>
          <w:tcPr>
            <w:cnfStyle w:val="000010000000"/>
            <w:tcW w:w="1101" w:type="dxa"/>
          </w:tcPr>
          <w:p w:rsidR="00F17C3C" w:rsidRPr="00601D1B" w:rsidRDefault="00F17C3C" w:rsidP="004B68AE">
            <w:pPr>
              <w:pStyle w:val="BodyTextIndent"/>
              <w:tabs>
                <w:tab w:val="left" w:pos="1350"/>
              </w:tabs>
              <w:ind w:left="0"/>
              <w:jc w:val="center"/>
              <w:rPr>
                <w:rFonts w:cs="Arial"/>
                <w:color w:val="auto"/>
                <w:sz w:val="20"/>
                <w:szCs w:val="20"/>
              </w:rPr>
            </w:pPr>
            <w:r w:rsidRPr="00601D1B">
              <w:rPr>
                <w:rFonts w:cs="Arial"/>
                <w:color w:val="auto"/>
                <w:sz w:val="20"/>
                <w:szCs w:val="20"/>
              </w:rPr>
              <w:t>E</w:t>
            </w:r>
          </w:p>
        </w:tc>
        <w:tc>
          <w:tcPr>
            <w:tcW w:w="992" w:type="dxa"/>
          </w:tcPr>
          <w:p w:rsidR="00F17C3C" w:rsidRPr="00601D1B" w:rsidRDefault="00C969C6" w:rsidP="004B68AE">
            <w:pPr>
              <w:pStyle w:val="BodyTextIndent"/>
              <w:tabs>
                <w:tab w:val="left" w:pos="1350"/>
              </w:tabs>
              <w:ind w:left="0"/>
              <w:jc w:val="center"/>
              <w:cnfStyle w:val="000000100000"/>
              <w:rPr>
                <w:rFonts w:cs="Arial"/>
                <w:color w:val="auto"/>
                <w:sz w:val="20"/>
                <w:szCs w:val="20"/>
              </w:rPr>
            </w:pPr>
            <w:r>
              <w:rPr>
                <w:rFonts w:cs="Arial"/>
                <w:color w:val="auto"/>
                <w:sz w:val="20"/>
                <w:szCs w:val="20"/>
              </w:rPr>
              <w:t>11/9</w:t>
            </w:r>
          </w:p>
        </w:tc>
        <w:tc>
          <w:tcPr>
            <w:cnfStyle w:val="000010000000"/>
            <w:tcW w:w="1159" w:type="dxa"/>
          </w:tcPr>
          <w:p w:rsidR="00F17C3C" w:rsidRPr="00601D1B" w:rsidRDefault="00C969C6" w:rsidP="004B68AE">
            <w:pPr>
              <w:pStyle w:val="BodyTextIndent"/>
              <w:tabs>
                <w:tab w:val="left" w:pos="1350"/>
              </w:tabs>
              <w:ind w:left="0"/>
              <w:jc w:val="right"/>
              <w:rPr>
                <w:rFonts w:cs="Arial"/>
                <w:color w:val="auto"/>
                <w:sz w:val="20"/>
                <w:szCs w:val="20"/>
              </w:rPr>
            </w:pPr>
            <w:r>
              <w:rPr>
                <w:rFonts w:cs="Arial"/>
                <w:color w:val="auto"/>
                <w:sz w:val="20"/>
                <w:szCs w:val="20"/>
              </w:rPr>
              <w:t>4,991</w:t>
            </w:r>
          </w:p>
        </w:tc>
        <w:tc>
          <w:tcPr>
            <w:tcW w:w="1254" w:type="dxa"/>
          </w:tcPr>
          <w:p w:rsidR="00F17C3C" w:rsidRPr="00601D1B" w:rsidRDefault="00C969C6" w:rsidP="004B68AE">
            <w:pPr>
              <w:pStyle w:val="BodyTextIndent"/>
              <w:tabs>
                <w:tab w:val="left" w:pos="1350"/>
              </w:tabs>
              <w:ind w:left="331" w:hanging="331"/>
              <w:jc w:val="right"/>
              <w:cnfStyle w:val="000000100000"/>
              <w:rPr>
                <w:rFonts w:cs="Arial"/>
                <w:b/>
                <w:color w:val="auto"/>
                <w:sz w:val="20"/>
                <w:szCs w:val="20"/>
              </w:rPr>
            </w:pPr>
            <w:r>
              <w:rPr>
                <w:rFonts w:cs="Arial"/>
                <w:b/>
                <w:color w:val="auto"/>
                <w:sz w:val="20"/>
                <w:szCs w:val="20"/>
              </w:rPr>
              <w:t>5,342</w:t>
            </w:r>
          </w:p>
        </w:tc>
        <w:tc>
          <w:tcPr>
            <w:cnfStyle w:val="000010000000"/>
            <w:tcW w:w="1272" w:type="dxa"/>
          </w:tcPr>
          <w:p w:rsidR="00F17C3C" w:rsidRPr="00601D1B" w:rsidRDefault="00C969C6" w:rsidP="004B68AE">
            <w:pPr>
              <w:autoSpaceDE w:val="0"/>
              <w:autoSpaceDN w:val="0"/>
              <w:adjustRightInd w:val="0"/>
              <w:spacing w:after="0" w:line="240" w:lineRule="auto"/>
              <w:jc w:val="right"/>
              <w:rPr>
                <w:rFonts w:cs="Arial"/>
                <w:bCs/>
                <w:color w:val="auto"/>
                <w:sz w:val="20"/>
                <w:szCs w:val="20"/>
                <w:lang w:eastAsia="en-GB"/>
              </w:rPr>
            </w:pPr>
            <w:r>
              <w:rPr>
                <w:rFonts w:cs="Arial"/>
                <w:bCs/>
                <w:color w:val="auto"/>
                <w:sz w:val="20"/>
                <w:szCs w:val="20"/>
                <w:lang w:eastAsia="en-GB"/>
              </w:rPr>
              <w:t>1,844.41</w:t>
            </w:r>
          </w:p>
        </w:tc>
        <w:tc>
          <w:tcPr>
            <w:tcW w:w="1159" w:type="dxa"/>
          </w:tcPr>
          <w:p w:rsidR="00F17C3C" w:rsidRPr="00601D1B" w:rsidRDefault="00C969C6" w:rsidP="004B68AE">
            <w:pPr>
              <w:pStyle w:val="BodyTextIndent"/>
              <w:tabs>
                <w:tab w:val="left" w:pos="1350"/>
              </w:tabs>
              <w:ind w:left="0"/>
              <w:jc w:val="right"/>
              <w:cnfStyle w:val="000000100000"/>
              <w:rPr>
                <w:rFonts w:cs="Arial"/>
                <w:color w:val="auto"/>
                <w:sz w:val="20"/>
                <w:szCs w:val="20"/>
              </w:rPr>
            </w:pPr>
            <w:r>
              <w:rPr>
                <w:rFonts w:cs="Arial"/>
                <w:color w:val="auto"/>
                <w:sz w:val="20"/>
                <w:szCs w:val="20"/>
              </w:rPr>
              <w:t>650</w:t>
            </w: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697</w:t>
            </w:r>
          </w:p>
        </w:tc>
        <w:tc>
          <w:tcPr>
            <w:tcW w:w="1449" w:type="dxa"/>
          </w:tcPr>
          <w:p w:rsidR="00F17C3C" w:rsidRPr="00601D1B" w:rsidRDefault="00C969C6" w:rsidP="004B68AE">
            <w:pPr>
              <w:autoSpaceDE w:val="0"/>
              <w:autoSpaceDN w:val="0"/>
              <w:adjustRightInd w:val="0"/>
              <w:spacing w:after="0" w:line="240" w:lineRule="auto"/>
              <w:jc w:val="right"/>
              <w:cnfStyle w:val="000000100000"/>
              <w:rPr>
                <w:rFonts w:cs="Arial"/>
                <w:color w:val="auto"/>
                <w:sz w:val="20"/>
                <w:szCs w:val="20"/>
                <w:lang w:eastAsia="en-GB"/>
              </w:rPr>
            </w:pPr>
            <w:r>
              <w:rPr>
                <w:rFonts w:cs="Arial"/>
                <w:color w:val="auto"/>
                <w:sz w:val="20"/>
                <w:szCs w:val="20"/>
                <w:lang w:eastAsia="en-GB"/>
              </w:rPr>
              <w:t>47.67</w:t>
            </w:r>
          </w:p>
        </w:tc>
      </w:tr>
      <w:tr w:rsidR="00F17C3C" w:rsidRPr="00601D1B" w:rsidTr="00D85DF8">
        <w:trPr>
          <w:trHeight w:val="270"/>
        </w:trPr>
        <w:tc>
          <w:tcPr>
            <w:cnfStyle w:val="000010000000"/>
            <w:tcW w:w="1101" w:type="dxa"/>
          </w:tcPr>
          <w:p w:rsidR="00F17C3C" w:rsidRPr="00601D1B" w:rsidRDefault="00F17C3C" w:rsidP="004B68AE">
            <w:pPr>
              <w:pStyle w:val="BodyTextIndent"/>
              <w:tabs>
                <w:tab w:val="left" w:pos="1350"/>
              </w:tabs>
              <w:ind w:left="0"/>
              <w:jc w:val="center"/>
              <w:rPr>
                <w:rFonts w:cs="Arial"/>
                <w:color w:val="auto"/>
                <w:sz w:val="20"/>
                <w:szCs w:val="20"/>
              </w:rPr>
            </w:pPr>
            <w:r w:rsidRPr="00601D1B">
              <w:rPr>
                <w:rFonts w:cs="Arial"/>
                <w:color w:val="auto"/>
                <w:sz w:val="20"/>
                <w:szCs w:val="20"/>
              </w:rPr>
              <w:t>F</w:t>
            </w:r>
          </w:p>
        </w:tc>
        <w:tc>
          <w:tcPr>
            <w:tcW w:w="992" w:type="dxa"/>
          </w:tcPr>
          <w:p w:rsidR="00F17C3C" w:rsidRPr="00601D1B" w:rsidRDefault="00C969C6" w:rsidP="004B68AE">
            <w:pPr>
              <w:pStyle w:val="BodyTextIndent"/>
              <w:tabs>
                <w:tab w:val="left" w:pos="1350"/>
              </w:tabs>
              <w:ind w:left="0"/>
              <w:jc w:val="center"/>
              <w:cnfStyle w:val="000000000000"/>
              <w:rPr>
                <w:rFonts w:cs="Arial"/>
                <w:color w:val="auto"/>
                <w:sz w:val="20"/>
                <w:szCs w:val="20"/>
              </w:rPr>
            </w:pPr>
            <w:r>
              <w:rPr>
                <w:rFonts w:cs="Arial"/>
                <w:color w:val="auto"/>
                <w:sz w:val="20"/>
                <w:szCs w:val="20"/>
              </w:rPr>
              <w:t>13/9</w:t>
            </w:r>
          </w:p>
        </w:tc>
        <w:tc>
          <w:tcPr>
            <w:cnfStyle w:val="000010000000"/>
            <w:tcW w:w="1159" w:type="dxa"/>
          </w:tcPr>
          <w:p w:rsidR="00F17C3C" w:rsidRPr="00601D1B" w:rsidRDefault="00C969C6" w:rsidP="004B68AE">
            <w:pPr>
              <w:pStyle w:val="BodyTextIndent"/>
              <w:tabs>
                <w:tab w:val="left" w:pos="1350"/>
              </w:tabs>
              <w:ind w:left="0"/>
              <w:jc w:val="right"/>
              <w:rPr>
                <w:rFonts w:cs="Arial"/>
                <w:color w:val="auto"/>
                <w:sz w:val="20"/>
                <w:szCs w:val="20"/>
              </w:rPr>
            </w:pPr>
            <w:r>
              <w:rPr>
                <w:rFonts w:cs="Arial"/>
                <w:color w:val="auto"/>
                <w:sz w:val="20"/>
                <w:szCs w:val="20"/>
              </w:rPr>
              <w:t>2,312</w:t>
            </w:r>
          </w:p>
        </w:tc>
        <w:tc>
          <w:tcPr>
            <w:tcW w:w="1254" w:type="dxa"/>
          </w:tcPr>
          <w:p w:rsidR="00F17C3C" w:rsidRPr="00601D1B" w:rsidRDefault="00C969C6" w:rsidP="004B68AE">
            <w:pPr>
              <w:pStyle w:val="BodyTextIndent"/>
              <w:tabs>
                <w:tab w:val="left" w:pos="1350"/>
              </w:tabs>
              <w:ind w:left="331" w:hanging="331"/>
              <w:jc w:val="right"/>
              <w:cnfStyle w:val="000000000000"/>
              <w:rPr>
                <w:rFonts w:cs="Arial"/>
                <w:b/>
                <w:color w:val="auto"/>
                <w:sz w:val="20"/>
                <w:szCs w:val="20"/>
              </w:rPr>
            </w:pPr>
            <w:r>
              <w:rPr>
                <w:rFonts w:cs="Arial"/>
                <w:b/>
                <w:color w:val="auto"/>
                <w:sz w:val="20"/>
                <w:szCs w:val="20"/>
              </w:rPr>
              <w:t>2,998</w:t>
            </w:r>
          </w:p>
        </w:tc>
        <w:tc>
          <w:tcPr>
            <w:cnfStyle w:val="000010000000"/>
            <w:tcW w:w="1272" w:type="dxa"/>
          </w:tcPr>
          <w:p w:rsidR="00F17C3C" w:rsidRPr="00601D1B" w:rsidRDefault="00C969C6" w:rsidP="004B68AE">
            <w:pPr>
              <w:autoSpaceDE w:val="0"/>
              <w:autoSpaceDN w:val="0"/>
              <w:adjustRightInd w:val="0"/>
              <w:spacing w:after="0" w:line="240" w:lineRule="auto"/>
              <w:jc w:val="right"/>
              <w:rPr>
                <w:rFonts w:cs="Arial"/>
                <w:bCs/>
                <w:color w:val="auto"/>
                <w:sz w:val="20"/>
                <w:szCs w:val="20"/>
                <w:lang w:eastAsia="en-GB"/>
              </w:rPr>
            </w:pPr>
            <w:r>
              <w:rPr>
                <w:rFonts w:cs="Arial"/>
                <w:bCs/>
                <w:color w:val="auto"/>
                <w:sz w:val="20"/>
                <w:szCs w:val="20"/>
                <w:lang w:eastAsia="en-GB"/>
              </w:rPr>
              <w:t>2,179.75</w:t>
            </w:r>
          </w:p>
        </w:tc>
        <w:tc>
          <w:tcPr>
            <w:tcW w:w="1159" w:type="dxa"/>
          </w:tcPr>
          <w:p w:rsidR="00F17C3C" w:rsidRPr="00601D1B" w:rsidRDefault="00C969C6" w:rsidP="004B68AE">
            <w:pPr>
              <w:pStyle w:val="BodyTextIndent"/>
              <w:tabs>
                <w:tab w:val="left" w:pos="1350"/>
              </w:tabs>
              <w:ind w:left="0"/>
              <w:jc w:val="right"/>
              <w:cnfStyle w:val="000000000000"/>
              <w:rPr>
                <w:rFonts w:cs="Arial"/>
                <w:color w:val="auto"/>
                <w:sz w:val="20"/>
                <w:szCs w:val="20"/>
              </w:rPr>
            </w:pPr>
            <w:r>
              <w:rPr>
                <w:rFonts w:cs="Arial"/>
                <w:color w:val="auto"/>
                <w:sz w:val="20"/>
                <w:szCs w:val="20"/>
              </w:rPr>
              <w:t>322</w:t>
            </w: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400</w:t>
            </w:r>
          </w:p>
        </w:tc>
        <w:tc>
          <w:tcPr>
            <w:tcW w:w="1449" w:type="dxa"/>
          </w:tcPr>
          <w:p w:rsidR="00F17C3C" w:rsidRPr="00601D1B" w:rsidRDefault="00C969C6" w:rsidP="004B68AE">
            <w:pPr>
              <w:autoSpaceDE w:val="0"/>
              <w:autoSpaceDN w:val="0"/>
              <w:adjustRightInd w:val="0"/>
              <w:spacing w:after="0" w:line="240" w:lineRule="auto"/>
              <w:jc w:val="right"/>
              <w:cnfStyle w:val="000000000000"/>
              <w:rPr>
                <w:rFonts w:cs="Arial"/>
                <w:color w:val="auto"/>
                <w:sz w:val="20"/>
                <w:szCs w:val="20"/>
                <w:lang w:eastAsia="en-GB"/>
              </w:rPr>
            </w:pPr>
            <w:r>
              <w:rPr>
                <w:rFonts w:cs="Arial"/>
                <w:color w:val="auto"/>
                <w:sz w:val="20"/>
                <w:szCs w:val="20"/>
                <w:lang w:eastAsia="en-GB"/>
              </w:rPr>
              <w:t>56.33</w:t>
            </w:r>
          </w:p>
        </w:tc>
      </w:tr>
      <w:tr w:rsidR="00F17C3C" w:rsidRPr="00601D1B" w:rsidTr="00D85DF8">
        <w:trPr>
          <w:cnfStyle w:val="000000100000"/>
          <w:trHeight w:val="270"/>
        </w:trPr>
        <w:tc>
          <w:tcPr>
            <w:cnfStyle w:val="000010000000"/>
            <w:tcW w:w="1101" w:type="dxa"/>
          </w:tcPr>
          <w:p w:rsidR="00F17C3C" w:rsidRPr="00601D1B" w:rsidRDefault="00F17C3C" w:rsidP="004B68AE">
            <w:pPr>
              <w:pStyle w:val="BodyTextIndent"/>
              <w:tabs>
                <w:tab w:val="left" w:pos="1350"/>
              </w:tabs>
              <w:ind w:left="0"/>
              <w:jc w:val="center"/>
              <w:rPr>
                <w:rFonts w:cs="Arial"/>
                <w:color w:val="auto"/>
                <w:sz w:val="20"/>
                <w:szCs w:val="20"/>
              </w:rPr>
            </w:pPr>
            <w:r w:rsidRPr="00601D1B">
              <w:rPr>
                <w:rFonts w:cs="Arial"/>
                <w:color w:val="auto"/>
                <w:sz w:val="20"/>
                <w:szCs w:val="20"/>
              </w:rPr>
              <w:t>G</w:t>
            </w:r>
          </w:p>
        </w:tc>
        <w:tc>
          <w:tcPr>
            <w:tcW w:w="992" w:type="dxa"/>
          </w:tcPr>
          <w:p w:rsidR="00F17C3C" w:rsidRPr="00601D1B" w:rsidRDefault="00C969C6" w:rsidP="004B68AE">
            <w:pPr>
              <w:pStyle w:val="BodyTextIndent"/>
              <w:tabs>
                <w:tab w:val="left" w:pos="1350"/>
              </w:tabs>
              <w:ind w:left="0"/>
              <w:jc w:val="center"/>
              <w:cnfStyle w:val="000000100000"/>
              <w:rPr>
                <w:rFonts w:cs="Arial"/>
                <w:color w:val="auto"/>
                <w:sz w:val="20"/>
                <w:szCs w:val="20"/>
              </w:rPr>
            </w:pPr>
            <w:r>
              <w:rPr>
                <w:rFonts w:cs="Arial"/>
                <w:color w:val="auto"/>
                <w:sz w:val="20"/>
                <w:szCs w:val="20"/>
              </w:rPr>
              <w:t>15/9</w:t>
            </w:r>
          </w:p>
        </w:tc>
        <w:tc>
          <w:tcPr>
            <w:cnfStyle w:val="000010000000"/>
            <w:tcW w:w="1159" w:type="dxa"/>
          </w:tcPr>
          <w:p w:rsidR="00F17C3C" w:rsidRPr="00601D1B" w:rsidRDefault="00C969C6" w:rsidP="004B68AE">
            <w:pPr>
              <w:pStyle w:val="BodyTextIndent"/>
              <w:tabs>
                <w:tab w:val="left" w:pos="1350"/>
              </w:tabs>
              <w:ind w:left="0"/>
              <w:jc w:val="right"/>
              <w:rPr>
                <w:rFonts w:cs="Arial"/>
                <w:color w:val="auto"/>
                <w:sz w:val="20"/>
                <w:szCs w:val="20"/>
              </w:rPr>
            </w:pPr>
            <w:r>
              <w:rPr>
                <w:rFonts w:cs="Arial"/>
                <w:color w:val="auto"/>
                <w:sz w:val="20"/>
                <w:szCs w:val="20"/>
              </w:rPr>
              <w:t>1,214</w:t>
            </w:r>
          </w:p>
        </w:tc>
        <w:tc>
          <w:tcPr>
            <w:tcW w:w="1254" w:type="dxa"/>
          </w:tcPr>
          <w:p w:rsidR="00F17C3C" w:rsidRPr="00601D1B" w:rsidRDefault="00C969C6" w:rsidP="004B68AE">
            <w:pPr>
              <w:pStyle w:val="BodyTextIndent"/>
              <w:tabs>
                <w:tab w:val="left" w:pos="1350"/>
              </w:tabs>
              <w:ind w:left="331" w:hanging="331"/>
              <w:jc w:val="right"/>
              <w:cnfStyle w:val="000000100000"/>
              <w:rPr>
                <w:rFonts w:cs="Arial"/>
                <w:b/>
                <w:color w:val="auto"/>
                <w:sz w:val="20"/>
                <w:szCs w:val="20"/>
              </w:rPr>
            </w:pPr>
            <w:r>
              <w:rPr>
                <w:rFonts w:cs="Arial"/>
                <w:b/>
                <w:color w:val="auto"/>
                <w:sz w:val="20"/>
                <w:szCs w:val="20"/>
              </w:rPr>
              <w:t>1,827</w:t>
            </w:r>
          </w:p>
        </w:tc>
        <w:tc>
          <w:tcPr>
            <w:cnfStyle w:val="000010000000"/>
            <w:tcW w:w="1272" w:type="dxa"/>
          </w:tcPr>
          <w:p w:rsidR="00F17C3C" w:rsidRPr="00601D1B" w:rsidRDefault="00C969C6" w:rsidP="004B68AE">
            <w:pPr>
              <w:autoSpaceDE w:val="0"/>
              <w:autoSpaceDN w:val="0"/>
              <w:adjustRightInd w:val="0"/>
              <w:spacing w:after="0" w:line="240" w:lineRule="auto"/>
              <w:jc w:val="right"/>
              <w:rPr>
                <w:rFonts w:cs="Arial"/>
                <w:bCs/>
                <w:color w:val="auto"/>
                <w:sz w:val="20"/>
                <w:szCs w:val="20"/>
                <w:lang w:eastAsia="en-GB"/>
              </w:rPr>
            </w:pPr>
            <w:r>
              <w:rPr>
                <w:rFonts w:cs="Arial"/>
                <w:bCs/>
                <w:color w:val="auto"/>
                <w:sz w:val="20"/>
                <w:szCs w:val="20"/>
                <w:lang w:eastAsia="en-GB"/>
              </w:rPr>
              <w:t>2,515.10</w:t>
            </w:r>
          </w:p>
        </w:tc>
        <w:tc>
          <w:tcPr>
            <w:tcW w:w="1159" w:type="dxa"/>
          </w:tcPr>
          <w:p w:rsidR="00F17C3C" w:rsidRPr="00601D1B" w:rsidRDefault="00C969C6" w:rsidP="004B68AE">
            <w:pPr>
              <w:pStyle w:val="BodyTextIndent"/>
              <w:tabs>
                <w:tab w:val="left" w:pos="1350"/>
              </w:tabs>
              <w:ind w:left="0"/>
              <w:jc w:val="right"/>
              <w:cnfStyle w:val="000000100000"/>
              <w:rPr>
                <w:rFonts w:cs="Arial"/>
                <w:color w:val="auto"/>
                <w:sz w:val="20"/>
                <w:szCs w:val="20"/>
              </w:rPr>
            </w:pPr>
            <w:r>
              <w:rPr>
                <w:rFonts w:cs="Arial"/>
                <w:color w:val="auto"/>
                <w:sz w:val="20"/>
                <w:szCs w:val="20"/>
              </w:rPr>
              <w:t>91</w:t>
            </w: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144</w:t>
            </w:r>
          </w:p>
        </w:tc>
        <w:tc>
          <w:tcPr>
            <w:tcW w:w="1449" w:type="dxa"/>
          </w:tcPr>
          <w:p w:rsidR="00F17C3C" w:rsidRPr="00601D1B" w:rsidRDefault="00C969C6" w:rsidP="004B68AE">
            <w:pPr>
              <w:autoSpaceDE w:val="0"/>
              <w:autoSpaceDN w:val="0"/>
              <w:adjustRightInd w:val="0"/>
              <w:spacing w:after="0" w:line="240" w:lineRule="auto"/>
              <w:jc w:val="right"/>
              <w:cnfStyle w:val="000000100000"/>
              <w:rPr>
                <w:rFonts w:cs="Arial"/>
                <w:color w:val="auto"/>
                <w:sz w:val="20"/>
                <w:szCs w:val="20"/>
                <w:lang w:eastAsia="en-GB"/>
              </w:rPr>
            </w:pPr>
            <w:r>
              <w:rPr>
                <w:rFonts w:cs="Arial"/>
                <w:color w:val="auto"/>
                <w:sz w:val="20"/>
                <w:szCs w:val="20"/>
                <w:lang w:eastAsia="en-GB"/>
              </w:rPr>
              <w:t>65.00</w:t>
            </w:r>
          </w:p>
        </w:tc>
      </w:tr>
      <w:tr w:rsidR="00F17C3C" w:rsidRPr="00601D1B" w:rsidTr="00D85DF8">
        <w:trPr>
          <w:trHeight w:val="270"/>
        </w:trPr>
        <w:tc>
          <w:tcPr>
            <w:cnfStyle w:val="000010000000"/>
            <w:tcW w:w="1101" w:type="dxa"/>
          </w:tcPr>
          <w:p w:rsidR="00F17C3C" w:rsidRPr="00601D1B" w:rsidRDefault="00F17C3C" w:rsidP="004B68AE">
            <w:pPr>
              <w:pStyle w:val="BodyTextIndent"/>
              <w:tabs>
                <w:tab w:val="left" w:pos="1350"/>
              </w:tabs>
              <w:ind w:left="0"/>
              <w:jc w:val="center"/>
              <w:rPr>
                <w:rFonts w:cs="Arial"/>
                <w:color w:val="auto"/>
                <w:sz w:val="20"/>
                <w:szCs w:val="20"/>
              </w:rPr>
            </w:pPr>
            <w:r w:rsidRPr="00601D1B">
              <w:rPr>
                <w:rFonts w:cs="Arial"/>
                <w:color w:val="auto"/>
                <w:sz w:val="20"/>
                <w:szCs w:val="20"/>
              </w:rPr>
              <w:t>H</w:t>
            </w:r>
          </w:p>
        </w:tc>
        <w:tc>
          <w:tcPr>
            <w:tcW w:w="992" w:type="dxa"/>
          </w:tcPr>
          <w:p w:rsidR="00F17C3C" w:rsidRPr="00601D1B" w:rsidRDefault="00C969C6" w:rsidP="004B68AE">
            <w:pPr>
              <w:pStyle w:val="BodyTextIndent"/>
              <w:tabs>
                <w:tab w:val="left" w:pos="1350"/>
              </w:tabs>
              <w:ind w:left="0"/>
              <w:jc w:val="center"/>
              <w:cnfStyle w:val="000000000000"/>
              <w:rPr>
                <w:rFonts w:cs="Arial"/>
                <w:color w:val="auto"/>
                <w:sz w:val="20"/>
                <w:szCs w:val="20"/>
              </w:rPr>
            </w:pPr>
            <w:r>
              <w:rPr>
                <w:rFonts w:cs="Arial"/>
                <w:color w:val="auto"/>
                <w:sz w:val="20"/>
                <w:szCs w:val="20"/>
              </w:rPr>
              <w:t>2</w:t>
            </w:r>
          </w:p>
        </w:tc>
        <w:tc>
          <w:tcPr>
            <w:cnfStyle w:val="000010000000"/>
            <w:tcW w:w="1159" w:type="dxa"/>
          </w:tcPr>
          <w:p w:rsidR="00F17C3C" w:rsidRPr="00601D1B" w:rsidRDefault="00C969C6" w:rsidP="004B68AE">
            <w:pPr>
              <w:pStyle w:val="BodyTextIndent"/>
              <w:tabs>
                <w:tab w:val="left" w:pos="1350"/>
              </w:tabs>
              <w:ind w:left="0"/>
              <w:jc w:val="right"/>
              <w:rPr>
                <w:rFonts w:cs="Arial"/>
                <w:color w:val="auto"/>
                <w:sz w:val="20"/>
                <w:szCs w:val="20"/>
              </w:rPr>
            </w:pPr>
            <w:r>
              <w:rPr>
                <w:rFonts w:cs="Arial"/>
                <w:color w:val="auto"/>
                <w:sz w:val="20"/>
                <w:szCs w:val="20"/>
              </w:rPr>
              <w:t>134</w:t>
            </w:r>
          </w:p>
        </w:tc>
        <w:tc>
          <w:tcPr>
            <w:tcW w:w="1254" w:type="dxa"/>
          </w:tcPr>
          <w:p w:rsidR="00F17C3C" w:rsidRPr="00601D1B" w:rsidRDefault="00C969C6" w:rsidP="004B68AE">
            <w:pPr>
              <w:pStyle w:val="BodyTextIndent"/>
              <w:tabs>
                <w:tab w:val="left" w:pos="1350"/>
              </w:tabs>
              <w:ind w:left="331" w:hanging="331"/>
              <w:jc w:val="right"/>
              <w:cnfStyle w:val="000000000000"/>
              <w:rPr>
                <w:rFonts w:cs="Arial"/>
                <w:b/>
                <w:color w:val="auto"/>
                <w:sz w:val="20"/>
                <w:szCs w:val="20"/>
              </w:rPr>
            </w:pPr>
            <w:r>
              <w:rPr>
                <w:rFonts w:cs="Arial"/>
                <w:b/>
                <w:color w:val="auto"/>
                <w:sz w:val="20"/>
                <w:szCs w:val="20"/>
              </w:rPr>
              <w:t>197</w:t>
            </w:r>
          </w:p>
        </w:tc>
        <w:tc>
          <w:tcPr>
            <w:cnfStyle w:val="000010000000"/>
            <w:tcW w:w="1272" w:type="dxa"/>
          </w:tcPr>
          <w:p w:rsidR="00F17C3C" w:rsidRPr="00601D1B" w:rsidRDefault="00C969C6" w:rsidP="004B68AE">
            <w:pPr>
              <w:autoSpaceDE w:val="0"/>
              <w:autoSpaceDN w:val="0"/>
              <w:adjustRightInd w:val="0"/>
              <w:spacing w:after="0" w:line="240" w:lineRule="auto"/>
              <w:jc w:val="right"/>
              <w:rPr>
                <w:rFonts w:cs="Arial"/>
                <w:bCs/>
                <w:color w:val="auto"/>
                <w:sz w:val="20"/>
                <w:szCs w:val="20"/>
                <w:lang w:eastAsia="en-GB"/>
              </w:rPr>
            </w:pPr>
            <w:r>
              <w:rPr>
                <w:rFonts w:cs="Arial"/>
                <w:bCs/>
                <w:color w:val="auto"/>
                <w:sz w:val="20"/>
                <w:szCs w:val="20"/>
                <w:lang w:eastAsia="en-GB"/>
              </w:rPr>
              <w:t>3,018.12</w:t>
            </w:r>
          </w:p>
        </w:tc>
        <w:tc>
          <w:tcPr>
            <w:tcW w:w="1159" w:type="dxa"/>
          </w:tcPr>
          <w:p w:rsidR="00F17C3C" w:rsidRPr="00601D1B" w:rsidRDefault="00C969C6" w:rsidP="004B68AE">
            <w:pPr>
              <w:pStyle w:val="BodyTextIndent"/>
              <w:tabs>
                <w:tab w:val="left" w:pos="1350"/>
              </w:tabs>
              <w:ind w:left="0"/>
              <w:jc w:val="right"/>
              <w:cnfStyle w:val="000000000000"/>
              <w:rPr>
                <w:rFonts w:cs="Arial"/>
                <w:color w:val="auto"/>
                <w:sz w:val="20"/>
                <w:szCs w:val="20"/>
              </w:rPr>
            </w:pPr>
            <w:r>
              <w:rPr>
                <w:rFonts w:cs="Arial"/>
                <w:color w:val="auto"/>
                <w:sz w:val="20"/>
                <w:szCs w:val="20"/>
              </w:rPr>
              <w:t>7</w:t>
            </w: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7</w:t>
            </w:r>
          </w:p>
        </w:tc>
        <w:tc>
          <w:tcPr>
            <w:tcW w:w="1449" w:type="dxa"/>
          </w:tcPr>
          <w:p w:rsidR="00F17C3C" w:rsidRPr="00601D1B" w:rsidRDefault="00C969C6" w:rsidP="004B68AE">
            <w:pPr>
              <w:autoSpaceDE w:val="0"/>
              <w:autoSpaceDN w:val="0"/>
              <w:adjustRightInd w:val="0"/>
              <w:spacing w:after="0" w:line="240" w:lineRule="auto"/>
              <w:jc w:val="right"/>
              <w:cnfStyle w:val="000000000000"/>
              <w:rPr>
                <w:rFonts w:cs="Arial"/>
                <w:color w:val="auto"/>
                <w:sz w:val="20"/>
                <w:szCs w:val="20"/>
                <w:lang w:eastAsia="en-GB"/>
              </w:rPr>
            </w:pPr>
            <w:r>
              <w:rPr>
                <w:rFonts w:cs="Arial"/>
                <w:color w:val="auto"/>
                <w:sz w:val="20"/>
                <w:szCs w:val="20"/>
                <w:lang w:eastAsia="en-GB"/>
              </w:rPr>
              <w:t>78.00</w:t>
            </w:r>
          </w:p>
        </w:tc>
      </w:tr>
      <w:tr w:rsidR="00F17C3C" w:rsidRPr="00601D1B" w:rsidTr="00D85DF8">
        <w:trPr>
          <w:cnfStyle w:val="000000100000"/>
          <w:trHeight w:val="270"/>
        </w:trPr>
        <w:tc>
          <w:tcPr>
            <w:cnfStyle w:val="000010000000"/>
            <w:tcW w:w="1101" w:type="dxa"/>
          </w:tcPr>
          <w:p w:rsidR="00F17C3C" w:rsidRPr="00601D1B" w:rsidRDefault="00F17C3C" w:rsidP="004B68AE">
            <w:pPr>
              <w:pStyle w:val="BodyTextIndent"/>
              <w:tabs>
                <w:tab w:val="left" w:pos="1350"/>
              </w:tabs>
              <w:ind w:left="0"/>
              <w:jc w:val="center"/>
              <w:rPr>
                <w:rFonts w:cs="Arial"/>
                <w:color w:val="auto"/>
                <w:sz w:val="20"/>
                <w:szCs w:val="20"/>
              </w:rPr>
            </w:pPr>
            <w:r w:rsidRPr="00601D1B">
              <w:rPr>
                <w:rFonts w:cs="Arial"/>
                <w:color w:val="auto"/>
                <w:sz w:val="20"/>
                <w:szCs w:val="20"/>
              </w:rPr>
              <w:t>TOTAL</w:t>
            </w:r>
          </w:p>
        </w:tc>
        <w:tc>
          <w:tcPr>
            <w:tcW w:w="992" w:type="dxa"/>
          </w:tcPr>
          <w:p w:rsidR="00F17C3C" w:rsidRPr="00601D1B" w:rsidRDefault="00F17C3C" w:rsidP="004B68AE">
            <w:pPr>
              <w:pStyle w:val="BodyTextIndent"/>
              <w:tabs>
                <w:tab w:val="left" w:pos="1350"/>
              </w:tabs>
              <w:ind w:left="0"/>
              <w:jc w:val="center"/>
              <w:cnfStyle w:val="000000100000"/>
              <w:rPr>
                <w:rFonts w:cs="Arial"/>
                <w:color w:val="auto"/>
                <w:sz w:val="20"/>
                <w:szCs w:val="20"/>
              </w:rPr>
            </w:pPr>
          </w:p>
        </w:tc>
        <w:tc>
          <w:tcPr>
            <w:cnfStyle w:val="000010000000"/>
            <w:tcW w:w="1159" w:type="dxa"/>
          </w:tcPr>
          <w:p w:rsidR="00F17C3C" w:rsidRPr="00601D1B" w:rsidRDefault="00C969C6" w:rsidP="004B68AE">
            <w:pPr>
              <w:pStyle w:val="BodyTextIndent"/>
              <w:tabs>
                <w:tab w:val="left" w:pos="1350"/>
              </w:tabs>
              <w:ind w:left="0"/>
              <w:jc w:val="right"/>
              <w:rPr>
                <w:rFonts w:cs="Arial"/>
                <w:color w:val="auto"/>
                <w:sz w:val="20"/>
                <w:szCs w:val="20"/>
              </w:rPr>
            </w:pPr>
            <w:r>
              <w:rPr>
                <w:rFonts w:cs="Arial"/>
                <w:color w:val="auto"/>
                <w:sz w:val="20"/>
                <w:szCs w:val="20"/>
              </w:rPr>
              <w:t>65,789</w:t>
            </w:r>
          </w:p>
        </w:tc>
        <w:tc>
          <w:tcPr>
            <w:tcW w:w="1254" w:type="dxa"/>
          </w:tcPr>
          <w:p w:rsidR="00F17C3C" w:rsidRPr="00601D1B" w:rsidRDefault="00C969C6" w:rsidP="008E07E1">
            <w:pPr>
              <w:pStyle w:val="BodyTextIndent"/>
              <w:tabs>
                <w:tab w:val="left" w:pos="1350"/>
              </w:tabs>
              <w:ind w:left="331" w:hanging="331"/>
              <w:jc w:val="right"/>
              <w:cnfStyle w:val="000000100000"/>
              <w:rPr>
                <w:rFonts w:cs="Arial"/>
                <w:b/>
                <w:color w:val="auto"/>
                <w:sz w:val="20"/>
                <w:szCs w:val="20"/>
              </w:rPr>
            </w:pPr>
            <w:r>
              <w:rPr>
                <w:rFonts w:cs="Arial"/>
                <w:b/>
                <w:color w:val="auto"/>
                <w:sz w:val="20"/>
                <w:szCs w:val="20"/>
              </w:rPr>
              <w:t>44,13</w:t>
            </w:r>
            <w:r w:rsidR="008E07E1">
              <w:rPr>
                <w:rFonts w:cs="Arial"/>
                <w:b/>
                <w:color w:val="auto"/>
                <w:sz w:val="20"/>
                <w:szCs w:val="20"/>
              </w:rPr>
              <w:t>8</w:t>
            </w:r>
          </w:p>
        </w:tc>
        <w:tc>
          <w:tcPr>
            <w:cnfStyle w:val="000010000000"/>
            <w:tcW w:w="1272" w:type="dxa"/>
          </w:tcPr>
          <w:p w:rsidR="00F17C3C" w:rsidRPr="00601D1B" w:rsidRDefault="00F17C3C" w:rsidP="004B68AE">
            <w:pPr>
              <w:pStyle w:val="BodyTextIndent"/>
              <w:tabs>
                <w:tab w:val="left" w:pos="1350"/>
              </w:tabs>
              <w:ind w:left="0"/>
              <w:jc w:val="center"/>
              <w:rPr>
                <w:rFonts w:cs="Arial"/>
                <w:color w:val="auto"/>
                <w:sz w:val="20"/>
                <w:szCs w:val="20"/>
              </w:rPr>
            </w:pPr>
          </w:p>
        </w:tc>
        <w:tc>
          <w:tcPr>
            <w:tcW w:w="1159" w:type="dxa"/>
          </w:tcPr>
          <w:p w:rsidR="00F17C3C" w:rsidRPr="00601D1B" w:rsidRDefault="00C969C6" w:rsidP="004B68AE">
            <w:pPr>
              <w:pStyle w:val="BodyTextIndent"/>
              <w:tabs>
                <w:tab w:val="left" w:pos="1350"/>
              </w:tabs>
              <w:ind w:left="0"/>
              <w:jc w:val="right"/>
              <w:cnfStyle w:val="000000100000"/>
              <w:rPr>
                <w:rFonts w:cs="Arial"/>
                <w:color w:val="auto"/>
                <w:sz w:val="20"/>
                <w:szCs w:val="20"/>
              </w:rPr>
            </w:pPr>
            <w:r>
              <w:rPr>
                <w:rFonts w:cs="Arial"/>
                <w:color w:val="auto"/>
                <w:sz w:val="20"/>
                <w:szCs w:val="20"/>
              </w:rPr>
              <w:t>8,731</w:t>
            </w:r>
          </w:p>
        </w:tc>
        <w:tc>
          <w:tcPr>
            <w:cnfStyle w:val="000010000000"/>
            <w:tcW w:w="1244" w:type="dxa"/>
          </w:tcPr>
          <w:p w:rsidR="00F17C3C" w:rsidRPr="00601D1B" w:rsidRDefault="00C969C6" w:rsidP="008E07E1">
            <w:pPr>
              <w:pStyle w:val="BodyTextIndent"/>
              <w:tabs>
                <w:tab w:val="left" w:pos="1350"/>
              </w:tabs>
              <w:ind w:left="0"/>
              <w:jc w:val="right"/>
              <w:rPr>
                <w:rFonts w:cs="Arial"/>
                <w:b/>
                <w:color w:val="auto"/>
                <w:sz w:val="20"/>
                <w:szCs w:val="20"/>
              </w:rPr>
            </w:pPr>
            <w:r>
              <w:rPr>
                <w:rFonts w:cs="Arial"/>
                <w:b/>
                <w:color w:val="auto"/>
                <w:sz w:val="20"/>
                <w:szCs w:val="20"/>
              </w:rPr>
              <w:t>5,95</w:t>
            </w:r>
            <w:r w:rsidR="008E07E1">
              <w:rPr>
                <w:rFonts w:cs="Arial"/>
                <w:b/>
                <w:color w:val="auto"/>
                <w:sz w:val="20"/>
                <w:szCs w:val="20"/>
              </w:rPr>
              <w:t>9</w:t>
            </w:r>
          </w:p>
        </w:tc>
        <w:tc>
          <w:tcPr>
            <w:tcW w:w="1449" w:type="dxa"/>
          </w:tcPr>
          <w:p w:rsidR="00F17C3C" w:rsidRPr="00601D1B" w:rsidRDefault="00F17C3C" w:rsidP="004B68AE">
            <w:pPr>
              <w:pStyle w:val="BodyTextIndent"/>
              <w:tabs>
                <w:tab w:val="left" w:pos="1350"/>
              </w:tabs>
              <w:ind w:left="0"/>
              <w:jc w:val="center"/>
              <w:cnfStyle w:val="000000100000"/>
              <w:rPr>
                <w:rFonts w:cs="Arial"/>
                <w:color w:val="auto"/>
                <w:sz w:val="20"/>
                <w:szCs w:val="20"/>
              </w:rPr>
            </w:pPr>
          </w:p>
        </w:tc>
      </w:tr>
      <w:tr w:rsidR="00F17C3C" w:rsidRPr="00601D1B" w:rsidTr="00D85DF8">
        <w:trPr>
          <w:trHeight w:val="477"/>
        </w:trPr>
        <w:tc>
          <w:tcPr>
            <w:cnfStyle w:val="000010000000"/>
            <w:tcW w:w="3252" w:type="dxa"/>
            <w:gridSpan w:val="3"/>
          </w:tcPr>
          <w:p w:rsidR="00F17C3C" w:rsidRPr="00601D1B" w:rsidRDefault="00F17C3C" w:rsidP="00C969C6">
            <w:pPr>
              <w:pStyle w:val="BodyTextIndent"/>
              <w:tabs>
                <w:tab w:val="left" w:pos="1350"/>
              </w:tabs>
              <w:ind w:left="0"/>
              <w:jc w:val="center"/>
              <w:rPr>
                <w:rFonts w:cs="Arial"/>
                <w:color w:val="auto"/>
                <w:sz w:val="20"/>
                <w:szCs w:val="20"/>
              </w:rPr>
            </w:pPr>
            <w:r w:rsidRPr="00601D1B">
              <w:rPr>
                <w:rFonts w:cs="Arial"/>
                <w:color w:val="auto"/>
                <w:sz w:val="20"/>
                <w:szCs w:val="20"/>
              </w:rPr>
              <w:t xml:space="preserve">Less Allowance for Non Collection @ </w:t>
            </w:r>
            <w:r w:rsidR="00C969C6">
              <w:rPr>
                <w:rFonts w:cs="Arial"/>
                <w:color w:val="auto"/>
                <w:sz w:val="20"/>
                <w:szCs w:val="20"/>
              </w:rPr>
              <w:t>4.0</w:t>
            </w:r>
            <w:r w:rsidRPr="00601D1B">
              <w:rPr>
                <w:rFonts w:cs="Arial"/>
                <w:color w:val="auto"/>
                <w:sz w:val="20"/>
                <w:szCs w:val="20"/>
              </w:rPr>
              <w:t xml:space="preserve">% (3.5% </w:t>
            </w:r>
            <w:r w:rsidR="006507E5" w:rsidRPr="00601D1B">
              <w:rPr>
                <w:rFonts w:cs="Arial"/>
                <w:color w:val="auto"/>
                <w:sz w:val="20"/>
                <w:szCs w:val="20"/>
              </w:rPr>
              <w:t>201</w:t>
            </w:r>
            <w:r w:rsidR="00C969C6">
              <w:rPr>
                <w:rFonts w:cs="Arial"/>
                <w:color w:val="auto"/>
                <w:sz w:val="20"/>
                <w:szCs w:val="20"/>
              </w:rPr>
              <w:t>4</w:t>
            </w:r>
            <w:r w:rsidR="006507E5" w:rsidRPr="00601D1B">
              <w:rPr>
                <w:rFonts w:cs="Arial"/>
                <w:color w:val="auto"/>
                <w:sz w:val="20"/>
                <w:szCs w:val="20"/>
              </w:rPr>
              <w:t>/1</w:t>
            </w:r>
            <w:r w:rsidR="00C969C6">
              <w:rPr>
                <w:rFonts w:cs="Arial"/>
                <w:color w:val="auto"/>
                <w:sz w:val="20"/>
                <w:szCs w:val="20"/>
              </w:rPr>
              <w:t>5</w:t>
            </w:r>
            <w:r w:rsidRPr="00601D1B">
              <w:rPr>
                <w:rFonts w:cs="Arial"/>
                <w:color w:val="auto"/>
                <w:sz w:val="20"/>
                <w:szCs w:val="20"/>
              </w:rPr>
              <w:t>)</w:t>
            </w:r>
          </w:p>
        </w:tc>
        <w:tc>
          <w:tcPr>
            <w:tcW w:w="1254" w:type="dxa"/>
          </w:tcPr>
          <w:p w:rsidR="00F17C3C" w:rsidRPr="00601D1B" w:rsidRDefault="00C969C6" w:rsidP="004B68AE">
            <w:pPr>
              <w:pStyle w:val="BodyTextIndent"/>
              <w:tabs>
                <w:tab w:val="left" w:pos="1350"/>
              </w:tabs>
              <w:ind w:left="331" w:hanging="331"/>
              <w:jc w:val="right"/>
              <w:cnfStyle w:val="000000000000"/>
              <w:rPr>
                <w:rFonts w:cs="Arial"/>
                <w:b/>
                <w:color w:val="auto"/>
                <w:sz w:val="20"/>
                <w:szCs w:val="20"/>
              </w:rPr>
            </w:pPr>
            <w:r>
              <w:rPr>
                <w:rFonts w:cs="Arial"/>
                <w:b/>
                <w:color w:val="auto"/>
                <w:sz w:val="20"/>
                <w:szCs w:val="20"/>
              </w:rPr>
              <w:t>(1,765)</w:t>
            </w:r>
          </w:p>
        </w:tc>
        <w:tc>
          <w:tcPr>
            <w:cnfStyle w:val="000010000000"/>
            <w:tcW w:w="1272" w:type="dxa"/>
          </w:tcPr>
          <w:p w:rsidR="00F17C3C" w:rsidRPr="00601D1B" w:rsidRDefault="00F17C3C" w:rsidP="004B68AE">
            <w:pPr>
              <w:pStyle w:val="BodyTextIndent"/>
              <w:tabs>
                <w:tab w:val="left" w:pos="1350"/>
              </w:tabs>
              <w:ind w:left="0"/>
              <w:jc w:val="center"/>
              <w:rPr>
                <w:rFonts w:cs="Arial"/>
                <w:color w:val="auto"/>
                <w:sz w:val="20"/>
                <w:szCs w:val="20"/>
              </w:rPr>
            </w:pPr>
          </w:p>
        </w:tc>
        <w:tc>
          <w:tcPr>
            <w:tcW w:w="1159" w:type="dxa"/>
          </w:tcPr>
          <w:p w:rsidR="00F17C3C" w:rsidRPr="00601D1B" w:rsidRDefault="00F17C3C" w:rsidP="004B68AE">
            <w:pPr>
              <w:pStyle w:val="BodyTextIndent"/>
              <w:tabs>
                <w:tab w:val="left" w:pos="1350"/>
              </w:tabs>
              <w:ind w:left="0"/>
              <w:jc w:val="right"/>
              <w:cnfStyle w:val="000000000000"/>
              <w:rPr>
                <w:rFonts w:cs="Arial"/>
                <w:color w:val="auto"/>
                <w:sz w:val="20"/>
                <w:szCs w:val="20"/>
              </w:rPr>
            </w:pP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(239)</w:t>
            </w:r>
          </w:p>
        </w:tc>
        <w:tc>
          <w:tcPr>
            <w:tcW w:w="1449" w:type="dxa"/>
          </w:tcPr>
          <w:p w:rsidR="00F17C3C" w:rsidRPr="00601D1B" w:rsidRDefault="00F17C3C" w:rsidP="004B68AE">
            <w:pPr>
              <w:pStyle w:val="BodyTextIndent"/>
              <w:tabs>
                <w:tab w:val="left" w:pos="1350"/>
              </w:tabs>
              <w:ind w:left="0"/>
              <w:jc w:val="center"/>
              <w:cnfStyle w:val="000000000000"/>
              <w:rPr>
                <w:rFonts w:cs="Arial"/>
                <w:color w:val="auto"/>
                <w:sz w:val="20"/>
                <w:szCs w:val="20"/>
              </w:rPr>
            </w:pPr>
          </w:p>
        </w:tc>
      </w:tr>
      <w:tr w:rsidR="00F17C3C" w:rsidRPr="00601D1B" w:rsidTr="00D85DF8">
        <w:trPr>
          <w:cnfStyle w:val="000000100000"/>
          <w:trHeight w:val="419"/>
        </w:trPr>
        <w:tc>
          <w:tcPr>
            <w:cnfStyle w:val="000010000000"/>
            <w:tcW w:w="3252" w:type="dxa"/>
            <w:gridSpan w:val="3"/>
          </w:tcPr>
          <w:p w:rsidR="00F17C3C" w:rsidRPr="00601D1B" w:rsidRDefault="00F17C3C" w:rsidP="00C969C6">
            <w:pPr>
              <w:pStyle w:val="BodyTextIndent"/>
              <w:tabs>
                <w:tab w:val="left" w:pos="1350"/>
              </w:tabs>
              <w:ind w:left="0"/>
              <w:jc w:val="center"/>
              <w:rPr>
                <w:rFonts w:cs="Arial"/>
                <w:b/>
                <w:color w:val="auto"/>
                <w:sz w:val="20"/>
                <w:szCs w:val="20"/>
              </w:rPr>
            </w:pPr>
            <w:r w:rsidRPr="00601D1B">
              <w:rPr>
                <w:rFonts w:cs="Arial"/>
                <w:b/>
                <w:color w:val="auto"/>
                <w:sz w:val="20"/>
                <w:szCs w:val="20"/>
              </w:rPr>
              <w:t>TAX BASE  201</w:t>
            </w:r>
            <w:r w:rsidR="00C969C6">
              <w:rPr>
                <w:rFonts w:cs="Arial"/>
                <w:b/>
                <w:color w:val="auto"/>
                <w:sz w:val="20"/>
                <w:szCs w:val="20"/>
              </w:rPr>
              <w:t>5</w:t>
            </w:r>
            <w:r w:rsidRPr="00601D1B">
              <w:rPr>
                <w:rFonts w:cs="Arial"/>
                <w:b/>
                <w:color w:val="auto"/>
                <w:sz w:val="20"/>
                <w:szCs w:val="20"/>
              </w:rPr>
              <w:t>/1</w:t>
            </w:r>
            <w:r w:rsidR="00C969C6">
              <w:rPr>
                <w:rFonts w:cs="Arial"/>
                <w:b/>
                <w:color w:val="auto"/>
                <w:sz w:val="20"/>
                <w:szCs w:val="20"/>
              </w:rPr>
              <w:t>6</w:t>
            </w:r>
          </w:p>
        </w:tc>
        <w:tc>
          <w:tcPr>
            <w:tcW w:w="1254" w:type="dxa"/>
          </w:tcPr>
          <w:p w:rsidR="00F17C3C" w:rsidRPr="00601D1B" w:rsidRDefault="00C969C6" w:rsidP="004B68AE">
            <w:pPr>
              <w:pStyle w:val="BodyTextIndent"/>
              <w:tabs>
                <w:tab w:val="left" w:pos="1350"/>
              </w:tabs>
              <w:ind w:left="331" w:hanging="331"/>
              <w:jc w:val="right"/>
              <w:cnfStyle w:val="000000100000"/>
              <w:rPr>
                <w:rFonts w:cs="Arial"/>
                <w:b/>
                <w:color w:val="auto"/>
                <w:sz w:val="20"/>
                <w:szCs w:val="20"/>
              </w:rPr>
            </w:pPr>
            <w:r>
              <w:rPr>
                <w:rFonts w:cs="Arial"/>
                <w:b/>
                <w:color w:val="auto"/>
                <w:sz w:val="20"/>
                <w:szCs w:val="20"/>
              </w:rPr>
              <w:t>42,370.75</w:t>
            </w:r>
          </w:p>
        </w:tc>
        <w:tc>
          <w:tcPr>
            <w:cnfStyle w:val="000010000000"/>
            <w:tcW w:w="1272" w:type="dxa"/>
          </w:tcPr>
          <w:p w:rsidR="00F17C3C" w:rsidRPr="00601D1B" w:rsidRDefault="00C969C6" w:rsidP="00ED6A5B">
            <w:pPr>
              <w:pStyle w:val="BodyTextIndent"/>
              <w:tabs>
                <w:tab w:val="left" w:pos="1350"/>
              </w:tabs>
              <w:ind w:left="0"/>
              <w:jc w:val="center"/>
              <w:rPr>
                <w:rFonts w:cs="Arial"/>
                <w:color w:val="auto"/>
                <w:sz w:val="20"/>
                <w:szCs w:val="20"/>
              </w:rPr>
            </w:pPr>
            <w:r>
              <w:rPr>
                <w:rFonts w:cs="Arial"/>
                <w:color w:val="auto"/>
                <w:sz w:val="20"/>
                <w:szCs w:val="20"/>
              </w:rPr>
              <w:t>(41,713.28 14/15)</w:t>
            </w:r>
          </w:p>
        </w:tc>
        <w:tc>
          <w:tcPr>
            <w:tcW w:w="1159" w:type="dxa"/>
          </w:tcPr>
          <w:p w:rsidR="00F17C3C" w:rsidRPr="00601D1B" w:rsidRDefault="00F17C3C" w:rsidP="004B68AE">
            <w:pPr>
              <w:pStyle w:val="BodyTextIndent"/>
              <w:tabs>
                <w:tab w:val="left" w:pos="1350"/>
              </w:tabs>
              <w:ind w:left="0"/>
              <w:jc w:val="right"/>
              <w:cnfStyle w:val="000000100000"/>
              <w:rPr>
                <w:rFonts w:cs="Arial"/>
                <w:color w:val="auto"/>
                <w:sz w:val="20"/>
                <w:szCs w:val="20"/>
              </w:rPr>
            </w:pPr>
          </w:p>
        </w:tc>
        <w:tc>
          <w:tcPr>
            <w:cnfStyle w:val="000010000000"/>
            <w:tcW w:w="1244" w:type="dxa"/>
          </w:tcPr>
          <w:p w:rsidR="00F17C3C" w:rsidRPr="00601D1B" w:rsidRDefault="00C969C6" w:rsidP="004B68AE">
            <w:pPr>
              <w:pStyle w:val="BodyTextIndent"/>
              <w:tabs>
                <w:tab w:val="left" w:pos="1350"/>
              </w:tabs>
              <w:ind w:left="0"/>
              <w:jc w:val="right"/>
              <w:rPr>
                <w:rFonts w:cs="Arial"/>
                <w:b/>
                <w:color w:val="auto"/>
                <w:sz w:val="20"/>
                <w:szCs w:val="20"/>
              </w:rPr>
            </w:pPr>
            <w:r>
              <w:rPr>
                <w:rFonts w:cs="Arial"/>
                <w:b/>
                <w:color w:val="auto"/>
                <w:sz w:val="20"/>
                <w:szCs w:val="20"/>
              </w:rPr>
              <w:t>5,719.39</w:t>
            </w:r>
          </w:p>
        </w:tc>
        <w:tc>
          <w:tcPr>
            <w:tcW w:w="1449" w:type="dxa"/>
          </w:tcPr>
          <w:p w:rsidR="00F17C3C" w:rsidRPr="00601D1B" w:rsidRDefault="00C969C6" w:rsidP="0019078B">
            <w:pPr>
              <w:pStyle w:val="BodyTextIndent"/>
              <w:tabs>
                <w:tab w:val="left" w:pos="1350"/>
              </w:tabs>
              <w:ind w:left="0"/>
              <w:jc w:val="center"/>
              <w:cnfStyle w:val="000000100000"/>
              <w:rPr>
                <w:rFonts w:cs="Arial"/>
                <w:color w:val="auto"/>
                <w:sz w:val="20"/>
                <w:szCs w:val="20"/>
              </w:rPr>
            </w:pPr>
            <w:r>
              <w:rPr>
                <w:rFonts w:cs="Arial"/>
                <w:color w:val="auto"/>
                <w:sz w:val="20"/>
                <w:szCs w:val="20"/>
              </w:rPr>
              <w:t>(5,633.</w:t>
            </w:r>
            <w:r w:rsidR="0019078B">
              <w:rPr>
                <w:rFonts w:cs="Arial"/>
                <w:color w:val="auto"/>
                <w:sz w:val="20"/>
                <w:szCs w:val="20"/>
              </w:rPr>
              <w:t>3</w:t>
            </w:r>
            <w:r>
              <w:rPr>
                <w:rFonts w:cs="Arial"/>
                <w:color w:val="auto"/>
                <w:sz w:val="20"/>
                <w:szCs w:val="20"/>
              </w:rPr>
              <w:t>8 14/15)</w:t>
            </w:r>
          </w:p>
        </w:tc>
      </w:tr>
      <w:tr w:rsidR="009142A8" w:rsidRPr="00601D1B" w:rsidTr="00D85DF8">
        <w:trPr>
          <w:trHeight w:val="419"/>
        </w:trPr>
        <w:tc>
          <w:tcPr>
            <w:cnfStyle w:val="000010000000"/>
            <w:tcW w:w="3252" w:type="dxa"/>
            <w:gridSpan w:val="3"/>
          </w:tcPr>
          <w:p w:rsidR="009142A8" w:rsidRPr="00601D1B" w:rsidRDefault="009142A8" w:rsidP="006507E5">
            <w:pPr>
              <w:pStyle w:val="BodyTextIndent"/>
              <w:tabs>
                <w:tab w:val="left" w:pos="1350"/>
              </w:tabs>
              <w:ind w:left="0"/>
              <w:jc w:val="center"/>
              <w:rPr>
                <w:rFonts w:cs="Arial"/>
                <w:color w:val="auto"/>
                <w:sz w:val="20"/>
                <w:szCs w:val="20"/>
              </w:rPr>
            </w:pPr>
          </w:p>
        </w:tc>
        <w:tc>
          <w:tcPr>
            <w:tcW w:w="1254" w:type="dxa"/>
          </w:tcPr>
          <w:p w:rsidR="009142A8" w:rsidRPr="00601D1B" w:rsidRDefault="009142A8" w:rsidP="004B68AE">
            <w:pPr>
              <w:pStyle w:val="BodyTextIndent"/>
              <w:tabs>
                <w:tab w:val="left" w:pos="1350"/>
              </w:tabs>
              <w:ind w:left="331" w:hanging="331"/>
              <w:jc w:val="right"/>
              <w:cnfStyle w:val="000000000000"/>
              <w:rPr>
                <w:rFonts w:cs="Arial"/>
                <w:b/>
                <w:color w:val="auto"/>
                <w:sz w:val="20"/>
                <w:szCs w:val="20"/>
              </w:rPr>
            </w:pPr>
          </w:p>
        </w:tc>
        <w:tc>
          <w:tcPr>
            <w:cnfStyle w:val="000010000000"/>
            <w:tcW w:w="1272" w:type="dxa"/>
          </w:tcPr>
          <w:p w:rsidR="009142A8" w:rsidRPr="00601D1B" w:rsidRDefault="009142A8" w:rsidP="004B68AE">
            <w:pPr>
              <w:pStyle w:val="BodyTextIndent"/>
              <w:tabs>
                <w:tab w:val="left" w:pos="1350"/>
              </w:tabs>
              <w:ind w:left="0"/>
              <w:jc w:val="center"/>
              <w:rPr>
                <w:rFonts w:cs="Arial"/>
                <w:color w:val="auto"/>
                <w:sz w:val="20"/>
                <w:szCs w:val="20"/>
              </w:rPr>
            </w:pPr>
          </w:p>
        </w:tc>
        <w:tc>
          <w:tcPr>
            <w:tcW w:w="1159" w:type="dxa"/>
          </w:tcPr>
          <w:p w:rsidR="009142A8" w:rsidRPr="00601D1B" w:rsidRDefault="009142A8" w:rsidP="004B68AE">
            <w:pPr>
              <w:pStyle w:val="BodyTextIndent"/>
              <w:tabs>
                <w:tab w:val="left" w:pos="1350"/>
              </w:tabs>
              <w:ind w:left="0"/>
              <w:jc w:val="right"/>
              <w:cnfStyle w:val="000000000000"/>
              <w:rPr>
                <w:rFonts w:cs="Arial"/>
                <w:color w:val="auto"/>
                <w:sz w:val="20"/>
                <w:szCs w:val="20"/>
              </w:rPr>
            </w:pPr>
          </w:p>
        </w:tc>
        <w:tc>
          <w:tcPr>
            <w:cnfStyle w:val="000010000000"/>
            <w:tcW w:w="1244" w:type="dxa"/>
          </w:tcPr>
          <w:p w:rsidR="009142A8" w:rsidRPr="00601D1B" w:rsidRDefault="009142A8" w:rsidP="004B68AE">
            <w:pPr>
              <w:pStyle w:val="BodyTextIndent"/>
              <w:tabs>
                <w:tab w:val="left" w:pos="1350"/>
              </w:tabs>
              <w:ind w:left="0"/>
              <w:jc w:val="right"/>
              <w:rPr>
                <w:rFonts w:cs="Arial"/>
                <w:b/>
                <w:color w:val="auto"/>
                <w:sz w:val="20"/>
                <w:szCs w:val="20"/>
              </w:rPr>
            </w:pPr>
          </w:p>
        </w:tc>
        <w:tc>
          <w:tcPr>
            <w:tcW w:w="1449" w:type="dxa"/>
          </w:tcPr>
          <w:p w:rsidR="009142A8" w:rsidRPr="00601D1B" w:rsidRDefault="009142A8" w:rsidP="004B68AE">
            <w:pPr>
              <w:pStyle w:val="BodyTextIndent"/>
              <w:tabs>
                <w:tab w:val="left" w:pos="1350"/>
              </w:tabs>
              <w:ind w:left="0"/>
              <w:jc w:val="center"/>
              <w:cnfStyle w:val="000000000000"/>
              <w:rPr>
                <w:rFonts w:cs="Arial"/>
                <w:color w:val="auto"/>
                <w:sz w:val="20"/>
                <w:szCs w:val="20"/>
              </w:rPr>
            </w:pPr>
          </w:p>
        </w:tc>
      </w:tr>
      <w:tr w:rsidR="00E34C6B" w:rsidRPr="00601D1B" w:rsidTr="00D85DF8">
        <w:trPr>
          <w:cnfStyle w:val="000000100000"/>
          <w:trHeight w:val="419"/>
        </w:trPr>
        <w:tc>
          <w:tcPr>
            <w:cnfStyle w:val="000010000000"/>
            <w:tcW w:w="4506" w:type="dxa"/>
            <w:gridSpan w:val="4"/>
          </w:tcPr>
          <w:p w:rsidR="00E34C6B" w:rsidRPr="00601D1B" w:rsidRDefault="00E34C6B" w:rsidP="004B68AE">
            <w:pPr>
              <w:pStyle w:val="BodyTextIndent"/>
              <w:tabs>
                <w:tab w:val="left" w:pos="1350"/>
              </w:tabs>
              <w:ind w:left="331" w:hanging="331"/>
              <w:jc w:val="right"/>
              <w:rPr>
                <w:rFonts w:cs="Arial"/>
                <w:b/>
                <w:color w:val="auto"/>
                <w:sz w:val="20"/>
                <w:szCs w:val="20"/>
              </w:rPr>
            </w:pPr>
            <w:r w:rsidRPr="00601D1B">
              <w:rPr>
                <w:color w:val="auto"/>
                <w:sz w:val="20"/>
                <w:szCs w:val="20"/>
              </w:rPr>
              <w:t>Band D Council Tax (excluding Brixham Town Council precept)</w:t>
            </w:r>
          </w:p>
        </w:tc>
        <w:tc>
          <w:tcPr>
            <w:tcW w:w="1272" w:type="dxa"/>
          </w:tcPr>
          <w:p w:rsidR="00E34C6B" w:rsidRDefault="00C969C6" w:rsidP="003E404F">
            <w:pPr>
              <w:pStyle w:val="BodyTextIndent"/>
              <w:tabs>
                <w:tab w:val="left" w:pos="1350"/>
              </w:tabs>
              <w:ind w:left="0"/>
              <w:jc w:val="center"/>
              <w:cnfStyle w:val="000000100000"/>
              <w:rPr>
                <w:rFonts w:cs="Arial"/>
                <w:color w:val="auto"/>
                <w:sz w:val="20"/>
                <w:szCs w:val="20"/>
              </w:rPr>
            </w:pPr>
            <w:r>
              <w:rPr>
                <w:rFonts w:cs="Arial"/>
                <w:color w:val="auto"/>
                <w:sz w:val="20"/>
                <w:szCs w:val="20"/>
              </w:rPr>
              <w:t>1,509.06</w:t>
            </w:r>
          </w:p>
          <w:p w:rsidR="00C969C6" w:rsidRPr="00601D1B" w:rsidRDefault="00C969C6" w:rsidP="003E404F">
            <w:pPr>
              <w:pStyle w:val="BodyTextIndent"/>
              <w:tabs>
                <w:tab w:val="left" w:pos="1350"/>
              </w:tabs>
              <w:ind w:left="0"/>
              <w:jc w:val="center"/>
              <w:cnfStyle w:val="000000100000"/>
              <w:rPr>
                <w:rFonts w:cs="Arial"/>
                <w:color w:val="auto"/>
                <w:sz w:val="20"/>
                <w:szCs w:val="20"/>
              </w:rPr>
            </w:pPr>
            <w:r>
              <w:rPr>
                <w:rFonts w:cs="Arial"/>
                <w:color w:val="auto"/>
                <w:sz w:val="20"/>
                <w:szCs w:val="20"/>
              </w:rPr>
              <w:t>(1,504.22 14/15)</w:t>
            </w:r>
          </w:p>
        </w:tc>
        <w:tc>
          <w:tcPr>
            <w:cnfStyle w:val="000010000000"/>
            <w:tcW w:w="2403" w:type="dxa"/>
            <w:gridSpan w:val="2"/>
          </w:tcPr>
          <w:p w:rsidR="00E34C6B" w:rsidRPr="00601D1B" w:rsidRDefault="00E34C6B" w:rsidP="004B68AE">
            <w:pPr>
              <w:pStyle w:val="BodyTextIndent"/>
              <w:tabs>
                <w:tab w:val="left" w:pos="1350"/>
              </w:tabs>
              <w:ind w:left="0"/>
              <w:jc w:val="right"/>
              <w:rPr>
                <w:rFonts w:cs="Arial"/>
                <w:b/>
                <w:color w:val="auto"/>
                <w:sz w:val="20"/>
                <w:szCs w:val="20"/>
              </w:rPr>
            </w:pPr>
            <w:r w:rsidRPr="00601D1B">
              <w:rPr>
                <w:color w:val="auto"/>
                <w:sz w:val="20"/>
                <w:szCs w:val="20"/>
              </w:rPr>
              <w:t>Band D Council Tax (including Brixham Town Council precept)</w:t>
            </w:r>
          </w:p>
        </w:tc>
        <w:tc>
          <w:tcPr>
            <w:tcW w:w="1449" w:type="dxa"/>
          </w:tcPr>
          <w:p w:rsidR="00E34C6B" w:rsidRDefault="00C969C6" w:rsidP="00ED6A5B">
            <w:pPr>
              <w:pStyle w:val="BodyTextIndent"/>
              <w:tabs>
                <w:tab w:val="left" w:pos="1350"/>
              </w:tabs>
              <w:ind w:left="0"/>
              <w:jc w:val="center"/>
              <w:cnfStyle w:val="000000100000"/>
              <w:rPr>
                <w:rFonts w:cs="Arial"/>
                <w:color w:val="auto"/>
                <w:sz w:val="20"/>
                <w:szCs w:val="20"/>
              </w:rPr>
            </w:pPr>
            <w:r>
              <w:rPr>
                <w:rFonts w:cs="Arial"/>
                <w:color w:val="auto"/>
                <w:sz w:val="20"/>
                <w:szCs w:val="20"/>
              </w:rPr>
              <w:t>1,548.06</w:t>
            </w:r>
          </w:p>
          <w:p w:rsidR="00C969C6" w:rsidRPr="00601D1B" w:rsidRDefault="00C969C6" w:rsidP="00ED6A5B">
            <w:pPr>
              <w:pStyle w:val="BodyTextIndent"/>
              <w:tabs>
                <w:tab w:val="left" w:pos="1350"/>
              </w:tabs>
              <w:ind w:left="0"/>
              <w:jc w:val="center"/>
              <w:cnfStyle w:val="000000100000"/>
              <w:rPr>
                <w:rFonts w:cs="Arial"/>
                <w:color w:val="auto"/>
                <w:sz w:val="20"/>
                <w:szCs w:val="20"/>
              </w:rPr>
            </w:pPr>
            <w:r>
              <w:rPr>
                <w:rFonts w:cs="Arial"/>
                <w:color w:val="auto"/>
                <w:sz w:val="20"/>
                <w:szCs w:val="20"/>
              </w:rPr>
              <w:t>(1,538.71 14/15)</w:t>
            </w:r>
          </w:p>
        </w:tc>
      </w:tr>
    </w:tbl>
    <w:p w:rsidR="006507E5" w:rsidRPr="00D42E0B" w:rsidRDefault="006507E5" w:rsidP="002E5EB6">
      <w:pPr>
        <w:pStyle w:val="BodyTextIndent"/>
        <w:tabs>
          <w:tab w:val="left" w:pos="1350"/>
        </w:tabs>
        <w:ind w:left="0"/>
        <w:rPr>
          <w:rFonts w:eastAsia="Arial" w:cs="Arial"/>
          <w:color w:val="548DD4" w:themeColor="text2" w:themeTint="99"/>
          <w:sz w:val="20"/>
          <w:szCs w:val="20"/>
          <w:lang w:eastAsia="en-GB"/>
        </w:rPr>
      </w:pPr>
    </w:p>
    <w:p w:rsidR="00E13756" w:rsidRPr="00D42E0B" w:rsidRDefault="00E13756" w:rsidP="002E5EB6">
      <w:pPr>
        <w:pStyle w:val="BodyTextIndent"/>
        <w:tabs>
          <w:tab w:val="left" w:pos="420"/>
        </w:tabs>
        <w:ind w:left="0"/>
        <w:rPr>
          <w:b/>
          <w:color w:val="548DD4" w:themeColor="text2" w:themeTint="99"/>
        </w:rPr>
      </w:pPr>
    </w:p>
    <w:p w:rsidR="00E51139" w:rsidRPr="00051379" w:rsidRDefault="00A16E08" w:rsidP="006507E5">
      <w:pPr>
        <w:pStyle w:val="BodyTextIndent"/>
        <w:tabs>
          <w:tab w:val="left" w:pos="567"/>
        </w:tabs>
        <w:ind w:left="0"/>
        <w:rPr>
          <w:b/>
          <w:color w:val="auto"/>
        </w:rPr>
      </w:pPr>
      <w:r w:rsidRPr="00051379">
        <w:rPr>
          <w:b/>
          <w:color w:val="auto"/>
        </w:rPr>
        <w:t>B</w:t>
      </w:r>
      <w:r w:rsidR="006507E5" w:rsidRPr="00051379">
        <w:rPr>
          <w:b/>
          <w:color w:val="auto"/>
        </w:rPr>
        <w:t>)</w:t>
      </w:r>
      <w:r w:rsidR="006507E5" w:rsidRPr="00051379">
        <w:rPr>
          <w:b/>
          <w:color w:val="auto"/>
        </w:rPr>
        <w:tab/>
      </w:r>
      <w:r w:rsidR="00E51139" w:rsidRPr="00051379">
        <w:rPr>
          <w:b/>
          <w:color w:val="auto"/>
        </w:rPr>
        <w:t>Income from Business Rates</w:t>
      </w:r>
    </w:p>
    <w:p w:rsidR="00E51139" w:rsidRPr="00D42E0B" w:rsidRDefault="00E51139" w:rsidP="006507E5">
      <w:pPr>
        <w:pStyle w:val="BodyTextIndent"/>
        <w:tabs>
          <w:tab w:val="left" w:pos="1350"/>
        </w:tabs>
        <w:ind w:left="567"/>
        <w:rPr>
          <w:color w:val="548DD4" w:themeColor="text2" w:themeTint="99"/>
          <w:sz w:val="20"/>
          <w:szCs w:val="20"/>
        </w:rPr>
      </w:pPr>
      <w:r w:rsidRPr="00601D1B">
        <w:rPr>
          <w:color w:val="auto"/>
          <w:sz w:val="20"/>
          <w:szCs w:val="20"/>
        </w:rPr>
        <w:t>Under the arrangements for uniform business rates, the Council collects non-domestic rates for its area, which are based on local rateable values multiplied by a uniform rate.  The total rateable value as at 31st March 201</w:t>
      </w:r>
      <w:r w:rsidR="00601D1B" w:rsidRPr="00601D1B">
        <w:rPr>
          <w:color w:val="auto"/>
          <w:sz w:val="20"/>
          <w:szCs w:val="20"/>
        </w:rPr>
        <w:t>6</w:t>
      </w:r>
      <w:r w:rsidRPr="00601D1B">
        <w:rPr>
          <w:color w:val="auto"/>
          <w:sz w:val="20"/>
          <w:szCs w:val="20"/>
        </w:rPr>
        <w:t xml:space="preserve"> was</w:t>
      </w:r>
      <w:r w:rsidRPr="00D42E0B">
        <w:rPr>
          <w:color w:val="548DD4" w:themeColor="text2" w:themeTint="99"/>
          <w:sz w:val="20"/>
          <w:szCs w:val="20"/>
        </w:rPr>
        <w:t xml:space="preserve"> </w:t>
      </w:r>
      <w:r w:rsidRPr="007358BD">
        <w:rPr>
          <w:color w:val="auto"/>
          <w:sz w:val="20"/>
          <w:szCs w:val="20"/>
        </w:rPr>
        <w:t>£</w:t>
      </w:r>
      <w:r w:rsidR="00AE30BF" w:rsidRPr="007358BD">
        <w:rPr>
          <w:color w:val="auto"/>
          <w:sz w:val="20"/>
          <w:szCs w:val="20"/>
        </w:rPr>
        <w:t>98.</w:t>
      </w:r>
      <w:r w:rsidR="007358BD" w:rsidRPr="007358BD">
        <w:rPr>
          <w:color w:val="auto"/>
          <w:sz w:val="20"/>
          <w:szCs w:val="20"/>
        </w:rPr>
        <w:t>3</w:t>
      </w:r>
      <w:r w:rsidRPr="007358BD">
        <w:rPr>
          <w:color w:val="auto"/>
          <w:sz w:val="20"/>
          <w:szCs w:val="20"/>
        </w:rPr>
        <w:t>m</w:t>
      </w:r>
      <w:r w:rsidRPr="00D42E0B">
        <w:rPr>
          <w:color w:val="548DD4" w:themeColor="text2" w:themeTint="99"/>
          <w:sz w:val="20"/>
          <w:szCs w:val="20"/>
        </w:rPr>
        <w:t xml:space="preserve"> </w:t>
      </w:r>
      <w:r w:rsidRPr="00601D1B">
        <w:rPr>
          <w:color w:val="auto"/>
          <w:sz w:val="20"/>
          <w:szCs w:val="20"/>
        </w:rPr>
        <w:t>(201</w:t>
      </w:r>
      <w:r w:rsidR="00601D1B" w:rsidRPr="00601D1B">
        <w:rPr>
          <w:color w:val="auto"/>
          <w:sz w:val="20"/>
          <w:szCs w:val="20"/>
        </w:rPr>
        <w:t>4</w:t>
      </w:r>
      <w:r w:rsidR="00CF076D" w:rsidRPr="00601D1B">
        <w:rPr>
          <w:color w:val="auto"/>
          <w:sz w:val="20"/>
          <w:szCs w:val="20"/>
        </w:rPr>
        <w:t>/1</w:t>
      </w:r>
      <w:r w:rsidR="00601D1B" w:rsidRPr="00601D1B">
        <w:rPr>
          <w:color w:val="auto"/>
          <w:sz w:val="20"/>
          <w:szCs w:val="20"/>
        </w:rPr>
        <w:t>5</w:t>
      </w:r>
      <w:r w:rsidRPr="00601D1B">
        <w:rPr>
          <w:color w:val="auto"/>
          <w:sz w:val="20"/>
          <w:szCs w:val="20"/>
        </w:rPr>
        <w:t>: £</w:t>
      </w:r>
      <w:r w:rsidR="00CF076D" w:rsidRPr="00601D1B">
        <w:rPr>
          <w:color w:val="auto"/>
          <w:sz w:val="20"/>
          <w:szCs w:val="20"/>
        </w:rPr>
        <w:t>9</w:t>
      </w:r>
      <w:r w:rsidR="00AE30BF" w:rsidRPr="00601D1B">
        <w:rPr>
          <w:color w:val="auto"/>
          <w:sz w:val="20"/>
          <w:szCs w:val="20"/>
        </w:rPr>
        <w:t>8</w:t>
      </w:r>
      <w:r w:rsidR="00CF076D" w:rsidRPr="00601D1B">
        <w:rPr>
          <w:color w:val="auto"/>
          <w:sz w:val="20"/>
          <w:szCs w:val="20"/>
        </w:rPr>
        <w:t>.</w:t>
      </w:r>
      <w:r w:rsidR="00601D1B" w:rsidRPr="00601D1B">
        <w:rPr>
          <w:color w:val="auto"/>
          <w:sz w:val="20"/>
          <w:szCs w:val="20"/>
        </w:rPr>
        <w:t>1</w:t>
      </w:r>
      <w:r w:rsidRPr="00601D1B">
        <w:rPr>
          <w:color w:val="auto"/>
          <w:sz w:val="20"/>
          <w:szCs w:val="20"/>
        </w:rPr>
        <w:t>m).</w:t>
      </w:r>
      <w:r w:rsidRPr="00D42E0B">
        <w:rPr>
          <w:color w:val="548DD4" w:themeColor="text2" w:themeTint="99"/>
          <w:sz w:val="20"/>
          <w:szCs w:val="20"/>
        </w:rPr>
        <w:t xml:space="preserve"> </w:t>
      </w:r>
    </w:p>
    <w:p w:rsidR="00E51139" w:rsidRPr="00051379" w:rsidRDefault="00E51139" w:rsidP="006507E5">
      <w:pPr>
        <w:pStyle w:val="BodyTextIndent"/>
        <w:tabs>
          <w:tab w:val="left" w:pos="0"/>
        </w:tabs>
        <w:ind w:left="567"/>
        <w:rPr>
          <w:color w:val="auto"/>
          <w:sz w:val="20"/>
          <w:szCs w:val="20"/>
        </w:rPr>
      </w:pPr>
      <w:r w:rsidRPr="00051379">
        <w:rPr>
          <w:color w:val="auto"/>
          <w:sz w:val="20"/>
          <w:szCs w:val="20"/>
        </w:rPr>
        <w:t>In line with the Local Government Act 2003, from 1st April 2005, there are two multipliers, the small business non-domestic rating multiplier, which is applicable to those that qualify for the small business relief; and the non-domestic rating multiplier, which includes the supplement to pay for small business relief. The small business non-domestic rating multiplier for 201</w:t>
      </w:r>
      <w:r w:rsidR="00051379">
        <w:rPr>
          <w:color w:val="auto"/>
          <w:sz w:val="20"/>
          <w:szCs w:val="20"/>
        </w:rPr>
        <w:t>5</w:t>
      </w:r>
      <w:r w:rsidR="00CF076D" w:rsidRPr="00051379">
        <w:rPr>
          <w:color w:val="auto"/>
          <w:sz w:val="20"/>
          <w:szCs w:val="20"/>
        </w:rPr>
        <w:t>/1</w:t>
      </w:r>
      <w:r w:rsidR="00051379">
        <w:rPr>
          <w:color w:val="auto"/>
          <w:sz w:val="20"/>
          <w:szCs w:val="20"/>
        </w:rPr>
        <w:t>6</w:t>
      </w:r>
      <w:r w:rsidRPr="00051379">
        <w:rPr>
          <w:color w:val="auto"/>
          <w:sz w:val="20"/>
          <w:szCs w:val="20"/>
        </w:rPr>
        <w:t xml:space="preserve"> was</w:t>
      </w:r>
      <w:r w:rsidRPr="00D42E0B">
        <w:rPr>
          <w:color w:val="548DD4" w:themeColor="text2" w:themeTint="99"/>
          <w:sz w:val="20"/>
          <w:szCs w:val="20"/>
        </w:rPr>
        <w:t xml:space="preserve"> </w:t>
      </w:r>
      <w:r w:rsidR="007358BD" w:rsidRPr="007358BD">
        <w:rPr>
          <w:color w:val="auto"/>
          <w:sz w:val="20"/>
          <w:szCs w:val="20"/>
        </w:rPr>
        <w:t>48.0</w:t>
      </w:r>
      <w:r w:rsidRPr="007358BD">
        <w:rPr>
          <w:color w:val="auto"/>
          <w:sz w:val="20"/>
          <w:szCs w:val="20"/>
        </w:rPr>
        <w:t xml:space="preserve"> pence per pound of rateable value and the non domestic rating multiplier was </w:t>
      </w:r>
      <w:r w:rsidR="00E04750" w:rsidRPr="007358BD">
        <w:rPr>
          <w:color w:val="auto"/>
          <w:sz w:val="20"/>
          <w:szCs w:val="20"/>
        </w:rPr>
        <w:t>4</w:t>
      </w:r>
      <w:r w:rsidR="007358BD" w:rsidRPr="007358BD">
        <w:rPr>
          <w:color w:val="auto"/>
          <w:sz w:val="20"/>
          <w:szCs w:val="20"/>
        </w:rPr>
        <w:t>9.3</w:t>
      </w:r>
      <w:r w:rsidRPr="007358BD">
        <w:rPr>
          <w:color w:val="auto"/>
          <w:sz w:val="20"/>
          <w:szCs w:val="20"/>
        </w:rPr>
        <w:t xml:space="preserve"> pence per pound.</w:t>
      </w:r>
      <w:r w:rsidRPr="00051379">
        <w:rPr>
          <w:color w:val="auto"/>
          <w:sz w:val="20"/>
          <w:szCs w:val="20"/>
        </w:rPr>
        <w:t xml:space="preserve"> </w:t>
      </w:r>
    </w:p>
    <w:p w:rsidR="00E51139" w:rsidRPr="00051379" w:rsidRDefault="002124B3" w:rsidP="006507E5">
      <w:pPr>
        <w:pStyle w:val="BodyTextIndent"/>
        <w:tabs>
          <w:tab w:val="left" w:pos="0"/>
        </w:tabs>
        <w:ind w:left="567"/>
        <w:rPr>
          <w:rFonts w:cs="Arial"/>
          <w:color w:val="auto"/>
          <w:sz w:val="20"/>
          <w:szCs w:val="20"/>
          <w:lang w:eastAsia="en-GB"/>
        </w:rPr>
      </w:pPr>
      <w:r w:rsidRPr="00051379">
        <w:rPr>
          <w:rFonts w:cs="Arial"/>
          <w:color w:val="auto"/>
          <w:sz w:val="20"/>
          <w:szCs w:val="20"/>
          <w:lang w:eastAsia="en-GB"/>
        </w:rPr>
        <w:t xml:space="preserve">In </w:t>
      </w:r>
      <w:r w:rsidR="00E51139" w:rsidRPr="00051379">
        <w:rPr>
          <w:rFonts w:cs="Arial"/>
          <w:color w:val="auto"/>
          <w:sz w:val="20"/>
          <w:szCs w:val="20"/>
          <w:lang w:eastAsia="en-GB"/>
        </w:rPr>
        <w:t>April 2013 the NNDR retention scheme was introduced with Councils now responsible for a percentage share of all transactions in relation to NNDR income in their area. This to include movement up and down in NNDR income, (up to a safety net), which includes the payment of any outstanding NNDR appeals as at 31st March 201</w:t>
      </w:r>
      <w:r w:rsidR="00051379" w:rsidRPr="00051379">
        <w:rPr>
          <w:rFonts w:cs="Arial"/>
          <w:color w:val="auto"/>
          <w:sz w:val="20"/>
          <w:szCs w:val="20"/>
          <w:lang w:eastAsia="en-GB"/>
        </w:rPr>
        <w:t>6</w:t>
      </w:r>
      <w:r w:rsidR="00E51139" w:rsidRPr="00051379">
        <w:rPr>
          <w:rFonts w:cs="Arial"/>
          <w:color w:val="auto"/>
          <w:sz w:val="20"/>
          <w:szCs w:val="20"/>
          <w:lang w:eastAsia="en-GB"/>
        </w:rPr>
        <w:t xml:space="preserve"> tha</w:t>
      </w:r>
      <w:r w:rsidR="003426EF" w:rsidRPr="00051379">
        <w:rPr>
          <w:rFonts w:cs="Arial"/>
          <w:color w:val="auto"/>
          <w:sz w:val="20"/>
          <w:szCs w:val="20"/>
          <w:lang w:eastAsia="en-GB"/>
        </w:rPr>
        <w:t>t</w:t>
      </w:r>
      <w:r w:rsidR="00E51139" w:rsidRPr="00051379">
        <w:rPr>
          <w:rFonts w:cs="Arial"/>
          <w:color w:val="auto"/>
          <w:sz w:val="20"/>
          <w:szCs w:val="20"/>
          <w:lang w:eastAsia="en-GB"/>
        </w:rPr>
        <w:t xml:space="preserve"> have not yet been determined by the valuation office. Torbay Council as a unitary authority </w:t>
      </w:r>
      <w:r w:rsidRPr="00051379">
        <w:rPr>
          <w:rFonts w:cs="Arial"/>
          <w:color w:val="auto"/>
          <w:sz w:val="20"/>
          <w:szCs w:val="20"/>
          <w:lang w:eastAsia="en-GB"/>
        </w:rPr>
        <w:t xml:space="preserve">is </w:t>
      </w:r>
      <w:r w:rsidR="00E51139" w:rsidRPr="00051379">
        <w:rPr>
          <w:rFonts w:cs="Arial"/>
          <w:color w:val="auto"/>
          <w:sz w:val="20"/>
          <w:szCs w:val="20"/>
          <w:lang w:eastAsia="en-GB"/>
        </w:rPr>
        <w:t xml:space="preserve">responsible for 49% of the NNDR income, Devon and Somerset Fire authority 1% and the Department of Communities and Local Government 50%. </w:t>
      </w:r>
    </w:p>
    <w:p w:rsidR="00E51139" w:rsidRPr="00D42E0B" w:rsidRDefault="00E51139" w:rsidP="001202F3">
      <w:pPr>
        <w:pStyle w:val="BodyTextIndent"/>
        <w:tabs>
          <w:tab w:val="left" w:pos="1350"/>
        </w:tabs>
        <w:ind w:left="630"/>
        <w:jc w:val="center"/>
        <w:rPr>
          <w:b/>
          <w:color w:val="548DD4" w:themeColor="text2" w:themeTint="99"/>
          <w:sz w:val="24"/>
          <w:szCs w:val="24"/>
        </w:rPr>
      </w:pPr>
    </w:p>
    <w:p w:rsidR="00E51139" w:rsidRPr="00D42E0B" w:rsidRDefault="00E51139" w:rsidP="005D121D">
      <w:pPr>
        <w:pStyle w:val="BodyText"/>
        <w:widowControl w:val="0"/>
        <w:jc w:val="center"/>
        <w:rPr>
          <w:rFonts w:cs="Arial"/>
          <w:b/>
          <w:color w:val="548DD4" w:themeColor="text2" w:themeTint="99"/>
          <w:sz w:val="32"/>
          <w:szCs w:val="32"/>
        </w:rPr>
      </w:pPr>
    </w:p>
    <w:p w:rsidR="00C73D8D" w:rsidRPr="00D42E0B" w:rsidRDefault="00C73D8D" w:rsidP="005D121D">
      <w:pPr>
        <w:pStyle w:val="BodyText"/>
        <w:widowControl w:val="0"/>
        <w:jc w:val="center"/>
        <w:rPr>
          <w:rFonts w:cs="Arial"/>
          <w:b/>
          <w:color w:val="548DD4" w:themeColor="text2" w:themeTint="99"/>
          <w:sz w:val="32"/>
          <w:szCs w:val="32"/>
        </w:rPr>
      </w:pPr>
    </w:p>
    <w:p w:rsidR="00C73D8D" w:rsidRPr="00D42E0B" w:rsidRDefault="00C73D8D" w:rsidP="005D121D">
      <w:pPr>
        <w:pStyle w:val="BodyText"/>
        <w:widowControl w:val="0"/>
        <w:jc w:val="center"/>
        <w:rPr>
          <w:rFonts w:cs="Arial"/>
          <w:b/>
          <w:color w:val="548DD4" w:themeColor="text2" w:themeTint="99"/>
          <w:sz w:val="32"/>
          <w:szCs w:val="32"/>
        </w:rPr>
      </w:pPr>
    </w:p>
    <w:p w:rsidR="00C73D8D" w:rsidRPr="00D42E0B" w:rsidRDefault="00C73D8D" w:rsidP="005D121D">
      <w:pPr>
        <w:pStyle w:val="BodyText"/>
        <w:widowControl w:val="0"/>
        <w:jc w:val="center"/>
        <w:rPr>
          <w:rFonts w:cs="Arial"/>
          <w:b/>
          <w:color w:val="548DD4" w:themeColor="text2" w:themeTint="99"/>
          <w:sz w:val="32"/>
          <w:szCs w:val="32"/>
        </w:rPr>
      </w:pPr>
    </w:p>
    <w:p w:rsidR="005C68D8" w:rsidRPr="00D42E0B" w:rsidRDefault="005C68D8" w:rsidP="001B40D8">
      <w:pPr>
        <w:pStyle w:val="BodyText"/>
        <w:widowControl w:val="0"/>
        <w:rPr>
          <w:rFonts w:cs="Arial"/>
          <w:b/>
          <w:color w:val="548DD4" w:themeColor="text2" w:themeTint="99"/>
          <w:sz w:val="32"/>
          <w:szCs w:val="32"/>
        </w:rPr>
      </w:pPr>
    </w:p>
    <w:p w:rsidR="005C68D8" w:rsidRPr="00D42E0B" w:rsidRDefault="005C68D8" w:rsidP="00C73D8D">
      <w:pPr>
        <w:pStyle w:val="BodyText"/>
        <w:widowControl w:val="0"/>
        <w:jc w:val="center"/>
        <w:rPr>
          <w:rFonts w:cs="Arial"/>
          <w:b/>
          <w:color w:val="548DD4" w:themeColor="text2" w:themeTint="99"/>
          <w:sz w:val="32"/>
          <w:szCs w:val="32"/>
        </w:rPr>
      </w:pPr>
    </w:p>
    <w:p w:rsidR="00C73D8D" w:rsidRPr="00CC0392" w:rsidRDefault="00C73D8D" w:rsidP="00C73D8D">
      <w:pPr>
        <w:pStyle w:val="BodyText"/>
        <w:widowControl w:val="0"/>
        <w:jc w:val="center"/>
        <w:rPr>
          <w:rFonts w:cs="Arial"/>
          <w:b/>
          <w:color w:val="auto"/>
          <w:sz w:val="32"/>
          <w:szCs w:val="32"/>
        </w:rPr>
      </w:pPr>
      <w:r w:rsidRPr="00CC0392">
        <w:rPr>
          <w:rFonts w:cs="Arial"/>
          <w:b/>
          <w:color w:val="auto"/>
          <w:sz w:val="32"/>
          <w:szCs w:val="32"/>
        </w:rPr>
        <w:t>ANNUAL GOVERNANCE STATEMENT 201</w:t>
      </w:r>
      <w:r w:rsidR="00051379" w:rsidRPr="00CC0392">
        <w:rPr>
          <w:rFonts w:cs="Arial"/>
          <w:b/>
          <w:color w:val="auto"/>
          <w:sz w:val="32"/>
          <w:szCs w:val="32"/>
        </w:rPr>
        <w:t>5</w:t>
      </w:r>
      <w:r w:rsidRPr="00CC0392">
        <w:rPr>
          <w:rFonts w:cs="Arial"/>
          <w:b/>
          <w:color w:val="auto"/>
          <w:sz w:val="32"/>
          <w:szCs w:val="32"/>
        </w:rPr>
        <w:t>/1</w:t>
      </w:r>
      <w:r w:rsidR="00051379" w:rsidRPr="00CC0392">
        <w:rPr>
          <w:rFonts w:cs="Arial"/>
          <w:b/>
          <w:color w:val="auto"/>
          <w:sz w:val="32"/>
          <w:szCs w:val="32"/>
        </w:rPr>
        <w:t>6</w:t>
      </w:r>
    </w:p>
    <w:p w:rsidR="00C73D8D" w:rsidRDefault="00C73D8D" w:rsidP="00C73D8D">
      <w:pPr>
        <w:autoSpaceDE w:val="0"/>
        <w:autoSpaceDN w:val="0"/>
        <w:spacing w:line="360" w:lineRule="auto"/>
        <w:rPr>
          <w:rFonts w:cs="Arial"/>
          <w:color w:val="548DD4" w:themeColor="text2" w:themeTint="99"/>
          <w:sz w:val="20"/>
          <w:szCs w:val="20"/>
          <w:lang w:eastAsia="en-GB"/>
        </w:rPr>
      </w:pPr>
    </w:p>
    <w:p w:rsidR="00CC0392" w:rsidRDefault="00CC0392" w:rsidP="00C73D8D">
      <w:pPr>
        <w:autoSpaceDE w:val="0"/>
        <w:autoSpaceDN w:val="0"/>
        <w:spacing w:line="360" w:lineRule="auto"/>
        <w:rPr>
          <w:rFonts w:cs="Arial"/>
          <w:color w:val="548DD4" w:themeColor="text2" w:themeTint="99"/>
          <w:sz w:val="20"/>
          <w:szCs w:val="20"/>
          <w:lang w:eastAsia="en-GB"/>
        </w:rPr>
      </w:pPr>
    </w:p>
    <w:p w:rsidR="00ED762B" w:rsidRPr="00D42E0B" w:rsidRDefault="00ED762B" w:rsidP="00C73D8D">
      <w:pPr>
        <w:autoSpaceDE w:val="0"/>
        <w:autoSpaceDN w:val="0"/>
        <w:spacing w:line="360" w:lineRule="auto"/>
        <w:rPr>
          <w:rFonts w:cs="Arial"/>
          <w:color w:val="548DD4" w:themeColor="text2" w:themeTint="99"/>
          <w:sz w:val="20"/>
          <w:szCs w:val="20"/>
          <w:lang w:eastAsia="en-GB"/>
        </w:rPr>
      </w:pPr>
    </w:p>
    <w:p w:rsidR="00ED762B" w:rsidRPr="00D42E0B" w:rsidRDefault="00ED762B" w:rsidP="00C73D8D">
      <w:pPr>
        <w:autoSpaceDE w:val="0"/>
        <w:autoSpaceDN w:val="0"/>
        <w:spacing w:line="360" w:lineRule="auto"/>
        <w:rPr>
          <w:rFonts w:cs="Arial"/>
          <w:color w:val="548DD4" w:themeColor="text2" w:themeTint="99"/>
          <w:sz w:val="20"/>
          <w:szCs w:val="20"/>
          <w:lang w:eastAsia="en-GB"/>
        </w:rPr>
      </w:pPr>
    </w:p>
    <w:p w:rsidR="00ED762B" w:rsidRPr="00D42E0B" w:rsidRDefault="00ED762B" w:rsidP="00C73D8D">
      <w:pPr>
        <w:autoSpaceDE w:val="0"/>
        <w:autoSpaceDN w:val="0"/>
        <w:spacing w:line="360" w:lineRule="auto"/>
        <w:rPr>
          <w:rFonts w:cs="Arial"/>
          <w:color w:val="548DD4" w:themeColor="text2" w:themeTint="99"/>
          <w:sz w:val="20"/>
          <w:szCs w:val="20"/>
          <w:lang w:eastAsia="en-GB"/>
        </w:rPr>
      </w:pPr>
    </w:p>
    <w:p w:rsidR="00ED762B" w:rsidRPr="00D42E0B" w:rsidRDefault="00ED762B" w:rsidP="00C73D8D">
      <w:pPr>
        <w:autoSpaceDE w:val="0"/>
        <w:autoSpaceDN w:val="0"/>
        <w:spacing w:line="360" w:lineRule="auto"/>
        <w:rPr>
          <w:rFonts w:cs="Arial"/>
          <w:color w:val="548DD4" w:themeColor="text2" w:themeTint="99"/>
          <w:sz w:val="20"/>
          <w:szCs w:val="20"/>
          <w:lang w:eastAsia="en-GB"/>
        </w:rPr>
      </w:pPr>
    </w:p>
    <w:p w:rsidR="00ED762B" w:rsidRPr="00D42E0B" w:rsidRDefault="00ED762B" w:rsidP="00C73D8D">
      <w:pPr>
        <w:autoSpaceDE w:val="0"/>
        <w:autoSpaceDN w:val="0"/>
        <w:spacing w:line="360" w:lineRule="auto"/>
        <w:rPr>
          <w:rFonts w:cs="Arial"/>
          <w:color w:val="548DD4" w:themeColor="text2" w:themeTint="99"/>
          <w:sz w:val="20"/>
          <w:szCs w:val="20"/>
          <w:lang w:eastAsia="en-GB"/>
        </w:rPr>
      </w:pPr>
    </w:p>
    <w:p w:rsidR="00ED762B" w:rsidRPr="00D42E0B" w:rsidRDefault="00ED762B" w:rsidP="00C73D8D">
      <w:pPr>
        <w:autoSpaceDE w:val="0"/>
        <w:autoSpaceDN w:val="0"/>
        <w:spacing w:line="360" w:lineRule="auto"/>
        <w:rPr>
          <w:rFonts w:cs="Arial"/>
          <w:color w:val="548DD4" w:themeColor="text2" w:themeTint="99"/>
          <w:sz w:val="20"/>
          <w:szCs w:val="20"/>
          <w:lang w:eastAsia="en-GB"/>
        </w:rPr>
      </w:pPr>
    </w:p>
    <w:p w:rsidR="00ED762B" w:rsidRPr="00D42E0B" w:rsidRDefault="00ED762B" w:rsidP="00C73D8D">
      <w:pPr>
        <w:autoSpaceDE w:val="0"/>
        <w:autoSpaceDN w:val="0"/>
        <w:spacing w:line="360" w:lineRule="auto"/>
        <w:rPr>
          <w:rFonts w:cs="Arial"/>
          <w:color w:val="548DD4" w:themeColor="text2" w:themeTint="99"/>
          <w:sz w:val="20"/>
          <w:szCs w:val="20"/>
          <w:lang w:eastAsia="en-GB"/>
        </w:rPr>
      </w:pPr>
    </w:p>
    <w:p w:rsidR="00ED762B" w:rsidRDefault="00ED762B" w:rsidP="00C73D8D">
      <w:pPr>
        <w:autoSpaceDE w:val="0"/>
        <w:autoSpaceDN w:val="0"/>
        <w:spacing w:line="360" w:lineRule="auto"/>
        <w:rPr>
          <w:rFonts w:cs="Arial"/>
          <w:color w:val="548DD4" w:themeColor="text2" w:themeTint="99"/>
          <w:sz w:val="20"/>
          <w:szCs w:val="20"/>
          <w:lang w:eastAsia="en-GB"/>
        </w:rPr>
      </w:pPr>
    </w:p>
    <w:p w:rsidR="00F941E0" w:rsidRDefault="00F941E0" w:rsidP="00C73D8D">
      <w:pPr>
        <w:autoSpaceDE w:val="0"/>
        <w:autoSpaceDN w:val="0"/>
        <w:spacing w:line="360" w:lineRule="auto"/>
        <w:rPr>
          <w:rFonts w:cs="Arial"/>
          <w:color w:val="548DD4" w:themeColor="text2" w:themeTint="99"/>
          <w:sz w:val="20"/>
          <w:szCs w:val="20"/>
          <w:lang w:eastAsia="en-GB"/>
        </w:rPr>
      </w:pPr>
    </w:p>
    <w:p w:rsidR="00F941E0" w:rsidRDefault="00F941E0" w:rsidP="00C73D8D">
      <w:pPr>
        <w:autoSpaceDE w:val="0"/>
        <w:autoSpaceDN w:val="0"/>
        <w:spacing w:line="360" w:lineRule="auto"/>
        <w:rPr>
          <w:rFonts w:cs="Arial"/>
          <w:color w:val="548DD4" w:themeColor="text2" w:themeTint="99"/>
          <w:sz w:val="20"/>
          <w:szCs w:val="20"/>
          <w:lang w:eastAsia="en-GB"/>
        </w:rPr>
      </w:pPr>
    </w:p>
    <w:p w:rsidR="00484B66" w:rsidRDefault="00484B66" w:rsidP="00C73D8D">
      <w:pPr>
        <w:autoSpaceDE w:val="0"/>
        <w:autoSpaceDN w:val="0"/>
        <w:spacing w:line="360" w:lineRule="auto"/>
        <w:rPr>
          <w:rFonts w:cs="Arial"/>
          <w:color w:val="548DD4" w:themeColor="text2" w:themeTint="99"/>
          <w:sz w:val="20"/>
          <w:szCs w:val="20"/>
          <w:lang w:eastAsia="en-GB"/>
        </w:rPr>
      </w:pPr>
    </w:p>
    <w:p w:rsidR="00F941E0" w:rsidRDefault="00F941E0" w:rsidP="00C73D8D">
      <w:pPr>
        <w:autoSpaceDE w:val="0"/>
        <w:autoSpaceDN w:val="0"/>
        <w:spacing w:line="360" w:lineRule="auto"/>
        <w:rPr>
          <w:rFonts w:cs="Arial"/>
          <w:color w:val="548DD4" w:themeColor="text2" w:themeTint="99"/>
          <w:sz w:val="20"/>
          <w:szCs w:val="20"/>
          <w:lang w:eastAsia="en-GB"/>
        </w:rPr>
      </w:pPr>
    </w:p>
    <w:p w:rsidR="00F941E0" w:rsidRDefault="00F941E0" w:rsidP="00C73D8D">
      <w:pPr>
        <w:autoSpaceDE w:val="0"/>
        <w:autoSpaceDN w:val="0"/>
        <w:spacing w:line="360" w:lineRule="auto"/>
        <w:rPr>
          <w:rFonts w:cs="Arial"/>
          <w:color w:val="548DD4" w:themeColor="text2" w:themeTint="99"/>
          <w:sz w:val="20"/>
          <w:szCs w:val="20"/>
          <w:lang w:eastAsia="en-GB"/>
        </w:rPr>
      </w:pPr>
    </w:p>
    <w:p w:rsidR="00F941E0" w:rsidRPr="00D42E0B" w:rsidRDefault="00F941E0" w:rsidP="00C73D8D">
      <w:pPr>
        <w:autoSpaceDE w:val="0"/>
        <w:autoSpaceDN w:val="0"/>
        <w:spacing w:line="360" w:lineRule="auto"/>
        <w:rPr>
          <w:rFonts w:cs="Arial"/>
          <w:color w:val="548DD4" w:themeColor="text2" w:themeTint="99"/>
          <w:sz w:val="20"/>
          <w:szCs w:val="20"/>
          <w:lang w:eastAsia="en-GB"/>
        </w:rPr>
      </w:pPr>
    </w:p>
    <w:p w:rsidR="00ED762B" w:rsidRPr="00D42E0B" w:rsidRDefault="00ED762B" w:rsidP="00C73D8D">
      <w:pPr>
        <w:autoSpaceDE w:val="0"/>
        <w:autoSpaceDN w:val="0"/>
        <w:spacing w:line="360" w:lineRule="auto"/>
        <w:rPr>
          <w:rFonts w:cs="Arial"/>
          <w:color w:val="548DD4" w:themeColor="text2" w:themeTint="99"/>
          <w:sz w:val="20"/>
          <w:szCs w:val="20"/>
          <w:lang w:eastAsia="en-GB"/>
        </w:rPr>
      </w:pPr>
    </w:p>
    <w:p w:rsidR="00A76841" w:rsidRPr="00786DD8" w:rsidRDefault="00A76841" w:rsidP="00A76841">
      <w:pPr>
        <w:autoSpaceDE w:val="0"/>
        <w:autoSpaceDN w:val="0"/>
        <w:adjustRightInd w:val="0"/>
        <w:rPr>
          <w:rFonts w:asciiTheme="minorHAnsi" w:hAnsiTheme="minorHAnsi" w:cs="Arial"/>
          <w:color w:val="FF0000"/>
          <w:sz w:val="24"/>
          <w:szCs w:val="24"/>
        </w:rPr>
      </w:pPr>
      <w:r w:rsidRPr="00BC3DCC">
        <w:rPr>
          <w:rFonts w:asciiTheme="minorHAnsi" w:hAnsiTheme="minorHAnsi" w:cs="Arial"/>
          <w:b/>
          <w:bCs/>
          <w:sz w:val="24"/>
          <w:szCs w:val="24"/>
        </w:rPr>
        <w:lastRenderedPageBreak/>
        <w:t xml:space="preserve">ANNUAL GOVERNANCE STATEMENT FOR THE FINANCIAL YEAR </w:t>
      </w:r>
      <w:r>
        <w:rPr>
          <w:rFonts w:asciiTheme="minorHAnsi" w:hAnsiTheme="minorHAnsi" w:cs="Arial"/>
          <w:b/>
          <w:bCs/>
          <w:sz w:val="24"/>
          <w:szCs w:val="24"/>
        </w:rPr>
        <w:t>2015/2016</w:t>
      </w:r>
    </w:p>
    <w:p w:rsidR="00A76841" w:rsidRPr="00AC42C5" w:rsidRDefault="00A76841" w:rsidP="00A76841">
      <w:pPr>
        <w:autoSpaceDE w:val="0"/>
        <w:autoSpaceDN w:val="0"/>
        <w:adjustRightInd w:val="0"/>
        <w:rPr>
          <w:rFonts w:asciiTheme="minorHAnsi" w:hAnsiTheme="minorHAnsi" w:cs="Arial"/>
          <w:sz w:val="24"/>
          <w:szCs w:val="24"/>
        </w:rPr>
      </w:pPr>
      <w:r w:rsidRPr="00AC42C5">
        <w:rPr>
          <w:rFonts w:asciiTheme="minorHAnsi" w:hAnsiTheme="minorHAnsi" w:cs="Arial"/>
          <w:b/>
          <w:bCs/>
          <w:sz w:val="24"/>
          <w:szCs w:val="24"/>
        </w:rPr>
        <w:t xml:space="preserve">Scope of responsibility </w:t>
      </w:r>
    </w:p>
    <w:p w:rsidR="00A76841" w:rsidRPr="00AC42C5" w:rsidRDefault="00A76841" w:rsidP="00A76841">
      <w:pPr>
        <w:autoSpaceDE w:val="0"/>
        <w:autoSpaceDN w:val="0"/>
        <w:adjustRightInd w:val="0"/>
        <w:rPr>
          <w:rFonts w:asciiTheme="minorHAnsi" w:hAnsiTheme="minorHAnsi" w:cs="Arial"/>
          <w:sz w:val="24"/>
          <w:szCs w:val="24"/>
        </w:rPr>
      </w:pPr>
      <w:r w:rsidRPr="00AC42C5">
        <w:rPr>
          <w:rFonts w:asciiTheme="minorHAnsi" w:hAnsiTheme="minorHAnsi" w:cs="Arial"/>
          <w:sz w:val="24"/>
          <w:szCs w:val="24"/>
        </w:rPr>
        <w:t xml:space="preserve">Torbay Council is responsible for ensuring that its business is conducted in accordance with the law and proper standards, and that public money is safeguarded, properly accounted for and used economically, efficiently and effectively.  Torbay Council also has a duty under the Local Government Act 1999 to make arrangements to secure continuous improvement in the way in which its functions are exercised, having regard to a combination of economy, efficiency and effectiveness. </w:t>
      </w:r>
    </w:p>
    <w:p w:rsidR="00A76841" w:rsidRPr="00AC42C5" w:rsidRDefault="00A76841" w:rsidP="00A76841">
      <w:pPr>
        <w:autoSpaceDE w:val="0"/>
        <w:autoSpaceDN w:val="0"/>
        <w:adjustRightInd w:val="0"/>
        <w:rPr>
          <w:rFonts w:asciiTheme="minorHAnsi" w:hAnsiTheme="minorHAnsi" w:cs="Arial"/>
          <w:sz w:val="24"/>
          <w:szCs w:val="24"/>
        </w:rPr>
      </w:pPr>
      <w:r w:rsidRPr="00AC42C5">
        <w:rPr>
          <w:rFonts w:asciiTheme="minorHAnsi" w:hAnsiTheme="minorHAnsi" w:cs="Arial"/>
          <w:sz w:val="24"/>
          <w:szCs w:val="24"/>
        </w:rPr>
        <w:t xml:space="preserve">In discharging this overall responsibility, the Council is also responsible for putting in place proper arrangements for the governance of its affairs, facilitating the effective exercise of its functions, which includes arrangements for the management of risk. </w:t>
      </w:r>
    </w:p>
    <w:p w:rsidR="00A76841" w:rsidRPr="00AC42C5" w:rsidRDefault="00A76841" w:rsidP="00A76841">
      <w:pPr>
        <w:autoSpaceDE w:val="0"/>
        <w:autoSpaceDN w:val="0"/>
        <w:adjustRightInd w:val="0"/>
        <w:rPr>
          <w:rFonts w:asciiTheme="minorHAnsi" w:hAnsiTheme="minorHAnsi" w:cs="Arial"/>
          <w:sz w:val="24"/>
          <w:szCs w:val="24"/>
        </w:rPr>
      </w:pPr>
      <w:r w:rsidRPr="00AC42C5">
        <w:rPr>
          <w:rFonts w:asciiTheme="minorHAnsi" w:hAnsiTheme="minorHAnsi" w:cs="Arial"/>
          <w:sz w:val="24"/>
          <w:szCs w:val="24"/>
        </w:rPr>
        <w:t xml:space="preserve">Torbay Council has approved and adopted a code of corporate governance, which is consistent with the principles of the CIPFA/SOLACE Framework </w:t>
      </w:r>
      <w:r w:rsidRPr="00AC42C5">
        <w:rPr>
          <w:rFonts w:asciiTheme="minorHAnsi" w:hAnsiTheme="minorHAnsi" w:cs="Arial"/>
          <w:i/>
          <w:iCs/>
          <w:sz w:val="24"/>
          <w:szCs w:val="24"/>
        </w:rPr>
        <w:t xml:space="preserve">Delivering Good Governance in Local Government.  </w:t>
      </w:r>
      <w:r w:rsidRPr="00AC42C5">
        <w:rPr>
          <w:rFonts w:asciiTheme="minorHAnsi" w:hAnsiTheme="minorHAnsi" w:cs="Arial"/>
          <w:sz w:val="24"/>
          <w:szCs w:val="24"/>
        </w:rPr>
        <w:t xml:space="preserve">A copy of the code is on the Council’s website at </w:t>
      </w:r>
      <w:hyperlink r:id="rId54" w:history="1">
        <w:r w:rsidRPr="00AC42C5">
          <w:rPr>
            <w:rStyle w:val="Hyperlink"/>
            <w:rFonts w:asciiTheme="minorHAnsi" w:hAnsiTheme="minorHAnsi" w:cs="Arial"/>
            <w:sz w:val="24"/>
            <w:szCs w:val="24"/>
          </w:rPr>
          <w:t>http://www.torbay.gov.uk/DemocraticServices/documents/s22185/32%20Code%20of%20Corporate%20Governance.pdf</w:t>
        </w:r>
      </w:hyperlink>
      <w:r w:rsidRPr="00AC42C5">
        <w:rPr>
          <w:rFonts w:asciiTheme="minorHAnsi" w:hAnsiTheme="minorHAnsi" w:cs="Arial"/>
          <w:sz w:val="24"/>
          <w:szCs w:val="24"/>
        </w:rPr>
        <w:t xml:space="preserve"> or can be obtained from Governance Support. This statement explains how Torbay Council has complied with the code and also </w:t>
      </w:r>
      <w:r w:rsidRPr="00FC3658">
        <w:rPr>
          <w:rFonts w:asciiTheme="minorHAnsi" w:hAnsiTheme="minorHAnsi" w:cs="Arial"/>
          <w:sz w:val="24"/>
          <w:szCs w:val="24"/>
        </w:rPr>
        <w:t>meets the requirements of the Accounts and Audit (England) Regulations 2015 in</w:t>
      </w:r>
      <w:r w:rsidRPr="00AC42C5">
        <w:rPr>
          <w:rFonts w:asciiTheme="minorHAnsi" w:hAnsiTheme="minorHAnsi" w:cs="Arial"/>
          <w:sz w:val="24"/>
          <w:szCs w:val="24"/>
        </w:rPr>
        <w:t xml:space="preserve"> relation to the publication of a statement on internal control. </w:t>
      </w:r>
    </w:p>
    <w:p w:rsidR="00A76841" w:rsidRPr="00AC42C5" w:rsidRDefault="00A76841" w:rsidP="00A76841">
      <w:pPr>
        <w:autoSpaceDE w:val="0"/>
        <w:autoSpaceDN w:val="0"/>
        <w:adjustRightInd w:val="0"/>
        <w:rPr>
          <w:rFonts w:asciiTheme="minorHAnsi" w:hAnsiTheme="minorHAnsi" w:cs="Arial"/>
          <w:sz w:val="24"/>
          <w:szCs w:val="24"/>
        </w:rPr>
      </w:pPr>
      <w:r w:rsidRPr="00AC42C5">
        <w:rPr>
          <w:rFonts w:asciiTheme="minorHAnsi" w:hAnsiTheme="minorHAnsi" w:cs="Arial"/>
          <w:b/>
          <w:bCs/>
          <w:sz w:val="24"/>
          <w:szCs w:val="24"/>
        </w:rPr>
        <w:t xml:space="preserve">The purpose of the governance framework </w:t>
      </w:r>
    </w:p>
    <w:p w:rsidR="00A76841" w:rsidRPr="00AC42C5" w:rsidRDefault="00A76841" w:rsidP="00A76841">
      <w:pPr>
        <w:autoSpaceDE w:val="0"/>
        <w:autoSpaceDN w:val="0"/>
        <w:adjustRightInd w:val="0"/>
        <w:rPr>
          <w:rFonts w:asciiTheme="minorHAnsi" w:hAnsiTheme="minorHAnsi" w:cs="Arial"/>
          <w:sz w:val="24"/>
          <w:szCs w:val="24"/>
        </w:rPr>
      </w:pPr>
      <w:r w:rsidRPr="00AC42C5">
        <w:rPr>
          <w:rFonts w:asciiTheme="minorHAnsi" w:hAnsiTheme="minorHAnsi" w:cs="Arial"/>
          <w:sz w:val="24"/>
          <w:szCs w:val="24"/>
        </w:rPr>
        <w:t>The governance framework comprises the systems, processes, culture and values, by which the authority is directed and controlled and its</w:t>
      </w:r>
      <w:r w:rsidRPr="00AC42C5">
        <w:rPr>
          <w:rFonts w:asciiTheme="minorHAnsi" w:hAnsiTheme="minorHAnsi" w:cs="Arial"/>
          <w:i/>
          <w:sz w:val="24"/>
          <w:szCs w:val="24"/>
        </w:rPr>
        <w:t xml:space="preserve"> </w:t>
      </w:r>
      <w:r w:rsidRPr="00AC42C5">
        <w:rPr>
          <w:rFonts w:asciiTheme="minorHAnsi" w:hAnsiTheme="minorHAnsi" w:cs="Arial"/>
          <w:sz w:val="24"/>
          <w:szCs w:val="24"/>
        </w:rPr>
        <w:t xml:space="preserve">activities through which it accounts to, engages with and leads the community. It enables the authority to monitor the achievement of its strategic objectives and to consider whether those objectives have led to the delivery of appropriate, cost effective services. </w:t>
      </w:r>
    </w:p>
    <w:p w:rsidR="00A76841" w:rsidRPr="00AC42C5" w:rsidRDefault="00A76841" w:rsidP="00A76841">
      <w:pPr>
        <w:autoSpaceDE w:val="0"/>
        <w:autoSpaceDN w:val="0"/>
        <w:adjustRightInd w:val="0"/>
        <w:spacing w:after="120"/>
        <w:rPr>
          <w:rFonts w:asciiTheme="minorHAnsi" w:hAnsiTheme="minorHAnsi" w:cs="Arial"/>
          <w:sz w:val="24"/>
          <w:szCs w:val="24"/>
        </w:rPr>
      </w:pPr>
      <w:r w:rsidRPr="00AC42C5">
        <w:rPr>
          <w:rFonts w:asciiTheme="minorHAnsi" w:hAnsiTheme="minorHAnsi" w:cs="Arial"/>
          <w:sz w:val="24"/>
          <w:szCs w:val="24"/>
        </w:rPr>
        <w:t xml:space="preserve">The system of internal control is a significant part of that framework and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Torbay Council’s policies, aims and objectives, to evaluate the likelihood of those risks being realised and the impact should they be realised, and to manage them efficiently, effectively and economically. </w:t>
      </w:r>
    </w:p>
    <w:p w:rsidR="00A76841" w:rsidRPr="00AC42C5" w:rsidRDefault="00A76841" w:rsidP="00A76841">
      <w:pPr>
        <w:autoSpaceDE w:val="0"/>
        <w:autoSpaceDN w:val="0"/>
        <w:adjustRightInd w:val="0"/>
        <w:spacing w:after="120"/>
        <w:rPr>
          <w:rFonts w:asciiTheme="minorHAnsi" w:hAnsiTheme="minorHAnsi" w:cs="Arial"/>
          <w:sz w:val="24"/>
          <w:szCs w:val="24"/>
        </w:rPr>
      </w:pPr>
      <w:r w:rsidRPr="00AC42C5">
        <w:rPr>
          <w:rFonts w:asciiTheme="minorHAnsi" w:hAnsiTheme="minorHAnsi" w:cs="Arial"/>
          <w:sz w:val="24"/>
          <w:szCs w:val="24"/>
        </w:rPr>
        <w:t xml:space="preserve">The governance framework has been in place at Torbay Council throughout the year ended 31 March 2016 and up to the date of approval of the statement of accounts. </w:t>
      </w:r>
    </w:p>
    <w:p w:rsidR="00A76841" w:rsidRDefault="00A76841" w:rsidP="00A76841">
      <w:pPr>
        <w:keepNext/>
        <w:keepLines/>
        <w:widowControl w:val="0"/>
        <w:autoSpaceDE w:val="0"/>
        <w:autoSpaceDN w:val="0"/>
        <w:adjustRightInd w:val="0"/>
        <w:spacing w:after="120"/>
        <w:rPr>
          <w:rFonts w:asciiTheme="minorHAnsi" w:hAnsiTheme="minorHAnsi" w:cs="Arial"/>
          <w:b/>
          <w:bCs/>
          <w:sz w:val="24"/>
          <w:szCs w:val="24"/>
        </w:rPr>
      </w:pPr>
      <w:r w:rsidRPr="00AC42C5">
        <w:rPr>
          <w:rFonts w:asciiTheme="minorHAnsi" w:hAnsiTheme="minorHAnsi" w:cs="Arial"/>
          <w:b/>
          <w:bCs/>
          <w:sz w:val="24"/>
          <w:szCs w:val="24"/>
        </w:rPr>
        <w:lastRenderedPageBreak/>
        <w:t xml:space="preserve">The Governance Framework </w:t>
      </w:r>
    </w:p>
    <w:p w:rsidR="00A76841" w:rsidRPr="00AC42C5" w:rsidRDefault="00A76841" w:rsidP="00A76841">
      <w:pPr>
        <w:keepNext/>
        <w:keepLines/>
        <w:rPr>
          <w:rFonts w:asciiTheme="minorHAnsi" w:eastAsia="Times New Roman" w:hAnsiTheme="minorHAnsi"/>
          <w:sz w:val="24"/>
          <w:szCs w:val="24"/>
          <w:u w:val="single"/>
        </w:rPr>
      </w:pPr>
      <w:r w:rsidRPr="00AC42C5">
        <w:rPr>
          <w:rFonts w:asciiTheme="minorHAnsi" w:eastAsia="Times New Roman" w:hAnsiTheme="minorHAnsi"/>
          <w:sz w:val="24"/>
          <w:szCs w:val="24"/>
          <w:u w:val="single"/>
        </w:rPr>
        <w:t>The Constitution</w:t>
      </w:r>
    </w:p>
    <w:p w:rsidR="00A76841" w:rsidRPr="00AC42C5" w:rsidRDefault="00A76841" w:rsidP="00A76841">
      <w:pPr>
        <w:keepNext/>
        <w:keepLines/>
        <w:rPr>
          <w:rFonts w:asciiTheme="minorHAnsi" w:eastAsia="Times New Roman" w:hAnsiTheme="minorHAnsi"/>
          <w:sz w:val="24"/>
          <w:szCs w:val="24"/>
        </w:rPr>
      </w:pPr>
      <w:r w:rsidRPr="00AC42C5">
        <w:rPr>
          <w:rFonts w:asciiTheme="minorHAnsi" w:eastAsia="Times New Roman" w:hAnsiTheme="minorHAnsi"/>
          <w:sz w:val="24"/>
          <w:szCs w:val="24"/>
        </w:rPr>
        <w:t>The Constitution sets out the main elements of the governance framework of Torbay Council, in particular how decisions are made and the procedures which are followed to ensure that these are efficient and transparent and that decision makers are accountable to local people.  It explains that the Council is made up of the Elected Mayor and 36 Councillors who, together, are responsible for approving the Council’s Budget and Policy Framework.  The Mayor is responsible for decisions within this Budget and Policy Framework and is supported by Executive Lead Members who oversee and advise on specific areas.  Matters outside the Budget and Policy Framework are referred to the Council for decision.</w:t>
      </w:r>
    </w:p>
    <w:p w:rsidR="00A76841" w:rsidRPr="00AC42C5" w:rsidRDefault="00A76841" w:rsidP="00A76841">
      <w:pPr>
        <w:rPr>
          <w:rFonts w:asciiTheme="minorHAnsi" w:eastAsia="Times New Roman" w:hAnsiTheme="minorHAnsi"/>
          <w:sz w:val="24"/>
          <w:szCs w:val="24"/>
        </w:rPr>
      </w:pPr>
      <w:r w:rsidRPr="00AC42C5">
        <w:rPr>
          <w:rFonts w:asciiTheme="minorHAnsi" w:eastAsia="Times New Roman" w:hAnsiTheme="minorHAnsi"/>
          <w:sz w:val="24"/>
          <w:szCs w:val="24"/>
        </w:rPr>
        <w:t>The Constitution includes Standing Orders, Financial Regulations and the Scheme of Delegated Powers</w:t>
      </w:r>
      <w:r>
        <w:rPr>
          <w:rFonts w:asciiTheme="minorHAnsi" w:eastAsia="Times New Roman" w:hAnsiTheme="minorHAnsi"/>
          <w:sz w:val="24"/>
          <w:szCs w:val="24"/>
        </w:rPr>
        <w:t xml:space="preserve"> and is available on the Council’s website</w:t>
      </w:r>
      <w:r w:rsidRPr="00AC42C5">
        <w:rPr>
          <w:rFonts w:asciiTheme="minorHAnsi" w:eastAsia="Times New Roman" w:hAnsiTheme="minorHAnsi"/>
          <w:sz w:val="24"/>
          <w:szCs w:val="24"/>
        </w:rPr>
        <w:t>.  It is underpinned by Codes of Conduct for Members and Employees and a range of local protocols.  The Constitution includes the Council’s Code of Corporate Governance.</w:t>
      </w:r>
      <w:r>
        <w:rPr>
          <w:rFonts w:asciiTheme="minorHAnsi" w:eastAsia="Times New Roman" w:hAnsiTheme="minorHAnsi"/>
          <w:sz w:val="24"/>
          <w:szCs w:val="24"/>
        </w:rPr>
        <w:t xml:space="preserve">  </w:t>
      </w:r>
    </w:p>
    <w:p w:rsidR="00A76841" w:rsidRPr="00AC42C5" w:rsidRDefault="00A76841" w:rsidP="00A76841">
      <w:pPr>
        <w:rPr>
          <w:rFonts w:asciiTheme="minorHAnsi" w:eastAsia="Times New Roman" w:hAnsiTheme="minorHAnsi"/>
          <w:sz w:val="24"/>
          <w:szCs w:val="24"/>
        </w:rPr>
      </w:pPr>
      <w:r w:rsidRPr="00AC42C5">
        <w:rPr>
          <w:rFonts w:asciiTheme="minorHAnsi" w:eastAsia="Times New Roman" w:hAnsiTheme="minorHAnsi"/>
          <w:sz w:val="24"/>
          <w:szCs w:val="24"/>
        </w:rPr>
        <w:t>The Overview and Scrutiny Board is responsible for the overview and scrutiny function of the Council.  It assists in the development of policy and holds decision makers to account.  In addition, any five members of the Council can “call-in” executive decisions to the Overview and Scrutiny Board for further debate.</w:t>
      </w:r>
    </w:p>
    <w:p w:rsidR="00A76841" w:rsidRPr="00AC42C5" w:rsidRDefault="00A76841" w:rsidP="00A76841">
      <w:pPr>
        <w:rPr>
          <w:rFonts w:asciiTheme="minorHAnsi" w:eastAsia="Times New Roman" w:hAnsiTheme="minorHAnsi"/>
          <w:sz w:val="24"/>
          <w:szCs w:val="24"/>
          <w:highlight w:val="yellow"/>
        </w:rPr>
      </w:pPr>
      <w:r w:rsidRPr="00AC42C5">
        <w:rPr>
          <w:rFonts w:asciiTheme="minorHAnsi" w:eastAsia="Times New Roman" w:hAnsiTheme="minorHAnsi"/>
          <w:sz w:val="24"/>
          <w:szCs w:val="24"/>
        </w:rPr>
        <w:t xml:space="preserve">The Audit Committee is responsible for all internal and external audit matters as well as monitoring the effective development and operation of </w:t>
      </w:r>
      <w:r>
        <w:rPr>
          <w:rFonts w:asciiTheme="minorHAnsi" w:eastAsia="Times New Roman" w:hAnsiTheme="minorHAnsi"/>
          <w:sz w:val="24"/>
          <w:szCs w:val="24"/>
        </w:rPr>
        <w:t xml:space="preserve">performance and </w:t>
      </w:r>
      <w:r w:rsidRPr="00AC42C5">
        <w:rPr>
          <w:rFonts w:asciiTheme="minorHAnsi" w:eastAsia="Times New Roman" w:hAnsiTheme="minorHAnsi"/>
          <w:sz w:val="24"/>
          <w:szCs w:val="24"/>
        </w:rPr>
        <w:t xml:space="preserve">risk management and corporate governance in the Council.  </w:t>
      </w:r>
      <w:r w:rsidRPr="004A586B">
        <w:rPr>
          <w:rFonts w:asciiTheme="minorHAnsi" w:eastAsia="Times New Roman" w:hAnsiTheme="minorHAnsi"/>
          <w:sz w:val="24"/>
          <w:szCs w:val="24"/>
        </w:rPr>
        <w:t>It meets on a quarterly basis.</w:t>
      </w:r>
    </w:p>
    <w:p w:rsidR="00A76841" w:rsidRPr="004A586B" w:rsidRDefault="00A76841" w:rsidP="00A76841">
      <w:pPr>
        <w:rPr>
          <w:rFonts w:asciiTheme="minorHAnsi" w:eastAsia="Times New Roman" w:hAnsiTheme="minorHAnsi"/>
          <w:sz w:val="24"/>
          <w:szCs w:val="24"/>
        </w:rPr>
      </w:pPr>
      <w:r w:rsidRPr="004A586B">
        <w:rPr>
          <w:rFonts w:asciiTheme="minorHAnsi" w:eastAsia="Times New Roman" w:hAnsiTheme="minorHAnsi"/>
          <w:sz w:val="24"/>
          <w:szCs w:val="24"/>
        </w:rPr>
        <w:t>The Standards Committee’s remit includes the conduct of members and investigating complaints in respect of individual members.  The Standards Committee promotes and embeds ethical standards.</w:t>
      </w:r>
    </w:p>
    <w:p w:rsidR="00A76841" w:rsidRPr="00AC42C5" w:rsidRDefault="00A76841" w:rsidP="00A76841">
      <w:pPr>
        <w:rPr>
          <w:rFonts w:asciiTheme="minorHAnsi" w:eastAsia="Times New Roman" w:hAnsiTheme="minorHAnsi"/>
          <w:sz w:val="24"/>
          <w:szCs w:val="24"/>
        </w:rPr>
      </w:pPr>
      <w:r w:rsidRPr="00AC42C5">
        <w:rPr>
          <w:rFonts w:asciiTheme="minorHAnsi" w:eastAsia="Times New Roman" w:hAnsiTheme="minorHAnsi"/>
          <w:sz w:val="24"/>
          <w:szCs w:val="24"/>
        </w:rPr>
        <w:t>Some regulatory functions remain the responsibility of the Council rather than the Mayor and most of these are delegated to a small number of committees appointed annually by the Council.</w:t>
      </w:r>
    </w:p>
    <w:p w:rsidR="00A76841" w:rsidRPr="00AC42C5" w:rsidRDefault="00A76841" w:rsidP="00A76841">
      <w:pPr>
        <w:autoSpaceDE w:val="0"/>
        <w:autoSpaceDN w:val="0"/>
        <w:adjustRightInd w:val="0"/>
        <w:spacing w:line="240" w:lineRule="auto"/>
        <w:rPr>
          <w:rFonts w:asciiTheme="minorHAnsi" w:hAnsiTheme="minorHAnsi" w:cs="Arial"/>
          <w:color w:val="000000" w:themeColor="text1"/>
          <w:sz w:val="24"/>
          <w:szCs w:val="24"/>
        </w:rPr>
      </w:pPr>
      <w:r w:rsidRPr="00AC42C5">
        <w:rPr>
          <w:rFonts w:asciiTheme="minorHAnsi" w:hAnsiTheme="minorHAnsi" w:cs="Arial"/>
          <w:sz w:val="24"/>
          <w:szCs w:val="24"/>
        </w:rPr>
        <w:t xml:space="preserve">All members are inducted into the importance and processes of good governance and have informal and, if required, formal ways of raising governance issues with the </w:t>
      </w:r>
      <w:r>
        <w:rPr>
          <w:rFonts w:asciiTheme="minorHAnsi" w:hAnsiTheme="minorHAnsi" w:cs="Arial"/>
          <w:sz w:val="24"/>
          <w:szCs w:val="24"/>
        </w:rPr>
        <w:t>Chief Executive</w:t>
      </w:r>
      <w:r w:rsidRPr="00AC42C5">
        <w:rPr>
          <w:rFonts w:asciiTheme="minorHAnsi" w:hAnsiTheme="minorHAnsi" w:cs="Arial"/>
          <w:sz w:val="24"/>
          <w:szCs w:val="24"/>
        </w:rPr>
        <w:t xml:space="preserve">, Monitoring Officer, Chief Finance Officer and the Senior Leadership Team. </w:t>
      </w:r>
    </w:p>
    <w:p w:rsidR="00A76841" w:rsidRPr="00881EEE" w:rsidRDefault="00A76841" w:rsidP="00A76841">
      <w:pPr>
        <w:rPr>
          <w:rFonts w:asciiTheme="minorHAnsi" w:eastAsia="Times New Roman" w:hAnsiTheme="minorHAnsi"/>
          <w:sz w:val="24"/>
          <w:szCs w:val="24"/>
          <w:u w:val="single"/>
        </w:rPr>
      </w:pPr>
      <w:r w:rsidRPr="00881EEE">
        <w:rPr>
          <w:rFonts w:asciiTheme="minorHAnsi" w:eastAsia="Times New Roman" w:hAnsiTheme="minorHAnsi"/>
          <w:sz w:val="24"/>
          <w:szCs w:val="24"/>
          <w:u w:val="single"/>
        </w:rPr>
        <w:t>The Corporate Plan and Decision-making</w:t>
      </w:r>
    </w:p>
    <w:p w:rsidR="00A76841" w:rsidRPr="00881EEE" w:rsidRDefault="00A76841" w:rsidP="00A76841">
      <w:pPr>
        <w:rPr>
          <w:rFonts w:asciiTheme="minorHAnsi" w:eastAsia="Times New Roman" w:hAnsiTheme="minorHAnsi"/>
          <w:sz w:val="24"/>
          <w:szCs w:val="24"/>
        </w:rPr>
      </w:pPr>
      <w:r w:rsidRPr="00881EEE">
        <w:rPr>
          <w:rFonts w:asciiTheme="minorHAnsi" w:eastAsia="Times New Roman" w:hAnsiTheme="minorHAnsi"/>
          <w:sz w:val="24"/>
          <w:szCs w:val="24"/>
        </w:rPr>
        <w:t>Included within the Policy Framework is the Council’s Corporate Plan which was reviewed and revised during the course of the year.  The Council also has a Medium Term Resource Plan which is reviewed on an on-going basis to take into account new information and changed circumstances.  Both of these documents provide a framework for planning and monitoring resource requirements.</w:t>
      </w:r>
    </w:p>
    <w:p w:rsidR="00A76841" w:rsidRPr="00BE7308" w:rsidRDefault="00A76841" w:rsidP="00A76841">
      <w:pPr>
        <w:rPr>
          <w:rFonts w:asciiTheme="minorHAnsi" w:eastAsia="Times New Roman" w:hAnsiTheme="minorHAnsi"/>
          <w:sz w:val="24"/>
          <w:szCs w:val="24"/>
        </w:rPr>
      </w:pPr>
      <w:r>
        <w:rPr>
          <w:rFonts w:asciiTheme="minorHAnsi" w:eastAsia="Times New Roman" w:hAnsiTheme="minorHAnsi"/>
          <w:sz w:val="24"/>
          <w:szCs w:val="24"/>
        </w:rPr>
        <w:t xml:space="preserve">The </w:t>
      </w:r>
      <w:r w:rsidRPr="00BE7308">
        <w:rPr>
          <w:rFonts w:asciiTheme="minorHAnsi" w:eastAsia="Times New Roman" w:hAnsiTheme="minorHAnsi"/>
          <w:sz w:val="24"/>
          <w:szCs w:val="24"/>
        </w:rPr>
        <w:t>Council makes recommendations to the Mayor on executive decisions with the Mayor</w:t>
      </w:r>
      <w:r>
        <w:rPr>
          <w:rFonts w:asciiTheme="minorHAnsi" w:eastAsia="Times New Roman" w:hAnsiTheme="minorHAnsi"/>
          <w:sz w:val="24"/>
          <w:szCs w:val="24"/>
        </w:rPr>
        <w:t>, on many occasions,</w:t>
      </w:r>
      <w:r w:rsidRPr="00BE7308">
        <w:rPr>
          <w:rFonts w:asciiTheme="minorHAnsi" w:eastAsia="Times New Roman" w:hAnsiTheme="minorHAnsi"/>
          <w:sz w:val="24"/>
          <w:szCs w:val="24"/>
        </w:rPr>
        <w:t xml:space="preserve"> then taking those decisions at meetings of the Council.  All reports to members include sections on the financial and legal implications and the risks of the </w:t>
      </w:r>
      <w:r w:rsidRPr="00BE7308">
        <w:rPr>
          <w:rFonts w:asciiTheme="minorHAnsi" w:eastAsia="Times New Roman" w:hAnsiTheme="minorHAnsi"/>
          <w:sz w:val="24"/>
          <w:szCs w:val="24"/>
        </w:rPr>
        <w:lastRenderedPageBreak/>
        <w:t>proposed decision.  Prior to publication, these reports are cleared by the Chief Finance Officer and the Monitoring Officer or one of their senior staff.</w:t>
      </w:r>
    </w:p>
    <w:p w:rsidR="00A76841" w:rsidRPr="00AC42C5" w:rsidRDefault="00A76841" w:rsidP="00A76841">
      <w:pPr>
        <w:rPr>
          <w:rFonts w:asciiTheme="minorHAnsi" w:eastAsia="Times New Roman" w:hAnsiTheme="minorHAnsi"/>
          <w:sz w:val="24"/>
          <w:szCs w:val="24"/>
        </w:rPr>
      </w:pPr>
      <w:r w:rsidRPr="00AC42C5">
        <w:rPr>
          <w:rFonts w:asciiTheme="minorHAnsi" w:eastAsia="Times New Roman" w:hAnsiTheme="minorHAnsi"/>
          <w:sz w:val="24"/>
          <w:szCs w:val="24"/>
        </w:rPr>
        <w:t>All meetings are open to the public but a small number of matters are considered in private when the press and public are formally excluded from meetings.  It is the Council’s objective to keep these private matters to a minimum with only those elements of reports that are considered exempt from publication being included within appendices.  This ensures open and transparent decision making is undertaken at all times.</w:t>
      </w:r>
    </w:p>
    <w:p w:rsidR="00A76841" w:rsidRPr="00AC42C5" w:rsidRDefault="00A76841" w:rsidP="00A76841">
      <w:pPr>
        <w:keepNext/>
        <w:rPr>
          <w:rFonts w:asciiTheme="minorHAnsi" w:eastAsia="Times New Roman" w:hAnsiTheme="minorHAnsi"/>
          <w:sz w:val="24"/>
          <w:szCs w:val="24"/>
          <w:u w:val="single"/>
        </w:rPr>
      </w:pPr>
      <w:r w:rsidRPr="00AC42C5">
        <w:rPr>
          <w:rFonts w:asciiTheme="minorHAnsi" w:eastAsia="Times New Roman" w:hAnsiTheme="minorHAnsi"/>
          <w:sz w:val="24"/>
          <w:szCs w:val="24"/>
          <w:u w:val="single"/>
        </w:rPr>
        <w:t>Community and Service User Engagement</w:t>
      </w:r>
    </w:p>
    <w:p w:rsidR="00A76841" w:rsidRPr="00AC42C5" w:rsidRDefault="00A76841" w:rsidP="00A76841">
      <w:pPr>
        <w:rPr>
          <w:rFonts w:asciiTheme="minorHAnsi" w:eastAsia="Times New Roman" w:hAnsiTheme="minorHAnsi"/>
          <w:sz w:val="24"/>
          <w:szCs w:val="24"/>
        </w:rPr>
      </w:pPr>
      <w:r w:rsidRPr="00AC42C5">
        <w:rPr>
          <w:rFonts w:asciiTheme="minorHAnsi" w:eastAsia="Times New Roman" w:hAnsiTheme="minorHAnsi"/>
          <w:sz w:val="24"/>
          <w:szCs w:val="24"/>
        </w:rPr>
        <w:t xml:space="preserve">In developing proposals for service change, consultation with service users and the public is undertaken.  In particular, the impact on vulnerable groups and those with characteristics protected under the Equality Act 2012 is assessed and documented in </w:t>
      </w:r>
      <w:r w:rsidRPr="00BE7308">
        <w:rPr>
          <w:rFonts w:asciiTheme="minorHAnsi" w:eastAsia="Times New Roman" w:hAnsiTheme="minorHAnsi"/>
          <w:sz w:val="24"/>
          <w:szCs w:val="24"/>
        </w:rPr>
        <w:t xml:space="preserve">Equality Impact Assessments </w:t>
      </w:r>
      <w:r w:rsidRPr="00AC42C5">
        <w:rPr>
          <w:rFonts w:asciiTheme="minorHAnsi" w:eastAsia="Times New Roman" w:hAnsiTheme="minorHAnsi"/>
          <w:sz w:val="24"/>
          <w:szCs w:val="24"/>
        </w:rPr>
        <w:t>which are considered by decision-makers prior to decisions being made.</w:t>
      </w:r>
    </w:p>
    <w:p w:rsidR="00A76841" w:rsidRPr="0048328B" w:rsidRDefault="00A76841" w:rsidP="00A76841">
      <w:pPr>
        <w:rPr>
          <w:rFonts w:asciiTheme="minorHAnsi" w:eastAsia="Times New Roman" w:hAnsiTheme="minorHAnsi"/>
          <w:sz w:val="24"/>
          <w:szCs w:val="24"/>
        </w:rPr>
      </w:pPr>
      <w:r w:rsidRPr="0048328B">
        <w:rPr>
          <w:rFonts w:asciiTheme="minorHAnsi" w:eastAsia="Times New Roman" w:hAnsiTheme="minorHAnsi"/>
          <w:sz w:val="24"/>
          <w:szCs w:val="24"/>
        </w:rPr>
        <w:t xml:space="preserve">The Council’s ViewPoint Panel is a residents’ research panel which provides an opportunity for the people of Torbay to give their opinions on the development of services, policy and the local community. The panel is made up of a cross section of Torbay’s population and is currently made up of approximately 600 residents.  </w:t>
      </w:r>
    </w:p>
    <w:p w:rsidR="00A76841" w:rsidRPr="00AC42C5" w:rsidRDefault="00A76841" w:rsidP="00A76841">
      <w:pPr>
        <w:rPr>
          <w:rFonts w:asciiTheme="minorHAnsi" w:eastAsia="Times New Roman" w:hAnsiTheme="minorHAnsi"/>
          <w:sz w:val="24"/>
          <w:szCs w:val="24"/>
        </w:rPr>
      </w:pPr>
      <w:r w:rsidRPr="00AC42C5">
        <w:rPr>
          <w:rFonts w:asciiTheme="minorHAnsi" w:eastAsia="Times New Roman" w:hAnsiTheme="minorHAnsi"/>
          <w:sz w:val="24"/>
          <w:szCs w:val="24"/>
        </w:rPr>
        <w:t xml:space="preserve">There are also a number of Community Partnerships across Torbay which provide an opportunity for people who live or work in the different parts of Torbay to discuss issues of common concern, influence the way in which services are provided and improve their local area. </w:t>
      </w:r>
    </w:p>
    <w:p w:rsidR="00A76841" w:rsidRPr="00AC42C5" w:rsidRDefault="00A76841" w:rsidP="00A76841">
      <w:pPr>
        <w:keepNext/>
        <w:rPr>
          <w:rFonts w:asciiTheme="minorHAnsi" w:eastAsia="Times New Roman" w:hAnsiTheme="minorHAnsi"/>
          <w:sz w:val="24"/>
          <w:szCs w:val="24"/>
          <w:u w:val="single"/>
        </w:rPr>
      </w:pPr>
      <w:r w:rsidRPr="00AC42C5">
        <w:rPr>
          <w:rFonts w:asciiTheme="minorHAnsi" w:eastAsia="Times New Roman" w:hAnsiTheme="minorHAnsi"/>
          <w:sz w:val="24"/>
          <w:szCs w:val="24"/>
          <w:u w:val="single"/>
        </w:rPr>
        <w:t>Partnership Working</w:t>
      </w:r>
    </w:p>
    <w:p w:rsidR="00A76841" w:rsidRDefault="00A76841" w:rsidP="00A76841">
      <w:pPr>
        <w:rPr>
          <w:rFonts w:asciiTheme="minorHAnsi" w:eastAsia="Times New Roman" w:hAnsiTheme="minorHAnsi"/>
          <w:sz w:val="24"/>
          <w:szCs w:val="24"/>
        </w:rPr>
      </w:pPr>
      <w:r>
        <w:rPr>
          <w:rFonts w:asciiTheme="minorHAnsi" w:eastAsia="Times New Roman" w:hAnsiTheme="minorHAnsi"/>
          <w:sz w:val="24"/>
          <w:szCs w:val="24"/>
        </w:rPr>
        <w:t>The Health and Wellbeing Board and the Community Safety Partnership provide forums where multi-agency issues with impact on the Torbay population can be debated.  Safeguarding Boards are also in place for both children and adults.</w:t>
      </w:r>
    </w:p>
    <w:p w:rsidR="00A76841" w:rsidRDefault="00A76841" w:rsidP="00A76841">
      <w:pPr>
        <w:rPr>
          <w:rFonts w:asciiTheme="minorHAnsi" w:eastAsia="Times New Roman" w:hAnsiTheme="minorHAnsi"/>
          <w:sz w:val="24"/>
          <w:szCs w:val="24"/>
        </w:rPr>
      </w:pPr>
      <w:r w:rsidRPr="00AC42C5">
        <w:rPr>
          <w:rFonts w:asciiTheme="minorHAnsi" w:eastAsia="Times New Roman" w:hAnsiTheme="minorHAnsi"/>
          <w:sz w:val="24"/>
          <w:szCs w:val="24"/>
        </w:rPr>
        <w:t xml:space="preserve">Appropriate arrangements in respect of service specific partnerships such as the </w:t>
      </w:r>
      <w:r w:rsidRPr="00881EEE">
        <w:rPr>
          <w:rFonts w:asciiTheme="minorHAnsi" w:eastAsia="Times New Roman" w:hAnsiTheme="minorHAnsi"/>
          <w:sz w:val="24"/>
          <w:szCs w:val="24"/>
        </w:rPr>
        <w:t>Torbay and South Devon NHS Foundation Trust, the Torbay Coast and Countryside</w:t>
      </w:r>
      <w:r w:rsidRPr="00AC42C5">
        <w:rPr>
          <w:rFonts w:asciiTheme="minorHAnsi" w:eastAsia="Times New Roman" w:hAnsiTheme="minorHAnsi"/>
          <w:sz w:val="24"/>
          <w:szCs w:val="24"/>
        </w:rPr>
        <w:t xml:space="preserve"> Trust, TOR2, the English Riviera Tourism Company</w:t>
      </w:r>
      <w:r>
        <w:rPr>
          <w:rFonts w:asciiTheme="minorHAnsi" w:eastAsia="Times New Roman" w:hAnsiTheme="minorHAnsi"/>
          <w:sz w:val="24"/>
          <w:szCs w:val="24"/>
        </w:rPr>
        <w:t>, PLUSS, Careers South West, Oldway Mansion Management Company Ltd</w:t>
      </w:r>
      <w:r w:rsidRPr="00AC42C5">
        <w:rPr>
          <w:rFonts w:asciiTheme="minorHAnsi" w:eastAsia="Times New Roman" w:hAnsiTheme="minorHAnsi"/>
          <w:sz w:val="24"/>
          <w:szCs w:val="24"/>
        </w:rPr>
        <w:t xml:space="preserve"> and the Economic Development Company are in place</w:t>
      </w:r>
      <w:r w:rsidRPr="00C2276F">
        <w:rPr>
          <w:rFonts w:asciiTheme="minorHAnsi" w:eastAsia="Times New Roman" w:hAnsiTheme="minorHAnsi"/>
          <w:sz w:val="24"/>
          <w:szCs w:val="24"/>
        </w:rPr>
        <w:t xml:space="preserve">.  </w:t>
      </w:r>
    </w:p>
    <w:p w:rsidR="00A76841" w:rsidRPr="00AC42C5" w:rsidRDefault="00A76841" w:rsidP="00A76841">
      <w:pPr>
        <w:rPr>
          <w:rFonts w:asciiTheme="minorHAnsi" w:eastAsia="Times New Roman" w:hAnsiTheme="minorHAnsi"/>
          <w:sz w:val="24"/>
          <w:szCs w:val="24"/>
          <w:highlight w:val="yellow"/>
        </w:rPr>
      </w:pPr>
      <w:r w:rsidRPr="00C2276F">
        <w:rPr>
          <w:rFonts w:asciiTheme="minorHAnsi" w:eastAsia="Times New Roman" w:hAnsiTheme="minorHAnsi"/>
          <w:sz w:val="24"/>
          <w:szCs w:val="24"/>
        </w:rPr>
        <w:t>The Council is also pursuing other partnership opportunities such as the Plymouth and South West Peninsula City Deal and devolution across Devon and Somerset.</w:t>
      </w:r>
    </w:p>
    <w:p w:rsidR="00A76841" w:rsidRPr="00BE7308" w:rsidRDefault="00A76841" w:rsidP="00A76841">
      <w:pPr>
        <w:keepNext/>
        <w:rPr>
          <w:rFonts w:asciiTheme="minorHAnsi" w:eastAsia="Times New Roman" w:hAnsiTheme="minorHAnsi"/>
          <w:sz w:val="24"/>
          <w:szCs w:val="24"/>
          <w:u w:val="single"/>
        </w:rPr>
      </w:pPr>
      <w:r w:rsidRPr="00BE7308">
        <w:rPr>
          <w:rFonts w:asciiTheme="minorHAnsi" w:eastAsia="Times New Roman" w:hAnsiTheme="minorHAnsi"/>
          <w:sz w:val="24"/>
          <w:szCs w:val="24"/>
          <w:u w:val="single"/>
        </w:rPr>
        <w:t>Performance and Risk Management</w:t>
      </w:r>
    </w:p>
    <w:p w:rsidR="00A76841" w:rsidRPr="00BE7308" w:rsidRDefault="00A76841" w:rsidP="00A76841">
      <w:pPr>
        <w:rPr>
          <w:rFonts w:asciiTheme="minorHAnsi" w:eastAsia="Times New Roman" w:hAnsiTheme="minorHAnsi"/>
          <w:sz w:val="24"/>
          <w:szCs w:val="24"/>
        </w:rPr>
      </w:pPr>
      <w:r w:rsidRPr="00BE7308">
        <w:rPr>
          <w:rFonts w:asciiTheme="minorHAnsi" w:eastAsia="Times New Roman" w:hAnsiTheme="minorHAnsi"/>
          <w:sz w:val="24"/>
          <w:szCs w:val="24"/>
        </w:rPr>
        <w:t>The Council records performance information using performance-reporting software called SPAR.net.  The performance reporting system is based on exceptions and, where performance is identified as a concern, appropriate corrective action will be considered, scrutinised and monitored.  The Council also uses a range of benchmarking information to measure performance against comparators and to identify authorities from whom the Council could learn.</w:t>
      </w:r>
    </w:p>
    <w:p w:rsidR="00A76841" w:rsidRPr="004B5DE1" w:rsidRDefault="00A76841" w:rsidP="00A76841">
      <w:pPr>
        <w:rPr>
          <w:rFonts w:asciiTheme="minorHAnsi" w:eastAsia="Times New Roman" w:hAnsiTheme="minorHAnsi"/>
          <w:sz w:val="24"/>
          <w:szCs w:val="24"/>
        </w:rPr>
      </w:pPr>
      <w:r w:rsidRPr="004B5DE1">
        <w:rPr>
          <w:rFonts w:asciiTheme="minorHAnsi" w:eastAsia="Times New Roman" w:hAnsiTheme="minorHAnsi"/>
          <w:sz w:val="24"/>
          <w:szCs w:val="24"/>
        </w:rPr>
        <w:lastRenderedPageBreak/>
        <w:t>The Senior Leadership Team is responsible for the implementation and monitoring of the Performance and Risk Framework.  A Strategic Risk Register is maintained which identifies strategic risks facing the Authority together with clearly identified measures for mitigation.  Directors and Executive Heads are responsible for managing risk within their Business Units.</w:t>
      </w:r>
    </w:p>
    <w:p w:rsidR="00A76841" w:rsidRPr="00346F53" w:rsidRDefault="00A76841" w:rsidP="00A76841">
      <w:pPr>
        <w:rPr>
          <w:rFonts w:asciiTheme="minorHAnsi" w:eastAsia="Times New Roman" w:hAnsiTheme="minorHAnsi"/>
          <w:sz w:val="24"/>
          <w:szCs w:val="24"/>
          <w:u w:val="single"/>
        </w:rPr>
      </w:pPr>
      <w:r w:rsidRPr="00346F53">
        <w:rPr>
          <w:rFonts w:asciiTheme="minorHAnsi" w:eastAsia="Times New Roman" w:hAnsiTheme="minorHAnsi"/>
          <w:sz w:val="24"/>
          <w:szCs w:val="24"/>
          <w:u w:val="single"/>
        </w:rPr>
        <w:t>Senior Management</w:t>
      </w:r>
    </w:p>
    <w:p w:rsidR="00A76841" w:rsidRPr="00346F53" w:rsidRDefault="00A76841" w:rsidP="00A76841">
      <w:pPr>
        <w:rPr>
          <w:rFonts w:asciiTheme="minorHAnsi" w:eastAsia="Times New Roman" w:hAnsiTheme="minorHAnsi"/>
          <w:sz w:val="24"/>
          <w:szCs w:val="24"/>
        </w:rPr>
      </w:pPr>
      <w:r w:rsidRPr="00346F53">
        <w:rPr>
          <w:rFonts w:asciiTheme="minorHAnsi" w:eastAsia="Times New Roman" w:hAnsiTheme="minorHAnsi"/>
          <w:sz w:val="24"/>
          <w:szCs w:val="24"/>
        </w:rPr>
        <w:t xml:space="preserve">The </w:t>
      </w:r>
      <w:r w:rsidRPr="00346F53">
        <w:rPr>
          <w:rFonts w:asciiTheme="minorHAnsi" w:eastAsia="Times New Roman" w:hAnsiTheme="minorHAnsi"/>
          <w:b/>
          <w:sz w:val="24"/>
          <w:szCs w:val="24"/>
        </w:rPr>
        <w:t>Head of the Paid Service</w:t>
      </w:r>
      <w:r w:rsidRPr="00346F53">
        <w:rPr>
          <w:rFonts w:asciiTheme="minorHAnsi" w:eastAsia="Times New Roman" w:hAnsiTheme="minorHAnsi"/>
          <w:sz w:val="24"/>
          <w:szCs w:val="24"/>
        </w:rPr>
        <w:t xml:space="preserve"> is the </w:t>
      </w:r>
      <w:r>
        <w:rPr>
          <w:rFonts w:asciiTheme="minorHAnsi" w:eastAsia="Times New Roman" w:hAnsiTheme="minorHAnsi"/>
          <w:sz w:val="24"/>
          <w:szCs w:val="24"/>
        </w:rPr>
        <w:t>Chief Executive</w:t>
      </w:r>
      <w:r w:rsidRPr="00346F53">
        <w:rPr>
          <w:rFonts w:asciiTheme="minorHAnsi" w:eastAsia="Times New Roman" w:hAnsiTheme="minorHAnsi"/>
          <w:sz w:val="24"/>
          <w:szCs w:val="24"/>
        </w:rPr>
        <w:t xml:space="preserve"> who is responsible and accountable to the Council for all aspects of operational management.</w:t>
      </w:r>
    </w:p>
    <w:p w:rsidR="00A76841" w:rsidRPr="00346F53" w:rsidRDefault="00A76841" w:rsidP="00A76841">
      <w:pPr>
        <w:rPr>
          <w:rFonts w:asciiTheme="minorHAnsi" w:eastAsia="Times New Roman" w:hAnsiTheme="minorHAnsi"/>
          <w:sz w:val="24"/>
          <w:szCs w:val="24"/>
        </w:rPr>
      </w:pPr>
      <w:r w:rsidRPr="00346F53">
        <w:rPr>
          <w:rFonts w:asciiTheme="minorHAnsi" w:eastAsia="Times New Roman" w:hAnsiTheme="minorHAnsi"/>
          <w:sz w:val="24"/>
          <w:szCs w:val="24"/>
        </w:rPr>
        <w:t xml:space="preserve">The </w:t>
      </w:r>
      <w:r>
        <w:rPr>
          <w:rFonts w:asciiTheme="minorHAnsi" w:eastAsia="Times New Roman" w:hAnsiTheme="minorHAnsi"/>
          <w:sz w:val="24"/>
          <w:szCs w:val="24"/>
        </w:rPr>
        <w:t xml:space="preserve">Chief Accountant is the </w:t>
      </w:r>
      <w:r w:rsidRPr="00346F53">
        <w:rPr>
          <w:rFonts w:asciiTheme="minorHAnsi" w:eastAsia="Times New Roman" w:hAnsiTheme="minorHAnsi"/>
          <w:b/>
          <w:sz w:val="24"/>
          <w:szCs w:val="24"/>
        </w:rPr>
        <w:t>Chief Financial Officer</w:t>
      </w:r>
      <w:r>
        <w:rPr>
          <w:rFonts w:asciiTheme="minorHAnsi" w:eastAsia="Times New Roman" w:hAnsiTheme="minorHAnsi"/>
          <w:b/>
          <w:sz w:val="24"/>
          <w:szCs w:val="24"/>
        </w:rPr>
        <w:t xml:space="preserve">.  </w:t>
      </w:r>
      <w:r w:rsidRPr="00346F53">
        <w:rPr>
          <w:rFonts w:asciiTheme="minorHAnsi" w:eastAsia="Times New Roman" w:hAnsiTheme="minorHAnsi"/>
          <w:sz w:val="24"/>
          <w:szCs w:val="24"/>
        </w:rPr>
        <w:t xml:space="preserve">He has direct access to all members, the </w:t>
      </w:r>
      <w:r>
        <w:rPr>
          <w:rFonts w:asciiTheme="minorHAnsi" w:eastAsia="Times New Roman" w:hAnsiTheme="minorHAnsi"/>
          <w:sz w:val="24"/>
          <w:szCs w:val="24"/>
        </w:rPr>
        <w:t>Chief Executive</w:t>
      </w:r>
      <w:r w:rsidRPr="00346F53">
        <w:rPr>
          <w:rFonts w:asciiTheme="minorHAnsi" w:eastAsia="Times New Roman" w:hAnsiTheme="minorHAnsi"/>
          <w:sz w:val="24"/>
          <w:szCs w:val="24"/>
        </w:rPr>
        <w:t xml:space="preserve"> and senior officers of the Council.  He works with Directors and Executive Heads to identify any financial issues which may require management action.  Regular discussions are held with the Mayor who is the Executive Member with responsibility for finance.  The Chief Finance Officer has responsibility for ensuring the Council operates secure and reliable financial and accounting systems.  </w:t>
      </w:r>
    </w:p>
    <w:p w:rsidR="00A76841" w:rsidRPr="00346F53" w:rsidRDefault="00A76841" w:rsidP="00A76841">
      <w:pPr>
        <w:rPr>
          <w:rFonts w:asciiTheme="minorHAnsi" w:eastAsia="Times New Roman" w:hAnsiTheme="minorHAnsi"/>
          <w:sz w:val="24"/>
          <w:szCs w:val="24"/>
        </w:rPr>
      </w:pPr>
      <w:r w:rsidRPr="00346F53">
        <w:rPr>
          <w:rFonts w:asciiTheme="minorHAnsi" w:eastAsia="Times New Roman" w:hAnsiTheme="minorHAnsi"/>
          <w:sz w:val="24"/>
          <w:szCs w:val="24"/>
        </w:rPr>
        <w:t>Members are briefed on key financial issues with revenue and capital budget monitoring reports being considered by the Overview and Scrutiny Board and the Council on a quarterly basis.  The Council agrees the Treasury Management Strategy on an annual basis</w:t>
      </w:r>
      <w:r>
        <w:rPr>
          <w:rFonts w:asciiTheme="minorHAnsi" w:eastAsia="Times New Roman" w:hAnsiTheme="minorHAnsi"/>
          <w:sz w:val="24"/>
          <w:szCs w:val="24"/>
        </w:rPr>
        <w:t xml:space="preserve"> on the recommendation of the Audit Committee</w:t>
      </w:r>
      <w:r w:rsidRPr="00346F53">
        <w:rPr>
          <w:rFonts w:asciiTheme="minorHAnsi" w:eastAsia="Times New Roman" w:hAnsiTheme="minorHAnsi"/>
          <w:sz w:val="24"/>
          <w:szCs w:val="24"/>
        </w:rPr>
        <w:t>.</w:t>
      </w:r>
    </w:p>
    <w:p w:rsidR="00A76841" w:rsidRDefault="00A76841" w:rsidP="00A76841">
      <w:pPr>
        <w:rPr>
          <w:rFonts w:asciiTheme="minorHAnsi" w:eastAsia="Times New Roman" w:hAnsiTheme="minorHAnsi"/>
          <w:sz w:val="24"/>
          <w:szCs w:val="24"/>
        </w:rPr>
      </w:pPr>
      <w:r w:rsidRPr="00346F53">
        <w:rPr>
          <w:rFonts w:asciiTheme="minorHAnsi" w:eastAsia="Times New Roman" w:hAnsiTheme="minorHAnsi"/>
          <w:sz w:val="24"/>
          <w:szCs w:val="24"/>
        </w:rPr>
        <w:t xml:space="preserve">The Assistant Director – Corporate and Business Services is the </w:t>
      </w:r>
      <w:r w:rsidRPr="00346F53">
        <w:rPr>
          <w:rFonts w:asciiTheme="minorHAnsi" w:eastAsia="Times New Roman" w:hAnsiTheme="minorHAnsi"/>
          <w:b/>
          <w:sz w:val="24"/>
          <w:szCs w:val="24"/>
        </w:rPr>
        <w:t>Monitoring Officer.</w:t>
      </w:r>
      <w:r w:rsidRPr="00346F53">
        <w:rPr>
          <w:rFonts w:asciiTheme="minorHAnsi" w:eastAsia="Times New Roman" w:hAnsiTheme="minorHAnsi"/>
          <w:sz w:val="24"/>
          <w:szCs w:val="24"/>
        </w:rPr>
        <w:t xml:space="preserve">  She is responsible to the Council for ensuring that agreed procedures and protocols are followed and that all applicable Statutes and Regulations are complied with.</w:t>
      </w:r>
    </w:p>
    <w:p w:rsidR="00A76841" w:rsidRPr="00346F53" w:rsidRDefault="00A76841" w:rsidP="00A76841">
      <w:pPr>
        <w:rPr>
          <w:rFonts w:asciiTheme="minorHAnsi" w:eastAsia="Times New Roman" w:hAnsiTheme="minorHAnsi"/>
          <w:sz w:val="24"/>
          <w:szCs w:val="24"/>
        </w:rPr>
      </w:pPr>
      <w:r w:rsidRPr="0048328B">
        <w:rPr>
          <w:rFonts w:asciiTheme="minorHAnsi" w:eastAsia="Times New Roman" w:hAnsiTheme="minorHAnsi"/>
          <w:sz w:val="24"/>
          <w:szCs w:val="24"/>
        </w:rPr>
        <w:t>The Head of the Paid Service, Chief Financial Officer and Monitoring Officer meet on a monthly basis to ensure that appropriate governance arrangements are in place.</w:t>
      </w:r>
    </w:p>
    <w:p w:rsidR="00A76841" w:rsidRPr="00346F53" w:rsidRDefault="00A76841" w:rsidP="00A76841">
      <w:pPr>
        <w:rPr>
          <w:rFonts w:asciiTheme="minorHAnsi" w:eastAsia="Times New Roman" w:hAnsiTheme="minorHAnsi"/>
          <w:sz w:val="24"/>
          <w:szCs w:val="24"/>
        </w:rPr>
      </w:pPr>
      <w:r w:rsidRPr="00346F53">
        <w:rPr>
          <w:rFonts w:asciiTheme="minorHAnsi" w:eastAsia="Times New Roman" w:hAnsiTheme="minorHAnsi"/>
          <w:sz w:val="24"/>
          <w:szCs w:val="24"/>
        </w:rPr>
        <w:t>Officers in politically restricted posts and those responsible for negotiating contracts are required to register their personal interests.</w:t>
      </w:r>
    </w:p>
    <w:p w:rsidR="00A76841" w:rsidRPr="00346F53" w:rsidRDefault="00A76841" w:rsidP="00A76841">
      <w:pPr>
        <w:keepNext/>
        <w:rPr>
          <w:rFonts w:asciiTheme="minorHAnsi" w:eastAsia="Times New Roman" w:hAnsiTheme="minorHAnsi"/>
          <w:sz w:val="24"/>
          <w:szCs w:val="24"/>
          <w:u w:val="single"/>
        </w:rPr>
      </w:pPr>
      <w:r w:rsidRPr="00346F53">
        <w:rPr>
          <w:rFonts w:asciiTheme="minorHAnsi" w:eastAsia="Times New Roman" w:hAnsiTheme="minorHAnsi"/>
          <w:sz w:val="24"/>
          <w:szCs w:val="24"/>
          <w:u w:val="single"/>
        </w:rPr>
        <w:t>Training and Information</w:t>
      </w:r>
    </w:p>
    <w:p w:rsidR="00A76841" w:rsidRPr="00346F53" w:rsidRDefault="00A76841" w:rsidP="00A76841">
      <w:pPr>
        <w:rPr>
          <w:rFonts w:asciiTheme="minorHAnsi" w:eastAsia="Times New Roman" w:hAnsiTheme="minorHAnsi"/>
          <w:sz w:val="24"/>
          <w:szCs w:val="24"/>
        </w:rPr>
      </w:pPr>
      <w:r w:rsidRPr="00346F53">
        <w:rPr>
          <w:rFonts w:asciiTheme="minorHAnsi" w:eastAsia="Times New Roman" w:hAnsiTheme="minorHAnsi"/>
          <w:sz w:val="24"/>
          <w:szCs w:val="24"/>
        </w:rPr>
        <w:t xml:space="preserve">Internal communication approaches have been reviewed to ensure all staff are aware of all issues and new policies and practices.  Newsletters and daily updates are sent to all staff to advise them of relevant information, HR policy and legislation changes.  Learning and Development courses that are available and support for staff are also included within these.  </w:t>
      </w:r>
    </w:p>
    <w:p w:rsidR="00A76841" w:rsidRPr="0048328B" w:rsidRDefault="00A76841" w:rsidP="00A76841">
      <w:pPr>
        <w:rPr>
          <w:rFonts w:asciiTheme="minorHAnsi" w:eastAsia="Times New Roman" w:hAnsiTheme="minorHAnsi"/>
          <w:sz w:val="24"/>
          <w:szCs w:val="24"/>
        </w:rPr>
      </w:pPr>
      <w:r w:rsidRPr="0048328B">
        <w:rPr>
          <w:rFonts w:asciiTheme="minorHAnsi" w:eastAsia="Times New Roman" w:hAnsiTheme="minorHAnsi"/>
          <w:sz w:val="24"/>
          <w:szCs w:val="24"/>
        </w:rPr>
        <w:t>There is a positive working relationship with Trades Unions through quarterly formal meetings and informal meetings with the Assistant Director – Corporate and Business Services and consultation where appropriate.</w:t>
      </w:r>
    </w:p>
    <w:p w:rsidR="00A76841" w:rsidRPr="00346F53" w:rsidRDefault="00A76841" w:rsidP="00A76841">
      <w:pPr>
        <w:rPr>
          <w:rFonts w:asciiTheme="minorHAnsi" w:eastAsia="Times New Roman" w:hAnsiTheme="minorHAnsi"/>
          <w:sz w:val="24"/>
          <w:szCs w:val="24"/>
        </w:rPr>
      </w:pPr>
      <w:r w:rsidRPr="00346F53">
        <w:rPr>
          <w:rFonts w:asciiTheme="minorHAnsi" w:eastAsia="Times New Roman" w:hAnsiTheme="minorHAnsi"/>
          <w:sz w:val="24"/>
          <w:szCs w:val="24"/>
        </w:rPr>
        <w:t>The Council’s intranet contains a range of policies, procedures and guidance for all staff including Human Resources (HR) Policies, i-Learn training modules, Information Governance Policies, Code of Conduct, Freedom of Information Policy, Data Protection Policy and the Corporate Plan and Constitution.</w:t>
      </w:r>
    </w:p>
    <w:p w:rsidR="00A76841" w:rsidRPr="00346F53" w:rsidRDefault="00A76841" w:rsidP="00A76841">
      <w:pPr>
        <w:rPr>
          <w:rFonts w:asciiTheme="minorHAnsi" w:eastAsia="Times New Roman" w:hAnsiTheme="minorHAnsi"/>
          <w:sz w:val="24"/>
          <w:szCs w:val="24"/>
        </w:rPr>
      </w:pPr>
      <w:r w:rsidRPr="00346F53">
        <w:rPr>
          <w:rFonts w:asciiTheme="minorHAnsi" w:eastAsia="Times New Roman" w:hAnsiTheme="minorHAnsi"/>
          <w:sz w:val="24"/>
          <w:szCs w:val="24"/>
        </w:rPr>
        <w:lastRenderedPageBreak/>
        <w:t>The Council has a Fraud and Corruption Policy which is reviewed regularly and has been communicated to all staff and is available on the Council’s Intranet.</w:t>
      </w:r>
    </w:p>
    <w:p w:rsidR="00A76841" w:rsidRPr="00E73BAE" w:rsidRDefault="00A76841" w:rsidP="00A76841">
      <w:pPr>
        <w:rPr>
          <w:rFonts w:asciiTheme="minorHAnsi" w:eastAsia="Times New Roman" w:hAnsiTheme="minorHAnsi"/>
          <w:sz w:val="24"/>
          <w:szCs w:val="24"/>
        </w:rPr>
      </w:pPr>
      <w:r w:rsidRPr="00E73BAE">
        <w:rPr>
          <w:rFonts w:asciiTheme="minorHAnsi" w:eastAsia="Times New Roman" w:hAnsiTheme="minorHAnsi"/>
          <w:sz w:val="24"/>
          <w:szCs w:val="24"/>
        </w:rPr>
        <w:t>Corporate training needs are identified through the Senior Leadership Team.  The Council has strongly supported staff development, particularly through programmes such as the Institute of Leadership and Management to develop Team Leaders and Managers.</w:t>
      </w:r>
    </w:p>
    <w:p w:rsidR="00A76841" w:rsidRPr="00E73BAE" w:rsidRDefault="00A76841" w:rsidP="00A76841">
      <w:pPr>
        <w:rPr>
          <w:rFonts w:asciiTheme="minorHAnsi" w:eastAsia="Times New Roman" w:hAnsiTheme="minorHAnsi"/>
          <w:sz w:val="24"/>
          <w:szCs w:val="24"/>
        </w:rPr>
      </w:pPr>
      <w:r w:rsidRPr="00E73BAE">
        <w:rPr>
          <w:rFonts w:asciiTheme="minorHAnsi" w:eastAsia="Times New Roman" w:hAnsiTheme="minorHAnsi"/>
          <w:sz w:val="24"/>
          <w:szCs w:val="24"/>
        </w:rPr>
        <w:t xml:space="preserve">Change management training has been communicated to all staff, including senior management, to support their understanding and implementation of change.  Coaching and counselling are also offered as an additional means of support to individuals.  </w:t>
      </w:r>
    </w:p>
    <w:p w:rsidR="00A76841" w:rsidRPr="00E73BAE" w:rsidRDefault="00A76841" w:rsidP="00A76841">
      <w:pPr>
        <w:rPr>
          <w:rFonts w:asciiTheme="minorHAnsi" w:eastAsia="Times New Roman" w:hAnsiTheme="minorHAnsi"/>
          <w:sz w:val="24"/>
          <w:szCs w:val="24"/>
        </w:rPr>
      </w:pPr>
      <w:r w:rsidRPr="00E73BAE">
        <w:rPr>
          <w:rFonts w:asciiTheme="minorHAnsi" w:eastAsia="Times New Roman" w:hAnsiTheme="minorHAnsi"/>
          <w:sz w:val="24"/>
          <w:szCs w:val="24"/>
        </w:rPr>
        <w:t>The Corporate Induction module on i-Learn signposts and informs new employees about the range of policies and procedures they need to be aware of, including the Code of Conduct, Information Governance, Acceptable Behaviour</w:t>
      </w:r>
      <w:r>
        <w:rPr>
          <w:rFonts w:asciiTheme="minorHAnsi" w:eastAsia="Times New Roman" w:hAnsiTheme="minorHAnsi"/>
          <w:sz w:val="24"/>
          <w:szCs w:val="24"/>
        </w:rPr>
        <w:t xml:space="preserve">, Driver’s Policy and Handbook </w:t>
      </w:r>
      <w:r w:rsidRPr="00E73BAE">
        <w:rPr>
          <w:rFonts w:asciiTheme="minorHAnsi" w:eastAsia="Times New Roman" w:hAnsiTheme="minorHAnsi"/>
          <w:sz w:val="24"/>
          <w:szCs w:val="24"/>
        </w:rPr>
        <w:t>and Whistleblowing Policies.  Managers are responsible for local induction arrangements with corporate induction courses being run on a regular basis.</w:t>
      </w:r>
    </w:p>
    <w:p w:rsidR="00A76841" w:rsidRPr="008C195E" w:rsidRDefault="00A76841" w:rsidP="00A76841">
      <w:pPr>
        <w:rPr>
          <w:rFonts w:asciiTheme="minorHAnsi" w:eastAsia="Times New Roman" w:hAnsiTheme="minorHAnsi"/>
          <w:sz w:val="24"/>
          <w:szCs w:val="24"/>
        </w:rPr>
      </w:pPr>
      <w:r>
        <w:rPr>
          <w:rFonts w:asciiTheme="minorHAnsi" w:eastAsia="Times New Roman" w:hAnsiTheme="minorHAnsi"/>
          <w:sz w:val="24"/>
          <w:szCs w:val="24"/>
        </w:rPr>
        <w:t xml:space="preserve">Thirteen </w:t>
      </w:r>
      <w:r w:rsidRPr="008C195E">
        <w:rPr>
          <w:rFonts w:asciiTheme="minorHAnsi" w:eastAsia="Times New Roman" w:hAnsiTheme="minorHAnsi"/>
          <w:sz w:val="24"/>
          <w:szCs w:val="24"/>
        </w:rPr>
        <w:t>members have personal development plans.  The Member Development Programme provides a structured approach to member development to ensure all members are supported in their roles.  Phase 1 of the Induction programme was mostly delivered by Council officers.  Phase 2 will mainly be delivered through the Devon Member Development Shared Service.</w:t>
      </w:r>
    </w:p>
    <w:p w:rsidR="00A76841" w:rsidRPr="00346F53" w:rsidRDefault="00A76841" w:rsidP="00A76841">
      <w:pPr>
        <w:keepNext/>
        <w:rPr>
          <w:rFonts w:asciiTheme="minorHAnsi" w:eastAsia="Times New Roman" w:hAnsiTheme="minorHAnsi"/>
          <w:sz w:val="24"/>
          <w:szCs w:val="24"/>
        </w:rPr>
      </w:pPr>
      <w:r>
        <w:rPr>
          <w:rFonts w:asciiTheme="minorHAnsi" w:eastAsia="Times New Roman" w:hAnsiTheme="minorHAnsi"/>
          <w:sz w:val="24"/>
          <w:szCs w:val="24"/>
          <w:u w:val="single"/>
        </w:rPr>
        <w:t>Customer Feedback</w:t>
      </w:r>
      <w:r w:rsidRPr="00346F53">
        <w:rPr>
          <w:rFonts w:asciiTheme="minorHAnsi" w:eastAsia="Times New Roman" w:hAnsiTheme="minorHAnsi"/>
          <w:sz w:val="24"/>
          <w:szCs w:val="24"/>
          <w:u w:val="single"/>
        </w:rPr>
        <w:t xml:space="preserve"> and Whistleblowing</w:t>
      </w:r>
    </w:p>
    <w:p w:rsidR="00A76841" w:rsidRPr="0076002D" w:rsidRDefault="00A76841" w:rsidP="00A76841">
      <w:pPr>
        <w:rPr>
          <w:rFonts w:asciiTheme="minorHAnsi" w:eastAsia="Times New Roman" w:hAnsiTheme="minorHAnsi"/>
          <w:sz w:val="24"/>
          <w:szCs w:val="24"/>
        </w:rPr>
      </w:pPr>
      <w:r w:rsidRPr="0076002D">
        <w:rPr>
          <w:rFonts w:asciiTheme="minorHAnsi" w:eastAsia="Times New Roman" w:hAnsiTheme="minorHAnsi"/>
          <w:sz w:val="24"/>
          <w:szCs w:val="24"/>
        </w:rPr>
        <w:t xml:space="preserve">The Council has a customer </w:t>
      </w:r>
      <w:r>
        <w:rPr>
          <w:rFonts w:asciiTheme="minorHAnsi" w:eastAsia="Times New Roman" w:hAnsiTheme="minorHAnsi"/>
          <w:sz w:val="24"/>
          <w:szCs w:val="24"/>
        </w:rPr>
        <w:t>feedback</w:t>
      </w:r>
      <w:r w:rsidRPr="0076002D">
        <w:rPr>
          <w:rFonts w:asciiTheme="minorHAnsi" w:eastAsia="Times New Roman" w:hAnsiTheme="minorHAnsi"/>
          <w:sz w:val="24"/>
          <w:szCs w:val="24"/>
        </w:rPr>
        <w:t xml:space="preserve"> recording, tracking and reporting system to which all staff have access via the Intranet.  The system captures compliments, complaints, queries, enquiries and Local Government Ombudsman complaints. Letters from Members of Parliament are also recorded through this system as enquiries.</w:t>
      </w:r>
    </w:p>
    <w:p w:rsidR="00A76841" w:rsidRPr="0076002D" w:rsidRDefault="00A76841" w:rsidP="00A76841">
      <w:pPr>
        <w:rPr>
          <w:rFonts w:cs="Arial"/>
        </w:rPr>
      </w:pPr>
      <w:r w:rsidRPr="0076002D">
        <w:rPr>
          <w:rFonts w:asciiTheme="minorHAnsi" w:eastAsia="Times New Roman" w:hAnsiTheme="minorHAnsi"/>
          <w:sz w:val="24"/>
          <w:szCs w:val="24"/>
        </w:rPr>
        <w:t>The system enables all complaints to be recorded and tracked with root causes identified providing the Council with a useful analysis of why complaints are being received.  It also enables the tracking of the implementation of recommendations and actions.</w:t>
      </w:r>
    </w:p>
    <w:p w:rsidR="00A76841" w:rsidRPr="00346F53" w:rsidRDefault="00A76841" w:rsidP="00A76841">
      <w:pPr>
        <w:rPr>
          <w:rFonts w:asciiTheme="minorHAnsi" w:eastAsia="Times New Roman" w:hAnsiTheme="minorHAnsi"/>
          <w:sz w:val="24"/>
          <w:szCs w:val="24"/>
        </w:rPr>
      </w:pPr>
      <w:r w:rsidRPr="0076002D">
        <w:rPr>
          <w:rFonts w:asciiTheme="minorHAnsi" w:eastAsia="Times New Roman" w:hAnsiTheme="minorHAnsi"/>
          <w:sz w:val="24"/>
          <w:szCs w:val="24"/>
        </w:rPr>
        <w:t>The Information Compliance Team report to the Senior Leadership Team on a quarterly basis, these reports include the type of complaint, service area, outcomes and any learning points.  This results in further actions being identified and implemented.</w:t>
      </w:r>
    </w:p>
    <w:p w:rsidR="00A76841" w:rsidRDefault="00A76841" w:rsidP="00A76841">
      <w:pPr>
        <w:rPr>
          <w:rFonts w:asciiTheme="minorHAnsi" w:eastAsia="Times New Roman" w:hAnsiTheme="minorHAnsi"/>
          <w:sz w:val="24"/>
          <w:szCs w:val="24"/>
        </w:rPr>
      </w:pPr>
      <w:r w:rsidRPr="00346F53">
        <w:rPr>
          <w:rFonts w:asciiTheme="minorHAnsi" w:eastAsia="Times New Roman" w:hAnsiTheme="minorHAnsi"/>
          <w:sz w:val="24"/>
          <w:szCs w:val="24"/>
        </w:rPr>
        <w:t>The Council’s Whistleblowing Policy was agreed in July 2013 and is available on the Council’s website and intranet site.  The Council has an established phone line that any whistleblowing call can be made to and which goes directly to the area which has responsibility for dealing with these issues in the first instance.  These are recorded and passed onto the appropriate part of the organisation to investigate and the outcomes are monitored.</w:t>
      </w:r>
    </w:p>
    <w:p w:rsidR="00A76841" w:rsidRPr="004B5DE1" w:rsidRDefault="00A76841" w:rsidP="00A76841">
      <w:pPr>
        <w:keepNext/>
        <w:rPr>
          <w:rFonts w:asciiTheme="minorHAnsi" w:eastAsia="Times New Roman" w:hAnsiTheme="minorHAnsi"/>
          <w:sz w:val="24"/>
          <w:szCs w:val="24"/>
          <w:u w:val="single"/>
        </w:rPr>
      </w:pPr>
      <w:r w:rsidRPr="004B5DE1">
        <w:rPr>
          <w:rFonts w:asciiTheme="minorHAnsi" w:eastAsia="Times New Roman" w:hAnsiTheme="minorHAnsi"/>
          <w:sz w:val="24"/>
          <w:szCs w:val="24"/>
          <w:u w:val="single"/>
        </w:rPr>
        <w:t>Information Management</w:t>
      </w:r>
    </w:p>
    <w:p w:rsidR="00A76841" w:rsidRDefault="00A76841" w:rsidP="00A76841">
      <w:pPr>
        <w:rPr>
          <w:rFonts w:asciiTheme="minorHAnsi" w:eastAsia="Times New Roman" w:hAnsiTheme="minorHAnsi"/>
          <w:sz w:val="24"/>
          <w:szCs w:val="24"/>
        </w:rPr>
      </w:pPr>
      <w:r>
        <w:rPr>
          <w:rFonts w:asciiTheme="minorHAnsi" w:eastAsia="Times New Roman" w:hAnsiTheme="minorHAnsi"/>
          <w:sz w:val="24"/>
          <w:szCs w:val="24"/>
        </w:rPr>
        <w:t xml:space="preserve">The Council holds and processes a significant amount of information.  It is critical that the information held is of good-quality, accurate and kept up-to-date to inform decision making.  </w:t>
      </w:r>
      <w:r>
        <w:rPr>
          <w:rFonts w:asciiTheme="minorHAnsi" w:eastAsia="Times New Roman" w:hAnsiTheme="minorHAnsi"/>
          <w:sz w:val="24"/>
          <w:szCs w:val="24"/>
        </w:rPr>
        <w:lastRenderedPageBreak/>
        <w:t>Equally important is the requirement to process personal and sensitive information in accordance with the Data Protection Act 1998.  To support this, the Council has a number of information security policies which form an Information Governance Framework.  These policies are subject to regular review and updates communicated to all staff.</w:t>
      </w:r>
    </w:p>
    <w:p w:rsidR="00A76841" w:rsidRPr="00F85A18" w:rsidRDefault="00A76841" w:rsidP="00A76841">
      <w:pPr>
        <w:rPr>
          <w:rFonts w:asciiTheme="minorHAnsi" w:eastAsia="Times New Roman" w:hAnsiTheme="minorHAnsi"/>
          <w:sz w:val="24"/>
          <w:szCs w:val="24"/>
        </w:rPr>
      </w:pPr>
      <w:r>
        <w:rPr>
          <w:rFonts w:asciiTheme="minorHAnsi" w:eastAsia="Times New Roman" w:hAnsiTheme="minorHAnsi"/>
          <w:sz w:val="24"/>
          <w:szCs w:val="24"/>
        </w:rPr>
        <w:t xml:space="preserve">The Council also holds an Information Asset Register which specifies the information assets held across all Council departments. </w:t>
      </w:r>
    </w:p>
    <w:p w:rsidR="00A76841" w:rsidRPr="00346F53" w:rsidRDefault="00A76841" w:rsidP="00A76841">
      <w:pPr>
        <w:keepNext/>
        <w:rPr>
          <w:rFonts w:asciiTheme="minorHAnsi" w:eastAsia="Times New Roman" w:hAnsiTheme="minorHAnsi"/>
          <w:sz w:val="24"/>
          <w:szCs w:val="24"/>
          <w:u w:val="single"/>
        </w:rPr>
      </w:pPr>
      <w:r w:rsidRPr="00346F53">
        <w:rPr>
          <w:rFonts w:asciiTheme="minorHAnsi" w:eastAsia="Times New Roman" w:hAnsiTheme="minorHAnsi"/>
          <w:sz w:val="24"/>
          <w:szCs w:val="24"/>
          <w:u w:val="single"/>
        </w:rPr>
        <w:t>Internal Audit</w:t>
      </w:r>
    </w:p>
    <w:p w:rsidR="00A76841" w:rsidRPr="00346F53" w:rsidRDefault="00A76841" w:rsidP="00A76841">
      <w:pPr>
        <w:autoSpaceDE w:val="0"/>
        <w:autoSpaceDN w:val="0"/>
        <w:adjustRightInd w:val="0"/>
        <w:spacing w:line="240" w:lineRule="auto"/>
        <w:rPr>
          <w:rFonts w:asciiTheme="minorHAnsi" w:hAnsiTheme="minorHAnsi" w:cs="Arial"/>
          <w:color w:val="auto"/>
          <w:sz w:val="24"/>
          <w:szCs w:val="24"/>
        </w:rPr>
      </w:pPr>
      <w:r w:rsidRPr="00346F53">
        <w:rPr>
          <w:rFonts w:asciiTheme="minorHAnsi" w:hAnsiTheme="minorHAnsi" w:cs="Arial"/>
          <w:color w:val="auto"/>
          <w:sz w:val="24"/>
          <w:szCs w:val="24"/>
        </w:rPr>
        <w:t>The internal audit service is provided by Devon Audit Partnership (DAP). This is a shared service arrangement between Torbay, Plymouth City and Devon County Councils and is constituted under section 20 of the Local Government Act 2000.  Devon Audit Partnership undertakes the role of auditing the Council’s systems to give assurance to the organisation.</w:t>
      </w:r>
    </w:p>
    <w:p w:rsidR="00A76841" w:rsidRPr="00A736A5" w:rsidRDefault="00A76841" w:rsidP="00A76841">
      <w:pPr>
        <w:autoSpaceDE w:val="0"/>
        <w:autoSpaceDN w:val="0"/>
        <w:adjustRightInd w:val="0"/>
        <w:spacing w:line="240" w:lineRule="auto"/>
        <w:rPr>
          <w:rFonts w:asciiTheme="minorHAnsi" w:hAnsiTheme="minorHAnsi" w:cs="Arial"/>
          <w:sz w:val="24"/>
          <w:szCs w:val="24"/>
        </w:rPr>
      </w:pPr>
      <w:r w:rsidRPr="00A736A5">
        <w:rPr>
          <w:rFonts w:asciiTheme="minorHAnsi" w:hAnsiTheme="minorHAnsi" w:cs="Arial"/>
          <w:sz w:val="24"/>
          <w:szCs w:val="24"/>
        </w:rPr>
        <w:t xml:space="preserve">The Council’s Internal Audit Plan, which is risk based, is agreed annually with the Senior Leadership Team and the Council’s Audit Committee. This provides the basis for the review of internal control and governance within the Council and includes the following: - </w:t>
      </w:r>
    </w:p>
    <w:p w:rsidR="00A76841" w:rsidRPr="00A736A5" w:rsidRDefault="00A76841" w:rsidP="00A76841">
      <w:pPr>
        <w:numPr>
          <w:ilvl w:val="1"/>
          <w:numId w:val="35"/>
        </w:numPr>
        <w:autoSpaceDE w:val="0"/>
        <w:autoSpaceDN w:val="0"/>
        <w:adjustRightInd w:val="0"/>
        <w:spacing w:line="240" w:lineRule="auto"/>
        <w:ind w:left="1080"/>
        <w:rPr>
          <w:rFonts w:asciiTheme="minorHAnsi" w:hAnsiTheme="minorHAnsi" w:cs="Arial"/>
          <w:sz w:val="24"/>
          <w:szCs w:val="24"/>
        </w:rPr>
      </w:pPr>
      <w:r w:rsidRPr="00A736A5">
        <w:rPr>
          <w:rFonts w:asciiTheme="minorHAnsi" w:hAnsiTheme="minorHAnsi" w:cs="Arial"/>
          <w:sz w:val="24"/>
          <w:szCs w:val="24"/>
        </w:rPr>
        <w:t xml:space="preserve">Annual reviews of the Council’s key financial systems by Internal Audit against known and evolving risks. </w:t>
      </w:r>
    </w:p>
    <w:p w:rsidR="00A76841" w:rsidRPr="00A736A5" w:rsidRDefault="00A76841" w:rsidP="00A76841">
      <w:pPr>
        <w:numPr>
          <w:ilvl w:val="1"/>
          <w:numId w:val="35"/>
        </w:numPr>
        <w:autoSpaceDE w:val="0"/>
        <w:autoSpaceDN w:val="0"/>
        <w:adjustRightInd w:val="0"/>
        <w:spacing w:line="240" w:lineRule="auto"/>
        <w:ind w:left="1080"/>
        <w:rPr>
          <w:rFonts w:asciiTheme="minorHAnsi" w:hAnsiTheme="minorHAnsi" w:cs="Arial"/>
          <w:sz w:val="24"/>
          <w:szCs w:val="24"/>
        </w:rPr>
      </w:pPr>
      <w:r w:rsidRPr="00A736A5">
        <w:rPr>
          <w:rFonts w:asciiTheme="minorHAnsi" w:hAnsiTheme="minorHAnsi" w:cs="Arial"/>
          <w:sz w:val="24"/>
          <w:szCs w:val="24"/>
        </w:rPr>
        <w:t>Reviews of internal controls in operation within each service area against known and evolving risks based on a detailed risk assessment.  These reviews consider the strategic and operational risks identified in the Corporate Risk Register, as well as materiality, sensitivity and previous audit and inspection findings.</w:t>
      </w:r>
    </w:p>
    <w:p w:rsidR="00A76841" w:rsidRPr="00A736A5" w:rsidRDefault="00A76841" w:rsidP="00A76841">
      <w:pPr>
        <w:numPr>
          <w:ilvl w:val="1"/>
          <w:numId w:val="35"/>
        </w:numPr>
        <w:autoSpaceDE w:val="0"/>
        <w:autoSpaceDN w:val="0"/>
        <w:adjustRightInd w:val="0"/>
        <w:spacing w:line="240" w:lineRule="auto"/>
        <w:ind w:left="1080"/>
        <w:rPr>
          <w:rFonts w:asciiTheme="minorHAnsi" w:hAnsiTheme="minorHAnsi" w:cs="Arial"/>
          <w:sz w:val="24"/>
          <w:szCs w:val="24"/>
        </w:rPr>
      </w:pPr>
      <w:r w:rsidRPr="00A736A5">
        <w:rPr>
          <w:rFonts w:asciiTheme="minorHAnsi" w:hAnsiTheme="minorHAnsi" w:cs="Arial"/>
          <w:sz w:val="24"/>
          <w:szCs w:val="24"/>
        </w:rPr>
        <w:t xml:space="preserve">Work in relation to the prevention of fraud and corruption and an allowance for the investigation of any potential irregularities identified either from audit work or through the Council’s whistle-blowing policy. </w:t>
      </w:r>
    </w:p>
    <w:p w:rsidR="00A76841" w:rsidRPr="00A736A5" w:rsidRDefault="00A76841" w:rsidP="00A76841">
      <w:pPr>
        <w:numPr>
          <w:ilvl w:val="1"/>
          <w:numId w:val="35"/>
        </w:numPr>
        <w:autoSpaceDE w:val="0"/>
        <w:autoSpaceDN w:val="0"/>
        <w:adjustRightInd w:val="0"/>
        <w:spacing w:line="240" w:lineRule="auto"/>
        <w:ind w:left="1080"/>
        <w:rPr>
          <w:rFonts w:asciiTheme="minorHAnsi" w:hAnsiTheme="minorHAnsi" w:cs="Arial"/>
          <w:sz w:val="24"/>
          <w:szCs w:val="24"/>
        </w:rPr>
      </w:pPr>
      <w:r w:rsidRPr="00A736A5">
        <w:rPr>
          <w:rFonts w:asciiTheme="minorHAnsi" w:hAnsiTheme="minorHAnsi" w:cs="Arial"/>
          <w:sz w:val="24"/>
          <w:szCs w:val="24"/>
        </w:rPr>
        <w:t>Advice and support to ensure future safeguards when implementing new systems.</w:t>
      </w:r>
    </w:p>
    <w:p w:rsidR="00A76841" w:rsidRPr="00A736A5" w:rsidRDefault="00A76841" w:rsidP="00A76841">
      <w:pPr>
        <w:numPr>
          <w:ilvl w:val="1"/>
          <w:numId w:val="35"/>
        </w:numPr>
        <w:autoSpaceDE w:val="0"/>
        <w:autoSpaceDN w:val="0"/>
        <w:adjustRightInd w:val="0"/>
        <w:spacing w:line="240" w:lineRule="auto"/>
        <w:ind w:left="1080"/>
        <w:rPr>
          <w:rFonts w:asciiTheme="minorHAnsi" w:hAnsiTheme="minorHAnsi" w:cs="Arial"/>
          <w:sz w:val="24"/>
          <w:szCs w:val="24"/>
        </w:rPr>
      </w:pPr>
      <w:r w:rsidRPr="00A736A5">
        <w:rPr>
          <w:rFonts w:asciiTheme="minorHAnsi" w:hAnsiTheme="minorHAnsi" w:cs="Arial"/>
          <w:sz w:val="24"/>
          <w:szCs w:val="24"/>
        </w:rPr>
        <w:t>Value for money work in relation to assessing the efficiency, economy and effectiveness of the Council’s operations and recommending improvements as necessary.</w:t>
      </w:r>
    </w:p>
    <w:p w:rsidR="00A76841" w:rsidRPr="00A736A5" w:rsidRDefault="00A76841" w:rsidP="00A76841">
      <w:pPr>
        <w:autoSpaceDE w:val="0"/>
        <w:autoSpaceDN w:val="0"/>
        <w:adjustRightInd w:val="0"/>
        <w:spacing w:line="240" w:lineRule="auto"/>
        <w:rPr>
          <w:rFonts w:asciiTheme="minorHAnsi" w:hAnsiTheme="minorHAnsi" w:cs="Arial"/>
          <w:sz w:val="24"/>
          <w:szCs w:val="24"/>
        </w:rPr>
      </w:pPr>
      <w:r w:rsidRPr="00A736A5">
        <w:rPr>
          <w:rFonts w:asciiTheme="minorHAnsi" w:hAnsiTheme="minorHAnsi" w:cs="Arial"/>
          <w:sz w:val="24"/>
          <w:szCs w:val="24"/>
        </w:rPr>
        <w:t>The Council also receives assurance from the NHS Internal Audit Confederation (Audit South West) over the controls in operation at Torbay and Southern Devon NHS Foundation Trust which covers the provision of adult social care services.</w:t>
      </w:r>
    </w:p>
    <w:p w:rsidR="00A76841" w:rsidRPr="00A736A5" w:rsidRDefault="00A76841" w:rsidP="00A76841">
      <w:pPr>
        <w:autoSpaceDE w:val="0"/>
        <w:autoSpaceDN w:val="0"/>
        <w:adjustRightInd w:val="0"/>
        <w:spacing w:line="240" w:lineRule="auto"/>
        <w:rPr>
          <w:rFonts w:asciiTheme="minorHAnsi" w:hAnsiTheme="minorHAnsi" w:cs="Arial"/>
          <w:sz w:val="24"/>
          <w:szCs w:val="24"/>
        </w:rPr>
      </w:pPr>
      <w:r w:rsidRPr="00A736A5">
        <w:rPr>
          <w:rFonts w:asciiTheme="minorHAnsi" w:hAnsiTheme="minorHAnsi" w:cs="Arial"/>
          <w:sz w:val="24"/>
          <w:szCs w:val="24"/>
        </w:rPr>
        <w:t>Achievement against the Audit Plan is reported to the Audit Committee on a twice yearly basis. This report also includes an opinion and assurance about the system of internal control throughout the Council.</w:t>
      </w:r>
    </w:p>
    <w:p w:rsidR="00A76841" w:rsidRPr="00A736A5" w:rsidRDefault="00A76841" w:rsidP="00A76841">
      <w:pPr>
        <w:autoSpaceDE w:val="0"/>
        <w:autoSpaceDN w:val="0"/>
        <w:adjustRightInd w:val="0"/>
        <w:spacing w:line="240" w:lineRule="auto"/>
        <w:rPr>
          <w:rFonts w:asciiTheme="minorHAnsi" w:hAnsiTheme="minorHAnsi" w:cs="Arial"/>
          <w:sz w:val="24"/>
          <w:szCs w:val="24"/>
        </w:rPr>
      </w:pPr>
      <w:r w:rsidRPr="00A736A5">
        <w:rPr>
          <w:rFonts w:asciiTheme="minorHAnsi" w:hAnsiTheme="minorHAnsi" w:cs="Arial"/>
          <w:sz w:val="24"/>
          <w:szCs w:val="24"/>
        </w:rPr>
        <w:t>Regular meetings are held between the Chief Finance Officer and a representative of the Devon Audit Partnership to discuss specific issues that have arisen.</w:t>
      </w:r>
    </w:p>
    <w:p w:rsidR="00A76841" w:rsidRPr="00346F53" w:rsidRDefault="00A76841" w:rsidP="00A76841">
      <w:pPr>
        <w:keepNext/>
        <w:autoSpaceDE w:val="0"/>
        <w:autoSpaceDN w:val="0"/>
        <w:adjustRightInd w:val="0"/>
        <w:rPr>
          <w:rFonts w:asciiTheme="minorHAnsi" w:hAnsiTheme="minorHAnsi" w:cs="Arial"/>
          <w:sz w:val="24"/>
          <w:szCs w:val="24"/>
        </w:rPr>
      </w:pPr>
      <w:r w:rsidRPr="00346F53">
        <w:rPr>
          <w:rFonts w:asciiTheme="minorHAnsi" w:hAnsiTheme="minorHAnsi" w:cs="Arial"/>
          <w:b/>
          <w:bCs/>
          <w:sz w:val="24"/>
          <w:szCs w:val="24"/>
        </w:rPr>
        <w:lastRenderedPageBreak/>
        <w:t xml:space="preserve">Review of Effectiveness </w:t>
      </w:r>
    </w:p>
    <w:p w:rsidR="00A76841" w:rsidRPr="004D52F6" w:rsidRDefault="00A76841" w:rsidP="00A76841">
      <w:pPr>
        <w:autoSpaceDE w:val="0"/>
        <w:autoSpaceDN w:val="0"/>
        <w:adjustRightInd w:val="0"/>
        <w:spacing w:line="240" w:lineRule="auto"/>
        <w:rPr>
          <w:rFonts w:asciiTheme="minorHAnsi" w:hAnsiTheme="minorHAnsi" w:cs="Arial"/>
          <w:sz w:val="24"/>
          <w:szCs w:val="24"/>
        </w:rPr>
      </w:pPr>
      <w:r w:rsidRPr="004D52F6">
        <w:rPr>
          <w:rFonts w:asciiTheme="minorHAnsi" w:hAnsiTheme="minorHAnsi" w:cs="Arial"/>
          <w:sz w:val="24"/>
          <w:szCs w:val="24"/>
        </w:rPr>
        <w:t>Torbay Council has responsibility for conducting, at least annually, a review of the effectiveness of its governance framework including the system of internal control. The review of effectiveness is informed by the work of the executive managers within the Authority who have responsibility for the development and maintenance of the governance environment, the Head of the Devon Audit Partnership’s annual report, and also by comments made by the External Auditors and other review agencies and inspectorates.</w:t>
      </w:r>
      <w:r>
        <w:rPr>
          <w:rFonts w:asciiTheme="minorHAnsi" w:hAnsiTheme="minorHAnsi" w:cs="Arial"/>
          <w:sz w:val="24"/>
          <w:szCs w:val="24"/>
        </w:rPr>
        <w:t xml:space="preserve">  This review is demonstrated through the Annual Governance Statement.</w:t>
      </w:r>
    </w:p>
    <w:p w:rsidR="00A76841" w:rsidRPr="004D52F6" w:rsidRDefault="00A76841" w:rsidP="00A76841">
      <w:pPr>
        <w:autoSpaceDE w:val="0"/>
        <w:autoSpaceDN w:val="0"/>
        <w:adjustRightInd w:val="0"/>
        <w:spacing w:line="240" w:lineRule="auto"/>
        <w:rPr>
          <w:rFonts w:asciiTheme="minorHAnsi" w:hAnsiTheme="minorHAnsi" w:cs="Arial"/>
          <w:sz w:val="24"/>
          <w:szCs w:val="24"/>
        </w:rPr>
      </w:pPr>
      <w:r w:rsidRPr="004D52F6">
        <w:rPr>
          <w:rFonts w:asciiTheme="minorHAnsi" w:hAnsiTheme="minorHAnsi" w:cs="Arial"/>
          <w:sz w:val="24"/>
          <w:szCs w:val="24"/>
        </w:rPr>
        <w:t>As in previous years, Devon Audit Partnership undertook certain assurance work on behalf of the Council and to give assurance to the external auditors as part their audit opinion.</w:t>
      </w:r>
    </w:p>
    <w:p w:rsidR="00A76841" w:rsidRPr="004D52F6" w:rsidRDefault="00A76841" w:rsidP="00A76841">
      <w:pPr>
        <w:autoSpaceDE w:val="0"/>
        <w:autoSpaceDN w:val="0"/>
        <w:adjustRightInd w:val="0"/>
        <w:spacing w:line="240" w:lineRule="auto"/>
        <w:rPr>
          <w:rFonts w:asciiTheme="minorHAnsi" w:hAnsiTheme="minorHAnsi" w:cs="Arial"/>
          <w:sz w:val="24"/>
          <w:szCs w:val="24"/>
        </w:rPr>
      </w:pPr>
      <w:r w:rsidRPr="004D52F6">
        <w:rPr>
          <w:rFonts w:asciiTheme="minorHAnsi" w:hAnsiTheme="minorHAnsi" w:cs="Arial"/>
          <w:sz w:val="24"/>
          <w:szCs w:val="24"/>
        </w:rPr>
        <w:t xml:space="preserve">The effectiveness of the governance framework has been evaluated over the course of the year against the seven core principles within Torbay Council’s Code of Corporate Governance.  </w:t>
      </w:r>
      <w:r>
        <w:rPr>
          <w:rFonts w:asciiTheme="minorHAnsi" w:hAnsiTheme="minorHAnsi" w:cs="Arial"/>
          <w:sz w:val="24"/>
          <w:szCs w:val="24"/>
        </w:rPr>
        <w:t xml:space="preserve">Details of the evaluation of included in the sections which follow.  Whilst some significant governance issues have been identified (are are detailed below), the Council believes that its </w:t>
      </w:r>
      <w:r w:rsidRPr="00CE0C72">
        <w:rPr>
          <w:rFonts w:asciiTheme="minorHAnsi" w:hAnsiTheme="minorHAnsi" w:cs="Arial"/>
          <w:sz w:val="24"/>
          <w:szCs w:val="24"/>
        </w:rPr>
        <w:t>arrangements continue to be regarded as fit for purpose in accordance with the governance framework</w:t>
      </w:r>
    </w:p>
    <w:p w:rsidR="00A76841" w:rsidRDefault="00A76841" w:rsidP="00A76841">
      <w:pPr>
        <w:autoSpaceDE w:val="0"/>
        <w:autoSpaceDN w:val="0"/>
        <w:adjustRightInd w:val="0"/>
        <w:spacing w:line="240" w:lineRule="auto"/>
        <w:rPr>
          <w:rFonts w:asciiTheme="minorHAnsi" w:hAnsiTheme="minorHAnsi" w:cs="Arial"/>
          <w:sz w:val="24"/>
          <w:szCs w:val="24"/>
          <w:u w:val="single"/>
        </w:rPr>
      </w:pPr>
      <w:r w:rsidRPr="00170D08">
        <w:rPr>
          <w:rFonts w:asciiTheme="minorHAnsi" w:hAnsiTheme="minorHAnsi" w:cs="Arial"/>
          <w:sz w:val="24"/>
          <w:szCs w:val="24"/>
          <w:u w:val="single"/>
        </w:rPr>
        <w:t>Focusing on the purpose of the authority and on outcomes for the local community and creating and implementing a vision for the local area</w:t>
      </w:r>
    </w:p>
    <w:p w:rsidR="00A76841" w:rsidRDefault="00A76841" w:rsidP="00A76841">
      <w:pPr>
        <w:autoSpaceDE w:val="0"/>
        <w:autoSpaceDN w:val="0"/>
        <w:adjustRightInd w:val="0"/>
        <w:spacing w:line="240" w:lineRule="auto"/>
        <w:rPr>
          <w:rFonts w:asciiTheme="minorHAnsi" w:hAnsiTheme="minorHAnsi" w:cs="Arial"/>
          <w:sz w:val="24"/>
          <w:szCs w:val="24"/>
        </w:rPr>
      </w:pPr>
      <w:r w:rsidRPr="00170D08">
        <w:rPr>
          <w:rFonts w:asciiTheme="minorHAnsi" w:hAnsiTheme="minorHAnsi" w:cs="Arial"/>
          <w:sz w:val="24"/>
          <w:szCs w:val="24"/>
        </w:rPr>
        <w:t>A new Corporate Plan has been adopted which sets out the ambition for the Council, the targeted actions to support that ambition and the principles which will be adopted.  Delivery Plans for each targeted action have been developed and are due to be considered by the Council at its meeting in May 201</w:t>
      </w:r>
      <w:r>
        <w:rPr>
          <w:rFonts w:asciiTheme="minorHAnsi" w:hAnsiTheme="minorHAnsi" w:cs="Arial"/>
          <w:sz w:val="24"/>
          <w:szCs w:val="24"/>
        </w:rPr>
        <w:t>5</w:t>
      </w:r>
      <w:r w:rsidRPr="00170D08">
        <w:rPr>
          <w:rFonts w:asciiTheme="minorHAnsi" w:hAnsiTheme="minorHAnsi" w:cs="Arial"/>
          <w:sz w:val="24"/>
          <w:szCs w:val="24"/>
        </w:rPr>
        <w:t>.  The Performance and Risk Dashboards set out how the Council will measure its performance towards meeting those ambitions.</w:t>
      </w:r>
    </w:p>
    <w:p w:rsidR="00A76841" w:rsidRPr="00170D08"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 xml:space="preserve">The Council is re-engaging with its partners to develop a longer term, sustainable plan for Torbay which will articulate the Council and its partners ambitions for the area.  </w:t>
      </w:r>
    </w:p>
    <w:p w:rsidR="00A76841" w:rsidRPr="00C34E5C" w:rsidRDefault="00A76841" w:rsidP="00A76841">
      <w:pPr>
        <w:autoSpaceDE w:val="0"/>
        <w:autoSpaceDN w:val="0"/>
        <w:adjustRightInd w:val="0"/>
        <w:spacing w:line="240" w:lineRule="auto"/>
        <w:rPr>
          <w:rFonts w:asciiTheme="minorHAnsi" w:hAnsiTheme="minorHAnsi" w:cs="Arial"/>
          <w:sz w:val="24"/>
          <w:szCs w:val="24"/>
        </w:rPr>
      </w:pPr>
      <w:r w:rsidRPr="00C34E5C">
        <w:rPr>
          <w:rFonts w:asciiTheme="minorHAnsi" w:hAnsiTheme="minorHAnsi" w:cs="Arial"/>
          <w:sz w:val="24"/>
          <w:szCs w:val="24"/>
        </w:rPr>
        <w:t xml:space="preserve">The Integrated Care Organisation (Torbay and South Devon NHS Foundation Trust) was established from 1 October 2015 and delivers joined up community and acute health and social care.  Torbay Council is also working with Devon County Council to improve mental health social care delivered by Devon Partnership NHS Trust.  </w:t>
      </w:r>
    </w:p>
    <w:p w:rsidR="00A76841" w:rsidRDefault="00A76841" w:rsidP="00A76841">
      <w:pPr>
        <w:autoSpaceDE w:val="0"/>
        <w:autoSpaceDN w:val="0"/>
        <w:adjustRightInd w:val="0"/>
        <w:spacing w:line="240" w:lineRule="auto"/>
        <w:rPr>
          <w:rFonts w:asciiTheme="minorHAnsi" w:hAnsiTheme="minorHAnsi" w:cs="Arial"/>
          <w:sz w:val="24"/>
          <w:szCs w:val="24"/>
        </w:rPr>
      </w:pPr>
      <w:r w:rsidRPr="00CC7C08">
        <w:rPr>
          <w:rFonts w:asciiTheme="minorHAnsi" w:hAnsiTheme="minorHAnsi" w:cs="Arial"/>
          <w:sz w:val="24"/>
          <w:szCs w:val="24"/>
        </w:rPr>
        <w:t xml:space="preserve">An Integration Board has been set up to prepare for the integration of the children's services workforce into the </w:t>
      </w:r>
      <w:r>
        <w:rPr>
          <w:rFonts w:asciiTheme="minorHAnsi" w:hAnsiTheme="minorHAnsi" w:cs="Arial"/>
          <w:sz w:val="24"/>
          <w:szCs w:val="24"/>
        </w:rPr>
        <w:t xml:space="preserve">Integrated </w:t>
      </w:r>
      <w:r w:rsidRPr="00CC7C08">
        <w:rPr>
          <w:rFonts w:asciiTheme="minorHAnsi" w:hAnsiTheme="minorHAnsi" w:cs="Arial"/>
          <w:sz w:val="24"/>
          <w:szCs w:val="24"/>
        </w:rPr>
        <w:t>C</w:t>
      </w:r>
      <w:r>
        <w:rPr>
          <w:rFonts w:asciiTheme="minorHAnsi" w:hAnsiTheme="minorHAnsi" w:cs="Arial"/>
          <w:sz w:val="24"/>
          <w:szCs w:val="24"/>
        </w:rPr>
        <w:t xml:space="preserve">are </w:t>
      </w:r>
      <w:r w:rsidRPr="00CC7C08">
        <w:rPr>
          <w:rFonts w:asciiTheme="minorHAnsi" w:hAnsiTheme="minorHAnsi" w:cs="Arial"/>
          <w:sz w:val="24"/>
          <w:szCs w:val="24"/>
        </w:rPr>
        <w:t>O</w:t>
      </w:r>
      <w:r>
        <w:rPr>
          <w:rFonts w:asciiTheme="minorHAnsi" w:hAnsiTheme="minorHAnsi" w:cs="Arial"/>
          <w:sz w:val="24"/>
          <w:szCs w:val="24"/>
        </w:rPr>
        <w:t>rganisation (ICO) and t</w:t>
      </w:r>
      <w:r w:rsidRPr="00CC7C08">
        <w:rPr>
          <w:rFonts w:asciiTheme="minorHAnsi" w:hAnsiTheme="minorHAnsi" w:cs="Arial"/>
          <w:sz w:val="24"/>
          <w:szCs w:val="24"/>
        </w:rPr>
        <w:t xml:space="preserve">he Torbay Public Service Trust </w:t>
      </w:r>
      <w:r>
        <w:rPr>
          <w:rFonts w:asciiTheme="minorHAnsi" w:hAnsiTheme="minorHAnsi" w:cs="Arial"/>
          <w:sz w:val="24"/>
          <w:szCs w:val="24"/>
        </w:rPr>
        <w:t>has been</w:t>
      </w:r>
      <w:r w:rsidRPr="00CC7C08">
        <w:rPr>
          <w:rFonts w:asciiTheme="minorHAnsi" w:hAnsiTheme="minorHAnsi" w:cs="Arial"/>
          <w:sz w:val="24"/>
          <w:szCs w:val="24"/>
        </w:rPr>
        <w:t xml:space="preserve"> establi</w:t>
      </w:r>
      <w:r>
        <w:rPr>
          <w:rFonts w:asciiTheme="minorHAnsi" w:hAnsiTheme="minorHAnsi" w:cs="Arial"/>
          <w:sz w:val="24"/>
          <w:szCs w:val="24"/>
        </w:rPr>
        <w:t>shed with sign up from all key p</w:t>
      </w:r>
      <w:r w:rsidRPr="00CC7C08">
        <w:rPr>
          <w:rFonts w:asciiTheme="minorHAnsi" w:hAnsiTheme="minorHAnsi" w:cs="Arial"/>
          <w:sz w:val="24"/>
          <w:szCs w:val="24"/>
        </w:rPr>
        <w:t xml:space="preserve">artners in </w:t>
      </w:r>
      <w:r>
        <w:rPr>
          <w:rFonts w:asciiTheme="minorHAnsi" w:hAnsiTheme="minorHAnsi" w:cs="Arial"/>
          <w:sz w:val="24"/>
          <w:szCs w:val="24"/>
        </w:rPr>
        <w:t>Torbay</w:t>
      </w:r>
      <w:r w:rsidRPr="00CC7C08">
        <w:rPr>
          <w:rFonts w:asciiTheme="minorHAnsi" w:hAnsiTheme="minorHAnsi" w:cs="Arial"/>
          <w:sz w:val="24"/>
          <w:szCs w:val="24"/>
        </w:rPr>
        <w:t>.  </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 xml:space="preserve">Over the course of the year, </w:t>
      </w:r>
      <w:r w:rsidRPr="000E33E5">
        <w:rPr>
          <w:rFonts w:asciiTheme="minorHAnsi" w:hAnsiTheme="minorHAnsi" w:cs="Arial"/>
          <w:sz w:val="24"/>
          <w:szCs w:val="24"/>
        </w:rPr>
        <w:t>the Council relinquishe</w:t>
      </w:r>
      <w:r>
        <w:rPr>
          <w:rFonts w:asciiTheme="minorHAnsi" w:hAnsiTheme="minorHAnsi" w:cs="Arial"/>
          <w:sz w:val="24"/>
          <w:szCs w:val="24"/>
        </w:rPr>
        <w:t>d</w:t>
      </w:r>
      <w:r w:rsidRPr="000E33E5">
        <w:rPr>
          <w:rFonts w:asciiTheme="minorHAnsi" w:hAnsiTheme="minorHAnsi" w:cs="Arial"/>
          <w:sz w:val="24"/>
          <w:szCs w:val="24"/>
        </w:rPr>
        <w:t xml:space="preserve"> its ownership of PLUSS to enable PLUSS to convert to a Community Interest Company</w:t>
      </w:r>
      <w:r>
        <w:rPr>
          <w:rFonts w:asciiTheme="minorHAnsi" w:hAnsiTheme="minorHAnsi" w:cs="Arial"/>
          <w:sz w:val="24"/>
          <w:szCs w:val="24"/>
        </w:rPr>
        <w:t>.</w:t>
      </w:r>
    </w:p>
    <w:p w:rsidR="00A76841" w:rsidRPr="00CC7C08"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At the end of the financial year, discussions are continuing on the future of the English Riviera Tourism Company with a ballot on the formation of a Tourism Business Improvement District expected to take place in 2016.</w:t>
      </w:r>
    </w:p>
    <w:p w:rsidR="00A76841" w:rsidRPr="009E0AAC" w:rsidRDefault="00A76841" w:rsidP="00A76841">
      <w:pPr>
        <w:autoSpaceDE w:val="0"/>
        <w:autoSpaceDN w:val="0"/>
        <w:adjustRightInd w:val="0"/>
        <w:spacing w:line="240" w:lineRule="auto"/>
        <w:rPr>
          <w:rFonts w:asciiTheme="minorHAnsi" w:hAnsiTheme="minorHAnsi" w:cs="Arial"/>
          <w:sz w:val="24"/>
          <w:szCs w:val="24"/>
          <w:u w:val="single"/>
        </w:rPr>
      </w:pPr>
      <w:r w:rsidRPr="009E0AAC">
        <w:rPr>
          <w:rFonts w:asciiTheme="minorHAnsi" w:hAnsiTheme="minorHAnsi" w:cs="Arial"/>
          <w:sz w:val="24"/>
          <w:szCs w:val="24"/>
          <w:u w:val="single"/>
        </w:rPr>
        <w:lastRenderedPageBreak/>
        <w:t>Members and officers working together to achieve a common purpose with clearly defined functions and roles</w:t>
      </w:r>
    </w:p>
    <w:p w:rsidR="00A76841" w:rsidRPr="009E0AAC" w:rsidRDefault="00A76841" w:rsidP="00A76841">
      <w:pPr>
        <w:autoSpaceDE w:val="0"/>
        <w:autoSpaceDN w:val="0"/>
        <w:adjustRightInd w:val="0"/>
        <w:spacing w:line="240" w:lineRule="auto"/>
        <w:rPr>
          <w:rFonts w:asciiTheme="minorHAnsi" w:hAnsiTheme="minorHAnsi" w:cs="Arial"/>
          <w:sz w:val="24"/>
          <w:szCs w:val="24"/>
        </w:rPr>
      </w:pPr>
      <w:r w:rsidRPr="009E0AAC">
        <w:rPr>
          <w:rFonts w:asciiTheme="minorHAnsi" w:hAnsiTheme="minorHAnsi" w:cs="Arial"/>
          <w:sz w:val="24"/>
          <w:szCs w:val="24"/>
        </w:rPr>
        <w:t xml:space="preserve">The Council’s Constitution is continually reviewed throughout the year by the Monitoring Officer, </w:t>
      </w:r>
      <w:r>
        <w:rPr>
          <w:rFonts w:asciiTheme="minorHAnsi" w:hAnsiTheme="minorHAnsi" w:cs="Arial"/>
          <w:sz w:val="24"/>
          <w:szCs w:val="24"/>
        </w:rPr>
        <w:t>Chief Financial Officer</w:t>
      </w:r>
      <w:r w:rsidRPr="009E0AAC">
        <w:rPr>
          <w:rFonts w:asciiTheme="minorHAnsi" w:hAnsiTheme="minorHAnsi" w:cs="Arial"/>
          <w:sz w:val="24"/>
          <w:szCs w:val="24"/>
        </w:rPr>
        <w:t xml:space="preserve"> and Governance Support Manager in consultation with the Mayor and Group Leaders whereby improvements and changes to the constitution are made and agreed. </w:t>
      </w:r>
    </w:p>
    <w:p w:rsidR="00A76841" w:rsidRPr="00FF7A8A" w:rsidRDefault="00A76841" w:rsidP="00A76841">
      <w:pPr>
        <w:autoSpaceDE w:val="0"/>
        <w:autoSpaceDN w:val="0"/>
        <w:adjustRightInd w:val="0"/>
        <w:spacing w:line="240" w:lineRule="auto"/>
        <w:rPr>
          <w:rFonts w:asciiTheme="minorHAnsi" w:hAnsiTheme="minorHAnsi" w:cs="Arial"/>
          <w:sz w:val="24"/>
          <w:szCs w:val="24"/>
        </w:rPr>
      </w:pPr>
      <w:r w:rsidRPr="00FF7A8A">
        <w:rPr>
          <w:rFonts w:asciiTheme="minorHAnsi" w:hAnsiTheme="minorHAnsi" w:cs="Arial"/>
          <w:sz w:val="24"/>
          <w:szCs w:val="24"/>
        </w:rPr>
        <w:t>A new Senior Leadership Team was put in place from April 2015 which sought to reduce the size of the team to make budgetary savings and re-align services within the organisation to meet future demands.</w:t>
      </w:r>
      <w:r>
        <w:rPr>
          <w:rFonts w:asciiTheme="minorHAnsi" w:hAnsiTheme="minorHAnsi" w:cs="Arial"/>
          <w:sz w:val="24"/>
          <w:szCs w:val="24"/>
        </w:rPr>
        <w:t xml:space="preserve">  The Team have agreed a common purpose and its aims and objectives and these have been communicated to staff via Daily News and the Intranet.</w:t>
      </w:r>
    </w:p>
    <w:p w:rsidR="00A76841" w:rsidRPr="009E0AAC" w:rsidRDefault="00A76841" w:rsidP="00A76841">
      <w:pPr>
        <w:autoSpaceDE w:val="0"/>
        <w:autoSpaceDN w:val="0"/>
        <w:adjustRightInd w:val="0"/>
        <w:spacing w:line="240" w:lineRule="auto"/>
        <w:rPr>
          <w:rFonts w:asciiTheme="minorHAnsi" w:hAnsiTheme="minorHAnsi" w:cs="Arial"/>
          <w:sz w:val="24"/>
          <w:szCs w:val="24"/>
        </w:rPr>
      </w:pPr>
      <w:r w:rsidRPr="009E0AAC">
        <w:rPr>
          <w:rFonts w:asciiTheme="minorHAnsi" w:hAnsiTheme="minorHAnsi" w:cs="Arial"/>
          <w:sz w:val="24"/>
          <w:szCs w:val="24"/>
        </w:rPr>
        <w:t xml:space="preserve">An Induction Programme for all Councillors following the Local Elections in May 2015 was prepared and delivered.  It set out to focus members on the strategic issues which needed to be addressed and explained the roles and responsibilities of Councillors as distinct from officers.  The work undertaken by members during the early stages of the induction programme was used to inform the development of the new Corporate Plan. </w:t>
      </w:r>
    </w:p>
    <w:p w:rsidR="00A76841" w:rsidRPr="00C2276F" w:rsidRDefault="00A76841" w:rsidP="00A76841">
      <w:pPr>
        <w:autoSpaceDE w:val="0"/>
        <w:autoSpaceDN w:val="0"/>
        <w:adjustRightInd w:val="0"/>
        <w:spacing w:line="240" w:lineRule="auto"/>
        <w:rPr>
          <w:rFonts w:asciiTheme="minorHAnsi" w:hAnsiTheme="minorHAnsi" w:cs="Arial"/>
          <w:sz w:val="24"/>
          <w:szCs w:val="24"/>
        </w:rPr>
      </w:pPr>
      <w:r w:rsidRPr="00C2276F">
        <w:rPr>
          <w:rFonts w:asciiTheme="minorHAnsi" w:hAnsiTheme="minorHAnsi" w:cs="Arial"/>
          <w:sz w:val="24"/>
          <w:szCs w:val="24"/>
        </w:rPr>
        <w:t>The Independent Remuneration Panel met in</w:t>
      </w:r>
      <w:r>
        <w:rPr>
          <w:rFonts w:asciiTheme="minorHAnsi" w:hAnsiTheme="minorHAnsi" w:cs="Arial"/>
          <w:sz w:val="24"/>
          <w:szCs w:val="24"/>
        </w:rPr>
        <w:t xml:space="preserve"> 2015</w:t>
      </w:r>
      <w:r w:rsidRPr="00C2276F">
        <w:rPr>
          <w:rFonts w:asciiTheme="minorHAnsi" w:hAnsiTheme="minorHAnsi" w:cs="Arial"/>
          <w:sz w:val="24"/>
          <w:szCs w:val="24"/>
        </w:rPr>
        <w:t xml:space="preserve"> to review the Members Allowances Scheme and to make recommendations.</w:t>
      </w:r>
      <w:r>
        <w:rPr>
          <w:rFonts w:asciiTheme="minorHAnsi" w:hAnsiTheme="minorHAnsi" w:cs="Arial"/>
          <w:sz w:val="24"/>
          <w:szCs w:val="24"/>
        </w:rPr>
        <w:t xml:space="preserve">  The Panel took account of the cross party working within the Authority which it noted was valued by all members.  It also wished to ensure that, as far as possible, the Scheme did not create barriers to candidates standing for elected office.  </w:t>
      </w:r>
    </w:p>
    <w:p w:rsidR="00A76841" w:rsidRPr="009E0AAC" w:rsidRDefault="00A76841" w:rsidP="00A76841">
      <w:pPr>
        <w:autoSpaceDE w:val="0"/>
        <w:autoSpaceDN w:val="0"/>
        <w:adjustRightInd w:val="0"/>
        <w:spacing w:line="240" w:lineRule="auto"/>
        <w:rPr>
          <w:rFonts w:asciiTheme="minorHAnsi" w:hAnsiTheme="minorHAnsi" w:cs="Arial"/>
          <w:sz w:val="24"/>
          <w:szCs w:val="24"/>
        </w:rPr>
      </w:pPr>
      <w:r w:rsidRPr="00EB3583">
        <w:rPr>
          <w:rFonts w:asciiTheme="minorHAnsi" w:hAnsiTheme="minorHAnsi" w:cs="Arial"/>
          <w:sz w:val="24"/>
          <w:szCs w:val="24"/>
        </w:rPr>
        <w:t xml:space="preserve">In November 2015, Torbay Council welcomed a Local Government Association review team to undertake a Corporate Peer Challenge to specifically challenge the financial viability of the Council and the effectiveness of its leadership and governance arrangements.    </w:t>
      </w:r>
      <w:r>
        <w:rPr>
          <w:rFonts w:asciiTheme="minorHAnsi" w:hAnsiTheme="minorHAnsi" w:cs="Arial"/>
          <w:sz w:val="24"/>
          <w:szCs w:val="24"/>
        </w:rPr>
        <w:t>The recommendations from the Corporate Peer Challenge included the need to develop a clear, long term vision for Torbay together with a Medium Term Financial Plan which demonstrates how the budget challenge will met.  Further recommendations were made around the need for more effective working practices in relation to governance and to review the capacity of the political and managerial leadership.   An action plan has been developed and  was agreed by the Council at its meeting in April 2016.  However, a number of actions have already been put in place and are referred to throughout this Annual Governance Statement.</w:t>
      </w:r>
    </w:p>
    <w:p w:rsidR="00A76841" w:rsidRPr="00BA0CDD" w:rsidRDefault="00A76841" w:rsidP="00A76841">
      <w:pPr>
        <w:autoSpaceDE w:val="0"/>
        <w:autoSpaceDN w:val="0"/>
        <w:adjustRightInd w:val="0"/>
        <w:spacing w:line="240" w:lineRule="auto"/>
        <w:rPr>
          <w:rFonts w:asciiTheme="minorHAnsi" w:hAnsiTheme="minorHAnsi" w:cs="Arial"/>
          <w:sz w:val="24"/>
          <w:szCs w:val="24"/>
          <w:u w:val="single"/>
        </w:rPr>
      </w:pPr>
      <w:r w:rsidRPr="00BA0CDD">
        <w:rPr>
          <w:rFonts w:asciiTheme="minorHAnsi" w:hAnsiTheme="minorHAnsi" w:cs="Arial"/>
          <w:sz w:val="24"/>
          <w:szCs w:val="24"/>
          <w:u w:val="single"/>
        </w:rPr>
        <w:t>Promoting values for the authority and demonstrating the values of good governance through upholding high standards of conduct and behaviour</w:t>
      </w:r>
    </w:p>
    <w:p w:rsidR="00A76841" w:rsidRPr="008B04EC" w:rsidRDefault="00A76841" w:rsidP="00A76841">
      <w:pPr>
        <w:autoSpaceDE w:val="0"/>
        <w:autoSpaceDN w:val="0"/>
        <w:adjustRightInd w:val="0"/>
        <w:spacing w:line="240" w:lineRule="auto"/>
        <w:rPr>
          <w:rFonts w:asciiTheme="minorHAnsi" w:hAnsiTheme="minorHAnsi" w:cs="Arial"/>
          <w:sz w:val="24"/>
          <w:szCs w:val="24"/>
        </w:rPr>
      </w:pPr>
      <w:r w:rsidRPr="004A586B">
        <w:rPr>
          <w:rFonts w:asciiTheme="minorHAnsi" w:hAnsiTheme="minorHAnsi" w:cs="Arial"/>
          <w:sz w:val="24"/>
          <w:szCs w:val="24"/>
        </w:rPr>
        <w:t>The Standards Committee has</w:t>
      </w:r>
      <w:r>
        <w:rPr>
          <w:rFonts w:asciiTheme="minorHAnsi" w:hAnsiTheme="minorHAnsi" w:cs="Arial"/>
          <w:sz w:val="24"/>
          <w:szCs w:val="24"/>
        </w:rPr>
        <w:t xml:space="preserve"> been re-appointed</w:t>
      </w:r>
      <w:r w:rsidRPr="004A586B">
        <w:rPr>
          <w:rFonts w:asciiTheme="minorHAnsi" w:hAnsiTheme="minorHAnsi" w:cs="Arial"/>
          <w:sz w:val="24"/>
          <w:szCs w:val="24"/>
        </w:rPr>
        <w:t xml:space="preserve">. </w:t>
      </w:r>
      <w:r>
        <w:rPr>
          <w:rFonts w:asciiTheme="minorHAnsi" w:hAnsiTheme="minorHAnsi" w:cs="Arial"/>
          <w:sz w:val="24"/>
          <w:szCs w:val="24"/>
        </w:rPr>
        <w:t xml:space="preserve">Whilst it did not meet during 2015/2016, the Monitoring Officer met regularly with the Independent Person (appointed to assist the Standards Committee in the Member Complaint Process) to hear their views and opinions on various matters relating to Members’ conduct.  The Independent Person assisted with the training on the Code of Conduct during the </w:t>
      </w:r>
      <w:r w:rsidRPr="004A586B">
        <w:rPr>
          <w:rFonts w:asciiTheme="minorHAnsi" w:hAnsiTheme="minorHAnsi" w:cs="Arial"/>
          <w:sz w:val="24"/>
          <w:szCs w:val="24"/>
        </w:rPr>
        <w:t>Induction of new councillors</w:t>
      </w:r>
      <w:r>
        <w:rPr>
          <w:rFonts w:asciiTheme="minorHAnsi" w:hAnsiTheme="minorHAnsi" w:cs="Arial"/>
          <w:sz w:val="24"/>
          <w:szCs w:val="24"/>
        </w:rPr>
        <w:t xml:space="preserve"> and </w:t>
      </w:r>
      <w:r w:rsidRPr="004A586B">
        <w:rPr>
          <w:rFonts w:asciiTheme="minorHAnsi" w:hAnsiTheme="minorHAnsi" w:cs="Arial"/>
          <w:sz w:val="24"/>
          <w:szCs w:val="24"/>
        </w:rPr>
        <w:t xml:space="preserve"> has attended meetings of Council committees to observe members’ behaviour and to provide feedback.  </w:t>
      </w:r>
      <w:r>
        <w:rPr>
          <w:rFonts w:asciiTheme="minorHAnsi" w:hAnsiTheme="minorHAnsi" w:cs="Arial"/>
          <w:sz w:val="24"/>
          <w:szCs w:val="24"/>
        </w:rPr>
        <w:t xml:space="preserve">Whilst the observed meetings were efficiently chaired it was </w:t>
      </w:r>
      <w:r w:rsidRPr="00F1646E">
        <w:rPr>
          <w:rFonts w:asciiTheme="minorHAnsi" w:hAnsiTheme="minorHAnsi" w:cs="Arial"/>
          <w:sz w:val="24"/>
          <w:szCs w:val="24"/>
        </w:rPr>
        <w:t>again highlighted</w:t>
      </w:r>
      <w:r w:rsidRPr="008B04EC">
        <w:rPr>
          <w:rFonts w:asciiTheme="minorHAnsi" w:hAnsiTheme="minorHAnsi" w:cs="Arial"/>
          <w:sz w:val="24"/>
          <w:szCs w:val="24"/>
        </w:rPr>
        <w:t xml:space="preserve"> </w:t>
      </w:r>
      <w:r w:rsidRPr="008B04EC">
        <w:rPr>
          <w:rFonts w:asciiTheme="minorHAnsi" w:hAnsiTheme="minorHAnsi" w:cs="Arial"/>
          <w:sz w:val="24"/>
          <w:szCs w:val="24"/>
        </w:rPr>
        <w:lastRenderedPageBreak/>
        <w:t xml:space="preserve">that the use of social media by councillors during meetings could give the impression that members are disinterested in the ongoing discussions. </w:t>
      </w:r>
    </w:p>
    <w:p w:rsidR="00A76841" w:rsidRDefault="00A76841" w:rsidP="00A76841">
      <w:pPr>
        <w:autoSpaceDE w:val="0"/>
        <w:autoSpaceDN w:val="0"/>
        <w:adjustRightInd w:val="0"/>
        <w:spacing w:line="240" w:lineRule="auto"/>
        <w:rPr>
          <w:rFonts w:asciiTheme="minorHAnsi" w:eastAsia="Times New Roman" w:hAnsiTheme="minorHAnsi"/>
          <w:sz w:val="24"/>
          <w:szCs w:val="24"/>
        </w:rPr>
      </w:pPr>
      <w:r w:rsidRPr="00E73BAE">
        <w:rPr>
          <w:rFonts w:asciiTheme="minorHAnsi" w:hAnsiTheme="minorHAnsi" w:cs="Arial"/>
          <w:sz w:val="24"/>
          <w:szCs w:val="24"/>
        </w:rPr>
        <w:t>The Council’s Code of Conduct, Information Governance, Whistleblowing and Acceptable Behaviour policies are all available for all staff on the HR intranet page.  They are also referred to within employees’ terms and conditions of employment and are binding upon employees during the course of their employment with the Council.  Reminders are sent out to staff via newsletters and internal communications.    The Council’s induction programme also signposts to the above policies for new starters.</w:t>
      </w:r>
      <w:r w:rsidRPr="00E73BAE">
        <w:rPr>
          <w:rFonts w:asciiTheme="minorHAnsi" w:eastAsia="Times New Roman" w:hAnsiTheme="minorHAnsi"/>
          <w:sz w:val="24"/>
          <w:szCs w:val="24"/>
        </w:rPr>
        <w:t xml:space="preserve"> </w:t>
      </w:r>
    </w:p>
    <w:p w:rsidR="00A76841" w:rsidRPr="00E73BAE" w:rsidRDefault="00A76841" w:rsidP="00A76841">
      <w:pPr>
        <w:autoSpaceDE w:val="0"/>
        <w:autoSpaceDN w:val="0"/>
        <w:adjustRightInd w:val="0"/>
        <w:spacing w:line="240" w:lineRule="auto"/>
        <w:rPr>
          <w:rFonts w:asciiTheme="minorHAnsi" w:eastAsia="Times New Roman" w:hAnsiTheme="minorHAnsi"/>
          <w:sz w:val="24"/>
          <w:szCs w:val="24"/>
        </w:rPr>
      </w:pPr>
      <w:r w:rsidRPr="00AD2CFF">
        <w:rPr>
          <w:rFonts w:asciiTheme="minorHAnsi" w:hAnsiTheme="minorHAnsi" w:cs="Arial"/>
          <w:sz w:val="24"/>
          <w:szCs w:val="24"/>
        </w:rPr>
        <w:t xml:space="preserve">In line with the Council's Whistleblowing Policy, the Probity and Ethics Group; comprising of the Monitoring Officer, the </w:t>
      </w:r>
      <w:r>
        <w:rPr>
          <w:rFonts w:asciiTheme="minorHAnsi" w:hAnsiTheme="minorHAnsi" w:cs="Arial"/>
          <w:sz w:val="24"/>
          <w:szCs w:val="24"/>
        </w:rPr>
        <w:t>Chief Finance Officer</w:t>
      </w:r>
      <w:r w:rsidRPr="00AD2CFF">
        <w:rPr>
          <w:rFonts w:asciiTheme="minorHAnsi" w:hAnsiTheme="minorHAnsi" w:cs="Arial"/>
          <w:sz w:val="24"/>
          <w:szCs w:val="24"/>
        </w:rPr>
        <w:t>, Internal Audit and the Head of Human Resources, meet to consider and progress as appropriate all matters of concern.</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The Senior Leadership Team has agreed a set of common behaviours to address issues of unacceptable behaviour and the Manager’s Toolkit training and the Torbay Starters event incorporates the requirements in relation to acceptable behaviour and the associated policy.</w:t>
      </w:r>
    </w:p>
    <w:p w:rsidR="00A76841" w:rsidRPr="00437820" w:rsidRDefault="00A76841" w:rsidP="00A76841">
      <w:pPr>
        <w:autoSpaceDE w:val="0"/>
        <w:autoSpaceDN w:val="0"/>
        <w:adjustRightInd w:val="0"/>
        <w:spacing w:line="240" w:lineRule="auto"/>
        <w:rPr>
          <w:rFonts w:asciiTheme="minorHAnsi" w:hAnsiTheme="minorHAnsi"/>
          <w:sz w:val="24"/>
        </w:rPr>
      </w:pPr>
      <w:r w:rsidRPr="003E1B44">
        <w:rPr>
          <w:rFonts w:asciiTheme="minorHAnsi" w:hAnsiTheme="minorHAnsi" w:cs="Arial"/>
          <w:sz w:val="24"/>
          <w:szCs w:val="24"/>
        </w:rPr>
        <w:t xml:space="preserve">The Corporate Peer Challenge recognised that the core values - </w:t>
      </w:r>
      <w:r w:rsidRPr="003E1B44">
        <w:rPr>
          <w:rFonts w:asciiTheme="minorHAnsi" w:hAnsiTheme="minorHAnsi" w:cs="Arial"/>
          <w:i/>
          <w:iCs/>
          <w:color w:val="auto"/>
          <w:sz w:val="24"/>
          <w:szCs w:val="24"/>
        </w:rPr>
        <w:t xml:space="preserve">Torbay Council is committed to being </w:t>
      </w:r>
      <w:r w:rsidRPr="003E1B44">
        <w:rPr>
          <w:rFonts w:asciiTheme="minorHAnsi" w:hAnsiTheme="minorHAnsi" w:cs="Arial"/>
          <w:b/>
          <w:bCs/>
          <w:i/>
          <w:iCs/>
          <w:color w:val="auto"/>
          <w:sz w:val="24"/>
          <w:szCs w:val="24"/>
        </w:rPr>
        <w:t>forward thinking</w:t>
      </w:r>
      <w:r w:rsidRPr="003E1B44">
        <w:rPr>
          <w:rFonts w:asciiTheme="minorHAnsi" w:hAnsiTheme="minorHAnsi" w:cs="Arial"/>
          <w:i/>
          <w:iCs/>
          <w:color w:val="auto"/>
          <w:sz w:val="24"/>
          <w:szCs w:val="24"/>
        </w:rPr>
        <w:t xml:space="preserve">, </w:t>
      </w:r>
      <w:r w:rsidRPr="003E1B44">
        <w:rPr>
          <w:rFonts w:asciiTheme="minorHAnsi" w:hAnsiTheme="minorHAnsi" w:cs="Arial"/>
          <w:b/>
          <w:bCs/>
          <w:i/>
          <w:iCs/>
          <w:color w:val="auto"/>
          <w:sz w:val="24"/>
          <w:szCs w:val="24"/>
        </w:rPr>
        <w:t>people orientated</w:t>
      </w:r>
      <w:r w:rsidRPr="003E1B44">
        <w:rPr>
          <w:rFonts w:asciiTheme="minorHAnsi" w:hAnsiTheme="minorHAnsi" w:cs="Arial"/>
          <w:i/>
          <w:iCs/>
          <w:color w:val="auto"/>
          <w:sz w:val="24"/>
          <w:szCs w:val="24"/>
        </w:rPr>
        <w:t xml:space="preserve"> and </w:t>
      </w:r>
      <w:r w:rsidRPr="003E1B44">
        <w:rPr>
          <w:rFonts w:asciiTheme="minorHAnsi" w:hAnsiTheme="minorHAnsi" w:cs="Arial"/>
          <w:b/>
          <w:bCs/>
          <w:i/>
          <w:iCs/>
          <w:color w:val="auto"/>
          <w:sz w:val="24"/>
          <w:szCs w:val="24"/>
        </w:rPr>
        <w:t>adaptable</w:t>
      </w:r>
      <w:r w:rsidRPr="003E1B44">
        <w:rPr>
          <w:rFonts w:asciiTheme="minorHAnsi" w:hAnsiTheme="minorHAnsi" w:cs="Arial"/>
          <w:i/>
          <w:iCs/>
          <w:color w:val="auto"/>
          <w:sz w:val="24"/>
          <w:szCs w:val="24"/>
        </w:rPr>
        <w:t xml:space="preserve"> – always with </w:t>
      </w:r>
      <w:r w:rsidRPr="003E1B44">
        <w:rPr>
          <w:rFonts w:asciiTheme="minorHAnsi" w:hAnsiTheme="minorHAnsi" w:cs="Arial"/>
          <w:b/>
          <w:bCs/>
          <w:i/>
          <w:iCs/>
          <w:color w:val="auto"/>
          <w:sz w:val="24"/>
          <w:szCs w:val="24"/>
        </w:rPr>
        <w:t xml:space="preserve">integrity </w:t>
      </w:r>
      <w:r w:rsidRPr="003E1B44">
        <w:rPr>
          <w:rFonts w:asciiTheme="minorHAnsi" w:hAnsiTheme="minorHAnsi"/>
          <w:sz w:val="24"/>
        </w:rPr>
        <w:t>– had been purposefully embedded across the staff group</w:t>
      </w:r>
      <w:r w:rsidRPr="00437820">
        <w:rPr>
          <w:rFonts w:asciiTheme="minorHAnsi" w:hAnsiTheme="minorHAnsi"/>
          <w:sz w:val="24"/>
        </w:rPr>
        <w:t>.  These values need to be reinforced through the actions of senior managers and members with everyone from the Mayor downwards encouraged to demonstrate the same values and behaviours.</w:t>
      </w:r>
    </w:p>
    <w:p w:rsidR="00A76841" w:rsidRDefault="00A76841" w:rsidP="00A76841">
      <w:pPr>
        <w:autoSpaceDE w:val="0"/>
        <w:autoSpaceDN w:val="0"/>
        <w:adjustRightInd w:val="0"/>
        <w:spacing w:line="240" w:lineRule="auto"/>
        <w:rPr>
          <w:rFonts w:asciiTheme="minorHAnsi" w:hAnsiTheme="minorHAnsi"/>
          <w:sz w:val="24"/>
        </w:rPr>
      </w:pPr>
      <w:r w:rsidRPr="003E1B44">
        <w:rPr>
          <w:rFonts w:asciiTheme="minorHAnsi" w:hAnsiTheme="minorHAnsi"/>
          <w:sz w:val="24"/>
        </w:rPr>
        <w:t>The Corporate Peer Challenge</w:t>
      </w:r>
      <w:r>
        <w:rPr>
          <w:rFonts w:asciiTheme="minorHAnsi" w:hAnsiTheme="minorHAnsi"/>
          <w:sz w:val="24"/>
        </w:rPr>
        <w:t xml:space="preserve"> did highlight, however, that member and officer roles were blurred in practice and that this needed to be addressed.  There is a need to ensure that members and officers are clear as to how the Constitution operates in practice and who has delegated powers.  Issues around perceived conflicts of interest and feedback from representatives on outside boards also need to be addressed.  The establishment of monthly meetings between the Head of the Paid Service, the Chief Financial Officer and the Monitoring Officer aims to ensure that there is a regular forum in which these issues are addressed.</w:t>
      </w:r>
    </w:p>
    <w:p w:rsidR="00A76841" w:rsidRPr="008C195E" w:rsidRDefault="00A76841" w:rsidP="00A76841">
      <w:pPr>
        <w:autoSpaceDE w:val="0"/>
        <w:autoSpaceDN w:val="0"/>
        <w:adjustRightInd w:val="0"/>
        <w:spacing w:line="240" w:lineRule="auto"/>
        <w:rPr>
          <w:rFonts w:asciiTheme="minorHAnsi" w:hAnsiTheme="minorHAnsi"/>
          <w:sz w:val="24"/>
        </w:rPr>
      </w:pPr>
      <w:r w:rsidRPr="008C195E">
        <w:rPr>
          <w:rFonts w:asciiTheme="minorHAnsi" w:hAnsiTheme="minorHAnsi"/>
          <w:sz w:val="24"/>
        </w:rPr>
        <w:t xml:space="preserve">An audit of the Council’s ‘Culture and Ethics’ is currently being undertaken. Business ethics, values and culture are an important part of improving an organisation’s governance process and we will be auditing how we do things currently to </w:t>
      </w:r>
      <w:r>
        <w:rPr>
          <w:rFonts w:asciiTheme="minorHAnsi" w:hAnsiTheme="minorHAnsi"/>
          <w:sz w:val="24"/>
        </w:rPr>
        <w:t xml:space="preserve">determine </w:t>
      </w:r>
      <w:r w:rsidRPr="008C195E">
        <w:rPr>
          <w:rFonts w:asciiTheme="minorHAnsi" w:hAnsiTheme="minorHAnsi"/>
          <w:sz w:val="24"/>
        </w:rPr>
        <w:t>if there are any gaps.  We will then look to embed, establish and maintain our business ethics across the organisation, supporting the Council</w:t>
      </w:r>
      <w:r>
        <w:rPr>
          <w:rFonts w:asciiTheme="minorHAnsi" w:hAnsiTheme="minorHAnsi"/>
          <w:sz w:val="24"/>
        </w:rPr>
        <w:t>’</w:t>
      </w:r>
      <w:r w:rsidRPr="008C195E">
        <w:rPr>
          <w:rFonts w:asciiTheme="minorHAnsi" w:hAnsiTheme="minorHAnsi"/>
          <w:sz w:val="24"/>
        </w:rPr>
        <w:t xml:space="preserve">s Core Values. </w:t>
      </w:r>
    </w:p>
    <w:p w:rsidR="00A76841" w:rsidRPr="00BA0CDD" w:rsidRDefault="00A76841" w:rsidP="00A76841">
      <w:pPr>
        <w:keepNext/>
        <w:autoSpaceDE w:val="0"/>
        <w:autoSpaceDN w:val="0"/>
        <w:adjustRightInd w:val="0"/>
        <w:spacing w:line="240" w:lineRule="auto"/>
        <w:rPr>
          <w:rFonts w:asciiTheme="minorHAnsi" w:hAnsiTheme="minorHAnsi" w:cs="Arial"/>
          <w:sz w:val="24"/>
          <w:szCs w:val="24"/>
          <w:u w:val="single"/>
        </w:rPr>
      </w:pPr>
      <w:r w:rsidRPr="00BA0CDD">
        <w:rPr>
          <w:rFonts w:asciiTheme="minorHAnsi" w:hAnsiTheme="minorHAnsi" w:cs="Arial"/>
          <w:sz w:val="24"/>
          <w:szCs w:val="24"/>
          <w:u w:val="single"/>
        </w:rPr>
        <w:t>Taking informed and transparent decisions which are subject to effective scrutiny and managing risk</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 xml:space="preserve">The process for taking informed decisions has been reviewed over the course of the year.  The amount of notice required for a proposed decision to be included in the Forward Plan has been extended from one month to three months. The report format has been amended to ensure that all relevant information is considered in formulating recommendations.  Those draft reports are considered by the Senior Leadership and discussed with Executive </w:t>
      </w:r>
      <w:r>
        <w:rPr>
          <w:rFonts w:asciiTheme="minorHAnsi" w:hAnsiTheme="minorHAnsi" w:cs="Arial"/>
          <w:sz w:val="24"/>
          <w:szCs w:val="24"/>
        </w:rPr>
        <w:lastRenderedPageBreak/>
        <w:t>Members and, in some cases, at the Policy Development Groups.  The Corporate Peer Challenge confirmed that officers should present issues without fear, favour or agenda.</w:t>
      </w:r>
    </w:p>
    <w:p w:rsidR="00A76841" w:rsidRPr="00BA0CDD" w:rsidRDefault="00A76841" w:rsidP="00A76841">
      <w:pPr>
        <w:autoSpaceDE w:val="0"/>
        <w:autoSpaceDN w:val="0"/>
        <w:adjustRightInd w:val="0"/>
        <w:spacing w:line="240" w:lineRule="auto"/>
        <w:rPr>
          <w:rFonts w:asciiTheme="minorHAnsi" w:hAnsiTheme="minorHAnsi" w:cs="Arial"/>
          <w:sz w:val="24"/>
          <w:szCs w:val="24"/>
        </w:rPr>
      </w:pPr>
      <w:r w:rsidRPr="00BA0CDD">
        <w:rPr>
          <w:rFonts w:asciiTheme="minorHAnsi" w:hAnsiTheme="minorHAnsi" w:cs="Arial"/>
          <w:sz w:val="24"/>
          <w:szCs w:val="24"/>
        </w:rPr>
        <w:t xml:space="preserve">The Overview and Scrutiny Board has met throughout the year to hold the Mayor and Executive to account, and the Audit Committee has also met regularly. This </w:t>
      </w:r>
      <w:r>
        <w:rPr>
          <w:rFonts w:asciiTheme="minorHAnsi" w:hAnsiTheme="minorHAnsi" w:cs="Arial"/>
          <w:sz w:val="24"/>
          <w:szCs w:val="24"/>
        </w:rPr>
        <w:t xml:space="preserve">aims to </w:t>
      </w:r>
      <w:r w:rsidRPr="00BA0CDD">
        <w:rPr>
          <w:rFonts w:asciiTheme="minorHAnsi" w:hAnsiTheme="minorHAnsi" w:cs="Arial"/>
          <w:sz w:val="24"/>
          <w:szCs w:val="24"/>
        </w:rPr>
        <w:t>provide assurance</w:t>
      </w:r>
      <w:r>
        <w:rPr>
          <w:rFonts w:asciiTheme="minorHAnsi" w:hAnsiTheme="minorHAnsi" w:cs="Arial"/>
          <w:sz w:val="24"/>
          <w:szCs w:val="24"/>
        </w:rPr>
        <w:t xml:space="preserve"> within the decision making process</w:t>
      </w:r>
      <w:r w:rsidRPr="00BA0CDD">
        <w:rPr>
          <w:rFonts w:asciiTheme="minorHAnsi" w:hAnsiTheme="minorHAnsi" w:cs="Arial"/>
          <w:sz w:val="24"/>
          <w:szCs w:val="24"/>
        </w:rPr>
        <w:t>. </w:t>
      </w:r>
    </w:p>
    <w:p w:rsidR="00A76841" w:rsidRDefault="00A76841" w:rsidP="00A76841">
      <w:pPr>
        <w:autoSpaceDE w:val="0"/>
        <w:autoSpaceDN w:val="0"/>
        <w:adjustRightInd w:val="0"/>
        <w:spacing w:line="240" w:lineRule="auto"/>
        <w:rPr>
          <w:rFonts w:asciiTheme="minorHAnsi" w:hAnsiTheme="minorHAnsi" w:cs="Arial"/>
          <w:sz w:val="24"/>
          <w:szCs w:val="24"/>
        </w:rPr>
      </w:pPr>
      <w:r w:rsidRPr="008B04EC">
        <w:rPr>
          <w:rFonts w:asciiTheme="minorHAnsi" w:hAnsiTheme="minorHAnsi" w:cs="Arial"/>
          <w:sz w:val="24"/>
          <w:szCs w:val="24"/>
        </w:rPr>
        <w:t>The Audit Committee has received the Internal Audit Plan together with updates on the progress against the Plan.  The Committee have received the Council’s Statement of Accounts and Treasury Management Strategy.</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The Committee has undertaken a review of Children’s and Adults’ Services financial management to understand the reasoning behind the level of spend in each service and to ensure that the financial plans for the services were robust.</w:t>
      </w:r>
    </w:p>
    <w:p w:rsidR="00A76841" w:rsidRDefault="00A76841" w:rsidP="00A76841">
      <w:pPr>
        <w:autoSpaceDE w:val="0"/>
        <w:autoSpaceDN w:val="0"/>
        <w:adjustRightInd w:val="0"/>
        <w:spacing w:line="240" w:lineRule="auto"/>
        <w:rPr>
          <w:rFonts w:asciiTheme="minorHAnsi" w:hAnsiTheme="minorHAnsi" w:cs="Arial"/>
          <w:sz w:val="24"/>
          <w:szCs w:val="24"/>
          <w:highlight w:val="yellow"/>
        </w:rPr>
      </w:pPr>
      <w:r>
        <w:rPr>
          <w:rFonts w:asciiTheme="minorHAnsi" w:hAnsiTheme="minorHAnsi" w:cs="Arial"/>
          <w:sz w:val="24"/>
          <w:szCs w:val="24"/>
        </w:rPr>
        <w:t>Following the agreement of the Performance and Risk Framework in March 2015, the views of the Audit Committee have been sought in developing the Performance and Risk Dashboards for the Council.  The Dashboards will be reviewed by the Committee with suggested areas for further investigation being referred to the Overview and Scrutiny Board.</w:t>
      </w:r>
    </w:p>
    <w:p w:rsidR="00A76841" w:rsidRPr="008B04EC" w:rsidRDefault="00A76841" w:rsidP="00A76841">
      <w:pPr>
        <w:autoSpaceDE w:val="0"/>
        <w:autoSpaceDN w:val="0"/>
        <w:adjustRightInd w:val="0"/>
        <w:spacing w:line="240" w:lineRule="auto"/>
        <w:rPr>
          <w:rFonts w:asciiTheme="minorHAnsi" w:hAnsiTheme="minorHAnsi" w:cs="Arial"/>
          <w:sz w:val="24"/>
          <w:szCs w:val="24"/>
        </w:rPr>
      </w:pPr>
      <w:r w:rsidRPr="008B04EC">
        <w:rPr>
          <w:rFonts w:asciiTheme="minorHAnsi" w:hAnsiTheme="minorHAnsi" w:cs="Arial"/>
          <w:sz w:val="24"/>
          <w:szCs w:val="24"/>
        </w:rPr>
        <w:t>Moving forward, the Audit Committee will be meeting bi-monthly with a particular emphasis on performance and risk management.</w:t>
      </w:r>
    </w:p>
    <w:p w:rsidR="00A76841" w:rsidRPr="00FE5499" w:rsidRDefault="00A76841" w:rsidP="00A76841">
      <w:pPr>
        <w:autoSpaceDE w:val="0"/>
        <w:autoSpaceDN w:val="0"/>
        <w:adjustRightInd w:val="0"/>
        <w:spacing w:line="240" w:lineRule="auto"/>
        <w:rPr>
          <w:rFonts w:asciiTheme="minorHAnsi" w:hAnsiTheme="minorHAnsi" w:cs="Arial"/>
          <w:sz w:val="24"/>
          <w:szCs w:val="24"/>
        </w:rPr>
      </w:pPr>
      <w:r w:rsidRPr="00FE5499">
        <w:rPr>
          <w:rFonts w:asciiTheme="minorHAnsi" w:hAnsiTheme="minorHAnsi" w:cs="Arial"/>
          <w:sz w:val="24"/>
          <w:szCs w:val="24"/>
        </w:rPr>
        <w:t xml:space="preserve">The Overview and Scrutiny Board has undertaken a range of work from reviewing draft Policy Framework documents to matters arising from budget monitoring reports.  The Mayor has also referred matters to the Board for its comments.  Four decisions of the Mayor have been called-in over the course of 2015/2016. </w:t>
      </w:r>
    </w:p>
    <w:p w:rsidR="00A76841" w:rsidRPr="00FE5499" w:rsidRDefault="00A76841" w:rsidP="00A76841">
      <w:pPr>
        <w:autoSpaceDE w:val="0"/>
        <w:autoSpaceDN w:val="0"/>
        <w:adjustRightInd w:val="0"/>
        <w:spacing w:line="240" w:lineRule="auto"/>
        <w:rPr>
          <w:rFonts w:asciiTheme="minorHAnsi" w:hAnsiTheme="minorHAnsi" w:cs="Arial"/>
          <w:sz w:val="24"/>
          <w:szCs w:val="24"/>
        </w:rPr>
      </w:pPr>
      <w:r w:rsidRPr="00FE5499">
        <w:rPr>
          <w:rFonts w:asciiTheme="minorHAnsi" w:hAnsiTheme="minorHAnsi" w:cs="Arial"/>
          <w:sz w:val="24"/>
          <w:szCs w:val="24"/>
        </w:rPr>
        <w:t xml:space="preserve">A significant amount of the Board’s work has been scrutinising the Mayor’s proposals for income generation, service change and budget saving proposals including challenging the draft Equality Impact Assessments.  </w:t>
      </w:r>
      <w:r>
        <w:rPr>
          <w:rFonts w:asciiTheme="minorHAnsi" w:hAnsiTheme="minorHAnsi" w:cs="Arial"/>
          <w:sz w:val="24"/>
          <w:szCs w:val="24"/>
        </w:rPr>
        <w:t>This work has been undertaken through its Priorities and Resources Review Panel.</w:t>
      </w:r>
    </w:p>
    <w:p w:rsidR="00A76841" w:rsidRDefault="00A76841" w:rsidP="00A76841">
      <w:pPr>
        <w:autoSpaceDE w:val="0"/>
        <w:autoSpaceDN w:val="0"/>
        <w:adjustRightInd w:val="0"/>
        <w:spacing w:line="240" w:lineRule="auto"/>
        <w:rPr>
          <w:rFonts w:asciiTheme="minorHAnsi" w:hAnsiTheme="minorHAnsi" w:cs="Arial"/>
          <w:sz w:val="24"/>
          <w:szCs w:val="24"/>
        </w:rPr>
      </w:pPr>
      <w:r w:rsidRPr="00FE5499">
        <w:rPr>
          <w:rFonts w:asciiTheme="minorHAnsi" w:hAnsiTheme="minorHAnsi" w:cs="Arial"/>
          <w:sz w:val="24"/>
          <w:szCs w:val="24"/>
        </w:rPr>
        <w:t>The Board have also continued to provide close scrutiny to the Children’s Services revenue budget and the associated Cost Reduction Plan monitoring both the levels of spend within the Directorate and the performance against a range of targets and indicators.  In addition the Board considered the Action Plan prepared following the inspection by Ofsted of services for children in need of help and protection, children looked after and care leavers.</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Since the Local Election, the Overview and Scrutiny Board has reviewed how it operates taking account of the work undertaken with the Centre for Public Scrutiny last year.  The Board has established a monthly briefing meeting for all non-executive members with the Overview and Scrutiny Lead Members providing feedback from their liaison meetings with Directors and Executive Leads and from task-and-finish groups set up to review specific issues.</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 xml:space="preserve">The Council’s Information Asset Register has been reviewed and will be updated by August 2016 in line with policy developments and guidance but also to ensure links are made to relevant business continuity plans.  Information Asset Owners have been identified across </w:t>
      </w:r>
      <w:r>
        <w:rPr>
          <w:rFonts w:asciiTheme="minorHAnsi" w:hAnsiTheme="minorHAnsi" w:cs="Arial"/>
          <w:sz w:val="24"/>
          <w:szCs w:val="24"/>
        </w:rPr>
        <w:lastRenderedPageBreak/>
        <w:t xml:space="preserve">the Council and will be trained throughout September and October 2016 so they can review their information assets and keep the register updated accordingly.   </w:t>
      </w:r>
    </w:p>
    <w:p w:rsidR="00A76841" w:rsidRPr="00FE5499" w:rsidRDefault="00A76841" w:rsidP="00A76841">
      <w:pPr>
        <w:keepNext/>
        <w:autoSpaceDE w:val="0"/>
        <w:autoSpaceDN w:val="0"/>
        <w:adjustRightInd w:val="0"/>
        <w:spacing w:line="240" w:lineRule="auto"/>
        <w:rPr>
          <w:rFonts w:asciiTheme="minorHAnsi" w:hAnsiTheme="minorHAnsi" w:cs="Arial"/>
          <w:sz w:val="24"/>
          <w:szCs w:val="24"/>
        </w:rPr>
      </w:pPr>
      <w:r w:rsidRPr="00FE5499">
        <w:rPr>
          <w:rFonts w:asciiTheme="minorHAnsi" w:hAnsiTheme="minorHAnsi" w:cs="Arial"/>
          <w:sz w:val="24"/>
          <w:szCs w:val="24"/>
          <w:u w:val="single"/>
        </w:rPr>
        <w:t>Developing the capacity and capability of members and officers to be effective</w:t>
      </w:r>
    </w:p>
    <w:p w:rsidR="00A76841" w:rsidRDefault="00A76841" w:rsidP="00A76841">
      <w:pPr>
        <w:autoSpaceDE w:val="0"/>
        <w:autoSpaceDN w:val="0"/>
        <w:adjustRightInd w:val="0"/>
        <w:spacing w:line="240" w:lineRule="auto"/>
        <w:rPr>
          <w:rFonts w:asciiTheme="minorHAnsi" w:hAnsiTheme="minorHAnsi" w:cs="Arial"/>
          <w:sz w:val="24"/>
          <w:szCs w:val="24"/>
        </w:rPr>
      </w:pPr>
      <w:r w:rsidRPr="00A50D29">
        <w:rPr>
          <w:rFonts w:asciiTheme="minorHAnsi" w:hAnsiTheme="minorHAnsi" w:cs="Arial"/>
          <w:sz w:val="24"/>
          <w:szCs w:val="24"/>
        </w:rPr>
        <w:t>A full Member Induction Programme was put in place immediately post the Local Elections in May 2015.</w:t>
      </w:r>
      <w:r>
        <w:rPr>
          <w:rFonts w:asciiTheme="minorHAnsi" w:hAnsiTheme="minorHAnsi" w:cs="Arial"/>
          <w:sz w:val="24"/>
          <w:szCs w:val="24"/>
        </w:rPr>
        <w:t xml:space="preserve">  The Programme aimed to ensure that newly elected Councillors understood their roles and responsibilities as well as the structure of the Council and how it functioned.  All members of the Council were encouraged to attend and take part in all aspects of the Programme with early events focussing on the challenges faced by the Council and discussions about how solutions could be articulated and developed.</w:t>
      </w:r>
    </w:p>
    <w:p w:rsidR="00A76841" w:rsidRPr="00A50D29"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 xml:space="preserve">The Member Development Programme has continued over the course of the year, again taking advantage of the Devon Shared Service.  A Programme for 2016/2017 will also be developed which will move the emphasis onto practice as well as learning. </w:t>
      </w:r>
    </w:p>
    <w:p w:rsidR="00A76841" w:rsidRDefault="00A76841" w:rsidP="00A76841">
      <w:pPr>
        <w:autoSpaceDE w:val="0"/>
        <w:autoSpaceDN w:val="0"/>
        <w:adjustRightInd w:val="0"/>
        <w:spacing w:line="240" w:lineRule="auto"/>
        <w:rPr>
          <w:rFonts w:asciiTheme="minorHAnsi" w:hAnsiTheme="minorHAnsi" w:cs="Arial"/>
          <w:sz w:val="24"/>
          <w:szCs w:val="24"/>
        </w:rPr>
      </w:pPr>
      <w:r w:rsidRPr="00334590">
        <w:rPr>
          <w:rFonts w:asciiTheme="minorHAnsi" w:hAnsiTheme="minorHAnsi" w:cs="Arial"/>
          <w:sz w:val="24"/>
          <w:szCs w:val="24"/>
        </w:rPr>
        <w:t>The Senior Leadership Team have k</w:t>
      </w:r>
      <w:r>
        <w:rPr>
          <w:rFonts w:asciiTheme="minorHAnsi" w:hAnsiTheme="minorHAnsi" w:cs="Arial"/>
          <w:sz w:val="24"/>
          <w:szCs w:val="24"/>
        </w:rPr>
        <w:t xml:space="preserve">ept their operation under review over the course of the year and changed how they manage their agendas in order to increase their capacity to focus on those issues of strategic importance.  </w:t>
      </w:r>
    </w:p>
    <w:p w:rsidR="00A76841" w:rsidRPr="008C195E" w:rsidRDefault="00A76841" w:rsidP="00A76841">
      <w:pPr>
        <w:autoSpaceDE w:val="0"/>
        <w:autoSpaceDN w:val="0"/>
        <w:adjustRightInd w:val="0"/>
        <w:spacing w:line="240" w:lineRule="auto"/>
        <w:rPr>
          <w:rFonts w:asciiTheme="minorHAnsi" w:hAnsiTheme="minorHAnsi" w:cs="Arial"/>
          <w:sz w:val="24"/>
          <w:szCs w:val="24"/>
        </w:rPr>
      </w:pPr>
      <w:r w:rsidRPr="008C195E">
        <w:rPr>
          <w:rFonts w:asciiTheme="minorHAnsi" w:hAnsiTheme="minorHAnsi" w:cs="Arial"/>
          <w:sz w:val="24"/>
          <w:szCs w:val="24"/>
        </w:rPr>
        <w:t xml:space="preserve">The Transformation Board has been established to deliver savings and change with the main objectives of the Board being to: </w:t>
      </w:r>
    </w:p>
    <w:p w:rsidR="00A76841" w:rsidRPr="008C195E" w:rsidRDefault="00A76841" w:rsidP="00A76841">
      <w:pPr>
        <w:pStyle w:val="ListParagraph"/>
        <w:numPr>
          <w:ilvl w:val="0"/>
          <w:numId w:val="36"/>
        </w:numPr>
        <w:autoSpaceDE w:val="0"/>
        <w:autoSpaceDN w:val="0"/>
        <w:adjustRightInd w:val="0"/>
        <w:spacing w:line="240" w:lineRule="auto"/>
        <w:rPr>
          <w:rFonts w:asciiTheme="minorHAnsi" w:hAnsiTheme="minorHAnsi" w:cs="Arial"/>
          <w:sz w:val="24"/>
          <w:szCs w:val="24"/>
        </w:rPr>
      </w:pPr>
      <w:r w:rsidRPr="008C195E">
        <w:rPr>
          <w:rFonts w:asciiTheme="minorHAnsi" w:hAnsiTheme="minorHAnsi" w:cs="Arial"/>
          <w:sz w:val="24"/>
          <w:szCs w:val="24"/>
        </w:rPr>
        <w:t xml:space="preserve">Transform the way we deliver services to meet our financial challenges </w:t>
      </w:r>
    </w:p>
    <w:p w:rsidR="00A76841" w:rsidRPr="008C195E" w:rsidRDefault="00A76841" w:rsidP="00A76841">
      <w:pPr>
        <w:pStyle w:val="ListParagraph"/>
        <w:numPr>
          <w:ilvl w:val="0"/>
          <w:numId w:val="36"/>
        </w:numPr>
        <w:autoSpaceDE w:val="0"/>
        <w:autoSpaceDN w:val="0"/>
        <w:adjustRightInd w:val="0"/>
        <w:spacing w:line="240" w:lineRule="auto"/>
        <w:rPr>
          <w:rFonts w:asciiTheme="minorHAnsi" w:hAnsiTheme="minorHAnsi" w:cs="Arial"/>
          <w:sz w:val="24"/>
          <w:szCs w:val="24"/>
        </w:rPr>
      </w:pPr>
      <w:r w:rsidRPr="008C195E">
        <w:rPr>
          <w:rFonts w:asciiTheme="minorHAnsi" w:hAnsiTheme="minorHAnsi" w:cs="Arial"/>
          <w:sz w:val="24"/>
          <w:szCs w:val="24"/>
        </w:rPr>
        <w:t xml:space="preserve">Deliver an engaged and empowered workforce and strengthen the way we engage with customers and partners </w:t>
      </w:r>
    </w:p>
    <w:p w:rsidR="00A76841" w:rsidRPr="008C195E" w:rsidRDefault="00A76841" w:rsidP="00A76841">
      <w:pPr>
        <w:pStyle w:val="ListParagraph"/>
        <w:numPr>
          <w:ilvl w:val="0"/>
          <w:numId w:val="36"/>
        </w:numPr>
        <w:autoSpaceDE w:val="0"/>
        <w:autoSpaceDN w:val="0"/>
        <w:adjustRightInd w:val="0"/>
        <w:spacing w:line="240" w:lineRule="auto"/>
        <w:rPr>
          <w:rFonts w:asciiTheme="minorHAnsi" w:hAnsiTheme="minorHAnsi" w:cs="Arial"/>
          <w:sz w:val="24"/>
          <w:szCs w:val="24"/>
        </w:rPr>
      </w:pPr>
      <w:r w:rsidRPr="008C195E">
        <w:rPr>
          <w:rFonts w:asciiTheme="minorHAnsi" w:hAnsiTheme="minorHAnsi" w:cs="Arial"/>
          <w:sz w:val="24"/>
          <w:szCs w:val="24"/>
        </w:rPr>
        <w:t>Provide best value for money and focus our spend to deliver a financially sustainable Local Authority</w:t>
      </w:r>
    </w:p>
    <w:p w:rsidR="00A76841" w:rsidRPr="00E73BAE" w:rsidRDefault="00A76841" w:rsidP="00A76841">
      <w:pPr>
        <w:autoSpaceDE w:val="0"/>
        <w:autoSpaceDN w:val="0"/>
        <w:adjustRightInd w:val="0"/>
        <w:spacing w:line="240" w:lineRule="auto"/>
        <w:rPr>
          <w:rFonts w:asciiTheme="minorHAnsi" w:hAnsiTheme="minorHAnsi" w:cs="Arial"/>
          <w:sz w:val="24"/>
          <w:szCs w:val="24"/>
        </w:rPr>
      </w:pPr>
      <w:r w:rsidRPr="00E73BAE">
        <w:rPr>
          <w:rFonts w:asciiTheme="minorHAnsi" w:hAnsiTheme="minorHAnsi" w:cs="Arial"/>
          <w:sz w:val="24"/>
          <w:szCs w:val="24"/>
        </w:rPr>
        <w:t>The Torbay Managers Forum has been re-established, meeting on a quarterly basis.  This enables all Managers to be briefed on current issues, reflect on achievements and engage in the development of action plans ensuring that best practice across the Authority is shared and that plans for the future are collectively owned.</w:t>
      </w:r>
    </w:p>
    <w:p w:rsidR="00A76841" w:rsidRPr="00E73BAE" w:rsidRDefault="00A76841" w:rsidP="00A76841">
      <w:pPr>
        <w:autoSpaceDE w:val="0"/>
        <w:autoSpaceDN w:val="0"/>
        <w:adjustRightInd w:val="0"/>
        <w:spacing w:line="240" w:lineRule="auto"/>
        <w:rPr>
          <w:rFonts w:asciiTheme="minorHAnsi" w:hAnsiTheme="minorHAnsi" w:cs="Arial"/>
          <w:sz w:val="24"/>
          <w:szCs w:val="24"/>
        </w:rPr>
      </w:pPr>
      <w:r w:rsidRPr="00E73BAE">
        <w:rPr>
          <w:rFonts w:asciiTheme="minorHAnsi" w:hAnsiTheme="minorHAnsi" w:cs="Arial"/>
          <w:sz w:val="24"/>
          <w:szCs w:val="24"/>
        </w:rPr>
        <w:t xml:space="preserve">Connect events have also been held which are open for all members of staff to attend to share their view with the </w:t>
      </w:r>
      <w:r>
        <w:rPr>
          <w:rFonts w:asciiTheme="minorHAnsi" w:hAnsiTheme="minorHAnsi" w:cs="Arial"/>
          <w:sz w:val="24"/>
          <w:szCs w:val="24"/>
        </w:rPr>
        <w:t>Chief Executive</w:t>
      </w:r>
      <w:r w:rsidRPr="00E73BAE">
        <w:rPr>
          <w:rFonts w:asciiTheme="minorHAnsi" w:hAnsiTheme="minorHAnsi" w:cs="Arial"/>
          <w:sz w:val="24"/>
          <w:szCs w:val="24"/>
        </w:rPr>
        <w:t xml:space="preserve"> and members of the Senior Leadership Team.</w:t>
      </w:r>
    </w:p>
    <w:p w:rsidR="00A76841" w:rsidRDefault="00A76841" w:rsidP="00A76841">
      <w:pPr>
        <w:autoSpaceDE w:val="0"/>
        <w:autoSpaceDN w:val="0"/>
        <w:adjustRightInd w:val="0"/>
        <w:spacing w:line="240" w:lineRule="auto"/>
        <w:rPr>
          <w:rFonts w:asciiTheme="minorHAnsi" w:hAnsiTheme="minorHAnsi" w:cs="Arial"/>
          <w:sz w:val="24"/>
          <w:szCs w:val="24"/>
        </w:rPr>
      </w:pPr>
      <w:r w:rsidRPr="00E73BAE">
        <w:rPr>
          <w:rFonts w:asciiTheme="minorHAnsi" w:hAnsiTheme="minorHAnsi" w:cs="Arial"/>
          <w:sz w:val="24"/>
          <w:szCs w:val="24"/>
        </w:rPr>
        <w:t>Workforce planning has been introduced for managers to assist them in identifying the learning and development requirements within their service areas.  Training for all staff on key policies, procedures and legislation is available through i-Learn, the Council’s online learning portal.  Face-to-face training is also available to all staff and during 2015/2016 this included access to Working with Change and Mental Health Awareness training for all employees.  Management training is available via the Institute for Leadership and Management.  The Council has achieved national accreditation for Wellbeing at Work through its provision of health and wellbeing activities, information and support for staff.</w:t>
      </w:r>
    </w:p>
    <w:p w:rsidR="00A76841" w:rsidRPr="00BD17B8" w:rsidRDefault="00A76841" w:rsidP="00A76841">
      <w:pPr>
        <w:keepNext/>
        <w:autoSpaceDE w:val="0"/>
        <w:autoSpaceDN w:val="0"/>
        <w:adjustRightInd w:val="0"/>
        <w:spacing w:line="240" w:lineRule="auto"/>
        <w:rPr>
          <w:rFonts w:asciiTheme="minorHAnsi" w:hAnsiTheme="minorHAnsi" w:cs="Arial"/>
          <w:sz w:val="24"/>
          <w:szCs w:val="24"/>
          <w:u w:val="single"/>
        </w:rPr>
      </w:pPr>
      <w:r w:rsidRPr="00BD17B8">
        <w:rPr>
          <w:rFonts w:asciiTheme="minorHAnsi" w:hAnsiTheme="minorHAnsi" w:cs="Arial"/>
          <w:sz w:val="24"/>
          <w:szCs w:val="24"/>
          <w:u w:val="single"/>
        </w:rPr>
        <w:lastRenderedPageBreak/>
        <w:t>Engaging with local people and other stakeholders to ensure robust public accountability</w:t>
      </w:r>
    </w:p>
    <w:p w:rsidR="00A76841" w:rsidRPr="004D279C" w:rsidRDefault="00A76841" w:rsidP="00A76841">
      <w:pPr>
        <w:autoSpaceDE w:val="0"/>
        <w:autoSpaceDN w:val="0"/>
        <w:adjustRightInd w:val="0"/>
        <w:spacing w:line="240" w:lineRule="auto"/>
        <w:rPr>
          <w:rFonts w:asciiTheme="minorHAnsi" w:hAnsiTheme="minorHAnsi" w:cs="Arial"/>
          <w:sz w:val="24"/>
          <w:szCs w:val="24"/>
        </w:rPr>
      </w:pPr>
      <w:r w:rsidRPr="004D279C">
        <w:rPr>
          <w:rFonts w:asciiTheme="minorHAnsi" w:hAnsiTheme="minorHAnsi" w:cs="Arial"/>
          <w:sz w:val="24"/>
          <w:szCs w:val="24"/>
        </w:rPr>
        <w:t xml:space="preserve">Consultation and service user engagement has continued to take place in relation to service change.  The majority of this work has been related to the proposals for budget savings.  </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A r</w:t>
      </w:r>
      <w:r w:rsidRPr="004D279C">
        <w:rPr>
          <w:rFonts w:asciiTheme="minorHAnsi" w:hAnsiTheme="minorHAnsi" w:cs="Arial"/>
          <w:sz w:val="24"/>
          <w:szCs w:val="24"/>
        </w:rPr>
        <w:t>evised Communication,  Consultation and Engagement Strategy has been prepared which sets out the Council’s duties in relation to consultation and defines the principle</w:t>
      </w:r>
      <w:r>
        <w:rPr>
          <w:rFonts w:asciiTheme="minorHAnsi" w:hAnsiTheme="minorHAnsi" w:cs="Arial"/>
          <w:sz w:val="24"/>
          <w:szCs w:val="24"/>
        </w:rPr>
        <w:t>s</w:t>
      </w:r>
      <w:r w:rsidRPr="004D279C">
        <w:rPr>
          <w:rFonts w:asciiTheme="minorHAnsi" w:hAnsiTheme="minorHAnsi" w:cs="Arial"/>
          <w:sz w:val="24"/>
          <w:szCs w:val="24"/>
        </w:rPr>
        <w:t xml:space="preserve"> by which the Authority will operate in communicating, consulting and engagement with the residents of Torbay.</w:t>
      </w:r>
    </w:p>
    <w:p w:rsidR="00A76841" w:rsidRDefault="00A76841" w:rsidP="00A76841">
      <w:pPr>
        <w:pStyle w:val="Default"/>
        <w:rPr>
          <w:rFonts w:asciiTheme="minorHAnsi" w:hAnsiTheme="minorHAnsi"/>
        </w:rPr>
      </w:pPr>
      <w:r>
        <w:rPr>
          <w:rFonts w:asciiTheme="minorHAnsi" w:hAnsiTheme="minorHAnsi"/>
        </w:rPr>
        <w:t xml:space="preserve">Reinforced governance arrangements are in place in all circumstances so as to ensure that the development of the Council’s Policy Framework </w:t>
      </w:r>
      <w:r w:rsidRPr="00730647">
        <w:rPr>
          <w:rFonts w:asciiTheme="minorHAnsi" w:hAnsiTheme="minorHAnsi"/>
        </w:rPr>
        <w:t>enabl</w:t>
      </w:r>
      <w:r>
        <w:rPr>
          <w:rFonts w:asciiTheme="minorHAnsi" w:hAnsiTheme="minorHAnsi"/>
        </w:rPr>
        <w:t>es</w:t>
      </w:r>
      <w:r w:rsidRPr="00730647">
        <w:rPr>
          <w:rFonts w:asciiTheme="minorHAnsi" w:hAnsiTheme="minorHAnsi"/>
        </w:rPr>
        <w:t xml:space="preserve"> all councillors, residents, community group</w:t>
      </w:r>
      <w:r>
        <w:rPr>
          <w:rFonts w:asciiTheme="minorHAnsi" w:hAnsiTheme="minorHAnsi"/>
        </w:rPr>
        <w:t>s</w:t>
      </w:r>
      <w:r w:rsidRPr="00730647">
        <w:rPr>
          <w:rFonts w:asciiTheme="minorHAnsi" w:hAnsiTheme="minorHAnsi"/>
        </w:rPr>
        <w:t xml:space="preserve"> and other stakeholders to give their views on the draft documents.</w:t>
      </w:r>
    </w:p>
    <w:p w:rsidR="00A76841" w:rsidRDefault="00A76841" w:rsidP="00A76841">
      <w:pPr>
        <w:pStyle w:val="Default"/>
        <w:rPr>
          <w:rFonts w:asciiTheme="minorHAnsi" w:hAnsiTheme="minorHAnsi"/>
        </w:rPr>
      </w:pPr>
    </w:p>
    <w:p w:rsidR="00A76841" w:rsidRPr="004D279C"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The Corporate Peer Challenge encourages that an effective strategic partnership forum be established to build upon the partnership strengths which currently exist.  Discussions have started with partners and will be pursued in the coming months.</w:t>
      </w:r>
    </w:p>
    <w:p w:rsidR="00A76841" w:rsidRPr="00220B4D" w:rsidRDefault="00A76841" w:rsidP="00A76841">
      <w:pPr>
        <w:keepNext/>
        <w:autoSpaceDE w:val="0"/>
        <w:autoSpaceDN w:val="0"/>
        <w:adjustRightInd w:val="0"/>
        <w:spacing w:line="240" w:lineRule="auto"/>
        <w:rPr>
          <w:rFonts w:asciiTheme="minorHAnsi" w:hAnsiTheme="minorHAnsi" w:cs="Arial"/>
          <w:sz w:val="24"/>
          <w:szCs w:val="24"/>
          <w:u w:val="single"/>
        </w:rPr>
      </w:pPr>
      <w:r w:rsidRPr="00220B4D">
        <w:rPr>
          <w:rFonts w:asciiTheme="minorHAnsi" w:hAnsiTheme="minorHAnsi" w:cs="Arial"/>
          <w:sz w:val="24"/>
          <w:szCs w:val="24"/>
          <w:u w:val="single"/>
        </w:rPr>
        <w:t>Securing continuous improvement in service delivery and ensuring that its agreed policies, priorities and decisions are implemented on time, in a manner consistent with the needs of its user and in the most effective way</w:t>
      </w:r>
    </w:p>
    <w:p w:rsidR="00A76841" w:rsidRDefault="00A76841" w:rsidP="00A76841">
      <w:pPr>
        <w:autoSpaceDE w:val="0"/>
        <w:autoSpaceDN w:val="0"/>
        <w:adjustRightInd w:val="0"/>
        <w:spacing w:line="240" w:lineRule="auto"/>
        <w:rPr>
          <w:rFonts w:asciiTheme="minorHAnsi" w:hAnsiTheme="minorHAnsi" w:cs="Arial"/>
          <w:sz w:val="24"/>
          <w:szCs w:val="24"/>
        </w:rPr>
      </w:pPr>
      <w:r w:rsidRPr="00220B4D">
        <w:rPr>
          <w:rFonts w:asciiTheme="minorHAnsi" w:hAnsiTheme="minorHAnsi" w:cs="Arial"/>
          <w:sz w:val="24"/>
          <w:szCs w:val="24"/>
        </w:rPr>
        <w:t>Performance and Risk Dashboards have been created</w:t>
      </w:r>
      <w:r>
        <w:rPr>
          <w:rFonts w:asciiTheme="minorHAnsi" w:hAnsiTheme="minorHAnsi" w:cs="Arial"/>
          <w:sz w:val="24"/>
          <w:szCs w:val="24"/>
        </w:rPr>
        <w:t xml:space="preserve"> which are aligned to the Council’s Corporate Plan.  A further Dashboard called “Running an Efficient Council” includes corporate performance indicators and risks.</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A Performance and Risk Group has been established, comprising two or three service managers from each Council department, which is responsible for reviewing and challenging the Performance and Risk Dashboards and for encouraging greater ownership of performance and risk generally.</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The Dashboards are considered by the Senior Leadership Team on a monthly basis allowing for targets and performance to be challenged.  Issues requiring further debate are identified for “deep-dive” reviews.</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 xml:space="preserve">The Audit Committee review the Dashboards </w:t>
      </w:r>
      <w:r w:rsidRPr="007B7D2E">
        <w:rPr>
          <w:rFonts w:asciiTheme="minorHAnsi" w:hAnsiTheme="minorHAnsi" w:cs="Arial"/>
          <w:sz w:val="24"/>
          <w:szCs w:val="24"/>
        </w:rPr>
        <w:t>Performance every two months</w:t>
      </w:r>
      <w:r>
        <w:rPr>
          <w:rFonts w:asciiTheme="minorHAnsi" w:hAnsiTheme="minorHAnsi" w:cs="Arial"/>
          <w:sz w:val="24"/>
          <w:szCs w:val="24"/>
        </w:rPr>
        <w:t xml:space="preserve"> with the Committee referring </w:t>
      </w:r>
      <w:r w:rsidRPr="007B7D2E">
        <w:rPr>
          <w:rFonts w:asciiTheme="minorHAnsi" w:hAnsiTheme="minorHAnsi" w:cs="Arial"/>
          <w:sz w:val="24"/>
          <w:szCs w:val="24"/>
        </w:rPr>
        <w:t xml:space="preserve">matters by exception to the </w:t>
      </w:r>
      <w:r>
        <w:rPr>
          <w:rFonts w:asciiTheme="minorHAnsi" w:hAnsiTheme="minorHAnsi" w:cs="Arial"/>
          <w:sz w:val="24"/>
          <w:szCs w:val="24"/>
        </w:rPr>
        <w:t xml:space="preserve">Overview and Scrutiny </w:t>
      </w:r>
      <w:r w:rsidRPr="007B7D2E">
        <w:rPr>
          <w:rFonts w:asciiTheme="minorHAnsi" w:hAnsiTheme="minorHAnsi" w:cs="Arial"/>
          <w:sz w:val="24"/>
          <w:szCs w:val="24"/>
        </w:rPr>
        <w:t>Board where it was felt that furth</w:t>
      </w:r>
      <w:r>
        <w:rPr>
          <w:rFonts w:asciiTheme="minorHAnsi" w:hAnsiTheme="minorHAnsi" w:cs="Arial"/>
          <w:sz w:val="24"/>
          <w:szCs w:val="24"/>
        </w:rPr>
        <w:t>er investigation</w:t>
      </w:r>
      <w:r w:rsidRPr="007B7D2E">
        <w:rPr>
          <w:rFonts w:asciiTheme="minorHAnsi" w:hAnsiTheme="minorHAnsi" w:cs="Arial"/>
          <w:sz w:val="24"/>
          <w:szCs w:val="24"/>
        </w:rPr>
        <w:t xml:space="preserve"> was required.</w:t>
      </w:r>
    </w:p>
    <w:p w:rsidR="00A76841" w:rsidRPr="00220B4D"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Operational performance and risk continues to be monitored in business units with issues of concern being escalated through the Performance and Risk Group to the Senior Leadership Team.</w:t>
      </w:r>
    </w:p>
    <w:p w:rsidR="00A76841" w:rsidRPr="004B5DE1" w:rsidRDefault="00A76841" w:rsidP="00A76841">
      <w:pPr>
        <w:autoSpaceDE w:val="0"/>
        <w:autoSpaceDN w:val="0"/>
        <w:adjustRightInd w:val="0"/>
        <w:spacing w:line="240" w:lineRule="auto"/>
        <w:rPr>
          <w:rFonts w:asciiTheme="minorHAnsi" w:hAnsiTheme="minorHAnsi" w:cs="Arial"/>
          <w:sz w:val="24"/>
          <w:szCs w:val="24"/>
        </w:rPr>
      </w:pPr>
      <w:r w:rsidRPr="004B5DE1">
        <w:rPr>
          <w:rFonts w:asciiTheme="minorHAnsi" w:hAnsiTheme="minorHAnsi" w:cs="Arial"/>
          <w:sz w:val="24"/>
          <w:szCs w:val="24"/>
        </w:rPr>
        <w:t xml:space="preserve">The Council’s complaints system was evaluated through a staff questionnaire in 2014 which led to a number of improvements being made together with the provision of bespoke training to a number of staff.  The quarterly reports are due to be renamed “Customer feedback reports”.  A deep dive is due to be undertaken in order to provide specific service failures to enable SLT to identify strategies to reduce/eliminate these problems.  The monitoring of complaints handled by the Council seeks to secure the continuous of </w:t>
      </w:r>
      <w:r w:rsidRPr="004B5DE1">
        <w:rPr>
          <w:rFonts w:asciiTheme="minorHAnsi" w:hAnsiTheme="minorHAnsi" w:cs="Arial"/>
          <w:sz w:val="24"/>
          <w:szCs w:val="24"/>
        </w:rPr>
        <w:lastRenderedPageBreak/>
        <w:t xml:space="preserve">improvement of service delivery and to ensure compliance with legislation, policies and procedures. </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The Ofsted Inspection of services for children in need of help and protection, children looked after and care leaves (January 2016) found that services for children who need help and protection were inadequate leading to an automatic judgement that leadership, management and governance were inadequate.  An action plan to address the findings in the Ofsted report has been agreed and is being implemented and monitored by both members and senior officers.</w:t>
      </w:r>
    </w:p>
    <w:p w:rsidR="00A76841" w:rsidRPr="00A375A0" w:rsidRDefault="00A76841" w:rsidP="00A76841">
      <w:pPr>
        <w:autoSpaceDE w:val="0"/>
        <w:autoSpaceDN w:val="0"/>
        <w:adjustRightInd w:val="0"/>
        <w:spacing w:line="240" w:lineRule="auto"/>
        <w:rPr>
          <w:rFonts w:asciiTheme="minorHAnsi" w:hAnsiTheme="minorHAnsi" w:cs="Arial"/>
          <w:sz w:val="24"/>
          <w:szCs w:val="24"/>
        </w:rPr>
      </w:pPr>
      <w:r w:rsidRPr="00A375A0">
        <w:rPr>
          <w:rFonts w:asciiTheme="minorHAnsi" w:hAnsiTheme="minorHAnsi" w:cs="Arial"/>
          <w:sz w:val="24"/>
          <w:szCs w:val="24"/>
        </w:rPr>
        <w:t>The Council’s financial management arrangements conform with the governance requirements of the CIPFA Statement on the Role of the Chief Financial Officer in Local Government (2010) as set out in the Application Note to Delivering Good Governance in Local Government Framework.</w:t>
      </w:r>
    </w:p>
    <w:p w:rsidR="00A76841" w:rsidRPr="00730647" w:rsidRDefault="00A76841" w:rsidP="00A76841">
      <w:pPr>
        <w:pStyle w:val="Heading5"/>
        <w:rPr>
          <w:rFonts w:asciiTheme="minorHAnsi" w:hAnsiTheme="minorHAnsi"/>
          <w:b/>
          <w:sz w:val="24"/>
          <w:szCs w:val="24"/>
        </w:rPr>
      </w:pPr>
      <w:r w:rsidRPr="00730647">
        <w:rPr>
          <w:rFonts w:asciiTheme="minorHAnsi" w:hAnsiTheme="minorHAnsi"/>
          <w:b/>
          <w:sz w:val="24"/>
          <w:szCs w:val="24"/>
        </w:rPr>
        <w:t>Significant governance Issues</w:t>
      </w:r>
    </w:p>
    <w:p w:rsidR="00A76841" w:rsidRDefault="00A76841" w:rsidP="00A76841">
      <w:pPr>
        <w:pStyle w:val="Heading5"/>
        <w:rPr>
          <w:rFonts w:asciiTheme="minorHAnsi" w:hAnsiTheme="minorHAnsi"/>
          <w:b/>
          <w:sz w:val="24"/>
          <w:szCs w:val="24"/>
          <w:highlight w:val="yellow"/>
        </w:rPr>
      </w:pPr>
    </w:p>
    <w:p w:rsidR="00A76841" w:rsidRDefault="00A76841" w:rsidP="00A76841">
      <w:pPr>
        <w:autoSpaceDE w:val="0"/>
        <w:autoSpaceDN w:val="0"/>
        <w:adjustRightInd w:val="0"/>
        <w:spacing w:after="0" w:line="240" w:lineRule="auto"/>
        <w:rPr>
          <w:rFonts w:asciiTheme="minorHAnsi" w:hAnsiTheme="minorHAnsi" w:cs="Arial"/>
          <w:sz w:val="24"/>
          <w:szCs w:val="24"/>
        </w:rPr>
      </w:pPr>
      <w:r w:rsidRPr="006A2DDD">
        <w:rPr>
          <w:rFonts w:asciiTheme="minorHAnsi" w:hAnsiTheme="minorHAnsi" w:cs="Arial"/>
          <w:sz w:val="24"/>
          <w:szCs w:val="24"/>
        </w:rPr>
        <w:t xml:space="preserve">The internal audit report </w:t>
      </w:r>
      <w:r>
        <w:rPr>
          <w:rFonts w:asciiTheme="minorHAnsi" w:hAnsiTheme="minorHAnsi" w:cs="Arial"/>
          <w:sz w:val="24"/>
          <w:szCs w:val="24"/>
        </w:rPr>
        <w:t>on Section 106 Agreements (dated</w:t>
      </w:r>
      <w:r w:rsidRPr="006A2DDD">
        <w:rPr>
          <w:rFonts w:asciiTheme="minorHAnsi" w:hAnsiTheme="minorHAnsi" w:cs="Arial"/>
          <w:sz w:val="24"/>
          <w:szCs w:val="24"/>
        </w:rPr>
        <w:t xml:space="preserve"> March 2015) identified fundamental weaknesses and found that there were issues arising from the examination of systems and controls which warranted inclusion in the Annual Governance Statement, namely </w:t>
      </w:r>
    </w:p>
    <w:p w:rsidR="00A76841" w:rsidRPr="006A2DDD" w:rsidRDefault="00A76841" w:rsidP="00A76841">
      <w:pPr>
        <w:autoSpaceDE w:val="0"/>
        <w:autoSpaceDN w:val="0"/>
        <w:adjustRightInd w:val="0"/>
        <w:spacing w:after="0" w:line="240" w:lineRule="auto"/>
        <w:rPr>
          <w:rFonts w:asciiTheme="minorHAnsi" w:hAnsiTheme="minorHAnsi" w:cs="Arial"/>
          <w:sz w:val="24"/>
          <w:szCs w:val="24"/>
        </w:rPr>
      </w:pPr>
    </w:p>
    <w:p w:rsidR="00A76841" w:rsidRDefault="00A76841" w:rsidP="00A76841">
      <w:pPr>
        <w:pStyle w:val="Default"/>
        <w:ind w:left="720"/>
        <w:rPr>
          <w:rFonts w:asciiTheme="minorHAnsi" w:hAnsiTheme="minorHAnsi"/>
        </w:rPr>
      </w:pPr>
      <w:r w:rsidRPr="006A2DDD">
        <w:rPr>
          <w:rFonts w:asciiTheme="minorHAnsi" w:hAnsiTheme="minorHAnsi"/>
        </w:rPr>
        <w:t>“The need to establish effective Section 106 Agreement monitoring to ensure that income is collected and used in line with the Agreement to minimise the risk of legal challenge and financial loss.”</w:t>
      </w:r>
    </w:p>
    <w:p w:rsidR="00A76841" w:rsidRDefault="00A76841" w:rsidP="00A76841">
      <w:pPr>
        <w:autoSpaceDE w:val="0"/>
        <w:autoSpaceDN w:val="0"/>
        <w:adjustRightInd w:val="0"/>
        <w:spacing w:after="0" w:line="240" w:lineRule="auto"/>
        <w:rPr>
          <w:rFonts w:asciiTheme="minorHAnsi" w:hAnsiTheme="minorHAnsi" w:cs="Arial"/>
          <w:sz w:val="24"/>
          <w:szCs w:val="24"/>
          <w:highlight w:val="yellow"/>
        </w:rPr>
      </w:pPr>
    </w:p>
    <w:p w:rsidR="00A76841" w:rsidRPr="0094792D" w:rsidRDefault="00A76841" w:rsidP="00A76841">
      <w:pPr>
        <w:autoSpaceDE w:val="0"/>
        <w:autoSpaceDN w:val="0"/>
        <w:adjustRightInd w:val="0"/>
        <w:spacing w:after="0" w:line="240" w:lineRule="auto"/>
        <w:rPr>
          <w:rFonts w:asciiTheme="minorHAnsi" w:hAnsiTheme="minorHAnsi" w:cs="Arial"/>
          <w:sz w:val="24"/>
          <w:szCs w:val="24"/>
        </w:rPr>
      </w:pPr>
      <w:r w:rsidRPr="0094792D">
        <w:rPr>
          <w:rFonts w:asciiTheme="minorHAnsi" w:hAnsiTheme="minorHAnsi" w:cs="Arial"/>
          <w:sz w:val="24"/>
          <w:szCs w:val="24"/>
        </w:rPr>
        <w:t xml:space="preserve">An improvement plan was developed in response to this report and this </w:t>
      </w:r>
      <w:r>
        <w:rPr>
          <w:rFonts w:asciiTheme="minorHAnsi" w:hAnsiTheme="minorHAnsi" w:cs="Arial"/>
          <w:sz w:val="24"/>
          <w:szCs w:val="24"/>
        </w:rPr>
        <w:t xml:space="preserve">is continuing to be </w:t>
      </w:r>
      <w:r w:rsidRPr="0094792D">
        <w:rPr>
          <w:rFonts w:asciiTheme="minorHAnsi" w:hAnsiTheme="minorHAnsi" w:cs="Arial"/>
          <w:sz w:val="24"/>
          <w:szCs w:val="24"/>
        </w:rPr>
        <w:t>implemented.</w:t>
      </w:r>
    </w:p>
    <w:p w:rsidR="00A76841" w:rsidRDefault="00A76841" w:rsidP="00A76841">
      <w:pPr>
        <w:autoSpaceDE w:val="0"/>
        <w:autoSpaceDN w:val="0"/>
        <w:adjustRightInd w:val="0"/>
        <w:spacing w:after="0" w:line="240" w:lineRule="auto"/>
        <w:rPr>
          <w:rFonts w:asciiTheme="minorHAnsi" w:hAnsiTheme="minorHAnsi" w:cs="Arial"/>
          <w:sz w:val="24"/>
          <w:szCs w:val="24"/>
          <w:highlight w:val="yellow"/>
        </w:rPr>
      </w:pPr>
    </w:p>
    <w:p w:rsidR="00A76841" w:rsidRDefault="00A76841" w:rsidP="00A76841">
      <w:pPr>
        <w:autoSpaceDE w:val="0"/>
        <w:autoSpaceDN w:val="0"/>
        <w:adjustRightInd w:val="0"/>
        <w:spacing w:line="240" w:lineRule="auto"/>
        <w:rPr>
          <w:rFonts w:asciiTheme="minorHAnsi" w:hAnsiTheme="minorHAnsi" w:cs="Arial"/>
          <w:sz w:val="24"/>
          <w:szCs w:val="24"/>
        </w:rPr>
      </w:pPr>
      <w:r w:rsidRPr="00C4072B">
        <w:rPr>
          <w:rFonts w:asciiTheme="minorHAnsi" w:hAnsiTheme="minorHAnsi" w:cs="Arial"/>
          <w:sz w:val="24"/>
          <w:szCs w:val="24"/>
        </w:rPr>
        <w:t xml:space="preserve">There were a number of reviews undertaken by internal audit during the course of the year which found that improvements were required.  </w:t>
      </w:r>
      <w:r w:rsidRPr="0094792D">
        <w:rPr>
          <w:rFonts w:asciiTheme="minorHAnsi" w:hAnsiTheme="minorHAnsi" w:cs="Arial"/>
          <w:sz w:val="24"/>
          <w:szCs w:val="24"/>
        </w:rPr>
        <w:t xml:space="preserve">In a number of cases management actions plans have been put in place and these will be monitored on a regular basis through discussions between the </w:t>
      </w:r>
      <w:r>
        <w:rPr>
          <w:rFonts w:asciiTheme="minorHAnsi" w:hAnsiTheme="minorHAnsi" w:cs="Arial"/>
          <w:sz w:val="24"/>
          <w:szCs w:val="24"/>
        </w:rPr>
        <w:t>Chief Executive</w:t>
      </w:r>
      <w:r w:rsidRPr="0094792D">
        <w:rPr>
          <w:rFonts w:asciiTheme="minorHAnsi" w:hAnsiTheme="minorHAnsi" w:cs="Arial"/>
          <w:sz w:val="24"/>
          <w:szCs w:val="24"/>
        </w:rPr>
        <w:t xml:space="preserve"> and appropriate Director or Assistant Director.  In those cases were management action plans have yet to be agreed, the </w:t>
      </w:r>
      <w:r>
        <w:rPr>
          <w:rFonts w:asciiTheme="minorHAnsi" w:hAnsiTheme="minorHAnsi" w:cs="Arial"/>
          <w:sz w:val="24"/>
          <w:szCs w:val="24"/>
        </w:rPr>
        <w:t>Chief Executive</w:t>
      </w:r>
      <w:r w:rsidRPr="0094792D">
        <w:rPr>
          <w:rFonts w:asciiTheme="minorHAnsi" w:hAnsiTheme="minorHAnsi" w:cs="Arial"/>
          <w:sz w:val="24"/>
          <w:szCs w:val="24"/>
        </w:rPr>
        <w:t xml:space="preserve"> will ensure that plans are developed as a matter of urgency.  </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A tracking system to ensure that actions to address areas identified by Internal Audit as requiring improvement will be developed over the coming months and will be monitored by the Senior Leadership Team.</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As highlighted above, the Ofsted Inspection of services for children in need of help and protection, children looked after and care leaves (January 2016) found that services for children who need help and protection were inadequate leading to an automatic judgement that leadership, management and governance were inadequate.  The inspection found that:</w:t>
      </w:r>
    </w:p>
    <w:p w:rsidR="00A76841" w:rsidRDefault="00A76841" w:rsidP="00A76841">
      <w:pPr>
        <w:pStyle w:val="ListParagraph"/>
        <w:numPr>
          <w:ilvl w:val="0"/>
          <w:numId w:val="38"/>
        </w:num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The local authority had been ineffective in prioritising and challenging the quality of practice</w:t>
      </w:r>
    </w:p>
    <w:p w:rsidR="00A76841" w:rsidRDefault="00A76841" w:rsidP="00A76841">
      <w:pPr>
        <w:pStyle w:val="ListParagraph"/>
        <w:numPr>
          <w:ilvl w:val="0"/>
          <w:numId w:val="38"/>
        </w:num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Performance information was unreliable</w:t>
      </w:r>
    </w:p>
    <w:p w:rsidR="00A76841" w:rsidRDefault="00A76841" w:rsidP="00A76841">
      <w:pPr>
        <w:pStyle w:val="ListParagraph"/>
        <w:numPr>
          <w:ilvl w:val="0"/>
          <w:numId w:val="38"/>
        </w:num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lastRenderedPageBreak/>
        <w:t>Management oversight had not been rigorous enough to ensure that risks were identified</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An action plan to address the findings in the Ofsted report has been agreed and is being implemented and monitored by both members and senior officers, including through the Overview and Scrutiny Board.</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The Corporate Peer Challenge undertaken by the LGA (November/December 2015) made five key recommendations in relation to leadership and governance, namely:</w:t>
      </w:r>
    </w:p>
    <w:p w:rsidR="00A76841" w:rsidRDefault="00A76841" w:rsidP="00A76841">
      <w:pPr>
        <w:pStyle w:val="ListParagraph"/>
        <w:numPr>
          <w:ilvl w:val="0"/>
          <w:numId w:val="37"/>
        </w:num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Implement more effective working practices in relation to governance and especially in respect of transparency and political decision making</w:t>
      </w:r>
    </w:p>
    <w:p w:rsidR="00A76841" w:rsidRDefault="00A76841" w:rsidP="00A76841">
      <w:pPr>
        <w:pStyle w:val="ListParagraph"/>
        <w:numPr>
          <w:ilvl w:val="0"/>
          <w:numId w:val="37"/>
        </w:num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Engage with an external provider for training on the Constitution and the respective roles of officers and members</w:t>
      </w:r>
    </w:p>
    <w:p w:rsidR="00A76841" w:rsidRDefault="00A76841" w:rsidP="00A76841">
      <w:pPr>
        <w:pStyle w:val="ListParagraph"/>
        <w:numPr>
          <w:ilvl w:val="0"/>
          <w:numId w:val="37"/>
        </w:num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Full Council to reconsider the recommendations and report of the Centre for Public Scrutiny</w:t>
      </w:r>
    </w:p>
    <w:p w:rsidR="00A76841" w:rsidRDefault="00A76841" w:rsidP="00A76841">
      <w:pPr>
        <w:pStyle w:val="ListParagraph"/>
        <w:numPr>
          <w:ilvl w:val="0"/>
          <w:numId w:val="37"/>
        </w:num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Provide peer support and mentoring for chief officers and elected members to support their capacity and provide guidance as the key changes that are required are made</w:t>
      </w:r>
    </w:p>
    <w:p w:rsidR="00A76841" w:rsidRDefault="00A76841" w:rsidP="00A76841">
      <w:pPr>
        <w:pStyle w:val="ListParagraph"/>
        <w:numPr>
          <w:ilvl w:val="0"/>
          <w:numId w:val="37"/>
        </w:num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Develop and deliver an organisational succession plan so that your leadership capability and capacity issues are addressed</w:t>
      </w:r>
    </w:p>
    <w:p w:rsidR="00A76841" w:rsidRDefault="00A76841" w:rsidP="00A76841">
      <w:pPr>
        <w:autoSpaceDE w:val="0"/>
        <w:autoSpaceDN w:val="0"/>
        <w:adjustRightInd w:val="0"/>
        <w:spacing w:line="240" w:lineRule="auto"/>
        <w:rPr>
          <w:rFonts w:asciiTheme="minorHAnsi" w:hAnsiTheme="minorHAnsi" w:cs="Arial"/>
          <w:sz w:val="24"/>
          <w:szCs w:val="24"/>
        </w:rPr>
      </w:pPr>
      <w:r>
        <w:rPr>
          <w:rFonts w:asciiTheme="minorHAnsi" w:hAnsiTheme="minorHAnsi" w:cs="Arial"/>
          <w:sz w:val="24"/>
          <w:szCs w:val="24"/>
        </w:rPr>
        <w:t>These are  addressed through the agreed Action Plan which also addresses the other recommendations and observations within the report.  The implementation of the Action Plan is being monitored by the Mayor’s Executive Group and the Senior Leadership Team.</w:t>
      </w:r>
    </w:p>
    <w:p w:rsidR="00A76841" w:rsidRPr="0094792D" w:rsidRDefault="00A76841" w:rsidP="00A76841">
      <w:pPr>
        <w:autoSpaceDE w:val="0"/>
        <w:autoSpaceDN w:val="0"/>
        <w:adjustRightInd w:val="0"/>
        <w:spacing w:line="240" w:lineRule="auto"/>
        <w:rPr>
          <w:rFonts w:asciiTheme="minorHAnsi" w:hAnsiTheme="minorHAnsi" w:cs="Arial"/>
          <w:sz w:val="24"/>
          <w:szCs w:val="24"/>
        </w:rPr>
      </w:pPr>
      <w:r w:rsidRPr="0094792D">
        <w:rPr>
          <w:rFonts w:asciiTheme="minorHAnsi" w:hAnsiTheme="minorHAnsi" w:cs="Arial"/>
          <w:sz w:val="24"/>
          <w:szCs w:val="24"/>
        </w:rPr>
        <w:t xml:space="preserve">We propose over the coming year to take steps to address the above matters to further enhance our governance arrangements.  We are satisfied that these steps will address the need for improvements that were identified in our review of effectiveness and will monitor their implementation and operation as part of our next annual review.  </w:t>
      </w:r>
    </w:p>
    <w:p w:rsidR="00A76841" w:rsidRPr="00AC42C5" w:rsidRDefault="00A76841" w:rsidP="00A76841">
      <w:pPr>
        <w:autoSpaceDE w:val="0"/>
        <w:autoSpaceDN w:val="0"/>
        <w:adjustRightInd w:val="0"/>
        <w:spacing w:line="240" w:lineRule="auto"/>
        <w:rPr>
          <w:rFonts w:asciiTheme="minorHAnsi" w:hAnsiTheme="minorHAnsi" w:cs="Arial"/>
          <w:sz w:val="24"/>
          <w:szCs w:val="24"/>
          <w:highlight w:val="yellow"/>
        </w:rPr>
      </w:pPr>
    </w:p>
    <w:p w:rsidR="00A76841" w:rsidRPr="007F364D" w:rsidRDefault="00A76841" w:rsidP="00A76841">
      <w:pPr>
        <w:autoSpaceDE w:val="0"/>
        <w:autoSpaceDN w:val="0"/>
        <w:adjustRightInd w:val="0"/>
        <w:spacing w:line="240" w:lineRule="auto"/>
        <w:rPr>
          <w:rFonts w:asciiTheme="minorHAnsi" w:hAnsiTheme="minorHAnsi" w:cs="Arial"/>
          <w:sz w:val="24"/>
          <w:szCs w:val="24"/>
        </w:rPr>
      </w:pPr>
      <w:r w:rsidRPr="007F364D">
        <w:rPr>
          <w:rFonts w:asciiTheme="minorHAnsi" w:hAnsiTheme="minorHAnsi" w:cs="Arial"/>
          <w:sz w:val="24"/>
          <w:szCs w:val="24"/>
        </w:rPr>
        <w:t>Steve Parrock</w:t>
      </w:r>
      <w:r w:rsidRPr="007F364D">
        <w:rPr>
          <w:rFonts w:asciiTheme="minorHAnsi" w:hAnsiTheme="minorHAnsi" w:cs="Arial"/>
          <w:sz w:val="24"/>
          <w:szCs w:val="24"/>
        </w:rPr>
        <w:tab/>
      </w:r>
      <w:r w:rsidRPr="007F364D">
        <w:rPr>
          <w:rFonts w:asciiTheme="minorHAnsi" w:hAnsiTheme="minorHAnsi" w:cs="Arial"/>
          <w:sz w:val="24"/>
          <w:szCs w:val="24"/>
        </w:rPr>
        <w:tab/>
      </w:r>
      <w:r w:rsidRPr="007F364D">
        <w:rPr>
          <w:rFonts w:asciiTheme="minorHAnsi" w:hAnsiTheme="minorHAnsi" w:cs="Arial"/>
          <w:sz w:val="24"/>
          <w:szCs w:val="24"/>
        </w:rPr>
        <w:tab/>
      </w:r>
      <w:r w:rsidRPr="007F364D">
        <w:rPr>
          <w:rFonts w:asciiTheme="minorHAnsi" w:hAnsiTheme="minorHAnsi" w:cs="Arial"/>
          <w:sz w:val="24"/>
          <w:szCs w:val="24"/>
        </w:rPr>
        <w:tab/>
      </w:r>
      <w:r w:rsidRPr="007F364D">
        <w:rPr>
          <w:rFonts w:asciiTheme="minorHAnsi" w:hAnsiTheme="minorHAnsi" w:cs="Arial"/>
          <w:sz w:val="24"/>
          <w:szCs w:val="24"/>
        </w:rPr>
        <w:tab/>
      </w:r>
      <w:r w:rsidRPr="007F364D">
        <w:rPr>
          <w:rFonts w:asciiTheme="minorHAnsi" w:hAnsiTheme="minorHAnsi" w:cs="Arial"/>
          <w:sz w:val="24"/>
          <w:szCs w:val="24"/>
        </w:rPr>
        <w:tab/>
        <w:t>Gordon Oliver</w:t>
      </w:r>
      <w:r w:rsidRPr="007F364D">
        <w:rPr>
          <w:rFonts w:asciiTheme="minorHAnsi" w:hAnsiTheme="minorHAnsi" w:cs="Arial"/>
          <w:sz w:val="24"/>
          <w:szCs w:val="24"/>
        </w:rPr>
        <w:br/>
      </w:r>
      <w:r>
        <w:rPr>
          <w:rFonts w:asciiTheme="minorHAnsi" w:hAnsiTheme="minorHAnsi" w:cs="Arial"/>
          <w:sz w:val="24"/>
          <w:szCs w:val="24"/>
        </w:rPr>
        <w:t>Chief Executive</w:t>
      </w:r>
      <w:r w:rsidRPr="007F364D">
        <w:rPr>
          <w:rFonts w:asciiTheme="minorHAnsi" w:hAnsiTheme="minorHAnsi" w:cs="Arial"/>
          <w:sz w:val="24"/>
          <w:szCs w:val="24"/>
        </w:rPr>
        <w:tab/>
      </w:r>
      <w:r w:rsidRPr="007F364D">
        <w:rPr>
          <w:rFonts w:asciiTheme="minorHAnsi" w:hAnsiTheme="minorHAnsi" w:cs="Arial"/>
          <w:sz w:val="24"/>
          <w:szCs w:val="24"/>
        </w:rPr>
        <w:tab/>
      </w:r>
      <w:r w:rsidRPr="007F364D">
        <w:rPr>
          <w:rFonts w:asciiTheme="minorHAnsi" w:hAnsiTheme="minorHAnsi" w:cs="Arial"/>
          <w:sz w:val="24"/>
          <w:szCs w:val="24"/>
        </w:rPr>
        <w:tab/>
      </w:r>
      <w:r w:rsidRPr="007F364D">
        <w:rPr>
          <w:rFonts w:asciiTheme="minorHAnsi" w:hAnsiTheme="minorHAnsi" w:cs="Arial"/>
          <w:sz w:val="24"/>
          <w:szCs w:val="24"/>
        </w:rPr>
        <w:tab/>
      </w:r>
      <w:r w:rsidRPr="007F364D">
        <w:rPr>
          <w:rFonts w:asciiTheme="minorHAnsi" w:hAnsiTheme="minorHAnsi" w:cs="Arial"/>
          <w:sz w:val="24"/>
          <w:szCs w:val="24"/>
        </w:rPr>
        <w:tab/>
        <w:t>Elected Mayor of Torbay</w:t>
      </w:r>
    </w:p>
    <w:p w:rsidR="00D42E0B" w:rsidRDefault="00D42E0B" w:rsidP="00F82ECF">
      <w:pPr>
        <w:autoSpaceDE w:val="0"/>
        <w:autoSpaceDN w:val="0"/>
        <w:spacing w:line="360" w:lineRule="auto"/>
        <w:rPr>
          <w:rFonts w:cs="Arial"/>
          <w:color w:val="548DD4" w:themeColor="text2" w:themeTint="99"/>
          <w:sz w:val="20"/>
          <w:szCs w:val="20"/>
          <w:lang w:eastAsia="en-GB"/>
        </w:rPr>
      </w:pPr>
    </w:p>
    <w:p w:rsidR="00D42E0B" w:rsidRDefault="00D42E0B" w:rsidP="00F82ECF">
      <w:pPr>
        <w:autoSpaceDE w:val="0"/>
        <w:autoSpaceDN w:val="0"/>
        <w:spacing w:line="360" w:lineRule="auto"/>
        <w:rPr>
          <w:rFonts w:cs="Arial"/>
          <w:color w:val="548DD4" w:themeColor="text2" w:themeTint="99"/>
          <w:sz w:val="20"/>
          <w:szCs w:val="20"/>
          <w:lang w:eastAsia="en-GB"/>
        </w:rPr>
      </w:pPr>
    </w:p>
    <w:p w:rsidR="00D42E0B" w:rsidRDefault="00D42E0B" w:rsidP="00F82ECF">
      <w:pPr>
        <w:autoSpaceDE w:val="0"/>
        <w:autoSpaceDN w:val="0"/>
        <w:spacing w:line="360" w:lineRule="auto"/>
        <w:rPr>
          <w:rFonts w:cs="Arial"/>
          <w:color w:val="548DD4" w:themeColor="text2" w:themeTint="99"/>
          <w:sz w:val="20"/>
          <w:szCs w:val="20"/>
          <w:lang w:eastAsia="en-GB"/>
        </w:rPr>
      </w:pPr>
    </w:p>
    <w:p w:rsidR="00D42E0B" w:rsidRDefault="00D42E0B" w:rsidP="00F82ECF">
      <w:pPr>
        <w:autoSpaceDE w:val="0"/>
        <w:autoSpaceDN w:val="0"/>
        <w:spacing w:line="360" w:lineRule="auto"/>
        <w:rPr>
          <w:rFonts w:cs="Arial"/>
          <w:color w:val="548DD4" w:themeColor="text2" w:themeTint="99"/>
          <w:sz w:val="20"/>
          <w:szCs w:val="20"/>
          <w:lang w:eastAsia="en-GB"/>
        </w:rPr>
      </w:pPr>
    </w:p>
    <w:p w:rsidR="00D42E0B" w:rsidRDefault="00D42E0B" w:rsidP="00F82ECF">
      <w:pPr>
        <w:autoSpaceDE w:val="0"/>
        <w:autoSpaceDN w:val="0"/>
        <w:spacing w:line="360" w:lineRule="auto"/>
        <w:rPr>
          <w:rFonts w:cs="Arial"/>
          <w:color w:val="548DD4" w:themeColor="text2" w:themeTint="99"/>
          <w:sz w:val="20"/>
          <w:szCs w:val="20"/>
          <w:lang w:eastAsia="en-GB"/>
        </w:rPr>
      </w:pPr>
    </w:p>
    <w:p w:rsidR="00D42E0B" w:rsidRDefault="00D42E0B" w:rsidP="00F82ECF">
      <w:pPr>
        <w:autoSpaceDE w:val="0"/>
        <w:autoSpaceDN w:val="0"/>
        <w:spacing w:line="360" w:lineRule="auto"/>
        <w:rPr>
          <w:rFonts w:cs="Arial"/>
          <w:color w:val="548DD4" w:themeColor="text2" w:themeTint="99"/>
          <w:sz w:val="20"/>
          <w:szCs w:val="20"/>
          <w:lang w:eastAsia="en-GB"/>
        </w:rPr>
      </w:pPr>
    </w:p>
    <w:p w:rsidR="00D42E0B" w:rsidRDefault="00D42E0B" w:rsidP="00F82ECF">
      <w:pPr>
        <w:autoSpaceDE w:val="0"/>
        <w:autoSpaceDN w:val="0"/>
        <w:spacing w:line="360" w:lineRule="auto"/>
        <w:rPr>
          <w:rFonts w:cs="Arial"/>
          <w:color w:val="548DD4" w:themeColor="text2" w:themeTint="99"/>
          <w:sz w:val="20"/>
          <w:szCs w:val="20"/>
          <w:lang w:eastAsia="en-GB"/>
        </w:rPr>
      </w:pPr>
    </w:p>
    <w:p w:rsidR="00E51139" w:rsidRPr="00051379" w:rsidRDefault="00C555E7" w:rsidP="00BC65EE">
      <w:pPr>
        <w:pStyle w:val="Footer"/>
        <w:rPr>
          <w:rFonts w:cs="Arial"/>
          <w:b/>
          <w:color w:val="auto"/>
          <w:sz w:val="20"/>
          <w:szCs w:val="20"/>
        </w:rPr>
      </w:pPr>
      <w:r w:rsidRPr="00C555E7">
        <w:rPr>
          <w:noProof/>
          <w:color w:val="548DD4" w:themeColor="text2" w:themeTint="99"/>
          <w:lang w:eastAsia="en-GB"/>
        </w:rPr>
        <w:lastRenderedPageBreak/>
        <w:pict>
          <v:shapetype id="_x0000_t202" coordsize="21600,21600" o:spt="202" path="m,l,21600r21600,l21600,xe">
            <v:stroke joinstyle="miter"/>
            <v:path gradientshapeok="t" o:connecttype="rect"/>
          </v:shapetype>
          <v:shape id="_x0000_s1026" type="#_x0000_t202" style="position:absolute;margin-left:15.75pt;margin-top:-9pt;width:446.4pt;height:27pt;z-index:251658240">
            <v:textbox style="mso-next-textbox:#_x0000_s1026">
              <w:txbxContent>
                <w:p w:rsidR="00A4031D" w:rsidRDefault="00A4031D" w:rsidP="00BC65EE">
                  <w:pPr>
                    <w:jc w:val="center"/>
                    <w:rPr>
                      <w:b/>
                      <w:sz w:val="22"/>
                    </w:rPr>
                  </w:pPr>
                  <w:bookmarkStart w:id="4" w:name="_MON_1357130616"/>
                  <w:bookmarkStart w:id="5" w:name="_MON_1357130681"/>
                  <w:bookmarkStart w:id="6" w:name="_MON_1370179590"/>
                  <w:bookmarkStart w:id="7" w:name="_MON_1370896225"/>
                  <w:bookmarkStart w:id="8" w:name="_MON_1377505858"/>
                  <w:bookmarkStart w:id="9" w:name="_MON_1377505951"/>
                  <w:bookmarkStart w:id="10" w:name="_MON_1377505960"/>
                  <w:bookmarkStart w:id="11" w:name="_MON_1393137689"/>
                  <w:bookmarkStart w:id="12" w:name="_MON_1394964922"/>
                  <w:bookmarkStart w:id="13" w:name="_MON_1394965142"/>
                  <w:bookmarkStart w:id="14" w:name="_MON_1394965250"/>
                  <w:bookmarkStart w:id="15" w:name="_MON_1397548653"/>
                  <w:bookmarkStart w:id="16" w:name="_MON_1401519152"/>
                  <w:bookmarkEnd w:id="4"/>
                  <w:bookmarkEnd w:id="5"/>
                  <w:bookmarkEnd w:id="6"/>
                  <w:bookmarkEnd w:id="7"/>
                  <w:bookmarkEnd w:id="8"/>
                  <w:bookmarkEnd w:id="9"/>
                  <w:bookmarkEnd w:id="10"/>
                  <w:bookmarkEnd w:id="11"/>
                  <w:bookmarkEnd w:id="12"/>
                  <w:bookmarkEnd w:id="13"/>
                  <w:bookmarkEnd w:id="14"/>
                  <w:bookmarkEnd w:id="15"/>
                  <w:bookmarkEnd w:id="16"/>
                  <w:r>
                    <w:rPr>
                      <w:b/>
                      <w:sz w:val="22"/>
                    </w:rPr>
                    <w:t xml:space="preserve">GLOSSARY </w:t>
                  </w:r>
                </w:p>
              </w:txbxContent>
            </v:textbox>
            <w10:wrap type="topAndBottom"/>
          </v:shape>
        </w:pict>
      </w:r>
    </w:p>
    <w:p w:rsidR="00E51139" w:rsidRPr="00051379" w:rsidRDefault="00E51139" w:rsidP="00E769F5">
      <w:pPr>
        <w:pStyle w:val="Footer"/>
        <w:spacing w:line="240" w:lineRule="atLeast"/>
        <w:rPr>
          <w:rFonts w:cs="Arial"/>
          <w:b/>
          <w:color w:val="auto"/>
          <w:sz w:val="20"/>
          <w:szCs w:val="20"/>
          <w:u w:val="single"/>
        </w:rPr>
      </w:pPr>
      <w:r w:rsidRPr="00051379">
        <w:rPr>
          <w:rFonts w:cs="Arial"/>
          <w:b/>
          <w:color w:val="auto"/>
          <w:sz w:val="20"/>
          <w:szCs w:val="20"/>
          <w:u w:val="single"/>
        </w:rPr>
        <w:t>A</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rPr>
      </w:pPr>
      <w:r w:rsidRPr="00051379">
        <w:rPr>
          <w:rFonts w:ascii="Arial" w:hAnsi="Arial"/>
          <w:b/>
        </w:rPr>
        <w:t xml:space="preserve">Academy Schools </w:t>
      </w:r>
      <w:r w:rsidRPr="00051379">
        <w:rPr>
          <w:rFonts w:ascii="Arial" w:hAnsi="Arial"/>
        </w:rPr>
        <w:t xml:space="preserve">– These are independent schools publically funded from the Department of Education. Community (i.e. Council controlled) schools can transfer to academy status where they will often become charitable trusts.  </w:t>
      </w:r>
    </w:p>
    <w:p w:rsidR="009A4B2B" w:rsidRPr="00051379" w:rsidRDefault="009A4B2B" w:rsidP="009A4B2B">
      <w:pPr>
        <w:pStyle w:val="ExampleText"/>
        <w:ind w:left="0"/>
        <w:outlineLvl w:val="0"/>
        <w:rPr>
          <w:rFonts w:ascii="Arial" w:hAnsi="Arial" w:cs="Arial"/>
          <w:color w:val="auto"/>
        </w:rPr>
      </w:pPr>
      <w:r w:rsidRPr="00051379">
        <w:rPr>
          <w:rFonts w:ascii="Arial" w:hAnsi="Arial" w:cs="Arial"/>
          <w:b/>
          <w:color w:val="auto"/>
        </w:rPr>
        <w:t>Accumulating Compensated Absences Adjustment Account</w:t>
      </w:r>
      <w:r w:rsidRPr="00051379">
        <w:rPr>
          <w:rFonts w:ascii="Arial" w:hAnsi="Arial" w:cs="Arial"/>
          <w:color w:val="auto"/>
        </w:rPr>
        <w:t xml:space="preserve"> - The Accumulating Compensated Absences Adjustment Account absorbs the differences that would otherwise arise on the General Fund Balance from accruing for compensated absences earned but not taken in the year e.g. annual leave entitlement carried forward at 31 March.  Statutory arrangements require that the impact on the General Fund Balance is neutralised by transfers to or from the Account.</w:t>
      </w:r>
    </w:p>
    <w:p w:rsidR="009A4B2B" w:rsidRPr="00051379" w:rsidRDefault="009A4B2B"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 xml:space="preserve">Actuarial </w:t>
      </w:r>
      <w:r w:rsidR="00710F56" w:rsidRPr="00051379">
        <w:rPr>
          <w:rFonts w:ascii="Arial" w:hAnsi="Arial"/>
          <w:b/>
        </w:rPr>
        <w:t xml:space="preserve">Remeasurements </w:t>
      </w:r>
      <w:r w:rsidRPr="00051379">
        <w:rPr>
          <w:rFonts w:ascii="Arial" w:hAnsi="Arial"/>
        </w:rPr>
        <w:t>– For a defined pension scheme, the changes in actuarial deficits or surpluses that arise because events have not matched previous assumptions and/or actuarial assumptions have changed.</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 xml:space="preserve">Agency </w:t>
      </w:r>
      <w:r w:rsidRPr="00051379">
        <w:rPr>
          <w:rFonts w:ascii="Arial" w:hAnsi="Arial"/>
        </w:rPr>
        <w:t xml:space="preserve">– Under an agency arrangement the Council acts on behalf of other bodies, so in effect any monies that flow through the Council’s accounts under that arrangement are not the Council’s asset or liability.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rPr>
      </w:pPr>
      <w:r w:rsidRPr="00051379">
        <w:rPr>
          <w:rFonts w:ascii="Arial" w:hAnsi="Arial"/>
          <w:b/>
        </w:rPr>
        <w:t xml:space="preserve">Amortisation - </w:t>
      </w:r>
      <w:r w:rsidRPr="00051379">
        <w:rPr>
          <w:rFonts w:ascii="Arial" w:hAnsi="Arial" w:cs="Arial"/>
          <w:bCs/>
          <w:lang w:eastAsia="en-GB"/>
        </w:rPr>
        <w:t>a term used to refer to the charging of the value of a transaction or asset (usually related to intangible assets or deferred charges) to the Income and Expenditure Account over a period of time, reflecting the value to the Council (similar to the depreciation charge for tangible fixed assets).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Amortised Cost</w:t>
      </w:r>
      <w:r w:rsidRPr="00051379">
        <w:rPr>
          <w:rFonts w:ascii="Arial" w:hAnsi="Arial"/>
        </w:rPr>
        <w:t xml:space="preserve"> – the fair value of a financial instrument valued using the effective interest rate inherent in the contract. </w:t>
      </w:r>
    </w:p>
    <w:p w:rsidR="00E51139" w:rsidRPr="00051379" w:rsidRDefault="00E51139" w:rsidP="00E769F5">
      <w:pPr>
        <w:pStyle w:val="PlainText"/>
        <w:spacing w:line="240" w:lineRule="atLeast"/>
        <w:rPr>
          <w:rFonts w:ascii="Arial" w:hAnsi="Arial"/>
        </w:rPr>
      </w:pPr>
    </w:p>
    <w:p w:rsidR="00506621" w:rsidRPr="00051379" w:rsidRDefault="007221BB" w:rsidP="007221BB">
      <w:pPr>
        <w:autoSpaceDE w:val="0"/>
        <w:autoSpaceDN w:val="0"/>
        <w:rPr>
          <w:rFonts w:eastAsia="Times New Roman"/>
          <w:b/>
          <w:color w:val="auto"/>
          <w:sz w:val="20"/>
          <w:szCs w:val="20"/>
        </w:rPr>
      </w:pPr>
      <w:r w:rsidRPr="00051379">
        <w:rPr>
          <w:rFonts w:eastAsia="Times New Roman"/>
          <w:b/>
          <w:color w:val="auto"/>
          <w:sz w:val="20"/>
          <w:szCs w:val="20"/>
        </w:rPr>
        <w:t>A</w:t>
      </w:r>
      <w:r w:rsidR="00506621" w:rsidRPr="00051379">
        <w:rPr>
          <w:rFonts w:eastAsia="Times New Roman"/>
          <w:b/>
          <w:color w:val="auto"/>
          <w:sz w:val="20"/>
          <w:szCs w:val="20"/>
        </w:rPr>
        <w:t>sset categories &amp; their definitions</w:t>
      </w:r>
      <w:r w:rsidRPr="00051379">
        <w:rPr>
          <w:rFonts w:eastAsia="Times New Roman"/>
          <w:b/>
          <w:color w:val="auto"/>
          <w:sz w:val="20"/>
          <w:szCs w:val="20"/>
        </w:rPr>
        <w:t>:</w:t>
      </w:r>
    </w:p>
    <w:p w:rsidR="00506621" w:rsidRPr="00051379" w:rsidRDefault="00506621" w:rsidP="00506621">
      <w:pPr>
        <w:autoSpaceDE w:val="0"/>
        <w:autoSpaceDN w:val="0"/>
        <w:ind w:left="567"/>
        <w:rPr>
          <w:rFonts w:cs="Arial"/>
          <w:color w:val="auto"/>
          <w:sz w:val="20"/>
          <w:szCs w:val="20"/>
          <w:lang w:eastAsia="en-GB"/>
        </w:rPr>
      </w:pPr>
      <w:r w:rsidRPr="00051379">
        <w:rPr>
          <w:rFonts w:cs="Arial"/>
          <w:color w:val="auto"/>
          <w:sz w:val="20"/>
          <w:szCs w:val="20"/>
          <w:u w:val="single"/>
          <w:lang w:eastAsia="en-GB"/>
        </w:rPr>
        <w:t>Property, Plant &amp; Equipment</w:t>
      </w:r>
      <w:r w:rsidRPr="00051379">
        <w:rPr>
          <w:rFonts w:cs="Arial"/>
          <w:color w:val="auto"/>
          <w:sz w:val="20"/>
          <w:szCs w:val="20"/>
          <w:lang w:eastAsia="en-GB"/>
        </w:rPr>
        <w:t xml:space="preserve"> category on the balance sheet is comprised of a number of sub categories:</w:t>
      </w:r>
    </w:p>
    <w:p w:rsidR="00506621" w:rsidRPr="00051379" w:rsidRDefault="00506621" w:rsidP="00506621">
      <w:pPr>
        <w:autoSpaceDE w:val="0"/>
        <w:autoSpaceDN w:val="0"/>
        <w:ind w:left="567"/>
        <w:rPr>
          <w:rFonts w:cs="Arial"/>
          <w:color w:val="auto"/>
          <w:sz w:val="20"/>
          <w:szCs w:val="20"/>
          <w:lang w:eastAsia="en-GB"/>
        </w:rPr>
      </w:pPr>
      <w:r w:rsidRPr="00051379">
        <w:rPr>
          <w:rFonts w:cs="Arial"/>
          <w:color w:val="auto"/>
          <w:sz w:val="20"/>
          <w:szCs w:val="20"/>
          <w:u w:val="single"/>
          <w:lang w:eastAsia="en-GB"/>
        </w:rPr>
        <w:t>Vehicles, Plant &amp; Equipment</w:t>
      </w:r>
      <w:r w:rsidRPr="00051379">
        <w:rPr>
          <w:rFonts w:cs="Arial"/>
          <w:color w:val="auto"/>
          <w:sz w:val="20"/>
          <w:szCs w:val="20"/>
          <w:lang w:eastAsia="en-GB"/>
        </w:rPr>
        <w:t xml:space="preserve"> – Assets used for operational purposes</w:t>
      </w:r>
    </w:p>
    <w:p w:rsidR="00506621" w:rsidRPr="00051379" w:rsidRDefault="00506621" w:rsidP="00506621">
      <w:pPr>
        <w:autoSpaceDE w:val="0"/>
        <w:autoSpaceDN w:val="0"/>
        <w:ind w:left="567"/>
        <w:rPr>
          <w:rFonts w:cs="Arial"/>
          <w:color w:val="auto"/>
          <w:sz w:val="20"/>
          <w:szCs w:val="20"/>
          <w:lang w:eastAsia="en-GB"/>
        </w:rPr>
      </w:pPr>
      <w:r w:rsidRPr="00051379">
        <w:rPr>
          <w:rFonts w:cs="Arial"/>
          <w:color w:val="auto"/>
          <w:sz w:val="20"/>
          <w:szCs w:val="20"/>
          <w:u w:val="single"/>
          <w:lang w:eastAsia="en-GB"/>
        </w:rPr>
        <w:t>Community Assets</w:t>
      </w:r>
      <w:r w:rsidRPr="00051379">
        <w:rPr>
          <w:rFonts w:cs="Arial"/>
          <w:color w:val="auto"/>
          <w:sz w:val="20"/>
          <w:szCs w:val="20"/>
          <w:lang w:eastAsia="en-GB"/>
        </w:rPr>
        <w:t xml:space="preserve"> - assets which the Council intends to hold in perpetuity, which may have an indeterminate life and may have restrictions on disposal.</w:t>
      </w:r>
    </w:p>
    <w:p w:rsidR="00506621" w:rsidRPr="00051379" w:rsidRDefault="00506621" w:rsidP="00506621">
      <w:pPr>
        <w:autoSpaceDE w:val="0"/>
        <w:autoSpaceDN w:val="0"/>
        <w:ind w:left="567"/>
        <w:rPr>
          <w:rFonts w:cs="Arial"/>
          <w:color w:val="auto"/>
          <w:sz w:val="20"/>
          <w:szCs w:val="20"/>
          <w:lang w:eastAsia="en-GB"/>
        </w:rPr>
      </w:pPr>
      <w:r w:rsidRPr="00051379">
        <w:rPr>
          <w:rFonts w:cs="Arial"/>
          <w:color w:val="auto"/>
          <w:sz w:val="20"/>
          <w:szCs w:val="20"/>
          <w:u w:val="single"/>
          <w:lang w:eastAsia="en-GB"/>
        </w:rPr>
        <w:t>Surplus Assets</w:t>
      </w:r>
      <w:r w:rsidRPr="00051379">
        <w:rPr>
          <w:rFonts w:cs="Arial"/>
          <w:color w:val="auto"/>
          <w:sz w:val="20"/>
          <w:szCs w:val="20"/>
          <w:lang w:eastAsia="en-GB"/>
        </w:rPr>
        <w:t xml:space="preserve"> – assets which are surplus to service needs but do not meet the criteria to be classified as Assets Held for Sale.</w:t>
      </w:r>
    </w:p>
    <w:p w:rsidR="00506621" w:rsidRPr="00051379" w:rsidRDefault="00506621" w:rsidP="00506621">
      <w:pPr>
        <w:autoSpaceDE w:val="0"/>
        <w:autoSpaceDN w:val="0"/>
        <w:ind w:left="567"/>
        <w:rPr>
          <w:rFonts w:cs="Arial"/>
          <w:color w:val="auto"/>
          <w:sz w:val="20"/>
          <w:szCs w:val="20"/>
          <w:lang w:eastAsia="en-GB"/>
        </w:rPr>
      </w:pPr>
      <w:r w:rsidRPr="00051379">
        <w:rPr>
          <w:rFonts w:cs="Arial"/>
          <w:color w:val="auto"/>
          <w:sz w:val="20"/>
          <w:szCs w:val="20"/>
          <w:u w:val="single"/>
          <w:lang w:eastAsia="en-GB"/>
        </w:rPr>
        <w:t>Infrastructure Assets</w:t>
      </w:r>
      <w:r w:rsidRPr="00051379">
        <w:rPr>
          <w:rFonts w:cs="Arial"/>
          <w:color w:val="auto"/>
          <w:sz w:val="20"/>
          <w:szCs w:val="20"/>
          <w:lang w:eastAsia="en-GB"/>
        </w:rPr>
        <w:t xml:space="preserve"> – assets which form the underlying framework of the physical environment and by their nature cannot be sold.  They include coastal defence and drainage systems and transport infrastructure assets. Transport infrastructure assets form the underlying transport framework of the physical environment and by their nature cannot be sold.  They include highways, footways, and associated assets.</w:t>
      </w:r>
    </w:p>
    <w:p w:rsidR="00506621" w:rsidRPr="00051379" w:rsidRDefault="00506621" w:rsidP="00506621">
      <w:pPr>
        <w:autoSpaceDE w:val="0"/>
        <w:autoSpaceDN w:val="0"/>
        <w:ind w:left="567"/>
        <w:rPr>
          <w:rFonts w:cs="Arial"/>
          <w:color w:val="auto"/>
          <w:sz w:val="20"/>
          <w:szCs w:val="20"/>
          <w:lang w:eastAsia="en-GB"/>
        </w:rPr>
      </w:pPr>
      <w:r w:rsidRPr="00051379">
        <w:rPr>
          <w:rFonts w:cs="Arial"/>
          <w:color w:val="auto"/>
          <w:sz w:val="20"/>
          <w:szCs w:val="20"/>
          <w:u w:val="single"/>
        </w:rPr>
        <w:t>Assets under construction</w:t>
      </w:r>
      <w:r w:rsidRPr="00051379">
        <w:rPr>
          <w:rFonts w:cs="Arial"/>
          <w:color w:val="auto"/>
          <w:sz w:val="20"/>
          <w:szCs w:val="20"/>
        </w:rPr>
        <w:t xml:space="preserve"> (Work in Progress</w:t>
      </w:r>
      <w:r w:rsidR="007E33E1" w:rsidRPr="00051379">
        <w:rPr>
          <w:rFonts w:cs="Arial"/>
          <w:color w:val="auto"/>
          <w:sz w:val="20"/>
          <w:szCs w:val="20"/>
        </w:rPr>
        <w:t xml:space="preserve">) </w:t>
      </w:r>
      <w:r w:rsidR="007E33E1" w:rsidRPr="00051379">
        <w:rPr>
          <w:rFonts w:cs="Arial"/>
          <w:color w:val="auto"/>
          <w:sz w:val="20"/>
          <w:szCs w:val="20"/>
          <w:lang w:eastAsia="en-GB"/>
        </w:rPr>
        <w:t>-</w:t>
      </w:r>
      <w:r w:rsidRPr="00051379">
        <w:rPr>
          <w:rFonts w:cs="Arial"/>
          <w:color w:val="auto"/>
          <w:sz w:val="20"/>
          <w:szCs w:val="20"/>
          <w:lang w:eastAsia="en-GB"/>
        </w:rPr>
        <w:t xml:space="preserve"> </w:t>
      </w:r>
      <w:r w:rsidRPr="00051379">
        <w:rPr>
          <w:rFonts w:cs="Arial"/>
          <w:color w:val="auto"/>
          <w:sz w:val="20"/>
          <w:szCs w:val="20"/>
        </w:rPr>
        <w:t>where capital projects are incomplete and the assets under construction are not yet operational at the year end.</w:t>
      </w:r>
    </w:p>
    <w:p w:rsidR="00506621" w:rsidRPr="00051379" w:rsidRDefault="00506621" w:rsidP="00506621">
      <w:pPr>
        <w:autoSpaceDE w:val="0"/>
        <w:autoSpaceDN w:val="0"/>
        <w:ind w:left="567"/>
        <w:rPr>
          <w:rFonts w:cs="Arial"/>
          <w:color w:val="auto"/>
          <w:sz w:val="20"/>
          <w:szCs w:val="20"/>
          <w:lang w:eastAsia="en-GB"/>
        </w:rPr>
      </w:pPr>
      <w:r w:rsidRPr="00051379">
        <w:rPr>
          <w:rFonts w:cs="Arial"/>
          <w:color w:val="auto"/>
          <w:sz w:val="20"/>
          <w:szCs w:val="20"/>
          <w:u w:val="single"/>
          <w:lang w:eastAsia="en-GB"/>
        </w:rPr>
        <w:t>Other Land and Buildings</w:t>
      </w:r>
      <w:r w:rsidRPr="00051379">
        <w:rPr>
          <w:rFonts w:cs="Arial"/>
          <w:color w:val="auto"/>
          <w:sz w:val="20"/>
          <w:szCs w:val="20"/>
          <w:lang w:eastAsia="en-GB"/>
        </w:rPr>
        <w:t xml:space="preserve"> – Assets used for operational purposes, including any operational heritage assets.</w:t>
      </w:r>
    </w:p>
    <w:p w:rsidR="00506621" w:rsidRPr="00051379" w:rsidRDefault="00506621" w:rsidP="00E769F5">
      <w:pPr>
        <w:pStyle w:val="PlainText"/>
        <w:spacing w:line="240" w:lineRule="atLeast"/>
        <w:rPr>
          <w:rFonts w:ascii="Arial" w:hAnsi="Arial"/>
        </w:rPr>
      </w:pPr>
    </w:p>
    <w:p w:rsidR="00506621" w:rsidRPr="00051379" w:rsidRDefault="00506621" w:rsidP="00E769F5">
      <w:pPr>
        <w:pStyle w:val="PlainText"/>
        <w:spacing w:line="240" w:lineRule="atLeast"/>
        <w:rPr>
          <w:rFonts w:ascii="Arial" w:hAnsi="Arial"/>
        </w:rPr>
      </w:pPr>
    </w:p>
    <w:p w:rsidR="00506621" w:rsidRPr="00051379" w:rsidRDefault="00506621"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 xml:space="preserve">Assets Held For Sale – </w:t>
      </w:r>
      <w:r w:rsidRPr="00051379">
        <w:rPr>
          <w:rFonts w:ascii="Arial" w:hAnsi="Arial"/>
        </w:rPr>
        <w:t>a category of property where the property is expected to be sold and is to be actively marketed so is classified as a current asset rather than a non current asset.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Assets Under Construction</w:t>
      </w:r>
      <w:r w:rsidRPr="00051379">
        <w:rPr>
          <w:rFonts w:ascii="Arial" w:hAnsi="Arial"/>
        </w:rPr>
        <w:t xml:space="preserve"> – expenditure incurred to date on an asset that is being constructed and at balance sheet date is not operational.</w:t>
      </w:r>
    </w:p>
    <w:p w:rsidR="00E51139" w:rsidRPr="00051379" w:rsidRDefault="00E51139" w:rsidP="00E769F5">
      <w:pPr>
        <w:pStyle w:val="PlainText"/>
        <w:spacing w:line="240" w:lineRule="atLeast"/>
        <w:rPr>
          <w:b/>
        </w:rPr>
      </w:pPr>
    </w:p>
    <w:p w:rsidR="00E51139" w:rsidRPr="00051379" w:rsidRDefault="00E51139" w:rsidP="00E769F5">
      <w:pPr>
        <w:pStyle w:val="PlainText"/>
        <w:spacing w:line="240" w:lineRule="atLeast"/>
        <w:rPr>
          <w:rFonts w:ascii="Arial" w:hAnsi="Arial" w:cs="Arial"/>
        </w:rPr>
      </w:pPr>
      <w:r w:rsidRPr="00051379">
        <w:rPr>
          <w:rFonts w:ascii="Arial" w:hAnsi="Arial" w:cs="Arial"/>
          <w:b/>
        </w:rPr>
        <w:t xml:space="preserve">Authorised for Issue Date – </w:t>
      </w:r>
      <w:r w:rsidRPr="00051379">
        <w:rPr>
          <w:rFonts w:ascii="Arial" w:hAnsi="Arial" w:cs="Arial"/>
        </w:rPr>
        <w:t>The date up to which the Council will have included latest information of financial transactions that would have a significant impact on both the Accounts for the year or on the readers understanding of the Council’s financial position.</w:t>
      </w:r>
    </w:p>
    <w:p w:rsidR="009F456F" w:rsidRPr="00051379" w:rsidRDefault="009F456F" w:rsidP="00E769F5">
      <w:pPr>
        <w:pStyle w:val="PlainText"/>
        <w:spacing w:line="240" w:lineRule="atLeast"/>
        <w:rPr>
          <w:rFonts w:ascii="Arial" w:hAnsi="Arial" w:cs="Arial"/>
          <w:b/>
        </w:rPr>
      </w:pPr>
    </w:p>
    <w:p w:rsidR="009F456F" w:rsidRPr="00051379" w:rsidRDefault="007F1237" w:rsidP="007F1237">
      <w:pPr>
        <w:autoSpaceDE w:val="0"/>
        <w:autoSpaceDN w:val="0"/>
        <w:adjustRightInd w:val="0"/>
        <w:spacing w:after="0"/>
        <w:rPr>
          <w:rFonts w:cs="Arial"/>
          <w:color w:val="auto"/>
          <w:sz w:val="20"/>
          <w:szCs w:val="20"/>
          <w:lang w:eastAsia="en-GB"/>
        </w:rPr>
      </w:pPr>
      <w:r w:rsidRPr="00051379">
        <w:rPr>
          <w:rFonts w:eastAsia="Times New Roman" w:cs="Arial"/>
          <w:b/>
          <w:color w:val="auto"/>
          <w:sz w:val="20"/>
          <w:szCs w:val="20"/>
        </w:rPr>
        <w:t>A</w:t>
      </w:r>
      <w:r w:rsidR="009F456F" w:rsidRPr="00051379">
        <w:rPr>
          <w:rFonts w:eastAsia="Times New Roman" w:cs="Arial"/>
          <w:b/>
          <w:color w:val="auto"/>
          <w:sz w:val="20"/>
          <w:szCs w:val="20"/>
        </w:rPr>
        <w:t>vailable-for-sale assets</w:t>
      </w:r>
      <w:r w:rsidR="009F456F" w:rsidRPr="00051379">
        <w:rPr>
          <w:rFonts w:cs="Arial"/>
          <w:color w:val="auto"/>
          <w:sz w:val="20"/>
          <w:szCs w:val="20"/>
          <w:lang w:eastAsia="en-GB"/>
        </w:rPr>
        <w:t xml:space="preserve"> </w:t>
      </w:r>
      <w:r w:rsidRPr="00051379">
        <w:rPr>
          <w:rFonts w:cs="Arial"/>
          <w:color w:val="auto"/>
          <w:sz w:val="20"/>
          <w:szCs w:val="20"/>
          <w:lang w:eastAsia="en-GB"/>
        </w:rPr>
        <w:t xml:space="preserve">- </w:t>
      </w:r>
      <w:r w:rsidR="009F456F" w:rsidRPr="00051379">
        <w:rPr>
          <w:rFonts w:cs="Arial"/>
          <w:color w:val="auto"/>
          <w:sz w:val="20"/>
          <w:szCs w:val="20"/>
          <w:lang w:eastAsia="en-GB"/>
        </w:rPr>
        <w:t>(</w:t>
      </w:r>
      <w:r w:rsidR="007E33E1" w:rsidRPr="00051379">
        <w:rPr>
          <w:rFonts w:cs="Arial"/>
          <w:color w:val="auto"/>
          <w:sz w:val="20"/>
          <w:szCs w:val="20"/>
          <w:lang w:eastAsia="en-GB"/>
        </w:rPr>
        <w:t>i.e.</w:t>
      </w:r>
      <w:r w:rsidR="009F456F" w:rsidRPr="00051379">
        <w:rPr>
          <w:rFonts w:cs="Arial"/>
          <w:color w:val="auto"/>
          <w:sz w:val="20"/>
          <w:szCs w:val="20"/>
          <w:lang w:eastAsia="en-GB"/>
        </w:rPr>
        <w:t xml:space="preserve"> investments and cash equivalents) - assets that have a quoted market price and/or do not have fixed or determinable payments.</w:t>
      </w:r>
    </w:p>
    <w:p w:rsidR="00E51139" w:rsidRPr="00051379" w:rsidRDefault="00E51139" w:rsidP="00E769F5">
      <w:pPr>
        <w:pStyle w:val="PlainText"/>
        <w:spacing w:line="240" w:lineRule="atLeast"/>
        <w:rPr>
          <w:rFonts w:ascii="Arial" w:hAnsi="Arial"/>
        </w:rPr>
      </w:pPr>
      <w:r w:rsidRPr="00051379">
        <w:rPr>
          <w:b/>
        </w:rPr>
        <w:tab/>
      </w:r>
      <w:r w:rsidRPr="00051379">
        <w:rPr>
          <w:b/>
        </w:rPr>
        <w:tab/>
      </w: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B</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 xml:space="preserve">Borrowing - </w:t>
      </w:r>
      <w:r w:rsidRPr="00051379">
        <w:rPr>
          <w:rFonts w:ascii="Arial" w:hAnsi="Arial"/>
        </w:rPr>
        <w:t>Councils borrow to fund Capital expenditure or for temporary cash flow requirements. The majority of Council borrowing will be from Central Government by means of the Public Works Loans Board. Council’s are free to use other borrowing options provided they are within the Council’s treasury management arrangements.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C</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Capital Expenditure</w:t>
      </w:r>
      <w:r w:rsidRPr="00051379">
        <w:rPr>
          <w:rFonts w:ascii="Arial" w:hAnsi="Arial"/>
        </w:rPr>
        <w:t xml:space="preserve"> - payments made for the acquisition, provision or improvement of assets, which will be of a long-term value to the Council, e.g., land and buildings. </w:t>
      </w:r>
    </w:p>
    <w:p w:rsidR="00E51139" w:rsidRPr="00051379" w:rsidRDefault="00E51139" w:rsidP="00E769F5">
      <w:pPr>
        <w:pStyle w:val="PlainText"/>
        <w:spacing w:line="240" w:lineRule="atLeast"/>
        <w:rPr>
          <w:rFonts w:ascii="Arial" w:hAnsi="Arial"/>
          <w:b/>
        </w:rPr>
      </w:pPr>
    </w:p>
    <w:p w:rsidR="008922D3" w:rsidRPr="00051379" w:rsidRDefault="00E51139" w:rsidP="008922D3">
      <w:pPr>
        <w:pStyle w:val="ExampleText"/>
        <w:ind w:left="0"/>
        <w:rPr>
          <w:rFonts w:ascii="Arial" w:hAnsi="Arial" w:cs="Arial"/>
          <w:color w:val="auto"/>
        </w:rPr>
      </w:pPr>
      <w:r w:rsidRPr="00051379">
        <w:rPr>
          <w:rFonts w:ascii="Arial" w:hAnsi="Arial"/>
          <w:b/>
          <w:color w:val="auto"/>
        </w:rPr>
        <w:t>Capital Adjustment Account</w:t>
      </w:r>
      <w:r w:rsidRPr="00051379">
        <w:rPr>
          <w:rFonts w:ascii="Arial" w:hAnsi="Arial"/>
          <w:color w:val="auto"/>
        </w:rPr>
        <w:t xml:space="preserve"> - The Capital Adjustment Account represents the capital funding used to finance capital investment immediately from capital receipts and directly from revenue. It also contains amounts which in the past were required by statute to be set aside from capital receipts for the repayment of external loans. The Account is also used to compensate the General Fund Revenue Account for any excess of charges paid in respect of depreciation of assets over the statutory Minimum Revenue Provision which Council Taxpayers are required to bear.</w:t>
      </w:r>
      <w:r w:rsidR="008922D3" w:rsidRPr="00051379">
        <w:rPr>
          <w:rFonts w:ascii="Arial" w:hAnsi="Arial" w:cs="Arial"/>
          <w:color w:val="auto"/>
        </w:rPr>
        <w:t xml:space="preserve"> The Capital Adjustment Account absorbs the timing differences arising from the different arrangements for accounting for the consumption of non-current assets and for financing the acquisition, construction or enhancement of those assets under statutory provisions.  The Account is debited with the cost of acquisition, construction or enhancement as depreciation, impairment losses and amortisations are charged to the Comprehensive Income and Expenditure Statement (with reconciling postings from the Revaluation Reserve to convert fair value figures to a historical cost basis).  The Account is credited with the amounts set aside by the Council as finance for the costs of acquisition, construction and enhancement.</w:t>
      </w:r>
    </w:p>
    <w:p w:rsidR="008922D3" w:rsidRPr="00051379" w:rsidRDefault="008922D3" w:rsidP="008922D3">
      <w:pPr>
        <w:pStyle w:val="ExampleText"/>
        <w:ind w:left="0"/>
        <w:rPr>
          <w:rFonts w:ascii="Arial" w:hAnsi="Arial" w:cs="Arial"/>
          <w:color w:val="auto"/>
        </w:rPr>
      </w:pPr>
      <w:r w:rsidRPr="00051379">
        <w:rPr>
          <w:rFonts w:ascii="Arial" w:hAnsi="Arial" w:cs="Arial"/>
          <w:color w:val="auto"/>
        </w:rPr>
        <w:t>The Account contains accumulated gains and losses on Investment Properties and accumulated losses on Assets held for Sale that have yet to be consumed by the Council. The Account also contains revaluation gains accumulated on non current assets before 1 April 2007, the date that the Revaluation Reserve was created to hold such gains. Note 7 contains details of the source of all the transactions posted to the Account, apart from those involving the Revaluation Reserve.</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rPr>
      </w:pPr>
    </w:p>
    <w:p w:rsidR="00A809DE" w:rsidRPr="00051379" w:rsidRDefault="00E51139" w:rsidP="00E769F5">
      <w:pPr>
        <w:pStyle w:val="BodyTextIndent"/>
        <w:tabs>
          <w:tab w:val="left" w:pos="1350"/>
        </w:tabs>
        <w:ind w:left="0"/>
        <w:rPr>
          <w:snapToGrid w:val="0"/>
          <w:color w:val="auto"/>
          <w:sz w:val="20"/>
          <w:szCs w:val="20"/>
        </w:rPr>
      </w:pPr>
      <w:r w:rsidRPr="00051379">
        <w:rPr>
          <w:b/>
          <w:color w:val="auto"/>
          <w:sz w:val="20"/>
          <w:szCs w:val="20"/>
        </w:rPr>
        <w:t>Capital Financing Requirement -</w:t>
      </w:r>
      <w:r w:rsidRPr="00051379">
        <w:rPr>
          <w:color w:val="auto"/>
          <w:sz w:val="20"/>
          <w:szCs w:val="20"/>
        </w:rPr>
        <w:t xml:space="preserve"> T</w:t>
      </w:r>
      <w:r w:rsidRPr="00051379">
        <w:rPr>
          <w:snapToGrid w:val="0"/>
          <w:color w:val="auto"/>
          <w:sz w:val="20"/>
          <w:szCs w:val="20"/>
        </w:rPr>
        <w:t>he Capital Financing Requirement shows the underlying need to borrow as a result of capital investment and resources set aside in the year. The CFR was introduced from 1 April 2004 by the Prudential Code for Capital Finance and reflects the movement in the Balance Sheet Accounts for Fixed Assets, Capital Financing Account, Government Grants Deferred and the Fixed Asset Restatement Account.</w:t>
      </w:r>
    </w:p>
    <w:p w:rsidR="00A809DE" w:rsidRPr="00051379" w:rsidRDefault="00A809DE" w:rsidP="00E769F5">
      <w:pPr>
        <w:pStyle w:val="BodyTextIndent"/>
        <w:tabs>
          <w:tab w:val="left" w:pos="1350"/>
        </w:tabs>
        <w:ind w:left="0"/>
        <w:rPr>
          <w:b/>
          <w:snapToGrid w:val="0"/>
          <w:color w:val="auto"/>
          <w:sz w:val="20"/>
          <w:szCs w:val="20"/>
        </w:rPr>
      </w:pPr>
      <w:r w:rsidRPr="00051379">
        <w:rPr>
          <w:b/>
          <w:snapToGrid w:val="0"/>
          <w:color w:val="auto"/>
          <w:sz w:val="20"/>
          <w:szCs w:val="20"/>
        </w:rPr>
        <w:lastRenderedPageBreak/>
        <w:t xml:space="preserve">Capital Grants and Contributions Unapplied Reserve - </w:t>
      </w:r>
      <w:r w:rsidRPr="00051379">
        <w:rPr>
          <w:snapToGrid w:val="0"/>
          <w:color w:val="auto"/>
          <w:sz w:val="20"/>
          <w:szCs w:val="20"/>
        </w:rPr>
        <w:t xml:space="preserve">This reserve holds the balance of any capital grants and contributions at the end of each financial year that have been received and recognised as income in the Comprehensive Income and Expenditure Account but not yet applied to finance capital expenditure. </w:t>
      </w:r>
    </w:p>
    <w:p w:rsidR="00E51139" w:rsidRPr="00051379" w:rsidRDefault="00E51139" w:rsidP="00E769F5">
      <w:pPr>
        <w:pStyle w:val="PlainText"/>
        <w:spacing w:line="240" w:lineRule="atLeast"/>
        <w:rPr>
          <w:rFonts w:ascii="Arial" w:hAnsi="Arial"/>
        </w:rPr>
      </w:pPr>
      <w:r w:rsidRPr="00051379">
        <w:rPr>
          <w:rFonts w:ascii="Arial" w:hAnsi="Arial"/>
          <w:b/>
        </w:rPr>
        <w:t>Capital Receipts</w:t>
      </w:r>
      <w:r w:rsidRPr="00051379">
        <w:rPr>
          <w:rFonts w:ascii="Arial" w:hAnsi="Arial"/>
        </w:rPr>
        <w:t xml:space="preserve"> - money received from the sale of assets or the repayment of grants and loans which is available for financing future capital expenditure. </w:t>
      </w:r>
    </w:p>
    <w:p w:rsidR="00882A59" w:rsidRPr="00051379" w:rsidRDefault="00882A59" w:rsidP="00882A59">
      <w:pPr>
        <w:pStyle w:val="ExampleText"/>
        <w:ind w:left="0"/>
        <w:rPr>
          <w:rFonts w:ascii="Arial" w:hAnsi="Arial" w:cs="Arial"/>
          <w:color w:val="auto"/>
        </w:rPr>
      </w:pPr>
      <w:r w:rsidRPr="00051379">
        <w:rPr>
          <w:rFonts w:ascii="Arial" w:hAnsi="Arial" w:cs="Arial"/>
          <w:b/>
          <w:color w:val="auto"/>
        </w:rPr>
        <w:t>Capital Receipts Reserve</w:t>
      </w:r>
      <w:r w:rsidRPr="00051379">
        <w:rPr>
          <w:rFonts w:ascii="Arial" w:hAnsi="Arial" w:cs="Arial"/>
          <w:color w:val="auto"/>
        </w:rPr>
        <w:t xml:space="preserve"> -  This reserve holds the balance of any capital receipts at the end of each financial year that have been received and recognised as income in the Comprehensive Income and Expenditure Account but not yet applied to finance capital expenditure.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rPr>
      </w:pPr>
      <w:r w:rsidRPr="00051379">
        <w:rPr>
          <w:rFonts w:ascii="Arial" w:hAnsi="Arial"/>
          <w:b/>
        </w:rPr>
        <w:t xml:space="preserve">Cash &amp; Cash Equivalents – </w:t>
      </w:r>
      <w:r w:rsidRPr="00051379">
        <w:rPr>
          <w:rFonts w:ascii="Arial" w:hAnsi="Arial"/>
        </w:rPr>
        <w:t>cash, bank balances and short term investments that are held for the primary purpose of short term cash flow purposes and not for investment purposes.</w:t>
      </w:r>
    </w:p>
    <w:p w:rsidR="00E51139" w:rsidRPr="00051379" w:rsidRDefault="00E51139" w:rsidP="00E769F5">
      <w:pPr>
        <w:pStyle w:val="PlainText"/>
        <w:spacing w:line="240" w:lineRule="atLeast"/>
        <w:rPr>
          <w:rFonts w:ascii="Arial" w:hAnsi="Arial"/>
        </w:rPr>
      </w:pPr>
    </w:p>
    <w:p w:rsidR="00F24962" w:rsidRPr="00F24962" w:rsidRDefault="00F24962" w:rsidP="00E769F5">
      <w:pPr>
        <w:pStyle w:val="PlainText"/>
        <w:spacing w:line="240" w:lineRule="atLeast"/>
        <w:rPr>
          <w:rFonts w:ascii="Arial" w:hAnsi="Arial"/>
        </w:rPr>
      </w:pPr>
      <w:r>
        <w:rPr>
          <w:rFonts w:ascii="Arial" w:hAnsi="Arial"/>
          <w:b/>
        </w:rPr>
        <w:t xml:space="preserve">CCG - </w:t>
      </w:r>
      <w:r w:rsidRPr="00F24962">
        <w:rPr>
          <w:rFonts w:ascii="Arial" w:hAnsi="Arial"/>
        </w:rPr>
        <w:t xml:space="preserve">The NHS Torbay and South Devon </w:t>
      </w:r>
      <w:r w:rsidR="007E33E1" w:rsidRPr="00F24962">
        <w:rPr>
          <w:rFonts w:ascii="Arial" w:hAnsi="Arial"/>
        </w:rPr>
        <w:t>Clinical</w:t>
      </w:r>
      <w:r w:rsidRPr="00F24962">
        <w:rPr>
          <w:rFonts w:ascii="Arial" w:hAnsi="Arial"/>
        </w:rPr>
        <w:t xml:space="preserve"> </w:t>
      </w:r>
      <w:r w:rsidR="007E33E1">
        <w:rPr>
          <w:rFonts w:ascii="Arial" w:hAnsi="Arial"/>
        </w:rPr>
        <w:t>Commissioning</w:t>
      </w:r>
      <w:r w:rsidRPr="00F24962">
        <w:rPr>
          <w:rFonts w:ascii="Arial" w:hAnsi="Arial"/>
        </w:rPr>
        <w:t xml:space="preserve"> Group. The NHS body responsible for the </w:t>
      </w:r>
      <w:r w:rsidR="007E33E1" w:rsidRPr="00F24962">
        <w:rPr>
          <w:rFonts w:ascii="Arial" w:hAnsi="Arial"/>
        </w:rPr>
        <w:t>commissioning</w:t>
      </w:r>
      <w:r w:rsidRPr="00F24962">
        <w:rPr>
          <w:rFonts w:ascii="Arial" w:hAnsi="Arial"/>
        </w:rPr>
        <w:t xml:space="preserve"> o</w:t>
      </w:r>
      <w:r>
        <w:rPr>
          <w:rFonts w:ascii="Arial" w:hAnsi="Arial"/>
        </w:rPr>
        <w:t>f</w:t>
      </w:r>
      <w:r w:rsidRPr="00F24962">
        <w:rPr>
          <w:rFonts w:ascii="Arial" w:hAnsi="Arial"/>
        </w:rPr>
        <w:t xml:space="preserve"> health services in Torbay.</w:t>
      </w:r>
    </w:p>
    <w:p w:rsidR="00F24962" w:rsidRDefault="00F24962"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b/>
        </w:rPr>
      </w:pPr>
      <w:r w:rsidRPr="00051379">
        <w:rPr>
          <w:rFonts w:ascii="Arial" w:hAnsi="Arial"/>
          <w:b/>
        </w:rPr>
        <w:t xml:space="preserve">CIPFA – </w:t>
      </w:r>
      <w:r w:rsidRPr="00051379">
        <w:rPr>
          <w:rFonts w:ascii="Arial" w:hAnsi="Arial"/>
        </w:rPr>
        <w:t>The Chartered Institute of Public Finance and Accountancy – the accounting institute that helps regulate and support accountants in the public sector.</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b/>
        </w:rPr>
      </w:pPr>
      <w:r w:rsidRPr="00051379">
        <w:rPr>
          <w:rFonts w:ascii="Arial" w:hAnsi="Arial"/>
          <w:b/>
        </w:rPr>
        <w:t xml:space="preserve">Code – </w:t>
      </w:r>
      <w:r w:rsidRPr="00051379">
        <w:rPr>
          <w:rFonts w:ascii="Arial" w:hAnsi="Arial"/>
        </w:rPr>
        <w:t>The CIPFA Accounting Code of Practice – the guidance for Council’s in producing their IFRS compliant accounts.</w:t>
      </w:r>
    </w:p>
    <w:p w:rsidR="00616E75" w:rsidRPr="00051379" w:rsidRDefault="00616E75" w:rsidP="00616E75">
      <w:pPr>
        <w:pStyle w:val="ExampleText"/>
        <w:ind w:left="0"/>
        <w:rPr>
          <w:rFonts w:ascii="Arial" w:hAnsi="Arial" w:cs="Arial"/>
          <w:color w:val="auto"/>
        </w:rPr>
      </w:pPr>
      <w:r w:rsidRPr="00051379">
        <w:rPr>
          <w:rFonts w:ascii="Arial" w:hAnsi="Arial" w:cs="Arial"/>
          <w:b/>
          <w:color w:val="auto"/>
        </w:rPr>
        <w:t>Collection Fund Adjustment Account</w:t>
      </w:r>
      <w:r w:rsidRPr="00051379">
        <w:rPr>
          <w:rFonts w:ascii="Arial" w:hAnsi="Arial" w:cs="Arial"/>
          <w:color w:val="auto"/>
        </w:rPr>
        <w:t xml:space="preserve"> - The Collection Fund Adjustment Account manages the differences arising from the recognition of council tax and (from 2013/14) NNDR income in the Comprehensive Income and Expenditure Statement as it falls due from council tax payers compared with the statutory arrangements for paying across amounts to the General Fund from the Collection Fund.</w:t>
      </w:r>
    </w:p>
    <w:p w:rsidR="00A24B28" w:rsidRPr="00051379" w:rsidRDefault="00A24B28" w:rsidP="00E769F5">
      <w:pPr>
        <w:pStyle w:val="PlainText"/>
        <w:spacing w:line="240" w:lineRule="atLeast"/>
        <w:rPr>
          <w:rFonts w:ascii="Arial" w:hAnsi="Arial"/>
          <w:b/>
        </w:rPr>
      </w:pPr>
    </w:p>
    <w:p w:rsidR="00A24B28" w:rsidRPr="00051379" w:rsidRDefault="009224FE" w:rsidP="009224FE">
      <w:pPr>
        <w:autoSpaceDE w:val="0"/>
        <w:autoSpaceDN w:val="0"/>
        <w:rPr>
          <w:rFonts w:eastAsia="Times New Roman" w:cs="Arial"/>
          <w:color w:val="auto"/>
          <w:sz w:val="20"/>
          <w:szCs w:val="20"/>
          <w:lang w:eastAsia="en-GB"/>
        </w:rPr>
      </w:pPr>
      <w:r w:rsidRPr="00051379">
        <w:rPr>
          <w:rFonts w:eastAsia="Times New Roman" w:cs="Arial"/>
          <w:b/>
          <w:color w:val="auto"/>
          <w:sz w:val="20"/>
          <w:szCs w:val="20"/>
          <w:lang w:eastAsia="en-GB"/>
        </w:rPr>
        <w:t>C</w:t>
      </w:r>
      <w:r w:rsidR="00A24B28" w:rsidRPr="00051379">
        <w:rPr>
          <w:rFonts w:eastAsia="Times New Roman" w:cs="Arial"/>
          <w:b/>
          <w:color w:val="auto"/>
          <w:sz w:val="20"/>
          <w:szCs w:val="20"/>
          <w:lang w:eastAsia="en-GB"/>
        </w:rPr>
        <w:t xml:space="preserve">ontingent asset </w:t>
      </w:r>
      <w:r w:rsidRPr="00051379">
        <w:rPr>
          <w:rFonts w:eastAsia="Times New Roman" w:cs="Arial"/>
          <w:b/>
          <w:color w:val="auto"/>
          <w:sz w:val="20"/>
          <w:szCs w:val="20"/>
          <w:lang w:eastAsia="en-GB"/>
        </w:rPr>
        <w:t>-</w:t>
      </w:r>
      <w:r w:rsidRPr="00051379">
        <w:rPr>
          <w:rFonts w:eastAsia="Times New Roman" w:cs="Arial"/>
          <w:color w:val="auto"/>
          <w:sz w:val="20"/>
          <w:szCs w:val="20"/>
          <w:lang w:eastAsia="en-GB"/>
        </w:rPr>
        <w:t xml:space="preserve"> </w:t>
      </w:r>
      <w:r w:rsidR="00A24B28" w:rsidRPr="00051379">
        <w:rPr>
          <w:rFonts w:eastAsia="Times New Roman" w:cs="Arial"/>
          <w:color w:val="auto"/>
          <w:sz w:val="20"/>
          <w:szCs w:val="20"/>
          <w:lang w:eastAsia="en-GB"/>
        </w:rPr>
        <w:t>arises where an event has taken place that gives the Council a possible asset whose existence will only be confirmed by the occurrence or otherwise of uncertain future events not wholly within the control of the Council.</w:t>
      </w:r>
    </w:p>
    <w:p w:rsidR="00A24B28" w:rsidRPr="00051379" w:rsidRDefault="009224FE" w:rsidP="00E769F5">
      <w:pPr>
        <w:pStyle w:val="PlainText"/>
        <w:spacing w:line="240" w:lineRule="atLeast"/>
        <w:rPr>
          <w:rFonts w:ascii="Arial" w:hAnsi="Arial" w:cs="Arial"/>
          <w:lang w:eastAsia="en-GB"/>
        </w:rPr>
      </w:pPr>
      <w:r w:rsidRPr="00051379">
        <w:rPr>
          <w:rFonts w:ascii="Arial" w:hAnsi="Arial" w:cs="Arial"/>
          <w:b/>
          <w:lang w:eastAsia="en-GB"/>
        </w:rPr>
        <w:t>C</w:t>
      </w:r>
      <w:r w:rsidR="00A24B28" w:rsidRPr="00051379">
        <w:rPr>
          <w:rFonts w:ascii="Arial" w:hAnsi="Arial" w:cs="Arial"/>
          <w:b/>
          <w:lang w:eastAsia="en-GB"/>
        </w:rPr>
        <w:t>ontingent liability</w:t>
      </w:r>
      <w:r w:rsidR="00A24B28" w:rsidRPr="00051379">
        <w:rPr>
          <w:rFonts w:ascii="Arial" w:hAnsi="Arial" w:cs="Arial"/>
          <w:lang w:eastAsia="en-GB"/>
        </w:rPr>
        <w:t xml:space="preserve"> </w:t>
      </w:r>
      <w:r w:rsidRPr="00051379">
        <w:rPr>
          <w:rFonts w:ascii="Arial" w:hAnsi="Arial" w:cs="Arial"/>
          <w:lang w:eastAsia="en-GB"/>
        </w:rPr>
        <w:t xml:space="preserve">- </w:t>
      </w:r>
      <w:r w:rsidR="00A24B28" w:rsidRPr="00051379">
        <w:rPr>
          <w:rFonts w:ascii="Arial" w:hAnsi="Arial" w:cs="Arial"/>
          <w:lang w:eastAsia="en-GB"/>
        </w:rPr>
        <w:t>arises where an event has taken place that gives the Council a possible obligation whose existence will only be confirmed by the occurrence or otherwise of uncertain future events not wholly within the control of the Council</w:t>
      </w:r>
    </w:p>
    <w:p w:rsidR="00A24B28" w:rsidRPr="00051379" w:rsidRDefault="00A24B28"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 xml:space="preserve">Corporate and Democratic Core </w:t>
      </w:r>
      <w:r w:rsidRPr="00051379">
        <w:rPr>
          <w:rFonts w:ascii="Arial" w:hAnsi="Arial"/>
        </w:rPr>
        <w:t>– All activities which the Council engage in specifically because they are elected, multi-purpose authorities.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Current</w:t>
      </w:r>
      <w:r w:rsidRPr="00051379">
        <w:rPr>
          <w:rFonts w:ascii="Arial" w:hAnsi="Arial"/>
        </w:rPr>
        <w:t xml:space="preserve"> – a term applied to different categories of assets and liabilities to reflect that the asset or liability will be used or incurred within twelve months.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Current Service Costs (pension)</w:t>
      </w:r>
      <w:r w:rsidRPr="00051379">
        <w:rPr>
          <w:rFonts w:ascii="Arial" w:hAnsi="Arial"/>
        </w:rPr>
        <w:t xml:space="preserve"> – The increase in the present value of a defined benefit pension scheme’s costs due to the employee service in the current period.</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 xml:space="preserve">Current Value – </w:t>
      </w:r>
      <w:r w:rsidRPr="00051379">
        <w:rPr>
          <w:rFonts w:ascii="Arial" w:hAnsi="Arial"/>
        </w:rPr>
        <w:t>The value that the majority of fixed assets are held at in the Council’s balance sheet. This value reflects the most recent valuation of that asset or pending a valuation the current value is increased by capital expenditure on that asset.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Curtailmen</w:t>
      </w:r>
      <w:r w:rsidRPr="00051379">
        <w:rPr>
          <w:rFonts w:ascii="Arial" w:hAnsi="Arial"/>
        </w:rPr>
        <w:t>t – For a defined benefit pension scheme, an event that reduces the expected years of future service of employees.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Creditors</w:t>
      </w:r>
      <w:r w:rsidRPr="00051379">
        <w:rPr>
          <w:rFonts w:ascii="Arial" w:hAnsi="Arial"/>
        </w:rPr>
        <w:t xml:space="preserve"> - amounts owed by the Council for work done, goods received or services rendered but for which payment had not been made by the end of the year.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D</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DCLG</w:t>
      </w:r>
      <w:r w:rsidRPr="00051379">
        <w:rPr>
          <w:rFonts w:ascii="Arial" w:hAnsi="Arial"/>
        </w:rPr>
        <w:t xml:space="preserve"> – the Department for Communities and Local Government, the central government department responsible for local government.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DfE</w:t>
      </w:r>
      <w:r w:rsidRPr="00051379">
        <w:rPr>
          <w:rFonts w:ascii="Arial" w:hAnsi="Arial"/>
        </w:rPr>
        <w:t xml:space="preserve"> – the Department of Education, the central government department responsible for a number of service including schools. (Formerly the DCSF – Department for Childrens, Schools and Families).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Debtors</w:t>
      </w:r>
      <w:r w:rsidRPr="00051379">
        <w:rPr>
          <w:rFonts w:ascii="Arial" w:hAnsi="Arial"/>
        </w:rPr>
        <w:t xml:space="preserve"> - sums of money due to the Council but unpaid at the end of the year.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Defined contribution / defined benefit schemes (Pension costs)</w:t>
      </w:r>
      <w:r w:rsidRPr="00051379">
        <w:rPr>
          <w:rFonts w:ascii="Arial" w:hAnsi="Arial"/>
        </w:rPr>
        <w:t xml:space="preserve"> – There is an important distinction between defined contribution and defined benefit schemes in terms of pension accounting.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ind w:left="540"/>
        <w:rPr>
          <w:rFonts w:ascii="Arial" w:hAnsi="Arial"/>
          <w:b/>
        </w:rPr>
      </w:pPr>
      <w:r w:rsidRPr="00051379">
        <w:rPr>
          <w:rFonts w:ascii="Arial" w:hAnsi="Arial"/>
          <w:b/>
        </w:rPr>
        <w:t xml:space="preserve">Defined contribution: </w:t>
      </w:r>
    </w:p>
    <w:p w:rsidR="00E51139" w:rsidRPr="00051379" w:rsidRDefault="00E51139" w:rsidP="00E769F5">
      <w:pPr>
        <w:pStyle w:val="PlainText"/>
        <w:spacing w:line="240" w:lineRule="atLeast"/>
        <w:ind w:left="540"/>
        <w:rPr>
          <w:rFonts w:ascii="Arial" w:hAnsi="Arial"/>
        </w:rPr>
      </w:pPr>
      <w:r w:rsidRPr="00051379">
        <w:rPr>
          <w:rFonts w:ascii="Arial" w:hAnsi="Arial"/>
        </w:rPr>
        <w:t xml:space="preserve">• employer pays fixed amounts into the scheme and has no obligation to pay further amounts if the scheme does not have sufficient assets to pay employee benefits </w:t>
      </w:r>
    </w:p>
    <w:p w:rsidR="00E51139" w:rsidRPr="00051379" w:rsidRDefault="00E51139" w:rsidP="00E769F5">
      <w:pPr>
        <w:pStyle w:val="PlainText"/>
        <w:spacing w:line="240" w:lineRule="atLeast"/>
        <w:ind w:left="540"/>
        <w:rPr>
          <w:rFonts w:ascii="Arial" w:hAnsi="Arial"/>
        </w:rPr>
      </w:pPr>
      <w:r w:rsidRPr="00051379">
        <w:rPr>
          <w:rFonts w:ascii="Arial" w:hAnsi="Arial"/>
        </w:rPr>
        <w:t xml:space="preserve">• accounted for by charging employer contributions to revenue as they become payable </w:t>
      </w:r>
    </w:p>
    <w:p w:rsidR="00E51139" w:rsidRPr="00051379" w:rsidRDefault="00E51139" w:rsidP="00E769F5">
      <w:pPr>
        <w:pStyle w:val="PlainText"/>
        <w:spacing w:line="240" w:lineRule="atLeast"/>
        <w:ind w:left="540"/>
        <w:rPr>
          <w:rFonts w:ascii="Arial" w:hAnsi="Arial"/>
        </w:rPr>
      </w:pPr>
    </w:p>
    <w:p w:rsidR="00E51139" w:rsidRPr="00051379" w:rsidRDefault="00E51139" w:rsidP="00E769F5">
      <w:pPr>
        <w:pStyle w:val="PlainText"/>
        <w:spacing w:line="240" w:lineRule="atLeast"/>
        <w:ind w:left="540"/>
        <w:rPr>
          <w:rFonts w:ascii="Arial" w:hAnsi="Arial"/>
          <w:b/>
        </w:rPr>
      </w:pPr>
      <w:r w:rsidRPr="00051379">
        <w:rPr>
          <w:rFonts w:ascii="Arial" w:hAnsi="Arial"/>
          <w:b/>
        </w:rPr>
        <w:t xml:space="preserve">Defined benefit: </w:t>
      </w:r>
    </w:p>
    <w:p w:rsidR="00E51139" w:rsidRPr="00051379" w:rsidRDefault="00E51139" w:rsidP="00E769F5">
      <w:pPr>
        <w:pStyle w:val="PlainText"/>
        <w:spacing w:line="240" w:lineRule="atLeast"/>
        <w:ind w:left="540"/>
        <w:rPr>
          <w:rFonts w:ascii="Arial" w:hAnsi="Arial"/>
        </w:rPr>
      </w:pPr>
      <w:r w:rsidRPr="00051379">
        <w:rPr>
          <w:rFonts w:ascii="Arial" w:hAnsi="Arial"/>
        </w:rPr>
        <w:t xml:space="preserve">• retirement benefits are determined independently of the investments of the scheme and employers have obligations to make contributions where assets are insufficient to meet employee benefits </w:t>
      </w:r>
    </w:p>
    <w:p w:rsidR="00E51139" w:rsidRPr="00051379" w:rsidRDefault="00E51139" w:rsidP="00E769F5">
      <w:pPr>
        <w:pStyle w:val="PlainText"/>
        <w:spacing w:line="240" w:lineRule="atLeast"/>
        <w:ind w:left="540"/>
        <w:rPr>
          <w:rFonts w:ascii="Arial" w:hAnsi="Arial"/>
        </w:rPr>
      </w:pPr>
      <w:r w:rsidRPr="00051379">
        <w:rPr>
          <w:rFonts w:ascii="Arial" w:hAnsi="Arial"/>
        </w:rPr>
        <w:t>• accounted for by recognising liabilities as benefits are earned (</w:t>
      </w:r>
      <w:r w:rsidR="007E33E1" w:rsidRPr="00051379">
        <w:rPr>
          <w:rFonts w:ascii="Arial" w:hAnsi="Arial"/>
        </w:rPr>
        <w:t>i.e.</w:t>
      </w:r>
      <w:r w:rsidRPr="00051379">
        <w:rPr>
          <w:rFonts w:ascii="Arial" w:hAnsi="Arial"/>
        </w:rPr>
        <w:t xml:space="preserve"> employees work qualifying years of service), matching them with the organisations attributable share of the scheme’s investments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Depreciation</w:t>
      </w:r>
      <w:r w:rsidRPr="00051379">
        <w:rPr>
          <w:rFonts w:ascii="Arial" w:hAnsi="Arial"/>
        </w:rPr>
        <w:t xml:space="preserve"> - Amounts set aside from the revenue </w:t>
      </w:r>
      <w:r w:rsidR="007E33E1" w:rsidRPr="00051379">
        <w:rPr>
          <w:rFonts w:ascii="Arial" w:hAnsi="Arial"/>
        </w:rPr>
        <w:t>account which represents</w:t>
      </w:r>
      <w:r w:rsidRPr="00051379">
        <w:rPr>
          <w:rFonts w:ascii="Arial" w:hAnsi="Arial"/>
        </w:rPr>
        <w:t xml:space="preserve"> the wearing out, consumption of loss of value of a fixed asset spread over the useful life of the asset.</w:t>
      </w:r>
    </w:p>
    <w:p w:rsidR="00E51139" w:rsidRPr="00051379" w:rsidRDefault="00E51139" w:rsidP="00E769F5">
      <w:pPr>
        <w:pStyle w:val="PlainText"/>
        <w:spacing w:line="240" w:lineRule="atLeast"/>
        <w:rPr>
          <w:rFonts w:ascii="Arial" w:hAnsi="Arial"/>
        </w:rPr>
      </w:pPr>
    </w:p>
    <w:p w:rsidR="00531C48" w:rsidRPr="00051379" w:rsidRDefault="00531C48" w:rsidP="00E769F5">
      <w:pPr>
        <w:pStyle w:val="PlainText"/>
        <w:spacing w:line="240" w:lineRule="atLeast"/>
        <w:rPr>
          <w:rFonts w:ascii="Arial" w:hAnsi="Arial"/>
        </w:rPr>
      </w:pPr>
      <w:r w:rsidRPr="00051379">
        <w:rPr>
          <w:rFonts w:ascii="Arial" w:hAnsi="Arial"/>
          <w:b/>
        </w:rPr>
        <w:t xml:space="preserve">Discount Rate – </w:t>
      </w:r>
      <w:r w:rsidRPr="00051379">
        <w:rPr>
          <w:rFonts w:ascii="Arial" w:hAnsi="Arial"/>
        </w:rPr>
        <w:t>A high quality corporate bond rate (usually AA) that the pension actuary uses to est</w:t>
      </w:r>
      <w:r w:rsidR="00476B2A" w:rsidRPr="00051379">
        <w:rPr>
          <w:rFonts w:ascii="Arial" w:hAnsi="Arial"/>
        </w:rPr>
        <w:t xml:space="preserve">imate </w:t>
      </w:r>
      <w:r w:rsidRPr="00051379">
        <w:rPr>
          <w:rFonts w:ascii="Arial" w:hAnsi="Arial"/>
        </w:rPr>
        <w:t xml:space="preserve">the value of the pension </w:t>
      </w:r>
      <w:r w:rsidR="007E33E1" w:rsidRPr="00051379">
        <w:rPr>
          <w:rFonts w:ascii="Arial" w:hAnsi="Arial"/>
        </w:rPr>
        <w:t>liability</w:t>
      </w:r>
    </w:p>
    <w:p w:rsidR="00531C48" w:rsidRPr="00051379" w:rsidRDefault="00531C48"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DWP</w:t>
      </w:r>
      <w:r w:rsidRPr="00051379">
        <w:rPr>
          <w:rFonts w:ascii="Arial" w:hAnsi="Arial"/>
        </w:rPr>
        <w:t xml:space="preserve"> – the Department of Work and Pensions – a central govern</w:t>
      </w:r>
      <w:r w:rsidR="003426EF" w:rsidRPr="00051379">
        <w:rPr>
          <w:rFonts w:ascii="Arial" w:hAnsi="Arial"/>
        </w:rPr>
        <w:t>ment</w:t>
      </w:r>
      <w:r w:rsidRPr="00051379">
        <w:rPr>
          <w:rFonts w:ascii="Arial" w:hAnsi="Arial"/>
        </w:rPr>
        <w:t xml:space="preserve"> department that deals primarily with welfare benefits.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E</w:t>
      </w:r>
    </w:p>
    <w:p w:rsidR="00E51139" w:rsidRPr="00051379" w:rsidRDefault="00E51139" w:rsidP="00E769F5">
      <w:pPr>
        <w:pStyle w:val="PlainText"/>
        <w:spacing w:line="240" w:lineRule="atLeast"/>
        <w:rPr>
          <w:rFonts w:ascii="Arial" w:hAnsi="Arial"/>
        </w:rPr>
      </w:pPr>
    </w:p>
    <w:p w:rsidR="00B7241B" w:rsidRPr="00051379" w:rsidRDefault="00B7241B" w:rsidP="00E769F5">
      <w:pPr>
        <w:pStyle w:val="PlainText"/>
        <w:spacing w:line="240" w:lineRule="atLeast"/>
        <w:rPr>
          <w:rFonts w:ascii="Arial" w:hAnsi="Arial"/>
          <w:b/>
        </w:rPr>
      </w:pPr>
      <w:r w:rsidRPr="00051379">
        <w:rPr>
          <w:rFonts w:ascii="Arial" w:hAnsi="Arial"/>
          <w:b/>
        </w:rPr>
        <w:t xml:space="preserve">EFW – </w:t>
      </w:r>
      <w:r w:rsidRPr="00051379">
        <w:rPr>
          <w:rFonts w:ascii="Arial" w:hAnsi="Arial"/>
        </w:rPr>
        <w:t xml:space="preserve">Energy From Waste </w:t>
      </w:r>
      <w:r w:rsidR="00FB0739" w:rsidRPr="00051379">
        <w:rPr>
          <w:rFonts w:ascii="Arial" w:hAnsi="Arial"/>
        </w:rPr>
        <w:t>facility</w:t>
      </w:r>
      <w:r w:rsidRPr="00051379">
        <w:rPr>
          <w:rFonts w:ascii="Arial" w:hAnsi="Arial"/>
        </w:rPr>
        <w:t>, opened in April 2015 in Plymouth that disposes</w:t>
      </w:r>
      <w:r w:rsidR="00FB0739" w:rsidRPr="00051379">
        <w:rPr>
          <w:rFonts w:ascii="Arial" w:hAnsi="Arial"/>
        </w:rPr>
        <w:t xml:space="preserve"> </w:t>
      </w:r>
      <w:r w:rsidRPr="00051379">
        <w:rPr>
          <w:rFonts w:ascii="Arial" w:hAnsi="Arial"/>
        </w:rPr>
        <w:t>of Torbay’s domestic waste</w:t>
      </w:r>
      <w:r w:rsidRPr="00051379">
        <w:rPr>
          <w:rFonts w:ascii="Arial" w:hAnsi="Arial"/>
          <w:b/>
        </w:rPr>
        <w:t xml:space="preserve"> </w:t>
      </w:r>
    </w:p>
    <w:p w:rsidR="00B7241B" w:rsidRPr="00051379" w:rsidRDefault="00B7241B"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 xml:space="preserve">ERTC </w:t>
      </w:r>
      <w:r w:rsidRPr="00051379">
        <w:rPr>
          <w:rFonts w:ascii="Arial" w:hAnsi="Arial"/>
        </w:rPr>
        <w:t>– English Riviera Tourism Company Ltd. A subsidiary of Torbay Council</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Exceptional Items</w:t>
      </w:r>
      <w:r w:rsidRPr="00051379">
        <w:rPr>
          <w:rFonts w:ascii="Arial" w:hAnsi="Arial"/>
        </w:rPr>
        <w:t xml:space="preserve"> – Events or transactions that fall within the ordinary activities of the Council and need to be disclosed separately due to their size to give fair presentation of the accounts.</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Expected Rate of Return on Pension Assets</w:t>
      </w:r>
      <w:r w:rsidRPr="00051379">
        <w:rPr>
          <w:rFonts w:ascii="Arial" w:hAnsi="Arial"/>
        </w:rPr>
        <w:t xml:space="preserve"> – The average rate of return, including income but net of scheme expenses, expected over the remaining life of the pension.</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Extraordinary Items</w:t>
      </w:r>
      <w:r w:rsidRPr="00051379">
        <w:rPr>
          <w:rFonts w:ascii="Arial" w:hAnsi="Arial"/>
        </w:rPr>
        <w:t xml:space="preserve"> – Abnormal material </w:t>
      </w:r>
      <w:r w:rsidR="007E33E1" w:rsidRPr="00051379">
        <w:rPr>
          <w:rFonts w:ascii="Arial" w:hAnsi="Arial"/>
        </w:rPr>
        <w:t>items</w:t>
      </w:r>
      <w:r w:rsidRPr="00051379">
        <w:rPr>
          <w:rFonts w:ascii="Arial" w:hAnsi="Arial"/>
        </w:rPr>
        <w:t xml:space="preserve"> are those which fall outside the ordinary activities of the Council and which are not expected to recur.</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F</w:t>
      </w:r>
    </w:p>
    <w:p w:rsidR="00E51139" w:rsidRPr="00051379" w:rsidRDefault="00E51139" w:rsidP="00E769F5">
      <w:pPr>
        <w:pStyle w:val="PlainText"/>
        <w:spacing w:line="240" w:lineRule="atLeast"/>
        <w:rPr>
          <w:rFonts w:ascii="Arial" w:hAnsi="Arial"/>
        </w:rPr>
      </w:pPr>
    </w:p>
    <w:p w:rsidR="00E51139" w:rsidRDefault="00E51139" w:rsidP="00E769F5">
      <w:pPr>
        <w:pStyle w:val="PlainText"/>
        <w:spacing w:line="240" w:lineRule="atLeast"/>
        <w:rPr>
          <w:rFonts w:ascii="Arial" w:hAnsi="Arial"/>
        </w:rPr>
      </w:pPr>
      <w:r w:rsidRPr="00051379">
        <w:rPr>
          <w:rFonts w:ascii="Arial" w:hAnsi="Arial"/>
          <w:b/>
        </w:rPr>
        <w:t>Fair Value</w:t>
      </w:r>
      <w:r w:rsidRPr="00051379">
        <w:rPr>
          <w:rFonts w:ascii="Arial" w:hAnsi="Arial"/>
        </w:rPr>
        <w:t xml:space="preserve"> – </w:t>
      </w:r>
      <w:r w:rsidR="00B07921" w:rsidRPr="00B07921">
        <w:rPr>
          <w:rFonts w:ascii="Arial" w:hAnsi="Arial"/>
        </w:rPr>
        <w:t xml:space="preserve">the price that would be received to sell an asset or paid to transfer a </w:t>
      </w:r>
      <w:r w:rsidR="00B07921" w:rsidRPr="00B07921">
        <w:rPr>
          <w:rFonts w:ascii="Arial" w:hAnsi="Arial"/>
        </w:rPr>
        <w:tab/>
        <w:t>liability in an orderly transaction between market participants at the measurement date</w:t>
      </w:r>
      <w:r w:rsidR="00B07921" w:rsidRPr="00051379">
        <w:rPr>
          <w:rFonts w:ascii="Arial" w:hAnsi="Arial"/>
        </w:rPr>
        <w:t xml:space="preserve"> </w:t>
      </w:r>
    </w:p>
    <w:p w:rsidR="00B07921" w:rsidRPr="00051379" w:rsidRDefault="00B07921"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Fair Value through Profit and Loss</w:t>
      </w:r>
      <w:r w:rsidRPr="00051379">
        <w:rPr>
          <w:rFonts w:ascii="Arial" w:hAnsi="Arial"/>
        </w:rPr>
        <w:t xml:space="preserve"> – A classification of a type of financial asset. The Council’s fund manager holding as been designated into this category as this holding meets the definition of this type of financial instrument – I.e. the holding is part of a portfolio of investments managed as a whole.</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Finance Lease</w:t>
      </w:r>
      <w:r w:rsidRPr="00051379">
        <w:rPr>
          <w:rFonts w:ascii="Arial" w:hAnsi="Arial"/>
        </w:rPr>
        <w:t xml:space="preserve"> – A finance lease is a lease that transfers substantially all the risks and rewards of ownership of an asset to the lessee. Accounting guidance requires that it should be presumed that such a transfer of risks and rewards occurs if at the inception of a lease the present value of the minimum lease payments including any initial payment, amounts to substantially all (normally ninety per cent or more) of the fair value of the leased asset. The present value is calculated by using the interest rate implicit in the lease.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rPr>
      </w:pPr>
      <w:r w:rsidRPr="00051379">
        <w:rPr>
          <w:rFonts w:ascii="Arial" w:hAnsi="Arial"/>
          <w:b/>
        </w:rPr>
        <w:t xml:space="preserve">Financial Instrument – </w:t>
      </w:r>
      <w:r w:rsidRPr="00051379">
        <w:rPr>
          <w:rFonts w:ascii="Arial" w:hAnsi="Arial"/>
        </w:rPr>
        <w:t>a general term relating to a number of contractual arrangements, such as investments, borrowing, debtors and creditors, that a Council may incur. Based on this classification there are a number of additional accounting requirements relating to the fair value of an arrangement which may be different to the contractual amount due to an assessment of risk or value.</w:t>
      </w:r>
    </w:p>
    <w:p w:rsidR="00E51139" w:rsidRPr="00051379" w:rsidRDefault="00E51139" w:rsidP="00E769F5">
      <w:pPr>
        <w:pStyle w:val="PlainText"/>
        <w:spacing w:line="240" w:lineRule="atLeast"/>
        <w:rPr>
          <w:rFonts w:ascii="Arial" w:hAnsi="Arial"/>
        </w:rPr>
      </w:pPr>
    </w:p>
    <w:p w:rsidR="00386CD2" w:rsidRPr="00051379" w:rsidRDefault="00386CD2" w:rsidP="00386CD2">
      <w:pPr>
        <w:pStyle w:val="ExampleText"/>
        <w:ind w:left="0"/>
        <w:outlineLvl w:val="0"/>
        <w:rPr>
          <w:rFonts w:ascii="Arial" w:hAnsi="Arial" w:cs="Arial"/>
          <w:color w:val="auto"/>
        </w:rPr>
      </w:pPr>
      <w:r w:rsidRPr="00051379">
        <w:rPr>
          <w:rFonts w:ascii="Arial" w:hAnsi="Arial" w:cs="Arial"/>
          <w:b/>
          <w:color w:val="auto"/>
        </w:rPr>
        <w:t>Financial Instruments Adjustment Account</w:t>
      </w:r>
      <w:r w:rsidRPr="00051379">
        <w:rPr>
          <w:rFonts w:ascii="Arial" w:hAnsi="Arial" w:cs="Arial"/>
          <w:color w:val="auto"/>
        </w:rPr>
        <w:t xml:space="preserve"> - The Financial Instruments Adjustment Account absorbs the timing differences arising from the different arrangements for accounting for income and expenses relating to certain financial instruments such as the fair value of guarantees and for bearing losses or benefiting from gains per statutory provisions.  </w:t>
      </w:r>
    </w:p>
    <w:p w:rsidR="00847471" w:rsidRPr="00051379" w:rsidRDefault="00847471" w:rsidP="00847471">
      <w:pPr>
        <w:pStyle w:val="ExampleText"/>
        <w:ind w:left="0"/>
        <w:outlineLvl w:val="0"/>
        <w:rPr>
          <w:rFonts w:ascii="Arial" w:hAnsi="Arial" w:cs="Arial"/>
          <w:color w:val="auto"/>
        </w:rPr>
      </w:pPr>
      <w:r w:rsidRPr="00051379">
        <w:rPr>
          <w:rFonts w:ascii="Arial" w:hAnsi="Arial" w:cs="Arial"/>
          <w:b/>
          <w:color w:val="auto"/>
        </w:rPr>
        <w:t>Financial Instruments Available For Sale Adjustment Account</w:t>
      </w:r>
      <w:r w:rsidRPr="00051379">
        <w:rPr>
          <w:rFonts w:ascii="Arial" w:hAnsi="Arial" w:cs="Arial"/>
          <w:color w:val="auto"/>
        </w:rPr>
        <w:t xml:space="preserve"> - The Financial Instruments Available for Sale reflects the movement in fair value of the Councils investments held as financial assets at fair value – the Council’s investments in its subsidiary companies the Torbay Economic Development Company and the English Riviera Tourism Company. </w:t>
      </w:r>
    </w:p>
    <w:p w:rsidR="00386CD2" w:rsidRPr="00051379" w:rsidRDefault="00386CD2"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 xml:space="preserve">Funded Pension Liabilities </w:t>
      </w:r>
      <w:r w:rsidRPr="00051379">
        <w:rPr>
          <w:rFonts w:ascii="Arial" w:hAnsi="Arial"/>
        </w:rPr>
        <w:t>– These are liabilities relating to pensions due in the future to members of a pension fund based on the “standard” entitlements within the scheme.</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G</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 xml:space="preserve">Grants – Receipts in Advance </w:t>
      </w:r>
      <w:r w:rsidRPr="00051379">
        <w:rPr>
          <w:rFonts w:ascii="Arial" w:hAnsi="Arial"/>
        </w:rPr>
        <w:t xml:space="preserve">– a grant from central government or other body that has conditions that will require repayment of the grant if not complied with. These grants are not recognised as income until the conditions are met.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H</w:t>
      </w:r>
    </w:p>
    <w:p w:rsidR="00E51139" w:rsidRPr="00051379" w:rsidRDefault="00E51139" w:rsidP="00E769F5">
      <w:pPr>
        <w:pStyle w:val="PlainText"/>
        <w:spacing w:line="240" w:lineRule="atLeast"/>
        <w:rPr>
          <w:rFonts w:ascii="Arial" w:hAnsi="Arial"/>
        </w:rPr>
      </w:pPr>
    </w:p>
    <w:p w:rsidR="00E51139" w:rsidRPr="00051379" w:rsidRDefault="00E51139" w:rsidP="00A27EA1">
      <w:pPr>
        <w:autoSpaceDE w:val="0"/>
        <w:autoSpaceDN w:val="0"/>
        <w:adjustRightInd w:val="0"/>
        <w:spacing w:before="100" w:after="100" w:line="240" w:lineRule="auto"/>
        <w:rPr>
          <w:rFonts w:cs="Arial"/>
          <w:color w:val="auto"/>
          <w:sz w:val="20"/>
          <w:szCs w:val="20"/>
          <w:lang w:eastAsia="en-GB"/>
        </w:rPr>
      </w:pPr>
      <w:r w:rsidRPr="00051379">
        <w:rPr>
          <w:b/>
          <w:color w:val="auto"/>
          <w:sz w:val="20"/>
          <w:szCs w:val="20"/>
        </w:rPr>
        <w:t>Heritage Assets -</w:t>
      </w:r>
      <w:r w:rsidRPr="00051379">
        <w:rPr>
          <w:b/>
          <w:color w:val="auto"/>
        </w:rPr>
        <w:t xml:space="preserve">  </w:t>
      </w:r>
      <w:r w:rsidRPr="00051379">
        <w:rPr>
          <w:rFonts w:cs="Arial"/>
          <w:color w:val="auto"/>
          <w:sz w:val="20"/>
          <w:szCs w:val="20"/>
          <w:lang w:eastAsia="en-GB"/>
        </w:rPr>
        <w:t xml:space="preserve">Heritage assets are those assets that are intended to be preserved in trust for future generations because of their cultural, environmental or historical </w:t>
      </w:r>
      <w:r w:rsidR="007E33E1" w:rsidRPr="00051379">
        <w:rPr>
          <w:rFonts w:cs="Arial"/>
          <w:color w:val="auto"/>
          <w:sz w:val="20"/>
          <w:szCs w:val="20"/>
          <w:lang w:eastAsia="en-GB"/>
        </w:rPr>
        <w:t>associations. Heritage</w:t>
      </w:r>
      <w:r w:rsidRPr="00051379">
        <w:rPr>
          <w:rFonts w:cs="Arial"/>
          <w:color w:val="auto"/>
          <w:sz w:val="20"/>
          <w:szCs w:val="20"/>
          <w:lang w:eastAsia="en-GB"/>
        </w:rPr>
        <w:t xml:space="preserve"> assets include historical buildings, archaeological sites, civic regalia, museum and gallery collections and works of art. </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Historical Cost</w:t>
      </w:r>
      <w:r w:rsidRPr="00051379">
        <w:rPr>
          <w:rFonts w:ascii="Arial" w:hAnsi="Arial"/>
        </w:rPr>
        <w:t xml:space="preserve"> – the historical or original cost of a fixed asset can be increased by further capital expenditure on that asset. </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I</w:t>
      </w:r>
    </w:p>
    <w:p w:rsidR="00E51139" w:rsidRPr="00051379" w:rsidRDefault="00E51139" w:rsidP="00E769F5">
      <w:pPr>
        <w:pStyle w:val="PlainText"/>
        <w:spacing w:line="240" w:lineRule="atLeast"/>
        <w:rPr>
          <w:rFonts w:ascii="Arial" w:hAnsi="Arial"/>
        </w:rPr>
      </w:pPr>
    </w:p>
    <w:p w:rsidR="008B0565" w:rsidRDefault="008B0565" w:rsidP="00E769F5">
      <w:pPr>
        <w:pStyle w:val="PlainText"/>
        <w:spacing w:line="240" w:lineRule="atLeast"/>
        <w:rPr>
          <w:rFonts w:ascii="Arial" w:hAnsi="Arial"/>
          <w:b/>
        </w:rPr>
      </w:pPr>
      <w:r>
        <w:rPr>
          <w:rFonts w:ascii="Arial" w:hAnsi="Arial"/>
          <w:b/>
        </w:rPr>
        <w:t xml:space="preserve">ICO - Integrated Care organisation - </w:t>
      </w:r>
      <w:r w:rsidR="004D69DA" w:rsidRPr="004D69DA">
        <w:rPr>
          <w:rFonts w:ascii="Arial" w:hAnsi="Arial"/>
        </w:rPr>
        <w:t xml:space="preserve">The </w:t>
      </w:r>
      <w:r w:rsidR="00397BFD">
        <w:rPr>
          <w:rFonts w:ascii="Arial" w:hAnsi="Arial"/>
        </w:rPr>
        <w:t xml:space="preserve">"descriptive" </w:t>
      </w:r>
      <w:r w:rsidR="004D69DA" w:rsidRPr="004D69DA">
        <w:rPr>
          <w:rFonts w:ascii="Arial" w:hAnsi="Arial"/>
        </w:rPr>
        <w:t xml:space="preserve">name for the Torbay and South Devon </w:t>
      </w:r>
      <w:r w:rsidR="0083550F">
        <w:rPr>
          <w:rFonts w:ascii="Arial" w:hAnsi="Arial"/>
        </w:rPr>
        <w:t xml:space="preserve">NHS </w:t>
      </w:r>
      <w:r w:rsidR="004D69DA" w:rsidRPr="004D69DA">
        <w:rPr>
          <w:rFonts w:ascii="Arial" w:hAnsi="Arial"/>
        </w:rPr>
        <w:t xml:space="preserve">Foundation Trust as the provider of health and adult social care service to both Torbay Council and the Clinical </w:t>
      </w:r>
      <w:r w:rsidR="004D69DA">
        <w:rPr>
          <w:rFonts w:ascii="Arial" w:hAnsi="Arial"/>
        </w:rPr>
        <w:t>Commissioning</w:t>
      </w:r>
      <w:r w:rsidR="004D69DA" w:rsidRPr="004D69DA">
        <w:rPr>
          <w:rFonts w:ascii="Arial" w:hAnsi="Arial"/>
        </w:rPr>
        <w:t xml:space="preserve"> Group.</w:t>
      </w:r>
    </w:p>
    <w:p w:rsidR="008B0565" w:rsidRDefault="008B0565"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Impairment</w:t>
      </w:r>
      <w:r w:rsidRPr="00051379">
        <w:rPr>
          <w:rFonts w:ascii="Arial" w:hAnsi="Arial"/>
        </w:rPr>
        <w:t xml:space="preserve"> – A reduction in the value of a fixed asset, below its balance sheet value.</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 xml:space="preserve">Intangible Assets – </w:t>
      </w:r>
      <w:r w:rsidRPr="00051379">
        <w:rPr>
          <w:rFonts w:ascii="Arial" w:hAnsi="Arial" w:cs="Arial"/>
        </w:rPr>
        <w:t>(notably software) are recognised on the Balance Sheet at their cost of acquisition or development but only revalued in restricted circumstances.</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Interest Costs for Pensions</w:t>
      </w:r>
      <w:r w:rsidRPr="00051379">
        <w:rPr>
          <w:rFonts w:ascii="Arial" w:hAnsi="Arial"/>
        </w:rPr>
        <w:t xml:space="preserve"> </w:t>
      </w:r>
      <w:r w:rsidR="00102A24" w:rsidRPr="00051379">
        <w:rPr>
          <w:rFonts w:ascii="Arial" w:hAnsi="Arial"/>
          <w:b/>
        </w:rPr>
        <w:t>(net)</w:t>
      </w:r>
      <w:r w:rsidR="00102A24" w:rsidRPr="00051379">
        <w:rPr>
          <w:rFonts w:ascii="Arial" w:hAnsi="Arial"/>
        </w:rPr>
        <w:t xml:space="preserve"> </w:t>
      </w:r>
      <w:r w:rsidRPr="00051379">
        <w:rPr>
          <w:rFonts w:ascii="Arial" w:hAnsi="Arial"/>
        </w:rPr>
        <w:t>– The expected increase in value for a defined benefit scheme, as it draws closer to settlement.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Investment Properties</w:t>
      </w:r>
      <w:r w:rsidRPr="00051379">
        <w:rPr>
          <w:rFonts w:ascii="Arial" w:hAnsi="Arial"/>
        </w:rPr>
        <w:t xml:space="preserve"> – land and buildings held only for the income stream or for capital appreciation.</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IFRS</w:t>
      </w:r>
      <w:r w:rsidRPr="00051379">
        <w:rPr>
          <w:rFonts w:ascii="Arial" w:hAnsi="Arial"/>
        </w:rPr>
        <w:t xml:space="preserve"> – International Financial Reporting Standards. These are the financial “rules” that Council accounts will have to comply with for reporting periods from 2011/12. These rules should be consistently applied throughout all bodies throughout the world.</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J</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b/>
        </w:rPr>
      </w:pPr>
      <w:r w:rsidRPr="00051379">
        <w:rPr>
          <w:rFonts w:ascii="Arial" w:hAnsi="Arial"/>
          <w:b/>
        </w:rPr>
        <w:t xml:space="preserve">Joint Committee – </w:t>
      </w:r>
      <w:r w:rsidRPr="00051379">
        <w:rPr>
          <w:rFonts w:ascii="Arial" w:hAnsi="Arial"/>
        </w:rPr>
        <w:t>a formal committee of local authorities established under the provisions of Local Government Act 1972 usually for the management of a shared service.</w:t>
      </w:r>
    </w:p>
    <w:p w:rsidR="00650992" w:rsidRPr="00051379" w:rsidRDefault="00650992" w:rsidP="00E769F5">
      <w:pPr>
        <w:pStyle w:val="PlainText"/>
        <w:spacing w:line="240" w:lineRule="atLeast"/>
        <w:rPr>
          <w:rFonts w:ascii="Arial" w:hAnsi="Arial"/>
          <w:b/>
        </w:rPr>
      </w:pPr>
    </w:p>
    <w:p w:rsidR="00650992" w:rsidRPr="00051379" w:rsidRDefault="00BC4822" w:rsidP="00E769F5">
      <w:pPr>
        <w:pStyle w:val="PlainText"/>
        <w:spacing w:line="240" w:lineRule="atLeast"/>
        <w:rPr>
          <w:rFonts w:ascii="Arial" w:hAnsi="Arial"/>
          <w:b/>
        </w:rPr>
      </w:pPr>
      <w:r w:rsidRPr="00051379">
        <w:rPr>
          <w:rFonts w:ascii="Arial" w:hAnsi="Arial"/>
          <w:b/>
        </w:rPr>
        <w:t xml:space="preserve">Joint Operation - </w:t>
      </w:r>
      <w:r w:rsidR="00D25E4B" w:rsidRPr="00051379">
        <w:rPr>
          <w:rFonts w:ascii="Arial" w:hAnsi="Arial"/>
        </w:rPr>
        <w:t xml:space="preserve">An arrangement under which participants engage in joint activities with joint control but do not create a legal entity </w:t>
      </w:r>
    </w:p>
    <w:p w:rsidR="00BC4822" w:rsidRPr="00051379" w:rsidRDefault="00BC4822" w:rsidP="00E769F5">
      <w:pPr>
        <w:pStyle w:val="PlainText"/>
        <w:spacing w:line="240" w:lineRule="atLeast"/>
        <w:rPr>
          <w:rFonts w:ascii="Arial" w:hAnsi="Arial"/>
          <w:b/>
        </w:rPr>
      </w:pPr>
    </w:p>
    <w:p w:rsidR="00BC4822" w:rsidRPr="00051379" w:rsidRDefault="00BC4822" w:rsidP="00E769F5">
      <w:pPr>
        <w:pStyle w:val="PlainText"/>
        <w:spacing w:line="240" w:lineRule="atLeast"/>
        <w:rPr>
          <w:rFonts w:ascii="Arial" w:hAnsi="Arial"/>
          <w:b/>
        </w:rPr>
      </w:pPr>
      <w:r w:rsidRPr="00051379">
        <w:rPr>
          <w:rFonts w:ascii="Arial" w:hAnsi="Arial"/>
          <w:b/>
        </w:rPr>
        <w:t xml:space="preserve">Joint Venture - </w:t>
      </w:r>
      <w:r w:rsidR="00D25E4B" w:rsidRPr="00051379">
        <w:rPr>
          <w:rFonts w:ascii="Arial" w:hAnsi="Arial"/>
        </w:rPr>
        <w:t xml:space="preserve">An arrangement under which the participants engage in joint activities </w:t>
      </w:r>
      <w:r w:rsidR="001F3566" w:rsidRPr="00051379">
        <w:rPr>
          <w:rFonts w:ascii="Arial" w:hAnsi="Arial"/>
        </w:rPr>
        <w:t xml:space="preserve">with joint control </w:t>
      </w:r>
      <w:r w:rsidR="00D25E4B" w:rsidRPr="00051379">
        <w:rPr>
          <w:rFonts w:ascii="Arial" w:hAnsi="Arial"/>
        </w:rPr>
        <w:t>by means of a separate vehicle/entity.</w:t>
      </w:r>
    </w:p>
    <w:p w:rsidR="00BC4822" w:rsidRPr="00051379" w:rsidRDefault="00BC4822"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u w:val="single"/>
        </w:rPr>
      </w:pPr>
      <w:r w:rsidRPr="00051379">
        <w:rPr>
          <w:rFonts w:ascii="Arial" w:hAnsi="Arial"/>
          <w:b/>
          <w:u w:val="single"/>
        </w:rPr>
        <w:t>L</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Liquid Resources</w:t>
      </w:r>
      <w:r w:rsidRPr="00051379">
        <w:rPr>
          <w:rFonts w:ascii="Arial" w:hAnsi="Arial"/>
        </w:rPr>
        <w:t xml:space="preserve"> – Current asset investments that are readily disposable by the Council without disrupting its business.</w:t>
      </w:r>
    </w:p>
    <w:p w:rsidR="008C2F1D" w:rsidRPr="00051379" w:rsidRDefault="008C2F1D" w:rsidP="008C2F1D">
      <w:pPr>
        <w:autoSpaceDE w:val="0"/>
        <w:autoSpaceDN w:val="0"/>
        <w:adjustRightInd w:val="0"/>
        <w:spacing w:after="0"/>
        <w:rPr>
          <w:rFonts w:eastAsia="Times New Roman"/>
          <w:color w:val="auto"/>
          <w:sz w:val="20"/>
          <w:szCs w:val="20"/>
        </w:rPr>
      </w:pPr>
    </w:p>
    <w:p w:rsidR="009F456F" w:rsidRPr="00051379" w:rsidRDefault="008C2F1D" w:rsidP="008C2F1D">
      <w:pPr>
        <w:autoSpaceDE w:val="0"/>
        <w:autoSpaceDN w:val="0"/>
        <w:adjustRightInd w:val="0"/>
        <w:spacing w:after="0"/>
        <w:rPr>
          <w:rFonts w:cs="Arial"/>
          <w:color w:val="auto"/>
          <w:sz w:val="20"/>
          <w:szCs w:val="20"/>
          <w:lang w:eastAsia="en-GB"/>
        </w:rPr>
      </w:pPr>
      <w:r w:rsidRPr="00051379">
        <w:rPr>
          <w:rFonts w:eastAsia="Times New Roman"/>
          <w:b/>
          <w:color w:val="auto"/>
          <w:sz w:val="20"/>
          <w:szCs w:val="20"/>
        </w:rPr>
        <w:t>L</w:t>
      </w:r>
      <w:r w:rsidR="009F456F" w:rsidRPr="00051379">
        <w:rPr>
          <w:rFonts w:eastAsia="Times New Roman"/>
          <w:b/>
          <w:color w:val="auto"/>
          <w:sz w:val="20"/>
          <w:szCs w:val="20"/>
        </w:rPr>
        <w:t>oans and receivables</w:t>
      </w:r>
      <w:r w:rsidR="009F456F" w:rsidRPr="00051379">
        <w:rPr>
          <w:rFonts w:cs="Arial"/>
          <w:color w:val="auto"/>
          <w:sz w:val="20"/>
          <w:szCs w:val="20"/>
          <w:lang w:eastAsia="en-GB"/>
        </w:rPr>
        <w:t xml:space="preserve"> (</w:t>
      </w:r>
      <w:r w:rsidR="007E33E1" w:rsidRPr="00051379">
        <w:rPr>
          <w:rFonts w:cs="Arial"/>
          <w:color w:val="auto"/>
          <w:sz w:val="20"/>
          <w:szCs w:val="20"/>
          <w:lang w:eastAsia="en-GB"/>
        </w:rPr>
        <w:t>i.e.</w:t>
      </w:r>
      <w:r w:rsidR="009F456F" w:rsidRPr="00051379">
        <w:rPr>
          <w:rFonts w:cs="Arial"/>
          <w:color w:val="auto"/>
          <w:sz w:val="20"/>
          <w:szCs w:val="20"/>
          <w:lang w:eastAsia="en-GB"/>
        </w:rPr>
        <w:t xml:space="preserve"> investments and loans) - assets that have fixed or determinable payments but are not quoted in an active market</w:t>
      </w:r>
    </w:p>
    <w:p w:rsidR="00E51139" w:rsidRPr="00051379" w:rsidRDefault="00E51139" w:rsidP="00E769F5">
      <w:pPr>
        <w:pStyle w:val="PlainText"/>
        <w:spacing w:line="240" w:lineRule="atLeast"/>
        <w:rPr>
          <w:rFonts w:ascii="Arial" w:hAnsi="Arial"/>
        </w:rPr>
      </w:pPr>
    </w:p>
    <w:p w:rsidR="00E51139" w:rsidRDefault="00E51139" w:rsidP="00E769F5">
      <w:pPr>
        <w:pStyle w:val="PlainText"/>
        <w:spacing w:line="240" w:lineRule="atLeast"/>
        <w:rPr>
          <w:rFonts w:ascii="Arial" w:hAnsi="Arial"/>
        </w:rPr>
      </w:pPr>
      <w:r w:rsidRPr="00051379">
        <w:rPr>
          <w:rFonts w:ascii="Arial" w:hAnsi="Arial"/>
          <w:b/>
        </w:rPr>
        <w:t>Local Services Support Grant (LSSG)</w:t>
      </w:r>
      <w:r w:rsidRPr="00051379">
        <w:rPr>
          <w:rFonts w:ascii="Arial" w:hAnsi="Arial"/>
        </w:rPr>
        <w:t xml:space="preserve"> – a unringfenced grant from central </w:t>
      </w:r>
      <w:r w:rsidR="009530E5">
        <w:rPr>
          <w:rFonts w:ascii="Arial" w:hAnsi="Arial"/>
        </w:rPr>
        <w:t>government</w:t>
      </w:r>
    </w:p>
    <w:p w:rsidR="009530E5" w:rsidRPr="00051379" w:rsidRDefault="009530E5"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LOBO</w:t>
      </w:r>
      <w:r w:rsidRPr="00051379">
        <w:rPr>
          <w:rFonts w:ascii="Arial" w:hAnsi="Arial"/>
        </w:rPr>
        <w:t xml:space="preserve"> – A “Lender Option, Borrowing Option” loan. Such a loan has a set rate for a defined period, after which point, the lender has the option of changing the rate. If that option is actioned the borrower then has the option to either accept the new rate or repay the loan.</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M</w:t>
      </w:r>
    </w:p>
    <w:p w:rsidR="00E51139" w:rsidRPr="00051379" w:rsidRDefault="00E51139" w:rsidP="00E769F5">
      <w:pPr>
        <w:pStyle w:val="PlainText"/>
        <w:spacing w:line="240" w:lineRule="atLeast"/>
        <w:rPr>
          <w:rFonts w:ascii="Arial" w:hAnsi="Arial"/>
        </w:rPr>
      </w:pPr>
    </w:p>
    <w:p w:rsidR="00E51139" w:rsidRPr="00051379" w:rsidRDefault="00D02E95" w:rsidP="00E769F5">
      <w:pPr>
        <w:pStyle w:val="PlainText"/>
        <w:spacing w:line="240" w:lineRule="atLeast"/>
        <w:rPr>
          <w:rFonts w:ascii="Arial" w:hAnsi="Arial"/>
        </w:rPr>
      </w:pPr>
      <w:r w:rsidRPr="00051379">
        <w:rPr>
          <w:rFonts w:ascii="Arial" w:hAnsi="Arial"/>
          <w:b/>
        </w:rPr>
        <w:t xml:space="preserve">MRP - </w:t>
      </w:r>
      <w:r w:rsidR="00E51139" w:rsidRPr="00051379">
        <w:rPr>
          <w:rFonts w:ascii="Arial" w:hAnsi="Arial"/>
          <w:b/>
        </w:rPr>
        <w:t>Minimum Revenue Provision</w:t>
      </w:r>
      <w:r w:rsidR="00E51139" w:rsidRPr="00051379">
        <w:rPr>
          <w:rFonts w:ascii="Arial" w:hAnsi="Arial"/>
        </w:rPr>
        <w:t xml:space="preserve"> - The minimum amount which must be charged to a Council’s revenue account each year and set aside as provision for repayment of debt, as required by the Local Government Act 2003. For assets funded form unsupported borrowing this must be a “prudent” amount.</w:t>
      </w:r>
    </w:p>
    <w:p w:rsidR="00E51139" w:rsidRPr="00051379" w:rsidRDefault="00E51139" w:rsidP="00E769F5">
      <w:pPr>
        <w:pStyle w:val="PlainText"/>
        <w:spacing w:line="240" w:lineRule="atLeast"/>
        <w:rPr>
          <w:rFonts w:ascii="Arial" w:hAnsi="Arial"/>
        </w:rPr>
      </w:pPr>
      <w:r w:rsidRPr="00051379">
        <w:rPr>
          <w:rFonts w:ascii="Arial" w:hAnsi="Arial"/>
        </w:rPr>
        <w:t xml:space="preserve"> </w:t>
      </w: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N</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Net Book Value</w:t>
      </w:r>
      <w:r w:rsidRPr="00051379">
        <w:rPr>
          <w:rFonts w:ascii="Arial" w:hAnsi="Arial"/>
        </w:rPr>
        <w:t xml:space="preserve"> – The amount at which fixed assets are included in the balance sheet.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Net Debt</w:t>
      </w:r>
      <w:r w:rsidRPr="00051379">
        <w:rPr>
          <w:rFonts w:ascii="Arial" w:hAnsi="Arial"/>
        </w:rPr>
        <w:t xml:space="preserve"> – The Council’s borrowings less cash investments.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New Homes Bonus Grant</w:t>
      </w:r>
      <w:r w:rsidRPr="00051379">
        <w:rPr>
          <w:rFonts w:ascii="Arial" w:hAnsi="Arial"/>
        </w:rPr>
        <w:t xml:space="preserve"> – A general grant that is linked to the growth in the number of properties available for occupation either from a new home or an empty home brought back into use.</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 xml:space="preserve">NNDR </w:t>
      </w:r>
      <w:r w:rsidRPr="00051379">
        <w:rPr>
          <w:rFonts w:ascii="Arial" w:hAnsi="Arial"/>
        </w:rPr>
        <w:t>– National Non Domestic Rates, a national tax collected on a local level formally known as business rates.</w:t>
      </w:r>
    </w:p>
    <w:p w:rsidR="00E51139" w:rsidRPr="00051379" w:rsidRDefault="00E51139" w:rsidP="00E769F5">
      <w:pPr>
        <w:pStyle w:val="PlainText"/>
        <w:spacing w:line="240" w:lineRule="atLeast"/>
        <w:rPr>
          <w:rFonts w:ascii="Arial" w:hAnsi="Arial"/>
        </w:rPr>
      </w:pPr>
    </w:p>
    <w:p w:rsidR="003F72EF" w:rsidRPr="00051379" w:rsidRDefault="003F72EF" w:rsidP="00E769F5">
      <w:pPr>
        <w:pStyle w:val="PlainText"/>
        <w:spacing w:line="240" w:lineRule="atLeast"/>
        <w:rPr>
          <w:rFonts w:ascii="Arial" w:hAnsi="Arial"/>
        </w:rPr>
      </w:pPr>
      <w:r w:rsidRPr="00051379">
        <w:rPr>
          <w:rFonts w:ascii="Arial" w:hAnsi="Arial"/>
          <w:b/>
        </w:rPr>
        <w:t>NNDR Retention Scheme</w:t>
      </w:r>
      <w:r w:rsidRPr="00051379">
        <w:rPr>
          <w:rFonts w:ascii="Arial" w:hAnsi="Arial"/>
        </w:rPr>
        <w:t xml:space="preserve"> - This </w:t>
      </w:r>
      <w:r w:rsidR="008C2F1D" w:rsidRPr="00051379">
        <w:rPr>
          <w:rFonts w:ascii="Arial" w:hAnsi="Arial"/>
        </w:rPr>
        <w:t>method of funding Council’s m</w:t>
      </w:r>
      <w:r w:rsidRPr="00051379">
        <w:rPr>
          <w:rFonts w:ascii="Arial" w:hAnsi="Arial"/>
        </w:rPr>
        <w:t>oves Councils away from central government funding based on a service “needs” basis to one linked more to economic growth</w:t>
      </w:r>
    </w:p>
    <w:p w:rsidR="003F72EF" w:rsidRPr="00051379" w:rsidRDefault="003F72EF"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rPr>
      </w:pPr>
      <w:r w:rsidRPr="00051379">
        <w:rPr>
          <w:rFonts w:ascii="Arial" w:hAnsi="Arial"/>
          <w:b/>
        </w:rPr>
        <w:t xml:space="preserve">Non Current Assets – </w:t>
      </w:r>
      <w:r w:rsidRPr="00051379">
        <w:rPr>
          <w:rFonts w:ascii="Arial" w:hAnsi="Arial"/>
        </w:rPr>
        <w:t>assets, primarily land and buildings, that have an asset life of over one year and are not used for trading purposes.</w:t>
      </w:r>
    </w:p>
    <w:p w:rsidR="00E51139" w:rsidRPr="00051379" w:rsidRDefault="00E51139" w:rsidP="00E769F5">
      <w:pPr>
        <w:pStyle w:val="PlainText"/>
        <w:spacing w:line="240" w:lineRule="atLeast"/>
        <w:rPr>
          <w:rFonts w:ascii="Arial" w:hAnsi="Arial"/>
        </w:rPr>
      </w:pPr>
      <w:r w:rsidRPr="00051379">
        <w:rPr>
          <w:rFonts w:ascii="Arial" w:hAnsi="Arial"/>
        </w:rPr>
        <w:t xml:space="preserve"> </w:t>
      </w:r>
    </w:p>
    <w:p w:rsidR="00E51139" w:rsidRPr="00051379" w:rsidRDefault="00E51139" w:rsidP="00E769F5">
      <w:pPr>
        <w:pStyle w:val="PlainText"/>
        <w:spacing w:line="240" w:lineRule="atLeast"/>
        <w:rPr>
          <w:rFonts w:ascii="Arial" w:hAnsi="Arial"/>
        </w:rPr>
      </w:pPr>
      <w:r w:rsidRPr="00051379">
        <w:rPr>
          <w:rFonts w:ascii="Arial" w:hAnsi="Arial"/>
          <w:b/>
        </w:rPr>
        <w:lastRenderedPageBreak/>
        <w:t>Non Distributed Cost</w:t>
      </w:r>
      <w:r w:rsidRPr="00051379">
        <w:rPr>
          <w:rFonts w:ascii="Arial" w:hAnsi="Arial"/>
        </w:rPr>
        <w:t xml:space="preserve"> –a category within the Council’s cost of services that represents past service costs (see below) and other costs that have not been attributed to specific services.</w:t>
      </w:r>
      <w:r w:rsidRPr="00051379">
        <w:rPr>
          <w:rFonts w:ascii="Arial" w:hAnsi="Arial"/>
        </w:rPr>
        <w:br/>
      </w: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O</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Operating Lease</w:t>
      </w:r>
      <w:r w:rsidRPr="00051379">
        <w:rPr>
          <w:rFonts w:ascii="Arial" w:hAnsi="Arial"/>
        </w:rPr>
        <w:t xml:space="preserve"> – An operating lease is a lease other than a finance lease (please see above). The future obligations relating to operating leases are disclosed to provide the reader with an estimate of the outstanding un discharged obligations in relation to such leases.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P</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Past Service Cost</w:t>
      </w:r>
      <w:r w:rsidRPr="00051379">
        <w:rPr>
          <w:rFonts w:ascii="Arial" w:hAnsi="Arial"/>
        </w:rPr>
        <w:t xml:space="preserve"> – The increase in the present value of a defined benefit pension scheme, as a result of improvements to, retirement benefits.</w:t>
      </w:r>
    </w:p>
    <w:p w:rsidR="008922D3" w:rsidRPr="00051379" w:rsidRDefault="008922D3" w:rsidP="00E769F5">
      <w:pPr>
        <w:pStyle w:val="PlainText"/>
        <w:spacing w:line="240" w:lineRule="atLeast"/>
        <w:rPr>
          <w:rFonts w:ascii="Arial" w:hAnsi="Arial"/>
        </w:rPr>
      </w:pPr>
    </w:p>
    <w:p w:rsidR="008922D3" w:rsidRPr="00051379" w:rsidRDefault="008922D3" w:rsidP="008922D3">
      <w:pPr>
        <w:pStyle w:val="ExampleText"/>
        <w:ind w:left="0"/>
        <w:outlineLvl w:val="0"/>
        <w:rPr>
          <w:rFonts w:ascii="Arial" w:hAnsi="Arial" w:cs="Times New Roman"/>
          <w:b/>
          <w:color w:val="auto"/>
          <w:lang w:eastAsia="en-US"/>
        </w:rPr>
      </w:pPr>
      <w:r w:rsidRPr="00051379">
        <w:rPr>
          <w:rFonts w:ascii="Arial" w:hAnsi="Arial" w:cs="Times New Roman"/>
          <w:b/>
          <w:color w:val="auto"/>
          <w:lang w:eastAsia="en-US"/>
        </w:rPr>
        <w:t xml:space="preserve">Pensions Reserve </w:t>
      </w:r>
      <w:r w:rsidR="007E33E1" w:rsidRPr="00051379">
        <w:rPr>
          <w:rFonts w:ascii="Arial" w:hAnsi="Arial" w:cs="Times New Roman"/>
          <w:b/>
          <w:color w:val="auto"/>
          <w:lang w:eastAsia="en-US"/>
        </w:rPr>
        <w:t>- (</w:t>
      </w:r>
      <w:r w:rsidRPr="00051379">
        <w:rPr>
          <w:rFonts w:ascii="Arial" w:hAnsi="Arial" w:cs="Times New Roman"/>
          <w:b/>
          <w:color w:val="auto"/>
          <w:lang w:eastAsia="en-US"/>
        </w:rPr>
        <w:t xml:space="preserve">Funded and Unfunded </w:t>
      </w:r>
      <w:r w:rsidR="007E33E1" w:rsidRPr="00051379">
        <w:rPr>
          <w:rFonts w:ascii="Arial" w:hAnsi="Arial" w:cs="Times New Roman"/>
          <w:b/>
          <w:color w:val="auto"/>
          <w:lang w:eastAsia="en-US"/>
        </w:rPr>
        <w:t>Liabilities</w:t>
      </w:r>
      <w:r w:rsidRPr="00051379">
        <w:rPr>
          <w:rFonts w:ascii="Arial" w:hAnsi="Arial" w:cs="Times New Roman"/>
          <w:b/>
          <w:color w:val="auto"/>
          <w:lang w:eastAsia="en-US"/>
        </w:rPr>
        <w:t xml:space="preserve">) - </w:t>
      </w:r>
      <w:r w:rsidRPr="00051379">
        <w:rPr>
          <w:rFonts w:ascii="Arial" w:hAnsi="Arial" w:cs="Times New Roman"/>
          <w:color w:val="auto"/>
          <w:lang w:eastAsia="en-US"/>
        </w:rPr>
        <w:t>The Pensions Reserve absorbs the timing differences arising from the different arrangements for accounting for post employment benefits and for funding benefits in accordance with statutory provisions. The Council accounts for post 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However, statutory arrangements require benefits earned to be financed as the Council makes employer’s contributions to pension funds or pay any pensions for which it is directly responsible.  The debit balance on the Pensions Reserve therefore shows a substantial shortfall in the benefits earned by past and current employees and the resources the Council has set aside to meet them.  The statutory arrangements will ensure that funding will have been set aside, (usually by means of adjusting contribution rates)</w:t>
      </w:r>
      <w:r w:rsidR="007E33E1" w:rsidRPr="00051379">
        <w:rPr>
          <w:rFonts w:ascii="Arial" w:hAnsi="Arial" w:cs="Times New Roman"/>
          <w:color w:val="auto"/>
          <w:lang w:eastAsia="en-US"/>
        </w:rPr>
        <w:t>;</w:t>
      </w:r>
      <w:r w:rsidRPr="00051379">
        <w:rPr>
          <w:rFonts w:ascii="Arial" w:hAnsi="Arial" w:cs="Times New Roman"/>
          <w:color w:val="auto"/>
          <w:lang w:eastAsia="en-US"/>
        </w:rPr>
        <w:t xml:space="preserve"> by the time the benefits come to be paid.</w:t>
      </w:r>
    </w:p>
    <w:p w:rsidR="008922D3" w:rsidRPr="00051379" w:rsidRDefault="008922D3"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PFI - Private Finance Initiative</w:t>
      </w:r>
      <w:r w:rsidRPr="00051379">
        <w:rPr>
          <w:rFonts w:ascii="Arial" w:hAnsi="Arial"/>
        </w:rPr>
        <w:t xml:space="preserve"> – A method of using private investment to fund public sector schemes often supported by central government. The private sector typically builds an asset such as a school and then charges the Council over a period of typically 25 years to use and pay for the asset.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Post Balance Sheet Events</w:t>
      </w:r>
      <w:r w:rsidRPr="00051379">
        <w:rPr>
          <w:rFonts w:ascii="Arial" w:hAnsi="Arial"/>
        </w:rPr>
        <w:t xml:space="preserve"> – Those events, both favourable and unfavourable, which occur between the balance sheet date and the date on which the Statement of Accounts is signed.</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Prior Period Adjustments</w:t>
      </w:r>
      <w:r w:rsidRPr="00051379">
        <w:rPr>
          <w:rFonts w:ascii="Arial" w:hAnsi="Arial"/>
        </w:rPr>
        <w:t xml:space="preserve"> – Those material adjustments applicable to prior years arising from changes in accounting policies or from the correction of fundamental errors. A fundamental error is one that is of such significance as to destroy the validity of the financial statements.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Heading1"/>
        <w:spacing w:line="240" w:lineRule="atLeast"/>
        <w:rPr>
          <w:color w:val="auto"/>
          <w:sz w:val="20"/>
          <w:szCs w:val="20"/>
        </w:rPr>
      </w:pPr>
      <w:r w:rsidRPr="00051379">
        <w:rPr>
          <w:b/>
          <w:color w:val="auto"/>
          <w:sz w:val="20"/>
          <w:szCs w:val="20"/>
        </w:rPr>
        <w:t>Precept</w:t>
      </w:r>
      <w:r w:rsidRPr="00051379">
        <w:rPr>
          <w:color w:val="auto"/>
          <w:sz w:val="20"/>
          <w:szCs w:val="20"/>
        </w:rPr>
        <w:t xml:space="preserve"> - A levy made by one statutory body on another to meet the net cost of its services.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Precepting Body</w:t>
      </w:r>
      <w:r w:rsidRPr="00051379">
        <w:rPr>
          <w:rFonts w:ascii="Arial" w:hAnsi="Arial"/>
        </w:rPr>
        <w:t xml:space="preserve"> – the statutory body that makes a “precept” on a Council that is responsible for collecting Council Tax in an area. Town and parish Councils are classified as a Minor Precepting body which means they precept their tax requirement on the Council who then include that amount in their precept.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Projected unit method (Pensions costs)</w:t>
      </w:r>
      <w:r w:rsidRPr="00051379">
        <w:rPr>
          <w:rFonts w:ascii="Arial" w:hAnsi="Arial"/>
        </w:rPr>
        <w:t xml:space="preserve"> – an accrued benefits valuation method in which the scheme liabilities make allowance for projected earnings. An accrued benefits valuation method is a valuation method in which the scheme liabilities at the valuation date relate to: </w:t>
      </w:r>
    </w:p>
    <w:p w:rsidR="00E51139" w:rsidRPr="00051379" w:rsidRDefault="00E51139" w:rsidP="00E769F5">
      <w:pPr>
        <w:pStyle w:val="PlainText"/>
        <w:spacing w:line="240" w:lineRule="atLeast"/>
        <w:rPr>
          <w:rFonts w:ascii="Arial" w:hAnsi="Arial"/>
        </w:rPr>
      </w:pPr>
    </w:p>
    <w:p w:rsidR="00E51139" w:rsidRPr="00051379" w:rsidRDefault="00E51139" w:rsidP="00574AC8">
      <w:pPr>
        <w:pStyle w:val="PlainText"/>
        <w:spacing w:line="240" w:lineRule="atLeast"/>
        <w:ind w:left="720"/>
        <w:rPr>
          <w:rFonts w:ascii="Arial" w:hAnsi="Arial"/>
        </w:rPr>
      </w:pPr>
      <w:r w:rsidRPr="00051379">
        <w:rPr>
          <w:rFonts w:ascii="Arial" w:hAnsi="Arial"/>
        </w:rPr>
        <w:t xml:space="preserve">• the benefits for pensioners and deferred pensioners (i.e. individuals who have ceased to be active members but are entitled to benefits payable at a later date) and their dependants, allowing where appropriate for future increases, and </w:t>
      </w:r>
    </w:p>
    <w:p w:rsidR="00E51139" w:rsidRPr="00051379" w:rsidRDefault="00E51139" w:rsidP="00574AC8">
      <w:pPr>
        <w:pStyle w:val="PlainText"/>
        <w:spacing w:line="240" w:lineRule="atLeast"/>
        <w:ind w:left="720"/>
        <w:rPr>
          <w:rFonts w:ascii="Arial" w:hAnsi="Arial"/>
        </w:rPr>
      </w:pPr>
      <w:r w:rsidRPr="00051379">
        <w:rPr>
          <w:rFonts w:ascii="Arial" w:hAnsi="Arial"/>
        </w:rPr>
        <w:t xml:space="preserve">• the accrued benefits for members in service on the valuation date. The accrued benefits are the benefits for service up to a given point in time, </w:t>
      </w:r>
      <w:r w:rsidR="007E33E1" w:rsidRPr="00051379">
        <w:rPr>
          <w:rFonts w:ascii="Arial" w:hAnsi="Arial"/>
        </w:rPr>
        <w:t>whether vested</w:t>
      </w:r>
      <w:r w:rsidRPr="00051379">
        <w:rPr>
          <w:rFonts w:ascii="Arial" w:hAnsi="Arial"/>
        </w:rPr>
        <w:t xml:space="preserve"> rights or not.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rPr>
      </w:pPr>
      <w:r w:rsidRPr="00051379">
        <w:rPr>
          <w:rFonts w:ascii="Arial" w:hAnsi="Arial"/>
          <w:b/>
        </w:rPr>
        <w:t>Property, Plant &amp; Equipment –</w:t>
      </w:r>
      <w:r w:rsidRPr="00051379">
        <w:rPr>
          <w:rFonts w:ascii="Arial" w:hAnsi="Arial"/>
        </w:rPr>
        <w:t xml:space="preserve"> a category of non current assets that show the carrying value of the Council’s operational assets.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Provisions</w:t>
      </w:r>
      <w:r w:rsidRPr="00051379">
        <w:rPr>
          <w:rFonts w:ascii="Arial" w:hAnsi="Arial"/>
        </w:rPr>
        <w:t xml:space="preserve"> - amounts set aside for the purposes of providing for any liability or loss which is likely or certain to be incurred but is uncertain as to the amount or the date on which it will arise, e.g., bad debts.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BodyText"/>
        <w:rPr>
          <w:color w:val="auto"/>
          <w:sz w:val="20"/>
          <w:szCs w:val="20"/>
        </w:rPr>
      </w:pPr>
      <w:r w:rsidRPr="00051379">
        <w:rPr>
          <w:b/>
          <w:color w:val="auto"/>
          <w:sz w:val="20"/>
          <w:szCs w:val="20"/>
        </w:rPr>
        <w:t>Prudential Code –</w:t>
      </w:r>
      <w:r w:rsidRPr="00051379">
        <w:rPr>
          <w:color w:val="auto"/>
          <w:sz w:val="20"/>
          <w:szCs w:val="20"/>
        </w:rPr>
        <w:t xml:space="preserve"> The CIPFA Prudential Code for Capital Finance in Local Authorities which is the guidance applicable from April 2004 for </w:t>
      </w:r>
      <w:r w:rsidR="007E33E1" w:rsidRPr="00051379">
        <w:rPr>
          <w:color w:val="auto"/>
          <w:sz w:val="20"/>
          <w:szCs w:val="20"/>
        </w:rPr>
        <w:t>the greater</w:t>
      </w:r>
      <w:r w:rsidRPr="00051379">
        <w:rPr>
          <w:color w:val="auto"/>
          <w:sz w:val="20"/>
          <w:szCs w:val="20"/>
        </w:rPr>
        <w:t xml:space="preserve"> freedom for Councils to borrow to fund capital investment (under the Local Government Act 2003). This Code requires the Council to set and monitor a suite of Prudential Indicators, including its Affordable Borrowing Limit, and establish its policy for using the new freedoms.</w:t>
      </w:r>
    </w:p>
    <w:p w:rsidR="001F1DDA" w:rsidRPr="00051379" w:rsidRDefault="001F1DDA" w:rsidP="00E769F5">
      <w:pPr>
        <w:pStyle w:val="PlainText"/>
        <w:spacing w:line="240" w:lineRule="atLeast"/>
        <w:rPr>
          <w:rFonts w:ascii="Arial" w:hAnsi="Arial"/>
          <w:b/>
        </w:rPr>
      </w:pPr>
      <w:r w:rsidRPr="00051379">
        <w:rPr>
          <w:rFonts w:ascii="Arial" w:hAnsi="Arial"/>
          <w:b/>
        </w:rPr>
        <w:t xml:space="preserve">Prudential Borrowing – </w:t>
      </w:r>
      <w:r w:rsidRPr="00051379">
        <w:rPr>
          <w:rFonts w:ascii="Arial" w:hAnsi="Arial"/>
        </w:rPr>
        <w:t>see Unsupported Borrowing</w:t>
      </w:r>
    </w:p>
    <w:p w:rsidR="001F1DDA" w:rsidRPr="00051379" w:rsidRDefault="001F1DDA"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PWLB</w:t>
      </w:r>
      <w:r w:rsidRPr="00051379">
        <w:rPr>
          <w:rFonts w:ascii="Arial" w:hAnsi="Arial"/>
        </w:rPr>
        <w:t xml:space="preserve"> – see Borrowing</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R</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Related Party Transaction</w:t>
      </w:r>
      <w:r w:rsidRPr="00051379">
        <w:rPr>
          <w:rFonts w:ascii="Arial" w:hAnsi="Arial"/>
        </w:rPr>
        <w:t xml:space="preserve"> – Is the transfer of assets or liabilities, or the provision of services to or for a related party, irrespective of whether a charge is made.</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REFCUS – Revenue Expenditure Funded from Capital Under Statute</w:t>
      </w:r>
      <w:r w:rsidRPr="00051379">
        <w:rPr>
          <w:rFonts w:ascii="Arial" w:hAnsi="Arial"/>
        </w:rPr>
        <w:t>. This represents expenditure that qualifies as capital for the purposes of government controls, but does not result in the acquisition, creation or enhancement of a tangible fixed asset. As a result the expenditure in this category and related grants or contributions are reported as revenue income and expenditure.</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Retirement Benefits</w:t>
      </w:r>
      <w:r w:rsidRPr="00051379">
        <w:rPr>
          <w:rFonts w:ascii="Arial" w:hAnsi="Arial"/>
        </w:rPr>
        <w:t xml:space="preserve"> – All forms of consideration given by an employer in exchange for services rendered by employees that are payable after the completion of employment.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Reserves</w:t>
      </w:r>
      <w:r w:rsidRPr="00051379">
        <w:rPr>
          <w:rFonts w:ascii="Arial" w:hAnsi="Arial"/>
        </w:rPr>
        <w:t xml:space="preserve"> – are available for meeting general and future expenditure, for example, capital expenditure on new projects or unforeseen occurrences. Reserves may also be used to smooth the cost of certain activities over a number of years, e.g., crematoria replacement. </w:t>
      </w:r>
    </w:p>
    <w:p w:rsidR="00EC29EC" w:rsidRPr="00051379" w:rsidRDefault="00E51139" w:rsidP="00EC29EC">
      <w:pPr>
        <w:pStyle w:val="ExampleText"/>
        <w:ind w:left="0"/>
        <w:rPr>
          <w:rFonts w:ascii="Arial" w:hAnsi="Arial" w:cs="Arial"/>
          <w:color w:val="auto"/>
        </w:rPr>
      </w:pPr>
      <w:r w:rsidRPr="00051379">
        <w:rPr>
          <w:rFonts w:ascii="Arial" w:hAnsi="Arial"/>
          <w:b/>
          <w:color w:val="auto"/>
        </w:rPr>
        <w:t>Revaluation Reserve</w:t>
      </w:r>
      <w:r w:rsidRPr="00051379">
        <w:rPr>
          <w:rFonts w:ascii="Arial" w:hAnsi="Arial"/>
          <w:color w:val="auto"/>
        </w:rPr>
        <w:t xml:space="preserve"> – </w:t>
      </w:r>
      <w:r w:rsidR="00EC29EC" w:rsidRPr="00051379">
        <w:rPr>
          <w:rFonts w:ascii="Arial" w:hAnsi="Arial" w:cs="Arial"/>
          <w:color w:val="auto"/>
        </w:rPr>
        <w:t>The Revaluation Reserve contains the net gains made by the Council arising from increases in the value of its Property, Plant and Equipment, Intangible Assets and the “frozen” revaluation gains in assets now classified as Investment Properties or as Assets Held for Sale.  The balance is reduced when assets with accumulated gains are:</w:t>
      </w:r>
    </w:p>
    <w:p w:rsidR="003D6968" w:rsidRPr="00051379" w:rsidRDefault="003D6968" w:rsidP="00EC29EC">
      <w:pPr>
        <w:pStyle w:val="ExampleText"/>
        <w:ind w:left="0"/>
        <w:rPr>
          <w:rFonts w:ascii="Arial" w:hAnsi="Arial" w:cs="Arial"/>
          <w:color w:val="auto"/>
        </w:rPr>
      </w:pPr>
    </w:p>
    <w:p w:rsidR="00EC29EC" w:rsidRPr="00051379" w:rsidRDefault="00EC29EC" w:rsidP="00EC29EC">
      <w:pPr>
        <w:pStyle w:val="ExampleText"/>
        <w:numPr>
          <w:ilvl w:val="0"/>
          <w:numId w:val="3"/>
        </w:numPr>
        <w:spacing w:before="0"/>
        <w:ind w:left="1281" w:hanging="357"/>
        <w:rPr>
          <w:rFonts w:ascii="Arial" w:hAnsi="Arial" w:cs="Arial"/>
          <w:color w:val="auto"/>
        </w:rPr>
      </w:pPr>
      <w:r w:rsidRPr="00051379">
        <w:rPr>
          <w:rFonts w:ascii="Arial" w:hAnsi="Arial" w:cs="Arial"/>
          <w:color w:val="auto"/>
        </w:rPr>
        <w:t>revalued downwards or impaired and the gains are lost</w:t>
      </w:r>
    </w:p>
    <w:p w:rsidR="00EC29EC" w:rsidRPr="00051379" w:rsidRDefault="00EC29EC" w:rsidP="00EC29EC">
      <w:pPr>
        <w:pStyle w:val="ExampleText"/>
        <w:numPr>
          <w:ilvl w:val="0"/>
          <w:numId w:val="3"/>
        </w:numPr>
        <w:spacing w:before="0"/>
        <w:ind w:left="1281" w:hanging="357"/>
        <w:rPr>
          <w:rFonts w:ascii="Arial" w:hAnsi="Arial" w:cs="Arial"/>
          <w:color w:val="auto"/>
        </w:rPr>
      </w:pPr>
      <w:r w:rsidRPr="00051379">
        <w:rPr>
          <w:rFonts w:ascii="Arial" w:hAnsi="Arial" w:cs="Arial"/>
          <w:color w:val="auto"/>
        </w:rPr>
        <w:t>used in the provision of services and the gains are consumed through depreciation, or</w:t>
      </w:r>
    </w:p>
    <w:p w:rsidR="00EC29EC" w:rsidRPr="00051379" w:rsidRDefault="00EC29EC" w:rsidP="00EC29EC">
      <w:pPr>
        <w:pStyle w:val="ExampleText"/>
        <w:numPr>
          <w:ilvl w:val="0"/>
          <w:numId w:val="3"/>
        </w:numPr>
        <w:spacing w:before="0"/>
        <w:ind w:left="1281" w:hanging="357"/>
        <w:rPr>
          <w:rFonts w:ascii="Arial" w:hAnsi="Arial" w:cs="Arial"/>
          <w:color w:val="auto"/>
        </w:rPr>
      </w:pPr>
      <w:r w:rsidRPr="00051379">
        <w:rPr>
          <w:rFonts w:ascii="Arial" w:hAnsi="Arial" w:cs="Arial"/>
          <w:color w:val="auto"/>
        </w:rPr>
        <w:t>disposed of and the gains are realised.</w:t>
      </w:r>
    </w:p>
    <w:p w:rsidR="00EC29EC" w:rsidRPr="00051379" w:rsidRDefault="00EC29EC" w:rsidP="00EC29EC">
      <w:pPr>
        <w:pStyle w:val="ExampleText"/>
        <w:spacing w:before="0"/>
        <w:rPr>
          <w:rFonts w:ascii="Arial" w:hAnsi="Arial" w:cs="Arial"/>
          <w:color w:val="auto"/>
        </w:rPr>
      </w:pPr>
    </w:p>
    <w:p w:rsidR="00EC29EC" w:rsidRPr="00051379" w:rsidRDefault="00EC29EC" w:rsidP="00EC29EC">
      <w:pPr>
        <w:pStyle w:val="ExampleText"/>
        <w:spacing w:before="0"/>
        <w:ind w:left="0"/>
        <w:rPr>
          <w:rFonts w:ascii="Arial" w:hAnsi="Arial" w:cs="Arial"/>
          <w:color w:val="auto"/>
        </w:rPr>
      </w:pPr>
      <w:r w:rsidRPr="00051379">
        <w:rPr>
          <w:rFonts w:ascii="Arial" w:hAnsi="Arial" w:cs="Arial"/>
          <w:color w:val="auto"/>
        </w:rPr>
        <w:t>The Reserve contains only revaluation gains accumulated since 1 April 2007, the date that the Reserve was created.  Accumulated gains arising before that date were consolidated into the balance on the Capital Adjustment Account.</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Revenue Contribution to Capital Outlay</w:t>
      </w:r>
      <w:r w:rsidRPr="00051379">
        <w:rPr>
          <w:rFonts w:ascii="Arial" w:hAnsi="Arial"/>
        </w:rPr>
        <w:t xml:space="preserve"> - the financing of capital expenditure, directly funded from revenue or reserves, rather than from borrowing or other sources.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Revenue Expenditure</w:t>
      </w:r>
      <w:r w:rsidRPr="00051379">
        <w:rPr>
          <w:rFonts w:ascii="Arial" w:hAnsi="Arial"/>
        </w:rPr>
        <w:t xml:space="preserve"> - expenditure on day-to-day expenses consisting mainly of employee costs, the running expenses of buildings and equipment and capital financing costs. </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Revenue Support Grant</w:t>
      </w:r>
      <w:r w:rsidRPr="00051379">
        <w:rPr>
          <w:rFonts w:ascii="Arial" w:hAnsi="Arial"/>
        </w:rPr>
        <w:t xml:space="preserve"> – a General Government Grant funded from national taxation to support the </w:t>
      </w:r>
      <w:r w:rsidRPr="00051379">
        <w:rPr>
          <w:rFonts w:ascii="Arial" w:hAnsi="Arial"/>
        </w:rPr>
        <w:lastRenderedPageBreak/>
        <w:t>Council’s net expenditure.</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Scheme Liabilities</w:t>
      </w:r>
      <w:r w:rsidRPr="00051379">
        <w:rPr>
          <w:rFonts w:ascii="Arial" w:hAnsi="Arial"/>
        </w:rPr>
        <w:t xml:space="preserve"> – Money due on a defined benefit scheme due after the valuation date.</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rPr>
      </w:pPr>
      <w:r w:rsidRPr="00051379">
        <w:rPr>
          <w:rFonts w:ascii="Arial" w:hAnsi="Arial"/>
          <w:b/>
        </w:rPr>
        <w:t xml:space="preserve">Supported Borrowing – </w:t>
      </w:r>
      <w:r w:rsidRPr="00051379">
        <w:rPr>
          <w:rFonts w:ascii="Arial" w:hAnsi="Arial"/>
        </w:rPr>
        <w:t>the</w:t>
      </w:r>
      <w:r w:rsidRPr="00051379">
        <w:rPr>
          <w:rFonts w:ascii="Arial" w:hAnsi="Arial"/>
          <w:b/>
        </w:rPr>
        <w:t xml:space="preserve"> </w:t>
      </w:r>
      <w:r w:rsidRPr="00051379">
        <w:rPr>
          <w:rFonts w:ascii="Arial" w:hAnsi="Arial"/>
        </w:rPr>
        <w:t xml:space="preserve">amount of </w:t>
      </w:r>
      <w:r w:rsidR="009916D1" w:rsidRPr="00051379">
        <w:rPr>
          <w:rFonts w:ascii="Arial" w:hAnsi="Arial"/>
        </w:rPr>
        <w:t xml:space="preserve">historic </w:t>
      </w:r>
      <w:r w:rsidRPr="00051379">
        <w:rPr>
          <w:rFonts w:ascii="Arial" w:hAnsi="Arial"/>
        </w:rPr>
        <w:t>Council borrowing towards which the Government provide</w:t>
      </w:r>
      <w:r w:rsidR="00C031DE">
        <w:rPr>
          <w:rFonts w:ascii="Arial" w:hAnsi="Arial"/>
        </w:rPr>
        <w:t>d</w:t>
      </w:r>
      <w:r w:rsidRPr="00051379">
        <w:rPr>
          <w:rFonts w:ascii="Arial" w:hAnsi="Arial"/>
        </w:rPr>
        <w:t xml:space="preserve"> financial support through the annual Revenue Support Grant</w:t>
      </w:r>
      <w:r w:rsidR="009916D1" w:rsidRPr="00051379">
        <w:rPr>
          <w:rFonts w:ascii="Arial" w:hAnsi="Arial"/>
        </w:rPr>
        <w:t xml:space="preserve"> although this now </w:t>
      </w:r>
      <w:r w:rsidR="00C031DE">
        <w:rPr>
          <w:rFonts w:ascii="Arial" w:hAnsi="Arial"/>
        </w:rPr>
        <w:t xml:space="preserve">significantly </w:t>
      </w:r>
      <w:r w:rsidR="009916D1" w:rsidRPr="00051379">
        <w:rPr>
          <w:rFonts w:ascii="Arial" w:hAnsi="Arial"/>
        </w:rPr>
        <w:t>reduced by the ongoing austerity funding reductions</w:t>
      </w:r>
    </w:p>
    <w:p w:rsidR="00E51139" w:rsidRPr="00051379" w:rsidRDefault="00E51139" w:rsidP="00E769F5">
      <w:pPr>
        <w:pStyle w:val="PlainText"/>
        <w:spacing w:line="240" w:lineRule="atLeast"/>
        <w:rPr>
          <w:rFonts w:ascii="Arial" w:hAnsi="Arial"/>
        </w:rPr>
      </w:pPr>
    </w:p>
    <w:p w:rsidR="00E51139" w:rsidRPr="00051379" w:rsidRDefault="00E51139" w:rsidP="00E769F5">
      <w:pPr>
        <w:pStyle w:val="PlainText"/>
        <w:spacing w:line="240" w:lineRule="atLeast"/>
        <w:rPr>
          <w:rFonts w:ascii="Arial" w:hAnsi="Arial"/>
          <w:b/>
          <w:u w:val="single"/>
        </w:rPr>
      </w:pPr>
      <w:r w:rsidRPr="00051379">
        <w:rPr>
          <w:rFonts w:ascii="Arial" w:hAnsi="Arial"/>
          <w:b/>
          <w:u w:val="single"/>
        </w:rPr>
        <w:t>T</w:t>
      </w:r>
    </w:p>
    <w:p w:rsidR="00E51139" w:rsidRPr="00051379" w:rsidRDefault="00E51139" w:rsidP="00E769F5">
      <w:pPr>
        <w:pStyle w:val="PlainText"/>
        <w:spacing w:line="240" w:lineRule="atLeast"/>
        <w:rPr>
          <w:rFonts w:ascii="Arial" w:hAnsi="Arial"/>
          <w:b/>
        </w:rPr>
      </w:pPr>
    </w:p>
    <w:p w:rsidR="00E51139" w:rsidRPr="00051379" w:rsidRDefault="00407A68" w:rsidP="00092DF5">
      <w:pPr>
        <w:pStyle w:val="PlainText"/>
        <w:spacing w:line="240" w:lineRule="atLeast"/>
        <w:rPr>
          <w:rFonts w:ascii="Arial" w:hAnsi="Arial"/>
        </w:rPr>
      </w:pPr>
      <w:r w:rsidRPr="00051379">
        <w:rPr>
          <w:rFonts w:ascii="Arial" w:hAnsi="Arial"/>
          <w:b/>
        </w:rPr>
        <w:t>TDA</w:t>
      </w:r>
      <w:r w:rsidR="00E51139" w:rsidRPr="00051379">
        <w:rPr>
          <w:rFonts w:ascii="Arial" w:hAnsi="Arial"/>
          <w:b/>
        </w:rPr>
        <w:t xml:space="preserve"> </w:t>
      </w:r>
      <w:r w:rsidR="00E51139" w:rsidRPr="00051379">
        <w:rPr>
          <w:rFonts w:ascii="Arial" w:hAnsi="Arial"/>
        </w:rPr>
        <w:t>– Torbay Economic Development Company Ltd. A subsidiary of Torbay Council</w:t>
      </w:r>
      <w:r w:rsidRPr="00051379">
        <w:rPr>
          <w:rFonts w:ascii="Arial" w:hAnsi="Arial"/>
        </w:rPr>
        <w:t xml:space="preserve"> that trades as Torbay Development Agency (TDA)</w:t>
      </w:r>
    </w:p>
    <w:p w:rsidR="00E51139" w:rsidRPr="00051379" w:rsidRDefault="00E51139" w:rsidP="00E769F5">
      <w:pPr>
        <w:pStyle w:val="PlainText"/>
        <w:spacing w:line="240" w:lineRule="atLeast"/>
        <w:rPr>
          <w:rFonts w:ascii="Arial" w:hAnsi="Arial"/>
          <w:b/>
        </w:rPr>
      </w:pPr>
    </w:p>
    <w:p w:rsidR="00E51139" w:rsidRPr="00051379" w:rsidRDefault="00E51139" w:rsidP="00E769F5">
      <w:pPr>
        <w:pStyle w:val="PlainText"/>
        <w:spacing w:line="240" w:lineRule="atLeast"/>
        <w:rPr>
          <w:rFonts w:ascii="Arial" w:hAnsi="Arial"/>
        </w:rPr>
      </w:pPr>
      <w:r w:rsidRPr="00051379">
        <w:rPr>
          <w:rFonts w:ascii="Arial" w:hAnsi="Arial"/>
          <w:b/>
        </w:rPr>
        <w:t xml:space="preserve">Total </w:t>
      </w:r>
      <w:r w:rsidR="00DD413A" w:rsidRPr="00051379">
        <w:rPr>
          <w:rFonts w:ascii="Arial" w:hAnsi="Arial"/>
          <w:b/>
        </w:rPr>
        <w:t>C</w:t>
      </w:r>
      <w:r w:rsidRPr="00051379">
        <w:rPr>
          <w:rFonts w:ascii="Arial" w:hAnsi="Arial"/>
          <w:b/>
        </w:rPr>
        <w:t>ost</w:t>
      </w:r>
      <w:r w:rsidRPr="00051379">
        <w:rPr>
          <w:rFonts w:ascii="Arial" w:hAnsi="Arial"/>
        </w:rPr>
        <w:t xml:space="preserve"> – the actual cost of services reflects all of the direct, indirect and overhead costs that have been incurred in providing the service, even where the expenditure is not under the control of the service’s chief officer. </w:t>
      </w:r>
    </w:p>
    <w:p w:rsidR="00E51139" w:rsidRPr="00051379" w:rsidRDefault="00E51139" w:rsidP="00E769F5">
      <w:pPr>
        <w:pStyle w:val="Footer"/>
        <w:spacing w:line="240" w:lineRule="atLeast"/>
        <w:rPr>
          <w:color w:val="auto"/>
          <w:sz w:val="20"/>
          <w:szCs w:val="20"/>
        </w:rPr>
      </w:pPr>
    </w:p>
    <w:p w:rsidR="00E51139" w:rsidRPr="00051379" w:rsidRDefault="00E51139" w:rsidP="00E769F5">
      <w:pPr>
        <w:pStyle w:val="Footer"/>
        <w:spacing w:line="240" w:lineRule="atLeast"/>
        <w:rPr>
          <w:b/>
          <w:color w:val="auto"/>
          <w:sz w:val="20"/>
          <w:szCs w:val="20"/>
          <w:u w:val="single"/>
        </w:rPr>
      </w:pPr>
      <w:r w:rsidRPr="00051379">
        <w:rPr>
          <w:b/>
          <w:color w:val="auto"/>
          <w:sz w:val="20"/>
          <w:szCs w:val="20"/>
          <w:u w:val="single"/>
        </w:rPr>
        <w:t>U</w:t>
      </w:r>
    </w:p>
    <w:p w:rsidR="00E51139" w:rsidRPr="00051379" w:rsidRDefault="00E51139" w:rsidP="00E769F5">
      <w:pPr>
        <w:pStyle w:val="Footer"/>
        <w:spacing w:line="240" w:lineRule="atLeast"/>
        <w:rPr>
          <w:b/>
          <w:color w:val="auto"/>
          <w:sz w:val="20"/>
          <w:szCs w:val="20"/>
        </w:rPr>
      </w:pPr>
    </w:p>
    <w:p w:rsidR="00E51139" w:rsidRPr="00051379" w:rsidRDefault="00E51139" w:rsidP="00E769F5">
      <w:pPr>
        <w:pStyle w:val="Footer"/>
        <w:spacing w:line="240" w:lineRule="atLeast"/>
        <w:rPr>
          <w:color w:val="auto"/>
          <w:sz w:val="20"/>
          <w:szCs w:val="20"/>
        </w:rPr>
      </w:pPr>
      <w:r w:rsidRPr="00051379">
        <w:rPr>
          <w:b/>
          <w:color w:val="auto"/>
          <w:sz w:val="20"/>
          <w:szCs w:val="20"/>
        </w:rPr>
        <w:t xml:space="preserve">Unfunded Pension Liabilities </w:t>
      </w:r>
      <w:r w:rsidRPr="00051379">
        <w:rPr>
          <w:color w:val="auto"/>
          <w:sz w:val="20"/>
          <w:szCs w:val="20"/>
        </w:rPr>
        <w:t>– these are pension costs arising from additional service awarded by a Council on a discretionary basis.</w:t>
      </w:r>
    </w:p>
    <w:p w:rsidR="00E51139" w:rsidRPr="00051379" w:rsidRDefault="00E51139" w:rsidP="00E769F5">
      <w:pPr>
        <w:pStyle w:val="Footer"/>
        <w:spacing w:line="240" w:lineRule="atLeast"/>
        <w:rPr>
          <w:color w:val="auto"/>
          <w:sz w:val="20"/>
          <w:szCs w:val="20"/>
        </w:rPr>
      </w:pPr>
    </w:p>
    <w:p w:rsidR="009145E7" w:rsidRPr="00051379" w:rsidRDefault="00E51139" w:rsidP="009145E7">
      <w:pPr>
        <w:pStyle w:val="PlainText"/>
        <w:spacing w:line="240" w:lineRule="atLeast"/>
        <w:rPr>
          <w:rFonts w:ascii="Arial" w:hAnsi="Arial"/>
        </w:rPr>
      </w:pPr>
      <w:r w:rsidRPr="00051379">
        <w:rPr>
          <w:rFonts w:ascii="Arial" w:hAnsi="Arial"/>
          <w:b/>
        </w:rPr>
        <w:t xml:space="preserve">Unsupported (or Prudential) Borrowing – </w:t>
      </w:r>
      <w:r w:rsidRPr="00051379">
        <w:rPr>
          <w:rFonts w:ascii="Arial" w:hAnsi="Arial"/>
        </w:rPr>
        <w:t>any borrowing the Council undertakes that is above and beyond the level of Supported Borrowing which the Government helps to fund and which therefore the Council has to fund completely from its own resources.</w:t>
      </w:r>
    </w:p>
    <w:p w:rsidR="009145E7" w:rsidRPr="00051379" w:rsidRDefault="009145E7" w:rsidP="009145E7">
      <w:pPr>
        <w:pStyle w:val="PlainText"/>
        <w:spacing w:line="240" w:lineRule="atLeast"/>
        <w:rPr>
          <w:rFonts w:ascii="Arial" w:hAnsi="Arial"/>
        </w:rPr>
      </w:pPr>
    </w:p>
    <w:p w:rsidR="00E51139" w:rsidRPr="00051379" w:rsidRDefault="00E51139" w:rsidP="009145E7">
      <w:pPr>
        <w:pStyle w:val="PlainText"/>
        <w:spacing w:line="240" w:lineRule="atLeast"/>
        <w:rPr>
          <w:rFonts w:ascii="Arial" w:hAnsi="Arial"/>
        </w:rPr>
      </w:pPr>
      <w:r w:rsidRPr="00051379">
        <w:rPr>
          <w:rFonts w:ascii="Arial" w:hAnsi="Arial"/>
          <w:b/>
        </w:rPr>
        <w:t>Usable Reserves</w:t>
      </w:r>
      <w:r w:rsidRPr="00051379">
        <w:rPr>
          <w:rFonts w:ascii="Arial" w:hAnsi="Arial"/>
        </w:rPr>
        <w:t xml:space="preserve"> – a heading that reflects the Council’s reserves that can be used for supporting service delivery</w:t>
      </w:r>
      <w:r w:rsidR="00D248D0" w:rsidRPr="00051379">
        <w:rPr>
          <w:rFonts w:ascii="Arial" w:hAnsi="Arial"/>
        </w:rPr>
        <w:t>,</w:t>
      </w:r>
      <w:r w:rsidRPr="00051379">
        <w:rPr>
          <w:rFonts w:ascii="Arial" w:hAnsi="Arial"/>
        </w:rPr>
        <w:t xml:space="preserve"> including capital expenditure</w:t>
      </w:r>
      <w:r w:rsidR="00D248D0" w:rsidRPr="00051379">
        <w:rPr>
          <w:rFonts w:ascii="Arial" w:hAnsi="Arial"/>
        </w:rPr>
        <w:t>,</w:t>
      </w:r>
      <w:r w:rsidRPr="00051379">
        <w:rPr>
          <w:rFonts w:ascii="Arial" w:hAnsi="Arial"/>
        </w:rPr>
        <w:t xml:space="preserve"> in the future. </w:t>
      </w:r>
    </w:p>
    <w:p w:rsidR="009145E7" w:rsidRPr="00051379" w:rsidRDefault="009145E7" w:rsidP="009145E7">
      <w:pPr>
        <w:pStyle w:val="PlainText"/>
        <w:spacing w:line="240" w:lineRule="atLeast"/>
        <w:rPr>
          <w:rFonts w:cs="Arial"/>
        </w:rPr>
      </w:pPr>
    </w:p>
    <w:p w:rsidR="00E51139" w:rsidRPr="00051379" w:rsidRDefault="00E51139" w:rsidP="00E769F5">
      <w:pPr>
        <w:widowControl w:val="0"/>
        <w:rPr>
          <w:rFonts w:cs="Arial"/>
          <w:color w:val="auto"/>
          <w:sz w:val="20"/>
          <w:szCs w:val="20"/>
        </w:rPr>
      </w:pPr>
      <w:r w:rsidRPr="00051379">
        <w:rPr>
          <w:rFonts w:cs="Arial"/>
          <w:b/>
          <w:color w:val="auto"/>
          <w:sz w:val="20"/>
          <w:szCs w:val="20"/>
        </w:rPr>
        <w:t xml:space="preserve">Unusable Reserves – </w:t>
      </w:r>
      <w:r w:rsidRPr="00051379">
        <w:rPr>
          <w:rFonts w:cs="Arial"/>
          <w:color w:val="auto"/>
          <w:sz w:val="20"/>
          <w:szCs w:val="20"/>
        </w:rPr>
        <w:t>a heading that reflects the Council’s reserves that can not be used for supporting services. These tend to be the result of notional accounting entries such as those that reflect previous capital financing, asset revaluations and the pension reserve.</w:t>
      </w:r>
    </w:p>
    <w:p w:rsidR="00D02E95" w:rsidRPr="00051379" w:rsidRDefault="00D02E95" w:rsidP="00E769F5">
      <w:pPr>
        <w:widowControl w:val="0"/>
        <w:rPr>
          <w:rFonts w:cs="Arial"/>
          <w:b/>
          <w:color w:val="auto"/>
          <w:sz w:val="20"/>
          <w:szCs w:val="20"/>
          <w:u w:val="single"/>
        </w:rPr>
      </w:pPr>
      <w:r w:rsidRPr="00051379">
        <w:rPr>
          <w:rFonts w:cs="Arial"/>
          <w:b/>
          <w:color w:val="auto"/>
          <w:sz w:val="20"/>
          <w:szCs w:val="20"/>
          <w:u w:val="single"/>
        </w:rPr>
        <w:t>V</w:t>
      </w:r>
    </w:p>
    <w:p w:rsidR="00D02E95" w:rsidRPr="00051379" w:rsidRDefault="00D02E95" w:rsidP="00D02E95">
      <w:pPr>
        <w:pStyle w:val="PlainText"/>
        <w:spacing w:line="240" w:lineRule="atLeast"/>
        <w:rPr>
          <w:rFonts w:ascii="Arial" w:hAnsi="Arial"/>
        </w:rPr>
      </w:pPr>
      <w:r w:rsidRPr="00051379">
        <w:rPr>
          <w:rFonts w:ascii="Arial" w:hAnsi="Arial"/>
          <w:b/>
        </w:rPr>
        <w:t>VRP – Voluntary Revenue Provision</w:t>
      </w:r>
      <w:r w:rsidRPr="00051379">
        <w:rPr>
          <w:rFonts w:ascii="Arial" w:hAnsi="Arial"/>
        </w:rPr>
        <w:t xml:space="preserve"> – A additional sum that a Council can make to be set aside as provision for the future repayment of debt.</w:t>
      </w:r>
    </w:p>
    <w:p w:rsidR="00D02E95" w:rsidRPr="00D42E0B" w:rsidRDefault="00D02E95" w:rsidP="00E769F5">
      <w:pPr>
        <w:widowControl w:val="0"/>
        <w:rPr>
          <w:rFonts w:cs="Arial"/>
          <w:b/>
          <w:color w:val="548DD4" w:themeColor="text2" w:themeTint="99"/>
          <w:sz w:val="20"/>
          <w:szCs w:val="20"/>
        </w:rPr>
      </w:pPr>
    </w:p>
    <w:sectPr w:rsidR="00D02E95" w:rsidRPr="00D42E0B" w:rsidSect="001A3F09">
      <w:headerReference w:type="default" r:id="rId55"/>
      <w:headerReference w:type="first" r:id="rId56"/>
      <w:pgSz w:w="11906" w:h="16838" w:code="9"/>
      <w:pgMar w:top="1440" w:right="1440" w:bottom="1440" w:left="1440" w:header="544" w:footer="5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1D" w:rsidRDefault="00A4031D" w:rsidP="00436A45">
      <w:pPr>
        <w:spacing w:after="0" w:line="240" w:lineRule="auto"/>
      </w:pPr>
      <w:r>
        <w:separator/>
      </w:r>
    </w:p>
  </w:endnote>
  <w:endnote w:type="continuationSeparator" w:id="0">
    <w:p w:rsidR="00A4031D" w:rsidRDefault="00A4031D" w:rsidP="0043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wC_Logo">
    <w:altName w:val="Symbol"/>
    <w:panose1 w:val="00000000000000000000"/>
    <w:charset w:val="02"/>
    <w:family w:val="auto"/>
    <w:notTrueType/>
    <w:pitch w:val="variable"/>
    <w:sig w:usb0="00000000" w:usb1="00000000" w:usb2="00000000" w:usb3="00000000" w:csb0="00000000" w:csb1="00000000"/>
  </w:font>
  <w:font w:name="FS Lola">
    <w:panose1 w:val="00000000000000000000"/>
    <w:charset w:val="00"/>
    <w:family w:val="modern"/>
    <w:notTrueType/>
    <w:pitch w:val="variable"/>
    <w:sig w:usb0="00000003" w:usb1="00000000" w:usb2="00000000" w:usb3="00000000" w:csb0="00000001" w:csb1="00000000"/>
  </w:font>
  <w:font w:name="FS Lola Ligh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Bold">
    <w:altName w:val="Rockwell Extra Bold"/>
    <w:panose1 w:val="00000000000000000000"/>
    <w:charset w:val="00"/>
    <w:family w:val="auto"/>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Black">
    <w:altName w:val="Rockwell Extra Bold"/>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Gill Sans MT">
    <w:altName w:val="Century Gothic"/>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Default="00A4031D" w:rsidP="00593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031D" w:rsidRDefault="00A403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Default="00A4031D" w:rsidP="00593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104">
      <w:rPr>
        <w:rStyle w:val="PageNumber"/>
        <w:noProof/>
      </w:rPr>
      <w:t>129</w:t>
    </w:r>
    <w:r>
      <w:rPr>
        <w:rStyle w:val="PageNumber"/>
      </w:rPr>
      <w:fldChar w:fldCharType="end"/>
    </w:r>
  </w:p>
  <w:p w:rsidR="00A4031D" w:rsidRDefault="00A403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961611"/>
      <w:docPartObj>
        <w:docPartGallery w:val="Page Numbers (Bottom of Page)"/>
        <w:docPartUnique/>
      </w:docPartObj>
    </w:sdtPr>
    <w:sdtEndPr>
      <w:rPr>
        <w:noProof/>
      </w:rPr>
    </w:sdtEndPr>
    <w:sdtContent>
      <w:p w:rsidR="00A4031D" w:rsidRDefault="00A4031D" w:rsidP="00BD6176">
        <w:pPr>
          <w:pStyle w:val="Footer"/>
          <w:jc w:val="center"/>
        </w:pPr>
        <w:fldSimple w:instr=" PAGE   \* MERGEFORMAT ">
          <w:r w:rsidR="00377104">
            <w:rPr>
              <w:noProof/>
            </w:rPr>
            <w:t>74</w:t>
          </w:r>
        </w:fldSimple>
      </w:p>
    </w:sdtContent>
  </w:sdt>
  <w:p w:rsidR="00A4031D" w:rsidRPr="00BD6176" w:rsidRDefault="00A4031D" w:rsidP="00BD61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1D" w:rsidRDefault="00A4031D" w:rsidP="00436A45">
      <w:pPr>
        <w:spacing w:after="0" w:line="240" w:lineRule="auto"/>
      </w:pPr>
      <w:r>
        <w:separator/>
      </w:r>
    </w:p>
  </w:footnote>
  <w:footnote w:type="continuationSeparator" w:id="0">
    <w:p w:rsidR="00A4031D" w:rsidRDefault="00A4031D" w:rsidP="0043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8C04FA" w:rsidRDefault="00A4031D">
    <w:pPr>
      <w:pStyle w:val="Header"/>
      <w:rPr>
        <w:sz w:val="18"/>
        <w:szCs w:val="18"/>
      </w:rPr>
    </w:pPr>
    <w:r w:rsidRPr="008C04FA">
      <w:rPr>
        <w:sz w:val="18"/>
        <w:szCs w:val="18"/>
      </w:rPr>
      <w:t>Torbay Council</w:t>
    </w:r>
  </w:p>
  <w:p w:rsidR="00A4031D" w:rsidRPr="008C04FA" w:rsidRDefault="00A4031D">
    <w:pPr>
      <w:pStyle w:val="Header"/>
      <w:rPr>
        <w:sz w:val="18"/>
        <w:szCs w:val="18"/>
      </w:rPr>
    </w:pPr>
    <w:r>
      <w:rPr>
        <w:sz w:val="18"/>
        <w:szCs w:val="18"/>
      </w:rPr>
      <w:t>2015/16</w:t>
    </w:r>
    <w:r w:rsidRPr="008C04FA">
      <w:rPr>
        <w:sz w:val="18"/>
        <w:szCs w:val="18"/>
      </w:rPr>
      <w:t xml:space="preserve"> Statement of Accounts for the year ended 31</w:t>
    </w:r>
    <w:r w:rsidRPr="008C04FA">
      <w:rPr>
        <w:sz w:val="18"/>
        <w:szCs w:val="18"/>
        <w:vertAlign w:val="superscript"/>
      </w:rPr>
      <w:t>st</w:t>
    </w:r>
    <w:r w:rsidRPr="008C04FA">
      <w:rPr>
        <w:sz w:val="18"/>
        <w:szCs w:val="18"/>
      </w:rPr>
      <w:t xml:space="preserve"> March </w:t>
    </w:r>
    <w:r>
      <w:rPr>
        <w:sz w:val="18"/>
        <w:szCs w:val="18"/>
      </w:rPr>
      <w:t>2016</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Default="00A4031D">
    <w:pPr>
      <w:pStyle w:val="Header"/>
    </w:pPr>
    <w:r>
      <w:t>2015/16 Statement of Accounts for the year ended 31</w:t>
    </w:r>
    <w:r w:rsidRPr="00114EA6">
      <w:rPr>
        <w:vertAlign w:val="superscript"/>
      </w:rPr>
      <w:t>st</w:t>
    </w:r>
    <w:r>
      <w:t xml:space="preserve"> March 2016 – Independent Auditor’s Report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8C04FA" w:rsidRDefault="00A4031D">
    <w:pPr>
      <w:pStyle w:val="Header"/>
      <w:rPr>
        <w:sz w:val="18"/>
        <w:szCs w:val="18"/>
      </w:rPr>
    </w:pPr>
    <w:r w:rsidRPr="008C04FA">
      <w:rPr>
        <w:sz w:val="18"/>
        <w:szCs w:val="18"/>
      </w:rPr>
      <w:t>Torbay Council</w:t>
    </w:r>
  </w:p>
  <w:p w:rsidR="00A4031D" w:rsidRDefault="00A4031D" w:rsidP="007D52F1">
    <w:pPr>
      <w:pStyle w:val="Header"/>
    </w:pPr>
    <w:r>
      <w:rPr>
        <w:sz w:val="18"/>
        <w:szCs w:val="18"/>
      </w:rPr>
      <w:t>2015/16</w:t>
    </w:r>
    <w:r w:rsidRPr="008C04FA">
      <w:rPr>
        <w:sz w:val="18"/>
        <w:szCs w:val="18"/>
      </w:rPr>
      <w:t xml:space="preserve"> Statement of Accounts for the year ended 31</w:t>
    </w:r>
    <w:r w:rsidRPr="008C04FA">
      <w:rPr>
        <w:sz w:val="18"/>
        <w:szCs w:val="18"/>
        <w:vertAlign w:val="superscript"/>
      </w:rPr>
      <w:t>st</w:t>
    </w:r>
    <w:r w:rsidRPr="008C04FA">
      <w:rPr>
        <w:sz w:val="18"/>
        <w:szCs w:val="18"/>
      </w:rPr>
      <w:t xml:space="preserve"> March </w:t>
    </w:r>
    <w:r>
      <w:rPr>
        <w:sz w:val="18"/>
        <w:szCs w:val="18"/>
      </w:rPr>
      <w:t xml:space="preserve">2016 – </w:t>
    </w:r>
    <w:r>
      <w:t>Core Financial Statements</w:t>
    </w:r>
  </w:p>
  <w:p w:rsidR="00A4031D" w:rsidRPr="008C04FA" w:rsidRDefault="00A4031D">
    <w:pPr>
      <w:pStyle w:val="Header"/>
      <w:rPr>
        <w:sz w:val="18"/>
        <w:szCs w:val="1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1B40D8" w:rsidRDefault="00A4031D">
    <w:pPr>
      <w:pStyle w:val="Header"/>
      <w:rPr>
        <w:sz w:val="18"/>
        <w:szCs w:val="18"/>
      </w:rPr>
    </w:pPr>
    <w:r w:rsidRPr="001B40D8">
      <w:rPr>
        <w:sz w:val="18"/>
        <w:szCs w:val="18"/>
      </w:rPr>
      <w:t>201</w:t>
    </w:r>
    <w:r>
      <w:rPr>
        <w:sz w:val="18"/>
        <w:szCs w:val="18"/>
      </w:rPr>
      <w:t>5</w:t>
    </w:r>
    <w:r w:rsidRPr="001B40D8">
      <w:rPr>
        <w:sz w:val="18"/>
        <w:szCs w:val="18"/>
      </w:rPr>
      <w:t>/1</w:t>
    </w:r>
    <w:r>
      <w:rPr>
        <w:sz w:val="18"/>
        <w:szCs w:val="18"/>
      </w:rPr>
      <w:t>6</w:t>
    </w:r>
    <w:r w:rsidRPr="001B40D8">
      <w:rPr>
        <w:sz w:val="18"/>
        <w:szCs w:val="18"/>
      </w:rPr>
      <w:t xml:space="preserve"> Statement of Accounts for the year ended 31</w:t>
    </w:r>
    <w:r w:rsidRPr="001B40D8">
      <w:rPr>
        <w:sz w:val="18"/>
        <w:szCs w:val="18"/>
        <w:vertAlign w:val="superscript"/>
      </w:rPr>
      <w:t>st</w:t>
    </w:r>
    <w:r w:rsidRPr="001B40D8">
      <w:rPr>
        <w:sz w:val="18"/>
        <w:szCs w:val="18"/>
      </w:rPr>
      <w:t xml:space="preserve"> March 201</w:t>
    </w:r>
    <w:r>
      <w:rPr>
        <w:sz w:val="18"/>
        <w:szCs w:val="18"/>
      </w:rPr>
      <w:t>6</w:t>
    </w:r>
    <w:r w:rsidRPr="001B40D8">
      <w:rPr>
        <w:sz w:val="18"/>
        <w:szCs w:val="18"/>
      </w:rPr>
      <w:t xml:space="preserve"> </w:t>
    </w:r>
    <w:r>
      <w:rPr>
        <w:sz w:val="18"/>
        <w:szCs w:val="18"/>
      </w:rPr>
      <w:t>– C</w:t>
    </w:r>
    <w:r w:rsidRPr="001B40D8">
      <w:rPr>
        <w:sz w:val="18"/>
        <w:szCs w:val="18"/>
      </w:rPr>
      <w:t xml:space="preserve">ore </w:t>
    </w:r>
    <w:r>
      <w:rPr>
        <w:sz w:val="18"/>
        <w:szCs w:val="18"/>
      </w:rPr>
      <w:t xml:space="preserve">Financial </w:t>
    </w:r>
    <w:r w:rsidRPr="001B40D8">
      <w:rPr>
        <w:sz w:val="18"/>
        <w:szCs w:val="18"/>
      </w:rPr>
      <w:t>Statements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8C04FA" w:rsidRDefault="00A4031D">
    <w:pPr>
      <w:pStyle w:val="Header"/>
      <w:rPr>
        <w:sz w:val="18"/>
        <w:szCs w:val="18"/>
      </w:rPr>
    </w:pPr>
    <w:r w:rsidRPr="008C04FA">
      <w:rPr>
        <w:sz w:val="18"/>
        <w:szCs w:val="18"/>
      </w:rPr>
      <w:t>Torbay Council</w:t>
    </w:r>
  </w:p>
  <w:p w:rsidR="00A4031D" w:rsidRDefault="00A4031D" w:rsidP="007D52F1">
    <w:pPr>
      <w:pStyle w:val="Header"/>
    </w:pPr>
    <w:r>
      <w:rPr>
        <w:sz w:val="18"/>
        <w:szCs w:val="18"/>
      </w:rPr>
      <w:t>2015/16</w:t>
    </w:r>
    <w:r w:rsidRPr="008C04FA">
      <w:rPr>
        <w:sz w:val="18"/>
        <w:szCs w:val="18"/>
      </w:rPr>
      <w:t xml:space="preserve"> Statement of Accounts for the year ended 31</w:t>
    </w:r>
    <w:r w:rsidRPr="008C04FA">
      <w:rPr>
        <w:sz w:val="18"/>
        <w:szCs w:val="18"/>
        <w:vertAlign w:val="superscript"/>
      </w:rPr>
      <w:t>st</w:t>
    </w:r>
    <w:r w:rsidRPr="008C04FA">
      <w:rPr>
        <w:sz w:val="18"/>
        <w:szCs w:val="18"/>
      </w:rPr>
      <w:t xml:space="preserve"> March </w:t>
    </w:r>
    <w:r>
      <w:rPr>
        <w:sz w:val="18"/>
        <w:szCs w:val="18"/>
      </w:rPr>
      <w:t xml:space="preserve">2016 – Notes to the </w:t>
    </w:r>
    <w:r w:rsidRPr="007D52F1">
      <w:rPr>
        <w:sz w:val="18"/>
        <w:szCs w:val="18"/>
      </w:rPr>
      <w:t xml:space="preserve">Core </w:t>
    </w:r>
    <w:r>
      <w:rPr>
        <w:sz w:val="18"/>
        <w:szCs w:val="18"/>
      </w:rPr>
      <w:t xml:space="preserve">Financial </w:t>
    </w:r>
    <w:r w:rsidRPr="007D52F1">
      <w:rPr>
        <w:sz w:val="18"/>
        <w:szCs w:val="18"/>
      </w:rPr>
      <w:t>Statements</w:t>
    </w:r>
  </w:p>
  <w:p w:rsidR="00A4031D" w:rsidRPr="008C04FA" w:rsidRDefault="00A4031D">
    <w:pPr>
      <w:pStyle w:val="Header"/>
      <w:rPr>
        <w:sz w:val="18"/>
        <w:szCs w:val="1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1B40D8" w:rsidRDefault="00A4031D">
    <w:pPr>
      <w:pStyle w:val="Header"/>
      <w:rPr>
        <w:sz w:val="18"/>
        <w:szCs w:val="18"/>
      </w:rPr>
    </w:pPr>
    <w:r w:rsidRPr="001B40D8">
      <w:rPr>
        <w:sz w:val="18"/>
        <w:szCs w:val="18"/>
      </w:rPr>
      <w:t>201</w:t>
    </w:r>
    <w:r>
      <w:rPr>
        <w:sz w:val="18"/>
        <w:szCs w:val="18"/>
      </w:rPr>
      <w:t>5</w:t>
    </w:r>
    <w:r w:rsidRPr="001B40D8">
      <w:rPr>
        <w:sz w:val="18"/>
        <w:szCs w:val="18"/>
      </w:rPr>
      <w:t>/1</w:t>
    </w:r>
    <w:r>
      <w:rPr>
        <w:sz w:val="18"/>
        <w:szCs w:val="18"/>
      </w:rPr>
      <w:t>6</w:t>
    </w:r>
    <w:r w:rsidRPr="001B40D8">
      <w:rPr>
        <w:sz w:val="18"/>
        <w:szCs w:val="18"/>
      </w:rPr>
      <w:t xml:space="preserve"> Statement of Accounts for the year ended 31</w:t>
    </w:r>
    <w:r w:rsidRPr="001B40D8">
      <w:rPr>
        <w:sz w:val="18"/>
        <w:szCs w:val="18"/>
        <w:vertAlign w:val="superscript"/>
      </w:rPr>
      <w:t>st</w:t>
    </w:r>
    <w:r w:rsidRPr="001B40D8">
      <w:rPr>
        <w:sz w:val="18"/>
        <w:szCs w:val="18"/>
      </w:rPr>
      <w:t xml:space="preserve"> March 201</w:t>
    </w:r>
    <w:r>
      <w:rPr>
        <w:sz w:val="18"/>
        <w:szCs w:val="18"/>
      </w:rPr>
      <w:t>6</w:t>
    </w:r>
    <w:r w:rsidRPr="001B40D8">
      <w:rPr>
        <w:sz w:val="18"/>
        <w:szCs w:val="18"/>
      </w:rPr>
      <w:t xml:space="preserve"> </w:t>
    </w:r>
    <w:r>
      <w:rPr>
        <w:sz w:val="18"/>
        <w:szCs w:val="18"/>
      </w:rPr>
      <w:t>– Notes to the C</w:t>
    </w:r>
    <w:r w:rsidRPr="001B40D8">
      <w:rPr>
        <w:sz w:val="18"/>
        <w:szCs w:val="18"/>
      </w:rPr>
      <w:t xml:space="preserve">ore </w:t>
    </w:r>
    <w:r>
      <w:rPr>
        <w:sz w:val="18"/>
        <w:szCs w:val="18"/>
      </w:rPr>
      <w:t xml:space="preserve">Financial </w:t>
    </w:r>
    <w:r w:rsidRPr="001B40D8">
      <w:rPr>
        <w:sz w:val="18"/>
        <w:szCs w:val="18"/>
      </w:rPr>
      <w:t>Statements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8C04FA" w:rsidRDefault="00A4031D">
    <w:pPr>
      <w:pStyle w:val="Header"/>
      <w:rPr>
        <w:sz w:val="18"/>
        <w:szCs w:val="18"/>
      </w:rPr>
    </w:pPr>
    <w:r w:rsidRPr="008C04FA">
      <w:rPr>
        <w:sz w:val="18"/>
        <w:szCs w:val="18"/>
      </w:rPr>
      <w:t>Torbay Council</w:t>
    </w:r>
  </w:p>
  <w:p w:rsidR="00A4031D" w:rsidRDefault="00A4031D" w:rsidP="007D52F1">
    <w:pPr>
      <w:pStyle w:val="Header"/>
    </w:pPr>
    <w:r w:rsidRPr="008C04FA">
      <w:rPr>
        <w:sz w:val="18"/>
        <w:szCs w:val="18"/>
      </w:rPr>
      <w:t xml:space="preserve"> </w:t>
    </w:r>
    <w:r>
      <w:rPr>
        <w:sz w:val="18"/>
        <w:szCs w:val="18"/>
      </w:rPr>
      <w:t xml:space="preserve">2015/16 </w:t>
    </w:r>
    <w:r w:rsidRPr="008C04FA">
      <w:rPr>
        <w:sz w:val="18"/>
        <w:szCs w:val="18"/>
      </w:rPr>
      <w:t>Statement of Accounts for the year ended 31</w:t>
    </w:r>
    <w:r w:rsidRPr="008C04FA">
      <w:rPr>
        <w:sz w:val="18"/>
        <w:szCs w:val="18"/>
        <w:vertAlign w:val="superscript"/>
      </w:rPr>
      <w:t>st</w:t>
    </w:r>
    <w:r w:rsidRPr="008C04FA">
      <w:rPr>
        <w:sz w:val="18"/>
        <w:szCs w:val="18"/>
      </w:rPr>
      <w:t xml:space="preserve"> March </w:t>
    </w:r>
    <w:r>
      <w:rPr>
        <w:sz w:val="18"/>
        <w:szCs w:val="18"/>
      </w:rPr>
      <w:t xml:space="preserve">2016 – Notes to the </w:t>
    </w:r>
    <w:r w:rsidRPr="007D52F1">
      <w:rPr>
        <w:sz w:val="18"/>
        <w:szCs w:val="18"/>
      </w:rPr>
      <w:t xml:space="preserve">Core </w:t>
    </w:r>
    <w:r>
      <w:rPr>
        <w:sz w:val="18"/>
        <w:szCs w:val="18"/>
      </w:rPr>
      <w:t xml:space="preserve">Financial </w:t>
    </w:r>
    <w:r w:rsidRPr="007D52F1">
      <w:rPr>
        <w:sz w:val="18"/>
        <w:szCs w:val="18"/>
      </w:rPr>
      <w:t>Statements</w:t>
    </w:r>
  </w:p>
  <w:p w:rsidR="00A4031D" w:rsidRPr="008C04FA" w:rsidRDefault="00A4031D">
    <w:pPr>
      <w:pStyle w:val="Header"/>
      <w:rPr>
        <w:sz w:val="18"/>
        <w:szCs w:val="18"/>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1B40D8" w:rsidRDefault="00A4031D">
    <w:pPr>
      <w:pStyle w:val="Header"/>
      <w:rPr>
        <w:sz w:val="18"/>
        <w:szCs w:val="18"/>
      </w:rPr>
    </w:pPr>
    <w:r w:rsidRPr="001B40D8">
      <w:rPr>
        <w:sz w:val="18"/>
        <w:szCs w:val="18"/>
      </w:rPr>
      <w:t>201</w:t>
    </w:r>
    <w:r>
      <w:rPr>
        <w:sz w:val="18"/>
        <w:szCs w:val="18"/>
      </w:rPr>
      <w:t>5</w:t>
    </w:r>
    <w:r w:rsidRPr="001B40D8">
      <w:rPr>
        <w:sz w:val="18"/>
        <w:szCs w:val="18"/>
      </w:rPr>
      <w:t>/1</w:t>
    </w:r>
    <w:r>
      <w:rPr>
        <w:sz w:val="18"/>
        <w:szCs w:val="18"/>
      </w:rPr>
      <w:t>6</w:t>
    </w:r>
    <w:r w:rsidRPr="001B40D8">
      <w:rPr>
        <w:sz w:val="18"/>
        <w:szCs w:val="18"/>
      </w:rPr>
      <w:t xml:space="preserve"> Statement of Accounts for the year ended 31</w:t>
    </w:r>
    <w:r w:rsidRPr="001B40D8">
      <w:rPr>
        <w:sz w:val="18"/>
        <w:szCs w:val="18"/>
        <w:vertAlign w:val="superscript"/>
      </w:rPr>
      <w:t>st</w:t>
    </w:r>
    <w:r w:rsidRPr="001B40D8">
      <w:rPr>
        <w:sz w:val="18"/>
        <w:szCs w:val="18"/>
      </w:rPr>
      <w:t xml:space="preserve"> March 201</w:t>
    </w:r>
    <w:r>
      <w:rPr>
        <w:sz w:val="18"/>
        <w:szCs w:val="18"/>
      </w:rPr>
      <w:t>6</w:t>
    </w:r>
    <w:r w:rsidRPr="001B40D8">
      <w:rPr>
        <w:sz w:val="18"/>
        <w:szCs w:val="18"/>
      </w:rPr>
      <w:t xml:space="preserve"> </w:t>
    </w:r>
    <w:r>
      <w:rPr>
        <w:sz w:val="18"/>
        <w:szCs w:val="18"/>
      </w:rPr>
      <w:t>– Notes to the C</w:t>
    </w:r>
    <w:r w:rsidRPr="001B40D8">
      <w:rPr>
        <w:sz w:val="18"/>
        <w:szCs w:val="18"/>
      </w:rPr>
      <w:t xml:space="preserve">ore </w:t>
    </w:r>
    <w:r>
      <w:rPr>
        <w:sz w:val="18"/>
        <w:szCs w:val="18"/>
      </w:rPr>
      <w:t xml:space="preserve">Financial </w:t>
    </w:r>
    <w:r w:rsidRPr="001B40D8">
      <w:rPr>
        <w:sz w:val="18"/>
        <w:szCs w:val="18"/>
      </w:rPr>
      <w:t>Statements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760F03" w:rsidRDefault="00A4031D">
    <w:pPr>
      <w:pStyle w:val="Header"/>
    </w:pPr>
    <w:r w:rsidRPr="008C04FA">
      <w:rPr>
        <w:sz w:val="18"/>
        <w:szCs w:val="18"/>
      </w:rPr>
      <w:t xml:space="preserve">Torbay </w:t>
    </w:r>
    <w:proofErr w:type="gramStart"/>
    <w:r w:rsidRPr="008C04FA">
      <w:rPr>
        <w:sz w:val="18"/>
        <w:szCs w:val="18"/>
      </w:rPr>
      <w:t>Council</w:t>
    </w:r>
    <w:r>
      <w:rPr>
        <w:sz w:val="18"/>
        <w:szCs w:val="18"/>
      </w:rPr>
      <w:t xml:space="preserve">  2015</w:t>
    </w:r>
    <w:proofErr w:type="gramEnd"/>
    <w:r>
      <w:rPr>
        <w:sz w:val="18"/>
        <w:szCs w:val="18"/>
      </w:rPr>
      <w:t>/16</w:t>
    </w:r>
    <w:r w:rsidRPr="008C04FA">
      <w:rPr>
        <w:sz w:val="18"/>
        <w:szCs w:val="18"/>
      </w:rPr>
      <w:t xml:space="preserve"> </w:t>
    </w:r>
    <w:r>
      <w:rPr>
        <w:sz w:val="18"/>
        <w:szCs w:val="18"/>
      </w:rPr>
      <w:t>Statement of Accounts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1B40D8" w:rsidRDefault="00A4031D">
    <w:pPr>
      <w:pStyle w:val="Header"/>
      <w:rPr>
        <w:sz w:val="18"/>
        <w:szCs w:val="18"/>
      </w:rPr>
    </w:pPr>
    <w:r>
      <w:rPr>
        <w:sz w:val="18"/>
        <w:szCs w:val="18"/>
      </w:rPr>
      <w:t xml:space="preserve">Torbay Council </w:t>
    </w:r>
    <w:r w:rsidRPr="001B40D8">
      <w:rPr>
        <w:sz w:val="18"/>
        <w:szCs w:val="18"/>
      </w:rPr>
      <w:t>201</w:t>
    </w:r>
    <w:r>
      <w:rPr>
        <w:sz w:val="18"/>
        <w:szCs w:val="18"/>
      </w:rPr>
      <w:t>5/16</w:t>
    </w:r>
    <w:r w:rsidRPr="001B40D8">
      <w:rPr>
        <w:sz w:val="18"/>
        <w:szCs w:val="18"/>
      </w:rPr>
      <w:t xml:space="preserve"> </w:t>
    </w:r>
    <w:r>
      <w:rPr>
        <w:sz w:val="18"/>
        <w:szCs w:val="18"/>
      </w:rPr>
      <w:t xml:space="preserve">Statement of Accounts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Default="00A4031D">
    <w:pPr>
      <w:pStyle w:val="Header"/>
    </w:pPr>
    <w:r>
      <w:t>2015/16 Statement of Accounts for the year ended 31</w:t>
    </w:r>
    <w:r w:rsidRPr="002C6E2E">
      <w:rPr>
        <w:vertAlign w:val="superscript"/>
      </w:rPr>
      <w:t>st</w:t>
    </w:r>
    <w:r>
      <w:t xml:space="preserve"> March 2016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Default="00A4031D" w:rsidP="00002727">
    <w:pPr>
      <w:pStyle w:val="Header"/>
      <w:rPr>
        <w:sz w:val="18"/>
        <w:szCs w:val="18"/>
      </w:rPr>
    </w:pPr>
    <w:r w:rsidRPr="008C04FA">
      <w:rPr>
        <w:sz w:val="18"/>
        <w:szCs w:val="18"/>
      </w:rPr>
      <w:t>Torbay Council</w:t>
    </w:r>
  </w:p>
  <w:p w:rsidR="00A4031D" w:rsidRDefault="00A4031D" w:rsidP="00002727">
    <w:pPr>
      <w:pStyle w:val="Header"/>
    </w:pPr>
    <w:r>
      <w:t xml:space="preserve">2015/16 Statement of Accounts – Operating and Financial Review </w:t>
    </w:r>
  </w:p>
  <w:p w:rsidR="00A4031D" w:rsidRPr="008C04FA" w:rsidRDefault="00A4031D" w:rsidP="00002727">
    <w:pPr>
      <w:pStyle w:val="Header"/>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Default="00A4031D" w:rsidP="002C6E2E">
    <w:pPr>
      <w:pStyle w:val="Header"/>
    </w:pPr>
    <w:r>
      <w:t xml:space="preserve">2015/16 Statement of Accounts – Operating and Financial Review </w:t>
    </w:r>
  </w:p>
  <w:p w:rsidR="00A4031D" w:rsidRPr="002C6E2E" w:rsidRDefault="00A4031D" w:rsidP="002C6E2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Default="00A4031D">
    <w:pPr>
      <w:pStyle w:val="Header"/>
    </w:pPr>
    <w:r>
      <w:t>2015/16 Statement of Accounts for the year ended 31</w:t>
    </w:r>
    <w:r w:rsidRPr="00607500">
      <w:rPr>
        <w:vertAlign w:val="superscript"/>
      </w:rPr>
      <w:t>st</w:t>
    </w:r>
    <w:r>
      <w:t xml:space="preserve"> March 2016</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Default="00A4031D">
    <w:pPr>
      <w:pStyle w:val="Header"/>
    </w:pPr>
    <w:r>
      <w:t>2015/16 Statement of Accounts for the year ended 31</w:t>
    </w:r>
    <w:r w:rsidRPr="00114EA6">
      <w:rPr>
        <w:vertAlign w:val="superscript"/>
      </w:rPr>
      <w:t>st</w:t>
    </w:r>
    <w:r>
      <w:t xml:space="preserve"> March 2016 - Index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8C04FA" w:rsidRDefault="00A4031D">
    <w:pPr>
      <w:pStyle w:val="Header"/>
      <w:rPr>
        <w:sz w:val="18"/>
        <w:szCs w:val="18"/>
      </w:rPr>
    </w:pPr>
    <w:r w:rsidRPr="008C04FA">
      <w:rPr>
        <w:sz w:val="18"/>
        <w:szCs w:val="18"/>
      </w:rPr>
      <w:t>Torbay Council</w:t>
    </w:r>
  </w:p>
  <w:p w:rsidR="00A4031D" w:rsidRPr="008C04FA" w:rsidRDefault="00A4031D">
    <w:pPr>
      <w:pStyle w:val="Header"/>
      <w:rPr>
        <w:sz w:val="18"/>
        <w:szCs w:val="18"/>
      </w:rPr>
    </w:pPr>
    <w:r>
      <w:rPr>
        <w:sz w:val="18"/>
        <w:szCs w:val="18"/>
      </w:rPr>
      <w:t>2015/16</w:t>
    </w:r>
    <w:r w:rsidRPr="008C04FA">
      <w:rPr>
        <w:sz w:val="18"/>
        <w:szCs w:val="18"/>
      </w:rPr>
      <w:t xml:space="preserve"> Statement of Accounts for the year ended 31</w:t>
    </w:r>
    <w:r w:rsidRPr="008C04FA">
      <w:rPr>
        <w:sz w:val="18"/>
        <w:szCs w:val="18"/>
        <w:vertAlign w:val="superscript"/>
      </w:rPr>
      <w:t>st</w:t>
    </w:r>
    <w:r w:rsidRPr="008C04FA">
      <w:rPr>
        <w:sz w:val="18"/>
        <w:szCs w:val="18"/>
      </w:rPr>
      <w:t xml:space="preserve"> March </w:t>
    </w:r>
    <w:r>
      <w:rPr>
        <w:sz w:val="18"/>
        <w:szCs w:val="18"/>
      </w:rPr>
      <w:t>2016 – Financial Certificates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Default="00A4031D">
    <w:pPr>
      <w:pStyle w:val="Header"/>
    </w:pPr>
    <w:r>
      <w:t>2015/16 Statement of Accounts for the year ended 31</w:t>
    </w:r>
    <w:r w:rsidRPr="00114EA6">
      <w:rPr>
        <w:vertAlign w:val="superscript"/>
      </w:rPr>
      <w:t>st</w:t>
    </w:r>
    <w:r>
      <w:t xml:space="preserve"> March 2016 – Financial Certificates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1D" w:rsidRPr="008C04FA" w:rsidRDefault="00A4031D">
    <w:pPr>
      <w:pStyle w:val="Header"/>
      <w:rPr>
        <w:sz w:val="18"/>
        <w:szCs w:val="18"/>
      </w:rPr>
    </w:pPr>
    <w:r w:rsidRPr="008C04FA">
      <w:rPr>
        <w:sz w:val="18"/>
        <w:szCs w:val="18"/>
      </w:rPr>
      <w:t>Torbay Council</w:t>
    </w:r>
  </w:p>
  <w:p w:rsidR="00A4031D" w:rsidRDefault="00A4031D" w:rsidP="007D52F1">
    <w:pPr>
      <w:pStyle w:val="Header"/>
    </w:pPr>
    <w:r>
      <w:rPr>
        <w:sz w:val="18"/>
        <w:szCs w:val="18"/>
      </w:rPr>
      <w:t>2015/16</w:t>
    </w:r>
    <w:r w:rsidRPr="008C04FA">
      <w:rPr>
        <w:sz w:val="18"/>
        <w:szCs w:val="18"/>
      </w:rPr>
      <w:t xml:space="preserve"> Statement of Accounts for the year ended 31</w:t>
    </w:r>
    <w:r w:rsidRPr="008C04FA">
      <w:rPr>
        <w:sz w:val="18"/>
        <w:szCs w:val="18"/>
        <w:vertAlign w:val="superscript"/>
      </w:rPr>
      <w:t>st</w:t>
    </w:r>
    <w:r w:rsidRPr="008C04FA">
      <w:rPr>
        <w:sz w:val="18"/>
        <w:szCs w:val="18"/>
      </w:rPr>
      <w:t xml:space="preserve"> March </w:t>
    </w:r>
    <w:r>
      <w:rPr>
        <w:sz w:val="18"/>
        <w:szCs w:val="18"/>
      </w:rPr>
      <w:t xml:space="preserve">2016 – </w:t>
    </w:r>
    <w:r>
      <w:t>Independent Auditor’s Report</w:t>
    </w:r>
  </w:p>
  <w:p w:rsidR="00A4031D" w:rsidRPr="008C04FA" w:rsidRDefault="00A4031D">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rPr>
    </w:lvl>
  </w:abstractNum>
  <w:abstractNum w:abstractNumId="1">
    <w:nsid w:val="02605D6F"/>
    <w:multiLevelType w:val="hybridMultilevel"/>
    <w:tmpl w:val="662C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820F62"/>
    <w:multiLevelType w:val="hybridMultilevel"/>
    <w:tmpl w:val="B3CC2C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984408E"/>
    <w:multiLevelType w:val="multilevel"/>
    <w:tmpl w:val="CF020DFA"/>
    <w:name w:val="PwCListBullets15"/>
    <w:styleLink w:val="PwCListNumbers1"/>
    <w:lvl w:ilvl="0">
      <w:start w:val="1"/>
      <w:numFmt w:val="decimal"/>
      <w:pStyle w:val="ListNumber"/>
      <w:lvlText w:val="%1."/>
      <w:lvlJc w:val="left"/>
      <w:pPr>
        <w:tabs>
          <w:tab w:val="num" w:pos="397"/>
        </w:tabs>
        <w:ind w:left="397" w:hanging="397"/>
      </w:pPr>
      <w:rPr>
        <w:rFonts w:cs="Times New Roman" w:hint="default"/>
      </w:rPr>
    </w:lvl>
    <w:lvl w:ilvl="1">
      <w:start w:val="1"/>
      <w:numFmt w:val="lowerLetter"/>
      <w:pStyle w:val="ListNumber2"/>
      <w:lvlText w:val="%2."/>
      <w:lvlJc w:val="left"/>
      <w:pPr>
        <w:tabs>
          <w:tab w:val="num" w:pos="794"/>
        </w:tabs>
        <w:ind w:left="794" w:hanging="397"/>
      </w:pPr>
      <w:rPr>
        <w:rFonts w:cs="Times New Roman" w:hint="default"/>
      </w:rPr>
    </w:lvl>
    <w:lvl w:ilvl="2">
      <w:start w:val="1"/>
      <w:numFmt w:val="lowerRoman"/>
      <w:pStyle w:val="ListNumber3"/>
      <w:lvlText w:val="%3."/>
      <w:lvlJc w:val="left"/>
      <w:pPr>
        <w:tabs>
          <w:tab w:val="num" w:pos="1191"/>
        </w:tabs>
        <w:ind w:left="1191" w:hanging="397"/>
      </w:pPr>
      <w:rPr>
        <w:rFonts w:cs="Times New Roman" w:hint="default"/>
      </w:rPr>
    </w:lvl>
    <w:lvl w:ilvl="3">
      <w:start w:val="1"/>
      <w:numFmt w:val="decimal"/>
      <w:pStyle w:val="ListNumber4"/>
      <w:lvlText w:val="%4."/>
      <w:lvlJc w:val="left"/>
      <w:pPr>
        <w:tabs>
          <w:tab w:val="num" w:pos="1588"/>
        </w:tabs>
        <w:ind w:left="1588" w:hanging="397"/>
      </w:pPr>
      <w:rPr>
        <w:rFonts w:cs="Times New Roman" w:hint="default"/>
      </w:rPr>
    </w:lvl>
    <w:lvl w:ilvl="4">
      <w:start w:val="1"/>
      <w:numFmt w:val="lowerLetter"/>
      <w:pStyle w:val="ListNumber5"/>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4">
    <w:nsid w:val="09A77669"/>
    <w:multiLevelType w:val="hybridMultilevel"/>
    <w:tmpl w:val="F6F6E4B8"/>
    <w:name w:val="PwCListNumbers1"/>
    <w:lvl w:ilvl="0" w:tplc="FC10A5FE">
      <w:start w:val="1"/>
      <w:numFmt w:val="bullet"/>
      <w:lvlText w:val=""/>
      <w:lvlJc w:val="left"/>
      <w:pPr>
        <w:ind w:left="1287" w:hanging="360"/>
      </w:pPr>
      <w:rPr>
        <w:rFonts w:ascii="Symbol" w:hAnsi="Symbol" w:hint="default"/>
      </w:rPr>
    </w:lvl>
    <w:lvl w:ilvl="1" w:tplc="91C46FC4" w:tentative="1">
      <w:start w:val="1"/>
      <w:numFmt w:val="bullet"/>
      <w:lvlText w:val="o"/>
      <w:lvlJc w:val="left"/>
      <w:pPr>
        <w:ind w:left="2007" w:hanging="360"/>
      </w:pPr>
      <w:rPr>
        <w:rFonts w:ascii="Courier New" w:hAnsi="Courier New" w:hint="default"/>
      </w:rPr>
    </w:lvl>
    <w:lvl w:ilvl="2" w:tplc="278C6F04" w:tentative="1">
      <w:start w:val="1"/>
      <w:numFmt w:val="bullet"/>
      <w:lvlText w:val=""/>
      <w:lvlJc w:val="left"/>
      <w:pPr>
        <w:ind w:left="2727" w:hanging="360"/>
      </w:pPr>
      <w:rPr>
        <w:rFonts w:ascii="Wingdings" w:hAnsi="Wingdings" w:hint="default"/>
      </w:rPr>
    </w:lvl>
    <w:lvl w:ilvl="3" w:tplc="6F6E2FB6" w:tentative="1">
      <w:start w:val="1"/>
      <w:numFmt w:val="bullet"/>
      <w:lvlText w:val=""/>
      <w:lvlJc w:val="left"/>
      <w:pPr>
        <w:ind w:left="3447" w:hanging="360"/>
      </w:pPr>
      <w:rPr>
        <w:rFonts w:ascii="Symbol" w:hAnsi="Symbol" w:hint="default"/>
      </w:rPr>
    </w:lvl>
    <w:lvl w:ilvl="4" w:tplc="AACCCFF0" w:tentative="1">
      <w:start w:val="1"/>
      <w:numFmt w:val="bullet"/>
      <w:lvlText w:val="o"/>
      <w:lvlJc w:val="left"/>
      <w:pPr>
        <w:ind w:left="4167" w:hanging="360"/>
      </w:pPr>
      <w:rPr>
        <w:rFonts w:ascii="Courier New" w:hAnsi="Courier New" w:hint="default"/>
      </w:rPr>
    </w:lvl>
    <w:lvl w:ilvl="5" w:tplc="D5B89096" w:tentative="1">
      <w:start w:val="1"/>
      <w:numFmt w:val="bullet"/>
      <w:lvlText w:val=""/>
      <w:lvlJc w:val="left"/>
      <w:pPr>
        <w:ind w:left="4887" w:hanging="360"/>
      </w:pPr>
      <w:rPr>
        <w:rFonts w:ascii="Wingdings" w:hAnsi="Wingdings" w:hint="default"/>
      </w:rPr>
    </w:lvl>
    <w:lvl w:ilvl="6" w:tplc="4334870E" w:tentative="1">
      <w:start w:val="1"/>
      <w:numFmt w:val="bullet"/>
      <w:lvlText w:val=""/>
      <w:lvlJc w:val="left"/>
      <w:pPr>
        <w:ind w:left="5607" w:hanging="360"/>
      </w:pPr>
      <w:rPr>
        <w:rFonts w:ascii="Symbol" w:hAnsi="Symbol" w:hint="default"/>
      </w:rPr>
    </w:lvl>
    <w:lvl w:ilvl="7" w:tplc="B7A00A5C" w:tentative="1">
      <w:start w:val="1"/>
      <w:numFmt w:val="bullet"/>
      <w:lvlText w:val="o"/>
      <w:lvlJc w:val="left"/>
      <w:pPr>
        <w:ind w:left="6327" w:hanging="360"/>
      </w:pPr>
      <w:rPr>
        <w:rFonts w:ascii="Courier New" w:hAnsi="Courier New" w:hint="default"/>
      </w:rPr>
    </w:lvl>
    <w:lvl w:ilvl="8" w:tplc="E054A9A8" w:tentative="1">
      <w:start w:val="1"/>
      <w:numFmt w:val="bullet"/>
      <w:lvlText w:val=""/>
      <w:lvlJc w:val="left"/>
      <w:pPr>
        <w:ind w:left="7047" w:hanging="360"/>
      </w:pPr>
      <w:rPr>
        <w:rFonts w:ascii="Wingdings" w:hAnsi="Wingdings" w:hint="default"/>
      </w:rPr>
    </w:lvl>
  </w:abstractNum>
  <w:abstractNum w:abstractNumId="5">
    <w:nsid w:val="0BB124E2"/>
    <w:multiLevelType w:val="hybridMultilevel"/>
    <w:tmpl w:val="3B3A941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nsid w:val="0FD03EB8"/>
    <w:multiLevelType w:val="hybridMultilevel"/>
    <w:tmpl w:val="AF76E16A"/>
    <w:lvl w:ilvl="0" w:tplc="08090003">
      <w:start w:val="1"/>
      <w:numFmt w:val="bullet"/>
      <w:lvlText w:val="o"/>
      <w:lvlJc w:val="left"/>
      <w:pPr>
        <w:ind w:left="1647" w:hanging="360"/>
      </w:pPr>
      <w:rPr>
        <w:rFonts w:ascii="Courier New" w:hAnsi="Courier New"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nsid w:val="131D003C"/>
    <w:multiLevelType w:val="hybridMultilevel"/>
    <w:tmpl w:val="4AE0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BA058F"/>
    <w:multiLevelType w:val="hybridMultilevel"/>
    <w:tmpl w:val="D8DAD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F466E6"/>
    <w:multiLevelType w:val="hybridMultilevel"/>
    <w:tmpl w:val="C0C007B0"/>
    <w:lvl w:ilvl="0" w:tplc="F398CEA8">
      <w:start w:val="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DB75FC"/>
    <w:multiLevelType w:val="hybridMultilevel"/>
    <w:tmpl w:val="23C2258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
    <w:nsid w:val="1AED1F5C"/>
    <w:multiLevelType w:val="hybridMultilevel"/>
    <w:tmpl w:val="74FE9D40"/>
    <w:lvl w:ilvl="0" w:tplc="08090001">
      <w:start w:val="1"/>
      <w:numFmt w:val="bullet"/>
      <w:lvlText w:val=""/>
      <w:lvlJc w:val="left"/>
      <w:pPr>
        <w:ind w:left="186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1D3A790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1DD06636"/>
    <w:multiLevelType w:val="hybridMultilevel"/>
    <w:tmpl w:val="66CAE48E"/>
    <w:lvl w:ilvl="0" w:tplc="D60AED90">
      <w:start w:val="3"/>
      <w:numFmt w:val="bullet"/>
      <w:lvlText w:val="-"/>
      <w:lvlJc w:val="left"/>
      <w:pPr>
        <w:tabs>
          <w:tab w:val="num" w:pos="1065"/>
        </w:tabs>
        <w:ind w:left="1065" w:hanging="360"/>
      </w:pPr>
      <w:rPr>
        <w:rFonts w:ascii="Arial" w:eastAsia="Times New Roman" w:hAnsi="Arial" w:hint="default"/>
      </w:rPr>
    </w:lvl>
    <w:lvl w:ilvl="1" w:tplc="08090001">
      <w:start w:val="1"/>
      <w:numFmt w:val="bullet"/>
      <w:lvlText w:val=""/>
      <w:lvlJc w:val="left"/>
      <w:pPr>
        <w:tabs>
          <w:tab w:val="num" w:pos="1785"/>
        </w:tabs>
        <w:ind w:left="1785" w:hanging="360"/>
      </w:pPr>
      <w:rPr>
        <w:rFonts w:ascii="Symbol" w:hAnsi="Symbol" w:hint="default"/>
      </w:rPr>
    </w:lvl>
    <w:lvl w:ilvl="2" w:tplc="04090005">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4">
    <w:nsid w:val="20D53E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2145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2642608F"/>
    <w:multiLevelType w:val="hybridMultilevel"/>
    <w:tmpl w:val="0096FC56"/>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17">
    <w:nsid w:val="26A01200"/>
    <w:multiLevelType w:val="hybridMultilevel"/>
    <w:tmpl w:val="8078FF16"/>
    <w:name w:val="PwCListBullets16"/>
    <w:lvl w:ilvl="0" w:tplc="6EAC28EE">
      <w:start w:val="1"/>
      <w:numFmt w:val="bullet"/>
      <w:lvlText w:val=""/>
      <w:lvlJc w:val="left"/>
      <w:pPr>
        <w:ind w:left="1287" w:hanging="360"/>
      </w:pPr>
      <w:rPr>
        <w:rFonts w:ascii="Symbol" w:hAnsi="Symbol" w:hint="default"/>
      </w:rPr>
    </w:lvl>
    <w:lvl w:ilvl="1" w:tplc="AA46F120" w:tentative="1">
      <w:start w:val="1"/>
      <w:numFmt w:val="bullet"/>
      <w:lvlText w:val="o"/>
      <w:lvlJc w:val="left"/>
      <w:pPr>
        <w:ind w:left="2007" w:hanging="360"/>
      </w:pPr>
      <w:rPr>
        <w:rFonts w:ascii="Courier New" w:hAnsi="Courier New" w:hint="default"/>
      </w:rPr>
    </w:lvl>
    <w:lvl w:ilvl="2" w:tplc="0A4EC8A4" w:tentative="1">
      <w:start w:val="1"/>
      <w:numFmt w:val="bullet"/>
      <w:lvlText w:val=""/>
      <w:lvlJc w:val="left"/>
      <w:pPr>
        <w:ind w:left="2727" w:hanging="360"/>
      </w:pPr>
      <w:rPr>
        <w:rFonts w:ascii="Wingdings" w:hAnsi="Wingdings" w:hint="default"/>
      </w:rPr>
    </w:lvl>
    <w:lvl w:ilvl="3" w:tplc="D18A2F5A" w:tentative="1">
      <w:start w:val="1"/>
      <w:numFmt w:val="bullet"/>
      <w:lvlText w:val=""/>
      <w:lvlJc w:val="left"/>
      <w:pPr>
        <w:ind w:left="3447" w:hanging="360"/>
      </w:pPr>
      <w:rPr>
        <w:rFonts w:ascii="Symbol" w:hAnsi="Symbol" w:hint="default"/>
      </w:rPr>
    </w:lvl>
    <w:lvl w:ilvl="4" w:tplc="1EA4C696" w:tentative="1">
      <w:start w:val="1"/>
      <w:numFmt w:val="bullet"/>
      <w:lvlText w:val="o"/>
      <w:lvlJc w:val="left"/>
      <w:pPr>
        <w:ind w:left="4167" w:hanging="360"/>
      </w:pPr>
      <w:rPr>
        <w:rFonts w:ascii="Courier New" w:hAnsi="Courier New" w:hint="default"/>
      </w:rPr>
    </w:lvl>
    <w:lvl w:ilvl="5" w:tplc="0E1E16A0" w:tentative="1">
      <w:start w:val="1"/>
      <w:numFmt w:val="bullet"/>
      <w:lvlText w:val=""/>
      <w:lvlJc w:val="left"/>
      <w:pPr>
        <w:ind w:left="4887" w:hanging="360"/>
      </w:pPr>
      <w:rPr>
        <w:rFonts w:ascii="Wingdings" w:hAnsi="Wingdings" w:hint="default"/>
      </w:rPr>
    </w:lvl>
    <w:lvl w:ilvl="6" w:tplc="51045EBC" w:tentative="1">
      <w:start w:val="1"/>
      <w:numFmt w:val="bullet"/>
      <w:lvlText w:val=""/>
      <w:lvlJc w:val="left"/>
      <w:pPr>
        <w:ind w:left="5607" w:hanging="360"/>
      </w:pPr>
      <w:rPr>
        <w:rFonts w:ascii="Symbol" w:hAnsi="Symbol" w:hint="default"/>
      </w:rPr>
    </w:lvl>
    <w:lvl w:ilvl="7" w:tplc="CA825812" w:tentative="1">
      <w:start w:val="1"/>
      <w:numFmt w:val="bullet"/>
      <w:lvlText w:val="o"/>
      <w:lvlJc w:val="left"/>
      <w:pPr>
        <w:ind w:left="6327" w:hanging="360"/>
      </w:pPr>
      <w:rPr>
        <w:rFonts w:ascii="Courier New" w:hAnsi="Courier New" w:hint="default"/>
      </w:rPr>
    </w:lvl>
    <w:lvl w:ilvl="8" w:tplc="45D45CF4" w:tentative="1">
      <w:start w:val="1"/>
      <w:numFmt w:val="bullet"/>
      <w:lvlText w:val=""/>
      <w:lvlJc w:val="left"/>
      <w:pPr>
        <w:ind w:left="7047" w:hanging="360"/>
      </w:pPr>
      <w:rPr>
        <w:rFonts w:ascii="Wingdings" w:hAnsi="Wingdings" w:hint="default"/>
      </w:rPr>
    </w:lvl>
  </w:abstractNum>
  <w:abstractNum w:abstractNumId="18">
    <w:nsid w:val="2872515A"/>
    <w:multiLevelType w:val="hybridMultilevel"/>
    <w:tmpl w:val="5C42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B464DD7"/>
    <w:multiLevelType w:val="hybridMultilevel"/>
    <w:tmpl w:val="D3DAE044"/>
    <w:lvl w:ilvl="0" w:tplc="1E62098E">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B868F1"/>
    <w:multiLevelType w:val="hybridMultilevel"/>
    <w:tmpl w:val="524CB21E"/>
    <w:name w:val="PwCListBullets13"/>
    <w:lvl w:ilvl="0" w:tplc="336ACBE6">
      <w:start w:val="1"/>
      <w:numFmt w:val="bullet"/>
      <w:lvlText w:val=""/>
      <w:lvlJc w:val="left"/>
      <w:pPr>
        <w:ind w:left="1287" w:hanging="360"/>
      </w:pPr>
      <w:rPr>
        <w:rFonts w:ascii="Symbol" w:hAnsi="Symbol" w:hint="default"/>
      </w:rPr>
    </w:lvl>
    <w:lvl w:ilvl="1" w:tplc="CF20A648">
      <w:start w:val="1"/>
      <w:numFmt w:val="bullet"/>
      <w:lvlText w:val="o"/>
      <w:lvlJc w:val="left"/>
      <w:pPr>
        <w:ind w:left="2007" w:hanging="360"/>
      </w:pPr>
      <w:rPr>
        <w:rFonts w:ascii="Courier New" w:hAnsi="Courier New" w:hint="default"/>
      </w:rPr>
    </w:lvl>
    <w:lvl w:ilvl="2" w:tplc="9A147916" w:tentative="1">
      <w:start w:val="1"/>
      <w:numFmt w:val="bullet"/>
      <w:lvlText w:val=""/>
      <w:lvlJc w:val="left"/>
      <w:pPr>
        <w:ind w:left="2727" w:hanging="360"/>
      </w:pPr>
      <w:rPr>
        <w:rFonts w:ascii="Wingdings" w:hAnsi="Wingdings" w:hint="default"/>
      </w:rPr>
    </w:lvl>
    <w:lvl w:ilvl="3" w:tplc="CCA09B10" w:tentative="1">
      <w:start w:val="1"/>
      <w:numFmt w:val="bullet"/>
      <w:lvlText w:val=""/>
      <w:lvlJc w:val="left"/>
      <w:pPr>
        <w:ind w:left="3447" w:hanging="360"/>
      </w:pPr>
      <w:rPr>
        <w:rFonts w:ascii="Symbol" w:hAnsi="Symbol" w:hint="default"/>
      </w:rPr>
    </w:lvl>
    <w:lvl w:ilvl="4" w:tplc="5F56E724" w:tentative="1">
      <w:start w:val="1"/>
      <w:numFmt w:val="bullet"/>
      <w:lvlText w:val="o"/>
      <w:lvlJc w:val="left"/>
      <w:pPr>
        <w:ind w:left="4167" w:hanging="360"/>
      </w:pPr>
      <w:rPr>
        <w:rFonts w:ascii="Courier New" w:hAnsi="Courier New" w:hint="default"/>
      </w:rPr>
    </w:lvl>
    <w:lvl w:ilvl="5" w:tplc="0E32FA20" w:tentative="1">
      <w:start w:val="1"/>
      <w:numFmt w:val="bullet"/>
      <w:lvlText w:val=""/>
      <w:lvlJc w:val="left"/>
      <w:pPr>
        <w:ind w:left="4887" w:hanging="360"/>
      </w:pPr>
      <w:rPr>
        <w:rFonts w:ascii="Wingdings" w:hAnsi="Wingdings" w:hint="default"/>
      </w:rPr>
    </w:lvl>
    <w:lvl w:ilvl="6" w:tplc="39F8313C" w:tentative="1">
      <w:start w:val="1"/>
      <w:numFmt w:val="bullet"/>
      <w:lvlText w:val=""/>
      <w:lvlJc w:val="left"/>
      <w:pPr>
        <w:ind w:left="5607" w:hanging="360"/>
      </w:pPr>
      <w:rPr>
        <w:rFonts w:ascii="Symbol" w:hAnsi="Symbol" w:hint="default"/>
      </w:rPr>
    </w:lvl>
    <w:lvl w:ilvl="7" w:tplc="4E245338" w:tentative="1">
      <w:start w:val="1"/>
      <w:numFmt w:val="bullet"/>
      <w:lvlText w:val="o"/>
      <w:lvlJc w:val="left"/>
      <w:pPr>
        <w:ind w:left="6327" w:hanging="360"/>
      </w:pPr>
      <w:rPr>
        <w:rFonts w:ascii="Courier New" w:hAnsi="Courier New" w:hint="default"/>
      </w:rPr>
    </w:lvl>
    <w:lvl w:ilvl="8" w:tplc="171C09E4" w:tentative="1">
      <w:start w:val="1"/>
      <w:numFmt w:val="bullet"/>
      <w:lvlText w:val=""/>
      <w:lvlJc w:val="left"/>
      <w:pPr>
        <w:ind w:left="7047" w:hanging="360"/>
      </w:pPr>
      <w:rPr>
        <w:rFonts w:ascii="Wingdings" w:hAnsi="Wingdings" w:hint="default"/>
      </w:rPr>
    </w:lvl>
  </w:abstractNum>
  <w:abstractNum w:abstractNumId="21">
    <w:nsid w:val="3127505C"/>
    <w:multiLevelType w:val="hybridMultilevel"/>
    <w:tmpl w:val="1BDA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E54D0C"/>
    <w:multiLevelType w:val="singleLevel"/>
    <w:tmpl w:val="7CCC0BE0"/>
    <w:lvl w:ilvl="0">
      <w:start w:val="1"/>
      <w:numFmt w:val="bullet"/>
      <w:pStyle w:val="Bullets"/>
      <w:lvlText w:val=""/>
      <w:lvlJc w:val="left"/>
      <w:pPr>
        <w:tabs>
          <w:tab w:val="num" w:pos="397"/>
        </w:tabs>
        <w:ind w:left="397" w:hanging="397"/>
      </w:pPr>
      <w:rPr>
        <w:rFonts w:ascii="Wingdings" w:hAnsi="Wingdings" w:hint="default"/>
        <w:color w:val="auto"/>
        <w:sz w:val="12"/>
      </w:rPr>
    </w:lvl>
  </w:abstractNum>
  <w:abstractNum w:abstractNumId="23">
    <w:nsid w:val="38984B8F"/>
    <w:multiLevelType w:val="hybridMultilevel"/>
    <w:tmpl w:val="D14E478A"/>
    <w:name w:val="PwCListNumbers12"/>
    <w:lvl w:ilvl="0" w:tplc="6E16C57C">
      <w:start w:val="1"/>
      <w:numFmt w:val="bullet"/>
      <w:lvlText w:val=""/>
      <w:lvlJc w:val="left"/>
      <w:pPr>
        <w:ind w:left="1287" w:hanging="360"/>
      </w:pPr>
      <w:rPr>
        <w:rFonts w:ascii="Symbol" w:hAnsi="Symbol" w:hint="default"/>
      </w:rPr>
    </w:lvl>
    <w:lvl w:ilvl="1" w:tplc="B5FCF4BE" w:tentative="1">
      <w:start w:val="1"/>
      <w:numFmt w:val="bullet"/>
      <w:lvlText w:val="o"/>
      <w:lvlJc w:val="left"/>
      <w:pPr>
        <w:ind w:left="2007" w:hanging="360"/>
      </w:pPr>
      <w:rPr>
        <w:rFonts w:ascii="Courier New" w:hAnsi="Courier New" w:hint="default"/>
      </w:rPr>
    </w:lvl>
    <w:lvl w:ilvl="2" w:tplc="A66CF586" w:tentative="1">
      <w:start w:val="1"/>
      <w:numFmt w:val="bullet"/>
      <w:lvlText w:val=""/>
      <w:lvlJc w:val="left"/>
      <w:pPr>
        <w:ind w:left="2727" w:hanging="360"/>
      </w:pPr>
      <w:rPr>
        <w:rFonts w:ascii="Wingdings" w:hAnsi="Wingdings" w:hint="default"/>
      </w:rPr>
    </w:lvl>
    <w:lvl w:ilvl="3" w:tplc="B07038E8" w:tentative="1">
      <w:start w:val="1"/>
      <w:numFmt w:val="bullet"/>
      <w:lvlText w:val=""/>
      <w:lvlJc w:val="left"/>
      <w:pPr>
        <w:ind w:left="3447" w:hanging="360"/>
      </w:pPr>
      <w:rPr>
        <w:rFonts w:ascii="Symbol" w:hAnsi="Symbol" w:hint="default"/>
      </w:rPr>
    </w:lvl>
    <w:lvl w:ilvl="4" w:tplc="A686F506" w:tentative="1">
      <w:start w:val="1"/>
      <w:numFmt w:val="bullet"/>
      <w:lvlText w:val="o"/>
      <w:lvlJc w:val="left"/>
      <w:pPr>
        <w:ind w:left="4167" w:hanging="360"/>
      </w:pPr>
      <w:rPr>
        <w:rFonts w:ascii="Courier New" w:hAnsi="Courier New" w:hint="default"/>
      </w:rPr>
    </w:lvl>
    <w:lvl w:ilvl="5" w:tplc="78D26AFA" w:tentative="1">
      <w:start w:val="1"/>
      <w:numFmt w:val="bullet"/>
      <w:lvlText w:val=""/>
      <w:lvlJc w:val="left"/>
      <w:pPr>
        <w:ind w:left="4887" w:hanging="360"/>
      </w:pPr>
      <w:rPr>
        <w:rFonts w:ascii="Wingdings" w:hAnsi="Wingdings" w:hint="default"/>
      </w:rPr>
    </w:lvl>
    <w:lvl w:ilvl="6" w:tplc="62E8E954" w:tentative="1">
      <w:start w:val="1"/>
      <w:numFmt w:val="bullet"/>
      <w:lvlText w:val=""/>
      <w:lvlJc w:val="left"/>
      <w:pPr>
        <w:ind w:left="5607" w:hanging="360"/>
      </w:pPr>
      <w:rPr>
        <w:rFonts w:ascii="Symbol" w:hAnsi="Symbol" w:hint="default"/>
      </w:rPr>
    </w:lvl>
    <w:lvl w:ilvl="7" w:tplc="C27A5BE6" w:tentative="1">
      <w:start w:val="1"/>
      <w:numFmt w:val="bullet"/>
      <w:lvlText w:val="o"/>
      <w:lvlJc w:val="left"/>
      <w:pPr>
        <w:ind w:left="6327" w:hanging="360"/>
      </w:pPr>
      <w:rPr>
        <w:rFonts w:ascii="Courier New" w:hAnsi="Courier New" w:hint="default"/>
      </w:rPr>
    </w:lvl>
    <w:lvl w:ilvl="8" w:tplc="189A2446" w:tentative="1">
      <w:start w:val="1"/>
      <w:numFmt w:val="bullet"/>
      <w:lvlText w:val=""/>
      <w:lvlJc w:val="left"/>
      <w:pPr>
        <w:ind w:left="7047" w:hanging="360"/>
      </w:pPr>
      <w:rPr>
        <w:rFonts w:ascii="Wingdings" w:hAnsi="Wingdings" w:hint="default"/>
      </w:rPr>
    </w:lvl>
  </w:abstractNum>
  <w:abstractNum w:abstractNumId="24">
    <w:nsid w:val="3D082D65"/>
    <w:multiLevelType w:val="hybridMultilevel"/>
    <w:tmpl w:val="2DAED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FC180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nsid w:val="42365E82"/>
    <w:multiLevelType w:val="hybridMultilevel"/>
    <w:tmpl w:val="F79A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E43EE7"/>
    <w:multiLevelType w:val="hybridMultilevel"/>
    <w:tmpl w:val="DFBE1184"/>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44386540"/>
    <w:multiLevelType w:val="hybridMultilevel"/>
    <w:tmpl w:val="91D663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459A598B"/>
    <w:multiLevelType w:val="hybridMultilevel"/>
    <w:tmpl w:val="CB2E5F6E"/>
    <w:name w:val="PwCListBullets14"/>
    <w:lvl w:ilvl="0" w:tplc="BD169BC6">
      <w:start w:val="1"/>
      <w:numFmt w:val="bullet"/>
      <w:lvlText w:val=""/>
      <w:lvlJc w:val="left"/>
      <w:pPr>
        <w:ind w:left="748" w:hanging="360"/>
      </w:pPr>
      <w:rPr>
        <w:rFonts w:ascii="Symbol" w:hAnsi="Symbol" w:hint="default"/>
      </w:rPr>
    </w:lvl>
    <w:lvl w:ilvl="1" w:tplc="6888C5D4" w:tentative="1">
      <w:start w:val="1"/>
      <w:numFmt w:val="bullet"/>
      <w:lvlText w:val="o"/>
      <w:lvlJc w:val="left"/>
      <w:pPr>
        <w:ind w:left="1468" w:hanging="360"/>
      </w:pPr>
      <w:rPr>
        <w:rFonts w:ascii="Courier New" w:hAnsi="Courier New" w:hint="default"/>
      </w:rPr>
    </w:lvl>
    <w:lvl w:ilvl="2" w:tplc="FC8647D2" w:tentative="1">
      <w:start w:val="1"/>
      <w:numFmt w:val="bullet"/>
      <w:lvlText w:val=""/>
      <w:lvlJc w:val="left"/>
      <w:pPr>
        <w:ind w:left="2188" w:hanging="360"/>
      </w:pPr>
      <w:rPr>
        <w:rFonts w:ascii="Wingdings" w:hAnsi="Wingdings" w:hint="default"/>
      </w:rPr>
    </w:lvl>
    <w:lvl w:ilvl="3" w:tplc="B8A06938" w:tentative="1">
      <w:start w:val="1"/>
      <w:numFmt w:val="bullet"/>
      <w:lvlText w:val=""/>
      <w:lvlJc w:val="left"/>
      <w:pPr>
        <w:ind w:left="2908" w:hanging="360"/>
      </w:pPr>
      <w:rPr>
        <w:rFonts w:ascii="Symbol" w:hAnsi="Symbol" w:hint="default"/>
      </w:rPr>
    </w:lvl>
    <w:lvl w:ilvl="4" w:tplc="1D689954" w:tentative="1">
      <w:start w:val="1"/>
      <w:numFmt w:val="bullet"/>
      <w:lvlText w:val="o"/>
      <w:lvlJc w:val="left"/>
      <w:pPr>
        <w:ind w:left="3628" w:hanging="360"/>
      </w:pPr>
      <w:rPr>
        <w:rFonts w:ascii="Courier New" w:hAnsi="Courier New" w:hint="default"/>
      </w:rPr>
    </w:lvl>
    <w:lvl w:ilvl="5" w:tplc="C39CD472" w:tentative="1">
      <w:start w:val="1"/>
      <w:numFmt w:val="bullet"/>
      <w:lvlText w:val=""/>
      <w:lvlJc w:val="left"/>
      <w:pPr>
        <w:ind w:left="4348" w:hanging="360"/>
      </w:pPr>
      <w:rPr>
        <w:rFonts w:ascii="Wingdings" w:hAnsi="Wingdings" w:hint="default"/>
      </w:rPr>
    </w:lvl>
    <w:lvl w:ilvl="6" w:tplc="CDA0EC00" w:tentative="1">
      <w:start w:val="1"/>
      <w:numFmt w:val="bullet"/>
      <w:lvlText w:val=""/>
      <w:lvlJc w:val="left"/>
      <w:pPr>
        <w:ind w:left="5068" w:hanging="360"/>
      </w:pPr>
      <w:rPr>
        <w:rFonts w:ascii="Symbol" w:hAnsi="Symbol" w:hint="default"/>
      </w:rPr>
    </w:lvl>
    <w:lvl w:ilvl="7" w:tplc="593A8F7C" w:tentative="1">
      <w:start w:val="1"/>
      <w:numFmt w:val="bullet"/>
      <w:lvlText w:val="o"/>
      <w:lvlJc w:val="left"/>
      <w:pPr>
        <w:ind w:left="5788" w:hanging="360"/>
      </w:pPr>
      <w:rPr>
        <w:rFonts w:ascii="Courier New" w:hAnsi="Courier New" w:hint="default"/>
      </w:rPr>
    </w:lvl>
    <w:lvl w:ilvl="8" w:tplc="EC3C4160" w:tentative="1">
      <w:start w:val="1"/>
      <w:numFmt w:val="bullet"/>
      <w:lvlText w:val=""/>
      <w:lvlJc w:val="left"/>
      <w:pPr>
        <w:ind w:left="6508" w:hanging="360"/>
      </w:pPr>
      <w:rPr>
        <w:rFonts w:ascii="Wingdings" w:hAnsi="Wingdings" w:hint="default"/>
      </w:rPr>
    </w:lvl>
  </w:abstractNum>
  <w:abstractNum w:abstractNumId="30">
    <w:nsid w:val="49E232BC"/>
    <w:multiLevelType w:val="hybridMultilevel"/>
    <w:tmpl w:val="28465286"/>
    <w:name w:val="PwCListNumbers13"/>
    <w:lvl w:ilvl="0" w:tplc="7A36E6E6">
      <w:start w:val="1"/>
      <w:numFmt w:val="bullet"/>
      <w:lvlText w:val=""/>
      <w:lvlJc w:val="left"/>
      <w:pPr>
        <w:ind w:left="1287" w:hanging="360"/>
      </w:pPr>
      <w:rPr>
        <w:rFonts w:ascii="Symbol" w:hAnsi="Symbol" w:hint="default"/>
      </w:rPr>
    </w:lvl>
    <w:lvl w:ilvl="1" w:tplc="8D7A1F4A" w:tentative="1">
      <w:start w:val="1"/>
      <w:numFmt w:val="bullet"/>
      <w:lvlText w:val="o"/>
      <w:lvlJc w:val="left"/>
      <w:pPr>
        <w:ind w:left="2007" w:hanging="360"/>
      </w:pPr>
      <w:rPr>
        <w:rFonts w:ascii="Courier New" w:hAnsi="Courier New" w:hint="default"/>
      </w:rPr>
    </w:lvl>
    <w:lvl w:ilvl="2" w:tplc="9D9CE88A" w:tentative="1">
      <w:start w:val="1"/>
      <w:numFmt w:val="bullet"/>
      <w:lvlText w:val=""/>
      <w:lvlJc w:val="left"/>
      <w:pPr>
        <w:ind w:left="2727" w:hanging="360"/>
      </w:pPr>
      <w:rPr>
        <w:rFonts w:ascii="Wingdings" w:hAnsi="Wingdings" w:hint="default"/>
      </w:rPr>
    </w:lvl>
    <w:lvl w:ilvl="3" w:tplc="89726490" w:tentative="1">
      <w:start w:val="1"/>
      <w:numFmt w:val="bullet"/>
      <w:lvlText w:val=""/>
      <w:lvlJc w:val="left"/>
      <w:pPr>
        <w:ind w:left="3447" w:hanging="360"/>
      </w:pPr>
      <w:rPr>
        <w:rFonts w:ascii="Symbol" w:hAnsi="Symbol" w:hint="default"/>
      </w:rPr>
    </w:lvl>
    <w:lvl w:ilvl="4" w:tplc="6AF22CA0" w:tentative="1">
      <w:start w:val="1"/>
      <w:numFmt w:val="bullet"/>
      <w:lvlText w:val="o"/>
      <w:lvlJc w:val="left"/>
      <w:pPr>
        <w:ind w:left="4167" w:hanging="360"/>
      </w:pPr>
      <w:rPr>
        <w:rFonts w:ascii="Courier New" w:hAnsi="Courier New" w:hint="default"/>
      </w:rPr>
    </w:lvl>
    <w:lvl w:ilvl="5" w:tplc="42CCF8D8" w:tentative="1">
      <w:start w:val="1"/>
      <w:numFmt w:val="bullet"/>
      <w:lvlText w:val=""/>
      <w:lvlJc w:val="left"/>
      <w:pPr>
        <w:ind w:left="4887" w:hanging="360"/>
      </w:pPr>
      <w:rPr>
        <w:rFonts w:ascii="Wingdings" w:hAnsi="Wingdings" w:hint="default"/>
      </w:rPr>
    </w:lvl>
    <w:lvl w:ilvl="6" w:tplc="14C669CE" w:tentative="1">
      <w:start w:val="1"/>
      <w:numFmt w:val="bullet"/>
      <w:lvlText w:val=""/>
      <w:lvlJc w:val="left"/>
      <w:pPr>
        <w:ind w:left="5607" w:hanging="360"/>
      </w:pPr>
      <w:rPr>
        <w:rFonts w:ascii="Symbol" w:hAnsi="Symbol" w:hint="default"/>
      </w:rPr>
    </w:lvl>
    <w:lvl w:ilvl="7" w:tplc="7E144D7E" w:tentative="1">
      <w:start w:val="1"/>
      <w:numFmt w:val="bullet"/>
      <w:lvlText w:val="o"/>
      <w:lvlJc w:val="left"/>
      <w:pPr>
        <w:ind w:left="6327" w:hanging="360"/>
      </w:pPr>
      <w:rPr>
        <w:rFonts w:ascii="Courier New" w:hAnsi="Courier New" w:hint="default"/>
      </w:rPr>
    </w:lvl>
    <w:lvl w:ilvl="8" w:tplc="717AB3D8" w:tentative="1">
      <w:start w:val="1"/>
      <w:numFmt w:val="bullet"/>
      <w:lvlText w:val=""/>
      <w:lvlJc w:val="left"/>
      <w:pPr>
        <w:ind w:left="7047" w:hanging="360"/>
      </w:pPr>
      <w:rPr>
        <w:rFonts w:ascii="Wingdings" w:hAnsi="Wingdings" w:hint="default"/>
      </w:rPr>
    </w:lvl>
  </w:abstractNum>
  <w:abstractNum w:abstractNumId="31">
    <w:nsid w:val="4A781391"/>
    <w:multiLevelType w:val="hybridMultilevel"/>
    <w:tmpl w:val="97AC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B1D67A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nsid w:val="4BA66740"/>
    <w:multiLevelType w:val="hybridMultilevel"/>
    <w:tmpl w:val="16C6316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nsid w:val="520F5F36"/>
    <w:multiLevelType w:val="hybridMultilevel"/>
    <w:tmpl w:val="C0728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572856A6"/>
    <w:multiLevelType w:val="hybridMultilevel"/>
    <w:tmpl w:val="B1E64090"/>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7A35C17"/>
    <w:multiLevelType w:val="hybridMultilevel"/>
    <w:tmpl w:val="550AF4A6"/>
    <w:name w:val="PwCListNumbers14"/>
    <w:lvl w:ilvl="0" w:tplc="80A6EBD2">
      <w:start w:val="1"/>
      <w:numFmt w:val="bullet"/>
      <w:lvlText w:val=""/>
      <w:lvlJc w:val="left"/>
      <w:pPr>
        <w:ind w:left="1287" w:hanging="360"/>
      </w:pPr>
      <w:rPr>
        <w:rFonts w:ascii="Symbol" w:hAnsi="Symbol" w:hint="default"/>
      </w:rPr>
    </w:lvl>
    <w:lvl w:ilvl="1" w:tplc="578AB9C4" w:tentative="1">
      <w:start w:val="1"/>
      <w:numFmt w:val="bullet"/>
      <w:lvlText w:val="o"/>
      <w:lvlJc w:val="left"/>
      <w:pPr>
        <w:ind w:left="2007" w:hanging="360"/>
      </w:pPr>
      <w:rPr>
        <w:rFonts w:ascii="Courier New" w:hAnsi="Courier New" w:hint="default"/>
      </w:rPr>
    </w:lvl>
    <w:lvl w:ilvl="2" w:tplc="209AFE58" w:tentative="1">
      <w:start w:val="1"/>
      <w:numFmt w:val="bullet"/>
      <w:lvlText w:val=""/>
      <w:lvlJc w:val="left"/>
      <w:pPr>
        <w:ind w:left="2727" w:hanging="360"/>
      </w:pPr>
      <w:rPr>
        <w:rFonts w:ascii="Wingdings" w:hAnsi="Wingdings" w:hint="default"/>
      </w:rPr>
    </w:lvl>
    <w:lvl w:ilvl="3" w:tplc="0720D3F6" w:tentative="1">
      <w:start w:val="1"/>
      <w:numFmt w:val="bullet"/>
      <w:lvlText w:val=""/>
      <w:lvlJc w:val="left"/>
      <w:pPr>
        <w:ind w:left="3447" w:hanging="360"/>
      </w:pPr>
      <w:rPr>
        <w:rFonts w:ascii="Symbol" w:hAnsi="Symbol" w:hint="default"/>
      </w:rPr>
    </w:lvl>
    <w:lvl w:ilvl="4" w:tplc="39DAEC5E" w:tentative="1">
      <w:start w:val="1"/>
      <w:numFmt w:val="bullet"/>
      <w:lvlText w:val="o"/>
      <w:lvlJc w:val="left"/>
      <w:pPr>
        <w:ind w:left="4167" w:hanging="360"/>
      </w:pPr>
      <w:rPr>
        <w:rFonts w:ascii="Courier New" w:hAnsi="Courier New" w:hint="default"/>
      </w:rPr>
    </w:lvl>
    <w:lvl w:ilvl="5" w:tplc="50FADE66" w:tentative="1">
      <w:start w:val="1"/>
      <w:numFmt w:val="bullet"/>
      <w:lvlText w:val=""/>
      <w:lvlJc w:val="left"/>
      <w:pPr>
        <w:ind w:left="4887" w:hanging="360"/>
      </w:pPr>
      <w:rPr>
        <w:rFonts w:ascii="Wingdings" w:hAnsi="Wingdings" w:hint="default"/>
      </w:rPr>
    </w:lvl>
    <w:lvl w:ilvl="6" w:tplc="6D9A108E" w:tentative="1">
      <w:start w:val="1"/>
      <w:numFmt w:val="bullet"/>
      <w:lvlText w:val=""/>
      <w:lvlJc w:val="left"/>
      <w:pPr>
        <w:ind w:left="5607" w:hanging="360"/>
      </w:pPr>
      <w:rPr>
        <w:rFonts w:ascii="Symbol" w:hAnsi="Symbol" w:hint="default"/>
      </w:rPr>
    </w:lvl>
    <w:lvl w:ilvl="7" w:tplc="78A832A2" w:tentative="1">
      <w:start w:val="1"/>
      <w:numFmt w:val="bullet"/>
      <w:lvlText w:val="o"/>
      <w:lvlJc w:val="left"/>
      <w:pPr>
        <w:ind w:left="6327" w:hanging="360"/>
      </w:pPr>
      <w:rPr>
        <w:rFonts w:ascii="Courier New" w:hAnsi="Courier New" w:hint="default"/>
      </w:rPr>
    </w:lvl>
    <w:lvl w:ilvl="8" w:tplc="F4D2A9E0" w:tentative="1">
      <w:start w:val="1"/>
      <w:numFmt w:val="bullet"/>
      <w:lvlText w:val=""/>
      <w:lvlJc w:val="left"/>
      <w:pPr>
        <w:ind w:left="7047" w:hanging="360"/>
      </w:pPr>
      <w:rPr>
        <w:rFonts w:ascii="Wingdings" w:hAnsi="Wingdings" w:hint="default"/>
      </w:rPr>
    </w:lvl>
  </w:abstractNum>
  <w:abstractNum w:abstractNumId="38">
    <w:nsid w:val="584049C6"/>
    <w:multiLevelType w:val="hybridMultilevel"/>
    <w:tmpl w:val="D130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CA56542"/>
    <w:multiLevelType w:val="hybridMultilevel"/>
    <w:tmpl w:val="BDFCF7BE"/>
    <w:name w:val="PwCListBullets12"/>
    <w:lvl w:ilvl="0" w:tplc="F7CC1782">
      <w:start w:val="1"/>
      <w:numFmt w:val="bullet"/>
      <w:lvlText w:val=""/>
      <w:lvlJc w:val="left"/>
      <w:pPr>
        <w:ind w:left="1287" w:hanging="360"/>
      </w:pPr>
      <w:rPr>
        <w:rFonts w:ascii="Symbol" w:hAnsi="Symbol" w:hint="default"/>
      </w:rPr>
    </w:lvl>
    <w:lvl w:ilvl="1" w:tplc="5120C2E2" w:tentative="1">
      <w:start w:val="1"/>
      <w:numFmt w:val="bullet"/>
      <w:lvlText w:val="o"/>
      <w:lvlJc w:val="left"/>
      <w:pPr>
        <w:ind w:left="2007" w:hanging="360"/>
      </w:pPr>
      <w:rPr>
        <w:rFonts w:ascii="Courier New" w:hAnsi="Courier New" w:hint="default"/>
      </w:rPr>
    </w:lvl>
    <w:lvl w:ilvl="2" w:tplc="09541530" w:tentative="1">
      <w:start w:val="1"/>
      <w:numFmt w:val="bullet"/>
      <w:lvlText w:val=""/>
      <w:lvlJc w:val="left"/>
      <w:pPr>
        <w:ind w:left="2727" w:hanging="360"/>
      </w:pPr>
      <w:rPr>
        <w:rFonts w:ascii="Wingdings" w:hAnsi="Wingdings" w:hint="default"/>
      </w:rPr>
    </w:lvl>
    <w:lvl w:ilvl="3" w:tplc="3648F8B2" w:tentative="1">
      <w:start w:val="1"/>
      <w:numFmt w:val="bullet"/>
      <w:lvlText w:val=""/>
      <w:lvlJc w:val="left"/>
      <w:pPr>
        <w:ind w:left="3447" w:hanging="360"/>
      </w:pPr>
      <w:rPr>
        <w:rFonts w:ascii="Symbol" w:hAnsi="Symbol" w:hint="default"/>
      </w:rPr>
    </w:lvl>
    <w:lvl w:ilvl="4" w:tplc="644E99B4" w:tentative="1">
      <w:start w:val="1"/>
      <w:numFmt w:val="bullet"/>
      <w:lvlText w:val="o"/>
      <w:lvlJc w:val="left"/>
      <w:pPr>
        <w:ind w:left="4167" w:hanging="360"/>
      </w:pPr>
      <w:rPr>
        <w:rFonts w:ascii="Courier New" w:hAnsi="Courier New" w:hint="default"/>
      </w:rPr>
    </w:lvl>
    <w:lvl w:ilvl="5" w:tplc="24564D8E" w:tentative="1">
      <w:start w:val="1"/>
      <w:numFmt w:val="bullet"/>
      <w:lvlText w:val=""/>
      <w:lvlJc w:val="left"/>
      <w:pPr>
        <w:ind w:left="4887" w:hanging="360"/>
      </w:pPr>
      <w:rPr>
        <w:rFonts w:ascii="Wingdings" w:hAnsi="Wingdings" w:hint="default"/>
      </w:rPr>
    </w:lvl>
    <w:lvl w:ilvl="6" w:tplc="B06CCB1E" w:tentative="1">
      <w:start w:val="1"/>
      <w:numFmt w:val="bullet"/>
      <w:lvlText w:val=""/>
      <w:lvlJc w:val="left"/>
      <w:pPr>
        <w:ind w:left="5607" w:hanging="360"/>
      </w:pPr>
      <w:rPr>
        <w:rFonts w:ascii="Symbol" w:hAnsi="Symbol" w:hint="default"/>
      </w:rPr>
    </w:lvl>
    <w:lvl w:ilvl="7" w:tplc="BF663392" w:tentative="1">
      <w:start w:val="1"/>
      <w:numFmt w:val="bullet"/>
      <w:lvlText w:val="o"/>
      <w:lvlJc w:val="left"/>
      <w:pPr>
        <w:ind w:left="6327" w:hanging="360"/>
      </w:pPr>
      <w:rPr>
        <w:rFonts w:ascii="Courier New" w:hAnsi="Courier New" w:hint="default"/>
      </w:rPr>
    </w:lvl>
    <w:lvl w:ilvl="8" w:tplc="F0A69F5C" w:tentative="1">
      <w:start w:val="1"/>
      <w:numFmt w:val="bullet"/>
      <w:lvlText w:val=""/>
      <w:lvlJc w:val="left"/>
      <w:pPr>
        <w:ind w:left="7047" w:hanging="360"/>
      </w:pPr>
      <w:rPr>
        <w:rFonts w:ascii="Wingdings" w:hAnsi="Wingdings" w:hint="default"/>
      </w:rPr>
    </w:lvl>
  </w:abstractNum>
  <w:abstractNum w:abstractNumId="40">
    <w:nsid w:val="5FCB3A27"/>
    <w:multiLevelType w:val="hybridMultilevel"/>
    <w:tmpl w:val="8C36A04C"/>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1">
    <w:nsid w:val="63C842D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nsid w:val="6763110D"/>
    <w:multiLevelType w:val="hybridMultilevel"/>
    <w:tmpl w:val="B2E8F7F2"/>
    <w:lvl w:ilvl="0" w:tplc="08090001">
      <w:start w:val="1"/>
      <w:numFmt w:val="decimal"/>
      <w:pStyle w:val="CodeNotesbody"/>
      <w:lvlText w:val="A%1"/>
      <w:lvlJc w:val="left"/>
      <w:pPr>
        <w:tabs>
          <w:tab w:val="num" w:pos="0"/>
        </w:tabs>
        <w:ind w:left="720" w:hanging="360"/>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43">
    <w:nsid w:val="6B43453A"/>
    <w:multiLevelType w:val="hybridMultilevel"/>
    <w:tmpl w:val="1D0CD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4A5DEB"/>
    <w:multiLevelType w:val="hybridMultilevel"/>
    <w:tmpl w:val="8910A6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nsid w:val="72591CA9"/>
    <w:multiLevelType w:val="multilevel"/>
    <w:tmpl w:val="B790A32C"/>
    <w:styleLink w:val="PwCListBullets1"/>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8"/>
        </w:tabs>
        <w:ind w:left="1588" w:hanging="397"/>
      </w:pPr>
      <w:rPr>
        <w:rFonts w:ascii="Symbol" w:hAnsi="Symbol" w:hint="default"/>
      </w:rPr>
    </w:lvl>
    <w:lvl w:ilvl="4">
      <w:start w:val="1"/>
      <w:numFmt w:val="bullet"/>
      <w:pStyle w:val="ListBullet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46">
    <w:nsid w:val="74955A3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nsid w:val="77D56C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8">
    <w:nsid w:val="792A183E"/>
    <w:multiLevelType w:val="hybridMultilevel"/>
    <w:tmpl w:val="C0E257D6"/>
    <w:name w:val="PwCListBullets1"/>
    <w:lvl w:ilvl="0" w:tplc="506E255A">
      <w:start w:val="31"/>
      <w:numFmt w:val="decimal"/>
      <w:lvlText w:val="%1"/>
      <w:lvlJc w:val="left"/>
      <w:pPr>
        <w:ind w:left="1494" w:hanging="927"/>
      </w:pPr>
      <w:rPr>
        <w:rFonts w:eastAsia="Times New Roman" w:cs="Times New Roman" w:hint="default"/>
        <w:b w:val="0"/>
      </w:rPr>
    </w:lvl>
    <w:lvl w:ilvl="1" w:tplc="49E65F3E" w:tentative="1">
      <w:start w:val="1"/>
      <w:numFmt w:val="bullet"/>
      <w:lvlText w:val="o"/>
      <w:lvlJc w:val="left"/>
      <w:pPr>
        <w:ind w:left="1647" w:hanging="360"/>
      </w:pPr>
      <w:rPr>
        <w:rFonts w:ascii="Courier New" w:hAnsi="Courier New" w:hint="default"/>
      </w:rPr>
    </w:lvl>
    <w:lvl w:ilvl="2" w:tplc="549C570E" w:tentative="1">
      <w:start w:val="1"/>
      <w:numFmt w:val="bullet"/>
      <w:lvlText w:val=""/>
      <w:lvlJc w:val="left"/>
      <w:pPr>
        <w:ind w:left="2367" w:hanging="360"/>
      </w:pPr>
      <w:rPr>
        <w:rFonts w:ascii="Wingdings" w:hAnsi="Wingdings" w:hint="default"/>
      </w:rPr>
    </w:lvl>
    <w:lvl w:ilvl="3" w:tplc="0DCE1D16" w:tentative="1">
      <w:start w:val="1"/>
      <w:numFmt w:val="bullet"/>
      <w:lvlText w:val=""/>
      <w:lvlJc w:val="left"/>
      <w:pPr>
        <w:ind w:left="3087" w:hanging="360"/>
      </w:pPr>
      <w:rPr>
        <w:rFonts w:ascii="Symbol" w:hAnsi="Symbol" w:hint="default"/>
      </w:rPr>
    </w:lvl>
    <w:lvl w:ilvl="4" w:tplc="3C8C5864" w:tentative="1">
      <w:start w:val="1"/>
      <w:numFmt w:val="bullet"/>
      <w:lvlText w:val="o"/>
      <w:lvlJc w:val="left"/>
      <w:pPr>
        <w:ind w:left="3807" w:hanging="360"/>
      </w:pPr>
      <w:rPr>
        <w:rFonts w:ascii="Courier New" w:hAnsi="Courier New" w:hint="default"/>
      </w:rPr>
    </w:lvl>
    <w:lvl w:ilvl="5" w:tplc="47A29ED8" w:tentative="1">
      <w:start w:val="1"/>
      <w:numFmt w:val="bullet"/>
      <w:lvlText w:val=""/>
      <w:lvlJc w:val="left"/>
      <w:pPr>
        <w:ind w:left="4527" w:hanging="360"/>
      </w:pPr>
      <w:rPr>
        <w:rFonts w:ascii="Wingdings" w:hAnsi="Wingdings" w:hint="default"/>
      </w:rPr>
    </w:lvl>
    <w:lvl w:ilvl="6" w:tplc="48426FBE" w:tentative="1">
      <w:start w:val="1"/>
      <w:numFmt w:val="bullet"/>
      <w:lvlText w:val=""/>
      <w:lvlJc w:val="left"/>
      <w:pPr>
        <w:ind w:left="5247" w:hanging="360"/>
      </w:pPr>
      <w:rPr>
        <w:rFonts w:ascii="Symbol" w:hAnsi="Symbol" w:hint="default"/>
      </w:rPr>
    </w:lvl>
    <w:lvl w:ilvl="7" w:tplc="5B5A1B04" w:tentative="1">
      <w:start w:val="1"/>
      <w:numFmt w:val="bullet"/>
      <w:lvlText w:val="o"/>
      <w:lvlJc w:val="left"/>
      <w:pPr>
        <w:ind w:left="5967" w:hanging="360"/>
      </w:pPr>
      <w:rPr>
        <w:rFonts w:ascii="Courier New" w:hAnsi="Courier New" w:hint="default"/>
      </w:rPr>
    </w:lvl>
    <w:lvl w:ilvl="8" w:tplc="CF849C10" w:tentative="1">
      <w:start w:val="1"/>
      <w:numFmt w:val="bullet"/>
      <w:lvlText w:val=""/>
      <w:lvlJc w:val="left"/>
      <w:pPr>
        <w:ind w:left="6687" w:hanging="360"/>
      </w:pPr>
      <w:rPr>
        <w:rFonts w:ascii="Wingdings" w:hAnsi="Wingdings" w:hint="default"/>
      </w:rPr>
    </w:lvl>
  </w:abstractNum>
  <w:abstractNum w:abstractNumId="49">
    <w:nsid w:val="7C784FB4"/>
    <w:multiLevelType w:val="hybridMultilevel"/>
    <w:tmpl w:val="140EC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
  </w:num>
  <w:num w:numId="3">
    <w:abstractNumId w:val="2"/>
  </w:num>
  <w:num w:numId="4">
    <w:abstractNumId w:val="24"/>
  </w:num>
  <w:num w:numId="5">
    <w:abstractNumId w:val="42"/>
  </w:num>
  <w:num w:numId="6">
    <w:abstractNumId w:val="28"/>
  </w:num>
  <w:num w:numId="7">
    <w:abstractNumId w:val="46"/>
  </w:num>
  <w:num w:numId="8">
    <w:abstractNumId w:val="12"/>
  </w:num>
  <w:num w:numId="9">
    <w:abstractNumId w:val="25"/>
  </w:num>
  <w:num w:numId="10">
    <w:abstractNumId w:val="15"/>
  </w:num>
  <w:num w:numId="11">
    <w:abstractNumId w:val="41"/>
  </w:num>
  <w:num w:numId="12">
    <w:abstractNumId w:val="33"/>
  </w:num>
  <w:num w:numId="13">
    <w:abstractNumId w:val="47"/>
  </w:num>
  <w:num w:numId="14">
    <w:abstractNumId w:val="14"/>
  </w:num>
  <w:num w:numId="15">
    <w:abstractNumId w:val="49"/>
  </w:num>
  <w:num w:numId="16">
    <w:abstractNumId w:val="38"/>
  </w:num>
  <w:num w:numId="17">
    <w:abstractNumId w:val="13"/>
  </w:num>
  <w:num w:numId="18">
    <w:abstractNumId w:val="22"/>
  </w:num>
  <w:num w:numId="19">
    <w:abstractNumId w:val="0"/>
    <w:lvlOverride w:ilvl="0">
      <w:startOverride w:val="6"/>
      <w:lvl w:ilvl="0">
        <w:start w:val="6"/>
        <w:numFmt w:val="decimal"/>
        <w:pStyle w:val="Quick1"/>
        <w:lvlText w:val="%1."/>
        <w:lvlJc w:val="left"/>
        <w:rPr>
          <w:rFonts w:cs="Times New Roman"/>
        </w:rPr>
      </w:lvl>
    </w:lvlOverride>
  </w:num>
  <w:num w:numId="20">
    <w:abstractNumId w:val="44"/>
  </w:num>
  <w:num w:numId="21">
    <w:abstractNumId w:val="6"/>
  </w:num>
  <w:num w:numId="22">
    <w:abstractNumId w:val="35"/>
  </w:num>
  <w:num w:numId="23">
    <w:abstractNumId w:val="10"/>
  </w:num>
  <w:num w:numId="24">
    <w:abstractNumId w:val="5"/>
  </w:num>
  <w:num w:numId="25">
    <w:abstractNumId w:val="40"/>
  </w:num>
  <w:num w:numId="26">
    <w:abstractNumId w:val="16"/>
  </w:num>
  <w:num w:numId="27">
    <w:abstractNumId w:val="9"/>
  </w:num>
  <w:num w:numId="28">
    <w:abstractNumId w:val="11"/>
  </w:num>
  <w:num w:numId="29">
    <w:abstractNumId w:val="26"/>
  </w:num>
  <w:num w:numId="30">
    <w:abstractNumId w:val="18"/>
  </w:num>
  <w:num w:numId="31">
    <w:abstractNumId w:val="8"/>
  </w:num>
  <w:num w:numId="32">
    <w:abstractNumId w:val="34"/>
  </w:num>
  <w:num w:numId="33">
    <w:abstractNumId w:val="19"/>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31"/>
  </w:num>
  <w:num w:numId="37">
    <w:abstractNumId w:val="21"/>
  </w:num>
  <w:num w:numId="38">
    <w:abstractNumId w:val="1"/>
  </w:num>
  <w:num w:numId="39">
    <w:abstractNumId w:val="36"/>
  </w:num>
  <w:num w:numId="40">
    <w:abstractNumId w:val="32"/>
  </w:num>
  <w:num w:numId="41">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hideGrammaticalErrors/>
  <w:proofState w:spelling="clean" w:grammar="clean"/>
  <w:defaultTabStop w:val="720"/>
  <w:defaultTableStyle w:val="ListTable3-Accent51"/>
  <w:drawingGridHorizontalSpacing w:val="105"/>
  <w:displayHorizontalDrawingGridEvery w:val="2"/>
  <w:characterSpacingControl w:val="doNotCompress"/>
  <w:hdrShapeDefaults>
    <o:shapedefaults v:ext="edit" spidmax="203777">
      <o:colormru v:ext="edit" colors="#aafcf4,#e5fdff"/>
    </o:shapedefaults>
  </w:hdrShapeDefaults>
  <w:footnotePr>
    <w:footnote w:id="-1"/>
    <w:footnote w:id="0"/>
  </w:footnotePr>
  <w:endnotePr>
    <w:endnote w:id="-1"/>
    <w:endnote w:id="0"/>
  </w:endnotePr>
  <w:compat/>
  <w:rsids>
    <w:rsidRoot w:val="00056E5F"/>
    <w:rsid w:val="00000005"/>
    <w:rsid w:val="00000155"/>
    <w:rsid w:val="000001C3"/>
    <w:rsid w:val="00000290"/>
    <w:rsid w:val="000002CB"/>
    <w:rsid w:val="00000309"/>
    <w:rsid w:val="00000343"/>
    <w:rsid w:val="000004BF"/>
    <w:rsid w:val="000005C6"/>
    <w:rsid w:val="0000065A"/>
    <w:rsid w:val="00000776"/>
    <w:rsid w:val="000008F2"/>
    <w:rsid w:val="000009BC"/>
    <w:rsid w:val="000009D6"/>
    <w:rsid w:val="00000C51"/>
    <w:rsid w:val="00000CB5"/>
    <w:rsid w:val="000017D4"/>
    <w:rsid w:val="000017F8"/>
    <w:rsid w:val="000018EF"/>
    <w:rsid w:val="00001900"/>
    <w:rsid w:val="00001CBA"/>
    <w:rsid w:val="00001D3C"/>
    <w:rsid w:val="00002600"/>
    <w:rsid w:val="00002707"/>
    <w:rsid w:val="00002727"/>
    <w:rsid w:val="0000282A"/>
    <w:rsid w:val="00002A3C"/>
    <w:rsid w:val="00002A60"/>
    <w:rsid w:val="00002A92"/>
    <w:rsid w:val="00002D9F"/>
    <w:rsid w:val="000032E5"/>
    <w:rsid w:val="000034E0"/>
    <w:rsid w:val="0000362A"/>
    <w:rsid w:val="000037D3"/>
    <w:rsid w:val="00004085"/>
    <w:rsid w:val="000046F1"/>
    <w:rsid w:val="0000471D"/>
    <w:rsid w:val="000047C0"/>
    <w:rsid w:val="000047C4"/>
    <w:rsid w:val="00004872"/>
    <w:rsid w:val="00004A2A"/>
    <w:rsid w:val="00004F29"/>
    <w:rsid w:val="00005216"/>
    <w:rsid w:val="00005315"/>
    <w:rsid w:val="00005698"/>
    <w:rsid w:val="00005BFD"/>
    <w:rsid w:val="00006183"/>
    <w:rsid w:val="0000694E"/>
    <w:rsid w:val="00006AB4"/>
    <w:rsid w:val="00006CBC"/>
    <w:rsid w:val="00006E3B"/>
    <w:rsid w:val="00006F2F"/>
    <w:rsid w:val="00007054"/>
    <w:rsid w:val="00007257"/>
    <w:rsid w:val="000077EF"/>
    <w:rsid w:val="0000797C"/>
    <w:rsid w:val="00007D17"/>
    <w:rsid w:val="000100AF"/>
    <w:rsid w:val="00010172"/>
    <w:rsid w:val="000101F7"/>
    <w:rsid w:val="00010757"/>
    <w:rsid w:val="00010776"/>
    <w:rsid w:val="000108B3"/>
    <w:rsid w:val="0001094C"/>
    <w:rsid w:val="00010977"/>
    <w:rsid w:val="000109D3"/>
    <w:rsid w:val="00010BA7"/>
    <w:rsid w:val="00010D62"/>
    <w:rsid w:val="00010E22"/>
    <w:rsid w:val="000111A6"/>
    <w:rsid w:val="000114FC"/>
    <w:rsid w:val="00011513"/>
    <w:rsid w:val="00011688"/>
    <w:rsid w:val="000116D8"/>
    <w:rsid w:val="00011B65"/>
    <w:rsid w:val="00011C6A"/>
    <w:rsid w:val="00012371"/>
    <w:rsid w:val="0001262D"/>
    <w:rsid w:val="00012A35"/>
    <w:rsid w:val="00012AEA"/>
    <w:rsid w:val="00012D37"/>
    <w:rsid w:val="00012EE7"/>
    <w:rsid w:val="00013176"/>
    <w:rsid w:val="000131CA"/>
    <w:rsid w:val="000134DC"/>
    <w:rsid w:val="00013501"/>
    <w:rsid w:val="000137A4"/>
    <w:rsid w:val="0001391C"/>
    <w:rsid w:val="00013A21"/>
    <w:rsid w:val="00013A67"/>
    <w:rsid w:val="00013B8F"/>
    <w:rsid w:val="00013D69"/>
    <w:rsid w:val="000141CB"/>
    <w:rsid w:val="00014235"/>
    <w:rsid w:val="000143DD"/>
    <w:rsid w:val="00014566"/>
    <w:rsid w:val="00014582"/>
    <w:rsid w:val="00014886"/>
    <w:rsid w:val="0001489B"/>
    <w:rsid w:val="00014AD3"/>
    <w:rsid w:val="00014B49"/>
    <w:rsid w:val="00014E8C"/>
    <w:rsid w:val="00015224"/>
    <w:rsid w:val="00015427"/>
    <w:rsid w:val="000157C3"/>
    <w:rsid w:val="00015890"/>
    <w:rsid w:val="00015D8E"/>
    <w:rsid w:val="00015E40"/>
    <w:rsid w:val="00015F7A"/>
    <w:rsid w:val="000160B7"/>
    <w:rsid w:val="000162A6"/>
    <w:rsid w:val="0001686E"/>
    <w:rsid w:val="000169AF"/>
    <w:rsid w:val="00016BFF"/>
    <w:rsid w:val="000173A3"/>
    <w:rsid w:val="0001740F"/>
    <w:rsid w:val="00017646"/>
    <w:rsid w:val="0001781D"/>
    <w:rsid w:val="00017B94"/>
    <w:rsid w:val="00017CE7"/>
    <w:rsid w:val="00017DE8"/>
    <w:rsid w:val="00017ED1"/>
    <w:rsid w:val="00020D40"/>
    <w:rsid w:val="000211D2"/>
    <w:rsid w:val="000211E6"/>
    <w:rsid w:val="000212CA"/>
    <w:rsid w:val="00021308"/>
    <w:rsid w:val="00021817"/>
    <w:rsid w:val="00021899"/>
    <w:rsid w:val="00021B5D"/>
    <w:rsid w:val="00021BBE"/>
    <w:rsid w:val="00021EE6"/>
    <w:rsid w:val="0002208F"/>
    <w:rsid w:val="000222E6"/>
    <w:rsid w:val="00022570"/>
    <w:rsid w:val="00022620"/>
    <w:rsid w:val="000226A2"/>
    <w:rsid w:val="00022717"/>
    <w:rsid w:val="00022782"/>
    <w:rsid w:val="00022C28"/>
    <w:rsid w:val="00022C64"/>
    <w:rsid w:val="00022D40"/>
    <w:rsid w:val="00023016"/>
    <w:rsid w:val="0002389A"/>
    <w:rsid w:val="000238D2"/>
    <w:rsid w:val="0002395C"/>
    <w:rsid w:val="000239E3"/>
    <w:rsid w:val="00023BA1"/>
    <w:rsid w:val="00023E05"/>
    <w:rsid w:val="0002406C"/>
    <w:rsid w:val="0002409E"/>
    <w:rsid w:val="000240AB"/>
    <w:rsid w:val="00024112"/>
    <w:rsid w:val="00024180"/>
    <w:rsid w:val="000241A1"/>
    <w:rsid w:val="00024338"/>
    <w:rsid w:val="000244B5"/>
    <w:rsid w:val="0002462B"/>
    <w:rsid w:val="00024726"/>
    <w:rsid w:val="00024C1C"/>
    <w:rsid w:val="00024C58"/>
    <w:rsid w:val="000252E0"/>
    <w:rsid w:val="00025358"/>
    <w:rsid w:val="00025AE9"/>
    <w:rsid w:val="00025CAA"/>
    <w:rsid w:val="00025F9F"/>
    <w:rsid w:val="000260E3"/>
    <w:rsid w:val="00026332"/>
    <w:rsid w:val="000264E3"/>
    <w:rsid w:val="00026670"/>
    <w:rsid w:val="00026AA6"/>
    <w:rsid w:val="00026B55"/>
    <w:rsid w:val="00026CC4"/>
    <w:rsid w:val="00026CCC"/>
    <w:rsid w:val="0002714B"/>
    <w:rsid w:val="0002715A"/>
    <w:rsid w:val="0002752D"/>
    <w:rsid w:val="00027C00"/>
    <w:rsid w:val="00027C24"/>
    <w:rsid w:val="00027CD6"/>
    <w:rsid w:val="000302EA"/>
    <w:rsid w:val="0003047F"/>
    <w:rsid w:val="00030496"/>
    <w:rsid w:val="00030521"/>
    <w:rsid w:val="00030663"/>
    <w:rsid w:val="0003098C"/>
    <w:rsid w:val="00030A17"/>
    <w:rsid w:val="00030B02"/>
    <w:rsid w:val="00030B6E"/>
    <w:rsid w:val="00030DA0"/>
    <w:rsid w:val="00030E1B"/>
    <w:rsid w:val="00030F0C"/>
    <w:rsid w:val="00030F0E"/>
    <w:rsid w:val="000317C1"/>
    <w:rsid w:val="00031AF6"/>
    <w:rsid w:val="00031B0B"/>
    <w:rsid w:val="00031B7C"/>
    <w:rsid w:val="00031BED"/>
    <w:rsid w:val="00031C86"/>
    <w:rsid w:val="00031E0D"/>
    <w:rsid w:val="00031E1A"/>
    <w:rsid w:val="00031F1D"/>
    <w:rsid w:val="00031F59"/>
    <w:rsid w:val="00031FD9"/>
    <w:rsid w:val="000320FA"/>
    <w:rsid w:val="00032333"/>
    <w:rsid w:val="0003237E"/>
    <w:rsid w:val="000325D6"/>
    <w:rsid w:val="00032907"/>
    <w:rsid w:val="0003293C"/>
    <w:rsid w:val="00032A21"/>
    <w:rsid w:val="00032AE2"/>
    <w:rsid w:val="00032AE8"/>
    <w:rsid w:val="00032C06"/>
    <w:rsid w:val="00032E01"/>
    <w:rsid w:val="000333C8"/>
    <w:rsid w:val="0003345C"/>
    <w:rsid w:val="000335F8"/>
    <w:rsid w:val="000337E8"/>
    <w:rsid w:val="0003393C"/>
    <w:rsid w:val="00033952"/>
    <w:rsid w:val="00033B8B"/>
    <w:rsid w:val="00033E41"/>
    <w:rsid w:val="00033EB7"/>
    <w:rsid w:val="00033ECF"/>
    <w:rsid w:val="00033F81"/>
    <w:rsid w:val="0003406B"/>
    <w:rsid w:val="0003420D"/>
    <w:rsid w:val="000344D4"/>
    <w:rsid w:val="000347B6"/>
    <w:rsid w:val="0003486A"/>
    <w:rsid w:val="000348A2"/>
    <w:rsid w:val="00034A2A"/>
    <w:rsid w:val="00034C82"/>
    <w:rsid w:val="00034E09"/>
    <w:rsid w:val="00034FF5"/>
    <w:rsid w:val="00035141"/>
    <w:rsid w:val="00035523"/>
    <w:rsid w:val="00035825"/>
    <w:rsid w:val="000358A8"/>
    <w:rsid w:val="00035ECB"/>
    <w:rsid w:val="00035F36"/>
    <w:rsid w:val="000360AE"/>
    <w:rsid w:val="0003630F"/>
    <w:rsid w:val="00036479"/>
    <w:rsid w:val="00036AA4"/>
    <w:rsid w:val="00036AF8"/>
    <w:rsid w:val="00036C6F"/>
    <w:rsid w:val="00036D1A"/>
    <w:rsid w:val="00036F8E"/>
    <w:rsid w:val="00036FEA"/>
    <w:rsid w:val="0003712C"/>
    <w:rsid w:val="00037221"/>
    <w:rsid w:val="00037275"/>
    <w:rsid w:val="0003728B"/>
    <w:rsid w:val="000372B8"/>
    <w:rsid w:val="0003744C"/>
    <w:rsid w:val="000374A7"/>
    <w:rsid w:val="00037858"/>
    <w:rsid w:val="00037C75"/>
    <w:rsid w:val="00037F30"/>
    <w:rsid w:val="000401DE"/>
    <w:rsid w:val="000401FA"/>
    <w:rsid w:val="000406FE"/>
    <w:rsid w:val="000409B4"/>
    <w:rsid w:val="00040BF8"/>
    <w:rsid w:val="00040F25"/>
    <w:rsid w:val="0004115E"/>
    <w:rsid w:val="00041791"/>
    <w:rsid w:val="00041DE9"/>
    <w:rsid w:val="0004214D"/>
    <w:rsid w:val="0004267F"/>
    <w:rsid w:val="00042770"/>
    <w:rsid w:val="00042867"/>
    <w:rsid w:val="000428A0"/>
    <w:rsid w:val="000429CB"/>
    <w:rsid w:val="00042DB1"/>
    <w:rsid w:val="00043313"/>
    <w:rsid w:val="0004346B"/>
    <w:rsid w:val="000437A9"/>
    <w:rsid w:val="00043B23"/>
    <w:rsid w:val="00043C31"/>
    <w:rsid w:val="0004410B"/>
    <w:rsid w:val="000441D0"/>
    <w:rsid w:val="00044928"/>
    <w:rsid w:val="000449A7"/>
    <w:rsid w:val="000449FF"/>
    <w:rsid w:val="00044AA0"/>
    <w:rsid w:val="00044B87"/>
    <w:rsid w:val="00044B8F"/>
    <w:rsid w:val="00044FC2"/>
    <w:rsid w:val="0004504F"/>
    <w:rsid w:val="000450A5"/>
    <w:rsid w:val="000450E1"/>
    <w:rsid w:val="0004535C"/>
    <w:rsid w:val="00045842"/>
    <w:rsid w:val="0004596F"/>
    <w:rsid w:val="000459E2"/>
    <w:rsid w:val="00045AD9"/>
    <w:rsid w:val="00045BE4"/>
    <w:rsid w:val="00045C43"/>
    <w:rsid w:val="00045F6A"/>
    <w:rsid w:val="0004602D"/>
    <w:rsid w:val="00046265"/>
    <w:rsid w:val="000464F8"/>
    <w:rsid w:val="000465B3"/>
    <w:rsid w:val="000468FD"/>
    <w:rsid w:val="0004697B"/>
    <w:rsid w:val="00046C9A"/>
    <w:rsid w:val="00046E51"/>
    <w:rsid w:val="00046F71"/>
    <w:rsid w:val="0004751B"/>
    <w:rsid w:val="000476F6"/>
    <w:rsid w:val="00047A01"/>
    <w:rsid w:val="00047FFB"/>
    <w:rsid w:val="000502B8"/>
    <w:rsid w:val="0005031A"/>
    <w:rsid w:val="00050419"/>
    <w:rsid w:val="00050704"/>
    <w:rsid w:val="00050865"/>
    <w:rsid w:val="00050A79"/>
    <w:rsid w:val="00050C7A"/>
    <w:rsid w:val="00050D41"/>
    <w:rsid w:val="00050F54"/>
    <w:rsid w:val="00050F8D"/>
    <w:rsid w:val="00051379"/>
    <w:rsid w:val="000516B0"/>
    <w:rsid w:val="00051948"/>
    <w:rsid w:val="00051A2B"/>
    <w:rsid w:val="00051A43"/>
    <w:rsid w:val="00051AAE"/>
    <w:rsid w:val="00051D68"/>
    <w:rsid w:val="00051F46"/>
    <w:rsid w:val="00052200"/>
    <w:rsid w:val="000525F3"/>
    <w:rsid w:val="000529F7"/>
    <w:rsid w:val="00052A30"/>
    <w:rsid w:val="00052E68"/>
    <w:rsid w:val="00053501"/>
    <w:rsid w:val="00053680"/>
    <w:rsid w:val="00053BE6"/>
    <w:rsid w:val="00053C59"/>
    <w:rsid w:val="00053CD2"/>
    <w:rsid w:val="00053D1C"/>
    <w:rsid w:val="00053EFE"/>
    <w:rsid w:val="0005407E"/>
    <w:rsid w:val="000543CF"/>
    <w:rsid w:val="000543D6"/>
    <w:rsid w:val="00054606"/>
    <w:rsid w:val="000546A3"/>
    <w:rsid w:val="000546E2"/>
    <w:rsid w:val="00054797"/>
    <w:rsid w:val="00054A06"/>
    <w:rsid w:val="00054A88"/>
    <w:rsid w:val="00054BE1"/>
    <w:rsid w:val="00054D6B"/>
    <w:rsid w:val="00054FCB"/>
    <w:rsid w:val="0005516B"/>
    <w:rsid w:val="00055353"/>
    <w:rsid w:val="000553FD"/>
    <w:rsid w:val="0005580C"/>
    <w:rsid w:val="00055A0D"/>
    <w:rsid w:val="00055A21"/>
    <w:rsid w:val="00055D2A"/>
    <w:rsid w:val="00055EAF"/>
    <w:rsid w:val="00055FB7"/>
    <w:rsid w:val="00056421"/>
    <w:rsid w:val="00056464"/>
    <w:rsid w:val="00056545"/>
    <w:rsid w:val="00056B89"/>
    <w:rsid w:val="00056E5F"/>
    <w:rsid w:val="00056F50"/>
    <w:rsid w:val="0005716D"/>
    <w:rsid w:val="000573C1"/>
    <w:rsid w:val="0005762A"/>
    <w:rsid w:val="00057655"/>
    <w:rsid w:val="000577AA"/>
    <w:rsid w:val="000578F4"/>
    <w:rsid w:val="000579A8"/>
    <w:rsid w:val="000579C2"/>
    <w:rsid w:val="00057C32"/>
    <w:rsid w:val="00060424"/>
    <w:rsid w:val="000605A4"/>
    <w:rsid w:val="00060894"/>
    <w:rsid w:val="0006093B"/>
    <w:rsid w:val="00060A7C"/>
    <w:rsid w:val="00060B84"/>
    <w:rsid w:val="00060CA5"/>
    <w:rsid w:val="00060E9E"/>
    <w:rsid w:val="00061055"/>
    <w:rsid w:val="00061169"/>
    <w:rsid w:val="000612F3"/>
    <w:rsid w:val="0006143E"/>
    <w:rsid w:val="0006149B"/>
    <w:rsid w:val="00061621"/>
    <w:rsid w:val="00061756"/>
    <w:rsid w:val="000618FC"/>
    <w:rsid w:val="00061917"/>
    <w:rsid w:val="000619C0"/>
    <w:rsid w:val="00061AEB"/>
    <w:rsid w:val="00061CCD"/>
    <w:rsid w:val="00061D71"/>
    <w:rsid w:val="00061F77"/>
    <w:rsid w:val="00062206"/>
    <w:rsid w:val="0006233C"/>
    <w:rsid w:val="00062465"/>
    <w:rsid w:val="000626EC"/>
    <w:rsid w:val="00062726"/>
    <w:rsid w:val="00062798"/>
    <w:rsid w:val="00062974"/>
    <w:rsid w:val="00062A61"/>
    <w:rsid w:val="00062ABB"/>
    <w:rsid w:val="00062C56"/>
    <w:rsid w:val="00062D50"/>
    <w:rsid w:val="00062E02"/>
    <w:rsid w:val="00062E6D"/>
    <w:rsid w:val="000632B1"/>
    <w:rsid w:val="000632D2"/>
    <w:rsid w:val="0006360B"/>
    <w:rsid w:val="00063B04"/>
    <w:rsid w:val="00063B11"/>
    <w:rsid w:val="00063ED9"/>
    <w:rsid w:val="00064145"/>
    <w:rsid w:val="000643A8"/>
    <w:rsid w:val="00064579"/>
    <w:rsid w:val="00064CF1"/>
    <w:rsid w:val="00064D8E"/>
    <w:rsid w:val="00064E09"/>
    <w:rsid w:val="000654B5"/>
    <w:rsid w:val="000655F7"/>
    <w:rsid w:val="0006563F"/>
    <w:rsid w:val="00065B40"/>
    <w:rsid w:val="00065C6D"/>
    <w:rsid w:val="00065C6F"/>
    <w:rsid w:val="00065EBA"/>
    <w:rsid w:val="00065EDD"/>
    <w:rsid w:val="000663A2"/>
    <w:rsid w:val="00066B3C"/>
    <w:rsid w:val="00066C0C"/>
    <w:rsid w:val="00066F17"/>
    <w:rsid w:val="00067097"/>
    <w:rsid w:val="00067466"/>
    <w:rsid w:val="000676E3"/>
    <w:rsid w:val="000677A6"/>
    <w:rsid w:val="00067B41"/>
    <w:rsid w:val="00067B75"/>
    <w:rsid w:val="00067BBD"/>
    <w:rsid w:val="00067D66"/>
    <w:rsid w:val="00067DB2"/>
    <w:rsid w:val="00067E3D"/>
    <w:rsid w:val="00067EED"/>
    <w:rsid w:val="00070260"/>
    <w:rsid w:val="00070712"/>
    <w:rsid w:val="0007091A"/>
    <w:rsid w:val="00070D19"/>
    <w:rsid w:val="00070FA5"/>
    <w:rsid w:val="00071133"/>
    <w:rsid w:val="0007125F"/>
    <w:rsid w:val="00071537"/>
    <w:rsid w:val="00071958"/>
    <w:rsid w:val="00071D33"/>
    <w:rsid w:val="00071D39"/>
    <w:rsid w:val="00071E02"/>
    <w:rsid w:val="00071EBE"/>
    <w:rsid w:val="00071EFF"/>
    <w:rsid w:val="00072096"/>
    <w:rsid w:val="00072177"/>
    <w:rsid w:val="0007217C"/>
    <w:rsid w:val="00072188"/>
    <w:rsid w:val="0007249D"/>
    <w:rsid w:val="0007286E"/>
    <w:rsid w:val="00073205"/>
    <w:rsid w:val="0007332E"/>
    <w:rsid w:val="000733AB"/>
    <w:rsid w:val="0007351E"/>
    <w:rsid w:val="00073575"/>
    <w:rsid w:val="000739BD"/>
    <w:rsid w:val="00073B41"/>
    <w:rsid w:val="00073BF7"/>
    <w:rsid w:val="00073C5A"/>
    <w:rsid w:val="00073F2C"/>
    <w:rsid w:val="000744B3"/>
    <w:rsid w:val="000744FA"/>
    <w:rsid w:val="00074AE6"/>
    <w:rsid w:val="00074B52"/>
    <w:rsid w:val="00074DE0"/>
    <w:rsid w:val="00076099"/>
    <w:rsid w:val="0007648A"/>
    <w:rsid w:val="000766DE"/>
    <w:rsid w:val="00076DC5"/>
    <w:rsid w:val="000775D5"/>
    <w:rsid w:val="00077612"/>
    <w:rsid w:val="00077881"/>
    <w:rsid w:val="00077939"/>
    <w:rsid w:val="00077968"/>
    <w:rsid w:val="00077CC3"/>
    <w:rsid w:val="00080130"/>
    <w:rsid w:val="00080234"/>
    <w:rsid w:val="000802F0"/>
    <w:rsid w:val="00080644"/>
    <w:rsid w:val="000806E7"/>
    <w:rsid w:val="00080704"/>
    <w:rsid w:val="00080A53"/>
    <w:rsid w:val="00080AD3"/>
    <w:rsid w:val="00080B57"/>
    <w:rsid w:val="00080E67"/>
    <w:rsid w:val="0008109A"/>
    <w:rsid w:val="00081118"/>
    <w:rsid w:val="00081340"/>
    <w:rsid w:val="0008137E"/>
    <w:rsid w:val="000815B6"/>
    <w:rsid w:val="00081945"/>
    <w:rsid w:val="00081D98"/>
    <w:rsid w:val="00081E95"/>
    <w:rsid w:val="00082A3B"/>
    <w:rsid w:val="00082CFB"/>
    <w:rsid w:val="00082F68"/>
    <w:rsid w:val="00083084"/>
    <w:rsid w:val="0008375F"/>
    <w:rsid w:val="00083796"/>
    <w:rsid w:val="000837BC"/>
    <w:rsid w:val="00083806"/>
    <w:rsid w:val="00084143"/>
    <w:rsid w:val="0008424F"/>
    <w:rsid w:val="00084693"/>
    <w:rsid w:val="000848C7"/>
    <w:rsid w:val="000849C1"/>
    <w:rsid w:val="00084A23"/>
    <w:rsid w:val="00084AC5"/>
    <w:rsid w:val="00084AE1"/>
    <w:rsid w:val="00084D73"/>
    <w:rsid w:val="00084DA3"/>
    <w:rsid w:val="00085764"/>
    <w:rsid w:val="000857A0"/>
    <w:rsid w:val="00085923"/>
    <w:rsid w:val="00085944"/>
    <w:rsid w:val="000859B7"/>
    <w:rsid w:val="00085C95"/>
    <w:rsid w:val="00085DB2"/>
    <w:rsid w:val="00085F32"/>
    <w:rsid w:val="00086263"/>
    <w:rsid w:val="00086D02"/>
    <w:rsid w:val="00086DA4"/>
    <w:rsid w:val="00086F4E"/>
    <w:rsid w:val="00087128"/>
    <w:rsid w:val="000876BB"/>
    <w:rsid w:val="0008781D"/>
    <w:rsid w:val="00087EA5"/>
    <w:rsid w:val="000900B9"/>
    <w:rsid w:val="0009010A"/>
    <w:rsid w:val="000903CF"/>
    <w:rsid w:val="0009058B"/>
    <w:rsid w:val="000905F0"/>
    <w:rsid w:val="00090753"/>
    <w:rsid w:val="000907B8"/>
    <w:rsid w:val="00090A9A"/>
    <w:rsid w:val="00090BD6"/>
    <w:rsid w:val="00090E93"/>
    <w:rsid w:val="00090EEF"/>
    <w:rsid w:val="00090F98"/>
    <w:rsid w:val="0009107A"/>
    <w:rsid w:val="00091369"/>
    <w:rsid w:val="00091445"/>
    <w:rsid w:val="00091AA7"/>
    <w:rsid w:val="00091C37"/>
    <w:rsid w:val="00091C50"/>
    <w:rsid w:val="0009224B"/>
    <w:rsid w:val="000923DB"/>
    <w:rsid w:val="0009240A"/>
    <w:rsid w:val="000925FF"/>
    <w:rsid w:val="000926D3"/>
    <w:rsid w:val="000929DE"/>
    <w:rsid w:val="00092ACB"/>
    <w:rsid w:val="00092CD8"/>
    <w:rsid w:val="00092D37"/>
    <w:rsid w:val="00092DF5"/>
    <w:rsid w:val="0009307D"/>
    <w:rsid w:val="00093118"/>
    <w:rsid w:val="00093321"/>
    <w:rsid w:val="000933F2"/>
    <w:rsid w:val="00093DAA"/>
    <w:rsid w:val="00094149"/>
    <w:rsid w:val="0009424F"/>
    <w:rsid w:val="000942C6"/>
    <w:rsid w:val="000945F0"/>
    <w:rsid w:val="00094869"/>
    <w:rsid w:val="00094AE7"/>
    <w:rsid w:val="00094B24"/>
    <w:rsid w:val="00094E15"/>
    <w:rsid w:val="00094E7C"/>
    <w:rsid w:val="00095225"/>
    <w:rsid w:val="00095303"/>
    <w:rsid w:val="0009546C"/>
    <w:rsid w:val="000959C7"/>
    <w:rsid w:val="00095B78"/>
    <w:rsid w:val="00095D28"/>
    <w:rsid w:val="00095DCB"/>
    <w:rsid w:val="00095FCE"/>
    <w:rsid w:val="0009602F"/>
    <w:rsid w:val="00096263"/>
    <w:rsid w:val="00096663"/>
    <w:rsid w:val="000966C2"/>
    <w:rsid w:val="000967FF"/>
    <w:rsid w:val="00096811"/>
    <w:rsid w:val="00096995"/>
    <w:rsid w:val="000969F3"/>
    <w:rsid w:val="00096D11"/>
    <w:rsid w:val="00096F54"/>
    <w:rsid w:val="0009700D"/>
    <w:rsid w:val="0009755C"/>
    <w:rsid w:val="00097790"/>
    <w:rsid w:val="00097A4D"/>
    <w:rsid w:val="00097AD1"/>
    <w:rsid w:val="00097D20"/>
    <w:rsid w:val="00097D8E"/>
    <w:rsid w:val="00097F9F"/>
    <w:rsid w:val="000A062C"/>
    <w:rsid w:val="000A0785"/>
    <w:rsid w:val="000A0F0B"/>
    <w:rsid w:val="000A1054"/>
    <w:rsid w:val="000A11BF"/>
    <w:rsid w:val="000A141E"/>
    <w:rsid w:val="000A1422"/>
    <w:rsid w:val="000A151A"/>
    <w:rsid w:val="000A168A"/>
    <w:rsid w:val="000A168E"/>
    <w:rsid w:val="000A18E3"/>
    <w:rsid w:val="000A1A7E"/>
    <w:rsid w:val="000A1B44"/>
    <w:rsid w:val="000A1BAE"/>
    <w:rsid w:val="000A1BDE"/>
    <w:rsid w:val="000A1C95"/>
    <w:rsid w:val="000A1E96"/>
    <w:rsid w:val="000A1E9E"/>
    <w:rsid w:val="000A1F61"/>
    <w:rsid w:val="000A2006"/>
    <w:rsid w:val="000A2491"/>
    <w:rsid w:val="000A28A8"/>
    <w:rsid w:val="000A2E93"/>
    <w:rsid w:val="000A3322"/>
    <w:rsid w:val="000A3323"/>
    <w:rsid w:val="000A3532"/>
    <w:rsid w:val="000A35CD"/>
    <w:rsid w:val="000A3833"/>
    <w:rsid w:val="000A3897"/>
    <w:rsid w:val="000A39F2"/>
    <w:rsid w:val="000A3A43"/>
    <w:rsid w:val="000A3E73"/>
    <w:rsid w:val="000A40C0"/>
    <w:rsid w:val="000A417E"/>
    <w:rsid w:val="000A4238"/>
    <w:rsid w:val="000A4429"/>
    <w:rsid w:val="000A4544"/>
    <w:rsid w:val="000A4800"/>
    <w:rsid w:val="000A4929"/>
    <w:rsid w:val="000A4CC9"/>
    <w:rsid w:val="000A4CF7"/>
    <w:rsid w:val="000A517B"/>
    <w:rsid w:val="000A51FE"/>
    <w:rsid w:val="000A52D4"/>
    <w:rsid w:val="000A53E4"/>
    <w:rsid w:val="000A554D"/>
    <w:rsid w:val="000A56FB"/>
    <w:rsid w:val="000A57FC"/>
    <w:rsid w:val="000A5AA8"/>
    <w:rsid w:val="000A5B40"/>
    <w:rsid w:val="000A5E4A"/>
    <w:rsid w:val="000A5F89"/>
    <w:rsid w:val="000A6080"/>
    <w:rsid w:val="000A6129"/>
    <w:rsid w:val="000A61A7"/>
    <w:rsid w:val="000A6484"/>
    <w:rsid w:val="000A65B8"/>
    <w:rsid w:val="000A661C"/>
    <w:rsid w:val="000A67C5"/>
    <w:rsid w:val="000A681E"/>
    <w:rsid w:val="000A69F3"/>
    <w:rsid w:val="000A6D9F"/>
    <w:rsid w:val="000A6E49"/>
    <w:rsid w:val="000A707F"/>
    <w:rsid w:val="000A763F"/>
    <w:rsid w:val="000A7935"/>
    <w:rsid w:val="000A7B9E"/>
    <w:rsid w:val="000A7DE5"/>
    <w:rsid w:val="000A7DFA"/>
    <w:rsid w:val="000A7E7D"/>
    <w:rsid w:val="000B04EE"/>
    <w:rsid w:val="000B06B2"/>
    <w:rsid w:val="000B0EF7"/>
    <w:rsid w:val="000B10E7"/>
    <w:rsid w:val="000B113D"/>
    <w:rsid w:val="000B13E5"/>
    <w:rsid w:val="000B1641"/>
    <w:rsid w:val="000B1ABC"/>
    <w:rsid w:val="000B1CA0"/>
    <w:rsid w:val="000B1CBE"/>
    <w:rsid w:val="000B1E44"/>
    <w:rsid w:val="000B21B1"/>
    <w:rsid w:val="000B225B"/>
    <w:rsid w:val="000B24A3"/>
    <w:rsid w:val="000B261E"/>
    <w:rsid w:val="000B2A0C"/>
    <w:rsid w:val="000B2F09"/>
    <w:rsid w:val="000B3213"/>
    <w:rsid w:val="000B324C"/>
    <w:rsid w:val="000B3319"/>
    <w:rsid w:val="000B338E"/>
    <w:rsid w:val="000B3554"/>
    <w:rsid w:val="000B3AEA"/>
    <w:rsid w:val="000B3B73"/>
    <w:rsid w:val="000B3C73"/>
    <w:rsid w:val="000B3F66"/>
    <w:rsid w:val="000B3F67"/>
    <w:rsid w:val="000B4161"/>
    <w:rsid w:val="000B4192"/>
    <w:rsid w:val="000B433C"/>
    <w:rsid w:val="000B4491"/>
    <w:rsid w:val="000B495A"/>
    <w:rsid w:val="000B502C"/>
    <w:rsid w:val="000B5055"/>
    <w:rsid w:val="000B522C"/>
    <w:rsid w:val="000B5339"/>
    <w:rsid w:val="000B53D5"/>
    <w:rsid w:val="000B543A"/>
    <w:rsid w:val="000B5876"/>
    <w:rsid w:val="000B591A"/>
    <w:rsid w:val="000B5947"/>
    <w:rsid w:val="000B598B"/>
    <w:rsid w:val="000B59BA"/>
    <w:rsid w:val="000B5B9A"/>
    <w:rsid w:val="000B602C"/>
    <w:rsid w:val="000B6141"/>
    <w:rsid w:val="000B6226"/>
    <w:rsid w:val="000B654C"/>
    <w:rsid w:val="000B685D"/>
    <w:rsid w:val="000B6EA2"/>
    <w:rsid w:val="000B70A1"/>
    <w:rsid w:val="000B7158"/>
    <w:rsid w:val="000B746D"/>
    <w:rsid w:val="000B7628"/>
    <w:rsid w:val="000B79C6"/>
    <w:rsid w:val="000B7B3A"/>
    <w:rsid w:val="000B7B6E"/>
    <w:rsid w:val="000B7B90"/>
    <w:rsid w:val="000B7DE6"/>
    <w:rsid w:val="000C00A0"/>
    <w:rsid w:val="000C0268"/>
    <w:rsid w:val="000C035C"/>
    <w:rsid w:val="000C0476"/>
    <w:rsid w:val="000C04CE"/>
    <w:rsid w:val="000C0522"/>
    <w:rsid w:val="000C07A8"/>
    <w:rsid w:val="000C07E6"/>
    <w:rsid w:val="000C0ACC"/>
    <w:rsid w:val="000C0B33"/>
    <w:rsid w:val="000C0D63"/>
    <w:rsid w:val="000C0FEB"/>
    <w:rsid w:val="000C1459"/>
    <w:rsid w:val="000C147B"/>
    <w:rsid w:val="000C18A4"/>
    <w:rsid w:val="000C19AA"/>
    <w:rsid w:val="000C1B41"/>
    <w:rsid w:val="000C1C3C"/>
    <w:rsid w:val="000C1F36"/>
    <w:rsid w:val="000C2144"/>
    <w:rsid w:val="000C2218"/>
    <w:rsid w:val="000C2769"/>
    <w:rsid w:val="000C27DD"/>
    <w:rsid w:val="000C29BA"/>
    <w:rsid w:val="000C29D1"/>
    <w:rsid w:val="000C2B79"/>
    <w:rsid w:val="000C2DB0"/>
    <w:rsid w:val="000C2F1B"/>
    <w:rsid w:val="000C3210"/>
    <w:rsid w:val="000C32A5"/>
    <w:rsid w:val="000C3576"/>
    <w:rsid w:val="000C3612"/>
    <w:rsid w:val="000C3765"/>
    <w:rsid w:val="000C38F2"/>
    <w:rsid w:val="000C39E3"/>
    <w:rsid w:val="000C4545"/>
    <w:rsid w:val="000C4652"/>
    <w:rsid w:val="000C4662"/>
    <w:rsid w:val="000C47E7"/>
    <w:rsid w:val="000C49D6"/>
    <w:rsid w:val="000C4A12"/>
    <w:rsid w:val="000C4A21"/>
    <w:rsid w:val="000C533E"/>
    <w:rsid w:val="000C5B0E"/>
    <w:rsid w:val="000C5F49"/>
    <w:rsid w:val="000C6111"/>
    <w:rsid w:val="000C63FE"/>
    <w:rsid w:val="000C6569"/>
    <w:rsid w:val="000C657F"/>
    <w:rsid w:val="000C669F"/>
    <w:rsid w:val="000C6ADE"/>
    <w:rsid w:val="000C6C9D"/>
    <w:rsid w:val="000C6FC3"/>
    <w:rsid w:val="000C7221"/>
    <w:rsid w:val="000C7252"/>
    <w:rsid w:val="000C731D"/>
    <w:rsid w:val="000C7411"/>
    <w:rsid w:val="000C74A1"/>
    <w:rsid w:val="000C74E7"/>
    <w:rsid w:val="000C74E8"/>
    <w:rsid w:val="000C78DE"/>
    <w:rsid w:val="000C7930"/>
    <w:rsid w:val="000C79F9"/>
    <w:rsid w:val="000C7B84"/>
    <w:rsid w:val="000C7E96"/>
    <w:rsid w:val="000C7FF0"/>
    <w:rsid w:val="000D00BF"/>
    <w:rsid w:val="000D01A3"/>
    <w:rsid w:val="000D03BD"/>
    <w:rsid w:val="000D04B3"/>
    <w:rsid w:val="000D05F7"/>
    <w:rsid w:val="000D0773"/>
    <w:rsid w:val="000D091A"/>
    <w:rsid w:val="000D0D2A"/>
    <w:rsid w:val="000D11D7"/>
    <w:rsid w:val="000D1208"/>
    <w:rsid w:val="000D1283"/>
    <w:rsid w:val="000D134E"/>
    <w:rsid w:val="000D135C"/>
    <w:rsid w:val="000D1456"/>
    <w:rsid w:val="000D16F2"/>
    <w:rsid w:val="000D1797"/>
    <w:rsid w:val="000D17AA"/>
    <w:rsid w:val="000D17DF"/>
    <w:rsid w:val="000D19DC"/>
    <w:rsid w:val="000D1F14"/>
    <w:rsid w:val="000D25DA"/>
    <w:rsid w:val="000D2600"/>
    <w:rsid w:val="000D26F0"/>
    <w:rsid w:val="000D2CCA"/>
    <w:rsid w:val="000D2CDB"/>
    <w:rsid w:val="000D2E06"/>
    <w:rsid w:val="000D370C"/>
    <w:rsid w:val="000D3AFB"/>
    <w:rsid w:val="000D3D0E"/>
    <w:rsid w:val="000D3E01"/>
    <w:rsid w:val="000D414D"/>
    <w:rsid w:val="000D4188"/>
    <w:rsid w:val="000D437F"/>
    <w:rsid w:val="000D438D"/>
    <w:rsid w:val="000D43C3"/>
    <w:rsid w:val="000D4833"/>
    <w:rsid w:val="000D4925"/>
    <w:rsid w:val="000D4938"/>
    <w:rsid w:val="000D4F64"/>
    <w:rsid w:val="000D50A2"/>
    <w:rsid w:val="000D5240"/>
    <w:rsid w:val="000D524F"/>
    <w:rsid w:val="000D5359"/>
    <w:rsid w:val="000D5761"/>
    <w:rsid w:val="000D5764"/>
    <w:rsid w:val="000D58DF"/>
    <w:rsid w:val="000D5AED"/>
    <w:rsid w:val="000D5BCD"/>
    <w:rsid w:val="000D5D31"/>
    <w:rsid w:val="000D5D9D"/>
    <w:rsid w:val="000D5FA1"/>
    <w:rsid w:val="000D6574"/>
    <w:rsid w:val="000D6770"/>
    <w:rsid w:val="000D6A2F"/>
    <w:rsid w:val="000D6B69"/>
    <w:rsid w:val="000D6E22"/>
    <w:rsid w:val="000D6F17"/>
    <w:rsid w:val="000D6F99"/>
    <w:rsid w:val="000D7428"/>
    <w:rsid w:val="000D75FB"/>
    <w:rsid w:val="000D78C6"/>
    <w:rsid w:val="000D7998"/>
    <w:rsid w:val="000D7A82"/>
    <w:rsid w:val="000D7A9A"/>
    <w:rsid w:val="000D7DAE"/>
    <w:rsid w:val="000D7EDB"/>
    <w:rsid w:val="000E0122"/>
    <w:rsid w:val="000E03AE"/>
    <w:rsid w:val="000E0784"/>
    <w:rsid w:val="000E07F3"/>
    <w:rsid w:val="000E0C0C"/>
    <w:rsid w:val="000E0D06"/>
    <w:rsid w:val="000E0D94"/>
    <w:rsid w:val="000E0F98"/>
    <w:rsid w:val="000E1215"/>
    <w:rsid w:val="000E121A"/>
    <w:rsid w:val="000E154C"/>
    <w:rsid w:val="000E1D0F"/>
    <w:rsid w:val="000E1D9E"/>
    <w:rsid w:val="000E2184"/>
    <w:rsid w:val="000E23BF"/>
    <w:rsid w:val="000E275B"/>
    <w:rsid w:val="000E2967"/>
    <w:rsid w:val="000E2A4C"/>
    <w:rsid w:val="000E2B9E"/>
    <w:rsid w:val="000E2CB8"/>
    <w:rsid w:val="000E2D9D"/>
    <w:rsid w:val="000E33B4"/>
    <w:rsid w:val="000E3497"/>
    <w:rsid w:val="000E3536"/>
    <w:rsid w:val="000E36EC"/>
    <w:rsid w:val="000E3C9C"/>
    <w:rsid w:val="000E4139"/>
    <w:rsid w:val="000E42D6"/>
    <w:rsid w:val="000E4333"/>
    <w:rsid w:val="000E4442"/>
    <w:rsid w:val="000E4524"/>
    <w:rsid w:val="000E4988"/>
    <w:rsid w:val="000E4AD5"/>
    <w:rsid w:val="000E4C53"/>
    <w:rsid w:val="000E4E1E"/>
    <w:rsid w:val="000E4E2B"/>
    <w:rsid w:val="000E50D4"/>
    <w:rsid w:val="000E585A"/>
    <w:rsid w:val="000E5931"/>
    <w:rsid w:val="000E59BB"/>
    <w:rsid w:val="000E59BF"/>
    <w:rsid w:val="000E5B24"/>
    <w:rsid w:val="000E5C64"/>
    <w:rsid w:val="000E5FDC"/>
    <w:rsid w:val="000E610C"/>
    <w:rsid w:val="000E6347"/>
    <w:rsid w:val="000E6BA5"/>
    <w:rsid w:val="000E71D8"/>
    <w:rsid w:val="000E7739"/>
    <w:rsid w:val="000E7CEF"/>
    <w:rsid w:val="000E7E5F"/>
    <w:rsid w:val="000F04C9"/>
    <w:rsid w:val="000F0731"/>
    <w:rsid w:val="000F0837"/>
    <w:rsid w:val="000F0F1C"/>
    <w:rsid w:val="000F11C4"/>
    <w:rsid w:val="000F16EE"/>
    <w:rsid w:val="000F1784"/>
    <w:rsid w:val="000F1AD7"/>
    <w:rsid w:val="000F1B71"/>
    <w:rsid w:val="000F1C4D"/>
    <w:rsid w:val="000F1D4B"/>
    <w:rsid w:val="000F2057"/>
    <w:rsid w:val="000F208C"/>
    <w:rsid w:val="000F2437"/>
    <w:rsid w:val="000F247E"/>
    <w:rsid w:val="000F25C6"/>
    <w:rsid w:val="000F2B04"/>
    <w:rsid w:val="000F2DB3"/>
    <w:rsid w:val="000F2E71"/>
    <w:rsid w:val="000F3032"/>
    <w:rsid w:val="000F339E"/>
    <w:rsid w:val="000F3673"/>
    <w:rsid w:val="000F37B7"/>
    <w:rsid w:val="000F3D77"/>
    <w:rsid w:val="000F3D88"/>
    <w:rsid w:val="000F427F"/>
    <w:rsid w:val="000F4291"/>
    <w:rsid w:val="000F459B"/>
    <w:rsid w:val="000F497F"/>
    <w:rsid w:val="000F4C1C"/>
    <w:rsid w:val="000F4D20"/>
    <w:rsid w:val="000F4EB6"/>
    <w:rsid w:val="000F4F42"/>
    <w:rsid w:val="000F5071"/>
    <w:rsid w:val="000F51E9"/>
    <w:rsid w:val="000F5340"/>
    <w:rsid w:val="000F5358"/>
    <w:rsid w:val="000F54C3"/>
    <w:rsid w:val="000F5524"/>
    <w:rsid w:val="000F56F3"/>
    <w:rsid w:val="000F5858"/>
    <w:rsid w:val="000F5A49"/>
    <w:rsid w:val="000F5B42"/>
    <w:rsid w:val="000F5D62"/>
    <w:rsid w:val="000F5DE9"/>
    <w:rsid w:val="000F5E2E"/>
    <w:rsid w:val="000F6506"/>
    <w:rsid w:val="000F6581"/>
    <w:rsid w:val="000F68B0"/>
    <w:rsid w:val="000F6945"/>
    <w:rsid w:val="000F6AE4"/>
    <w:rsid w:val="000F6B00"/>
    <w:rsid w:val="000F6B89"/>
    <w:rsid w:val="000F6FC7"/>
    <w:rsid w:val="000F72C1"/>
    <w:rsid w:val="000F72C6"/>
    <w:rsid w:val="000F73D9"/>
    <w:rsid w:val="000F7457"/>
    <w:rsid w:val="000F752E"/>
    <w:rsid w:val="000F76B3"/>
    <w:rsid w:val="000F77D3"/>
    <w:rsid w:val="000F7A6D"/>
    <w:rsid w:val="000F7E01"/>
    <w:rsid w:val="000F7ED0"/>
    <w:rsid w:val="000F7F1E"/>
    <w:rsid w:val="0010033C"/>
    <w:rsid w:val="001004EC"/>
    <w:rsid w:val="00100689"/>
    <w:rsid w:val="00100906"/>
    <w:rsid w:val="0010095D"/>
    <w:rsid w:val="00100AB4"/>
    <w:rsid w:val="00100BBC"/>
    <w:rsid w:val="00100BE0"/>
    <w:rsid w:val="00101021"/>
    <w:rsid w:val="0010109F"/>
    <w:rsid w:val="00101191"/>
    <w:rsid w:val="001011DA"/>
    <w:rsid w:val="001012B1"/>
    <w:rsid w:val="00101454"/>
    <w:rsid w:val="00101613"/>
    <w:rsid w:val="00101909"/>
    <w:rsid w:val="00101BAF"/>
    <w:rsid w:val="00101C40"/>
    <w:rsid w:val="00101FAA"/>
    <w:rsid w:val="0010203C"/>
    <w:rsid w:val="00102151"/>
    <w:rsid w:val="00102459"/>
    <w:rsid w:val="0010266E"/>
    <w:rsid w:val="0010267E"/>
    <w:rsid w:val="00102A24"/>
    <w:rsid w:val="00102BC9"/>
    <w:rsid w:val="00102D86"/>
    <w:rsid w:val="0010348B"/>
    <w:rsid w:val="00103B5E"/>
    <w:rsid w:val="00103C74"/>
    <w:rsid w:val="00103DA9"/>
    <w:rsid w:val="00103E45"/>
    <w:rsid w:val="00103EEF"/>
    <w:rsid w:val="00104025"/>
    <w:rsid w:val="0010410D"/>
    <w:rsid w:val="0010414C"/>
    <w:rsid w:val="00104257"/>
    <w:rsid w:val="001044C6"/>
    <w:rsid w:val="00104633"/>
    <w:rsid w:val="001049DA"/>
    <w:rsid w:val="00104C44"/>
    <w:rsid w:val="001051C8"/>
    <w:rsid w:val="00105233"/>
    <w:rsid w:val="00105412"/>
    <w:rsid w:val="001055B9"/>
    <w:rsid w:val="001056E3"/>
    <w:rsid w:val="0010575A"/>
    <w:rsid w:val="001057C1"/>
    <w:rsid w:val="00105A44"/>
    <w:rsid w:val="00105A81"/>
    <w:rsid w:val="00105BC6"/>
    <w:rsid w:val="00105CAA"/>
    <w:rsid w:val="00105CDC"/>
    <w:rsid w:val="00105DA1"/>
    <w:rsid w:val="00105EAF"/>
    <w:rsid w:val="00106048"/>
    <w:rsid w:val="001060C1"/>
    <w:rsid w:val="001061CE"/>
    <w:rsid w:val="001061E6"/>
    <w:rsid w:val="001062B1"/>
    <w:rsid w:val="0010634A"/>
    <w:rsid w:val="00106776"/>
    <w:rsid w:val="00106BF9"/>
    <w:rsid w:val="0010704F"/>
    <w:rsid w:val="00107725"/>
    <w:rsid w:val="00107E62"/>
    <w:rsid w:val="001101A3"/>
    <w:rsid w:val="001102E7"/>
    <w:rsid w:val="0011048C"/>
    <w:rsid w:val="00110A3B"/>
    <w:rsid w:val="00110B45"/>
    <w:rsid w:val="00110BC6"/>
    <w:rsid w:val="00110D88"/>
    <w:rsid w:val="00110E29"/>
    <w:rsid w:val="00110EC3"/>
    <w:rsid w:val="0011103C"/>
    <w:rsid w:val="0011152D"/>
    <w:rsid w:val="001115AE"/>
    <w:rsid w:val="0011167B"/>
    <w:rsid w:val="00111739"/>
    <w:rsid w:val="0011179A"/>
    <w:rsid w:val="00111840"/>
    <w:rsid w:val="00111993"/>
    <w:rsid w:val="00111A19"/>
    <w:rsid w:val="00111C5D"/>
    <w:rsid w:val="00111F86"/>
    <w:rsid w:val="00111FDE"/>
    <w:rsid w:val="00112063"/>
    <w:rsid w:val="001121EA"/>
    <w:rsid w:val="001129B7"/>
    <w:rsid w:val="00112ECA"/>
    <w:rsid w:val="00113179"/>
    <w:rsid w:val="001131FA"/>
    <w:rsid w:val="0011367A"/>
    <w:rsid w:val="00113927"/>
    <w:rsid w:val="00113965"/>
    <w:rsid w:val="00113DBD"/>
    <w:rsid w:val="0011434B"/>
    <w:rsid w:val="00114431"/>
    <w:rsid w:val="00114475"/>
    <w:rsid w:val="001146DD"/>
    <w:rsid w:val="0011478A"/>
    <w:rsid w:val="001147B5"/>
    <w:rsid w:val="00114B7B"/>
    <w:rsid w:val="00114C69"/>
    <w:rsid w:val="00114E41"/>
    <w:rsid w:val="00114E74"/>
    <w:rsid w:val="00114EA6"/>
    <w:rsid w:val="00114EF3"/>
    <w:rsid w:val="00115753"/>
    <w:rsid w:val="00115848"/>
    <w:rsid w:val="00115AB3"/>
    <w:rsid w:val="00115BAD"/>
    <w:rsid w:val="00115C9F"/>
    <w:rsid w:val="00116835"/>
    <w:rsid w:val="00116A07"/>
    <w:rsid w:val="00116CBF"/>
    <w:rsid w:val="0011729A"/>
    <w:rsid w:val="001174CA"/>
    <w:rsid w:val="001174E0"/>
    <w:rsid w:val="001174F7"/>
    <w:rsid w:val="00117B4A"/>
    <w:rsid w:val="00117B85"/>
    <w:rsid w:val="00117F23"/>
    <w:rsid w:val="0012004A"/>
    <w:rsid w:val="00120080"/>
    <w:rsid w:val="001202F3"/>
    <w:rsid w:val="001203AA"/>
    <w:rsid w:val="0012050A"/>
    <w:rsid w:val="0012051B"/>
    <w:rsid w:val="0012067F"/>
    <w:rsid w:val="00120716"/>
    <w:rsid w:val="001208B9"/>
    <w:rsid w:val="001209A5"/>
    <w:rsid w:val="00120BC5"/>
    <w:rsid w:val="00120CAD"/>
    <w:rsid w:val="00120F13"/>
    <w:rsid w:val="001215CA"/>
    <w:rsid w:val="0012161D"/>
    <w:rsid w:val="001218FF"/>
    <w:rsid w:val="0012198E"/>
    <w:rsid w:val="001219FF"/>
    <w:rsid w:val="00121A0E"/>
    <w:rsid w:val="00122494"/>
    <w:rsid w:val="001225B2"/>
    <w:rsid w:val="0012279C"/>
    <w:rsid w:val="001227F3"/>
    <w:rsid w:val="00122812"/>
    <w:rsid w:val="0012292D"/>
    <w:rsid w:val="001229C4"/>
    <w:rsid w:val="00122B2F"/>
    <w:rsid w:val="00122C00"/>
    <w:rsid w:val="00122C5A"/>
    <w:rsid w:val="00122E20"/>
    <w:rsid w:val="00122E27"/>
    <w:rsid w:val="00122F63"/>
    <w:rsid w:val="00123048"/>
    <w:rsid w:val="001231A6"/>
    <w:rsid w:val="00123297"/>
    <w:rsid w:val="001235EA"/>
    <w:rsid w:val="00123661"/>
    <w:rsid w:val="0012369F"/>
    <w:rsid w:val="001236AD"/>
    <w:rsid w:val="00123E3D"/>
    <w:rsid w:val="0012408B"/>
    <w:rsid w:val="00124448"/>
    <w:rsid w:val="0012472A"/>
    <w:rsid w:val="0012483E"/>
    <w:rsid w:val="00124BB9"/>
    <w:rsid w:val="00124C98"/>
    <w:rsid w:val="00124DCD"/>
    <w:rsid w:val="00124E5F"/>
    <w:rsid w:val="001250D9"/>
    <w:rsid w:val="00125233"/>
    <w:rsid w:val="00125755"/>
    <w:rsid w:val="00125C0F"/>
    <w:rsid w:val="00125D5E"/>
    <w:rsid w:val="001266AA"/>
    <w:rsid w:val="00126836"/>
    <w:rsid w:val="0012688B"/>
    <w:rsid w:val="001269FD"/>
    <w:rsid w:val="00126A3F"/>
    <w:rsid w:val="00126B9D"/>
    <w:rsid w:val="00126BD4"/>
    <w:rsid w:val="00126C5D"/>
    <w:rsid w:val="00126D93"/>
    <w:rsid w:val="00126DE0"/>
    <w:rsid w:val="00127177"/>
    <w:rsid w:val="0012720E"/>
    <w:rsid w:val="00127280"/>
    <w:rsid w:val="0012729B"/>
    <w:rsid w:val="0012732E"/>
    <w:rsid w:val="001274A1"/>
    <w:rsid w:val="00127853"/>
    <w:rsid w:val="00127927"/>
    <w:rsid w:val="00127A17"/>
    <w:rsid w:val="00127A26"/>
    <w:rsid w:val="00127CC0"/>
    <w:rsid w:val="00127FD0"/>
    <w:rsid w:val="001300FC"/>
    <w:rsid w:val="0013033C"/>
    <w:rsid w:val="00130479"/>
    <w:rsid w:val="0013089F"/>
    <w:rsid w:val="001308D6"/>
    <w:rsid w:val="001309A5"/>
    <w:rsid w:val="00130CB3"/>
    <w:rsid w:val="00130D49"/>
    <w:rsid w:val="00130D57"/>
    <w:rsid w:val="001314FB"/>
    <w:rsid w:val="00131A07"/>
    <w:rsid w:val="00131B17"/>
    <w:rsid w:val="00131B3F"/>
    <w:rsid w:val="00131B9B"/>
    <w:rsid w:val="00131CB5"/>
    <w:rsid w:val="00131F67"/>
    <w:rsid w:val="00132382"/>
    <w:rsid w:val="001325A2"/>
    <w:rsid w:val="00132A6E"/>
    <w:rsid w:val="00132B61"/>
    <w:rsid w:val="00133162"/>
    <w:rsid w:val="00133615"/>
    <w:rsid w:val="001336F0"/>
    <w:rsid w:val="0013377B"/>
    <w:rsid w:val="0013378E"/>
    <w:rsid w:val="001338CD"/>
    <w:rsid w:val="00133AD2"/>
    <w:rsid w:val="00133BD7"/>
    <w:rsid w:val="00133D61"/>
    <w:rsid w:val="00133D99"/>
    <w:rsid w:val="00134440"/>
    <w:rsid w:val="00134480"/>
    <w:rsid w:val="00134738"/>
    <w:rsid w:val="0013476A"/>
    <w:rsid w:val="00134867"/>
    <w:rsid w:val="00134AAE"/>
    <w:rsid w:val="00134E8F"/>
    <w:rsid w:val="00134F1D"/>
    <w:rsid w:val="00135371"/>
    <w:rsid w:val="001358CE"/>
    <w:rsid w:val="001359A4"/>
    <w:rsid w:val="00135A9B"/>
    <w:rsid w:val="00135E98"/>
    <w:rsid w:val="001361A4"/>
    <w:rsid w:val="0013632B"/>
    <w:rsid w:val="00136348"/>
    <w:rsid w:val="001363F1"/>
    <w:rsid w:val="00136430"/>
    <w:rsid w:val="0013658B"/>
    <w:rsid w:val="001365F1"/>
    <w:rsid w:val="0013675C"/>
    <w:rsid w:val="00136B67"/>
    <w:rsid w:val="00136C90"/>
    <w:rsid w:val="00137033"/>
    <w:rsid w:val="001372E5"/>
    <w:rsid w:val="0013743D"/>
    <w:rsid w:val="00137446"/>
    <w:rsid w:val="0013752F"/>
    <w:rsid w:val="001378D1"/>
    <w:rsid w:val="00137A99"/>
    <w:rsid w:val="00137BE7"/>
    <w:rsid w:val="00137D09"/>
    <w:rsid w:val="00137F92"/>
    <w:rsid w:val="00140537"/>
    <w:rsid w:val="001407E4"/>
    <w:rsid w:val="00140820"/>
    <w:rsid w:val="00140882"/>
    <w:rsid w:val="001409B0"/>
    <w:rsid w:val="00140AFB"/>
    <w:rsid w:val="00140EC6"/>
    <w:rsid w:val="001410A9"/>
    <w:rsid w:val="001410BD"/>
    <w:rsid w:val="00141403"/>
    <w:rsid w:val="00141563"/>
    <w:rsid w:val="00141909"/>
    <w:rsid w:val="00141A32"/>
    <w:rsid w:val="00141A3B"/>
    <w:rsid w:val="00141CFC"/>
    <w:rsid w:val="0014218B"/>
    <w:rsid w:val="00142263"/>
    <w:rsid w:val="0014242D"/>
    <w:rsid w:val="00142453"/>
    <w:rsid w:val="0014277E"/>
    <w:rsid w:val="00142975"/>
    <w:rsid w:val="00142983"/>
    <w:rsid w:val="00142A8D"/>
    <w:rsid w:val="00142CCA"/>
    <w:rsid w:val="00142E06"/>
    <w:rsid w:val="00143589"/>
    <w:rsid w:val="00143D7C"/>
    <w:rsid w:val="00143E42"/>
    <w:rsid w:val="00143EC4"/>
    <w:rsid w:val="00144006"/>
    <w:rsid w:val="001443E7"/>
    <w:rsid w:val="00144896"/>
    <w:rsid w:val="00144A01"/>
    <w:rsid w:val="00144D84"/>
    <w:rsid w:val="0014585E"/>
    <w:rsid w:val="00145A63"/>
    <w:rsid w:val="00145D42"/>
    <w:rsid w:val="00145E1C"/>
    <w:rsid w:val="00146106"/>
    <w:rsid w:val="0014611E"/>
    <w:rsid w:val="001461E6"/>
    <w:rsid w:val="001465EA"/>
    <w:rsid w:val="00146777"/>
    <w:rsid w:val="00146B61"/>
    <w:rsid w:val="00146D6A"/>
    <w:rsid w:val="00146DAF"/>
    <w:rsid w:val="00146F1B"/>
    <w:rsid w:val="001470D6"/>
    <w:rsid w:val="00147257"/>
    <w:rsid w:val="001473AE"/>
    <w:rsid w:val="00147873"/>
    <w:rsid w:val="00147AD2"/>
    <w:rsid w:val="00147C4A"/>
    <w:rsid w:val="0015009B"/>
    <w:rsid w:val="001503A4"/>
    <w:rsid w:val="00150567"/>
    <w:rsid w:val="00150693"/>
    <w:rsid w:val="00150724"/>
    <w:rsid w:val="00150BD5"/>
    <w:rsid w:val="00150BF6"/>
    <w:rsid w:val="00150C13"/>
    <w:rsid w:val="00150CC7"/>
    <w:rsid w:val="00150F0E"/>
    <w:rsid w:val="00150F40"/>
    <w:rsid w:val="00150F71"/>
    <w:rsid w:val="00151301"/>
    <w:rsid w:val="0015131D"/>
    <w:rsid w:val="00151432"/>
    <w:rsid w:val="001514AE"/>
    <w:rsid w:val="001514DE"/>
    <w:rsid w:val="00151843"/>
    <w:rsid w:val="001518F6"/>
    <w:rsid w:val="00151AAF"/>
    <w:rsid w:val="00151AFB"/>
    <w:rsid w:val="001521EF"/>
    <w:rsid w:val="001523F2"/>
    <w:rsid w:val="00152643"/>
    <w:rsid w:val="00152679"/>
    <w:rsid w:val="00152755"/>
    <w:rsid w:val="00152890"/>
    <w:rsid w:val="00152E0E"/>
    <w:rsid w:val="00152E52"/>
    <w:rsid w:val="00152F6D"/>
    <w:rsid w:val="00153094"/>
    <w:rsid w:val="0015342B"/>
    <w:rsid w:val="001535E7"/>
    <w:rsid w:val="001538A7"/>
    <w:rsid w:val="001538C6"/>
    <w:rsid w:val="00153BEA"/>
    <w:rsid w:val="00153EB4"/>
    <w:rsid w:val="00153F26"/>
    <w:rsid w:val="00153FF4"/>
    <w:rsid w:val="0015420D"/>
    <w:rsid w:val="0015478E"/>
    <w:rsid w:val="0015484F"/>
    <w:rsid w:val="00154BAB"/>
    <w:rsid w:val="00154C6A"/>
    <w:rsid w:val="001552BC"/>
    <w:rsid w:val="001552C6"/>
    <w:rsid w:val="001556E2"/>
    <w:rsid w:val="001558F7"/>
    <w:rsid w:val="00155AB4"/>
    <w:rsid w:val="00155BC0"/>
    <w:rsid w:val="00155BEA"/>
    <w:rsid w:val="00155F71"/>
    <w:rsid w:val="00156213"/>
    <w:rsid w:val="00156277"/>
    <w:rsid w:val="00156304"/>
    <w:rsid w:val="00156428"/>
    <w:rsid w:val="00156609"/>
    <w:rsid w:val="0015669D"/>
    <w:rsid w:val="001566DC"/>
    <w:rsid w:val="001567A1"/>
    <w:rsid w:val="001567E1"/>
    <w:rsid w:val="00156904"/>
    <w:rsid w:val="00156BAB"/>
    <w:rsid w:val="00156DB7"/>
    <w:rsid w:val="00156DE8"/>
    <w:rsid w:val="00156EC3"/>
    <w:rsid w:val="00156FAC"/>
    <w:rsid w:val="001573FE"/>
    <w:rsid w:val="0015748A"/>
    <w:rsid w:val="0015753C"/>
    <w:rsid w:val="0015759E"/>
    <w:rsid w:val="001575C7"/>
    <w:rsid w:val="00157646"/>
    <w:rsid w:val="00157B5F"/>
    <w:rsid w:val="00157BFF"/>
    <w:rsid w:val="00157F0F"/>
    <w:rsid w:val="00157FC8"/>
    <w:rsid w:val="00157FC9"/>
    <w:rsid w:val="00160191"/>
    <w:rsid w:val="001602C0"/>
    <w:rsid w:val="00160354"/>
    <w:rsid w:val="00160802"/>
    <w:rsid w:val="0016195A"/>
    <w:rsid w:val="001619B4"/>
    <w:rsid w:val="001619D7"/>
    <w:rsid w:val="00161C99"/>
    <w:rsid w:val="00161E71"/>
    <w:rsid w:val="00161ED3"/>
    <w:rsid w:val="00162017"/>
    <w:rsid w:val="0016221E"/>
    <w:rsid w:val="00162301"/>
    <w:rsid w:val="00162B97"/>
    <w:rsid w:val="00162CE6"/>
    <w:rsid w:val="00162D8E"/>
    <w:rsid w:val="00162F28"/>
    <w:rsid w:val="001630DB"/>
    <w:rsid w:val="0016352A"/>
    <w:rsid w:val="0016361A"/>
    <w:rsid w:val="001638BA"/>
    <w:rsid w:val="00163990"/>
    <w:rsid w:val="00163D68"/>
    <w:rsid w:val="00163D88"/>
    <w:rsid w:val="00163DF6"/>
    <w:rsid w:val="001642B1"/>
    <w:rsid w:val="00164827"/>
    <w:rsid w:val="001648E5"/>
    <w:rsid w:val="00164AC3"/>
    <w:rsid w:val="00164C39"/>
    <w:rsid w:val="00164DE5"/>
    <w:rsid w:val="00165040"/>
    <w:rsid w:val="001650A6"/>
    <w:rsid w:val="001651D4"/>
    <w:rsid w:val="00165464"/>
    <w:rsid w:val="001654A5"/>
    <w:rsid w:val="00165815"/>
    <w:rsid w:val="001659D9"/>
    <w:rsid w:val="00165A98"/>
    <w:rsid w:val="00165D6E"/>
    <w:rsid w:val="00166180"/>
    <w:rsid w:val="00166397"/>
    <w:rsid w:val="00166419"/>
    <w:rsid w:val="001669BB"/>
    <w:rsid w:val="00166B3F"/>
    <w:rsid w:val="00167041"/>
    <w:rsid w:val="001672B5"/>
    <w:rsid w:val="00167366"/>
    <w:rsid w:val="0016779A"/>
    <w:rsid w:val="0016798B"/>
    <w:rsid w:val="00167D12"/>
    <w:rsid w:val="00167D24"/>
    <w:rsid w:val="00167DC5"/>
    <w:rsid w:val="00167FAA"/>
    <w:rsid w:val="00170036"/>
    <w:rsid w:val="001700A8"/>
    <w:rsid w:val="0017022E"/>
    <w:rsid w:val="001705F4"/>
    <w:rsid w:val="001707C1"/>
    <w:rsid w:val="00170C76"/>
    <w:rsid w:val="00170C9D"/>
    <w:rsid w:val="00170FF5"/>
    <w:rsid w:val="00171161"/>
    <w:rsid w:val="00171427"/>
    <w:rsid w:val="00171AF8"/>
    <w:rsid w:val="00171BEE"/>
    <w:rsid w:val="00171E1B"/>
    <w:rsid w:val="00171F83"/>
    <w:rsid w:val="00172060"/>
    <w:rsid w:val="0017225D"/>
    <w:rsid w:val="00172291"/>
    <w:rsid w:val="0017234D"/>
    <w:rsid w:val="0017268C"/>
    <w:rsid w:val="001728FD"/>
    <w:rsid w:val="00172A7A"/>
    <w:rsid w:val="00172A86"/>
    <w:rsid w:val="00172E69"/>
    <w:rsid w:val="00172EAE"/>
    <w:rsid w:val="0017375E"/>
    <w:rsid w:val="00173A5C"/>
    <w:rsid w:val="00173B3D"/>
    <w:rsid w:val="00173BAE"/>
    <w:rsid w:val="00173F94"/>
    <w:rsid w:val="0017429E"/>
    <w:rsid w:val="001742A7"/>
    <w:rsid w:val="001743FF"/>
    <w:rsid w:val="001746CA"/>
    <w:rsid w:val="001746D0"/>
    <w:rsid w:val="00174A0F"/>
    <w:rsid w:val="00174C6D"/>
    <w:rsid w:val="00174EEF"/>
    <w:rsid w:val="00174F74"/>
    <w:rsid w:val="001754CE"/>
    <w:rsid w:val="00175A6D"/>
    <w:rsid w:val="00175CFA"/>
    <w:rsid w:val="00176061"/>
    <w:rsid w:val="00176065"/>
    <w:rsid w:val="0017607F"/>
    <w:rsid w:val="001763BE"/>
    <w:rsid w:val="00176A33"/>
    <w:rsid w:val="00176B25"/>
    <w:rsid w:val="00176BA9"/>
    <w:rsid w:val="00176CFC"/>
    <w:rsid w:val="00176D56"/>
    <w:rsid w:val="00176D9D"/>
    <w:rsid w:val="0017707A"/>
    <w:rsid w:val="00177091"/>
    <w:rsid w:val="00177190"/>
    <w:rsid w:val="001773F9"/>
    <w:rsid w:val="00177F1D"/>
    <w:rsid w:val="00177FA6"/>
    <w:rsid w:val="001804B7"/>
    <w:rsid w:val="001805F4"/>
    <w:rsid w:val="0018077D"/>
    <w:rsid w:val="00180980"/>
    <w:rsid w:val="00180B1E"/>
    <w:rsid w:val="00180BA9"/>
    <w:rsid w:val="00181033"/>
    <w:rsid w:val="00181056"/>
    <w:rsid w:val="001813BC"/>
    <w:rsid w:val="001813EC"/>
    <w:rsid w:val="00181458"/>
    <w:rsid w:val="00181497"/>
    <w:rsid w:val="001817CC"/>
    <w:rsid w:val="00181C0D"/>
    <w:rsid w:val="0018204F"/>
    <w:rsid w:val="00182513"/>
    <w:rsid w:val="00182634"/>
    <w:rsid w:val="001829EF"/>
    <w:rsid w:val="00182A83"/>
    <w:rsid w:val="00182CAA"/>
    <w:rsid w:val="00182E8D"/>
    <w:rsid w:val="00182ECD"/>
    <w:rsid w:val="00182F11"/>
    <w:rsid w:val="0018307D"/>
    <w:rsid w:val="001832F6"/>
    <w:rsid w:val="00183591"/>
    <w:rsid w:val="00183612"/>
    <w:rsid w:val="0018363E"/>
    <w:rsid w:val="001836C1"/>
    <w:rsid w:val="0018373F"/>
    <w:rsid w:val="0018397F"/>
    <w:rsid w:val="00183A0A"/>
    <w:rsid w:val="00183A51"/>
    <w:rsid w:val="00183D10"/>
    <w:rsid w:val="00183E8A"/>
    <w:rsid w:val="0018417F"/>
    <w:rsid w:val="00184463"/>
    <w:rsid w:val="00184822"/>
    <w:rsid w:val="001849D1"/>
    <w:rsid w:val="00185021"/>
    <w:rsid w:val="0018509A"/>
    <w:rsid w:val="00185384"/>
    <w:rsid w:val="001853D2"/>
    <w:rsid w:val="001854F8"/>
    <w:rsid w:val="001855DB"/>
    <w:rsid w:val="001858EC"/>
    <w:rsid w:val="00185C4B"/>
    <w:rsid w:val="00185CCB"/>
    <w:rsid w:val="00185EF8"/>
    <w:rsid w:val="001860E2"/>
    <w:rsid w:val="00186111"/>
    <w:rsid w:val="00186135"/>
    <w:rsid w:val="001861CC"/>
    <w:rsid w:val="001862B2"/>
    <w:rsid w:val="001862D5"/>
    <w:rsid w:val="00186380"/>
    <w:rsid w:val="00186432"/>
    <w:rsid w:val="0018648D"/>
    <w:rsid w:val="001864AA"/>
    <w:rsid w:val="001865BC"/>
    <w:rsid w:val="001867A6"/>
    <w:rsid w:val="00186871"/>
    <w:rsid w:val="001869AF"/>
    <w:rsid w:val="00186D82"/>
    <w:rsid w:val="00187236"/>
    <w:rsid w:val="001874CC"/>
    <w:rsid w:val="00187A4E"/>
    <w:rsid w:val="00187E18"/>
    <w:rsid w:val="00190013"/>
    <w:rsid w:val="0019048D"/>
    <w:rsid w:val="0019078B"/>
    <w:rsid w:val="001907A9"/>
    <w:rsid w:val="00190869"/>
    <w:rsid w:val="001909F5"/>
    <w:rsid w:val="00190A73"/>
    <w:rsid w:val="00190B53"/>
    <w:rsid w:val="00190BC5"/>
    <w:rsid w:val="00190C22"/>
    <w:rsid w:val="00190E67"/>
    <w:rsid w:val="00190F8C"/>
    <w:rsid w:val="00191079"/>
    <w:rsid w:val="001910AC"/>
    <w:rsid w:val="0019139B"/>
    <w:rsid w:val="00191430"/>
    <w:rsid w:val="00191CA2"/>
    <w:rsid w:val="00191CE5"/>
    <w:rsid w:val="00191FA8"/>
    <w:rsid w:val="00192121"/>
    <w:rsid w:val="001924B5"/>
    <w:rsid w:val="001926D6"/>
    <w:rsid w:val="00192C61"/>
    <w:rsid w:val="00192CAE"/>
    <w:rsid w:val="00192EF8"/>
    <w:rsid w:val="00193054"/>
    <w:rsid w:val="0019306E"/>
    <w:rsid w:val="001936ED"/>
    <w:rsid w:val="00193BB9"/>
    <w:rsid w:val="00193F40"/>
    <w:rsid w:val="001940C0"/>
    <w:rsid w:val="0019443C"/>
    <w:rsid w:val="00194504"/>
    <w:rsid w:val="001946AE"/>
    <w:rsid w:val="0019485B"/>
    <w:rsid w:val="00194D85"/>
    <w:rsid w:val="00194DBF"/>
    <w:rsid w:val="001950E6"/>
    <w:rsid w:val="0019524A"/>
    <w:rsid w:val="001952DF"/>
    <w:rsid w:val="0019558D"/>
    <w:rsid w:val="00195841"/>
    <w:rsid w:val="00195CFC"/>
    <w:rsid w:val="00195D35"/>
    <w:rsid w:val="00195D6A"/>
    <w:rsid w:val="001960D2"/>
    <w:rsid w:val="00196140"/>
    <w:rsid w:val="00196151"/>
    <w:rsid w:val="001962F2"/>
    <w:rsid w:val="001965B3"/>
    <w:rsid w:val="00196808"/>
    <w:rsid w:val="00196A82"/>
    <w:rsid w:val="00196C32"/>
    <w:rsid w:val="00196D3D"/>
    <w:rsid w:val="00196E32"/>
    <w:rsid w:val="001971B4"/>
    <w:rsid w:val="001972D5"/>
    <w:rsid w:val="0019748F"/>
    <w:rsid w:val="0019776D"/>
    <w:rsid w:val="00197AA4"/>
    <w:rsid w:val="00197AB1"/>
    <w:rsid w:val="001A053A"/>
    <w:rsid w:val="001A06A3"/>
    <w:rsid w:val="001A0AA5"/>
    <w:rsid w:val="001A0F84"/>
    <w:rsid w:val="001A101A"/>
    <w:rsid w:val="001A118E"/>
    <w:rsid w:val="001A1649"/>
    <w:rsid w:val="001A1671"/>
    <w:rsid w:val="001A1AFE"/>
    <w:rsid w:val="001A220B"/>
    <w:rsid w:val="001A2333"/>
    <w:rsid w:val="001A2367"/>
    <w:rsid w:val="001A2407"/>
    <w:rsid w:val="001A24D1"/>
    <w:rsid w:val="001A2639"/>
    <w:rsid w:val="001A2742"/>
    <w:rsid w:val="001A276C"/>
    <w:rsid w:val="001A27C2"/>
    <w:rsid w:val="001A28A6"/>
    <w:rsid w:val="001A28B2"/>
    <w:rsid w:val="001A2B63"/>
    <w:rsid w:val="001A2EE2"/>
    <w:rsid w:val="001A3265"/>
    <w:rsid w:val="001A3325"/>
    <w:rsid w:val="001A35CA"/>
    <w:rsid w:val="001A35F4"/>
    <w:rsid w:val="001A377E"/>
    <w:rsid w:val="001A3858"/>
    <w:rsid w:val="001A3892"/>
    <w:rsid w:val="001A3C4B"/>
    <w:rsid w:val="001A3CC4"/>
    <w:rsid w:val="001A3D6B"/>
    <w:rsid w:val="001A3F09"/>
    <w:rsid w:val="001A40C7"/>
    <w:rsid w:val="001A4134"/>
    <w:rsid w:val="001A428A"/>
    <w:rsid w:val="001A4477"/>
    <w:rsid w:val="001A46C2"/>
    <w:rsid w:val="001A4D2F"/>
    <w:rsid w:val="001A4F9A"/>
    <w:rsid w:val="001A5020"/>
    <w:rsid w:val="001A515F"/>
    <w:rsid w:val="001A551D"/>
    <w:rsid w:val="001A57FA"/>
    <w:rsid w:val="001A597B"/>
    <w:rsid w:val="001A5D90"/>
    <w:rsid w:val="001A5E89"/>
    <w:rsid w:val="001A5F76"/>
    <w:rsid w:val="001A61D3"/>
    <w:rsid w:val="001A6263"/>
    <w:rsid w:val="001A64B4"/>
    <w:rsid w:val="001A6563"/>
    <w:rsid w:val="001A69CA"/>
    <w:rsid w:val="001A6ACF"/>
    <w:rsid w:val="001A6ADB"/>
    <w:rsid w:val="001A6B9C"/>
    <w:rsid w:val="001A6EA9"/>
    <w:rsid w:val="001A703F"/>
    <w:rsid w:val="001A714B"/>
    <w:rsid w:val="001A72CB"/>
    <w:rsid w:val="001A74E5"/>
    <w:rsid w:val="001A79FA"/>
    <w:rsid w:val="001A7BA8"/>
    <w:rsid w:val="001A7CD5"/>
    <w:rsid w:val="001A7D33"/>
    <w:rsid w:val="001A7F68"/>
    <w:rsid w:val="001B02AC"/>
    <w:rsid w:val="001B0453"/>
    <w:rsid w:val="001B0559"/>
    <w:rsid w:val="001B0837"/>
    <w:rsid w:val="001B0BDD"/>
    <w:rsid w:val="001B0C3E"/>
    <w:rsid w:val="001B0FD3"/>
    <w:rsid w:val="001B10E4"/>
    <w:rsid w:val="001B1196"/>
    <w:rsid w:val="001B1296"/>
    <w:rsid w:val="001B168D"/>
    <w:rsid w:val="001B1A6D"/>
    <w:rsid w:val="001B1ECD"/>
    <w:rsid w:val="001B20A2"/>
    <w:rsid w:val="001B247B"/>
    <w:rsid w:val="001B28A1"/>
    <w:rsid w:val="001B29D0"/>
    <w:rsid w:val="001B2BFF"/>
    <w:rsid w:val="001B3235"/>
    <w:rsid w:val="001B327A"/>
    <w:rsid w:val="001B3391"/>
    <w:rsid w:val="001B3532"/>
    <w:rsid w:val="001B3723"/>
    <w:rsid w:val="001B379D"/>
    <w:rsid w:val="001B3BCE"/>
    <w:rsid w:val="001B3C4F"/>
    <w:rsid w:val="001B3DFA"/>
    <w:rsid w:val="001B404F"/>
    <w:rsid w:val="001B4073"/>
    <w:rsid w:val="001B40D8"/>
    <w:rsid w:val="001B4A62"/>
    <w:rsid w:val="001B4B49"/>
    <w:rsid w:val="001B4E2D"/>
    <w:rsid w:val="001B532E"/>
    <w:rsid w:val="001B57D8"/>
    <w:rsid w:val="001B5E09"/>
    <w:rsid w:val="001B5E4C"/>
    <w:rsid w:val="001B616C"/>
    <w:rsid w:val="001B7070"/>
    <w:rsid w:val="001B74D7"/>
    <w:rsid w:val="001B7659"/>
    <w:rsid w:val="001B776C"/>
    <w:rsid w:val="001B78C7"/>
    <w:rsid w:val="001B7988"/>
    <w:rsid w:val="001C00A0"/>
    <w:rsid w:val="001C0109"/>
    <w:rsid w:val="001C014B"/>
    <w:rsid w:val="001C0235"/>
    <w:rsid w:val="001C0245"/>
    <w:rsid w:val="001C0529"/>
    <w:rsid w:val="001C053B"/>
    <w:rsid w:val="001C056D"/>
    <w:rsid w:val="001C06CD"/>
    <w:rsid w:val="001C0D18"/>
    <w:rsid w:val="001C0E0D"/>
    <w:rsid w:val="001C0E20"/>
    <w:rsid w:val="001C0E34"/>
    <w:rsid w:val="001C10BE"/>
    <w:rsid w:val="001C1277"/>
    <w:rsid w:val="001C13A9"/>
    <w:rsid w:val="001C13F5"/>
    <w:rsid w:val="001C1561"/>
    <w:rsid w:val="001C1728"/>
    <w:rsid w:val="001C1A01"/>
    <w:rsid w:val="001C1A49"/>
    <w:rsid w:val="001C1FC9"/>
    <w:rsid w:val="001C2248"/>
    <w:rsid w:val="001C229D"/>
    <w:rsid w:val="001C22AF"/>
    <w:rsid w:val="001C239E"/>
    <w:rsid w:val="001C23FB"/>
    <w:rsid w:val="001C2408"/>
    <w:rsid w:val="001C26B1"/>
    <w:rsid w:val="001C28E9"/>
    <w:rsid w:val="001C2C44"/>
    <w:rsid w:val="001C2FE4"/>
    <w:rsid w:val="001C315C"/>
    <w:rsid w:val="001C3254"/>
    <w:rsid w:val="001C3295"/>
    <w:rsid w:val="001C330A"/>
    <w:rsid w:val="001C3349"/>
    <w:rsid w:val="001C337D"/>
    <w:rsid w:val="001C3447"/>
    <w:rsid w:val="001C365D"/>
    <w:rsid w:val="001C3823"/>
    <w:rsid w:val="001C3BC2"/>
    <w:rsid w:val="001C3ED1"/>
    <w:rsid w:val="001C41FB"/>
    <w:rsid w:val="001C42EE"/>
    <w:rsid w:val="001C4326"/>
    <w:rsid w:val="001C43CF"/>
    <w:rsid w:val="001C4402"/>
    <w:rsid w:val="001C4745"/>
    <w:rsid w:val="001C47BB"/>
    <w:rsid w:val="001C48C3"/>
    <w:rsid w:val="001C4A6A"/>
    <w:rsid w:val="001C4A8A"/>
    <w:rsid w:val="001C4A8E"/>
    <w:rsid w:val="001C4B70"/>
    <w:rsid w:val="001C4D08"/>
    <w:rsid w:val="001C4E0E"/>
    <w:rsid w:val="001C4F29"/>
    <w:rsid w:val="001C4F92"/>
    <w:rsid w:val="001C5206"/>
    <w:rsid w:val="001C52FD"/>
    <w:rsid w:val="001C541A"/>
    <w:rsid w:val="001C54E7"/>
    <w:rsid w:val="001C5638"/>
    <w:rsid w:val="001C565F"/>
    <w:rsid w:val="001C57AC"/>
    <w:rsid w:val="001C5989"/>
    <w:rsid w:val="001C5BB9"/>
    <w:rsid w:val="001C5BCA"/>
    <w:rsid w:val="001C5C28"/>
    <w:rsid w:val="001C5CAA"/>
    <w:rsid w:val="001C5EB7"/>
    <w:rsid w:val="001C605B"/>
    <w:rsid w:val="001C60C5"/>
    <w:rsid w:val="001C6507"/>
    <w:rsid w:val="001C664A"/>
    <w:rsid w:val="001C68B9"/>
    <w:rsid w:val="001C6BD6"/>
    <w:rsid w:val="001C6F84"/>
    <w:rsid w:val="001C72BD"/>
    <w:rsid w:val="001C73F1"/>
    <w:rsid w:val="001C7472"/>
    <w:rsid w:val="001C7629"/>
    <w:rsid w:val="001C76A9"/>
    <w:rsid w:val="001C7701"/>
    <w:rsid w:val="001C7763"/>
    <w:rsid w:val="001C7989"/>
    <w:rsid w:val="001C7FC5"/>
    <w:rsid w:val="001D037F"/>
    <w:rsid w:val="001D08BC"/>
    <w:rsid w:val="001D0B09"/>
    <w:rsid w:val="001D0BB6"/>
    <w:rsid w:val="001D0DB6"/>
    <w:rsid w:val="001D112C"/>
    <w:rsid w:val="001D1489"/>
    <w:rsid w:val="001D1491"/>
    <w:rsid w:val="001D1691"/>
    <w:rsid w:val="001D16D1"/>
    <w:rsid w:val="001D1741"/>
    <w:rsid w:val="001D1E72"/>
    <w:rsid w:val="001D1FF6"/>
    <w:rsid w:val="001D2258"/>
    <w:rsid w:val="001D2271"/>
    <w:rsid w:val="001D2358"/>
    <w:rsid w:val="001D239D"/>
    <w:rsid w:val="001D2438"/>
    <w:rsid w:val="001D2647"/>
    <w:rsid w:val="001D2878"/>
    <w:rsid w:val="001D287E"/>
    <w:rsid w:val="001D301D"/>
    <w:rsid w:val="001D3365"/>
    <w:rsid w:val="001D3648"/>
    <w:rsid w:val="001D38E4"/>
    <w:rsid w:val="001D3908"/>
    <w:rsid w:val="001D3AC2"/>
    <w:rsid w:val="001D3F15"/>
    <w:rsid w:val="001D4CAB"/>
    <w:rsid w:val="001D50BB"/>
    <w:rsid w:val="001D5690"/>
    <w:rsid w:val="001D581D"/>
    <w:rsid w:val="001D591F"/>
    <w:rsid w:val="001D59DE"/>
    <w:rsid w:val="001D5AD0"/>
    <w:rsid w:val="001D5CD0"/>
    <w:rsid w:val="001D5D6D"/>
    <w:rsid w:val="001D5F50"/>
    <w:rsid w:val="001D605C"/>
    <w:rsid w:val="001D622D"/>
    <w:rsid w:val="001D629A"/>
    <w:rsid w:val="001D66FB"/>
    <w:rsid w:val="001D6793"/>
    <w:rsid w:val="001D683A"/>
    <w:rsid w:val="001D68B2"/>
    <w:rsid w:val="001D6A1E"/>
    <w:rsid w:val="001D6A4D"/>
    <w:rsid w:val="001D6A90"/>
    <w:rsid w:val="001D6D67"/>
    <w:rsid w:val="001D6F4A"/>
    <w:rsid w:val="001D7024"/>
    <w:rsid w:val="001D7474"/>
    <w:rsid w:val="001D760C"/>
    <w:rsid w:val="001D7ABF"/>
    <w:rsid w:val="001D7BD3"/>
    <w:rsid w:val="001D7DF7"/>
    <w:rsid w:val="001E02FA"/>
    <w:rsid w:val="001E0304"/>
    <w:rsid w:val="001E0385"/>
    <w:rsid w:val="001E067E"/>
    <w:rsid w:val="001E082F"/>
    <w:rsid w:val="001E0CB7"/>
    <w:rsid w:val="001E0E16"/>
    <w:rsid w:val="001E0E6E"/>
    <w:rsid w:val="001E1198"/>
    <w:rsid w:val="001E12AB"/>
    <w:rsid w:val="001E1644"/>
    <w:rsid w:val="001E16F0"/>
    <w:rsid w:val="001E1795"/>
    <w:rsid w:val="001E1E07"/>
    <w:rsid w:val="001E1E95"/>
    <w:rsid w:val="001E1F52"/>
    <w:rsid w:val="001E2188"/>
    <w:rsid w:val="001E2264"/>
    <w:rsid w:val="001E2AFB"/>
    <w:rsid w:val="001E2C46"/>
    <w:rsid w:val="001E2E15"/>
    <w:rsid w:val="001E2EEA"/>
    <w:rsid w:val="001E3ED3"/>
    <w:rsid w:val="001E45B7"/>
    <w:rsid w:val="001E4748"/>
    <w:rsid w:val="001E482C"/>
    <w:rsid w:val="001E4F09"/>
    <w:rsid w:val="001E5059"/>
    <w:rsid w:val="001E5241"/>
    <w:rsid w:val="001E5456"/>
    <w:rsid w:val="001E57A2"/>
    <w:rsid w:val="001E5812"/>
    <w:rsid w:val="001E581A"/>
    <w:rsid w:val="001E5945"/>
    <w:rsid w:val="001E5D8F"/>
    <w:rsid w:val="001E5F2A"/>
    <w:rsid w:val="001E6032"/>
    <w:rsid w:val="001E609C"/>
    <w:rsid w:val="001E609D"/>
    <w:rsid w:val="001E6113"/>
    <w:rsid w:val="001E635D"/>
    <w:rsid w:val="001E635F"/>
    <w:rsid w:val="001E63A9"/>
    <w:rsid w:val="001E663D"/>
    <w:rsid w:val="001E66C1"/>
    <w:rsid w:val="001E6846"/>
    <w:rsid w:val="001E6914"/>
    <w:rsid w:val="001E6E88"/>
    <w:rsid w:val="001E731C"/>
    <w:rsid w:val="001E740F"/>
    <w:rsid w:val="001E7480"/>
    <w:rsid w:val="001E7488"/>
    <w:rsid w:val="001E762B"/>
    <w:rsid w:val="001E779A"/>
    <w:rsid w:val="001E784B"/>
    <w:rsid w:val="001E78DB"/>
    <w:rsid w:val="001E7D6A"/>
    <w:rsid w:val="001E7DDD"/>
    <w:rsid w:val="001E7EFC"/>
    <w:rsid w:val="001F050E"/>
    <w:rsid w:val="001F06FB"/>
    <w:rsid w:val="001F07BD"/>
    <w:rsid w:val="001F083E"/>
    <w:rsid w:val="001F0AD0"/>
    <w:rsid w:val="001F0C8A"/>
    <w:rsid w:val="001F0D49"/>
    <w:rsid w:val="001F0F1A"/>
    <w:rsid w:val="001F11A2"/>
    <w:rsid w:val="001F1852"/>
    <w:rsid w:val="001F18E5"/>
    <w:rsid w:val="001F1C1A"/>
    <w:rsid w:val="001F1DDA"/>
    <w:rsid w:val="001F2027"/>
    <w:rsid w:val="001F2310"/>
    <w:rsid w:val="001F2591"/>
    <w:rsid w:val="001F2598"/>
    <w:rsid w:val="001F25BA"/>
    <w:rsid w:val="001F26A7"/>
    <w:rsid w:val="001F27B2"/>
    <w:rsid w:val="001F29C5"/>
    <w:rsid w:val="001F2D81"/>
    <w:rsid w:val="001F30F7"/>
    <w:rsid w:val="001F3271"/>
    <w:rsid w:val="001F339D"/>
    <w:rsid w:val="001F34B8"/>
    <w:rsid w:val="001F3566"/>
    <w:rsid w:val="001F3E2E"/>
    <w:rsid w:val="001F3E65"/>
    <w:rsid w:val="001F3FF6"/>
    <w:rsid w:val="001F40CE"/>
    <w:rsid w:val="001F4249"/>
    <w:rsid w:val="001F4250"/>
    <w:rsid w:val="001F451A"/>
    <w:rsid w:val="001F4DD5"/>
    <w:rsid w:val="001F4F6C"/>
    <w:rsid w:val="001F58D9"/>
    <w:rsid w:val="001F604A"/>
    <w:rsid w:val="001F63AD"/>
    <w:rsid w:val="001F65E9"/>
    <w:rsid w:val="001F67BF"/>
    <w:rsid w:val="001F68FF"/>
    <w:rsid w:val="001F710D"/>
    <w:rsid w:val="001F726E"/>
    <w:rsid w:val="001F72B7"/>
    <w:rsid w:val="001F7469"/>
    <w:rsid w:val="001F7482"/>
    <w:rsid w:val="001F7BFD"/>
    <w:rsid w:val="001F7EC0"/>
    <w:rsid w:val="002000B7"/>
    <w:rsid w:val="00200136"/>
    <w:rsid w:val="00200328"/>
    <w:rsid w:val="00200444"/>
    <w:rsid w:val="00200A1E"/>
    <w:rsid w:val="00200DAB"/>
    <w:rsid w:val="00201048"/>
    <w:rsid w:val="002010BC"/>
    <w:rsid w:val="0020126C"/>
    <w:rsid w:val="00201EC4"/>
    <w:rsid w:val="00202246"/>
    <w:rsid w:val="0020229E"/>
    <w:rsid w:val="002024B1"/>
    <w:rsid w:val="00202C29"/>
    <w:rsid w:val="00202DEC"/>
    <w:rsid w:val="00202DFF"/>
    <w:rsid w:val="00202F59"/>
    <w:rsid w:val="0020346F"/>
    <w:rsid w:val="002035D3"/>
    <w:rsid w:val="0020369D"/>
    <w:rsid w:val="002037D6"/>
    <w:rsid w:val="002038D9"/>
    <w:rsid w:val="00203EDE"/>
    <w:rsid w:val="00204330"/>
    <w:rsid w:val="0020436A"/>
    <w:rsid w:val="00204470"/>
    <w:rsid w:val="00204530"/>
    <w:rsid w:val="002048F8"/>
    <w:rsid w:val="0020494F"/>
    <w:rsid w:val="00204CC4"/>
    <w:rsid w:val="00204F5F"/>
    <w:rsid w:val="0020513A"/>
    <w:rsid w:val="0020559E"/>
    <w:rsid w:val="002055BA"/>
    <w:rsid w:val="0020591F"/>
    <w:rsid w:val="00205D42"/>
    <w:rsid w:val="00205DD0"/>
    <w:rsid w:val="00205FD2"/>
    <w:rsid w:val="0020605E"/>
    <w:rsid w:val="00206544"/>
    <w:rsid w:val="00206738"/>
    <w:rsid w:val="002067DB"/>
    <w:rsid w:val="00206976"/>
    <w:rsid w:val="00206B75"/>
    <w:rsid w:val="00207329"/>
    <w:rsid w:val="002073EA"/>
    <w:rsid w:val="00207665"/>
    <w:rsid w:val="0020774F"/>
    <w:rsid w:val="00207774"/>
    <w:rsid w:val="002077E6"/>
    <w:rsid w:val="002078A0"/>
    <w:rsid w:val="00207A4D"/>
    <w:rsid w:val="00207B33"/>
    <w:rsid w:val="00207B6C"/>
    <w:rsid w:val="00210403"/>
    <w:rsid w:val="00210792"/>
    <w:rsid w:val="00210863"/>
    <w:rsid w:val="002108C1"/>
    <w:rsid w:val="00210919"/>
    <w:rsid w:val="00210B5F"/>
    <w:rsid w:val="00210C94"/>
    <w:rsid w:val="00210DA0"/>
    <w:rsid w:val="00210FF8"/>
    <w:rsid w:val="002116D5"/>
    <w:rsid w:val="002117F3"/>
    <w:rsid w:val="00211A75"/>
    <w:rsid w:val="00211D11"/>
    <w:rsid w:val="00211D51"/>
    <w:rsid w:val="00211D6E"/>
    <w:rsid w:val="00211DD5"/>
    <w:rsid w:val="002120FE"/>
    <w:rsid w:val="002121AE"/>
    <w:rsid w:val="002121F2"/>
    <w:rsid w:val="00212200"/>
    <w:rsid w:val="002124B3"/>
    <w:rsid w:val="002124C2"/>
    <w:rsid w:val="0021260C"/>
    <w:rsid w:val="002126EF"/>
    <w:rsid w:val="00212702"/>
    <w:rsid w:val="00212716"/>
    <w:rsid w:val="00212C7A"/>
    <w:rsid w:val="00212E52"/>
    <w:rsid w:val="00213109"/>
    <w:rsid w:val="00213121"/>
    <w:rsid w:val="00213297"/>
    <w:rsid w:val="0021360A"/>
    <w:rsid w:val="002137DD"/>
    <w:rsid w:val="00213B7D"/>
    <w:rsid w:val="00213E90"/>
    <w:rsid w:val="0021402A"/>
    <w:rsid w:val="002140BA"/>
    <w:rsid w:val="00214182"/>
    <w:rsid w:val="002141D9"/>
    <w:rsid w:val="00214253"/>
    <w:rsid w:val="0021452D"/>
    <w:rsid w:val="00214809"/>
    <w:rsid w:val="00214820"/>
    <w:rsid w:val="00214A42"/>
    <w:rsid w:val="00214B24"/>
    <w:rsid w:val="00214B9D"/>
    <w:rsid w:val="00214ED1"/>
    <w:rsid w:val="00215578"/>
    <w:rsid w:val="00215680"/>
    <w:rsid w:val="002156A9"/>
    <w:rsid w:val="00215889"/>
    <w:rsid w:val="002158E9"/>
    <w:rsid w:val="00215C43"/>
    <w:rsid w:val="00215F3E"/>
    <w:rsid w:val="00216271"/>
    <w:rsid w:val="00216299"/>
    <w:rsid w:val="002164CF"/>
    <w:rsid w:val="0021654D"/>
    <w:rsid w:val="002166B7"/>
    <w:rsid w:val="0021684B"/>
    <w:rsid w:val="00216881"/>
    <w:rsid w:val="00216A4B"/>
    <w:rsid w:val="00216A5F"/>
    <w:rsid w:val="00216D27"/>
    <w:rsid w:val="0021702B"/>
    <w:rsid w:val="002170A8"/>
    <w:rsid w:val="00217519"/>
    <w:rsid w:val="0021757A"/>
    <w:rsid w:val="0021762D"/>
    <w:rsid w:val="002176BD"/>
    <w:rsid w:val="00217722"/>
    <w:rsid w:val="0021778F"/>
    <w:rsid w:val="00217A86"/>
    <w:rsid w:val="00217AF1"/>
    <w:rsid w:val="00217D1D"/>
    <w:rsid w:val="0022012C"/>
    <w:rsid w:val="0022065C"/>
    <w:rsid w:val="002206ED"/>
    <w:rsid w:val="00220C9E"/>
    <w:rsid w:val="00220D82"/>
    <w:rsid w:val="00220FA7"/>
    <w:rsid w:val="002210BA"/>
    <w:rsid w:val="002210D8"/>
    <w:rsid w:val="00221417"/>
    <w:rsid w:val="002217D6"/>
    <w:rsid w:val="002219F3"/>
    <w:rsid w:val="00221CE5"/>
    <w:rsid w:val="00221EA4"/>
    <w:rsid w:val="00222117"/>
    <w:rsid w:val="0022213C"/>
    <w:rsid w:val="00222262"/>
    <w:rsid w:val="0022239F"/>
    <w:rsid w:val="00222A7D"/>
    <w:rsid w:val="00222ACA"/>
    <w:rsid w:val="00222CF5"/>
    <w:rsid w:val="00222D30"/>
    <w:rsid w:val="002231D5"/>
    <w:rsid w:val="00223201"/>
    <w:rsid w:val="002233CD"/>
    <w:rsid w:val="0022349A"/>
    <w:rsid w:val="00223D20"/>
    <w:rsid w:val="00223EBD"/>
    <w:rsid w:val="0022441C"/>
    <w:rsid w:val="0022461C"/>
    <w:rsid w:val="00224840"/>
    <w:rsid w:val="002248F9"/>
    <w:rsid w:val="002249DB"/>
    <w:rsid w:val="00224AB3"/>
    <w:rsid w:val="00224AE2"/>
    <w:rsid w:val="00224BC3"/>
    <w:rsid w:val="00224E1A"/>
    <w:rsid w:val="00225406"/>
    <w:rsid w:val="00225637"/>
    <w:rsid w:val="00225702"/>
    <w:rsid w:val="00225745"/>
    <w:rsid w:val="002257FF"/>
    <w:rsid w:val="0022581E"/>
    <w:rsid w:val="002258E5"/>
    <w:rsid w:val="00225A14"/>
    <w:rsid w:val="00225B59"/>
    <w:rsid w:val="00225E94"/>
    <w:rsid w:val="00226318"/>
    <w:rsid w:val="00226633"/>
    <w:rsid w:val="00226886"/>
    <w:rsid w:val="00226942"/>
    <w:rsid w:val="00226DD9"/>
    <w:rsid w:val="00226EAA"/>
    <w:rsid w:val="00227193"/>
    <w:rsid w:val="002272A4"/>
    <w:rsid w:val="0022770B"/>
    <w:rsid w:val="002279AA"/>
    <w:rsid w:val="00227A2B"/>
    <w:rsid w:val="00227B8F"/>
    <w:rsid w:val="00227BF8"/>
    <w:rsid w:val="002305CE"/>
    <w:rsid w:val="00230630"/>
    <w:rsid w:val="00230B9E"/>
    <w:rsid w:val="00230D02"/>
    <w:rsid w:val="00230E6F"/>
    <w:rsid w:val="00230FEE"/>
    <w:rsid w:val="0023113B"/>
    <w:rsid w:val="00231149"/>
    <w:rsid w:val="002311C5"/>
    <w:rsid w:val="0023123B"/>
    <w:rsid w:val="00231317"/>
    <w:rsid w:val="002314BA"/>
    <w:rsid w:val="0023161D"/>
    <w:rsid w:val="00231640"/>
    <w:rsid w:val="002317AE"/>
    <w:rsid w:val="0023184B"/>
    <w:rsid w:val="00231C39"/>
    <w:rsid w:val="00231D6B"/>
    <w:rsid w:val="00231E5A"/>
    <w:rsid w:val="002321C0"/>
    <w:rsid w:val="002322C4"/>
    <w:rsid w:val="0023230E"/>
    <w:rsid w:val="002325D5"/>
    <w:rsid w:val="0023284F"/>
    <w:rsid w:val="0023292B"/>
    <w:rsid w:val="00232A75"/>
    <w:rsid w:val="00232CDD"/>
    <w:rsid w:val="00232D85"/>
    <w:rsid w:val="00232E9E"/>
    <w:rsid w:val="002331A7"/>
    <w:rsid w:val="00233258"/>
    <w:rsid w:val="00233293"/>
    <w:rsid w:val="002332ED"/>
    <w:rsid w:val="002333E1"/>
    <w:rsid w:val="00233426"/>
    <w:rsid w:val="0023348D"/>
    <w:rsid w:val="0023359E"/>
    <w:rsid w:val="002336CE"/>
    <w:rsid w:val="002339F4"/>
    <w:rsid w:val="00233CAC"/>
    <w:rsid w:val="00233D64"/>
    <w:rsid w:val="00233DBA"/>
    <w:rsid w:val="00233F02"/>
    <w:rsid w:val="00233F4C"/>
    <w:rsid w:val="00233FE3"/>
    <w:rsid w:val="002340BD"/>
    <w:rsid w:val="002341D8"/>
    <w:rsid w:val="002342F3"/>
    <w:rsid w:val="0023495A"/>
    <w:rsid w:val="00234B0B"/>
    <w:rsid w:val="00234B49"/>
    <w:rsid w:val="00234BEF"/>
    <w:rsid w:val="00234D25"/>
    <w:rsid w:val="00234ECE"/>
    <w:rsid w:val="00235139"/>
    <w:rsid w:val="002351B4"/>
    <w:rsid w:val="0023520A"/>
    <w:rsid w:val="00235453"/>
    <w:rsid w:val="00235487"/>
    <w:rsid w:val="00235651"/>
    <w:rsid w:val="0023570E"/>
    <w:rsid w:val="00235C17"/>
    <w:rsid w:val="00235C9A"/>
    <w:rsid w:val="00235D47"/>
    <w:rsid w:val="00235FB4"/>
    <w:rsid w:val="002361DF"/>
    <w:rsid w:val="0023639B"/>
    <w:rsid w:val="00236793"/>
    <w:rsid w:val="00236A03"/>
    <w:rsid w:val="00236BD8"/>
    <w:rsid w:val="00236CA0"/>
    <w:rsid w:val="00236DF0"/>
    <w:rsid w:val="00236F64"/>
    <w:rsid w:val="00236FC9"/>
    <w:rsid w:val="002372F1"/>
    <w:rsid w:val="00237401"/>
    <w:rsid w:val="00237589"/>
    <w:rsid w:val="002376DD"/>
    <w:rsid w:val="00237B80"/>
    <w:rsid w:val="00237B9F"/>
    <w:rsid w:val="00237C7D"/>
    <w:rsid w:val="002400A0"/>
    <w:rsid w:val="0024018B"/>
    <w:rsid w:val="002404D0"/>
    <w:rsid w:val="00240916"/>
    <w:rsid w:val="00240B1C"/>
    <w:rsid w:val="00240D64"/>
    <w:rsid w:val="00240F35"/>
    <w:rsid w:val="00241269"/>
    <w:rsid w:val="0024134B"/>
    <w:rsid w:val="00241433"/>
    <w:rsid w:val="002414C8"/>
    <w:rsid w:val="00241508"/>
    <w:rsid w:val="00241862"/>
    <w:rsid w:val="0024186A"/>
    <w:rsid w:val="0024192B"/>
    <w:rsid w:val="00241A79"/>
    <w:rsid w:val="00241CED"/>
    <w:rsid w:val="00241D8F"/>
    <w:rsid w:val="00241E31"/>
    <w:rsid w:val="00242162"/>
    <w:rsid w:val="00242336"/>
    <w:rsid w:val="00242507"/>
    <w:rsid w:val="00242736"/>
    <w:rsid w:val="0024281D"/>
    <w:rsid w:val="00242A8C"/>
    <w:rsid w:val="002433ED"/>
    <w:rsid w:val="002434F7"/>
    <w:rsid w:val="00243CBE"/>
    <w:rsid w:val="00243E85"/>
    <w:rsid w:val="00243ED7"/>
    <w:rsid w:val="002443D1"/>
    <w:rsid w:val="00244476"/>
    <w:rsid w:val="00244D0D"/>
    <w:rsid w:val="00244D83"/>
    <w:rsid w:val="00244DE3"/>
    <w:rsid w:val="0024521E"/>
    <w:rsid w:val="00245234"/>
    <w:rsid w:val="00245265"/>
    <w:rsid w:val="002453EC"/>
    <w:rsid w:val="0024543A"/>
    <w:rsid w:val="00245474"/>
    <w:rsid w:val="00245700"/>
    <w:rsid w:val="00245845"/>
    <w:rsid w:val="00245974"/>
    <w:rsid w:val="00245981"/>
    <w:rsid w:val="00245C31"/>
    <w:rsid w:val="00245F08"/>
    <w:rsid w:val="002460EF"/>
    <w:rsid w:val="00246105"/>
    <w:rsid w:val="00246234"/>
    <w:rsid w:val="00246314"/>
    <w:rsid w:val="00246323"/>
    <w:rsid w:val="002464FD"/>
    <w:rsid w:val="0024654B"/>
    <w:rsid w:val="0024663A"/>
    <w:rsid w:val="00246A63"/>
    <w:rsid w:val="00246BF1"/>
    <w:rsid w:val="00246C7C"/>
    <w:rsid w:val="00246DF0"/>
    <w:rsid w:val="00246E05"/>
    <w:rsid w:val="00246ECF"/>
    <w:rsid w:val="002471BF"/>
    <w:rsid w:val="0024766D"/>
    <w:rsid w:val="002476E9"/>
    <w:rsid w:val="002478D6"/>
    <w:rsid w:val="002478E6"/>
    <w:rsid w:val="00247AE9"/>
    <w:rsid w:val="00247F0A"/>
    <w:rsid w:val="002500B8"/>
    <w:rsid w:val="0025019D"/>
    <w:rsid w:val="00250616"/>
    <w:rsid w:val="0025062E"/>
    <w:rsid w:val="00250678"/>
    <w:rsid w:val="002506F4"/>
    <w:rsid w:val="00250929"/>
    <w:rsid w:val="00250945"/>
    <w:rsid w:val="00250B10"/>
    <w:rsid w:val="00250D61"/>
    <w:rsid w:val="00250EFA"/>
    <w:rsid w:val="00250F0A"/>
    <w:rsid w:val="0025163D"/>
    <w:rsid w:val="0025175A"/>
    <w:rsid w:val="0025184A"/>
    <w:rsid w:val="00251F18"/>
    <w:rsid w:val="00251F59"/>
    <w:rsid w:val="0025208D"/>
    <w:rsid w:val="002520D1"/>
    <w:rsid w:val="00252474"/>
    <w:rsid w:val="00252585"/>
    <w:rsid w:val="002526B3"/>
    <w:rsid w:val="002527C2"/>
    <w:rsid w:val="00252980"/>
    <w:rsid w:val="00252ECE"/>
    <w:rsid w:val="002530F0"/>
    <w:rsid w:val="00253302"/>
    <w:rsid w:val="00253649"/>
    <w:rsid w:val="002536E8"/>
    <w:rsid w:val="002537CE"/>
    <w:rsid w:val="00253965"/>
    <w:rsid w:val="00253BAE"/>
    <w:rsid w:val="00254289"/>
    <w:rsid w:val="0025479A"/>
    <w:rsid w:val="002547BA"/>
    <w:rsid w:val="00254ABB"/>
    <w:rsid w:val="00254B99"/>
    <w:rsid w:val="00254BAE"/>
    <w:rsid w:val="00254D38"/>
    <w:rsid w:val="00254DE8"/>
    <w:rsid w:val="00255061"/>
    <w:rsid w:val="002550C5"/>
    <w:rsid w:val="00255122"/>
    <w:rsid w:val="0025512C"/>
    <w:rsid w:val="002551C8"/>
    <w:rsid w:val="0025553F"/>
    <w:rsid w:val="00255841"/>
    <w:rsid w:val="0025588B"/>
    <w:rsid w:val="002558A7"/>
    <w:rsid w:val="00255B41"/>
    <w:rsid w:val="002561AF"/>
    <w:rsid w:val="00256314"/>
    <w:rsid w:val="00256403"/>
    <w:rsid w:val="002566CB"/>
    <w:rsid w:val="002567C8"/>
    <w:rsid w:val="00256DF5"/>
    <w:rsid w:val="00256EC8"/>
    <w:rsid w:val="00256F95"/>
    <w:rsid w:val="002574FF"/>
    <w:rsid w:val="00257510"/>
    <w:rsid w:val="00257A4F"/>
    <w:rsid w:val="00257ABE"/>
    <w:rsid w:val="00257B6C"/>
    <w:rsid w:val="00257BD3"/>
    <w:rsid w:val="00257DF7"/>
    <w:rsid w:val="00257E45"/>
    <w:rsid w:val="00257E78"/>
    <w:rsid w:val="00257E87"/>
    <w:rsid w:val="00260107"/>
    <w:rsid w:val="00260271"/>
    <w:rsid w:val="0026028D"/>
    <w:rsid w:val="0026053C"/>
    <w:rsid w:val="002607B4"/>
    <w:rsid w:val="002607F4"/>
    <w:rsid w:val="00260824"/>
    <w:rsid w:val="00260A6A"/>
    <w:rsid w:val="00260BB7"/>
    <w:rsid w:val="00260CC6"/>
    <w:rsid w:val="00260DB8"/>
    <w:rsid w:val="00260ED2"/>
    <w:rsid w:val="00260F5A"/>
    <w:rsid w:val="002610D3"/>
    <w:rsid w:val="002612B2"/>
    <w:rsid w:val="002613FB"/>
    <w:rsid w:val="00261810"/>
    <w:rsid w:val="00261849"/>
    <w:rsid w:val="002618E7"/>
    <w:rsid w:val="00261A57"/>
    <w:rsid w:val="00261A70"/>
    <w:rsid w:val="0026200B"/>
    <w:rsid w:val="00262069"/>
    <w:rsid w:val="0026213A"/>
    <w:rsid w:val="0026270A"/>
    <w:rsid w:val="00263295"/>
    <w:rsid w:val="0026340D"/>
    <w:rsid w:val="00263459"/>
    <w:rsid w:val="002634C4"/>
    <w:rsid w:val="002636C4"/>
    <w:rsid w:val="00263AD4"/>
    <w:rsid w:val="00263CDB"/>
    <w:rsid w:val="00263F25"/>
    <w:rsid w:val="002647BF"/>
    <w:rsid w:val="002649B9"/>
    <w:rsid w:val="00264A88"/>
    <w:rsid w:val="00264CAB"/>
    <w:rsid w:val="00264D10"/>
    <w:rsid w:val="00264D6D"/>
    <w:rsid w:val="00264E45"/>
    <w:rsid w:val="002650B1"/>
    <w:rsid w:val="002656CA"/>
    <w:rsid w:val="0026580A"/>
    <w:rsid w:val="00265852"/>
    <w:rsid w:val="00266075"/>
    <w:rsid w:val="00266099"/>
    <w:rsid w:val="002664EA"/>
    <w:rsid w:val="002665B0"/>
    <w:rsid w:val="0026661A"/>
    <w:rsid w:val="0026664F"/>
    <w:rsid w:val="00266680"/>
    <w:rsid w:val="00266750"/>
    <w:rsid w:val="00266818"/>
    <w:rsid w:val="00266C25"/>
    <w:rsid w:val="00266FEC"/>
    <w:rsid w:val="00267161"/>
    <w:rsid w:val="00267627"/>
    <w:rsid w:val="002679E8"/>
    <w:rsid w:val="00267B4B"/>
    <w:rsid w:val="00267C78"/>
    <w:rsid w:val="00270083"/>
    <w:rsid w:val="00270277"/>
    <w:rsid w:val="002704DC"/>
    <w:rsid w:val="0027063B"/>
    <w:rsid w:val="00270649"/>
    <w:rsid w:val="00270785"/>
    <w:rsid w:val="00270A89"/>
    <w:rsid w:val="00270E15"/>
    <w:rsid w:val="002716C6"/>
    <w:rsid w:val="002717DC"/>
    <w:rsid w:val="00271B1D"/>
    <w:rsid w:val="00271E60"/>
    <w:rsid w:val="00271E7B"/>
    <w:rsid w:val="00271EDF"/>
    <w:rsid w:val="0027203D"/>
    <w:rsid w:val="0027218F"/>
    <w:rsid w:val="00272253"/>
    <w:rsid w:val="002722A2"/>
    <w:rsid w:val="002729A3"/>
    <w:rsid w:val="00272FE8"/>
    <w:rsid w:val="002730D6"/>
    <w:rsid w:val="00273172"/>
    <w:rsid w:val="002731A6"/>
    <w:rsid w:val="002735DC"/>
    <w:rsid w:val="0027389C"/>
    <w:rsid w:val="00273BB6"/>
    <w:rsid w:val="00273C07"/>
    <w:rsid w:val="00273C6C"/>
    <w:rsid w:val="00273EC5"/>
    <w:rsid w:val="00273FDD"/>
    <w:rsid w:val="0027409C"/>
    <w:rsid w:val="0027425C"/>
    <w:rsid w:val="00274336"/>
    <w:rsid w:val="002747C7"/>
    <w:rsid w:val="00274960"/>
    <w:rsid w:val="00274971"/>
    <w:rsid w:val="0027498D"/>
    <w:rsid w:val="00274A6D"/>
    <w:rsid w:val="00274DB3"/>
    <w:rsid w:val="00274E84"/>
    <w:rsid w:val="00274EFF"/>
    <w:rsid w:val="00274FBA"/>
    <w:rsid w:val="00274FE6"/>
    <w:rsid w:val="00275226"/>
    <w:rsid w:val="0027564B"/>
    <w:rsid w:val="002758DF"/>
    <w:rsid w:val="00275914"/>
    <w:rsid w:val="002759A6"/>
    <w:rsid w:val="00275A8C"/>
    <w:rsid w:val="00275BCE"/>
    <w:rsid w:val="00275DAF"/>
    <w:rsid w:val="00275E58"/>
    <w:rsid w:val="00275F37"/>
    <w:rsid w:val="00275FD1"/>
    <w:rsid w:val="00276032"/>
    <w:rsid w:val="002762CC"/>
    <w:rsid w:val="002763C5"/>
    <w:rsid w:val="0027657C"/>
    <w:rsid w:val="002765EF"/>
    <w:rsid w:val="0027696C"/>
    <w:rsid w:val="00276C09"/>
    <w:rsid w:val="00277018"/>
    <w:rsid w:val="00277026"/>
    <w:rsid w:val="002771D2"/>
    <w:rsid w:val="00277276"/>
    <w:rsid w:val="00277277"/>
    <w:rsid w:val="00277750"/>
    <w:rsid w:val="00277981"/>
    <w:rsid w:val="00277C9D"/>
    <w:rsid w:val="00277F57"/>
    <w:rsid w:val="0028016A"/>
    <w:rsid w:val="00280292"/>
    <w:rsid w:val="002802F2"/>
    <w:rsid w:val="00280393"/>
    <w:rsid w:val="002803D8"/>
    <w:rsid w:val="0028053D"/>
    <w:rsid w:val="00280583"/>
    <w:rsid w:val="00280B78"/>
    <w:rsid w:val="00280C08"/>
    <w:rsid w:val="00280C80"/>
    <w:rsid w:val="0028142A"/>
    <w:rsid w:val="00281490"/>
    <w:rsid w:val="00281DFD"/>
    <w:rsid w:val="00281E63"/>
    <w:rsid w:val="0028208B"/>
    <w:rsid w:val="00282225"/>
    <w:rsid w:val="0028258C"/>
    <w:rsid w:val="00282C54"/>
    <w:rsid w:val="00282F78"/>
    <w:rsid w:val="0028306C"/>
    <w:rsid w:val="00283117"/>
    <w:rsid w:val="0028337A"/>
    <w:rsid w:val="00283669"/>
    <w:rsid w:val="00283B3E"/>
    <w:rsid w:val="00283E7A"/>
    <w:rsid w:val="00283EFC"/>
    <w:rsid w:val="0028400D"/>
    <w:rsid w:val="002846FB"/>
    <w:rsid w:val="00284745"/>
    <w:rsid w:val="00284873"/>
    <w:rsid w:val="00284B60"/>
    <w:rsid w:val="00285222"/>
    <w:rsid w:val="002855D5"/>
    <w:rsid w:val="00285A77"/>
    <w:rsid w:val="00285AD1"/>
    <w:rsid w:val="00285ADA"/>
    <w:rsid w:val="00285D6B"/>
    <w:rsid w:val="00285D76"/>
    <w:rsid w:val="00286115"/>
    <w:rsid w:val="00286147"/>
    <w:rsid w:val="00286255"/>
    <w:rsid w:val="0028659A"/>
    <w:rsid w:val="002865EB"/>
    <w:rsid w:val="00286893"/>
    <w:rsid w:val="00286923"/>
    <w:rsid w:val="00286B2D"/>
    <w:rsid w:val="00286D11"/>
    <w:rsid w:val="00286DC0"/>
    <w:rsid w:val="00286DE2"/>
    <w:rsid w:val="00286F42"/>
    <w:rsid w:val="002873FA"/>
    <w:rsid w:val="00287419"/>
    <w:rsid w:val="0028758E"/>
    <w:rsid w:val="00287602"/>
    <w:rsid w:val="002876B3"/>
    <w:rsid w:val="002877C1"/>
    <w:rsid w:val="00287876"/>
    <w:rsid w:val="00287AD7"/>
    <w:rsid w:val="00287F37"/>
    <w:rsid w:val="00290077"/>
    <w:rsid w:val="002903CB"/>
    <w:rsid w:val="00290934"/>
    <w:rsid w:val="00290D04"/>
    <w:rsid w:val="00290D91"/>
    <w:rsid w:val="002910F6"/>
    <w:rsid w:val="00291316"/>
    <w:rsid w:val="00291654"/>
    <w:rsid w:val="002916BD"/>
    <w:rsid w:val="0029173B"/>
    <w:rsid w:val="002917CC"/>
    <w:rsid w:val="00291D38"/>
    <w:rsid w:val="00291F68"/>
    <w:rsid w:val="0029225D"/>
    <w:rsid w:val="0029226E"/>
    <w:rsid w:val="002923D4"/>
    <w:rsid w:val="0029269A"/>
    <w:rsid w:val="00292A4B"/>
    <w:rsid w:val="00292B66"/>
    <w:rsid w:val="00292CE5"/>
    <w:rsid w:val="00292E44"/>
    <w:rsid w:val="00292F20"/>
    <w:rsid w:val="00293949"/>
    <w:rsid w:val="002939DA"/>
    <w:rsid w:val="002939E3"/>
    <w:rsid w:val="00293BB8"/>
    <w:rsid w:val="00293DB5"/>
    <w:rsid w:val="00293F69"/>
    <w:rsid w:val="00294231"/>
    <w:rsid w:val="002945E6"/>
    <w:rsid w:val="002945F7"/>
    <w:rsid w:val="002947A1"/>
    <w:rsid w:val="002947A7"/>
    <w:rsid w:val="002947C2"/>
    <w:rsid w:val="002948AA"/>
    <w:rsid w:val="00294BAD"/>
    <w:rsid w:val="00294C6C"/>
    <w:rsid w:val="00294CD1"/>
    <w:rsid w:val="00295040"/>
    <w:rsid w:val="002950B1"/>
    <w:rsid w:val="00295323"/>
    <w:rsid w:val="00295502"/>
    <w:rsid w:val="0029550A"/>
    <w:rsid w:val="00295671"/>
    <w:rsid w:val="00295864"/>
    <w:rsid w:val="00295A21"/>
    <w:rsid w:val="00295B54"/>
    <w:rsid w:val="00295CD2"/>
    <w:rsid w:val="00295F10"/>
    <w:rsid w:val="00295F52"/>
    <w:rsid w:val="002964C7"/>
    <w:rsid w:val="00296757"/>
    <w:rsid w:val="00296B66"/>
    <w:rsid w:val="00296C5B"/>
    <w:rsid w:val="00296C87"/>
    <w:rsid w:val="00296E39"/>
    <w:rsid w:val="00296E68"/>
    <w:rsid w:val="0029714F"/>
    <w:rsid w:val="00297295"/>
    <w:rsid w:val="002972C3"/>
    <w:rsid w:val="00297303"/>
    <w:rsid w:val="00297392"/>
    <w:rsid w:val="00297522"/>
    <w:rsid w:val="00297BB0"/>
    <w:rsid w:val="00297C39"/>
    <w:rsid w:val="00297D31"/>
    <w:rsid w:val="002A02DE"/>
    <w:rsid w:val="002A0A5E"/>
    <w:rsid w:val="002A0ED2"/>
    <w:rsid w:val="002A0F74"/>
    <w:rsid w:val="002A1139"/>
    <w:rsid w:val="002A18B2"/>
    <w:rsid w:val="002A18F2"/>
    <w:rsid w:val="002A1AE6"/>
    <w:rsid w:val="002A24C7"/>
    <w:rsid w:val="002A264A"/>
    <w:rsid w:val="002A284A"/>
    <w:rsid w:val="002A2D72"/>
    <w:rsid w:val="002A2F31"/>
    <w:rsid w:val="002A3080"/>
    <w:rsid w:val="002A30E5"/>
    <w:rsid w:val="002A31A8"/>
    <w:rsid w:val="002A34D3"/>
    <w:rsid w:val="002A3730"/>
    <w:rsid w:val="002A3790"/>
    <w:rsid w:val="002A3AF1"/>
    <w:rsid w:val="002A3B8B"/>
    <w:rsid w:val="002A3F27"/>
    <w:rsid w:val="002A45D6"/>
    <w:rsid w:val="002A478A"/>
    <w:rsid w:val="002A489B"/>
    <w:rsid w:val="002A4B4D"/>
    <w:rsid w:val="002A50CD"/>
    <w:rsid w:val="002A50F6"/>
    <w:rsid w:val="002A57B9"/>
    <w:rsid w:val="002A5981"/>
    <w:rsid w:val="002A5B65"/>
    <w:rsid w:val="002A5D91"/>
    <w:rsid w:val="002A5EB8"/>
    <w:rsid w:val="002A62F0"/>
    <w:rsid w:val="002A635A"/>
    <w:rsid w:val="002A688F"/>
    <w:rsid w:val="002A6923"/>
    <w:rsid w:val="002A6A1B"/>
    <w:rsid w:val="002A6B8A"/>
    <w:rsid w:val="002A6CBF"/>
    <w:rsid w:val="002A6D5E"/>
    <w:rsid w:val="002A6D79"/>
    <w:rsid w:val="002A6DFB"/>
    <w:rsid w:val="002A6FA3"/>
    <w:rsid w:val="002A7038"/>
    <w:rsid w:val="002A7107"/>
    <w:rsid w:val="002A717D"/>
    <w:rsid w:val="002A72E0"/>
    <w:rsid w:val="002A76CE"/>
    <w:rsid w:val="002A771D"/>
    <w:rsid w:val="002A775E"/>
    <w:rsid w:val="002A779E"/>
    <w:rsid w:val="002A787D"/>
    <w:rsid w:val="002A78A6"/>
    <w:rsid w:val="002A78C0"/>
    <w:rsid w:val="002A7FE7"/>
    <w:rsid w:val="002B0061"/>
    <w:rsid w:val="002B0069"/>
    <w:rsid w:val="002B0073"/>
    <w:rsid w:val="002B01CB"/>
    <w:rsid w:val="002B0398"/>
    <w:rsid w:val="002B06F2"/>
    <w:rsid w:val="002B114B"/>
    <w:rsid w:val="002B1298"/>
    <w:rsid w:val="002B14F5"/>
    <w:rsid w:val="002B152A"/>
    <w:rsid w:val="002B155A"/>
    <w:rsid w:val="002B1563"/>
    <w:rsid w:val="002B1597"/>
    <w:rsid w:val="002B1630"/>
    <w:rsid w:val="002B17F5"/>
    <w:rsid w:val="002B1A00"/>
    <w:rsid w:val="002B1AB6"/>
    <w:rsid w:val="002B2177"/>
    <w:rsid w:val="002B2406"/>
    <w:rsid w:val="002B2961"/>
    <w:rsid w:val="002B2C2B"/>
    <w:rsid w:val="002B2DB1"/>
    <w:rsid w:val="002B2FD7"/>
    <w:rsid w:val="002B300D"/>
    <w:rsid w:val="002B303F"/>
    <w:rsid w:val="002B3477"/>
    <w:rsid w:val="002B35A2"/>
    <w:rsid w:val="002B3923"/>
    <w:rsid w:val="002B3A32"/>
    <w:rsid w:val="002B3F1A"/>
    <w:rsid w:val="002B43AB"/>
    <w:rsid w:val="002B460E"/>
    <w:rsid w:val="002B46D5"/>
    <w:rsid w:val="002B47EE"/>
    <w:rsid w:val="002B4CA1"/>
    <w:rsid w:val="002B4E99"/>
    <w:rsid w:val="002B53BB"/>
    <w:rsid w:val="002B5473"/>
    <w:rsid w:val="002B5B78"/>
    <w:rsid w:val="002B5F67"/>
    <w:rsid w:val="002B65DD"/>
    <w:rsid w:val="002B6699"/>
    <w:rsid w:val="002B6901"/>
    <w:rsid w:val="002B699D"/>
    <w:rsid w:val="002B6C27"/>
    <w:rsid w:val="002B6EC7"/>
    <w:rsid w:val="002B6EE5"/>
    <w:rsid w:val="002B748F"/>
    <w:rsid w:val="002B7CA0"/>
    <w:rsid w:val="002B7DFC"/>
    <w:rsid w:val="002B7E13"/>
    <w:rsid w:val="002B7E91"/>
    <w:rsid w:val="002C007D"/>
    <w:rsid w:val="002C00C9"/>
    <w:rsid w:val="002C017C"/>
    <w:rsid w:val="002C0314"/>
    <w:rsid w:val="002C05EF"/>
    <w:rsid w:val="002C0647"/>
    <w:rsid w:val="002C0678"/>
    <w:rsid w:val="002C06E3"/>
    <w:rsid w:val="002C0759"/>
    <w:rsid w:val="002C0C89"/>
    <w:rsid w:val="002C0D32"/>
    <w:rsid w:val="002C0EDD"/>
    <w:rsid w:val="002C0F22"/>
    <w:rsid w:val="002C0F4D"/>
    <w:rsid w:val="002C105A"/>
    <w:rsid w:val="002C10EF"/>
    <w:rsid w:val="002C1198"/>
    <w:rsid w:val="002C11BA"/>
    <w:rsid w:val="002C1415"/>
    <w:rsid w:val="002C1544"/>
    <w:rsid w:val="002C16F0"/>
    <w:rsid w:val="002C1B8C"/>
    <w:rsid w:val="002C1E04"/>
    <w:rsid w:val="002C1E97"/>
    <w:rsid w:val="002C1FED"/>
    <w:rsid w:val="002C2027"/>
    <w:rsid w:val="002C2119"/>
    <w:rsid w:val="002C21DC"/>
    <w:rsid w:val="002C2634"/>
    <w:rsid w:val="002C2683"/>
    <w:rsid w:val="002C295D"/>
    <w:rsid w:val="002C2EA9"/>
    <w:rsid w:val="002C2FFE"/>
    <w:rsid w:val="002C3343"/>
    <w:rsid w:val="002C33B1"/>
    <w:rsid w:val="002C351A"/>
    <w:rsid w:val="002C3623"/>
    <w:rsid w:val="002C36B0"/>
    <w:rsid w:val="002C36DE"/>
    <w:rsid w:val="002C3FCE"/>
    <w:rsid w:val="002C43DD"/>
    <w:rsid w:val="002C4449"/>
    <w:rsid w:val="002C47C8"/>
    <w:rsid w:val="002C482F"/>
    <w:rsid w:val="002C4863"/>
    <w:rsid w:val="002C49C5"/>
    <w:rsid w:val="002C4CE8"/>
    <w:rsid w:val="002C4E66"/>
    <w:rsid w:val="002C4EEF"/>
    <w:rsid w:val="002C516F"/>
    <w:rsid w:val="002C52AA"/>
    <w:rsid w:val="002C56F2"/>
    <w:rsid w:val="002C5A06"/>
    <w:rsid w:val="002C5ABE"/>
    <w:rsid w:val="002C5DC0"/>
    <w:rsid w:val="002C5F4D"/>
    <w:rsid w:val="002C5FDB"/>
    <w:rsid w:val="002C5FEA"/>
    <w:rsid w:val="002C61E0"/>
    <w:rsid w:val="002C6552"/>
    <w:rsid w:val="002C6876"/>
    <w:rsid w:val="002C68B5"/>
    <w:rsid w:val="002C6DBC"/>
    <w:rsid w:val="002C6E2E"/>
    <w:rsid w:val="002C6FB0"/>
    <w:rsid w:val="002C715B"/>
    <w:rsid w:val="002C7268"/>
    <w:rsid w:val="002C7498"/>
    <w:rsid w:val="002C7CCB"/>
    <w:rsid w:val="002C7D04"/>
    <w:rsid w:val="002C7DD9"/>
    <w:rsid w:val="002C7E48"/>
    <w:rsid w:val="002D048C"/>
    <w:rsid w:val="002D0511"/>
    <w:rsid w:val="002D0797"/>
    <w:rsid w:val="002D07C1"/>
    <w:rsid w:val="002D0885"/>
    <w:rsid w:val="002D0904"/>
    <w:rsid w:val="002D0AA6"/>
    <w:rsid w:val="002D0C7C"/>
    <w:rsid w:val="002D1252"/>
    <w:rsid w:val="002D1262"/>
    <w:rsid w:val="002D1606"/>
    <w:rsid w:val="002D185A"/>
    <w:rsid w:val="002D191C"/>
    <w:rsid w:val="002D1BEC"/>
    <w:rsid w:val="002D1CEE"/>
    <w:rsid w:val="002D1D0E"/>
    <w:rsid w:val="002D1E04"/>
    <w:rsid w:val="002D1ECB"/>
    <w:rsid w:val="002D1FD9"/>
    <w:rsid w:val="002D20B6"/>
    <w:rsid w:val="002D2475"/>
    <w:rsid w:val="002D2480"/>
    <w:rsid w:val="002D2747"/>
    <w:rsid w:val="002D2769"/>
    <w:rsid w:val="002D2F8B"/>
    <w:rsid w:val="002D3483"/>
    <w:rsid w:val="002D34FD"/>
    <w:rsid w:val="002D35F5"/>
    <w:rsid w:val="002D3806"/>
    <w:rsid w:val="002D3A85"/>
    <w:rsid w:val="002D3FBB"/>
    <w:rsid w:val="002D4122"/>
    <w:rsid w:val="002D41B4"/>
    <w:rsid w:val="002D43A2"/>
    <w:rsid w:val="002D4792"/>
    <w:rsid w:val="002D4A0F"/>
    <w:rsid w:val="002D4B5F"/>
    <w:rsid w:val="002D4F79"/>
    <w:rsid w:val="002D4FBB"/>
    <w:rsid w:val="002D4FC5"/>
    <w:rsid w:val="002D52FA"/>
    <w:rsid w:val="002D5954"/>
    <w:rsid w:val="002D5B29"/>
    <w:rsid w:val="002D5CD2"/>
    <w:rsid w:val="002D5CE5"/>
    <w:rsid w:val="002D5D03"/>
    <w:rsid w:val="002D5E7E"/>
    <w:rsid w:val="002D62A3"/>
    <w:rsid w:val="002D633E"/>
    <w:rsid w:val="002D6365"/>
    <w:rsid w:val="002D63EE"/>
    <w:rsid w:val="002D6538"/>
    <w:rsid w:val="002D6754"/>
    <w:rsid w:val="002D68D9"/>
    <w:rsid w:val="002D6ADA"/>
    <w:rsid w:val="002D6C3C"/>
    <w:rsid w:val="002D6CA3"/>
    <w:rsid w:val="002D6D97"/>
    <w:rsid w:val="002D6F03"/>
    <w:rsid w:val="002D71C3"/>
    <w:rsid w:val="002D7407"/>
    <w:rsid w:val="002D7861"/>
    <w:rsid w:val="002D7958"/>
    <w:rsid w:val="002D7A00"/>
    <w:rsid w:val="002D7B9B"/>
    <w:rsid w:val="002D7E87"/>
    <w:rsid w:val="002E010D"/>
    <w:rsid w:val="002E01CC"/>
    <w:rsid w:val="002E04A7"/>
    <w:rsid w:val="002E1301"/>
    <w:rsid w:val="002E14E0"/>
    <w:rsid w:val="002E150F"/>
    <w:rsid w:val="002E16FC"/>
    <w:rsid w:val="002E174B"/>
    <w:rsid w:val="002E18C3"/>
    <w:rsid w:val="002E19D7"/>
    <w:rsid w:val="002E19F4"/>
    <w:rsid w:val="002E1B07"/>
    <w:rsid w:val="002E1EA2"/>
    <w:rsid w:val="002E1F20"/>
    <w:rsid w:val="002E2049"/>
    <w:rsid w:val="002E2090"/>
    <w:rsid w:val="002E24DC"/>
    <w:rsid w:val="002E2A2A"/>
    <w:rsid w:val="002E2B72"/>
    <w:rsid w:val="002E2C3C"/>
    <w:rsid w:val="002E2CDE"/>
    <w:rsid w:val="002E2FF7"/>
    <w:rsid w:val="002E3104"/>
    <w:rsid w:val="002E3176"/>
    <w:rsid w:val="002E32BF"/>
    <w:rsid w:val="002E3AE4"/>
    <w:rsid w:val="002E405D"/>
    <w:rsid w:val="002E4151"/>
    <w:rsid w:val="002E41B7"/>
    <w:rsid w:val="002E41F2"/>
    <w:rsid w:val="002E4217"/>
    <w:rsid w:val="002E4354"/>
    <w:rsid w:val="002E47DD"/>
    <w:rsid w:val="002E4AB3"/>
    <w:rsid w:val="002E4AF7"/>
    <w:rsid w:val="002E4DF9"/>
    <w:rsid w:val="002E4FF0"/>
    <w:rsid w:val="002E5161"/>
    <w:rsid w:val="002E5286"/>
    <w:rsid w:val="002E542F"/>
    <w:rsid w:val="002E5726"/>
    <w:rsid w:val="002E5BEF"/>
    <w:rsid w:val="002E5EB6"/>
    <w:rsid w:val="002E60D9"/>
    <w:rsid w:val="002E613A"/>
    <w:rsid w:val="002E621D"/>
    <w:rsid w:val="002E688B"/>
    <w:rsid w:val="002E6993"/>
    <w:rsid w:val="002E6B8B"/>
    <w:rsid w:val="002E6CEA"/>
    <w:rsid w:val="002E7086"/>
    <w:rsid w:val="002E70B4"/>
    <w:rsid w:val="002E728D"/>
    <w:rsid w:val="002E744C"/>
    <w:rsid w:val="002E74E2"/>
    <w:rsid w:val="002E7643"/>
    <w:rsid w:val="002E7674"/>
    <w:rsid w:val="002E7A7B"/>
    <w:rsid w:val="002E7B3E"/>
    <w:rsid w:val="002E7B77"/>
    <w:rsid w:val="002F0134"/>
    <w:rsid w:val="002F0243"/>
    <w:rsid w:val="002F02D2"/>
    <w:rsid w:val="002F0520"/>
    <w:rsid w:val="002F0538"/>
    <w:rsid w:val="002F0672"/>
    <w:rsid w:val="002F0759"/>
    <w:rsid w:val="002F07A4"/>
    <w:rsid w:val="002F09BA"/>
    <w:rsid w:val="002F0A25"/>
    <w:rsid w:val="002F0DA3"/>
    <w:rsid w:val="002F1016"/>
    <w:rsid w:val="002F14AD"/>
    <w:rsid w:val="002F158A"/>
    <w:rsid w:val="002F1922"/>
    <w:rsid w:val="002F19BC"/>
    <w:rsid w:val="002F20BB"/>
    <w:rsid w:val="002F218B"/>
    <w:rsid w:val="002F2608"/>
    <w:rsid w:val="002F26F1"/>
    <w:rsid w:val="002F2985"/>
    <w:rsid w:val="002F2C87"/>
    <w:rsid w:val="002F2F77"/>
    <w:rsid w:val="002F3044"/>
    <w:rsid w:val="002F32D2"/>
    <w:rsid w:val="002F36BA"/>
    <w:rsid w:val="002F379B"/>
    <w:rsid w:val="002F3892"/>
    <w:rsid w:val="002F3980"/>
    <w:rsid w:val="002F3A61"/>
    <w:rsid w:val="002F3BC3"/>
    <w:rsid w:val="002F3C44"/>
    <w:rsid w:val="002F4160"/>
    <w:rsid w:val="002F439F"/>
    <w:rsid w:val="002F43B9"/>
    <w:rsid w:val="002F482D"/>
    <w:rsid w:val="002F518C"/>
    <w:rsid w:val="002F5915"/>
    <w:rsid w:val="002F5A13"/>
    <w:rsid w:val="002F5E57"/>
    <w:rsid w:val="002F5E8C"/>
    <w:rsid w:val="002F6372"/>
    <w:rsid w:val="002F63A1"/>
    <w:rsid w:val="002F654C"/>
    <w:rsid w:val="002F65E8"/>
    <w:rsid w:val="002F6827"/>
    <w:rsid w:val="002F68A3"/>
    <w:rsid w:val="002F6940"/>
    <w:rsid w:val="002F6C2E"/>
    <w:rsid w:val="002F6FBD"/>
    <w:rsid w:val="002F6FC3"/>
    <w:rsid w:val="002F7091"/>
    <w:rsid w:val="002F7180"/>
    <w:rsid w:val="002F7722"/>
    <w:rsid w:val="002F772A"/>
    <w:rsid w:val="002F78AF"/>
    <w:rsid w:val="002F7F01"/>
    <w:rsid w:val="003000FE"/>
    <w:rsid w:val="00300601"/>
    <w:rsid w:val="003009EA"/>
    <w:rsid w:val="00300A29"/>
    <w:rsid w:val="00301299"/>
    <w:rsid w:val="00301365"/>
    <w:rsid w:val="0030183C"/>
    <w:rsid w:val="003019CE"/>
    <w:rsid w:val="00301D19"/>
    <w:rsid w:val="00301DD8"/>
    <w:rsid w:val="0030210E"/>
    <w:rsid w:val="00302180"/>
    <w:rsid w:val="00302348"/>
    <w:rsid w:val="003023F7"/>
    <w:rsid w:val="00302455"/>
    <w:rsid w:val="003025AF"/>
    <w:rsid w:val="003026E3"/>
    <w:rsid w:val="00302AB0"/>
    <w:rsid w:val="00302E1B"/>
    <w:rsid w:val="00302E1E"/>
    <w:rsid w:val="003032F5"/>
    <w:rsid w:val="00303523"/>
    <w:rsid w:val="0030353B"/>
    <w:rsid w:val="0030384E"/>
    <w:rsid w:val="00303CA3"/>
    <w:rsid w:val="00303EF9"/>
    <w:rsid w:val="0030433B"/>
    <w:rsid w:val="003043A4"/>
    <w:rsid w:val="00304415"/>
    <w:rsid w:val="003045E4"/>
    <w:rsid w:val="00304C48"/>
    <w:rsid w:val="00304ED8"/>
    <w:rsid w:val="00304F80"/>
    <w:rsid w:val="003050E5"/>
    <w:rsid w:val="00305294"/>
    <w:rsid w:val="0030571C"/>
    <w:rsid w:val="00305971"/>
    <w:rsid w:val="00305B45"/>
    <w:rsid w:val="00305CAA"/>
    <w:rsid w:val="00305EC0"/>
    <w:rsid w:val="00305F13"/>
    <w:rsid w:val="00305F33"/>
    <w:rsid w:val="003060A1"/>
    <w:rsid w:val="00306140"/>
    <w:rsid w:val="0030622F"/>
    <w:rsid w:val="003064E3"/>
    <w:rsid w:val="003065BB"/>
    <w:rsid w:val="00306A99"/>
    <w:rsid w:val="00306CF1"/>
    <w:rsid w:val="00306F1B"/>
    <w:rsid w:val="00306F77"/>
    <w:rsid w:val="003074BE"/>
    <w:rsid w:val="00307600"/>
    <w:rsid w:val="00307A5B"/>
    <w:rsid w:val="00307CC7"/>
    <w:rsid w:val="00307D83"/>
    <w:rsid w:val="00310437"/>
    <w:rsid w:val="00310595"/>
    <w:rsid w:val="00310897"/>
    <w:rsid w:val="00310AAC"/>
    <w:rsid w:val="00310B11"/>
    <w:rsid w:val="00310BA7"/>
    <w:rsid w:val="00310D83"/>
    <w:rsid w:val="003110E4"/>
    <w:rsid w:val="00311409"/>
    <w:rsid w:val="0031160A"/>
    <w:rsid w:val="0031163C"/>
    <w:rsid w:val="00311666"/>
    <w:rsid w:val="003116EE"/>
    <w:rsid w:val="003118B1"/>
    <w:rsid w:val="00311C14"/>
    <w:rsid w:val="00311F38"/>
    <w:rsid w:val="00312731"/>
    <w:rsid w:val="003129AE"/>
    <w:rsid w:val="00312A36"/>
    <w:rsid w:val="00312CA1"/>
    <w:rsid w:val="00312D04"/>
    <w:rsid w:val="00312DB8"/>
    <w:rsid w:val="00312E61"/>
    <w:rsid w:val="00312EB0"/>
    <w:rsid w:val="00312EC6"/>
    <w:rsid w:val="00312F55"/>
    <w:rsid w:val="0031303D"/>
    <w:rsid w:val="003130A8"/>
    <w:rsid w:val="00313211"/>
    <w:rsid w:val="00313397"/>
    <w:rsid w:val="003133F9"/>
    <w:rsid w:val="003135CE"/>
    <w:rsid w:val="003138B8"/>
    <w:rsid w:val="00313D31"/>
    <w:rsid w:val="00313D80"/>
    <w:rsid w:val="00313E1A"/>
    <w:rsid w:val="00314055"/>
    <w:rsid w:val="00314096"/>
    <w:rsid w:val="00314290"/>
    <w:rsid w:val="003142A2"/>
    <w:rsid w:val="003146DC"/>
    <w:rsid w:val="0031498C"/>
    <w:rsid w:val="00315153"/>
    <w:rsid w:val="0031542E"/>
    <w:rsid w:val="0031552B"/>
    <w:rsid w:val="00315533"/>
    <w:rsid w:val="00315604"/>
    <w:rsid w:val="00315917"/>
    <w:rsid w:val="00315DA5"/>
    <w:rsid w:val="00316108"/>
    <w:rsid w:val="003161B5"/>
    <w:rsid w:val="0031646D"/>
    <w:rsid w:val="0031659B"/>
    <w:rsid w:val="003165B0"/>
    <w:rsid w:val="00316676"/>
    <w:rsid w:val="003167C0"/>
    <w:rsid w:val="003169F7"/>
    <w:rsid w:val="00316B2A"/>
    <w:rsid w:val="00316B77"/>
    <w:rsid w:val="00316D10"/>
    <w:rsid w:val="00316DCF"/>
    <w:rsid w:val="003173F8"/>
    <w:rsid w:val="0031743A"/>
    <w:rsid w:val="003175C9"/>
    <w:rsid w:val="003177BB"/>
    <w:rsid w:val="0031781C"/>
    <w:rsid w:val="0031791E"/>
    <w:rsid w:val="00317A70"/>
    <w:rsid w:val="00317BCA"/>
    <w:rsid w:val="00317EBB"/>
    <w:rsid w:val="00317FD7"/>
    <w:rsid w:val="00320187"/>
    <w:rsid w:val="00320306"/>
    <w:rsid w:val="0032034C"/>
    <w:rsid w:val="00320733"/>
    <w:rsid w:val="00320A9D"/>
    <w:rsid w:val="00320D84"/>
    <w:rsid w:val="00320E23"/>
    <w:rsid w:val="00320E2E"/>
    <w:rsid w:val="00320ED0"/>
    <w:rsid w:val="00321029"/>
    <w:rsid w:val="00321102"/>
    <w:rsid w:val="0032122E"/>
    <w:rsid w:val="0032133A"/>
    <w:rsid w:val="00321380"/>
    <w:rsid w:val="00321450"/>
    <w:rsid w:val="003219C6"/>
    <w:rsid w:val="003219C9"/>
    <w:rsid w:val="00321A96"/>
    <w:rsid w:val="00321C5C"/>
    <w:rsid w:val="00321DFD"/>
    <w:rsid w:val="0032200C"/>
    <w:rsid w:val="00322203"/>
    <w:rsid w:val="003222CB"/>
    <w:rsid w:val="003224F6"/>
    <w:rsid w:val="003225A1"/>
    <w:rsid w:val="00322BF5"/>
    <w:rsid w:val="00322C47"/>
    <w:rsid w:val="00322D15"/>
    <w:rsid w:val="003230EC"/>
    <w:rsid w:val="00323259"/>
    <w:rsid w:val="00323612"/>
    <w:rsid w:val="00323B97"/>
    <w:rsid w:val="00323BFD"/>
    <w:rsid w:val="00323C73"/>
    <w:rsid w:val="00323E2C"/>
    <w:rsid w:val="00323F28"/>
    <w:rsid w:val="00323F70"/>
    <w:rsid w:val="00323FE3"/>
    <w:rsid w:val="003240B5"/>
    <w:rsid w:val="0032443B"/>
    <w:rsid w:val="00324619"/>
    <w:rsid w:val="003246E1"/>
    <w:rsid w:val="00324920"/>
    <w:rsid w:val="00324ACF"/>
    <w:rsid w:val="00324AE5"/>
    <w:rsid w:val="00324C80"/>
    <w:rsid w:val="003250AB"/>
    <w:rsid w:val="00325311"/>
    <w:rsid w:val="0032537D"/>
    <w:rsid w:val="0032538E"/>
    <w:rsid w:val="003254DC"/>
    <w:rsid w:val="00325C61"/>
    <w:rsid w:val="00325D81"/>
    <w:rsid w:val="00325EE9"/>
    <w:rsid w:val="003260F2"/>
    <w:rsid w:val="003263CC"/>
    <w:rsid w:val="00326542"/>
    <w:rsid w:val="0032655A"/>
    <w:rsid w:val="00326733"/>
    <w:rsid w:val="00326781"/>
    <w:rsid w:val="003267B3"/>
    <w:rsid w:val="00326CEA"/>
    <w:rsid w:val="00326E4D"/>
    <w:rsid w:val="00326EA5"/>
    <w:rsid w:val="003270B0"/>
    <w:rsid w:val="003276D4"/>
    <w:rsid w:val="003277C6"/>
    <w:rsid w:val="00327852"/>
    <w:rsid w:val="00327B47"/>
    <w:rsid w:val="00327CA4"/>
    <w:rsid w:val="00327CCA"/>
    <w:rsid w:val="00327EEC"/>
    <w:rsid w:val="00327FED"/>
    <w:rsid w:val="0033029A"/>
    <w:rsid w:val="00330328"/>
    <w:rsid w:val="0033066B"/>
    <w:rsid w:val="00330771"/>
    <w:rsid w:val="0033077F"/>
    <w:rsid w:val="00330D1F"/>
    <w:rsid w:val="00330F54"/>
    <w:rsid w:val="00331480"/>
    <w:rsid w:val="0033148A"/>
    <w:rsid w:val="00331570"/>
    <w:rsid w:val="00331A68"/>
    <w:rsid w:val="00331DCA"/>
    <w:rsid w:val="00331EAF"/>
    <w:rsid w:val="00331F65"/>
    <w:rsid w:val="0033245B"/>
    <w:rsid w:val="003324EC"/>
    <w:rsid w:val="003326F2"/>
    <w:rsid w:val="00332802"/>
    <w:rsid w:val="00332B15"/>
    <w:rsid w:val="00332B2D"/>
    <w:rsid w:val="00332CBD"/>
    <w:rsid w:val="00332D9B"/>
    <w:rsid w:val="00333071"/>
    <w:rsid w:val="00333280"/>
    <w:rsid w:val="00333B83"/>
    <w:rsid w:val="00333C22"/>
    <w:rsid w:val="00333D67"/>
    <w:rsid w:val="00333E13"/>
    <w:rsid w:val="00333FC3"/>
    <w:rsid w:val="0033447A"/>
    <w:rsid w:val="00334CB2"/>
    <w:rsid w:val="00334CF7"/>
    <w:rsid w:val="00335113"/>
    <w:rsid w:val="00335225"/>
    <w:rsid w:val="00335291"/>
    <w:rsid w:val="00335596"/>
    <w:rsid w:val="0033578F"/>
    <w:rsid w:val="00335872"/>
    <w:rsid w:val="003359C9"/>
    <w:rsid w:val="00335B27"/>
    <w:rsid w:val="003361C3"/>
    <w:rsid w:val="003361FF"/>
    <w:rsid w:val="00336394"/>
    <w:rsid w:val="003364E6"/>
    <w:rsid w:val="00336BE0"/>
    <w:rsid w:val="00336D43"/>
    <w:rsid w:val="003373AD"/>
    <w:rsid w:val="00337734"/>
    <w:rsid w:val="00337FAE"/>
    <w:rsid w:val="0034018B"/>
    <w:rsid w:val="003401AC"/>
    <w:rsid w:val="003404A4"/>
    <w:rsid w:val="00340B16"/>
    <w:rsid w:val="0034103D"/>
    <w:rsid w:val="003412BB"/>
    <w:rsid w:val="00341390"/>
    <w:rsid w:val="00341397"/>
    <w:rsid w:val="003414A5"/>
    <w:rsid w:val="00341507"/>
    <w:rsid w:val="00341541"/>
    <w:rsid w:val="00341619"/>
    <w:rsid w:val="00341B58"/>
    <w:rsid w:val="00341C87"/>
    <w:rsid w:val="00342146"/>
    <w:rsid w:val="00342552"/>
    <w:rsid w:val="003426EF"/>
    <w:rsid w:val="003427EA"/>
    <w:rsid w:val="003429A3"/>
    <w:rsid w:val="003429E5"/>
    <w:rsid w:val="00342FCD"/>
    <w:rsid w:val="00343096"/>
    <w:rsid w:val="003430F8"/>
    <w:rsid w:val="0034313D"/>
    <w:rsid w:val="00343265"/>
    <w:rsid w:val="003432C6"/>
    <w:rsid w:val="003434AD"/>
    <w:rsid w:val="0034356D"/>
    <w:rsid w:val="00343AFF"/>
    <w:rsid w:val="00343BEB"/>
    <w:rsid w:val="00343D9B"/>
    <w:rsid w:val="00343EEB"/>
    <w:rsid w:val="00344217"/>
    <w:rsid w:val="00344233"/>
    <w:rsid w:val="0034458C"/>
    <w:rsid w:val="0034491E"/>
    <w:rsid w:val="00344AD8"/>
    <w:rsid w:val="00344D32"/>
    <w:rsid w:val="00344E2B"/>
    <w:rsid w:val="00345256"/>
    <w:rsid w:val="00345343"/>
    <w:rsid w:val="003453E8"/>
    <w:rsid w:val="003456B0"/>
    <w:rsid w:val="003456E3"/>
    <w:rsid w:val="0034574F"/>
    <w:rsid w:val="00345818"/>
    <w:rsid w:val="00345A85"/>
    <w:rsid w:val="00345A91"/>
    <w:rsid w:val="00345AA1"/>
    <w:rsid w:val="00345DB2"/>
    <w:rsid w:val="00345F0A"/>
    <w:rsid w:val="00345F45"/>
    <w:rsid w:val="00346234"/>
    <w:rsid w:val="003462EA"/>
    <w:rsid w:val="00346410"/>
    <w:rsid w:val="0034663F"/>
    <w:rsid w:val="003466AA"/>
    <w:rsid w:val="003468DA"/>
    <w:rsid w:val="003469C6"/>
    <w:rsid w:val="00346A43"/>
    <w:rsid w:val="00346B56"/>
    <w:rsid w:val="00346D86"/>
    <w:rsid w:val="00346DBF"/>
    <w:rsid w:val="00346E44"/>
    <w:rsid w:val="00347131"/>
    <w:rsid w:val="00347140"/>
    <w:rsid w:val="003477C0"/>
    <w:rsid w:val="003477C7"/>
    <w:rsid w:val="00347883"/>
    <w:rsid w:val="00347885"/>
    <w:rsid w:val="00347B42"/>
    <w:rsid w:val="00347B68"/>
    <w:rsid w:val="00347CCF"/>
    <w:rsid w:val="00347FF5"/>
    <w:rsid w:val="00350313"/>
    <w:rsid w:val="003503FE"/>
    <w:rsid w:val="0035074F"/>
    <w:rsid w:val="00350A6F"/>
    <w:rsid w:val="003511ED"/>
    <w:rsid w:val="0035151A"/>
    <w:rsid w:val="00351633"/>
    <w:rsid w:val="0035167F"/>
    <w:rsid w:val="00351793"/>
    <w:rsid w:val="003518EF"/>
    <w:rsid w:val="00351A98"/>
    <w:rsid w:val="00351BB4"/>
    <w:rsid w:val="00351DE5"/>
    <w:rsid w:val="00351E01"/>
    <w:rsid w:val="00351EDA"/>
    <w:rsid w:val="00351F89"/>
    <w:rsid w:val="003520B8"/>
    <w:rsid w:val="003521F7"/>
    <w:rsid w:val="0035230C"/>
    <w:rsid w:val="003524B1"/>
    <w:rsid w:val="0035259B"/>
    <w:rsid w:val="003525C1"/>
    <w:rsid w:val="0035286D"/>
    <w:rsid w:val="003529E0"/>
    <w:rsid w:val="00352A17"/>
    <w:rsid w:val="00352A34"/>
    <w:rsid w:val="00352C3F"/>
    <w:rsid w:val="0035317D"/>
    <w:rsid w:val="0035318D"/>
    <w:rsid w:val="003531C9"/>
    <w:rsid w:val="0035351C"/>
    <w:rsid w:val="00353B74"/>
    <w:rsid w:val="00353D64"/>
    <w:rsid w:val="003541E5"/>
    <w:rsid w:val="0035424C"/>
    <w:rsid w:val="003545EC"/>
    <w:rsid w:val="00354B28"/>
    <w:rsid w:val="00354B31"/>
    <w:rsid w:val="00354DBC"/>
    <w:rsid w:val="0035577E"/>
    <w:rsid w:val="003557EA"/>
    <w:rsid w:val="0035586A"/>
    <w:rsid w:val="003558B1"/>
    <w:rsid w:val="00355A30"/>
    <w:rsid w:val="00355AFE"/>
    <w:rsid w:val="00355D81"/>
    <w:rsid w:val="00355DCA"/>
    <w:rsid w:val="00355EAC"/>
    <w:rsid w:val="00355F20"/>
    <w:rsid w:val="00355F35"/>
    <w:rsid w:val="00356242"/>
    <w:rsid w:val="0035628A"/>
    <w:rsid w:val="0035630E"/>
    <w:rsid w:val="00356838"/>
    <w:rsid w:val="00356BCB"/>
    <w:rsid w:val="00356CD6"/>
    <w:rsid w:val="003578C7"/>
    <w:rsid w:val="00357950"/>
    <w:rsid w:val="003579D4"/>
    <w:rsid w:val="00357A18"/>
    <w:rsid w:val="00357C33"/>
    <w:rsid w:val="00360128"/>
    <w:rsid w:val="00360301"/>
    <w:rsid w:val="00360393"/>
    <w:rsid w:val="0036055C"/>
    <w:rsid w:val="0036062C"/>
    <w:rsid w:val="00360691"/>
    <w:rsid w:val="00360ABB"/>
    <w:rsid w:val="0036102B"/>
    <w:rsid w:val="003610D1"/>
    <w:rsid w:val="00361186"/>
    <w:rsid w:val="003611D4"/>
    <w:rsid w:val="00361475"/>
    <w:rsid w:val="00361696"/>
    <w:rsid w:val="003619D3"/>
    <w:rsid w:val="00361DCA"/>
    <w:rsid w:val="0036203D"/>
    <w:rsid w:val="00362064"/>
    <w:rsid w:val="00362232"/>
    <w:rsid w:val="0036225D"/>
    <w:rsid w:val="00362285"/>
    <w:rsid w:val="003623C0"/>
    <w:rsid w:val="003625B7"/>
    <w:rsid w:val="003625F8"/>
    <w:rsid w:val="003627EA"/>
    <w:rsid w:val="003628B3"/>
    <w:rsid w:val="00362AED"/>
    <w:rsid w:val="003633C9"/>
    <w:rsid w:val="003634E7"/>
    <w:rsid w:val="00363704"/>
    <w:rsid w:val="003637B9"/>
    <w:rsid w:val="00363801"/>
    <w:rsid w:val="003639AD"/>
    <w:rsid w:val="00363D1D"/>
    <w:rsid w:val="00363EEF"/>
    <w:rsid w:val="00364230"/>
    <w:rsid w:val="003647C7"/>
    <w:rsid w:val="00364811"/>
    <w:rsid w:val="003649BD"/>
    <w:rsid w:val="00364AC7"/>
    <w:rsid w:val="00364EB4"/>
    <w:rsid w:val="00364F1C"/>
    <w:rsid w:val="00365143"/>
    <w:rsid w:val="00365173"/>
    <w:rsid w:val="003653DC"/>
    <w:rsid w:val="003654C6"/>
    <w:rsid w:val="003655D9"/>
    <w:rsid w:val="00365750"/>
    <w:rsid w:val="0036594B"/>
    <w:rsid w:val="00365B9D"/>
    <w:rsid w:val="00365E43"/>
    <w:rsid w:val="0036628F"/>
    <w:rsid w:val="003664B3"/>
    <w:rsid w:val="00366857"/>
    <w:rsid w:val="003669A1"/>
    <w:rsid w:val="00366FE2"/>
    <w:rsid w:val="00367009"/>
    <w:rsid w:val="0036706C"/>
    <w:rsid w:val="0036738E"/>
    <w:rsid w:val="003676AF"/>
    <w:rsid w:val="003678C2"/>
    <w:rsid w:val="003679A7"/>
    <w:rsid w:val="00367B26"/>
    <w:rsid w:val="00367B6E"/>
    <w:rsid w:val="00367FB9"/>
    <w:rsid w:val="00370242"/>
    <w:rsid w:val="00370472"/>
    <w:rsid w:val="00370690"/>
    <w:rsid w:val="003706F5"/>
    <w:rsid w:val="00370946"/>
    <w:rsid w:val="00370995"/>
    <w:rsid w:val="00370A60"/>
    <w:rsid w:val="00370BAC"/>
    <w:rsid w:val="00370C48"/>
    <w:rsid w:val="003713B6"/>
    <w:rsid w:val="003714DC"/>
    <w:rsid w:val="003719F5"/>
    <w:rsid w:val="00371B34"/>
    <w:rsid w:val="0037232E"/>
    <w:rsid w:val="00372398"/>
    <w:rsid w:val="00372688"/>
    <w:rsid w:val="003727D0"/>
    <w:rsid w:val="00372A63"/>
    <w:rsid w:val="00372ACC"/>
    <w:rsid w:val="00372BBC"/>
    <w:rsid w:val="00372BDA"/>
    <w:rsid w:val="00372D5C"/>
    <w:rsid w:val="00373108"/>
    <w:rsid w:val="0037319C"/>
    <w:rsid w:val="003733B1"/>
    <w:rsid w:val="00373909"/>
    <w:rsid w:val="00373C47"/>
    <w:rsid w:val="00373CCD"/>
    <w:rsid w:val="00373DCB"/>
    <w:rsid w:val="00373F87"/>
    <w:rsid w:val="00373FA5"/>
    <w:rsid w:val="00374184"/>
    <w:rsid w:val="003741BC"/>
    <w:rsid w:val="003745D9"/>
    <w:rsid w:val="00374684"/>
    <w:rsid w:val="00374931"/>
    <w:rsid w:val="00374A9A"/>
    <w:rsid w:val="00374B2D"/>
    <w:rsid w:val="00374BC3"/>
    <w:rsid w:val="0037510E"/>
    <w:rsid w:val="003753FE"/>
    <w:rsid w:val="00375585"/>
    <w:rsid w:val="00375621"/>
    <w:rsid w:val="00375635"/>
    <w:rsid w:val="00375649"/>
    <w:rsid w:val="00375748"/>
    <w:rsid w:val="003758B1"/>
    <w:rsid w:val="003758FE"/>
    <w:rsid w:val="00375FC2"/>
    <w:rsid w:val="003760C6"/>
    <w:rsid w:val="0037615A"/>
    <w:rsid w:val="0037624F"/>
    <w:rsid w:val="00376574"/>
    <w:rsid w:val="003765DF"/>
    <w:rsid w:val="0037662D"/>
    <w:rsid w:val="00376772"/>
    <w:rsid w:val="003769C4"/>
    <w:rsid w:val="00376BF8"/>
    <w:rsid w:val="00377087"/>
    <w:rsid w:val="003770AA"/>
    <w:rsid w:val="00377104"/>
    <w:rsid w:val="003771D1"/>
    <w:rsid w:val="00377703"/>
    <w:rsid w:val="00377976"/>
    <w:rsid w:val="00377DC7"/>
    <w:rsid w:val="00377FB8"/>
    <w:rsid w:val="0038039B"/>
    <w:rsid w:val="0038046A"/>
    <w:rsid w:val="003805B6"/>
    <w:rsid w:val="003805E9"/>
    <w:rsid w:val="0038064E"/>
    <w:rsid w:val="00380737"/>
    <w:rsid w:val="00380887"/>
    <w:rsid w:val="003808D6"/>
    <w:rsid w:val="003809B4"/>
    <w:rsid w:val="00380A72"/>
    <w:rsid w:val="00380B6E"/>
    <w:rsid w:val="00380BB2"/>
    <w:rsid w:val="00380D5F"/>
    <w:rsid w:val="0038117E"/>
    <w:rsid w:val="003815BA"/>
    <w:rsid w:val="00381994"/>
    <w:rsid w:val="00381AC7"/>
    <w:rsid w:val="00381E2F"/>
    <w:rsid w:val="00381F71"/>
    <w:rsid w:val="00382057"/>
    <w:rsid w:val="003820CB"/>
    <w:rsid w:val="003822A6"/>
    <w:rsid w:val="00382338"/>
    <w:rsid w:val="00382349"/>
    <w:rsid w:val="0038238F"/>
    <w:rsid w:val="0038241A"/>
    <w:rsid w:val="0038254B"/>
    <w:rsid w:val="003827C1"/>
    <w:rsid w:val="003828F4"/>
    <w:rsid w:val="00382A2A"/>
    <w:rsid w:val="00382CCB"/>
    <w:rsid w:val="00382DB8"/>
    <w:rsid w:val="00383002"/>
    <w:rsid w:val="003831DF"/>
    <w:rsid w:val="003836D5"/>
    <w:rsid w:val="003839A2"/>
    <w:rsid w:val="00383F5B"/>
    <w:rsid w:val="00384134"/>
    <w:rsid w:val="003841E2"/>
    <w:rsid w:val="003842C0"/>
    <w:rsid w:val="003843A8"/>
    <w:rsid w:val="0038448F"/>
    <w:rsid w:val="00384540"/>
    <w:rsid w:val="00384609"/>
    <w:rsid w:val="003847C0"/>
    <w:rsid w:val="0038480C"/>
    <w:rsid w:val="00384937"/>
    <w:rsid w:val="003849A8"/>
    <w:rsid w:val="00384A2E"/>
    <w:rsid w:val="00384F45"/>
    <w:rsid w:val="003850CB"/>
    <w:rsid w:val="0038519A"/>
    <w:rsid w:val="0038526F"/>
    <w:rsid w:val="003852B8"/>
    <w:rsid w:val="00385373"/>
    <w:rsid w:val="00385472"/>
    <w:rsid w:val="00385541"/>
    <w:rsid w:val="003859AE"/>
    <w:rsid w:val="00385BB1"/>
    <w:rsid w:val="00385CA0"/>
    <w:rsid w:val="00385DE0"/>
    <w:rsid w:val="0038614E"/>
    <w:rsid w:val="003861B6"/>
    <w:rsid w:val="003861F0"/>
    <w:rsid w:val="00386736"/>
    <w:rsid w:val="00386CD2"/>
    <w:rsid w:val="00386EE8"/>
    <w:rsid w:val="003870EA"/>
    <w:rsid w:val="00387296"/>
    <w:rsid w:val="003874DF"/>
    <w:rsid w:val="003875B4"/>
    <w:rsid w:val="00387603"/>
    <w:rsid w:val="00387667"/>
    <w:rsid w:val="00387697"/>
    <w:rsid w:val="00387833"/>
    <w:rsid w:val="00387CBD"/>
    <w:rsid w:val="00387D92"/>
    <w:rsid w:val="003903B7"/>
    <w:rsid w:val="00390778"/>
    <w:rsid w:val="00390896"/>
    <w:rsid w:val="00390D4A"/>
    <w:rsid w:val="00390D52"/>
    <w:rsid w:val="003910CE"/>
    <w:rsid w:val="003911E1"/>
    <w:rsid w:val="003912B8"/>
    <w:rsid w:val="00391657"/>
    <w:rsid w:val="003916A1"/>
    <w:rsid w:val="003916C0"/>
    <w:rsid w:val="003919E7"/>
    <w:rsid w:val="00391B5A"/>
    <w:rsid w:val="00391E39"/>
    <w:rsid w:val="00391FAB"/>
    <w:rsid w:val="003920F3"/>
    <w:rsid w:val="00392363"/>
    <w:rsid w:val="0039245B"/>
    <w:rsid w:val="0039263A"/>
    <w:rsid w:val="00392695"/>
    <w:rsid w:val="00392810"/>
    <w:rsid w:val="00392824"/>
    <w:rsid w:val="00392D38"/>
    <w:rsid w:val="00392D69"/>
    <w:rsid w:val="00393355"/>
    <w:rsid w:val="003933BF"/>
    <w:rsid w:val="0039360C"/>
    <w:rsid w:val="003938F3"/>
    <w:rsid w:val="00393986"/>
    <w:rsid w:val="00393C1D"/>
    <w:rsid w:val="00393E80"/>
    <w:rsid w:val="00393F01"/>
    <w:rsid w:val="00394616"/>
    <w:rsid w:val="003947F4"/>
    <w:rsid w:val="00394918"/>
    <w:rsid w:val="003949CC"/>
    <w:rsid w:val="00394B87"/>
    <w:rsid w:val="00394E69"/>
    <w:rsid w:val="0039535E"/>
    <w:rsid w:val="003953DF"/>
    <w:rsid w:val="003954D6"/>
    <w:rsid w:val="00395502"/>
    <w:rsid w:val="00395F13"/>
    <w:rsid w:val="00395F5B"/>
    <w:rsid w:val="00395F6B"/>
    <w:rsid w:val="00395FFB"/>
    <w:rsid w:val="0039602F"/>
    <w:rsid w:val="00396253"/>
    <w:rsid w:val="003962CA"/>
    <w:rsid w:val="00396384"/>
    <w:rsid w:val="003966C2"/>
    <w:rsid w:val="003968E8"/>
    <w:rsid w:val="00396C16"/>
    <w:rsid w:val="00396DA8"/>
    <w:rsid w:val="00396DD6"/>
    <w:rsid w:val="00396DE9"/>
    <w:rsid w:val="003970FA"/>
    <w:rsid w:val="00397717"/>
    <w:rsid w:val="003977CA"/>
    <w:rsid w:val="00397B9B"/>
    <w:rsid w:val="00397BFD"/>
    <w:rsid w:val="00397CBB"/>
    <w:rsid w:val="00397E51"/>
    <w:rsid w:val="00397FCC"/>
    <w:rsid w:val="003A0183"/>
    <w:rsid w:val="003A037D"/>
    <w:rsid w:val="003A049C"/>
    <w:rsid w:val="003A05EA"/>
    <w:rsid w:val="003A0620"/>
    <w:rsid w:val="003A0B5E"/>
    <w:rsid w:val="003A0FF6"/>
    <w:rsid w:val="003A12B4"/>
    <w:rsid w:val="003A12C6"/>
    <w:rsid w:val="003A1959"/>
    <w:rsid w:val="003A1C27"/>
    <w:rsid w:val="003A1F32"/>
    <w:rsid w:val="003A20B8"/>
    <w:rsid w:val="003A20D8"/>
    <w:rsid w:val="003A2130"/>
    <w:rsid w:val="003A23B4"/>
    <w:rsid w:val="003A251D"/>
    <w:rsid w:val="003A267B"/>
    <w:rsid w:val="003A2731"/>
    <w:rsid w:val="003A277A"/>
    <w:rsid w:val="003A27C6"/>
    <w:rsid w:val="003A2842"/>
    <w:rsid w:val="003A3217"/>
    <w:rsid w:val="003A33E9"/>
    <w:rsid w:val="003A35BF"/>
    <w:rsid w:val="003A35EA"/>
    <w:rsid w:val="003A365A"/>
    <w:rsid w:val="003A3825"/>
    <w:rsid w:val="003A3C96"/>
    <w:rsid w:val="003A3DD2"/>
    <w:rsid w:val="003A40E7"/>
    <w:rsid w:val="003A411E"/>
    <w:rsid w:val="003A43B2"/>
    <w:rsid w:val="003A4508"/>
    <w:rsid w:val="003A4917"/>
    <w:rsid w:val="003A4C73"/>
    <w:rsid w:val="003A4CDB"/>
    <w:rsid w:val="003A4DE5"/>
    <w:rsid w:val="003A502C"/>
    <w:rsid w:val="003A509C"/>
    <w:rsid w:val="003A50C1"/>
    <w:rsid w:val="003A5244"/>
    <w:rsid w:val="003A560B"/>
    <w:rsid w:val="003A5805"/>
    <w:rsid w:val="003A5AE2"/>
    <w:rsid w:val="003A5BBE"/>
    <w:rsid w:val="003A5E82"/>
    <w:rsid w:val="003A5F95"/>
    <w:rsid w:val="003A60EB"/>
    <w:rsid w:val="003A6200"/>
    <w:rsid w:val="003A62F1"/>
    <w:rsid w:val="003A664C"/>
    <w:rsid w:val="003A67F7"/>
    <w:rsid w:val="003A68FC"/>
    <w:rsid w:val="003A6ABB"/>
    <w:rsid w:val="003A6B95"/>
    <w:rsid w:val="003A704A"/>
    <w:rsid w:val="003A70B5"/>
    <w:rsid w:val="003A718E"/>
    <w:rsid w:val="003A7458"/>
    <w:rsid w:val="003A74E2"/>
    <w:rsid w:val="003A7AB1"/>
    <w:rsid w:val="003A7C2B"/>
    <w:rsid w:val="003A7D50"/>
    <w:rsid w:val="003A7E4C"/>
    <w:rsid w:val="003B00C2"/>
    <w:rsid w:val="003B01C8"/>
    <w:rsid w:val="003B02D6"/>
    <w:rsid w:val="003B0355"/>
    <w:rsid w:val="003B05F7"/>
    <w:rsid w:val="003B0690"/>
    <w:rsid w:val="003B0D2B"/>
    <w:rsid w:val="003B0DEC"/>
    <w:rsid w:val="003B0E3C"/>
    <w:rsid w:val="003B0E67"/>
    <w:rsid w:val="003B1163"/>
    <w:rsid w:val="003B1588"/>
    <w:rsid w:val="003B1750"/>
    <w:rsid w:val="003B17A8"/>
    <w:rsid w:val="003B1903"/>
    <w:rsid w:val="003B1A64"/>
    <w:rsid w:val="003B207F"/>
    <w:rsid w:val="003B209D"/>
    <w:rsid w:val="003B21F6"/>
    <w:rsid w:val="003B23ED"/>
    <w:rsid w:val="003B2532"/>
    <w:rsid w:val="003B257A"/>
    <w:rsid w:val="003B26A2"/>
    <w:rsid w:val="003B2745"/>
    <w:rsid w:val="003B27B7"/>
    <w:rsid w:val="003B280B"/>
    <w:rsid w:val="003B2D1D"/>
    <w:rsid w:val="003B2F85"/>
    <w:rsid w:val="003B2FDE"/>
    <w:rsid w:val="003B344C"/>
    <w:rsid w:val="003B38BD"/>
    <w:rsid w:val="003B397D"/>
    <w:rsid w:val="003B398E"/>
    <w:rsid w:val="003B4021"/>
    <w:rsid w:val="003B40B0"/>
    <w:rsid w:val="003B425E"/>
    <w:rsid w:val="003B4297"/>
    <w:rsid w:val="003B42C2"/>
    <w:rsid w:val="003B4352"/>
    <w:rsid w:val="003B4644"/>
    <w:rsid w:val="003B4BD5"/>
    <w:rsid w:val="003B4C06"/>
    <w:rsid w:val="003B4C19"/>
    <w:rsid w:val="003B4CDA"/>
    <w:rsid w:val="003B4E94"/>
    <w:rsid w:val="003B51B4"/>
    <w:rsid w:val="003B528E"/>
    <w:rsid w:val="003B546C"/>
    <w:rsid w:val="003B55F4"/>
    <w:rsid w:val="003B565E"/>
    <w:rsid w:val="003B57E7"/>
    <w:rsid w:val="003B59CF"/>
    <w:rsid w:val="003B5B9B"/>
    <w:rsid w:val="003B5D25"/>
    <w:rsid w:val="003B5DDB"/>
    <w:rsid w:val="003B5EC9"/>
    <w:rsid w:val="003B5F4E"/>
    <w:rsid w:val="003B602E"/>
    <w:rsid w:val="003B6097"/>
    <w:rsid w:val="003B60F7"/>
    <w:rsid w:val="003B6508"/>
    <w:rsid w:val="003B6C8F"/>
    <w:rsid w:val="003B6E12"/>
    <w:rsid w:val="003B6FA9"/>
    <w:rsid w:val="003B6FAE"/>
    <w:rsid w:val="003B70D3"/>
    <w:rsid w:val="003B7164"/>
    <w:rsid w:val="003B72C5"/>
    <w:rsid w:val="003B7421"/>
    <w:rsid w:val="003B7436"/>
    <w:rsid w:val="003B74A4"/>
    <w:rsid w:val="003B754E"/>
    <w:rsid w:val="003B75C6"/>
    <w:rsid w:val="003B7840"/>
    <w:rsid w:val="003B79FC"/>
    <w:rsid w:val="003B7A71"/>
    <w:rsid w:val="003B7A8A"/>
    <w:rsid w:val="003B7ADB"/>
    <w:rsid w:val="003C005F"/>
    <w:rsid w:val="003C0431"/>
    <w:rsid w:val="003C0748"/>
    <w:rsid w:val="003C084D"/>
    <w:rsid w:val="003C0C11"/>
    <w:rsid w:val="003C0DBE"/>
    <w:rsid w:val="003C114B"/>
    <w:rsid w:val="003C12E2"/>
    <w:rsid w:val="003C1447"/>
    <w:rsid w:val="003C164B"/>
    <w:rsid w:val="003C1781"/>
    <w:rsid w:val="003C18CC"/>
    <w:rsid w:val="003C222E"/>
    <w:rsid w:val="003C2275"/>
    <w:rsid w:val="003C2293"/>
    <w:rsid w:val="003C235E"/>
    <w:rsid w:val="003C240E"/>
    <w:rsid w:val="003C27DC"/>
    <w:rsid w:val="003C3063"/>
    <w:rsid w:val="003C325F"/>
    <w:rsid w:val="003C33D4"/>
    <w:rsid w:val="003C3597"/>
    <w:rsid w:val="003C35D2"/>
    <w:rsid w:val="003C389D"/>
    <w:rsid w:val="003C38D0"/>
    <w:rsid w:val="003C3B76"/>
    <w:rsid w:val="003C42B6"/>
    <w:rsid w:val="003C44F4"/>
    <w:rsid w:val="003C4541"/>
    <w:rsid w:val="003C49C4"/>
    <w:rsid w:val="003C4B62"/>
    <w:rsid w:val="003C4C41"/>
    <w:rsid w:val="003C4CA3"/>
    <w:rsid w:val="003C5078"/>
    <w:rsid w:val="003C5094"/>
    <w:rsid w:val="003C5274"/>
    <w:rsid w:val="003C5E34"/>
    <w:rsid w:val="003C6138"/>
    <w:rsid w:val="003C63A1"/>
    <w:rsid w:val="003C6A78"/>
    <w:rsid w:val="003C6E06"/>
    <w:rsid w:val="003C6FFB"/>
    <w:rsid w:val="003C71F6"/>
    <w:rsid w:val="003C726D"/>
    <w:rsid w:val="003C7333"/>
    <w:rsid w:val="003C73A2"/>
    <w:rsid w:val="003C74F8"/>
    <w:rsid w:val="003C76D0"/>
    <w:rsid w:val="003C788E"/>
    <w:rsid w:val="003C79D8"/>
    <w:rsid w:val="003C7A52"/>
    <w:rsid w:val="003C7AC7"/>
    <w:rsid w:val="003D0145"/>
    <w:rsid w:val="003D036D"/>
    <w:rsid w:val="003D03F9"/>
    <w:rsid w:val="003D07D4"/>
    <w:rsid w:val="003D08FD"/>
    <w:rsid w:val="003D09D8"/>
    <w:rsid w:val="003D0B01"/>
    <w:rsid w:val="003D0B76"/>
    <w:rsid w:val="003D0CD9"/>
    <w:rsid w:val="003D0E53"/>
    <w:rsid w:val="003D0EB4"/>
    <w:rsid w:val="003D10B5"/>
    <w:rsid w:val="003D1160"/>
    <w:rsid w:val="003D134D"/>
    <w:rsid w:val="003D1889"/>
    <w:rsid w:val="003D1931"/>
    <w:rsid w:val="003D19B5"/>
    <w:rsid w:val="003D1B80"/>
    <w:rsid w:val="003D1D6A"/>
    <w:rsid w:val="003D1E61"/>
    <w:rsid w:val="003D1E6B"/>
    <w:rsid w:val="003D1EA9"/>
    <w:rsid w:val="003D1F01"/>
    <w:rsid w:val="003D2562"/>
    <w:rsid w:val="003D26D8"/>
    <w:rsid w:val="003D2956"/>
    <w:rsid w:val="003D2EC1"/>
    <w:rsid w:val="003D3042"/>
    <w:rsid w:val="003D33C8"/>
    <w:rsid w:val="003D3734"/>
    <w:rsid w:val="003D3991"/>
    <w:rsid w:val="003D3B74"/>
    <w:rsid w:val="003D3ED2"/>
    <w:rsid w:val="003D3FD9"/>
    <w:rsid w:val="003D4452"/>
    <w:rsid w:val="003D44B8"/>
    <w:rsid w:val="003D4E80"/>
    <w:rsid w:val="003D4E9E"/>
    <w:rsid w:val="003D4F9C"/>
    <w:rsid w:val="003D52EE"/>
    <w:rsid w:val="003D5A6D"/>
    <w:rsid w:val="003D5A77"/>
    <w:rsid w:val="003D5AF5"/>
    <w:rsid w:val="003D5B4B"/>
    <w:rsid w:val="003D6295"/>
    <w:rsid w:val="003D6475"/>
    <w:rsid w:val="003D658D"/>
    <w:rsid w:val="003D66C3"/>
    <w:rsid w:val="003D66C9"/>
    <w:rsid w:val="003D6741"/>
    <w:rsid w:val="003D6968"/>
    <w:rsid w:val="003D6FA7"/>
    <w:rsid w:val="003D70AE"/>
    <w:rsid w:val="003D72B3"/>
    <w:rsid w:val="003D7365"/>
    <w:rsid w:val="003D745D"/>
    <w:rsid w:val="003D79B7"/>
    <w:rsid w:val="003D79FF"/>
    <w:rsid w:val="003D7F20"/>
    <w:rsid w:val="003E0113"/>
    <w:rsid w:val="003E023B"/>
    <w:rsid w:val="003E0397"/>
    <w:rsid w:val="003E06B6"/>
    <w:rsid w:val="003E0DC2"/>
    <w:rsid w:val="003E106D"/>
    <w:rsid w:val="003E10DE"/>
    <w:rsid w:val="003E1170"/>
    <w:rsid w:val="003E1388"/>
    <w:rsid w:val="003E1751"/>
    <w:rsid w:val="003E183F"/>
    <w:rsid w:val="003E1884"/>
    <w:rsid w:val="003E1DFB"/>
    <w:rsid w:val="003E2802"/>
    <w:rsid w:val="003E2891"/>
    <w:rsid w:val="003E2B95"/>
    <w:rsid w:val="003E2D20"/>
    <w:rsid w:val="003E2E76"/>
    <w:rsid w:val="003E2F0A"/>
    <w:rsid w:val="003E357A"/>
    <w:rsid w:val="003E3625"/>
    <w:rsid w:val="003E38F5"/>
    <w:rsid w:val="003E39A5"/>
    <w:rsid w:val="003E3C9D"/>
    <w:rsid w:val="003E404F"/>
    <w:rsid w:val="003E4150"/>
    <w:rsid w:val="003E42D5"/>
    <w:rsid w:val="003E4957"/>
    <w:rsid w:val="003E4978"/>
    <w:rsid w:val="003E4A7E"/>
    <w:rsid w:val="003E4AEC"/>
    <w:rsid w:val="003E4AFB"/>
    <w:rsid w:val="003E4FC5"/>
    <w:rsid w:val="003E50D9"/>
    <w:rsid w:val="003E5184"/>
    <w:rsid w:val="003E569E"/>
    <w:rsid w:val="003E5A02"/>
    <w:rsid w:val="003E5B13"/>
    <w:rsid w:val="003E5B86"/>
    <w:rsid w:val="003E5C1C"/>
    <w:rsid w:val="003E5F50"/>
    <w:rsid w:val="003E62A4"/>
    <w:rsid w:val="003E6AB7"/>
    <w:rsid w:val="003E6BC7"/>
    <w:rsid w:val="003E6E79"/>
    <w:rsid w:val="003E6F73"/>
    <w:rsid w:val="003E7293"/>
    <w:rsid w:val="003E75F7"/>
    <w:rsid w:val="003E7C8E"/>
    <w:rsid w:val="003E7D04"/>
    <w:rsid w:val="003F00AD"/>
    <w:rsid w:val="003F01CE"/>
    <w:rsid w:val="003F0595"/>
    <w:rsid w:val="003F076E"/>
    <w:rsid w:val="003F07D1"/>
    <w:rsid w:val="003F0A93"/>
    <w:rsid w:val="003F0BBC"/>
    <w:rsid w:val="003F0C14"/>
    <w:rsid w:val="003F0C95"/>
    <w:rsid w:val="003F0D63"/>
    <w:rsid w:val="003F0EA6"/>
    <w:rsid w:val="003F0F2E"/>
    <w:rsid w:val="003F1047"/>
    <w:rsid w:val="003F117E"/>
    <w:rsid w:val="003F1465"/>
    <w:rsid w:val="003F1602"/>
    <w:rsid w:val="003F1692"/>
    <w:rsid w:val="003F1C45"/>
    <w:rsid w:val="003F1DBA"/>
    <w:rsid w:val="003F1EB4"/>
    <w:rsid w:val="003F1F5A"/>
    <w:rsid w:val="003F2179"/>
    <w:rsid w:val="003F2550"/>
    <w:rsid w:val="003F2998"/>
    <w:rsid w:val="003F2CCA"/>
    <w:rsid w:val="003F2CF6"/>
    <w:rsid w:val="003F2E3D"/>
    <w:rsid w:val="003F2FD9"/>
    <w:rsid w:val="003F314D"/>
    <w:rsid w:val="003F34FC"/>
    <w:rsid w:val="003F3504"/>
    <w:rsid w:val="003F36BD"/>
    <w:rsid w:val="003F3859"/>
    <w:rsid w:val="003F38FC"/>
    <w:rsid w:val="003F3A49"/>
    <w:rsid w:val="003F3AAC"/>
    <w:rsid w:val="003F3CF7"/>
    <w:rsid w:val="003F3ECD"/>
    <w:rsid w:val="003F3F45"/>
    <w:rsid w:val="003F4152"/>
    <w:rsid w:val="003F42F7"/>
    <w:rsid w:val="003F43D8"/>
    <w:rsid w:val="003F466A"/>
    <w:rsid w:val="003F4733"/>
    <w:rsid w:val="003F4ED1"/>
    <w:rsid w:val="003F5180"/>
    <w:rsid w:val="003F53D1"/>
    <w:rsid w:val="003F55C4"/>
    <w:rsid w:val="003F5684"/>
    <w:rsid w:val="003F56AB"/>
    <w:rsid w:val="003F5EED"/>
    <w:rsid w:val="003F5F28"/>
    <w:rsid w:val="003F6109"/>
    <w:rsid w:val="003F612E"/>
    <w:rsid w:val="003F62DB"/>
    <w:rsid w:val="003F644B"/>
    <w:rsid w:val="003F6481"/>
    <w:rsid w:val="003F6596"/>
    <w:rsid w:val="003F66D2"/>
    <w:rsid w:val="003F697F"/>
    <w:rsid w:val="003F6DC6"/>
    <w:rsid w:val="003F6E0A"/>
    <w:rsid w:val="003F6EA4"/>
    <w:rsid w:val="003F6ED0"/>
    <w:rsid w:val="003F7089"/>
    <w:rsid w:val="003F7252"/>
    <w:rsid w:val="003F72EF"/>
    <w:rsid w:val="003F731C"/>
    <w:rsid w:val="003F7399"/>
    <w:rsid w:val="003F7582"/>
    <w:rsid w:val="003F79B5"/>
    <w:rsid w:val="003F79E7"/>
    <w:rsid w:val="003F7B54"/>
    <w:rsid w:val="003F7CD5"/>
    <w:rsid w:val="003F7EDC"/>
    <w:rsid w:val="003F7F38"/>
    <w:rsid w:val="004003F6"/>
    <w:rsid w:val="004004FE"/>
    <w:rsid w:val="0040058A"/>
    <w:rsid w:val="0040060D"/>
    <w:rsid w:val="00400729"/>
    <w:rsid w:val="00400BEC"/>
    <w:rsid w:val="00400CBE"/>
    <w:rsid w:val="00400D51"/>
    <w:rsid w:val="00400E27"/>
    <w:rsid w:val="00401483"/>
    <w:rsid w:val="004014F3"/>
    <w:rsid w:val="00401708"/>
    <w:rsid w:val="00401764"/>
    <w:rsid w:val="00401938"/>
    <w:rsid w:val="0040197B"/>
    <w:rsid w:val="00401CF7"/>
    <w:rsid w:val="00401E81"/>
    <w:rsid w:val="00401FCD"/>
    <w:rsid w:val="00402318"/>
    <w:rsid w:val="0040231A"/>
    <w:rsid w:val="0040259B"/>
    <w:rsid w:val="00402981"/>
    <w:rsid w:val="00402D8B"/>
    <w:rsid w:val="00402FE4"/>
    <w:rsid w:val="004032A0"/>
    <w:rsid w:val="00403335"/>
    <w:rsid w:val="004033C3"/>
    <w:rsid w:val="00403824"/>
    <w:rsid w:val="00403A6C"/>
    <w:rsid w:val="00403B2F"/>
    <w:rsid w:val="00403BA0"/>
    <w:rsid w:val="00403E4E"/>
    <w:rsid w:val="00404134"/>
    <w:rsid w:val="00404140"/>
    <w:rsid w:val="004044AB"/>
    <w:rsid w:val="004044F1"/>
    <w:rsid w:val="00404B39"/>
    <w:rsid w:val="00404E41"/>
    <w:rsid w:val="00404FB3"/>
    <w:rsid w:val="00405189"/>
    <w:rsid w:val="004053B5"/>
    <w:rsid w:val="0040547E"/>
    <w:rsid w:val="004055D9"/>
    <w:rsid w:val="00405885"/>
    <w:rsid w:val="00405890"/>
    <w:rsid w:val="00405AC8"/>
    <w:rsid w:val="00405B29"/>
    <w:rsid w:val="00405DD0"/>
    <w:rsid w:val="00405F4F"/>
    <w:rsid w:val="0040607C"/>
    <w:rsid w:val="004064BE"/>
    <w:rsid w:val="004064D6"/>
    <w:rsid w:val="004064DD"/>
    <w:rsid w:val="004067D5"/>
    <w:rsid w:val="00406ACA"/>
    <w:rsid w:val="00407134"/>
    <w:rsid w:val="00407356"/>
    <w:rsid w:val="004075BE"/>
    <w:rsid w:val="004076A0"/>
    <w:rsid w:val="00407724"/>
    <w:rsid w:val="00407A68"/>
    <w:rsid w:val="00407D28"/>
    <w:rsid w:val="00407D3D"/>
    <w:rsid w:val="00407D99"/>
    <w:rsid w:val="00410572"/>
    <w:rsid w:val="00410782"/>
    <w:rsid w:val="00410B86"/>
    <w:rsid w:val="00410BCC"/>
    <w:rsid w:val="00410EEF"/>
    <w:rsid w:val="00411114"/>
    <w:rsid w:val="00411376"/>
    <w:rsid w:val="00411708"/>
    <w:rsid w:val="00411855"/>
    <w:rsid w:val="004118C9"/>
    <w:rsid w:val="00411D25"/>
    <w:rsid w:val="0041227A"/>
    <w:rsid w:val="00412310"/>
    <w:rsid w:val="00412758"/>
    <w:rsid w:val="004128C8"/>
    <w:rsid w:val="00412BEF"/>
    <w:rsid w:val="00412E9D"/>
    <w:rsid w:val="00412FEE"/>
    <w:rsid w:val="00413072"/>
    <w:rsid w:val="00413100"/>
    <w:rsid w:val="0041340F"/>
    <w:rsid w:val="00413D20"/>
    <w:rsid w:val="00413EF7"/>
    <w:rsid w:val="00414207"/>
    <w:rsid w:val="00414262"/>
    <w:rsid w:val="00414681"/>
    <w:rsid w:val="00414684"/>
    <w:rsid w:val="0041498B"/>
    <w:rsid w:val="00414A28"/>
    <w:rsid w:val="00414A39"/>
    <w:rsid w:val="00414B20"/>
    <w:rsid w:val="00414F8B"/>
    <w:rsid w:val="0041519E"/>
    <w:rsid w:val="004151E4"/>
    <w:rsid w:val="00415305"/>
    <w:rsid w:val="00415441"/>
    <w:rsid w:val="00415731"/>
    <w:rsid w:val="004158AA"/>
    <w:rsid w:val="00415DAD"/>
    <w:rsid w:val="00415DC1"/>
    <w:rsid w:val="00415DE5"/>
    <w:rsid w:val="00415F09"/>
    <w:rsid w:val="00416589"/>
    <w:rsid w:val="00416796"/>
    <w:rsid w:val="00416865"/>
    <w:rsid w:val="00416887"/>
    <w:rsid w:val="004168D9"/>
    <w:rsid w:val="004168F5"/>
    <w:rsid w:val="00416AB8"/>
    <w:rsid w:val="00416C83"/>
    <w:rsid w:val="00416D6E"/>
    <w:rsid w:val="00416D7A"/>
    <w:rsid w:val="00416FB7"/>
    <w:rsid w:val="004174F3"/>
    <w:rsid w:val="00417710"/>
    <w:rsid w:val="00417CD3"/>
    <w:rsid w:val="00417E52"/>
    <w:rsid w:val="0042021C"/>
    <w:rsid w:val="0042023F"/>
    <w:rsid w:val="004203C3"/>
    <w:rsid w:val="004205C0"/>
    <w:rsid w:val="004206F4"/>
    <w:rsid w:val="00420C21"/>
    <w:rsid w:val="00420C50"/>
    <w:rsid w:val="00420CAC"/>
    <w:rsid w:val="00420FD6"/>
    <w:rsid w:val="004211CA"/>
    <w:rsid w:val="0042124E"/>
    <w:rsid w:val="00421333"/>
    <w:rsid w:val="00421340"/>
    <w:rsid w:val="0042144B"/>
    <w:rsid w:val="004214F6"/>
    <w:rsid w:val="00421521"/>
    <w:rsid w:val="004218A5"/>
    <w:rsid w:val="0042191A"/>
    <w:rsid w:val="00421AF3"/>
    <w:rsid w:val="00421DB5"/>
    <w:rsid w:val="004221C6"/>
    <w:rsid w:val="0042226D"/>
    <w:rsid w:val="0042242D"/>
    <w:rsid w:val="004227CC"/>
    <w:rsid w:val="00422D30"/>
    <w:rsid w:val="004231C0"/>
    <w:rsid w:val="00423858"/>
    <w:rsid w:val="004239C4"/>
    <w:rsid w:val="004239C9"/>
    <w:rsid w:val="00423B69"/>
    <w:rsid w:val="00423E0F"/>
    <w:rsid w:val="00423EB7"/>
    <w:rsid w:val="00423FED"/>
    <w:rsid w:val="0042478E"/>
    <w:rsid w:val="004247DA"/>
    <w:rsid w:val="00424971"/>
    <w:rsid w:val="004249C5"/>
    <w:rsid w:val="00424F92"/>
    <w:rsid w:val="0042509F"/>
    <w:rsid w:val="00425211"/>
    <w:rsid w:val="004254EA"/>
    <w:rsid w:val="00425611"/>
    <w:rsid w:val="00425B16"/>
    <w:rsid w:val="00425D7C"/>
    <w:rsid w:val="00425F9D"/>
    <w:rsid w:val="004264E8"/>
    <w:rsid w:val="004269B9"/>
    <w:rsid w:val="004269FA"/>
    <w:rsid w:val="00426A1E"/>
    <w:rsid w:val="00426A40"/>
    <w:rsid w:val="00426DFC"/>
    <w:rsid w:val="004271A0"/>
    <w:rsid w:val="004271EB"/>
    <w:rsid w:val="0042746A"/>
    <w:rsid w:val="00427B20"/>
    <w:rsid w:val="00427B7B"/>
    <w:rsid w:val="00430227"/>
    <w:rsid w:val="0043071E"/>
    <w:rsid w:val="00430731"/>
    <w:rsid w:val="0043096A"/>
    <w:rsid w:val="00430B86"/>
    <w:rsid w:val="00430D26"/>
    <w:rsid w:val="00430D9C"/>
    <w:rsid w:val="00431311"/>
    <w:rsid w:val="00431459"/>
    <w:rsid w:val="004316C9"/>
    <w:rsid w:val="004318DC"/>
    <w:rsid w:val="00432051"/>
    <w:rsid w:val="004320B8"/>
    <w:rsid w:val="004321DA"/>
    <w:rsid w:val="00432242"/>
    <w:rsid w:val="004323CC"/>
    <w:rsid w:val="004323F7"/>
    <w:rsid w:val="0043265E"/>
    <w:rsid w:val="00432670"/>
    <w:rsid w:val="004326B6"/>
    <w:rsid w:val="00432865"/>
    <w:rsid w:val="0043299C"/>
    <w:rsid w:val="00432AC0"/>
    <w:rsid w:val="00432B37"/>
    <w:rsid w:val="00432BDD"/>
    <w:rsid w:val="00432D29"/>
    <w:rsid w:val="00432DBE"/>
    <w:rsid w:val="00432EDF"/>
    <w:rsid w:val="00432F2B"/>
    <w:rsid w:val="00433098"/>
    <w:rsid w:val="00433252"/>
    <w:rsid w:val="0043332C"/>
    <w:rsid w:val="0043347C"/>
    <w:rsid w:val="004338C5"/>
    <w:rsid w:val="0043391F"/>
    <w:rsid w:val="004339EF"/>
    <w:rsid w:val="00433B87"/>
    <w:rsid w:val="00433D37"/>
    <w:rsid w:val="00433DA2"/>
    <w:rsid w:val="00433E11"/>
    <w:rsid w:val="004343BC"/>
    <w:rsid w:val="00434441"/>
    <w:rsid w:val="004344A5"/>
    <w:rsid w:val="004353E7"/>
    <w:rsid w:val="00435913"/>
    <w:rsid w:val="00435AA8"/>
    <w:rsid w:val="00435C7F"/>
    <w:rsid w:val="00435FFE"/>
    <w:rsid w:val="00436096"/>
    <w:rsid w:val="00436163"/>
    <w:rsid w:val="00436254"/>
    <w:rsid w:val="00436300"/>
    <w:rsid w:val="004366C9"/>
    <w:rsid w:val="00436A45"/>
    <w:rsid w:val="00436AE7"/>
    <w:rsid w:val="00436B9F"/>
    <w:rsid w:val="00436BC4"/>
    <w:rsid w:val="00436C92"/>
    <w:rsid w:val="004372A2"/>
    <w:rsid w:val="004372F7"/>
    <w:rsid w:val="00437403"/>
    <w:rsid w:val="004374D1"/>
    <w:rsid w:val="00437569"/>
    <w:rsid w:val="004376B7"/>
    <w:rsid w:val="00437815"/>
    <w:rsid w:val="00437AEF"/>
    <w:rsid w:val="00437B77"/>
    <w:rsid w:val="00437DDA"/>
    <w:rsid w:val="00437EC7"/>
    <w:rsid w:val="004400B0"/>
    <w:rsid w:val="004403B9"/>
    <w:rsid w:val="004409C6"/>
    <w:rsid w:val="00440D69"/>
    <w:rsid w:val="00440E4B"/>
    <w:rsid w:val="00440F7E"/>
    <w:rsid w:val="0044115A"/>
    <w:rsid w:val="004415EB"/>
    <w:rsid w:val="00441679"/>
    <w:rsid w:val="0044183D"/>
    <w:rsid w:val="00441AB2"/>
    <w:rsid w:val="00442029"/>
    <w:rsid w:val="00442149"/>
    <w:rsid w:val="004428C1"/>
    <w:rsid w:val="00442A31"/>
    <w:rsid w:val="00442C05"/>
    <w:rsid w:val="00442E33"/>
    <w:rsid w:val="00442E37"/>
    <w:rsid w:val="00443096"/>
    <w:rsid w:val="00443200"/>
    <w:rsid w:val="004435BB"/>
    <w:rsid w:val="00443987"/>
    <w:rsid w:val="00443F32"/>
    <w:rsid w:val="00444182"/>
    <w:rsid w:val="00444228"/>
    <w:rsid w:val="00444451"/>
    <w:rsid w:val="00444C6E"/>
    <w:rsid w:val="00445582"/>
    <w:rsid w:val="004457B7"/>
    <w:rsid w:val="004457EE"/>
    <w:rsid w:val="00445BB9"/>
    <w:rsid w:val="00445DBA"/>
    <w:rsid w:val="00446281"/>
    <w:rsid w:val="00446433"/>
    <w:rsid w:val="004466C0"/>
    <w:rsid w:val="0044680D"/>
    <w:rsid w:val="00446E28"/>
    <w:rsid w:val="00446F8C"/>
    <w:rsid w:val="0044713F"/>
    <w:rsid w:val="00447195"/>
    <w:rsid w:val="004471FA"/>
    <w:rsid w:val="004476F3"/>
    <w:rsid w:val="00447716"/>
    <w:rsid w:val="0044777B"/>
    <w:rsid w:val="00447832"/>
    <w:rsid w:val="004500E8"/>
    <w:rsid w:val="004500F7"/>
    <w:rsid w:val="0045020F"/>
    <w:rsid w:val="004503C8"/>
    <w:rsid w:val="00450460"/>
    <w:rsid w:val="00450A2B"/>
    <w:rsid w:val="00450C1B"/>
    <w:rsid w:val="00450D12"/>
    <w:rsid w:val="00450ED4"/>
    <w:rsid w:val="0045110C"/>
    <w:rsid w:val="00451215"/>
    <w:rsid w:val="004515F1"/>
    <w:rsid w:val="0045192B"/>
    <w:rsid w:val="00451936"/>
    <w:rsid w:val="00451C51"/>
    <w:rsid w:val="00451F54"/>
    <w:rsid w:val="00451F67"/>
    <w:rsid w:val="00452092"/>
    <w:rsid w:val="0045232A"/>
    <w:rsid w:val="0045254D"/>
    <w:rsid w:val="004530FB"/>
    <w:rsid w:val="00453338"/>
    <w:rsid w:val="004534BD"/>
    <w:rsid w:val="0045352A"/>
    <w:rsid w:val="004535DD"/>
    <w:rsid w:val="00453681"/>
    <w:rsid w:val="00453BE3"/>
    <w:rsid w:val="00453D27"/>
    <w:rsid w:val="00453DB6"/>
    <w:rsid w:val="00454020"/>
    <w:rsid w:val="0045442F"/>
    <w:rsid w:val="00454464"/>
    <w:rsid w:val="0045450A"/>
    <w:rsid w:val="00454CCA"/>
    <w:rsid w:val="00454D6D"/>
    <w:rsid w:val="00454F36"/>
    <w:rsid w:val="00455026"/>
    <w:rsid w:val="0045521B"/>
    <w:rsid w:val="0045532A"/>
    <w:rsid w:val="004554F8"/>
    <w:rsid w:val="00455657"/>
    <w:rsid w:val="0045594D"/>
    <w:rsid w:val="00455990"/>
    <w:rsid w:val="00455B16"/>
    <w:rsid w:val="00455CC6"/>
    <w:rsid w:val="00456809"/>
    <w:rsid w:val="00456B07"/>
    <w:rsid w:val="00456C4B"/>
    <w:rsid w:val="00456CFA"/>
    <w:rsid w:val="00456E8F"/>
    <w:rsid w:val="004571A2"/>
    <w:rsid w:val="004572EF"/>
    <w:rsid w:val="004573C7"/>
    <w:rsid w:val="004576A9"/>
    <w:rsid w:val="004579E4"/>
    <w:rsid w:val="00457A1B"/>
    <w:rsid w:val="00457CCF"/>
    <w:rsid w:val="00457FC2"/>
    <w:rsid w:val="00460035"/>
    <w:rsid w:val="004604D3"/>
    <w:rsid w:val="004608B5"/>
    <w:rsid w:val="00460A93"/>
    <w:rsid w:val="00460BFD"/>
    <w:rsid w:val="00460D92"/>
    <w:rsid w:val="00460E81"/>
    <w:rsid w:val="00461274"/>
    <w:rsid w:val="004616D9"/>
    <w:rsid w:val="004616EA"/>
    <w:rsid w:val="00461D1F"/>
    <w:rsid w:val="00461E11"/>
    <w:rsid w:val="00461EFC"/>
    <w:rsid w:val="0046241A"/>
    <w:rsid w:val="00462461"/>
    <w:rsid w:val="00462731"/>
    <w:rsid w:val="0046280B"/>
    <w:rsid w:val="004629D1"/>
    <w:rsid w:val="00462B08"/>
    <w:rsid w:val="00462C08"/>
    <w:rsid w:val="00462F35"/>
    <w:rsid w:val="004631DE"/>
    <w:rsid w:val="004631E6"/>
    <w:rsid w:val="00463279"/>
    <w:rsid w:val="00463A49"/>
    <w:rsid w:val="00463E35"/>
    <w:rsid w:val="004640C1"/>
    <w:rsid w:val="00464401"/>
    <w:rsid w:val="004646FD"/>
    <w:rsid w:val="00464A22"/>
    <w:rsid w:val="00464B5E"/>
    <w:rsid w:val="0046504B"/>
    <w:rsid w:val="00465279"/>
    <w:rsid w:val="004652DF"/>
    <w:rsid w:val="004660A1"/>
    <w:rsid w:val="0046612B"/>
    <w:rsid w:val="00466177"/>
    <w:rsid w:val="0046623E"/>
    <w:rsid w:val="00466458"/>
    <w:rsid w:val="0046668F"/>
    <w:rsid w:val="004668D4"/>
    <w:rsid w:val="00466B0A"/>
    <w:rsid w:val="00466B68"/>
    <w:rsid w:val="00466D24"/>
    <w:rsid w:val="004670B0"/>
    <w:rsid w:val="0046718C"/>
    <w:rsid w:val="004674B2"/>
    <w:rsid w:val="00467558"/>
    <w:rsid w:val="004679BD"/>
    <w:rsid w:val="004679F7"/>
    <w:rsid w:val="00467A76"/>
    <w:rsid w:val="0047002C"/>
    <w:rsid w:val="00470226"/>
    <w:rsid w:val="00470254"/>
    <w:rsid w:val="00470285"/>
    <w:rsid w:val="004707E6"/>
    <w:rsid w:val="00470945"/>
    <w:rsid w:val="00470B51"/>
    <w:rsid w:val="00470B6B"/>
    <w:rsid w:val="00470B9D"/>
    <w:rsid w:val="00470EEE"/>
    <w:rsid w:val="00470EEF"/>
    <w:rsid w:val="00470F36"/>
    <w:rsid w:val="0047138F"/>
    <w:rsid w:val="0047174C"/>
    <w:rsid w:val="004719A5"/>
    <w:rsid w:val="00471A6D"/>
    <w:rsid w:val="00471B31"/>
    <w:rsid w:val="00471ED8"/>
    <w:rsid w:val="004723A7"/>
    <w:rsid w:val="004725A5"/>
    <w:rsid w:val="0047293C"/>
    <w:rsid w:val="004729FC"/>
    <w:rsid w:val="00472A1F"/>
    <w:rsid w:val="00472ACF"/>
    <w:rsid w:val="00472CC2"/>
    <w:rsid w:val="004730DC"/>
    <w:rsid w:val="00473300"/>
    <w:rsid w:val="004734E3"/>
    <w:rsid w:val="004740F1"/>
    <w:rsid w:val="00474273"/>
    <w:rsid w:val="004742FF"/>
    <w:rsid w:val="00474640"/>
    <w:rsid w:val="00474861"/>
    <w:rsid w:val="00474877"/>
    <w:rsid w:val="00474B0A"/>
    <w:rsid w:val="00474C23"/>
    <w:rsid w:val="00474E51"/>
    <w:rsid w:val="00474FD2"/>
    <w:rsid w:val="004754F2"/>
    <w:rsid w:val="0047555E"/>
    <w:rsid w:val="004759E6"/>
    <w:rsid w:val="0047642C"/>
    <w:rsid w:val="004766E6"/>
    <w:rsid w:val="00476876"/>
    <w:rsid w:val="00476B2A"/>
    <w:rsid w:val="00476C43"/>
    <w:rsid w:val="00476EAD"/>
    <w:rsid w:val="004770DC"/>
    <w:rsid w:val="004771F6"/>
    <w:rsid w:val="0047738E"/>
    <w:rsid w:val="004773C6"/>
    <w:rsid w:val="00477622"/>
    <w:rsid w:val="00477689"/>
    <w:rsid w:val="00477B4B"/>
    <w:rsid w:val="00480179"/>
    <w:rsid w:val="00480984"/>
    <w:rsid w:val="00480D5E"/>
    <w:rsid w:val="00480E68"/>
    <w:rsid w:val="00480F9B"/>
    <w:rsid w:val="00481104"/>
    <w:rsid w:val="00481336"/>
    <w:rsid w:val="00481485"/>
    <w:rsid w:val="00481751"/>
    <w:rsid w:val="004818B8"/>
    <w:rsid w:val="00481935"/>
    <w:rsid w:val="00481A05"/>
    <w:rsid w:val="00481A64"/>
    <w:rsid w:val="00481B17"/>
    <w:rsid w:val="00481BFE"/>
    <w:rsid w:val="004821DB"/>
    <w:rsid w:val="00482225"/>
    <w:rsid w:val="0048250D"/>
    <w:rsid w:val="004825A2"/>
    <w:rsid w:val="00482735"/>
    <w:rsid w:val="00482746"/>
    <w:rsid w:val="00482A81"/>
    <w:rsid w:val="00482ACC"/>
    <w:rsid w:val="004831C2"/>
    <w:rsid w:val="00483673"/>
    <w:rsid w:val="00483A47"/>
    <w:rsid w:val="00483C16"/>
    <w:rsid w:val="00483EC0"/>
    <w:rsid w:val="004844CD"/>
    <w:rsid w:val="004844ED"/>
    <w:rsid w:val="004845F7"/>
    <w:rsid w:val="004846D3"/>
    <w:rsid w:val="0048473A"/>
    <w:rsid w:val="00484B66"/>
    <w:rsid w:val="00484EE9"/>
    <w:rsid w:val="00484F44"/>
    <w:rsid w:val="0048521C"/>
    <w:rsid w:val="004855F1"/>
    <w:rsid w:val="00485631"/>
    <w:rsid w:val="00485651"/>
    <w:rsid w:val="00485B7E"/>
    <w:rsid w:val="00485F18"/>
    <w:rsid w:val="00485FE3"/>
    <w:rsid w:val="00486086"/>
    <w:rsid w:val="004860CF"/>
    <w:rsid w:val="004862C5"/>
    <w:rsid w:val="00486ACC"/>
    <w:rsid w:val="00486BA7"/>
    <w:rsid w:val="00486BDA"/>
    <w:rsid w:val="00486C4B"/>
    <w:rsid w:val="00486E9F"/>
    <w:rsid w:val="004873C2"/>
    <w:rsid w:val="0048793D"/>
    <w:rsid w:val="00487C6D"/>
    <w:rsid w:val="00487C99"/>
    <w:rsid w:val="00490201"/>
    <w:rsid w:val="00490275"/>
    <w:rsid w:val="004902A6"/>
    <w:rsid w:val="00490498"/>
    <w:rsid w:val="00490FE6"/>
    <w:rsid w:val="0049123A"/>
    <w:rsid w:val="00491393"/>
    <w:rsid w:val="0049152E"/>
    <w:rsid w:val="0049159B"/>
    <w:rsid w:val="00491749"/>
    <w:rsid w:val="004919DE"/>
    <w:rsid w:val="00491A61"/>
    <w:rsid w:val="00491D1B"/>
    <w:rsid w:val="00491DC7"/>
    <w:rsid w:val="00491DD3"/>
    <w:rsid w:val="0049239E"/>
    <w:rsid w:val="00492531"/>
    <w:rsid w:val="004926A3"/>
    <w:rsid w:val="00492743"/>
    <w:rsid w:val="0049299F"/>
    <w:rsid w:val="004929B3"/>
    <w:rsid w:val="00492A30"/>
    <w:rsid w:val="00493167"/>
    <w:rsid w:val="00493378"/>
    <w:rsid w:val="00493526"/>
    <w:rsid w:val="004937F3"/>
    <w:rsid w:val="004939BC"/>
    <w:rsid w:val="00493CB8"/>
    <w:rsid w:val="00494899"/>
    <w:rsid w:val="0049491E"/>
    <w:rsid w:val="00494A7B"/>
    <w:rsid w:val="0049503B"/>
    <w:rsid w:val="00495123"/>
    <w:rsid w:val="00495476"/>
    <w:rsid w:val="004957E7"/>
    <w:rsid w:val="00495D36"/>
    <w:rsid w:val="00495D9F"/>
    <w:rsid w:val="00495DB2"/>
    <w:rsid w:val="00495DEE"/>
    <w:rsid w:val="00496211"/>
    <w:rsid w:val="004967E5"/>
    <w:rsid w:val="00496BD2"/>
    <w:rsid w:val="00496D04"/>
    <w:rsid w:val="00496DE6"/>
    <w:rsid w:val="00496EA5"/>
    <w:rsid w:val="004971CE"/>
    <w:rsid w:val="00497409"/>
    <w:rsid w:val="0049772A"/>
    <w:rsid w:val="0049774F"/>
    <w:rsid w:val="004978D1"/>
    <w:rsid w:val="00497B33"/>
    <w:rsid w:val="00497BE0"/>
    <w:rsid w:val="00497DFC"/>
    <w:rsid w:val="00497EAC"/>
    <w:rsid w:val="00497F1F"/>
    <w:rsid w:val="00497F74"/>
    <w:rsid w:val="004A009A"/>
    <w:rsid w:val="004A0228"/>
    <w:rsid w:val="004A0289"/>
    <w:rsid w:val="004A0418"/>
    <w:rsid w:val="004A05F2"/>
    <w:rsid w:val="004A0795"/>
    <w:rsid w:val="004A07A3"/>
    <w:rsid w:val="004A0B4E"/>
    <w:rsid w:val="004A0CD6"/>
    <w:rsid w:val="004A0DC1"/>
    <w:rsid w:val="004A1322"/>
    <w:rsid w:val="004A15BE"/>
    <w:rsid w:val="004A1B74"/>
    <w:rsid w:val="004A1BD5"/>
    <w:rsid w:val="004A1CDA"/>
    <w:rsid w:val="004A1F40"/>
    <w:rsid w:val="004A1F62"/>
    <w:rsid w:val="004A1FD4"/>
    <w:rsid w:val="004A225B"/>
    <w:rsid w:val="004A24DA"/>
    <w:rsid w:val="004A26CE"/>
    <w:rsid w:val="004A2827"/>
    <w:rsid w:val="004A288C"/>
    <w:rsid w:val="004A290A"/>
    <w:rsid w:val="004A29A0"/>
    <w:rsid w:val="004A29BB"/>
    <w:rsid w:val="004A326A"/>
    <w:rsid w:val="004A328B"/>
    <w:rsid w:val="004A3AF5"/>
    <w:rsid w:val="004A3CDB"/>
    <w:rsid w:val="004A3D95"/>
    <w:rsid w:val="004A40EB"/>
    <w:rsid w:val="004A4223"/>
    <w:rsid w:val="004A4764"/>
    <w:rsid w:val="004A47C2"/>
    <w:rsid w:val="004A4A61"/>
    <w:rsid w:val="004A4E06"/>
    <w:rsid w:val="004A52DF"/>
    <w:rsid w:val="004A54EE"/>
    <w:rsid w:val="004A55A0"/>
    <w:rsid w:val="004A563D"/>
    <w:rsid w:val="004A5966"/>
    <w:rsid w:val="004A5CC9"/>
    <w:rsid w:val="004A5DEE"/>
    <w:rsid w:val="004A6624"/>
    <w:rsid w:val="004A6771"/>
    <w:rsid w:val="004A68F9"/>
    <w:rsid w:val="004A6C62"/>
    <w:rsid w:val="004A78BB"/>
    <w:rsid w:val="004A7A36"/>
    <w:rsid w:val="004A7CD5"/>
    <w:rsid w:val="004B056D"/>
    <w:rsid w:val="004B0610"/>
    <w:rsid w:val="004B088E"/>
    <w:rsid w:val="004B08E3"/>
    <w:rsid w:val="004B0A4C"/>
    <w:rsid w:val="004B0AF5"/>
    <w:rsid w:val="004B0D2A"/>
    <w:rsid w:val="004B1014"/>
    <w:rsid w:val="004B113E"/>
    <w:rsid w:val="004B12DB"/>
    <w:rsid w:val="004B165E"/>
    <w:rsid w:val="004B1795"/>
    <w:rsid w:val="004B18D2"/>
    <w:rsid w:val="004B1A4A"/>
    <w:rsid w:val="004B1BEE"/>
    <w:rsid w:val="004B1D78"/>
    <w:rsid w:val="004B1F28"/>
    <w:rsid w:val="004B1FF5"/>
    <w:rsid w:val="004B20C1"/>
    <w:rsid w:val="004B2138"/>
    <w:rsid w:val="004B253D"/>
    <w:rsid w:val="004B2758"/>
    <w:rsid w:val="004B2779"/>
    <w:rsid w:val="004B2943"/>
    <w:rsid w:val="004B3340"/>
    <w:rsid w:val="004B352B"/>
    <w:rsid w:val="004B3532"/>
    <w:rsid w:val="004B3A85"/>
    <w:rsid w:val="004B3B16"/>
    <w:rsid w:val="004B3BBD"/>
    <w:rsid w:val="004B3DC9"/>
    <w:rsid w:val="004B3F35"/>
    <w:rsid w:val="004B42C5"/>
    <w:rsid w:val="004B4395"/>
    <w:rsid w:val="004B44DA"/>
    <w:rsid w:val="004B4936"/>
    <w:rsid w:val="004B49E0"/>
    <w:rsid w:val="004B4ABE"/>
    <w:rsid w:val="004B4C67"/>
    <w:rsid w:val="004B4EB8"/>
    <w:rsid w:val="004B4EB9"/>
    <w:rsid w:val="004B4EE9"/>
    <w:rsid w:val="004B56DD"/>
    <w:rsid w:val="004B58A7"/>
    <w:rsid w:val="004B5993"/>
    <w:rsid w:val="004B5E98"/>
    <w:rsid w:val="004B68AE"/>
    <w:rsid w:val="004B68EA"/>
    <w:rsid w:val="004B6EAE"/>
    <w:rsid w:val="004B6FB4"/>
    <w:rsid w:val="004B6FF5"/>
    <w:rsid w:val="004B7124"/>
    <w:rsid w:val="004B741E"/>
    <w:rsid w:val="004B76A2"/>
    <w:rsid w:val="004B773C"/>
    <w:rsid w:val="004B7918"/>
    <w:rsid w:val="004B7A00"/>
    <w:rsid w:val="004B7A94"/>
    <w:rsid w:val="004B7C0D"/>
    <w:rsid w:val="004C02C7"/>
    <w:rsid w:val="004C03EF"/>
    <w:rsid w:val="004C04D6"/>
    <w:rsid w:val="004C0C0A"/>
    <w:rsid w:val="004C0E36"/>
    <w:rsid w:val="004C0ECA"/>
    <w:rsid w:val="004C1441"/>
    <w:rsid w:val="004C16D5"/>
    <w:rsid w:val="004C16E7"/>
    <w:rsid w:val="004C189A"/>
    <w:rsid w:val="004C18DA"/>
    <w:rsid w:val="004C1971"/>
    <w:rsid w:val="004C1A38"/>
    <w:rsid w:val="004C1F0E"/>
    <w:rsid w:val="004C20F6"/>
    <w:rsid w:val="004C249B"/>
    <w:rsid w:val="004C2588"/>
    <w:rsid w:val="004C2651"/>
    <w:rsid w:val="004C26A2"/>
    <w:rsid w:val="004C28DB"/>
    <w:rsid w:val="004C29A9"/>
    <w:rsid w:val="004C2F21"/>
    <w:rsid w:val="004C3208"/>
    <w:rsid w:val="004C3269"/>
    <w:rsid w:val="004C36A6"/>
    <w:rsid w:val="004C3736"/>
    <w:rsid w:val="004C382E"/>
    <w:rsid w:val="004C3C49"/>
    <w:rsid w:val="004C3E75"/>
    <w:rsid w:val="004C3F33"/>
    <w:rsid w:val="004C3FA4"/>
    <w:rsid w:val="004C4766"/>
    <w:rsid w:val="004C4773"/>
    <w:rsid w:val="004C47B8"/>
    <w:rsid w:val="004C4A56"/>
    <w:rsid w:val="004C4B4F"/>
    <w:rsid w:val="004C4C2F"/>
    <w:rsid w:val="004C4C71"/>
    <w:rsid w:val="004C4E41"/>
    <w:rsid w:val="004C5191"/>
    <w:rsid w:val="004C519A"/>
    <w:rsid w:val="004C51C9"/>
    <w:rsid w:val="004C5582"/>
    <w:rsid w:val="004C5757"/>
    <w:rsid w:val="004C5821"/>
    <w:rsid w:val="004C5A77"/>
    <w:rsid w:val="004C5CF7"/>
    <w:rsid w:val="004C5E39"/>
    <w:rsid w:val="004C5E87"/>
    <w:rsid w:val="004C5EDC"/>
    <w:rsid w:val="004C601C"/>
    <w:rsid w:val="004C6043"/>
    <w:rsid w:val="004C6A87"/>
    <w:rsid w:val="004C6C90"/>
    <w:rsid w:val="004C6F51"/>
    <w:rsid w:val="004C7052"/>
    <w:rsid w:val="004C7313"/>
    <w:rsid w:val="004C74FF"/>
    <w:rsid w:val="004C7658"/>
    <w:rsid w:val="004C7980"/>
    <w:rsid w:val="004C7B10"/>
    <w:rsid w:val="004C7C2F"/>
    <w:rsid w:val="004C7E42"/>
    <w:rsid w:val="004C7FA1"/>
    <w:rsid w:val="004C7FBA"/>
    <w:rsid w:val="004D00EC"/>
    <w:rsid w:val="004D01B7"/>
    <w:rsid w:val="004D048A"/>
    <w:rsid w:val="004D09F3"/>
    <w:rsid w:val="004D0BE9"/>
    <w:rsid w:val="004D0D84"/>
    <w:rsid w:val="004D0E74"/>
    <w:rsid w:val="004D117C"/>
    <w:rsid w:val="004D127B"/>
    <w:rsid w:val="004D1369"/>
    <w:rsid w:val="004D1B73"/>
    <w:rsid w:val="004D1C35"/>
    <w:rsid w:val="004D2332"/>
    <w:rsid w:val="004D2351"/>
    <w:rsid w:val="004D2400"/>
    <w:rsid w:val="004D2585"/>
    <w:rsid w:val="004D2809"/>
    <w:rsid w:val="004D2AA9"/>
    <w:rsid w:val="004D2FC3"/>
    <w:rsid w:val="004D2FD2"/>
    <w:rsid w:val="004D316B"/>
    <w:rsid w:val="004D3274"/>
    <w:rsid w:val="004D353B"/>
    <w:rsid w:val="004D399F"/>
    <w:rsid w:val="004D40AC"/>
    <w:rsid w:val="004D42F7"/>
    <w:rsid w:val="004D438F"/>
    <w:rsid w:val="004D44DB"/>
    <w:rsid w:val="004D454C"/>
    <w:rsid w:val="004D46CD"/>
    <w:rsid w:val="004D4940"/>
    <w:rsid w:val="004D4C59"/>
    <w:rsid w:val="004D4E76"/>
    <w:rsid w:val="004D55AD"/>
    <w:rsid w:val="004D55DA"/>
    <w:rsid w:val="004D57A9"/>
    <w:rsid w:val="004D5814"/>
    <w:rsid w:val="004D58BD"/>
    <w:rsid w:val="004D5998"/>
    <w:rsid w:val="004D6067"/>
    <w:rsid w:val="004D6310"/>
    <w:rsid w:val="004D6603"/>
    <w:rsid w:val="004D69DA"/>
    <w:rsid w:val="004D6F53"/>
    <w:rsid w:val="004D6FBD"/>
    <w:rsid w:val="004D70BD"/>
    <w:rsid w:val="004D7288"/>
    <w:rsid w:val="004D74BC"/>
    <w:rsid w:val="004D7552"/>
    <w:rsid w:val="004D774E"/>
    <w:rsid w:val="004D7A76"/>
    <w:rsid w:val="004D7C97"/>
    <w:rsid w:val="004E005C"/>
    <w:rsid w:val="004E00A5"/>
    <w:rsid w:val="004E0171"/>
    <w:rsid w:val="004E01B2"/>
    <w:rsid w:val="004E03A1"/>
    <w:rsid w:val="004E04A6"/>
    <w:rsid w:val="004E052D"/>
    <w:rsid w:val="004E0BCE"/>
    <w:rsid w:val="004E0C62"/>
    <w:rsid w:val="004E0E08"/>
    <w:rsid w:val="004E0EF9"/>
    <w:rsid w:val="004E0F38"/>
    <w:rsid w:val="004E100A"/>
    <w:rsid w:val="004E11D6"/>
    <w:rsid w:val="004E13EC"/>
    <w:rsid w:val="004E14A8"/>
    <w:rsid w:val="004E1998"/>
    <w:rsid w:val="004E1D2C"/>
    <w:rsid w:val="004E2452"/>
    <w:rsid w:val="004E2A87"/>
    <w:rsid w:val="004E2B4B"/>
    <w:rsid w:val="004E2DAF"/>
    <w:rsid w:val="004E2DBC"/>
    <w:rsid w:val="004E30CF"/>
    <w:rsid w:val="004E313D"/>
    <w:rsid w:val="004E3310"/>
    <w:rsid w:val="004E364A"/>
    <w:rsid w:val="004E37EC"/>
    <w:rsid w:val="004E4338"/>
    <w:rsid w:val="004E436B"/>
    <w:rsid w:val="004E4508"/>
    <w:rsid w:val="004E4786"/>
    <w:rsid w:val="004E4F4A"/>
    <w:rsid w:val="004E51A4"/>
    <w:rsid w:val="004E51DD"/>
    <w:rsid w:val="004E5258"/>
    <w:rsid w:val="004E53D8"/>
    <w:rsid w:val="004E585D"/>
    <w:rsid w:val="004E5B6B"/>
    <w:rsid w:val="004E5F91"/>
    <w:rsid w:val="004E63E7"/>
    <w:rsid w:val="004E6CD8"/>
    <w:rsid w:val="004E6E1E"/>
    <w:rsid w:val="004E716D"/>
    <w:rsid w:val="004E752B"/>
    <w:rsid w:val="004E778C"/>
    <w:rsid w:val="004E7F0A"/>
    <w:rsid w:val="004F0447"/>
    <w:rsid w:val="004F0731"/>
    <w:rsid w:val="004F075A"/>
    <w:rsid w:val="004F0958"/>
    <w:rsid w:val="004F0ADA"/>
    <w:rsid w:val="004F113E"/>
    <w:rsid w:val="004F119A"/>
    <w:rsid w:val="004F11A5"/>
    <w:rsid w:val="004F1310"/>
    <w:rsid w:val="004F14BA"/>
    <w:rsid w:val="004F1766"/>
    <w:rsid w:val="004F197B"/>
    <w:rsid w:val="004F1A2C"/>
    <w:rsid w:val="004F1A84"/>
    <w:rsid w:val="004F1BEF"/>
    <w:rsid w:val="004F1D4B"/>
    <w:rsid w:val="004F1F27"/>
    <w:rsid w:val="004F2132"/>
    <w:rsid w:val="004F22DA"/>
    <w:rsid w:val="004F2AB9"/>
    <w:rsid w:val="004F2C2A"/>
    <w:rsid w:val="004F2D1F"/>
    <w:rsid w:val="004F303D"/>
    <w:rsid w:val="004F3144"/>
    <w:rsid w:val="004F33EB"/>
    <w:rsid w:val="004F34B7"/>
    <w:rsid w:val="004F36E4"/>
    <w:rsid w:val="004F3B37"/>
    <w:rsid w:val="004F41E8"/>
    <w:rsid w:val="004F453C"/>
    <w:rsid w:val="004F465F"/>
    <w:rsid w:val="004F47CB"/>
    <w:rsid w:val="004F47F5"/>
    <w:rsid w:val="004F4874"/>
    <w:rsid w:val="004F4A05"/>
    <w:rsid w:val="004F4F32"/>
    <w:rsid w:val="004F5305"/>
    <w:rsid w:val="004F5646"/>
    <w:rsid w:val="004F5687"/>
    <w:rsid w:val="004F570E"/>
    <w:rsid w:val="004F5A65"/>
    <w:rsid w:val="004F5DDB"/>
    <w:rsid w:val="004F644F"/>
    <w:rsid w:val="004F6622"/>
    <w:rsid w:val="004F6871"/>
    <w:rsid w:val="004F689E"/>
    <w:rsid w:val="004F69F6"/>
    <w:rsid w:val="004F6C3C"/>
    <w:rsid w:val="004F6C5C"/>
    <w:rsid w:val="004F6D42"/>
    <w:rsid w:val="004F6DDF"/>
    <w:rsid w:val="004F70AB"/>
    <w:rsid w:val="004F7395"/>
    <w:rsid w:val="004F73F0"/>
    <w:rsid w:val="004F7546"/>
    <w:rsid w:val="004F755D"/>
    <w:rsid w:val="004F7684"/>
    <w:rsid w:val="004F7737"/>
    <w:rsid w:val="004F773E"/>
    <w:rsid w:val="004F7767"/>
    <w:rsid w:val="004F794B"/>
    <w:rsid w:val="004F7CB5"/>
    <w:rsid w:val="004F7D3F"/>
    <w:rsid w:val="004F7E14"/>
    <w:rsid w:val="004F7E7B"/>
    <w:rsid w:val="004F7E8E"/>
    <w:rsid w:val="005005F0"/>
    <w:rsid w:val="00500CD9"/>
    <w:rsid w:val="00500D29"/>
    <w:rsid w:val="00500DA3"/>
    <w:rsid w:val="00501B70"/>
    <w:rsid w:val="00501C02"/>
    <w:rsid w:val="00501CAB"/>
    <w:rsid w:val="005023BD"/>
    <w:rsid w:val="005023E2"/>
    <w:rsid w:val="005024EF"/>
    <w:rsid w:val="00502698"/>
    <w:rsid w:val="00502836"/>
    <w:rsid w:val="005029DB"/>
    <w:rsid w:val="005029E5"/>
    <w:rsid w:val="00502A01"/>
    <w:rsid w:val="00502A34"/>
    <w:rsid w:val="00502B51"/>
    <w:rsid w:val="00502CF1"/>
    <w:rsid w:val="00503063"/>
    <w:rsid w:val="00503400"/>
    <w:rsid w:val="005035F3"/>
    <w:rsid w:val="0050370D"/>
    <w:rsid w:val="0050371D"/>
    <w:rsid w:val="0050384B"/>
    <w:rsid w:val="00503CC4"/>
    <w:rsid w:val="00503D00"/>
    <w:rsid w:val="00503DA0"/>
    <w:rsid w:val="00503E29"/>
    <w:rsid w:val="00504158"/>
    <w:rsid w:val="005041A9"/>
    <w:rsid w:val="005042B5"/>
    <w:rsid w:val="0050433C"/>
    <w:rsid w:val="00504428"/>
    <w:rsid w:val="0050448D"/>
    <w:rsid w:val="005044B1"/>
    <w:rsid w:val="005049E9"/>
    <w:rsid w:val="00504B2A"/>
    <w:rsid w:val="00504C4C"/>
    <w:rsid w:val="00504DFA"/>
    <w:rsid w:val="0050507D"/>
    <w:rsid w:val="005057E6"/>
    <w:rsid w:val="00505A0B"/>
    <w:rsid w:val="00505A89"/>
    <w:rsid w:val="00505DD8"/>
    <w:rsid w:val="005065F4"/>
    <w:rsid w:val="00506621"/>
    <w:rsid w:val="005067D5"/>
    <w:rsid w:val="005067F5"/>
    <w:rsid w:val="0050689C"/>
    <w:rsid w:val="00506AF9"/>
    <w:rsid w:val="00506C7A"/>
    <w:rsid w:val="00506E53"/>
    <w:rsid w:val="00506E8D"/>
    <w:rsid w:val="00507100"/>
    <w:rsid w:val="0050728E"/>
    <w:rsid w:val="00507528"/>
    <w:rsid w:val="0050760F"/>
    <w:rsid w:val="005076F6"/>
    <w:rsid w:val="00507998"/>
    <w:rsid w:val="00507A6D"/>
    <w:rsid w:val="00507B73"/>
    <w:rsid w:val="00507CB2"/>
    <w:rsid w:val="005102B4"/>
    <w:rsid w:val="00510888"/>
    <w:rsid w:val="00510AA9"/>
    <w:rsid w:val="00510C5B"/>
    <w:rsid w:val="005112E3"/>
    <w:rsid w:val="0051156F"/>
    <w:rsid w:val="00511676"/>
    <w:rsid w:val="00511932"/>
    <w:rsid w:val="00511AB2"/>
    <w:rsid w:val="00511C96"/>
    <w:rsid w:val="00511FEB"/>
    <w:rsid w:val="0051210C"/>
    <w:rsid w:val="005121CA"/>
    <w:rsid w:val="00512592"/>
    <w:rsid w:val="0051266A"/>
    <w:rsid w:val="00512AE3"/>
    <w:rsid w:val="00512FF5"/>
    <w:rsid w:val="005136A2"/>
    <w:rsid w:val="00513738"/>
    <w:rsid w:val="005137EC"/>
    <w:rsid w:val="00513894"/>
    <w:rsid w:val="00513B7B"/>
    <w:rsid w:val="00513BFE"/>
    <w:rsid w:val="00513D64"/>
    <w:rsid w:val="00513F34"/>
    <w:rsid w:val="0051409D"/>
    <w:rsid w:val="00514268"/>
    <w:rsid w:val="00514283"/>
    <w:rsid w:val="00514913"/>
    <w:rsid w:val="005149B6"/>
    <w:rsid w:val="00514B3B"/>
    <w:rsid w:val="00514F41"/>
    <w:rsid w:val="005152F0"/>
    <w:rsid w:val="005156DE"/>
    <w:rsid w:val="00515F76"/>
    <w:rsid w:val="00516190"/>
    <w:rsid w:val="00516327"/>
    <w:rsid w:val="00516380"/>
    <w:rsid w:val="00516589"/>
    <w:rsid w:val="005165AD"/>
    <w:rsid w:val="005165E5"/>
    <w:rsid w:val="0051680F"/>
    <w:rsid w:val="00516B39"/>
    <w:rsid w:val="00516C07"/>
    <w:rsid w:val="00516D3A"/>
    <w:rsid w:val="0051749D"/>
    <w:rsid w:val="00517540"/>
    <w:rsid w:val="0051758A"/>
    <w:rsid w:val="00517F16"/>
    <w:rsid w:val="00517F46"/>
    <w:rsid w:val="0052012C"/>
    <w:rsid w:val="005202AE"/>
    <w:rsid w:val="00520B0F"/>
    <w:rsid w:val="00520B37"/>
    <w:rsid w:val="0052108A"/>
    <w:rsid w:val="0052119A"/>
    <w:rsid w:val="00521280"/>
    <w:rsid w:val="00521368"/>
    <w:rsid w:val="00521A49"/>
    <w:rsid w:val="00521AA2"/>
    <w:rsid w:val="00521CD0"/>
    <w:rsid w:val="00521D86"/>
    <w:rsid w:val="00521EB9"/>
    <w:rsid w:val="00521F88"/>
    <w:rsid w:val="00522023"/>
    <w:rsid w:val="005221AB"/>
    <w:rsid w:val="005221B5"/>
    <w:rsid w:val="005222FD"/>
    <w:rsid w:val="00522460"/>
    <w:rsid w:val="00522640"/>
    <w:rsid w:val="005226F0"/>
    <w:rsid w:val="00522864"/>
    <w:rsid w:val="00522A6C"/>
    <w:rsid w:val="00522D80"/>
    <w:rsid w:val="00522DDD"/>
    <w:rsid w:val="00522FA0"/>
    <w:rsid w:val="00523004"/>
    <w:rsid w:val="00523805"/>
    <w:rsid w:val="00523A15"/>
    <w:rsid w:val="00523C54"/>
    <w:rsid w:val="00523CD0"/>
    <w:rsid w:val="00523D7F"/>
    <w:rsid w:val="00523E4E"/>
    <w:rsid w:val="00523EA1"/>
    <w:rsid w:val="0052421C"/>
    <w:rsid w:val="00524378"/>
    <w:rsid w:val="005243A6"/>
    <w:rsid w:val="005244F4"/>
    <w:rsid w:val="0052453E"/>
    <w:rsid w:val="00524575"/>
    <w:rsid w:val="005247AD"/>
    <w:rsid w:val="00524ABA"/>
    <w:rsid w:val="00524C35"/>
    <w:rsid w:val="00524D15"/>
    <w:rsid w:val="00524DCD"/>
    <w:rsid w:val="00524E98"/>
    <w:rsid w:val="00524FAB"/>
    <w:rsid w:val="00525838"/>
    <w:rsid w:val="005259CB"/>
    <w:rsid w:val="00525D40"/>
    <w:rsid w:val="00526096"/>
    <w:rsid w:val="005260BD"/>
    <w:rsid w:val="005260D4"/>
    <w:rsid w:val="00526288"/>
    <w:rsid w:val="0052629D"/>
    <w:rsid w:val="00526332"/>
    <w:rsid w:val="0052665E"/>
    <w:rsid w:val="0052688E"/>
    <w:rsid w:val="005268EF"/>
    <w:rsid w:val="00526AAA"/>
    <w:rsid w:val="005271FF"/>
    <w:rsid w:val="00527244"/>
    <w:rsid w:val="00527B2F"/>
    <w:rsid w:val="00527E1B"/>
    <w:rsid w:val="005303D4"/>
    <w:rsid w:val="005308A5"/>
    <w:rsid w:val="00530D58"/>
    <w:rsid w:val="00530E2A"/>
    <w:rsid w:val="00530F73"/>
    <w:rsid w:val="00531042"/>
    <w:rsid w:val="00531138"/>
    <w:rsid w:val="0053169B"/>
    <w:rsid w:val="00531867"/>
    <w:rsid w:val="005318C9"/>
    <w:rsid w:val="005319B0"/>
    <w:rsid w:val="00531B6E"/>
    <w:rsid w:val="00531C48"/>
    <w:rsid w:val="00531D06"/>
    <w:rsid w:val="0053221D"/>
    <w:rsid w:val="00532540"/>
    <w:rsid w:val="00532548"/>
    <w:rsid w:val="0053256E"/>
    <w:rsid w:val="00532774"/>
    <w:rsid w:val="00532942"/>
    <w:rsid w:val="00532E18"/>
    <w:rsid w:val="0053317A"/>
    <w:rsid w:val="005336FB"/>
    <w:rsid w:val="005337E9"/>
    <w:rsid w:val="005337EA"/>
    <w:rsid w:val="00533D20"/>
    <w:rsid w:val="00533DA9"/>
    <w:rsid w:val="00533DDE"/>
    <w:rsid w:val="00533E62"/>
    <w:rsid w:val="00533F54"/>
    <w:rsid w:val="005340F8"/>
    <w:rsid w:val="00534126"/>
    <w:rsid w:val="00534275"/>
    <w:rsid w:val="005346C5"/>
    <w:rsid w:val="005349B5"/>
    <w:rsid w:val="005349F4"/>
    <w:rsid w:val="00534A3C"/>
    <w:rsid w:val="00534E5C"/>
    <w:rsid w:val="00535098"/>
    <w:rsid w:val="005351FC"/>
    <w:rsid w:val="0053521B"/>
    <w:rsid w:val="005352B6"/>
    <w:rsid w:val="0053557E"/>
    <w:rsid w:val="005357E4"/>
    <w:rsid w:val="0053583B"/>
    <w:rsid w:val="00535A41"/>
    <w:rsid w:val="00535E07"/>
    <w:rsid w:val="005363BF"/>
    <w:rsid w:val="00536775"/>
    <w:rsid w:val="00536CFB"/>
    <w:rsid w:val="005370D5"/>
    <w:rsid w:val="0053711D"/>
    <w:rsid w:val="00537462"/>
    <w:rsid w:val="005379EE"/>
    <w:rsid w:val="00537A80"/>
    <w:rsid w:val="00537B24"/>
    <w:rsid w:val="00537F0C"/>
    <w:rsid w:val="00537F91"/>
    <w:rsid w:val="00537FA7"/>
    <w:rsid w:val="00537FC9"/>
    <w:rsid w:val="00540182"/>
    <w:rsid w:val="005402F3"/>
    <w:rsid w:val="0054040F"/>
    <w:rsid w:val="00540714"/>
    <w:rsid w:val="00540A58"/>
    <w:rsid w:val="00540BE7"/>
    <w:rsid w:val="00540C27"/>
    <w:rsid w:val="00540DB0"/>
    <w:rsid w:val="00540DE9"/>
    <w:rsid w:val="0054138E"/>
    <w:rsid w:val="0054162E"/>
    <w:rsid w:val="00541FEE"/>
    <w:rsid w:val="0054210A"/>
    <w:rsid w:val="0054228B"/>
    <w:rsid w:val="00542748"/>
    <w:rsid w:val="0054285C"/>
    <w:rsid w:val="00542891"/>
    <w:rsid w:val="005428C7"/>
    <w:rsid w:val="00542A1E"/>
    <w:rsid w:val="00542C3E"/>
    <w:rsid w:val="00542E5A"/>
    <w:rsid w:val="0054308F"/>
    <w:rsid w:val="005430E9"/>
    <w:rsid w:val="0054330C"/>
    <w:rsid w:val="005435A6"/>
    <w:rsid w:val="00543808"/>
    <w:rsid w:val="005439CE"/>
    <w:rsid w:val="00543B69"/>
    <w:rsid w:val="00543C35"/>
    <w:rsid w:val="00543EBB"/>
    <w:rsid w:val="005440A7"/>
    <w:rsid w:val="00544161"/>
    <w:rsid w:val="005442EB"/>
    <w:rsid w:val="0054436B"/>
    <w:rsid w:val="00544735"/>
    <w:rsid w:val="00544848"/>
    <w:rsid w:val="00544960"/>
    <w:rsid w:val="00544A09"/>
    <w:rsid w:val="00544E13"/>
    <w:rsid w:val="00544F34"/>
    <w:rsid w:val="00545134"/>
    <w:rsid w:val="00545296"/>
    <w:rsid w:val="0054529B"/>
    <w:rsid w:val="0054538E"/>
    <w:rsid w:val="005453AE"/>
    <w:rsid w:val="005453B2"/>
    <w:rsid w:val="005453B3"/>
    <w:rsid w:val="00545D15"/>
    <w:rsid w:val="00545DA2"/>
    <w:rsid w:val="00545E0D"/>
    <w:rsid w:val="00545F92"/>
    <w:rsid w:val="00546065"/>
    <w:rsid w:val="005460AF"/>
    <w:rsid w:val="0054656F"/>
    <w:rsid w:val="0054659B"/>
    <w:rsid w:val="005465E4"/>
    <w:rsid w:val="005466B0"/>
    <w:rsid w:val="00546719"/>
    <w:rsid w:val="00546B1B"/>
    <w:rsid w:val="00546ED1"/>
    <w:rsid w:val="00547199"/>
    <w:rsid w:val="005472B5"/>
    <w:rsid w:val="00547509"/>
    <w:rsid w:val="0054792A"/>
    <w:rsid w:val="00547999"/>
    <w:rsid w:val="00547A7A"/>
    <w:rsid w:val="00547B7B"/>
    <w:rsid w:val="00547D54"/>
    <w:rsid w:val="00547D94"/>
    <w:rsid w:val="00547E3B"/>
    <w:rsid w:val="00547ED6"/>
    <w:rsid w:val="00550170"/>
    <w:rsid w:val="00550498"/>
    <w:rsid w:val="005506E0"/>
    <w:rsid w:val="00550947"/>
    <w:rsid w:val="00550C3E"/>
    <w:rsid w:val="00551046"/>
    <w:rsid w:val="0055108D"/>
    <w:rsid w:val="00551200"/>
    <w:rsid w:val="00551296"/>
    <w:rsid w:val="005514D8"/>
    <w:rsid w:val="00551630"/>
    <w:rsid w:val="0055184E"/>
    <w:rsid w:val="005519F5"/>
    <w:rsid w:val="00551B39"/>
    <w:rsid w:val="00551B55"/>
    <w:rsid w:val="00551C16"/>
    <w:rsid w:val="00551CB6"/>
    <w:rsid w:val="00551DE5"/>
    <w:rsid w:val="00551F74"/>
    <w:rsid w:val="0055213A"/>
    <w:rsid w:val="00552376"/>
    <w:rsid w:val="005524ED"/>
    <w:rsid w:val="00552A03"/>
    <w:rsid w:val="00552AED"/>
    <w:rsid w:val="00552E51"/>
    <w:rsid w:val="00552FE4"/>
    <w:rsid w:val="00553207"/>
    <w:rsid w:val="00553218"/>
    <w:rsid w:val="00553323"/>
    <w:rsid w:val="00553895"/>
    <w:rsid w:val="005538A6"/>
    <w:rsid w:val="005539EA"/>
    <w:rsid w:val="00553BE9"/>
    <w:rsid w:val="00553C8E"/>
    <w:rsid w:val="00553EC9"/>
    <w:rsid w:val="00554165"/>
    <w:rsid w:val="0055458F"/>
    <w:rsid w:val="00554654"/>
    <w:rsid w:val="0055471B"/>
    <w:rsid w:val="0055474B"/>
    <w:rsid w:val="00554882"/>
    <w:rsid w:val="005548C5"/>
    <w:rsid w:val="0055498C"/>
    <w:rsid w:val="00554B1A"/>
    <w:rsid w:val="00554C58"/>
    <w:rsid w:val="00554D0D"/>
    <w:rsid w:val="00554E56"/>
    <w:rsid w:val="00554ECA"/>
    <w:rsid w:val="00555470"/>
    <w:rsid w:val="00555858"/>
    <w:rsid w:val="00555B5E"/>
    <w:rsid w:val="00555BA7"/>
    <w:rsid w:val="00555C05"/>
    <w:rsid w:val="00555CE4"/>
    <w:rsid w:val="00555F8D"/>
    <w:rsid w:val="00556047"/>
    <w:rsid w:val="005560FE"/>
    <w:rsid w:val="0055612A"/>
    <w:rsid w:val="0055643C"/>
    <w:rsid w:val="00556BBC"/>
    <w:rsid w:val="005573C5"/>
    <w:rsid w:val="00557457"/>
    <w:rsid w:val="00557E4C"/>
    <w:rsid w:val="00557F93"/>
    <w:rsid w:val="00560093"/>
    <w:rsid w:val="005601A7"/>
    <w:rsid w:val="005602AC"/>
    <w:rsid w:val="0056045F"/>
    <w:rsid w:val="0056052C"/>
    <w:rsid w:val="00560537"/>
    <w:rsid w:val="0056071D"/>
    <w:rsid w:val="005607C0"/>
    <w:rsid w:val="005608EE"/>
    <w:rsid w:val="00560A73"/>
    <w:rsid w:val="00560B3F"/>
    <w:rsid w:val="00560CE7"/>
    <w:rsid w:val="00560CF4"/>
    <w:rsid w:val="00560E22"/>
    <w:rsid w:val="00560F3A"/>
    <w:rsid w:val="00560FC3"/>
    <w:rsid w:val="00560FF8"/>
    <w:rsid w:val="00561340"/>
    <w:rsid w:val="00561924"/>
    <w:rsid w:val="00561BD1"/>
    <w:rsid w:val="00561D73"/>
    <w:rsid w:val="00561EEE"/>
    <w:rsid w:val="00561F2F"/>
    <w:rsid w:val="005620E0"/>
    <w:rsid w:val="005620F4"/>
    <w:rsid w:val="005621BD"/>
    <w:rsid w:val="005623FE"/>
    <w:rsid w:val="00562430"/>
    <w:rsid w:val="00562617"/>
    <w:rsid w:val="00562686"/>
    <w:rsid w:val="0056280E"/>
    <w:rsid w:val="00562923"/>
    <w:rsid w:val="00562C80"/>
    <w:rsid w:val="005636A4"/>
    <w:rsid w:val="005639C2"/>
    <w:rsid w:val="00563A0A"/>
    <w:rsid w:val="00563AC4"/>
    <w:rsid w:val="00564021"/>
    <w:rsid w:val="00564B83"/>
    <w:rsid w:val="00564CCF"/>
    <w:rsid w:val="00564F35"/>
    <w:rsid w:val="00564F81"/>
    <w:rsid w:val="00564FF2"/>
    <w:rsid w:val="00565227"/>
    <w:rsid w:val="00565281"/>
    <w:rsid w:val="0056529C"/>
    <w:rsid w:val="005654E8"/>
    <w:rsid w:val="005655CE"/>
    <w:rsid w:val="00565A1D"/>
    <w:rsid w:val="00565A3E"/>
    <w:rsid w:val="00565A44"/>
    <w:rsid w:val="00565AE2"/>
    <w:rsid w:val="00565BAF"/>
    <w:rsid w:val="00565E0C"/>
    <w:rsid w:val="00565F85"/>
    <w:rsid w:val="00566178"/>
    <w:rsid w:val="005663AD"/>
    <w:rsid w:val="00566B45"/>
    <w:rsid w:val="00566DE8"/>
    <w:rsid w:val="00566F0C"/>
    <w:rsid w:val="0056703A"/>
    <w:rsid w:val="0056728B"/>
    <w:rsid w:val="0056732B"/>
    <w:rsid w:val="0056742A"/>
    <w:rsid w:val="005675C9"/>
    <w:rsid w:val="005679D2"/>
    <w:rsid w:val="00567C4A"/>
    <w:rsid w:val="00567FB2"/>
    <w:rsid w:val="00567FEC"/>
    <w:rsid w:val="0057012E"/>
    <w:rsid w:val="005702DF"/>
    <w:rsid w:val="00570522"/>
    <w:rsid w:val="005705D3"/>
    <w:rsid w:val="005706B5"/>
    <w:rsid w:val="005707A2"/>
    <w:rsid w:val="00570E8C"/>
    <w:rsid w:val="00570F31"/>
    <w:rsid w:val="0057132E"/>
    <w:rsid w:val="0057133E"/>
    <w:rsid w:val="005718BF"/>
    <w:rsid w:val="00571A30"/>
    <w:rsid w:val="00571B52"/>
    <w:rsid w:val="00571C2F"/>
    <w:rsid w:val="00571EEB"/>
    <w:rsid w:val="00571FBF"/>
    <w:rsid w:val="005720D5"/>
    <w:rsid w:val="0057240E"/>
    <w:rsid w:val="00572532"/>
    <w:rsid w:val="0057274B"/>
    <w:rsid w:val="00572839"/>
    <w:rsid w:val="005729B2"/>
    <w:rsid w:val="00572A90"/>
    <w:rsid w:val="00572A94"/>
    <w:rsid w:val="00572B09"/>
    <w:rsid w:val="00572B7E"/>
    <w:rsid w:val="00572BA2"/>
    <w:rsid w:val="00572F23"/>
    <w:rsid w:val="00572F51"/>
    <w:rsid w:val="005731FA"/>
    <w:rsid w:val="0057343D"/>
    <w:rsid w:val="00573767"/>
    <w:rsid w:val="0057377E"/>
    <w:rsid w:val="00573851"/>
    <w:rsid w:val="0057388B"/>
    <w:rsid w:val="00573AC6"/>
    <w:rsid w:val="00573B9C"/>
    <w:rsid w:val="00573E74"/>
    <w:rsid w:val="00573F0F"/>
    <w:rsid w:val="00574872"/>
    <w:rsid w:val="00574AC8"/>
    <w:rsid w:val="00574CDC"/>
    <w:rsid w:val="00574CF0"/>
    <w:rsid w:val="00574E06"/>
    <w:rsid w:val="005753A2"/>
    <w:rsid w:val="00575990"/>
    <w:rsid w:val="00575A58"/>
    <w:rsid w:val="00575CB3"/>
    <w:rsid w:val="00575DF0"/>
    <w:rsid w:val="00575F3E"/>
    <w:rsid w:val="0057611E"/>
    <w:rsid w:val="005761FE"/>
    <w:rsid w:val="0057671E"/>
    <w:rsid w:val="00576800"/>
    <w:rsid w:val="00576847"/>
    <w:rsid w:val="00576A8D"/>
    <w:rsid w:val="00576E16"/>
    <w:rsid w:val="00576E76"/>
    <w:rsid w:val="00576FFD"/>
    <w:rsid w:val="005774CE"/>
    <w:rsid w:val="0057757D"/>
    <w:rsid w:val="0057792B"/>
    <w:rsid w:val="00577C64"/>
    <w:rsid w:val="005801B8"/>
    <w:rsid w:val="0058029D"/>
    <w:rsid w:val="00580364"/>
    <w:rsid w:val="005804C0"/>
    <w:rsid w:val="0058066A"/>
    <w:rsid w:val="005806CC"/>
    <w:rsid w:val="00580843"/>
    <w:rsid w:val="00580BDE"/>
    <w:rsid w:val="00580CE7"/>
    <w:rsid w:val="00580D03"/>
    <w:rsid w:val="00581457"/>
    <w:rsid w:val="005821A1"/>
    <w:rsid w:val="0058248E"/>
    <w:rsid w:val="00582499"/>
    <w:rsid w:val="005824D7"/>
    <w:rsid w:val="00582ABA"/>
    <w:rsid w:val="00582DC4"/>
    <w:rsid w:val="00582E8B"/>
    <w:rsid w:val="00583491"/>
    <w:rsid w:val="00583509"/>
    <w:rsid w:val="0058350C"/>
    <w:rsid w:val="00583746"/>
    <w:rsid w:val="00583764"/>
    <w:rsid w:val="00583B5F"/>
    <w:rsid w:val="00583BD7"/>
    <w:rsid w:val="00583C0E"/>
    <w:rsid w:val="00583D08"/>
    <w:rsid w:val="00583D64"/>
    <w:rsid w:val="00583E64"/>
    <w:rsid w:val="00583EF0"/>
    <w:rsid w:val="0058402A"/>
    <w:rsid w:val="00584065"/>
    <w:rsid w:val="00584105"/>
    <w:rsid w:val="00584298"/>
    <w:rsid w:val="0058431E"/>
    <w:rsid w:val="005844B0"/>
    <w:rsid w:val="00584BD7"/>
    <w:rsid w:val="00584C0B"/>
    <w:rsid w:val="00584C2C"/>
    <w:rsid w:val="00584C6C"/>
    <w:rsid w:val="00584DBB"/>
    <w:rsid w:val="00584E17"/>
    <w:rsid w:val="00584FF1"/>
    <w:rsid w:val="0058503B"/>
    <w:rsid w:val="0058553F"/>
    <w:rsid w:val="0058556E"/>
    <w:rsid w:val="00585857"/>
    <w:rsid w:val="00585A36"/>
    <w:rsid w:val="00585BA6"/>
    <w:rsid w:val="00586037"/>
    <w:rsid w:val="00586357"/>
    <w:rsid w:val="00586706"/>
    <w:rsid w:val="00586765"/>
    <w:rsid w:val="005867EF"/>
    <w:rsid w:val="00586999"/>
    <w:rsid w:val="00586ABF"/>
    <w:rsid w:val="00586C74"/>
    <w:rsid w:val="00586CFC"/>
    <w:rsid w:val="00586D7E"/>
    <w:rsid w:val="00586FD4"/>
    <w:rsid w:val="00587339"/>
    <w:rsid w:val="005873AC"/>
    <w:rsid w:val="005879CD"/>
    <w:rsid w:val="00587D1B"/>
    <w:rsid w:val="00587DEC"/>
    <w:rsid w:val="00587FF1"/>
    <w:rsid w:val="005900AA"/>
    <w:rsid w:val="00590124"/>
    <w:rsid w:val="005901E6"/>
    <w:rsid w:val="00590309"/>
    <w:rsid w:val="00590356"/>
    <w:rsid w:val="0059042C"/>
    <w:rsid w:val="00590566"/>
    <w:rsid w:val="0059056C"/>
    <w:rsid w:val="00590583"/>
    <w:rsid w:val="00590931"/>
    <w:rsid w:val="005909B1"/>
    <w:rsid w:val="00590E63"/>
    <w:rsid w:val="00590F60"/>
    <w:rsid w:val="00591146"/>
    <w:rsid w:val="005913B7"/>
    <w:rsid w:val="005918EB"/>
    <w:rsid w:val="0059193D"/>
    <w:rsid w:val="00591A3A"/>
    <w:rsid w:val="00591D87"/>
    <w:rsid w:val="00592336"/>
    <w:rsid w:val="0059258E"/>
    <w:rsid w:val="00592605"/>
    <w:rsid w:val="005926D6"/>
    <w:rsid w:val="0059277E"/>
    <w:rsid w:val="0059299F"/>
    <w:rsid w:val="005929C8"/>
    <w:rsid w:val="00592A46"/>
    <w:rsid w:val="00592C55"/>
    <w:rsid w:val="00593177"/>
    <w:rsid w:val="0059356E"/>
    <w:rsid w:val="0059376C"/>
    <w:rsid w:val="00593A2D"/>
    <w:rsid w:val="00593A92"/>
    <w:rsid w:val="00593AFC"/>
    <w:rsid w:val="00593EE9"/>
    <w:rsid w:val="00593F1C"/>
    <w:rsid w:val="005942AF"/>
    <w:rsid w:val="005943D3"/>
    <w:rsid w:val="00594496"/>
    <w:rsid w:val="005947C1"/>
    <w:rsid w:val="00594CCD"/>
    <w:rsid w:val="00594E1A"/>
    <w:rsid w:val="00594F88"/>
    <w:rsid w:val="0059541F"/>
    <w:rsid w:val="0059548A"/>
    <w:rsid w:val="00595944"/>
    <w:rsid w:val="005959F7"/>
    <w:rsid w:val="00595D9E"/>
    <w:rsid w:val="00595FC2"/>
    <w:rsid w:val="0059609A"/>
    <w:rsid w:val="00596237"/>
    <w:rsid w:val="00596403"/>
    <w:rsid w:val="00596415"/>
    <w:rsid w:val="0059651B"/>
    <w:rsid w:val="0059652F"/>
    <w:rsid w:val="005965B6"/>
    <w:rsid w:val="00596E15"/>
    <w:rsid w:val="00597103"/>
    <w:rsid w:val="00597934"/>
    <w:rsid w:val="0059794C"/>
    <w:rsid w:val="00597B51"/>
    <w:rsid w:val="00597BD8"/>
    <w:rsid w:val="00597E6D"/>
    <w:rsid w:val="005A0157"/>
    <w:rsid w:val="005A02A4"/>
    <w:rsid w:val="005A0339"/>
    <w:rsid w:val="005A05F1"/>
    <w:rsid w:val="005A0C40"/>
    <w:rsid w:val="005A0E98"/>
    <w:rsid w:val="005A0ED3"/>
    <w:rsid w:val="005A1318"/>
    <w:rsid w:val="005A1467"/>
    <w:rsid w:val="005A14E7"/>
    <w:rsid w:val="005A15AF"/>
    <w:rsid w:val="005A1DB6"/>
    <w:rsid w:val="005A200C"/>
    <w:rsid w:val="005A227D"/>
    <w:rsid w:val="005A236F"/>
    <w:rsid w:val="005A28F2"/>
    <w:rsid w:val="005A2B02"/>
    <w:rsid w:val="005A2EEA"/>
    <w:rsid w:val="005A2F29"/>
    <w:rsid w:val="005A31A8"/>
    <w:rsid w:val="005A31C5"/>
    <w:rsid w:val="005A32D8"/>
    <w:rsid w:val="005A33C2"/>
    <w:rsid w:val="005A34E6"/>
    <w:rsid w:val="005A3732"/>
    <w:rsid w:val="005A3A06"/>
    <w:rsid w:val="005A3B61"/>
    <w:rsid w:val="005A3E9F"/>
    <w:rsid w:val="005A3EC1"/>
    <w:rsid w:val="005A4285"/>
    <w:rsid w:val="005A432D"/>
    <w:rsid w:val="005A4430"/>
    <w:rsid w:val="005A49CC"/>
    <w:rsid w:val="005A4C12"/>
    <w:rsid w:val="005A4EE9"/>
    <w:rsid w:val="005A51F3"/>
    <w:rsid w:val="005A5671"/>
    <w:rsid w:val="005A5800"/>
    <w:rsid w:val="005A5FEC"/>
    <w:rsid w:val="005A5FFF"/>
    <w:rsid w:val="005A614B"/>
    <w:rsid w:val="005A6403"/>
    <w:rsid w:val="005A656A"/>
    <w:rsid w:val="005A65F9"/>
    <w:rsid w:val="005A6DC2"/>
    <w:rsid w:val="005A6F5F"/>
    <w:rsid w:val="005A7056"/>
    <w:rsid w:val="005A70B3"/>
    <w:rsid w:val="005A73BB"/>
    <w:rsid w:val="005A7947"/>
    <w:rsid w:val="005A7A99"/>
    <w:rsid w:val="005A7BBC"/>
    <w:rsid w:val="005A7C03"/>
    <w:rsid w:val="005B0336"/>
    <w:rsid w:val="005B0691"/>
    <w:rsid w:val="005B0821"/>
    <w:rsid w:val="005B0865"/>
    <w:rsid w:val="005B09A2"/>
    <w:rsid w:val="005B0B91"/>
    <w:rsid w:val="005B10E6"/>
    <w:rsid w:val="005B12AB"/>
    <w:rsid w:val="005B136B"/>
    <w:rsid w:val="005B151A"/>
    <w:rsid w:val="005B1646"/>
    <w:rsid w:val="005B1661"/>
    <w:rsid w:val="005B16CD"/>
    <w:rsid w:val="005B1D22"/>
    <w:rsid w:val="005B1D9C"/>
    <w:rsid w:val="005B1FAF"/>
    <w:rsid w:val="005B1FE6"/>
    <w:rsid w:val="005B205D"/>
    <w:rsid w:val="005B217E"/>
    <w:rsid w:val="005B2627"/>
    <w:rsid w:val="005B2D75"/>
    <w:rsid w:val="005B2E65"/>
    <w:rsid w:val="005B2F76"/>
    <w:rsid w:val="005B2FA4"/>
    <w:rsid w:val="005B3008"/>
    <w:rsid w:val="005B3131"/>
    <w:rsid w:val="005B31FD"/>
    <w:rsid w:val="005B346D"/>
    <w:rsid w:val="005B3915"/>
    <w:rsid w:val="005B3A96"/>
    <w:rsid w:val="005B3D95"/>
    <w:rsid w:val="005B4067"/>
    <w:rsid w:val="005B439B"/>
    <w:rsid w:val="005B460A"/>
    <w:rsid w:val="005B4828"/>
    <w:rsid w:val="005B49B8"/>
    <w:rsid w:val="005B4A65"/>
    <w:rsid w:val="005B5051"/>
    <w:rsid w:val="005B51D6"/>
    <w:rsid w:val="005B51E3"/>
    <w:rsid w:val="005B54C4"/>
    <w:rsid w:val="005B5739"/>
    <w:rsid w:val="005B5932"/>
    <w:rsid w:val="005B5982"/>
    <w:rsid w:val="005B59E9"/>
    <w:rsid w:val="005B5B3A"/>
    <w:rsid w:val="005B5BA4"/>
    <w:rsid w:val="005B6041"/>
    <w:rsid w:val="005B60D0"/>
    <w:rsid w:val="005B6254"/>
    <w:rsid w:val="005B6688"/>
    <w:rsid w:val="005B6962"/>
    <w:rsid w:val="005B69C1"/>
    <w:rsid w:val="005B6EB4"/>
    <w:rsid w:val="005B6F12"/>
    <w:rsid w:val="005B7422"/>
    <w:rsid w:val="005B7535"/>
    <w:rsid w:val="005B7B8C"/>
    <w:rsid w:val="005C0044"/>
    <w:rsid w:val="005C008E"/>
    <w:rsid w:val="005C01CC"/>
    <w:rsid w:val="005C020A"/>
    <w:rsid w:val="005C0277"/>
    <w:rsid w:val="005C0588"/>
    <w:rsid w:val="005C0871"/>
    <w:rsid w:val="005C0B66"/>
    <w:rsid w:val="005C0B69"/>
    <w:rsid w:val="005C0FD6"/>
    <w:rsid w:val="005C1568"/>
    <w:rsid w:val="005C186C"/>
    <w:rsid w:val="005C188D"/>
    <w:rsid w:val="005C2047"/>
    <w:rsid w:val="005C2110"/>
    <w:rsid w:val="005C24C8"/>
    <w:rsid w:val="005C260C"/>
    <w:rsid w:val="005C2688"/>
    <w:rsid w:val="005C269E"/>
    <w:rsid w:val="005C2CB1"/>
    <w:rsid w:val="005C2EC9"/>
    <w:rsid w:val="005C2FD1"/>
    <w:rsid w:val="005C2FF5"/>
    <w:rsid w:val="005C3475"/>
    <w:rsid w:val="005C3651"/>
    <w:rsid w:val="005C36DA"/>
    <w:rsid w:val="005C3718"/>
    <w:rsid w:val="005C38DD"/>
    <w:rsid w:val="005C3999"/>
    <w:rsid w:val="005C39C6"/>
    <w:rsid w:val="005C3B35"/>
    <w:rsid w:val="005C4110"/>
    <w:rsid w:val="005C4149"/>
    <w:rsid w:val="005C446F"/>
    <w:rsid w:val="005C483E"/>
    <w:rsid w:val="005C49B0"/>
    <w:rsid w:val="005C4A36"/>
    <w:rsid w:val="005C4A76"/>
    <w:rsid w:val="005C552C"/>
    <w:rsid w:val="005C58FA"/>
    <w:rsid w:val="005C5A43"/>
    <w:rsid w:val="005C5D35"/>
    <w:rsid w:val="005C5D78"/>
    <w:rsid w:val="005C5E2E"/>
    <w:rsid w:val="005C60E3"/>
    <w:rsid w:val="005C60E9"/>
    <w:rsid w:val="005C68B8"/>
    <w:rsid w:val="005C68D8"/>
    <w:rsid w:val="005C6A96"/>
    <w:rsid w:val="005C6CD1"/>
    <w:rsid w:val="005C6E43"/>
    <w:rsid w:val="005C70D5"/>
    <w:rsid w:val="005C72E6"/>
    <w:rsid w:val="005C775F"/>
    <w:rsid w:val="005C7F5B"/>
    <w:rsid w:val="005D00F5"/>
    <w:rsid w:val="005D0401"/>
    <w:rsid w:val="005D0525"/>
    <w:rsid w:val="005D0980"/>
    <w:rsid w:val="005D0B95"/>
    <w:rsid w:val="005D0C07"/>
    <w:rsid w:val="005D0C2E"/>
    <w:rsid w:val="005D0CC1"/>
    <w:rsid w:val="005D0DF0"/>
    <w:rsid w:val="005D0DFC"/>
    <w:rsid w:val="005D0E03"/>
    <w:rsid w:val="005D0F2A"/>
    <w:rsid w:val="005D121D"/>
    <w:rsid w:val="005D12C5"/>
    <w:rsid w:val="005D1523"/>
    <w:rsid w:val="005D1748"/>
    <w:rsid w:val="005D17AC"/>
    <w:rsid w:val="005D1BD1"/>
    <w:rsid w:val="005D1E15"/>
    <w:rsid w:val="005D2276"/>
    <w:rsid w:val="005D2446"/>
    <w:rsid w:val="005D26F5"/>
    <w:rsid w:val="005D2872"/>
    <w:rsid w:val="005D296C"/>
    <w:rsid w:val="005D2981"/>
    <w:rsid w:val="005D2C2E"/>
    <w:rsid w:val="005D3181"/>
    <w:rsid w:val="005D32E2"/>
    <w:rsid w:val="005D3780"/>
    <w:rsid w:val="005D3B56"/>
    <w:rsid w:val="005D3F35"/>
    <w:rsid w:val="005D47F8"/>
    <w:rsid w:val="005D4E69"/>
    <w:rsid w:val="005D4E7A"/>
    <w:rsid w:val="005D4FC3"/>
    <w:rsid w:val="005D51C6"/>
    <w:rsid w:val="005D532F"/>
    <w:rsid w:val="005D54FE"/>
    <w:rsid w:val="005D58E4"/>
    <w:rsid w:val="005D5DBB"/>
    <w:rsid w:val="005D5DCA"/>
    <w:rsid w:val="005D6056"/>
    <w:rsid w:val="005D6190"/>
    <w:rsid w:val="005D62DC"/>
    <w:rsid w:val="005D636F"/>
    <w:rsid w:val="005D6718"/>
    <w:rsid w:val="005D6B36"/>
    <w:rsid w:val="005D6CA8"/>
    <w:rsid w:val="005D6F00"/>
    <w:rsid w:val="005D6FE0"/>
    <w:rsid w:val="005D722D"/>
    <w:rsid w:val="005D7389"/>
    <w:rsid w:val="005D7390"/>
    <w:rsid w:val="005D75DB"/>
    <w:rsid w:val="005D7769"/>
    <w:rsid w:val="005D7BEA"/>
    <w:rsid w:val="005D7C9F"/>
    <w:rsid w:val="005D7DE8"/>
    <w:rsid w:val="005D7F75"/>
    <w:rsid w:val="005E01B3"/>
    <w:rsid w:val="005E042F"/>
    <w:rsid w:val="005E0555"/>
    <w:rsid w:val="005E05A3"/>
    <w:rsid w:val="005E0665"/>
    <w:rsid w:val="005E0975"/>
    <w:rsid w:val="005E0C33"/>
    <w:rsid w:val="005E1105"/>
    <w:rsid w:val="005E11EA"/>
    <w:rsid w:val="005E1350"/>
    <w:rsid w:val="005E13A6"/>
    <w:rsid w:val="005E166B"/>
    <w:rsid w:val="005E16FC"/>
    <w:rsid w:val="005E1BF2"/>
    <w:rsid w:val="005E1C1D"/>
    <w:rsid w:val="005E1CE9"/>
    <w:rsid w:val="005E1F93"/>
    <w:rsid w:val="005E1FBC"/>
    <w:rsid w:val="005E22A5"/>
    <w:rsid w:val="005E24A4"/>
    <w:rsid w:val="005E2697"/>
    <w:rsid w:val="005E26D0"/>
    <w:rsid w:val="005E28E5"/>
    <w:rsid w:val="005E2981"/>
    <w:rsid w:val="005E31C6"/>
    <w:rsid w:val="005E32B3"/>
    <w:rsid w:val="005E331A"/>
    <w:rsid w:val="005E352B"/>
    <w:rsid w:val="005E38BE"/>
    <w:rsid w:val="005E3C06"/>
    <w:rsid w:val="005E3C33"/>
    <w:rsid w:val="005E3CD3"/>
    <w:rsid w:val="005E4356"/>
    <w:rsid w:val="005E4646"/>
    <w:rsid w:val="005E4A80"/>
    <w:rsid w:val="005E4E85"/>
    <w:rsid w:val="005E5060"/>
    <w:rsid w:val="005E5409"/>
    <w:rsid w:val="005E54DF"/>
    <w:rsid w:val="005E57FC"/>
    <w:rsid w:val="005E5834"/>
    <w:rsid w:val="005E598E"/>
    <w:rsid w:val="005E59F2"/>
    <w:rsid w:val="005E5A21"/>
    <w:rsid w:val="005E5C56"/>
    <w:rsid w:val="005E5EF5"/>
    <w:rsid w:val="005E6298"/>
    <w:rsid w:val="005E66E4"/>
    <w:rsid w:val="005E6A29"/>
    <w:rsid w:val="005E6A5F"/>
    <w:rsid w:val="005E6C09"/>
    <w:rsid w:val="005E6F8B"/>
    <w:rsid w:val="005E6F9A"/>
    <w:rsid w:val="005E7033"/>
    <w:rsid w:val="005E72A9"/>
    <w:rsid w:val="005E72E4"/>
    <w:rsid w:val="005E7846"/>
    <w:rsid w:val="005E79DA"/>
    <w:rsid w:val="005E7A77"/>
    <w:rsid w:val="005E7C2D"/>
    <w:rsid w:val="005E7D6A"/>
    <w:rsid w:val="005F06ED"/>
    <w:rsid w:val="005F0852"/>
    <w:rsid w:val="005F08A2"/>
    <w:rsid w:val="005F0A2D"/>
    <w:rsid w:val="005F0E14"/>
    <w:rsid w:val="005F115B"/>
    <w:rsid w:val="005F1171"/>
    <w:rsid w:val="005F11EC"/>
    <w:rsid w:val="005F13BC"/>
    <w:rsid w:val="005F13C6"/>
    <w:rsid w:val="005F1418"/>
    <w:rsid w:val="005F1523"/>
    <w:rsid w:val="005F1575"/>
    <w:rsid w:val="005F1721"/>
    <w:rsid w:val="005F1B0D"/>
    <w:rsid w:val="005F1B29"/>
    <w:rsid w:val="005F1B83"/>
    <w:rsid w:val="005F1E07"/>
    <w:rsid w:val="005F1EAD"/>
    <w:rsid w:val="005F1F76"/>
    <w:rsid w:val="005F2012"/>
    <w:rsid w:val="005F2086"/>
    <w:rsid w:val="005F21EC"/>
    <w:rsid w:val="005F2484"/>
    <w:rsid w:val="005F249B"/>
    <w:rsid w:val="005F26EA"/>
    <w:rsid w:val="005F27B2"/>
    <w:rsid w:val="005F2AAD"/>
    <w:rsid w:val="005F2DF5"/>
    <w:rsid w:val="005F2E6D"/>
    <w:rsid w:val="005F2EDC"/>
    <w:rsid w:val="005F2F43"/>
    <w:rsid w:val="005F3046"/>
    <w:rsid w:val="005F3198"/>
    <w:rsid w:val="005F31DA"/>
    <w:rsid w:val="005F3201"/>
    <w:rsid w:val="005F3465"/>
    <w:rsid w:val="005F3ABA"/>
    <w:rsid w:val="005F3C9F"/>
    <w:rsid w:val="005F3E41"/>
    <w:rsid w:val="005F3EA0"/>
    <w:rsid w:val="005F40F4"/>
    <w:rsid w:val="005F4105"/>
    <w:rsid w:val="005F48BE"/>
    <w:rsid w:val="005F4B56"/>
    <w:rsid w:val="005F4DA8"/>
    <w:rsid w:val="005F4DB3"/>
    <w:rsid w:val="005F4E4E"/>
    <w:rsid w:val="005F51E2"/>
    <w:rsid w:val="005F521A"/>
    <w:rsid w:val="005F5456"/>
    <w:rsid w:val="005F55B5"/>
    <w:rsid w:val="005F56BB"/>
    <w:rsid w:val="005F59FF"/>
    <w:rsid w:val="005F5A7B"/>
    <w:rsid w:val="005F5DF0"/>
    <w:rsid w:val="005F5F07"/>
    <w:rsid w:val="005F5FE0"/>
    <w:rsid w:val="005F62D6"/>
    <w:rsid w:val="005F6518"/>
    <w:rsid w:val="005F6554"/>
    <w:rsid w:val="005F6C17"/>
    <w:rsid w:val="005F6CC7"/>
    <w:rsid w:val="005F6D73"/>
    <w:rsid w:val="005F6EB4"/>
    <w:rsid w:val="005F7083"/>
    <w:rsid w:val="005F7114"/>
    <w:rsid w:val="005F73A7"/>
    <w:rsid w:val="005F754B"/>
    <w:rsid w:val="005F763A"/>
    <w:rsid w:val="005F79B2"/>
    <w:rsid w:val="005F7A64"/>
    <w:rsid w:val="005F7C8A"/>
    <w:rsid w:val="005F7E43"/>
    <w:rsid w:val="0060037E"/>
    <w:rsid w:val="006005FA"/>
    <w:rsid w:val="0060076D"/>
    <w:rsid w:val="006007E5"/>
    <w:rsid w:val="006007FD"/>
    <w:rsid w:val="00600A68"/>
    <w:rsid w:val="00600CA3"/>
    <w:rsid w:val="00600E18"/>
    <w:rsid w:val="006010EE"/>
    <w:rsid w:val="006011A3"/>
    <w:rsid w:val="0060147F"/>
    <w:rsid w:val="00601612"/>
    <w:rsid w:val="00601AA6"/>
    <w:rsid w:val="00601BCC"/>
    <w:rsid w:val="00601C20"/>
    <w:rsid w:val="00601D1B"/>
    <w:rsid w:val="00601D8D"/>
    <w:rsid w:val="00601EDF"/>
    <w:rsid w:val="00601EFE"/>
    <w:rsid w:val="00602062"/>
    <w:rsid w:val="006020A6"/>
    <w:rsid w:val="006020EC"/>
    <w:rsid w:val="00602396"/>
    <w:rsid w:val="00602577"/>
    <w:rsid w:val="006025F8"/>
    <w:rsid w:val="00602613"/>
    <w:rsid w:val="006027B2"/>
    <w:rsid w:val="006029F9"/>
    <w:rsid w:val="00602E67"/>
    <w:rsid w:val="00603154"/>
    <w:rsid w:val="006037EA"/>
    <w:rsid w:val="0060380F"/>
    <w:rsid w:val="00603991"/>
    <w:rsid w:val="006039EB"/>
    <w:rsid w:val="00603A71"/>
    <w:rsid w:val="0060407F"/>
    <w:rsid w:val="0060427B"/>
    <w:rsid w:val="00604297"/>
    <w:rsid w:val="00604A12"/>
    <w:rsid w:val="00604A87"/>
    <w:rsid w:val="00604B5C"/>
    <w:rsid w:val="00604C61"/>
    <w:rsid w:val="00604C69"/>
    <w:rsid w:val="00604FBE"/>
    <w:rsid w:val="006050FE"/>
    <w:rsid w:val="006051AE"/>
    <w:rsid w:val="00605298"/>
    <w:rsid w:val="006055F2"/>
    <w:rsid w:val="006056F3"/>
    <w:rsid w:val="00605A35"/>
    <w:rsid w:val="00606196"/>
    <w:rsid w:val="006062CB"/>
    <w:rsid w:val="00606610"/>
    <w:rsid w:val="00606795"/>
    <w:rsid w:val="006068BE"/>
    <w:rsid w:val="00606961"/>
    <w:rsid w:val="0060708C"/>
    <w:rsid w:val="00607259"/>
    <w:rsid w:val="00607500"/>
    <w:rsid w:val="00607632"/>
    <w:rsid w:val="00607727"/>
    <w:rsid w:val="0060777C"/>
    <w:rsid w:val="0060790B"/>
    <w:rsid w:val="0060798D"/>
    <w:rsid w:val="00607CEA"/>
    <w:rsid w:val="00607CEF"/>
    <w:rsid w:val="00607CF5"/>
    <w:rsid w:val="00607E02"/>
    <w:rsid w:val="00607F91"/>
    <w:rsid w:val="006100D8"/>
    <w:rsid w:val="006101DD"/>
    <w:rsid w:val="006102AA"/>
    <w:rsid w:val="006104AE"/>
    <w:rsid w:val="00610522"/>
    <w:rsid w:val="0061066D"/>
    <w:rsid w:val="00610724"/>
    <w:rsid w:val="0061075E"/>
    <w:rsid w:val="00610C24"/>
    <w:rsid w:val="00610FB5"/>
    <w:rsid w:val="006112B4"/>
    <w:rsid w:val="0061140D"/>
    <w:rsid w:val="006115FF"/>
    <w:rsid w:val="00611852"/>
    <w:rsid w:val="00611ABE"/>
    <w:rsid w:val="006121F2"/>
    <w:rsid w:val="00612306"/>
    <w:rsid w:val="0061250E"/>
    <w:rsid w:val="006126B2"/>
    <w:rsid w:val="00612BFC"/>
    <w:rsid w:val="00612DCD"/>
    <w:rsid w:val="00612DD7"/>
    <w:rsid w:val="00612E0D"/>
    <w:rsid w:val="0061336F"/>
    <w:rsid w:val="0061364F"/>
    <w:rsid w:val="00613705"/>
    <w:rsid w:val="0061379A"/>
    <w:rsid w:val="0061393F"/>
    <w:rsid w:val="00613A89"/>
    <w:rsid w:val="00613BB5"/>
    <w:rsid w:val="00613D01"/>
    <w:rsid w:val="00613D44"/>
    <w:rsid w:val="00613DE6"/>
    <w:rsid w:val="00613FB3"/>
    <w:rsid w:val="006141C1"/>
    <w:rsid w:val="00614653"/>
    <w:rsid w:val="0061474B"/>
    <w:rsid w:val="0061478F"/>
    <w:rsid w:val="0061480E"/>
    <w:rsid w:val="006150B3"/>
    <w:rsid w:val="006151AF"/>
    <w:rsid w:val="006151FB"/>
    <w:rsid w:val="00615704"/>
    <w:rsid w:val="00615B5F"/>
    <w:rsid w:val="00615C17"/>
    <w:rsid w:val="00615CC0"/>
    <w:rsid w:val="00615F1E"/>
    <w:rsid w:val="00615FC2"/>
    <w:rsid w:val="00616462"/>
    <w:rsid w:val="006164CA"/>
    <w:rsid w:val="0061677A"/>
    <w:rsid w:val="00616B8F"/>
    <w:rsid w:val="00616DF5"/>
    <w:rsid w:val="00616E74"/>
    <w:rsid w:val="00616E75"/>
    <w:rsid w:val="00616EA5"/>
    <w:rsid w:val="006171CE"/>
    <w:rsid w:val="00617820"/>
    <w:rsid w:val="00617871"/>
    <w:rsid w:val="00617F5B"/>
    <w:rsid w:val="0062020B"/>
    <w:rsid w:val="00620326"/>
    <w:rsid w:val="00620BAD"/>
    <w:rsid w:val="00621053"/>
    <w:rsid w:val="006210AE"/>
    <w:rsid w:val="006210CF"/>
    <w:rsid w:val="00621230"/>
    <w:rsid w:val="0062133B"/>
    <w:rsid w:val="006213D1"/>
    <w:rsid w:val="0062144A"/>
    <w:rsid w:val="00621485"/>
    <w:rsid w:val="006214C7"/>
    <w:rsid w:val="00621A3E"/>
    <w:rsid w:val="00621BE0"/>
    <w:rsid w:val="00621C4F"/>
    <w:rsid w:val="00621D06"/>
    <w:rsid w:val="00621D92"/>
    <w:rsid w:val="00621DB0"/>
    <w:rsid w:val="006220B7"/>
    <w:rsid w:val="0062212C"/>
    <w:rsid w:val="0062217C"/>
    <w:rsid w:val="006225B4"/>
    <w:rsid w:val="006225B6"/>
    <w:rsid w:val="00622790"/>
    <w:rsid w:val="006227C1"/>
    <w:rsid w:val="00622835"/>
    <w:rsid w:val="00622BCE"/>
    <w:rsid w:val="00623485"/>
    <w:rsid w:val="00623521"/>
    <w:rsid w:val="006236C0"/>
    <w:rsid w:val="00623711"/>
    <w:rsid w:val="00623B91"/>
    <w:rsid w:val="00623C18"/>
    <w:rsid w:val="00623C97"/>
    <w:rsid w:val="00623FEB"/>
    <w:rsid w:val="0062413D"/>
    <w:rsid w:val="006243E7"/>
    <w:rsid w:val="00624503"/>
    <w:rsid w:val="0062450E"/>
    <w:rsid w:val="0062487F"/>
    <w:rsid w:val="00624907"/>
    <w:rsid w:val="00624AE7"/>
    <w:rsid w:val="00624CEC"/>
    <w:rsid w:val="00624CF0"/>
    <w:rsid w:val="00624D45"/>
    <w:rsid w:val="00624E46"/>
    <w:rsid w:val="00625040"/>
    <w:rsid w:val="006253E4"/>
    <w:rsid w:val="006255F6"/>
    <w:rsid w:val="0062578F"/>
    <w:rsid w:val="0062591E"/>
    <w:rsid w:val="00625962"/>
    <w:rsid w:val="006259C3"/>
    <w:rsid w:val="00625BF7"/>
    <w:rsid w:val="00625C98"/>
    <w:rsid w:val="00625D62"/>
    <w:rsid w:val="0062653E"/>
    <w:rsid w:val="00626849"/>
    <w:rsid w:val="0062690C"/>
    <w:rsid w:val="00626A95"/>
    <w:rsid w:val="006272A3"/>
    <w:rsid w:val="006275DC"/>
    <w:rsid w:val="00627657"/>
    <w:rsid w:val="00627A4E"/>
    <w:rsid w:val="00627D60"/>
    <w:rsid w:val="0063009B"/>
    <w:rsid w:val="00630161"/>
    <w:rsid w:val="00630983"/>
    <w:rsid w:val="00630BE4"/>
    <w:rsid w:val="00630DED"/>
    <w:rsid w:val="0063120E"/>
    <w:rsid w:val="006313F6"/>
    <w:rsid w:val="00631604"/>
    <w:rsid w:val="00631783"/>
    <w:rsid w:val="006318A8"/>
    <w:rsid w:val="0063192F"/>
    <w:rsid w:val="00632029"/>
    <w:rsid w:val="00632165"/>
    <w:rsid w:val="00632274"/>
    <w:rsid w:val="006323C5"/>
    <w:rsid w:val="006323C7"/>
    <w:rsid w:val="0063240F"/>
    <w:rsid w:val="0063289E"/>
    <w:rsid w:val="006329D7"/>
    <w:rsid w:val="006329FC"/>
    <w:rsid w:val="00632A86"/>
    <w:rsid w:val="006331A6"/>
    <w:rsid w:val="006334FF"/>
    <w:rsid w:val="006336C7"/>
    <w:rsid w:val="006337D4"/>
    <w:rsid w:val="00633810"/>
    <w:rsid w:val="00633CD2"/>
    <w:rsid w:val="00633D1C"/>
    <w:rsid w:val="00633D8C"/>
    <w:rsid w:val="00633E4F"/>
    <w:rsid w:val="00633E5C"/>
    <w:rsid w:val="00633F49"/>
    <w:rsid w:val="0063401E"/>
    <w:rsid w:val="006341B7"/>
    <w:rsid w:val="006341E7"/>
    <w:rsid w:val="006342F4"/>
    <w:rsid w:val="0063464A"/>
    <w:rsid w:val="00634B57"/>
    <w:rsid w:val="006350D5"/>
    <w:rsid w:val="00635254"/>
    <w:rsid w:val="00635331"/>
    <w:rsid w:val="0063541B"/>
    <w:rsid w:val="00635921"/>
    <w:rsid w:val="006359DD"/>
    <w:rsid w:val="00635CFA"/>
    <w:rsid w:val="00635D21"/>
    <w:rsid w:val="00635F7E"/>
    <w:rsid w:val="00636394"/>
    <w:rsid w:val="006365D6"/>
    <w:rsid w:val="0063682F"/>
    <w:rsid w:val="00636ADF"/>
    <w:rsid w:val="00636B81"/>
    <w:rsid w:val="00636BA5"/>
    <w:rsid w:val="00637069"/>
    <w:rsid w:val="006372E8"/>
    <w:rsid w:val="006374A9"/>
    <w:rsid w:val="006374D7"/>
    <w:rsid w:val="006376B3"/>
    <w:rsid w:val="006376D4"/>
    <w:rsid w:val="0063776F"/>
    <w:rsid w:val="006377DD"/>
    <w:rsid w:val="00640312"/>
    <w:rsid w:val="00640372"/>
    <w:rsid w:val="0064053C"/>
    <w:rsid w:val="006411E9"/>
    <w:rsid w:val="00641455"/>
    <w:rsid w:val="006414AC"/>
    <w:rsid w:val="00641736"/>
    <w:rsid w:val="0064174A"/>
    <w:rsid w:val="00641785"/>
    <w:rsid w:val="006418A0"/>
    <w:rsid w:val="006419A4"/>
    <w:rsid w:val="00641ABD"/>
    <w:rsid w:val="00641B0A"/>
    <w:rsid w:val="00641CED"/>
    <w:rsid w:val="006420BC"/>
    <w:rsid w:val="006422C8"/>
    <w:rsid w:val="00642376"/>
    <w:rsid w:val="00642AAA"/>
    <w:rsid w:val="00642BE9"/>
    <w:rsid w:val="00642D2C"/>
    <w:rsid w:val="00642FF7"/>
    <w:rsid w:val="00643089"/>
    <w:rsid w:val="00643477"/>
    <w:rsid w:val="0064373A"/>
    <w:rsid w:val="00643956"/>
    <w:rsid w:val="00643B5F"/>
    <w:rsid w:val="00643BCF"/>
    <w:rsid w:val="00643C24"/>
    <w:rsid w:val="00643CBF"/>
    <w:rsid w:val="0064483A"/>
    <w:rsid w:val="00644B0D"/>
    <w:rsid w:val="00644BAB"/>
    <w:rsid w:val="00644C60"/>
    <w:rsid w:val="00644E10"/>
    <w:rsid w:val="00645089"/>
    <w:rsid w:val="00645228"/>
    <w:rsid w:val="006453FF"/>
    <w:rsid w:val="00645623"/>
    <w:rsid w:val="006457DC"/>
    <w:rsid w:val="00645E57"/>
    <w:rsid w:val="00645E58"/>
    <w:rsid w:val="00646338"/>
    <w:rsid w:val="00646C23"/>
    <w:rsid w:val="00646D00"/>
    <w:rsid w:val="00646D06"/>
    <w:rsid w:val="00646DB1"/>
    <w:rsid w:val="00647296"/>
    <w:rsid w:val="006472C7"/>
    <w:rsid w:val="00647836"/>
    <w:rsid w:val="00647BB3"/>
    <w:rsid w:val="00647C01"/>
    <w:rsid w:val="00647F4B"/>
    <w:rsid w:val="00650187"/>
    <w:rsid w:val="006501EA"/>
    <w:rsid w:val="006507E5"/>
    <w:rsid w:val="00650937"/>
    <w:rsid w:val="00650992"/>
    <w:rsid w:val="00651315"/>
    <w:rsid w:val="006513E1"/>
    <w:rsid w:val="006514E2"/>
    <w:rsid w:val="006515EF"/>
    <w:rsid w:val="00651828"/>
    <w:rsid w:val="00651872"/>
    <w:rsid w:val="00651BAC"/>
    <w:rsid w:val="00651BDA"/>
    <w:rsid w:val="00651C4B"/>
    <w:rsid w:val="00651CC8"/>
    <w:rsid w:val="00652535"/>
    <w:rsid w:val="0065253F"/>
    <w:rsid w:val="00652A98"/>
    <w:rsid w:val="00652AC0"/>
    <w:rsid w:val="00652B7D"/>
    <w:rsid w:val="0065369F"/>
    <w:rsid w:val="00653B29"/>
    <w:rsid w:val="00653B4C"/>
    <w:rsid w:val="00653EC5"/>
    <w:rsid w:val="00653F9F"/>
    <w:rsid w:val="006543B5"/>
    <w:rsid w:val="006546D7"/>
    <w:rsid w:val="00654886"/>
    <w:rsid w:val="00654F17"/>
    <w:rsid w:val="00654F24"/>
    <w:rsid w:val="0065516D"/>
    <w:rsid w:val="0065553B"/>
    <w:rsid w:val="00655DC6"/>
    <w:rsid w:val="00655EB6"/>
    <w:rsid w:val="00656326"/>
    <w:rsid w:val="0065649B"/>
    <w:rsid w:val="0065655C"/>
    <w:rsid w:val="00656C37"/>
    <w:rsid w:val="006571CA"/>
    <w:rsid w:val="006573D2"/>
    <w:rsid w:val="006578E0"/>
    <w:rsid w:val="006579B0"/>
    <w:rsid w:val="00657A18"/>
    <w:rsid w:val="00657EF9"/>
    <w:rsid w:val="00660061"/>
    <w:rsid w:val="00660628"/>
    <w:rsid w:val="00660D6C"/>
    <w:rsid w:val="006611AE"/>
    <w:rsid w:val="006612B7"/>
    <w:rsid w:val="0066141C"/>
    <w:rsid w:val="00661632"/>
    <w:rsid w:val="00661998"/>
    <w:rsid w:val="00661BD4"/>
    <w:rsid w:val="00661BD7"/>
    <w:rsid w:val="00661C66"/>
    <w:rsid w:val="00661CDC"/>
    <w:rsid w:val="00661D68"/>
    <w:rsid w:val="00662078"/>
    <w:rsid w:val="0066213F"/>
    <w:rsid w:val="006624AF"/>
    <w:rsid w:val="0066252E"/>
    <w:rsid w:val="00662853"/>
    <w:rsid w:val="00662988"/>
    <w:rsid w:val="00662C48"/>
    <w:rsid w:val="00662F7F"/>
    <w:rsid w:val="00663261"/>
    <w:rsid w:val="0066336D"/>
    <w:rsid w:val="00663810"/>
    <w:rsid w:val="0066389B"/>
    <w:rsid w:val="006638E5"/>
    <w:rsid w:val="00663A29"/>
    <w:rsid w:val="00663CB8"/>
    <w:rsid w:val="00663E44"/>
    <w:rsid w:val="006642F1"/>
    <w:rsid w:val="006644A3"/>
    <w:rsid w:val="00664531"/>
    <w:rsid w:val="006646C7"/>
    <w:rsid w:val="0066487B"/>
    <w:rsid w:val="00664946"/>
    <w:rsid w:val="00664BD0"/>
    <w:rsid w:val="00664BE1"/>
    <w:rsid w:val="00664D7B"/>
    <w:rsid w:val="00664E6E"/>
    <w:rsid w:val="0066554E"/>
    <w:rsid w:val="00665569"/>
    <w:rsid w:val="00665C2B"/>
    <w:rsid w:val="00665D8F"/>
    <w:rsid w:val="0066603C"/>
    <w:rsid w:val="00666432"/>
    <w:rsid w:val="00666512"/>
    <w:rsid w:val="00666537"/>
    <w:rsid w:val="00666958"/>
    <w:rsid w:val="00666D63"/>
    <w:rsid w:val="00666DA8"/>
    <w:rsid w:val="00667071"/>
    <w:rsid w:val="00667097"/>
    <w:rsid w:val="006670EA"/>
    <w:rsid w:val="00667258"/>
    <w:rsid w:val="00667416"/>
    <w:rsid w:val="00667545"/>
    <w:rsid w:val="00667620"/>
    <w:rsid w:val="006677EE"/>
    <w:rsid w:val="00667AAB"/>
    <w:rsid w:val="00667AFE"/>
    <w:rsid w:val="00667CDE"/>
    <w:rsid w:val="00667DC2"/>
    <w:rsid w:val="00667DCB"/>
    <w:rsid w:val="00670033"/>
    <w:rsid w:val="00670155"/>
    <w:rsid w:val="00670416"/>
    <w:rsid w:val="00670851"/>
    <w:rsid w:val="00670916"/>
    <w:rsid w:val="006709EC"/>
    <w:rsid w:val="00671040"/>
    <w:rsid w:val="00671187"/>
    <w:rsid w:val="00671305"/>
    <w:rsid w:val="00671346"/>
    <w:rsid w:val="00671474"/>
    <w:rsid w:val="006714CB"/>
    <w:rsid w:val="0067189C"/>
    <w:rsid w:val="00671BED"/>
    <w:rsid w:val="00671C31"/>
    <w:rsid w:val="00671EFE"/>
    <w:rsid w:val="0067211B"/>
    <w:rsid w:val="0067231E"/>
    <w:rsid w:val="00672842"/>
    <w:rsid w:val="006729E1"/>
    <w:rsid w:val="00672C9F"/>
    <w:rsid w:val="00672E76"/>
    <w:rsid w:val="00672E88"/>
    <w:rsid w:val="00673430"/>
    <w:rsid w:val="00673552"/>
    <w:rsid w:val="006739E3"/>
    <w:rsid w:val="00673CDE"/>
    <w:rsid w:val="00673D20"/>
    <w:rsid w:val="0067424F"/>
    <w:rsid w:val="006742AE"/>
    <w:rsid w:val="00674696"/>
    <w:rsid w:val="00674B4D"/>
    <w:rsid w:val="00674D37"/>
    <w:rsid w:val="00674F59"/>
    <w:rsid w:val="00675154"/>
    <w:rsid w:val="0067531D"/>
    <w:rsid w:val="00675358"/>
    <w:rsid w:val="0067551A"/>
    <w:rsid w:val="006756E3"/>
    <w:rsid w:val="006756E6"/>
    <w:rsid w:val="00675B1D"/>
    <w:rsid w:val="00675CF1"/>
    <w:rsid w:val="00675E19"/>
    <w:rsid w:val="00675E62"/>
    <w:rsid w:val="006763A7"/>
    <w:rsid w:val="0067661D"/>
    <w:rsid w:val="0067671F"/>
    <w:rsid w:val="0067699E"/>
    <w:rsid w:val="006769D1"/>
    <w:rsid w:val="00676A68"/>
    <w:rsid w:val="00676EBB"/>
    <w:rsid w:val="006772BA"/>
    <w:rsid w:val="00677509"/>
    <w:rsid w:val="0067752D"/>
    <w:rsid w:val="00677891"/>
    <w:rsid w:val="006779E1"/>
    <w:rsid w:val="00677ABC"/>
    <w:rsid w:val="00677CA1"/>
    <w:rsid w:val="006801E3"/>
    <w:rsid w:val="00680507"/>
    <w:rsid w:val="0068094B"/>
    <w:rsid w:val="0068097B"/>
    <w:rsid w:val="00680B28"/>
    <w:rsid w:val="006810F6"/>
    <w:rsid w:val="006817B6"/>
    <w:rsid w:val="00681987"/>
    <w:rsid w:val="00681A1D"/>
    <w:rsid w:val="00681EFE"/>
    <w:rsid w:val="0068226A"/>
    <w:rsid w:val="00682521"/>
    <w:rsid w:val="00682815"/>
    <w:rsid w:val="00682878"/>
    <w:rsid w:val="00682953"/>
    <w:rsid w:val="006829BC"/>
    <w:rsid w:val="00682F8B"/>
    <w:rsid w:val="0068308B"/>
    <w:rsid w:val="0068377A"/>
    <w:rsid w:val="006837C0"/>
    <w:rsid w:val="0068407E"/>
    <w:rsid w:val="006846A1"/>
    <w:rsid w:val="00684787"/>
    <w:rsid w:val="00684A5C"/>
    <w:rsid w:val="00684C66"/>
    <w:rsid w:val="006856D9"/>
    <w:rsid w:val="00685897"/>
    <w:rsid w:val="00685A30"/>
    <w:rsid w:val="00685A7C"/>
    <w:rsid w:val="0068619E"/>
    <w:rsid w:val="006864B3"/>
    <w:rsid w:val="00686785"/>
    <w:rsid w:val="00686954"/>
    <w:rsid w:val="00686988"/>
    <w:rsid w:val="00686A54"/>
    <w:rsid w:val="00686C75"/>
    <w:rsid w:val="00686E76"/>
    <w:rsid w:val="00686FCD"/>
    <w:rsid w:val="0068743B"/>
    <w:rsid w:val="006874B3"/>
    <w:rsid w:val="0068755F"/>
    <w:rsid w:val="00687777"/>
    <w:rsid w:val="00687A34"/>
    <w:rsid w:val="00687B9A"/>
    <w:rsid w:val="00687E2B"/>
    <w:rsid w:val="00690293"/>
    <w:rsid w:val="00690B66"/>
    <w:rsid w:val="00690D0F"/>
    <w:rsid w:val="00690E5A"/>
    <w:rsid w:val="00690FF3"/>
    <w:rsid w:val="00691093"/>
    <w:rsid w:val="006910F0"/>
    <w:rsid w:val="0069110B"/>
    <w:rsid w:val="006911E5"/>
    <w:rsid w:val="006914B5"/>
    <w:rsid w:val="0069153E"/>
    <w:rsid w:val="0069168A"/>
    <w:rsid w:val="00691AA7"/>
    <w:rsid w:val="00691F39"/>
    <w:rsid w:val="00692193"/>
    <w:rsid w:val="006921AA"/>
    <w:rsid w:val="00692213"/>
    <w:rsid w:val="0069259C"/>
    <w:rsid w:val="006928AC"/>
    <w:rsid w:val="0069296F"/>
    <w:rsid w:val="00692B5E"/>
    <w:rsid w:val="00692E96"/>
    <w:rsid w:val="00692F0D"/>
    <w:rsid w:val="00692F4C"/>
    <w:rsid w:val="006932C3"/>
    <w:rsid w:val="00693770"/>
    <w:rsid w:val="0069379F"/>
    <w:rsid w:val="00693868"/>
    <w:rsid w:val="006939DC"/>
    <w:rsid w:val="00693A00"/>
    <w:rsid w:val="00693A5D"/>
    <w:rsid w:val="00693CFF"/>
    <w:rsid w:val="00693DD2"/>
    <w:rsid w:val="00693E79"/>
    <w:rsid w:val="0069446C"/>
    <w:rsid w:val="00694822"/>
    <w:rsid w:val="0069493F"/>
    <w:rsid w:val="006949AA"/>
    <w:rsid w:val="00694A35"/>
    <w:rsid w:val="00694DDE"/>
    <w:rsid w:val="00694EC8"/>
    <w:rsid w:val="00695740"/>
    <w:rsid w:val="0069574E"/>
    <w:rsid w:val="00695849"/>
    <w:rsid w:val="00695B78"/>
    <w:rsid w:val="00695FD7"/>
    <w:rsid w:val="006960AB"/>
    <w:rsid w:val="00696137"/>
    <w:rsid w:val="006963E5"/>
    <w:rsid w:val="00696479"/>
    <w:rsid w:val="006965AB"/>
    <w:rsid w:val="006966EA"/>
    <w:rsid w:val="00696A72"/>
    <w:rsid w:val="00696FB0"/>
    <w:rsid w:val="00697084"/>
    <w:rsid w:val="00697433"/>
    <w:rsid w:val="00697578"/>
    <w:rsid w:val="00697666"/>
    <w:rsid w:val="00697AA6"/>
    <w:rsid w:val="006A0215"/>
    <w:rsid w:val="006A037D"/>
    <w:rsid w:val="006A046C"/>
    <w:rsid w:val="006A0481"/>
    <w:rsid w:val="006A078F"/>
    <w:rsid w:val="006A079F"/>
    <w:rsid w:val="006A09A2"/>
    <w:rsid w:val="006A0E76"/>
    <w:rsid w:val="006A1216"/>
    <w:rsid w:val="006A133D"/>
    <w:rsid w:val="006A18A9"/>
    <w:rsid w:val="006A1AFA"/>
    <w:rsid w:val="006A1B60"/>
    <w:rsid w:val="006A1C05"/>
    <w:rsid w:val="006A1D26"/>
    <w:rsid w:val="006A1D32"/>
    <w:rsid w:val="006A1FC6"/>
    <w:rsid w:val="006A219D"/>
    <w:rsid w:val="006A222C"/>
    <w:rsid w:val="006A2421"/>
    <w:rsid w:val="006A2540"/>
    <w:rsid w:val="006A28E7"/>
    <w:rsid w:val="006A297B"/>
    <w:rsid w:val="006A2BDB"/>
    <w:rsid w:val="006A2C1B"/>
    <w:rsid w:val="006A2C61"/>
    <w:rsid w:val="006A2CF2"/>
    <w:rsid w:val="006A2D68"/>
    <w:rsid w:val="006A2DC1"/>
    <w:rsid w:val="006A3066"/>
    <w:rsid w:val="006A332F"/>
    <w:rsid w:val="006A34AB"/>
    <w:rsid w:val="006A3660"/>
    <w:rsid w:val="006A3662"/>
    <w:rsid w:val="006A377C"/>
    <w:rsid w:val="006A39A5"/>
    <w:rsid w:val="006A39AF"/>
    <w:rsid w:val="006A39C7"/>
    <w:rsid w:val="006A4154"/>
    <w:rsid w:val="006A4177"/>
    <w:rsid w:val="006A41BB"/>
    <w:rsid w:val="006A4364"/>
    <w:rsid w:val="006A4641"/>
    <w:rsid w:val="006A4741"/>
    <w:rsid w:val="006A4BC1"/>
    <w:rsid w:val="006A4C6E"/>
    <w:rsid w:val="006A4C94"/>
    <w:rsid w:val="006A4ED9"/>
    <w:rsid w:val="006A4F6E"/>
    <w:rsid w:val="006A50F1"/>
    <w:rsid w:val="006A5237"/>
    <w:rsid w:val="006A52C3"/>
    <w:rsid w:val="006A544D"/>
    <w:rsid w:val="006A54B7"/>
    <w:rsid w:val="006A5876"/>
    <w:rsid w:val="006A5AFD"/>
    <w:rsid w:val="006A6F14"/>
    <w:rsid w:val="006A7268"/>
    <w:rsid w:val="006A786E"/>
    <w:rsid w:val="006A792F"/>
    <w:rsid w:val="006A7AA0"/>
    <w:rsid w:val="006A7B1B"/>
    <w:rsid w:val="006A7C54"/>
    <w:rsid w:val="006A7D1A"/>
    <w:rsid w:val="006B01DB"/>
    <w:rsid w:val="006B046C"/>
    <w:rsid w:val="006B0981"/>
    <w:rsid w:val="006B0989"/>
    <w:rsid w:val="006B09EB"/>
    <w:rsid w:val="006B0A50"/>
    <w:rsid w:val="006B0B38"/>
    <w:rsid w:val="006B0C6A"/>
    <w:rsid w:val="006B0EDB"/>
    <w:rsid w:val="006B1183"/>
    <w:rsid w:val="006B14A7"/>
    <w:rsid w:val="006B17EA"/>
    <w:rsid w:val="006B1C90"/>
    <w:rsid w:val="006B1EEB"/>
    <w:rsid w:val="006B210B"/>
    <w:rsid w:val="006B2168"/>
    <w:rsid w:val="006B2850"/>
    <w:rsid w:val="006B3086"/>
    <w:rsid w:val="006B313D"/>
    <w:rsid w:val="006B3346"/>
    <w:rsid w:val="006B3895"/>
    <w:rsid w:val="006B3DC9"/>
    <w:rsid w:val="006B3E79"/>
    <w:rsid w:val="006B416F"/>
    <w:rsid w:val="006B4178"/>
    <w:rsid w:val="006B4192"/>
    <w:rsid w:val="006B437A"/>
    <w:rsid w:val="006B46D1"/>
    <w:rsid w:val="006B4B05"/>
    <w:rsid w:val="006B4DCE"/>
    <w:rsid w:val="006B510A"/>
    <w:rsid w:val="006B5183"/>
    <w:rsid w:val="006B5305"/>
    <w:rsid w:val="006B5622"/>
    <w:rsid w:val="006B5AE9"/>
    <w:rsid w:val="006B5CC7"/>
    <w:rsid w:val="006B5F50"/>
    <w:rsid w:val="006B6330"/>
    <w:rsid w:val="006B641E"/>
    <w:rsid w:val="006B64D3"/>
    <w:rsid w:val="006B660A"/>
    <w:rsid w:val="006B666B"/>
    <w:rsid w:val="006B686F"/>
    <w:rsid w:val="006B6AA0"/>
    <w:rsid w:val="006B7003"/>
    <w:rsid w:val="006B73A2"/>
    <w:rsid w:val="006B750F"/>
    <w:rsid w:val="006B7867"/>
    <w:rsid w:val="006B795E"/>
    <w:rsid w:val="006B7A05"/>
    <w:rsid w:val="006B7A99"/>
    <w:rsid w:val="006B7E1F"/>
    <w:rsid w:val="006B7FB7"/>
    <w:rsid w:val="006C0617"/>
    <w:rsid w:val="006C0831"/>
    <w:rsid w:val="006C095A"/>
    <w:rsid w:val="006C0EEB"/>
    <w:rsid w:val="006C0EF5"/>
    <w:rsid w:val="006C0F0B"/>
    <w:rsid w:val="006C11C3"/>
    <w:rsid w:val="006C1564"/>
    <w:rsid w:val="006C15D2"/>
    <w:rsid w:val="006C1762"/>
    <w:rsid w:val="006C1764"/>
    <w:rsid w:val="006C178E"/>
    <w:rsid w:val="006C184F"/>
    <w:rsid w:val="006C1885"/>
    <w:rsid w:val="006C1DE0"/>
    <w:rsid w:val="006C1F64"/>
    <w:rsid w:val="006C236E"/>
    <w:rsid w:val="006C258B"/>
    <w:rsid w:val="006C2840"/>
    <w:rsid w:val="006C2B1E"/>
    <w:rsid w:val="006C2E51"/>
    <w:rsid w:val="006C3294"/>
    <w:rsid w:val="006C3321"/>
    <w:rsid w:val="006C348C"/>
    <w:rsid w:val="006C35A8"/>
    <w:rsid w:val="006C378D"/>
    <w:rsid w:val="006C39E7"/>
    <w:rsid w:val="006C3B63"/>
    <w:rsid w:val="006C3EEF"/>
    <w:rsid w:val="006C3FD5"/>
    <w:rsid w:val="006C404E"/>
    <w:rsid w:val="006C4C71"/>
    <w:rsid w:val="006C542A"/>
    <w:rsid w:val="006C5509"/>
    <w:rsid w:val="006C55F1"/>
    <w:rsid w:val="006C5638"/>
    <w:rsid w:val="006C5669"/>
    <w:rsid w:val="006C5684"/>
    <w:rsid w:val="006C59BA"/>
    <w:rsid w:val="006C59EC"/>
    <w:rsid w:val="006C5A58"/>
    <w:rsid w:val="006C5BCE"/>
    <w:rsid w:val="006C6466"/>
    <w:rsid w:val="006C64E6"/>
    <w:rsid w:val="006C67A4"/>
    <w:rsid w:val="006C697B"/>
    <w:rsid w:val="006C6992"/>
    <w:rsid w:val="006C7025"/>
    <w:rsid w:val="006C7070"/>
    <w:rsid w:val="006C7258"/>
    <w:rsid w:val="006C755A"/>
    <w:rsid w:val="006C7644"/>
    <w:rsid w:val="006C7751"/>
    <w:rsid w:val="006C783C"/>
    <w:rsid w:val="006C78E1"/>
    <w:rsid w:val="006C7FE3"/>
    <w:rsid w:val="006D0040"/>
    <w:rsid w:val="006D0147"/>
    <w:rsid w:val="006D054B"/>
    <w:rsid w:val="006D0580"/>
    <w:rsid w:val="006D072E"/>
    <w:rsid w:val="006D0A19"/>
    <w:rsid w:val="006D0C37"/>
    <w:rsid w:val="006D0C9C"/>
    <w:rsid w:val="006D0F94"/>
    <w:rsid w:val="006D119D"/>
    <w:rsid w:val="006D1417"/>
    <w:rsid w:val="006D1429"/>
    <w:rsid w:val="006D1866"/>
    <w:rsid w:val="006D1913"/>
    <w:rsid w:val="006D1A0D"/>
    <w:rsid w:val="006D1C1D"/>
    <w:rsid w:val="006D1E3A"/>
    <w:rsid w:val="006D1E3C"/>
    <w:rsid w:val="006D1F42"/>
    <w:rsid w:val="006D2673"/>
    <w:rsid w:val="006D26D4"/>
    <w:rsid w:val="006D2787"/>
    <w:rsid w:val="006D27D1"/>
    <w:rsid w:val="006D2837"/>
    <w:rsid w:val="006D2967"/>
    <w:rsid w:val="006D2BE5"/>
    <w:rsid w:val="006D2CF9"/>
    <w:rsid w:val="006D2F7D"/>
    <w:rsid w:val="006D2FE8"/>
    <w:rsid w:val="006D3280"/>
    <w:rsid w:val="006D338C"/>
    <w:rsid w:val="006D3398"/>
    <w:rsid w:val="006D3A9C"/>
    <w:rsid w:val="006D3AA3"/>
    <w:rsid w:val="006D3DC4"/>
    <w:rsid w:val="006D3F6D"/>
    <w:rsid w:val="006D4009"/>
    <w:rsid w:val="006D40E2"/>
    <w:rsid w:val="006D411F"/>
    <w:rsid w:val="006D4267"/>
    <w:rsid w:val="006D4387"/>
    <w:rsid w:val="006D44BF"/>
    <w:rsid w:val="006D44CA"/>
    <w:rsid w:val="006D45E0"/>
    <w:rsid w:val="006D4658"/>
    <w:rsid w:val="006D4749"/>
    <w:rsid w:val="006D4D25"/>
    <w:rsid w:val="006D4EB6"/>
    <w:rsid w:val="006D51E7"/>
    <w:rsid w:val="006D529B"/>
    <w:rsid w:val="006D53D8"/>
    <w:rsid w:val="006D5605"/>
    <w:rsid w:val="006D5C8C"/>
    <w:rsid w:val="006D5EB0"/>
    <w:rsid w:val="006D5F2C"/>
    <w:rsid w:val="006D64BD"/>
    <w:rsid w:val="006D6747"/>
    <w:rsid w:val="006D68CA"/>
    <w:rsid w:val="006D69E5"/>
    <w:rsid w:val="006D6A3F"/>
    <w:rsid w:val="006D71D9"/>
    <w:rsid w:val="006D7433"/>
    <w:rsid w:val="006D75D7"/>
    <w:rsid w:val="006D76DC"/>
    <w:rsid w:val="006D7798"/>
    <w:rsid w:val="006D782F"/>
    <w:rsid w:val="006D7C39"/>
    <w:rsid w:val="006D7ED7"/>
    <w:rsid w:val="006E0026"/>
    <w:rsid w:val="006E00D3"/>
    <w:rsid w:val="006E0202"/>
    <w:rsid w:val="006E05CB"/>
    <w:rsid w:val="006E0610"/>
    <w:rsid w:val="006E0C58"/>
    <w:rsid w:val="006E1084"/>
    <w:rsid w:val="006E1190"/>
    <w:rsid w:val="006E135B"/>
    <w:rsid w:val="006E1625"/>
    <w:rsid w:val="006E18A1"/>
    <w:rsid w:val="006E1BB0"/>
    <w:rsid w:val="006E1E56"/>
    <w:rsid w:val="006E215A"/>
    <w:rsid w:val="006E23FD"/>
    <w:rsid w:val="006E242C"/>
    <w:rsid w:val="006E245E"/>
    <w:rsid w:val="006E285D"/>
    <w:rsid w:val="006E290F"/>
    <w:rsid w:val="006E2B8C"/>
    <w:rsid w:val="006E2D9F"/>
    <w:rsid w:val="006E2E25"/>
    <w:rsid w:val="006E309D"/>
    <w:rsid w:val="006E31DA"/>
    <w:rsid w:val="006E3753"/>
    <w:rsid w:val="006E3AAA"/>
    <w:rsid w:val="006E3C7A"/>
    <w:rsid w:val="006E3CB1"/>
    <w:rsid w:val="006E3E33"/>
    <w:rsid w:val="006E4128"/>
    <w:rsid w:val="006E4260"/>
    <w:rsid w:val="006E4443"/>
    <w:rsid w:val="006E4B56"/>
    <w:rsid w:val="006E4E4F"/>
    <w:rsid w:val="006E504E"/>
    <w:rsid w:val="006E50FB"/>
    <w:rsid w:val="006E56D5"/>
    <w:rsid w:val="006E5913"/>
    <w:rsid w:val="006E5AC6"/>
    <w:rsid w:val="006E5BAC"/>
    <w:rsid w:val="006E5BD5"/>
    <w:rsid w:val="006E5E40"/>
    <w:rsid w:val="006E6092"/>
    <w:rsid w:val="006E667C"/>
    <w:rsid w:val="006E6935"/>
    <w:rsid w:val="006E6A36"/>
    <w:rsid w:val="006E7033"/>
    <w:rsid w:val="006E7282"/>
    <w:rsid w:val="006E72B8"/>
    <w:rsid w:val="006E791E"/>
    <w:rsid w:val="006E792B"/>
    <w:rsid w:val="006E7976"/>
    <w:rsid w:val="006E7B02"/>
    <w:rsid w:val="006E7D33"/>
    <w:rsid w:val="006F00C1"/>
    <w:rsid w:val="006F01A4"/>
    <w:rsid w:val="006F03C1"/>
    <w:rsid w:val="006F07BC"/>
    <w:rsid w:val="006F0C20"/>
    <w:rsid w:val="006F0D4F"/>
    <w:rsid w:val="006F0F6F"/>
    <w:rsid w:val="006F15D0"/>
    <w:rsid w:val="006F16F5"/>
    <w:rsid w:val="006F17E5"/>
    <w:rsid w:val="006F2015"/>
    <w:rsid w:val="006F206D"/>
    <w:rsid w:val="006F208A"/>
    <w:rsid w:val="006F234A"/>
    <w:rsid w:val="006F23CD"/>
    <w:rsid w:val="006F25CF"/>
    <w:rsid w:val="006F286C"/>
    <w:rsid w:val="006F2925"/>
    <w:rsid w:val="006F2A21"/>
    <w:rsid w:val="006F2BD0"/>
    <w:rsid w:val="006F2FC3"/>
    <w:rsid w:val="006F3136"/>
    <w:rsid w:val="006F3234"/>
    <w:rsid w:val="006F39D0"/>
    <w:rsid w:val="006F3CA6"/>
    <w:rsid w:val="006F3F43"/>
    <w:rsid w:val="006F3FDA"/>
    <w:rsid w:val="006F411A"/>
    <w:rsid w:val="006F41FB"/>
    <w:rsid w:val="006F44B9"/>
    <w:rsid w:val="006F44D2"/>
    <w:rsid w:val="006F4918"/>
    <w:rsid w:val="006F4CBC"/>
    <w:rsid w:val="006F5682"/>
    <w:rsid w:val="006F57E1"/>
    <w:rsid w:val="006F59DB"/>
    <w:rsid w:val="006F5A1E"/>
    <w:rsid w:val="006F5DE1"/>
    <w:rsid w:val="006F6030"/>
    <w:rsid w:val="006F60C2"/>
    <w:rsid w:val="006F6203"/>
    <w:rsid w:val="006F62DA"/>
    <w:rsid w:val="006F66CA"/>
    <w:rsid w:val="006F681B"/>
    <w:rsid w:val="006F6972"/>
    <w:rsid w:val="006F6993"/>
    <w:rsid w:val="006F6A80"/>
    <w:rsid w:val="006F6ADD"/>
    <w:rsid w:val="006F6E6D"/>
    <w:rsid w:val="006F736A"/>
    <w:rsid w:val="006F773B"/>
    <w:rsid w:val="006F78EE"/>
    <w:rsid w:val="006F7F8E"/>
    <w:rsid w:val="007000A3"/>
    <w:rsid w:val="00700280"/>
    <w:rsid w:val="007006A9"/>
    <w:rsid w:val="00700A26"/>
    <w:rsid w:val="00700BA3"/>
    <w:rsid w:val="00700E95"/>
    <w:rsid w:val="0070113F"/>
    <w:rsid w:val="007012C9"/>
    <w:rsid w:val="00701464"/>
    <w:rsid w:val="007018FC"/>
    <w:rsid w:val="00701967"/>
    <w:rsid w:val="00701A7E"/>
    <w:rsid w:val="00701AA2"/>
    <w:rsid w:val="00701AC5"/>
    <w:rsid w:val="00701F25"/>
    <w:rsid w:val="00701F5B"/>
    <w:rsid w:val="007021FB"/>
    <w:rsid w:val="007022A4"/>
    <w:rsid w:val="007022C3"/>
    <w:rsid w:val="0070280B"/>
    <w:rsid w:val="00702EDC"/>
    <w:rsid w:val="00703262"/>
    <w:rsid w:val="0070329A"/>
    <w:rsid w:val="00703375"/>
    <w:rsid w:val="00703538"/>
    <w:rsid w:val="0070355A"/>
    <w:rsid w:val="00703624"/>
    <w:rsid w:val="00703660"/>
    <w:rsid w:val="007036C0"/>
    <w:rsid w:val="0070371C"/>
    <w:rsid w:val="00703A11"/>
    <w:rsid w:val="00703A7F"/>
    <w:rsid w:val="00703E1F"/>
    <w:rsid w:val="00703E29"/>
    <w:rsid w:val="00704137"/>
    <w:rsid w:val="00704256"/>
    <w:rsid w:val="007044E8"/>
    <w:rsid w:val="007046C3"/>
    <w:rsid w:val="007048C3"/>
    <w:rsid w:val="00704F4F"/>
    <w:rsid w:val="00704F5A"/>
    <w:rsid w:val="00705116"/>
    <w:rsid w:val="007052B2"/>
    <w:rsid w:val="00705367"/>
    <w:rsid w:val="007054FB"/>
    <w:rsid w:val="00705605"/>
    <w:rsid w:val="00705702"/>
    <w:rsid w:val="00705926"/>
    <w:rsid w:val="00705B25"/>
    <w:rsid w:val="00705EF8"/>
    <w:rsid w:val="00705FBD"/>
    <w:rsid w:val="007061EF"/>
    <w:rsid w:val="007067C9"/>
    <w:rsid w:val="007069ED"/>
    <w:rsid w:val="00706A6E"/>
    <w:rsid w:val="00706CB0"/>
    <w:rsid w:val="00706E54"/>
    <w:rsid w:val="00706F44"/>
    <w:rsid w:val="00707578"/>
    <w:rsid w:val="0070762E"/>
    <w:rsid w:val="0070780A"/>
    <w:rsid w:val="00707C96"/>
    <w:rsid w:val="00710047"/>
    <w:rsid w:val="007100E2"/>
    <w:rsid w:val="007100FE"/>
    <w:rsid w:val="00710298"/>
    <w:rsid w:val="0071048E"/>
    <w:rsid w:val="00710490"/>
    <w:rsid w:val="00710581"/>
    <w:rsid w:val="007107B4"/>
    <w:rsid w:val="007107C8"/>
    <w:rsid w:val="00710A48"/>
    <w:rsid w:val="00710AA7"/>
    <w:rsid w:val="00710D1B"/>
    <w:rsid w:val="00710DCF"/>
    <w:rsid w:val="00710F56"/>
    <w:rsid w:val="00711197"/>
    <w:rsid w:val="0071146B"/>
    <w:rsid w:val="007114D2"/>
    <w:rsid w:val="007119DF"/>
    <w:rsid w:val="00711C24"/>
    <w:rsid w:val="00711E22"/>
    <w:rsid w:val="00711E5C"/>
    <w:rsid w:val="00711E7B"/>
    <w:rsid w:val="0071289E"/>
    <w:rsid w:val="00712B7A"/>
    <w:rsid w:val="00712D37"/>
    <w:rsid w:val="00712D59"/>
    <w:rsid w:val="00712D9D"/>
    <w:rsid w:val="007134D7"/>
    <w:rsid w:val="00713692"/>
    <w:rsid w:val="007138F6"/>
    <w:rsid w:val="0071397C"/>
    <w:rsid w:val="00713BD6"/>
    <w:rsid w:val="00713E6F"/>
    <w:rsid w:val="00714838"/>
    <w:rsid w:val="00714933"/>
    <w:rsid w:val="00714B26"/>
    <w:rsid w:val="00714D89"/>
    <w:rsid w:val="007158ED"/>
    <w:rsid w:val="007159A1"/>
    <w:rsid w:val="00715AFB"/>
    <w:rsid w:val="00715B2C"/>
    <w:rsid w:val="00715C37"/>
    <w:rsid w:val="00715D46"/>
    <w:rsid w:val="00715F0F"/>
    <w:rsid w:val="0071633E"/>
    <w:rsid w:val="007165E3"/>
    <w:rsid w:val="00716742"/>
    <w:rsid w:val="0071684D"/>
    <w:rsid w:val="00716C4F"/>
    <w:rsid w:val="00716E3D"/>
    <w:rsid w:val="00716E93"/>
    <w:rsid w:val="00717562"/>
    <w:rsid w:val="00717617"/>
    <w:rsid w:val="0071766C"/>
    <w:rsid w:val="00717776"/>
    <w:rsid w:val="00717977"/>
    <w:rsid w:val="00717993"/>
    <w:rsid w:val="007179B5"/>
    <w:rsid w:val="00717C54"/>
    <w:rsid w:val="007203B2"/>
    <w:rsid w:val="00720B74"/>
    <w:rsid w:val="00720D4B"/>
    <w:rsid w:val="007212CE"/>
    <w:rsid w:val="00721500"/>
    <w:rsid w:val="0072187D"/>
    <w:rsid w:val="00721B4D"/>
    <w:rsid w:val="00721C32"/>
    <w:rsid w:val="00721DC1"/>
    <w:rsid w:val="00721EDB"/>
    <w:rsid w:val="007220C0"/>
    <w:rsid w:val="007221BB"/>
    <w:rsid w:val="00722310"/>
    <w:rsid w:val="00722377"/>
    <w:rsid w:val="00722447"/>
    <w:rsid w:val="00722607"/>
    <w:rsid w:val="007226B2"/>
    <w:rsid w:val="00722712"/>
    <w:rsid w:val="00722754"/>
    <w:rsid w:val="007227F8"/>
    <w:rsid w:val="00722D00"/>
    <w:rsid w:val="00722FA0"/>
    <w:rsid w:val="00723156"/>
    <w:rsid w:val="007231FB"/>
    <w:rsid w:val="00723362"/>
    <w:rsid w:val="00723414"/>
    <w:rsid w:val="0072398F"/>
    <w:rsid w:val="00723B75"/>
    <w:rsid w:val="00723C9F"/>
    <w:rsid w:val="00723D04"/>
    <w:rsid w:val="00723F19"/>
    <w:rsid w:val="00723F97"/>
    <w:rsid w:val="007244B4"/>
    <w:rsid w:val="007244D0"/>
    <w:rsid w:val="007245B5"/>
    <w:rsid w:val="00724726"/>
    <w:rsid w:val="0072499D"/>
    <w:rsid w:val="00724C19"/>
    <w:rsid w:val="00724D65"/>
    <w:rsid w:val="00724DCB"/>
    <w:rsid w:val="00724FB1"/>
    <w:rsid w:val="00725001"/>
    <w:rsid w:val="00725043"/>
    <w:rsid w:val="007253A3"/>
    <w:rsid w:val="00725716"/>
    <w:rsid w:val="00725BF8"/>
    <w:rsid w:val="00725C13"/>
    <w:rsid w:val="00725CD4"/>
    <w:rsid w:val="00725EFB"/>
    <w:rsid w:val="00725F36"/>
    <w:rsid w:val="0072601C"/>
    <w:rsid w:val="007261BE"/>
    <w:rsid w:val="00726555"/>
    <w:rsid w:val="00726A45"/>
    <w:rsid w:val="00727033"/>
    <w:rsid w:val="007271D9"/>
    <w:rsid w:val="0072733D"/>
    <w:rsid w:val="007274F8"/>
    <w:rsid w:val="0072755C"/>
    <w:rsid w:val="0072759A"/>
    <w:rsid w:val="0072773E"/>
    <w:rsid w:val="00727842"/>
    <w:rsid w:val="00727AD5"/>
    <w:rsid w:val="00727D68"/>
    <w:rsid w:val="007303EA"/>
    <w:rsid w:val="007308A2"/>
    <w:rsid w:val="007308A6"/>
    <w:rsid w:val="00730A7B"/>
    <w:rsid w:val="00730B13"/>
    <w:rsid w:val="00730D43"/>
    <w:rsid w:val="00730DA9"/>
    <w:rsid w:val="00730EA8"/>
    <w:rsid w:val="00730F2A"/>
    <w:rsid w:val="00731393"/>
    <w:rsid w:val="00731503"/>
    <w:rsid w:val="0073154E"/>
    <w:rsid w:val="00731576"/>
    <w:rsid w:val="00731582"/>
    <w:rsid w:val="007316CD"/>
    <w:rsid w:val="00731D98"/>
    <w:rsid w:val="0073205A"/>
    <w:rsid w:val="00732513"/>
    <w:rsid w:val="0073260D"/>
    <w:rsid w:val="0073274D"/>
    <w:rsid w:val="007327A2"/>
    <w:rsid w:val="00732895"/>
    <w:rsid w:val="00732A85"/>
    <w:rsid w:val="00732FBE"/>
    <w:rsid w:val="00733213"/>
    <w:rsid w:val="00733226"/>
    <w:rsid w:val="00733366"/>
    <w:rsid w:val="007334FA"/>
    <w:rsid w:val="007334FD"/>
    <w:rsid w:val="007335CA"/>
    <w:rsid w:val="00733AA4"/>
    <w:rsid w:val="00733C33"/>
    <w:rsid w:val="00733F8B"/>
    <w:rsid w:val="00733FD6"/>
    <w:rsid w:val="007343AD"/>
    <w:rsid w:val="00734478"/>
    <w:rsid w:val="007344E2"/>
    <w:rsid w:val="0073460E"/>
    <w:rsid w:val="007348E7"/>
    <w:rsid w:val="007349D4"/>
    <w:rsid w:val="00734D16"/>
    <w:rsid w:val="00734E9F"/>
    <w:rsid w:val="00734FDD"/>
    <w:rsid w:val="00735066"/>
    <w:rsid w:val="00735360"/>
    <w:rsid w:val="00735609"/>
    <w:rsid w:val="007358BD"/>
    <w:rsid w:val="007358C7"/>
    <w:rsid w:val="0073596B"/>
    <w:rsid w:val="00735D6E"/>
    <w:rsid w:val="00736259"/>
    <w:rsid w:val="007365BF"/>
    <w:rsid w:val="007365D3"/>
    <w:rsid w:val="007367EC"/>
    <w:rsid w:val="007368A2"/>
    <w:rsid w:val="0073694C"/>
    <w:rsid w:val="007369F9"/>
    <w:rsid w:val="00736A78"/>
    <w:rsid w:val="00736C13"/>
    <w:rsid w:val="00736D76"/>
    <w:rsid w:val="00736DA1"/>
    <w:rsid w:val="00736F85"/>
    <w:rsid w:val="00737214"/>
    <w:rsid w:val="0073738E"/>
    <w:rsid w:val="00737707"/>
    <w:rsid w:val="007377E7"/>
    <w:rsid w:val="0073783A"/>
    <w:rsid w:val="00737C68"/>
    <w:rsid w:val="00737D22"/>
    <w:rsid w:val="00737F4F"/>
    <w:rsid w:val="00740285"/>
    <w:rsid w:val="007403DD"/>
    <w:rsid w:val="00740542"/>
    <w:rsid w:val="00740CD6"/>
    <w:rsid w:val="00740D35"/>
    <w:rsid w:val="00740D7A"/>
    <w:rsid w:val="00740E58"/>
    <w:rsid w:val="00740EEC"/>
    <w:rsid w:val="0074113F"/>
    <w:rsid w:val="0074124F"/>
    <w:rsid w:val="00741295"/>
    <w:rsid w:val="007412DB"/>
    <w:rsid w:val="0074140B"/>
    <w:rsid w:val="00741564"/>
    <w:rsid w:val="00741697"/>
    <w:rsid w:val="0074172D"/>
    <w:rsid w:val="00741769"/>
    <w:rsid w:val="00741967"/>
    <w:rsid w:val="00741B9C"/>
    <w:rsid w:val="00741CC8"/>
    <w:rsid w:val="00741CE8"/>
    <w:rsid w:val="00741FAE"/>
    <w:rsid w:val="00742158"/>
    <w:rsid w:val="00742351"/>
    <w:rsid w:val="00742CFF"/>
    <w:rsid w:val="00742DB5"/>
    <w:rsid w:val="00742E98"/>
    <w:rsid w:val="00742F42"/>
    <w:rsid w:val="00743030"/>
    <w:rsid w:val="00743183"/>
    <w:rsid w:val="00743352"/>
    <w:rsid w:val="007436C5"/>
    <w:rsid w:val="00743DBF"/>
    <w:rsid w:val="00743E19"/>
    <w:rsid w:val="007445C9"/>
    <w:rsid w:val="0074482B"/>
    <w:rsid w:val="007448B1"/>
    <w:rsid w:val="00744A85"/>
    <w:rsid w:val="00744F47"/>
    <w:rsid w:val="00745315"/>
    <w:rsid w:val="0074544E"/>
    <w:rsid w:val="007455E2"/>
    <w:rsid w:val="007456A2"/>
    <w:rsid w:val="007456F6"/>
    <w:rsid w:val="0074576F"/>
    <w:rsid w:val="00745C01"/>
    <w:rsid w:val="00745DE6"/>
    <w:rsid w:val="00745ED0"/>
    <w:rsid w:val="00745F15"/>
    <w:rsid w:val="007460EF"/>
    <w:rsid w:val="0074612C"/>
    <w:rsid w:val="00746273"/>
    <w:rsid w:val="00746363"/>
    <w:rsid w:val="007463B0"/>
    <w:rsid w:val="00746458"/>
    <w:rsid w:val="00746510"/>
    <w:rsid w:val="007467C9"/>
    <w:rsid w:val="00746BA3"/>
    <w:rsid w:val="007474FC"/>
    <w:rsid w:val="0074779E"/>
    <w:rsid w:val="00747814"/>
    <w:rsid w:val="00747D8C"/>
    <w:rsid w:val="00747EB1"/>
    <w:rsid w:val="00747F0B"/>
    <w:rsid w:val="00747FD9"/>
    <w:rsid w:val="007502F7"/>
    <w:rsid w:val="0075091A"/>
    <w:rsid w:val="00750B69"/>
    <w:rsid w:val="00750DD9"/>
    <w:rsid w:val="00750E55"/>
    <w:rsid w:val="00750FDE"/>
    <w:rsid w:val="00751027"/>
    <w:rsid w:val="0075155C"/>
    <w:rsid w:val="00751617"/>
    <w:rsid w:val="00751861"/>
    <w:rsid w:val="00751F18"/>
    <w:rsid w:val="00752011"/>
    <w:rsid w:val="0075207F"/>
    <w:rsid w:val="0075226B"/>
    <w:rsid w:val="0075237A"/>
    <w:rsid w:val="00752557"/>
    <w:rsid w:val="007525BB"/>
    <w:rsid w:val="007525FF"/>
    <w:rsid w:val="0075270F"/>
    <w:rsid w:val="007528A1"/>
    <w:rsid w:val="00752D44"/>
    <w:rsid w:val="00752E14"/>
    <w:rsid w:val="00752F25"/>
    <w:rsid w:val="007531D4"/>
    <w:rsid w:val="00753379"/>
    <w:rsid w:val="00753478"/>
    <w:rsid w:val="00753A8C"/>
    <w:rsid w:val="00753AEC"/>
    <w:rsid w:val="00753BA5"/>
    <w:rsid w:val="00753F19"/>
    <w:rsid w:val="007540DE"/>
    <w:rsid w:val="00754122"/>
    <w:rsid w:val="00754183"/>
    <w:rsid w:val="007541DB"/>
    <w:rsid w:val="00754882"/>
    <w:rsid w:val="007548BD"/>
    <w:rsid w:val="00754C03"/>
    <w:rsid w:val="00754D6E"/>
    <w:rsid w:val="0075529E"/>
    <w:rsid w:val="00755441"/>
    <w:rsid w:val="007555EC"/>
    <w:rsid w:val="00755684"/>
    <w:rsid w:val="007556F1"/>
    <w:rsid w:val="00755967"/>
    <w:rsid w:val="00755B8B"/>
    <w:rsid w:val="00755B8E"/>
    <w:rsid w:val="00755C75"/>
    <w:rsid w:val="00755CD4"/>
    <w:rsid w:val="00755E04"/>
    <w:rsid w:val="007568C6"/>
    <w:rsid w:val="00756B78"/>
    <w:rsid w:val="00756D50"/>
    <w:rsid w:val="00756F67"/>
    <w:rsid w:val="00756FD7"/>
    <w:rsid w:val="00756FEA"/>
    <w:rsid w:val="00757256"/>
    <w:rsid w:val="0075732A"/>
    <w:rsid w:val="0075796E"/>
    <w:rsid w:val="00757B62"/>
    <w:rsid w:val="00757C45"/>
    <w:rsid w:val="007600CB"/>
    <w:rsid w:val="007604C7"/>
    <w:rsid w:val="007606C0"/>
    <w:rsid w:val="00760B1B"/>
    <w:rsid w:val="00760BBE"/>
    <w:rsid w:val="00760C70"/>
    <w:rsid w:val="00760F03"/>
    <w:rsid w:val="007611B8"/>
    <w:rsid w:val="007611CB"/>
    <w:rsid w:val="00761569"/>
    <w:rsid w:val="007615AA"/>
    <w:rsid w:val="00761863"/>
    <w:rsid w:val="007618ED"/>
    <w:rsid w:val="00761AB1"/>
    <w:rsid w:val="00761CDF"/>
    <w:rsid w:val="00761D50"/>
    <w:rsid w:val="0076201A"/>
    <w:rsid w:val="0076213D"/>
    <w:rsid w:val="007622F9"/>
    <w:rsid w:val="0076236D"/>
    <w:rsid w:val="0076250E"/>
    <w:rsid w:val="00762534"/>
    <w:rsid w:val="00762639"/>
    <w:rsid w:val="0076272F"/>
    <w:rsid w:val="007628F3"/>
    <w:rsid w:val="00762D08"/>
    <w:rsid w:val="00763036"/>
    <w:rsid w:val="007633FE"/>
    <w:rsid w:val="00763573"/>
    <w:rsid w:val="007636DC"/>
    <w:rsid w:val="007636E5"/>
    <w:rsid w:val="00763C8D"/>
    <w:rsid w:val="00763E74"/>
    <w:rsid w:val="00763F82"/>
    <w:rsid w:val="007644AE"/>
    <w:rsid w:val="007649A4"/>
    <w:rsid w:val="00764DA2"/>
    <w:rsid w:val="0076521D"/>
    <w:rsid w:val="0076548F"/>
    <w:rsid w:val="007658E6"/>
    <w:rsid w:val="007659AA"/>
    <w:rsid w:val="00765AE3"/>
    <w:rsid w:val="00765BFA"/>
    <w:rsid w:val="00765CCE"/>
    <w:rsid w:val="00765DFC"/>
    <w:rsid w:val="0076610E"/>
    <w:rsid w:val="00766368"/>
    <w:rsid w:val="0076641C"/>
    <w:rsid w:val="0076687E"/>
    <w:rsid w:val="00766885"/>
    <w:rsid w:val="00766B25"/>
    <w:rsid w:val="007670C5"/>
    <w:rsid w:val="007674C6"/>
    <w:rsid w:val="0076764F"/>
    <w:rsid w:val="0076790C"/>
    <w:rsid w:val="00767976"/>
    <w:rsid w:val="00767B93"/>
    <w:rsid w:val="00767D9C"/>
    <w:rsid w:val="00767E1A"/>
    <w:rsid w:val="00767F4C"/>
    <w:rsid w:val="00767F89"/>
    <w:rsid w:val="007702C3"/>
    <w:rsid w:val="007702E1"/>
    <w:rsid w:val="0077068A"/>
    <w:rsid w:val="00770997"/>
    <w:rsid w:val="00770D25"/>
    <w:rsid w:val="00770FDC"/>
    <w:rsid w:val="007715BC"/>
    <w:rsid w:val="007718D5"/>
    <w:rsid w:val="00771B6B"/>
    <w:rsid w:val="00771D3A"/>
    <w:rsid w:val="00771E7F"/>
    <w:rsid w:val="00771F32"/>
    <w:rsid w:val="00771F57"/>
    <w:rsid w:val="00772155"/>
    <w:rsid w:val="00772269"/>
    <w:rsid w:val="007723A0"/>
    <w:rsid w:val="007724B9"/>
    <w:rsid w:val="007727B2"/>
    <w:rsid w:val="00772993"/>
    <w:rsid w:val="00772AC3"/>
    <w:rsid w:val="00772BB6"/>
    <w:rsid w:val="00772C0E"/>
    <w:rsid w:val="00772C85"/>
    <w:rsid w:val="00772E3C"/>
    <w:rsid w:val="00772E43"/>
    <w:rsid w:val="00773329"/>
    <w:rsid w:val="007734E3"/>
    <w:rsid w:val="007736C3"/>
    <w:rsid w:val="007738ED"/>
    <w:rsid w:val="00773DED"/>
    <w:rsid w:val="00773E6B"/>
    <w:rsid w:val="00774286"/>
    <w:rsid w:val="007744FB"/>
    <w:rsid w:val="007746EB"/>
    <w:rsid w:val="0077483E"/>
    <w:rsid w:val="00774F66"/>
    <w:rsid w:val="00775438"/>
    <w:rsid w:val="00775486"/>
    <w:rsid w:val="00775966"/>
    <w:rsid w:val="007759DB"/>
    <w:rsid w:val="00775F03"/>
    <w:rsid w:val="00775F90"/>
    <w:rsid w:val="007761CE"/>
    <w:rsid w:val="007765CF"/>
    <w:rsid w:val="00776748"/>
    <w:rsid w:val="00776B8D"/>
    <w:rsid w:val="00776ED0"/>
    <w:rsid w:val="00776EED"/>
    <w:rsid w:val="00776F95"/>
    <w:rsid w:val="0077710E"/>
    <w:rsid w:val="007778E3"/>
    <w:rsid w:val="00777DEE"/>
    <w:rsid w:val="00777F9F"/>
    <w:rsid w:val="00780024"/>
    <w:rsid w:val="0078036F"/>
    <w:rsid w:val="00780373"/>
    <w:rsid w:val="0078057B"/>
    <w:rsid w:val="00780652"/>
    <w:rsid w:val="007806DE"/>
    <w:rsid w:val="00780840"/>
    <w:rsid w:val="007808E2"/>
    <w:rsid w:val="007808F7"/>
    <w:rsid w:val="00780952"/>
    <w:rsid w:val="00780B1E"/>
    <w:rsid w:val="00780B88"/>
    <w:rsid w:val="00780C84"/>
    <w:rsid w:val="00780CFE"/>
    <w:rsid w:val="00780D65"/>
    <w:rsid w:val="00780D84"/>
    <w:rsid w:val="00780E5C"/>
    <w:rsid w:val="0078105C"/>
    <w:rsid w:val="007810AA"/>
    <w:rsid w:val="0078134E"/>
    <w:rsid w:val="00781405"/>
    <w:rsid w:val="00781579"/>
    <w:rsid w:val="007815EC"/>
    <w:rsid w:val="0078191D"/>
    <w:rsid w:val="0078257C"/>
    <w:rsid w:val="00782A02"/>
    <w:rsid w:val="00783044"/>
    <w:rsid w:val="0078312D"/>
    <w:rsid w:val="007832B4"/>
    <w:rsid w:val="00783360"/>
    <w:rsid w:val="00783715"/>
    <w:rsid w:val="00783941"/>
    <w:rsid w:val="00783B11"/>
    <w:rsid w:val="00783B81"/>
    <w:rsid w:val="00783BC7"/>
    <w:rsid w:val="00783D66"/>
    <w:rsid w:val="00784153"/>
    <w:rsid w:val="007843A3"/>
    <w:rsid w:val="007846F5"/>
    <w:rsid w:val="007848D0"/>
    <w:rsid w:val="007849CA"/>
    <w:rsid w:val="00784ADB"/>
    <w:rsid w:val="00784BB0"/>
    <w:rsid w:val="00784C45"/>
    <w:rsid w:val="00784D81"/>
    <w:rsid w:val="00785103"/>
    <w:rsid w:val="00785348"/>
    <w:rsid w:val="007855BE"/>
    <w:rsid w:val="00785735"/>
    <w:rsid w:val="0078573F"/>
    <w:rsid w:val="00785848"/>
    <w:rsid w:val="00785BCF"/>
    <w:rsid w:val="00785C2D"/>
    <w:rsid w:val="00785C3C"/>
    <w:rsid w:val="007860F9"/>
    <w:rsid w:val="0078634D"/>
    <w:rsid w:val="00786371"/>
    <w:rsid w:val="0078665E"/>
    <w:rsid w:val="007868CC"/>
    <w:rsid w:val="00786E33"/>
    <w:rsid w:val="00786E64"/>
    <w:rsid w:val="00786EC3"/>
    <w:rsid w:val="0078728B"/>
    <w:rsid w:val="007872B8"/>
    <w:rsid w:val="0078742A"/>
    <w:rsid w:val="007875D6"/>
    <w:rsid w:val="00787A0F"/>
    <w:rsid w:val="007900CD"/>
    <w:rsid w:val="00790295"/>
    <w:rsid w:val="007902D9"/>
    <w:rsid w:val="0079066A"/>
    <w:rsid w:val="0079069C"/>
    <w:rsid w:val="007906D3"/>
    <w:rsid w:val="007911DA"/>
    <w:rsid w:val="007912C7"/>
    <w:rsid w:val="0079143E"/>
    <w:rsid w:val="007915E3"/>
    <w:rsid w:val="007919E7"/>
    <w:rsid w:val="00791FA4"/>
    <w:rsid w:val="00791FB8"/>
    <w:rsid w:val="007921BA"/>
    <w:rsid w:val="00792383"/>
    <w:rsid w:val="007924EA"/>
    <w:rsid w:val="0079280D"/>
    <w:rsid w:val="0079289B"/>
    <w:rsid w:val="007928B7"/>
    <w:rsid w:val="00792ED2"/>
    <w:rsid w:val="00793090"/>
    <w:rsid w:val="00793191"/>
    <w:rsid w:val="007934A9"/>
    <w:rsid w:val="007937BB"/>
    <w:rsid w:val="007939F2"/>
    <w:rsid w:val="00793D8B"/>
    <w:rsid w:val="00793F91"/>
    <w:rsid w:val="007941B1"/>
    <w:rsid w:val="00794248"/>
    <w:rsid w:val="0079429C"/>
    <w:rsid w:val="00794665"/>
    <w:rsid w:val="00794B51"/>
    <w:rsid w:val="00794B8B"/>
    <w:rsid w:val="00794E1F"/>
    <w:rsid w:val="0079509B"/>
    <w:rsid w:val="00795343"/>
    <w:rsid w:val="00795739"/>
    <w:rsid w:val="00795B46"/>
    <w:rsid w:val="00795B9E"/>
    <w:rsid w:val="00795BB8"/>
    <w:rsid w:val="00796018"/>
    <w:rsid w:val="007962C8"/>
    <w:rsid w:val="0079633A"/>
    <w:rsid w:val="00796450"/>
    <w:rsid w:val="007964AF"/>
    <w:rsid w:val="00796782"/>
    <w:rsid w:val="0079679D"/>
    <w:rsid w:val="007967B5"/>
    <w:rsid w:val="00796A1E"/>
    <w:rsid w:val="00796AA7"/>
    <w:rsid w:val="00796FF3"/>
    <w:rsid w:val="00797721"/>
    <w:rsid w:val="0079794A"/>
    <w:rsid w:val="00797A1C"/>
    <w:rsid w:val="00797C65"/>
    <w:rsid w:val="00797CE7"/>
    <w:rsid w:val="00797D13"/>
    <w:rsid w:val="007A0043"/>
    <w:rsid w:val="007A0202"/>
    <w:rsid w:val="007A045F"/>
    <w:rsid w:val="007A0D0A"/>
    <w:rsid w:val="007A0FBB"/>
    <w:rsid w:val="007A1147"/>
    <w:rsid w:val="007A1287"/>
    <w:rsid w:val="007A1373"/>
    <w:rsid w:val="007A13DE"/>
    <w:rsid w:val="007A1451"/>
    <w:rsid w:val="007A14D8"/>
    <w:rsid w:val="007A1A6F"/>
    <w:rsid w:val="007A1B1E"/>
    <w:rsid w:val="007A1BAC"/>
    <w:rsid w:val="007A1C41"/>
    <w:rsid w:val="007A1D49"/>
    <w:rsid w:val="007A2047"/>
    <w:rsid w:val="007A20C1"/>
    <w:rsid w:val="007A23FB"/>
    <w:rsid w:val="007A2413"/>
    <w:rsid w:val="007A2694"/>
    <w:rsid w:val="007A2C09"/>
    <w:rsid w:val="007A36AF"/>
    <w:rsid w:val="007A3751"/>
    <w:rsid w:val="007A379D"/>
    <w:rsid w:val="007A3F28"/>
    <w:rsid w:val="007A3FAE"/>
    <w:rsid w:val="007A3FD3"/>
    <w:rsid w:val="007A41E9"/>
    <w:rsid w:val="007A4524"/>
    <w:rsid w:val="007A4682"/>
    <w:rsid w:val="007A48F9"/>
    <w:rsid w:val="007A4F33"/>
    <w:rsid w:val="007A4FC6"/>
    <w:rsid w:val="007A50D5"/>
    <w:rsid w:val="007A55C3"/>
    <w:rsid w:val="007A5771"/>
    <w:rsid w:val="007A5990"/>
    <w:rsid w:val="007A5C57"/>
    <w:rsid w:val="007A5D1D"/>
    <w:rsid w:val="007A5EB9"/>
    <w:rsid w:val="007A607E"/>
    <w:rsid w:val="007A618B"/>
    <w:rsid w:val="007A61C3"/>
    <w:rsid w:val="007A6482"/>
    <w:rsid w:val="007A65CC"/>
    <w:rsid w:val="007A68AA"/>
    <w:rsid w:val="007A691C"/>
    <w:rsid w:val="007A6B4E"/>
    <w:rsid w:val="007A6D0C"/>
    <w:rsid w:val="007A6E30"/>
    <w:rsid w:val="007A6EDE"/>
    <w:rsid w:val="007A6EEB"/>
    <w:rsid w:val="007A6FA0"/>
    <w:rsid w:val="007A71E8"/>
    <w:rsid w:val="007A78CE"/>
    <w:rsid w:val="007A78E3"/>
    <w:rsid w:val="007A7927"/>
    <w:rsid w:val="007A79F3"/>
    <w:rsid w:val="007A7C02"/>
    <w:rsid w:val="007A7C50"/>
    <w:rsid w:val="007B00DF"/>
    <w:rsid w:val="007B0160"/>
    <w:rsid w:val="007B080E"/>
    <w:rsid w:val="007B0A99"/>
    <w:rsid w:val="007B0BF7"/>
    <w:rsid w:val="007B0C60"/>
    <w:rsid w:val="007B1083"/>
    <w:rsid w:val="007B10E3"/>
    <w:rsid w:val="007B1105"/>
    <w:rsid w:val="007B11F7"/>
    <w:rsid w:val="007B13EC"/>
    <w:rsid w:val="007B1A16"/>
    <w:rsid w:val="007B1AD1"/>
    <w:rsid w:val="007B1B16"/>
    <w:rsid w:val="007B1B5F"/>
    <w:rsid w:val="007B1ECB"/>
    <w:rsid w:val="007B211C"/>
    <w:rsid w:val="007B2B14"/>
    <w:rsid w:val="007B2D88"/>
    <w:rsid w:val="007B2F55"/>
    <w:rsid w:val="007B2F93"/>
    <w:rsid w:val="007B37CE"/>
    <w:rsid w:val="007B3ABA"/>
    <w:rsid w:val="007B3AF1"/>
    <w:rsid w:val="007B3B55"/>
    <w:rsid w:val="007B3EE5"/>
    <w:rsid w:val="007B3FBE"/>
    <w:rsid w:val="007B3FCC"/>
    <w:rsid w:val="007B4307"/>
    <w:rsid w:val="007B449F"/>
    <w:rsid w:val="007B46DD"/>
    <w:rsid w:val="007B4B0D"/>
    <w:rsid w:val="007B4CBF"/>
    <w:rsid w:val="007B5225"/>
    <w:rsid w:val="007B5483"/>
    <w:rsid w:val="007B54B0"/>
    <w:rsid w:val="007B5766"/>
    <w:rsid w:val="007B5829"/>
    <w:rsid w:val="007B5842"/>
    <w:rsid w:val="007B596F"/>
    <w:rsid w:val="007B5E57"/>
    <w:rsid w:val="007B5F29"/>
    <w:rsid w:val="007B6151"/>
    <w:rsid w:val="007B618D"/>
    <w:rsid w:val="007B6B7A"/>
    <w:rsid w:val="007B7034"/>
    <w:rsid w:val="007B7757"/>
    <w:rsid w:val="007B787C"/>
    <w:rsid w:val="007B7907"/>
    <w:rsid w:val="007B7BE2"/>
    <w:rsid w:val="007B7C7E"/>
    <w:rsid w:val="007B7E91"/>
    <w:rsid w:val="007C027D"/>
    <w:rsid w:val="007C05DE"/>
    <w:rsid w:val="007C09C4"/>
    <w:rsid w:val="007C0C1C"/>
    <w:rsid w:val="007C0E5C"/>
    <w:rsid w:val="007C0F82"/>
    <w:rsid w:val="007C1018"/>
    <w:rsid w:val="007C1374"/>
    <w:rsid w:val="007C13EE"/>
    <w:rsid w:val="007C145D"/>
    <w:rsid w:val="007C17EB"/>
    <w:rsid w:val="007C18FE"/>
    <w:rsid w:val="007C1A01"/>
    <w:rsid w:val="007C1C7B"/>
    <w:rsid w:val="007C1D58"/>
    <w:rsid w:val="007C1DB5"/>
    <w:rsid w:val="007C1EDB"/>
    <w:rsid w:val="007C1F75"/>
    <w:rsid w:val="007C2371"/>
    <w:rsid w:val="007C2582"/>
    <w:rsid w:val="007C26CE"/>
    <w:rsid w:val="007C2714"/>
    <w:rsid w:val="007C2778"/>
    <w:rsid w:val="007C27F2"/>
    <w:rsid w:val="007C2940"/>
    <w:rsid w:val="007C298A"/>
    <w:rsid w:val="007C2A88"/>
    <w:rsid w:val="007C2CE3"/>
    <w:rsid w:val="007C2D04"/>
    <w:rsid w:val="007C3045"/>
    <w:rsid w:val="007C324C"/>
    <w:rsid w:val="007C3A1E"/>
    <w:rsid w:val="007C3D17"/>
    <w:rsid w:val="007C3FCF"/>
    <w:rsid w:val="007C40CF"/>
    <w:rsid w:val="007C4182"/>
    <w:rsid w:val="007C4331"/>
    <w:rsid w:val="007C435B"/>
    <w:rsid w:val="007C444E"/>
    <w:rsid w:val="007C4453"/>
    <w:rsid w:val="007C464D"/>
    <w:rsid w:val="007C46C8"/>
    <w:rsid w:val="007C4732"/>
    <w:rsid w:val="007C4E4E"/>
    <w:rsid w:val="007C4F4A"/>
    <w:rsid w:val="007C5297"/>
    <w:rsid w:val="007C52EA"/>
    <w:rsid w:val="007C55F7"/>
    <w:rsid w:val="007C5978"/>
    <w:rsid w:val="007C59C0"/>
    <w:rsid w:val="007C5CA8"/>
    <w:rsid w:val="007C602D"/>
    <w:rsid w:val="007C6192"/>
    <w:rsid w:val="007C62C1"/>
    <w:rsid w:val="007C661E"/>
    <w:rsid w:val="007C6793"/>
    <w:rsid w:val="007C6A17"/>
    <w:rsid w:val="007C6A1B"/>
    <w:rsid w:val="007C6C1A"/>
    <w:rsid w:val="007C6D1A"/>
    <w:rsid w:val="007C6DC3"/>
    <w:rsid w:val="007C7334"/>
    <w:rsid w:val="007C73F6"/>
    <w:rsid w:val="007C743D"/>
    <w:rsid w:val="007C744E"/>
    <w:rsid w:val="007C7692"/>
    <w:rsid w:val="007C7B69"/>
    <w:rsid w:val="007C7D2F"/>
    <w:rsid w:val="007C7DFF"/>
    <w:rsid w:val="007C7E48"/>
    <w:rsid w:val="007D02CA"/>
    <w:rsid w:val="007D02D4"/>
    <w:rsid w:val="007D03B5"/>
    <w:rsid w:val="007D0E9B"/>
    <w:rsid w:val="007D133B"/>
    <w:rsid w:val="007D133D"/>
    <w:rsid w:val="007D1652"/>
    <w:rsid w:val="007D1911"/>
    <w:rsid w:val="007D1AB0"/>
    <w:rsid w:val="007D1B6B"/>
    <w:rsid w:val="007D1C34"/>
    <w:rsid w:val="007D1DDA"/>
    <w:rsid w:val="007D1FDB"/>
    <w:rsid w:val="007D217A"/>
    <w:rsid w:val="007D2181"/>
    <w:rsid w:val="007D22B8"/>
    <w:rsid w:val="007D2567"/>
    <w:rsid w:val="007D2739"/>
    <w:rsid w:val="007D2C51"/>
    <w:rsid w:val="007D2D20"/>
    <w:rsid w:val="007D3178"/>
    <w:rsid w:val="007D32C6"/>
    <w:rsid w:val="007D37D5"/>
    <w:rsid w:val="007D4456"/>
    <w:rsid w:val="007D4478"/>
    <w:rsid w:val="007D466A"/>
    <w:rsid w:val="007D46E9"/>
    <w:rsid w:val="007D4765"/>
    <w:rsid w:val="007D4B44"/>
    <w:rsid w:val="007D4D56"/>
    <w:rsid w:val="007D52F1"/>
    <w:rsid w:val="007D53DE"/>
    <w:rsid w:val="007D5511"/>
    <w:rsid w:val="007D57C2"/>
    <w:rsid w:val="007D58B1"/>
    <w:rsid w:val="007D5A73"/>
    <w:rsid w:val="007D5B28"/>
    <w:rsid w:val="007D5EFC"/>
    <w:rsid w:val="007D5F80"/>
    <w:rsid w:val="007D61CC"/>
    <w:rsid w:val="007D61FF"/>
    <w:rsid w:val="007D63C5"/>
    <w:rsid w:val="007D6449"/>
    <w:rsid w:val="007D6A7C"/>
    <w:rsid w:val="007D6D1D"/>
    <w:rsid w:val="007D70BF"/>
    <w:rsid w:val="007D726F"/>
    <w:rsid w:val="007D73CE"/>
    <w:rsid w:val="007D778B"/>
    <w:rsid w:val="007D7AB9"/>
    <w:rsid w:val="007D7B93"/>
    <w:rsid w:val="007D7C52"/>
    <w:rsid w:val="007D7C7B"/>
    <w:rsid w:val="007E0023"/>
    <w:rsid w:val="007E00F8"/>
    <w:rsid w:val="007E0568"/>
    <w:rsid w:val="007E0D29"/>
    <w:rsid w:val="007E0D76"/>
    <w:rsid w:val="007E0DB8"/>
    <w:rsid w:val="007E0F26"/>
    <w:rsid w:val="007E0F67"/>
    <w:rsid w:val="007E0FBD"/>
    <w:rsid w:val="007E114E"/>
    <w:rsid w:val="007E118E"/>
    <w:rsid w:val="007E1413"/>
    <w:rsid w:val="007E1431"/>
    <w:rsid w:val="007E1583"/>
    <w:rsid w:val="007E167C"/>
    <w:rsid w:val="007E1AF1"/>
    <w:rsid w:val="007E1B69"/>
    <w:rsid w:val="007E1B8D"/>
    <w:rsid w:val="007E1C56"/>
    <w:rsid w:val="007E209F"/>
    <w:rsid w:val="007E2338"/>
    <w:rsid w:val="007E2503"/>
    <w:rsid w:val="007E29C1"/>
    <w:rsid w:val="007E2A0C"/>
    <w:rsid w:val="007E2AEF"/>
    <w:rsid w:val="007E2B1D"/>
    <w:rsid w:val="007E2BA9"/>
    <w:rsid w:val="007E2CD5"/>
    <w:rsid w:val="007E2CFB"/>
    <w:rsid w:val="007E2D5D"/>
    <w:rsid w:val="007E2ED0"/>
    <w:rsid w:val="007E300D"/>
    <w:rsid w:val="007E3266"/>
    <w:rsid w:val="007E3303"/>
    <w:rsid w:val="007E33E1"/>
    <w:rsid w:val="007E3477"/>
    <w:rsid w:val="007E3692"/>
    <w:rsid w:val="007E3731"/>
    <w:rsid w:val="007E3A40"/>
    <w:rsid w:val="007E3B89"/>
    <w:rsid w:val="007E40C6"/>
    <w:rsid w:val="007E4322"/>
    <w:rsid w:val="007E4359"/>
    <w:rsid w:val="007E4405"/>
    <w:rsid w:val="007E4593"/>
    <w:rsid w:val="007E4746"/>
    <w:rsid w:val="007E4D6C"/>
    <w:rsid w:val="007E4DF8"/>
    <w:rsid w:val="007E50FA"/>
    <w:rsid w:val="007E5294"/>
    <w:rsid w:val="007E54D6"/>
    <w:rsid w:val="007E5FA3"/>
    <w:rsid w:val="007E60C7"/>
    <w:rsid w:val="007E6194"/>
    <w:rsid w:val="007E63D4"/>
    <w:rsid w:val="007E6457"/>
    <w:rsid w:val="007E6537"/>
    <w:rsid w:val="007E65BF"/>
    <w:rsid w:val="007E65EE"/>
    <w:rsid w:val="007E6A1F"/>
    <w:rsid w:val="007E72D2"/>
    <w:rsid w:val="007E742E"/>
    <w:rsid w:val="007E748F"/>
    <w:rsid w:val="007E74A9"/>
    <w:rsid w:val="007E761A"/>
    <w:rsid w:val="007E7CAE"/>
    <w:rsid w:val="007E7EC3"/>
    <w:rsid w:val="007E7F37"/>
    <w:rsid w:val="007F032F"/>
    <w:rsid w:val="007F066F"/>
    <w:rsid w:val="007F096F"/>
    <w:rsid w:val="007F0B46"/>
    <w:rsid w:val="007F0C20"/>
    <w:rsid w:val="007F11DA"/>
    <w:rsid w:val="007F1237"/>
    <w:rsid w:val="007F132C"/>
    <w:rsid w:val="007F1421"/>
    <w:rsid w:val="007F1489"/>
    <w:rsid w:val="007F1C03"/>
    <w:rsid w:val="007F1D49"/>
    <w:rsid w:val="007F20CF"/>
    <w:rsid w:val="007F21E4"/>
    <w:rsid w:val="007F24A8"/>
    <w:rsid w:val="007F2599"/>
    <w:rsid w:val="007F2B6F"/>
    <w:rsid w:val="007F2FDE"/>
    <w:rsid w:val="007F3090"/>
    <w:rsid w:val="007F3352"/>
    <w:rsid w:val="007F35BB"/>
    <w:rsid w:val="007F3649"/>
    <w:rsid w:val="007F366D"/>
    <w:rsid w:val="007F36F0"/>
    <w:rsid w:val="007F3934"/>
    <w:rsid w:val="007F3B5A"/>
    <w:rsid w:val="007F3BF7"/>
    <w:rsid w:val="007F3EE6"/>
    <w:rsid w:val="007F435A"/>
    <w:rsid w:val="007F447E"/>
    <w:rsid w:val="007F4739"/>
    <w:rsid w:val="007F486C"/>
    <w:rsid w:val="007F49B9"/>
    <w:rsid w:val="007F4A91"/>
    <w:rsid w:val="007F4BCB"/>
    <w:rsid w:val="007F4D10"/>
    <w:rsid w:val="007F4D63"/>
    <w:rsid w:val="007F4E5B"/>
    <w:rsid w:val="007F530A"/>
    <w:rsid w:val="007F5575"/>
    <w:rsid w:val="007F5AB8"/>
    <w:rsid w:val="007F5BBE"/>
    <w:rsid w:val="007F5F4A"/>
    <w:rsid w:val="007F60EF"/>
    <w:rsid w:val="007F65DF"/>
    <w:rsid w:val="007F66BE"/>
    <w:rsid w:val="007F67C1"/>
    <w:rsid w:val="007F6879"/>
    <w:rsid w:val="007F687D"/>
    <w:rsid w:val="007F692F"/>
    <w:rsid w:val="007F6BFC"/>
    <w:rsid w:val="007F6C8C"/>
    <w:rsid w:val="007F7175"/>
    <w:rsid w:val="007F71DE"/>
    <w:rsid w:val="007F728E"/>
    <w:rsid w:val="007F7714"/>
    <w:rsid w:val="007F7867"/>
    <w:rsid w:val="007F7B83"/>
    <w:rsid w:val="007F7BD1"/>
    <w:rsid w:val="0080008D"/>
    <w:rsid w:val="008000B3"/>
    <w:rsid w:val="0080026C"/>
    <w:rsid w:val="008005C5"/>
    <w:rsid w:val="00800865"/>
    <w:rsid w:val="00800A6B"/>
    <w:rsid w:val="00801457"/>
    <w:rsid w:val="00801574"/>
    <w:rsid w:val="0080175B"/>
    <w:rsid w:val="00801C75"/>
    <w:rsid w:val="00802000"/>
    <w:rsid w:val="00802066"/>
    <w:rsid w:val="00802150"/>
    <w:rsid w:val="008021A7"/>
    <w:rsid w:val="008028D7"/>
    <w:rsid w:val="00802BE1"/>
    <w:rsid w:val="00802E21"/>
    <w:rsid w:val="00802F65"/>
    <w:rsid w:val="008030E2"/>
    <w:rsid w:val="008031EE"/>
    <w:rsid w:val="0080342A"/>
    <w:rsid w:val="00803461"/>
    <w:rsid w:val="0080360B"/>
    <w:rsid w:val="0080369E"/>
    <w:rsid w:val="00803752"/>
    <w:rsid w:val="008039C7"/>
    <w:rsid w:val="00803CCD"/>
    <w:rsid w:val="00803CCF"/>
    <w:rsid w:val="00803D41"/>
    <w:rsid w:val="00804033"/>
    <w:rsid w:val="00804097"/>
    <w:rsid w:val="00804543"/>
    <w:rsid w:val="0080481A"/>
    <w:rsid w:val="00804B96"/>
    <w:rsid w:val="00804CC4"/>
    <w:rsid w:val="00804D09"/>
    <w:rsid w:val="00805149"/>
    <w:rsid w:val="00805239"/>
    <w:rsid w:val="00805383"/>
    <w:rsid w:val="00805461"/>
    <w:rsid w:val="00805543"/>
    <w:rsid w:val="00805D05"/>
    <w:rsid w:val="00805DF0"/>
    <w:rsid w:val="00806014"/>
    <w:rsid w:val="0080606F"/>
    <w:rsid w:val="008060CD"/>
    <w:rsid w:val="00806539"/>
    <w:rsid w:val="008068AE"/>
    <w:rsid w:val="00806A1E"/>
    <w:rsid w:val="00806D0D"/>
    <w:rsid w:val="00806E8E"/>
    <w:rsid w:val="00807257"/>
    <w:rsid w:val="00807500"/>
    <w:rsid w:val="008077D3"/>
    <w:rsid w:val="008078A4"/>
    <w:rsid w:val="00807BCD"/>
    <w:rsid w:val="00807C25"/>
    <w:rsid w:val="00807D1B"/>
    <w:rsid w:val="00810063"/>
    <w:rsid w:val="00810327"/>
    <w:rsid w:val="0081041D"/>
    <w:rsid w:val="00810536"/>
    <w:rsid w:val="008106DF"/>
    <w:rsid w:val="00810773"/>
    <w:rsid w:val="0081088E"/>
    <w:rsid w:val="00810A0D"/>
    <w:rsid w:val="00810A44"/>
    <w:rsid w:val="00810FFD"/>
    <w:rsid w:val="00811056"/>
    <w:rsid w:val="00811DD6"/>
    <w:rsid w:val="00811E0B"/>
    <w:rsid w:val="00811FD9"/>
    <w:rsid w:val="008121B1"/>
    <w:rsid w:val="00812608"/>
    <w:rsid w:val="0081262E"/>
    <w:rsid w:val="008126F3"/>
    <w:rsid w:val="00812730"/>
    <w:rsid w:val="00812870"/>
    <w:rsid w:val="00812A20"/>
    <w:rsid w:val="00812D58"/>
    <w:rsid w:val="00812DE4"/>
    <w:rsid w:val="00812E46"/>
    <w:rsid w:val="00812ED6"/>
    <w:rsid w:val="0081304D"/>
    <w:rsid w:val="00813354"/>
    <w:rsid w:val="0081351E"/>
    <w:rsid w:val="008135CD"/>
    <w:rsid w:val="00813BCB"/>
    <w:rsid w:val="00813D6F"/>
    <w:rsid w:val="00814136"/>
    <w:rsid w:val="00814178"/>
    <w:rsid w:val="008142B5"/>
    <w:rsid w:val="008142C2"/>
    <w:rsid w:val="0081450F"/>
    <w:rsid w:val="00814563"/>
    <w:rsid w:val="00814788"/>
    <w:rsid w:val="00814997"/>
    <w:rsid w:val="00814AA1"/>
    <w:rsid w:val="00814B1B"/>
    <w:rsid w:val="00814C9B"/>
    <w:rsid w:val="00815857"/>
    <w:rsid w:val="008158E9"/>
    <w:rsid w:val="00815A47"/>
    <w:rsid w:val="00815B6B"/>
    <w:rsid w:val="00815C6B"/>
    <w:rsid w:val="0081614C"/>
    <w:rsid w:val="00816395"/>
    <w:rsid w:val="008164FE"/>
    <w:rsid w:val="00816AC6"/>
    <w:rsid w:val="00816C6A"/>
    <w:rsid w:val="00816CC8"/>
    <w:rsid w:val="00817128"/>
    <w:rsid w:val="00817225"/>
    <w:rsid w:val="00817258"/>
    <w:rsid w:val="008172B1"/>
    <w:rsid w:val="00817357"/>
    <w:rsid w:val="008173BD"/>
    <w:rsid w:val="008178FD"/>
    <w:rsid w:val="00817A6C"/>
    <w:rsid w:val="00817B2C"/>
    <w:rsid w:val="00817D4D"/>
    <w:rsid w:val="00820150"/>
    <w:rsid w:val="00820323"/>
    <w:rsid w:val="008207CB"/>
    <w:rsid w:val="00820861"/>
    <w:rsid w:val="00820BE4"/>
    <w:rsid w:val="00820CC9"/>
    <w:rsid w:val="00820D2A"/>
    <w:rsid w:val="00820F56"/>
    <w:rsid w:val="008210E2"/>
    <w:rsid w:val="008211AF"/>
    <w:rsid w:val="00821257"/>
    <w:rsid w:val="00821292"/>
    <w:rsid w:val="008214B2"/>
    <w:rsid w:val="0082158C"/>
    <w:rsid w:val="0082159A"/>
    <w:rsid w:val="00821616"/>
    <w:rsid w:val="00821631"/>
    <w:rsid w:val="008216C0"/>
    <w:rsid w:val="00821835"/>
    <w:rsid w:val="00821927"/>
    <w:rsid w:val="00821A95"/>
    <w:rsid w:val="00821AE3"/>
    <w:rsid w:val="00821C45"/>
    <w:rsid w:val="00821F7C"/>
    <w:rsid w:val="008220CC"/>
    <w:rsid w:val="008221FF"/>
    <w:rsid w:val="00822861"/>
    <w:rsid w:val="00822B44"/>
    <w:rsid w:val="00822BF4"/>
    <w:rsid w:val="00822BF5"/>
    <w:rsid w:val="00822F2B"/>
    <w:rsid w:val="008234BF"/>
    <w:rsid w:val="008237C8"/>
    <w:rsid w:val="00823942"/>
    <w:rsid w:val="00823A42"/>
    <w:rsid w:val="00823A43"/>
    <w:rsid w:val="00823B14"/>
    <w:rsid w:val="00823B1E"/>
    <w:rsid w:val="00824182"/>
    <w:rsid w:val="008244F0"/>
    <w:rsid w:val="0082497B"/>
    <w:rsid w:val="008249E4"/>
    <w:rsid w:val="00824A2E"/>
    <w:rsid w:val="00824CE0"/>
    <w:rsid w:val="00824D0E"/>
    <w:rsid w:val="0082502C"/>
    <w:rsid w:val="00825078"/>
    <w:rsid w:val="00825276"/>
    <w:rsid w:val="008252A6"/>
    <w:rsid w:val="00825820"/>
    <w:rsid w:val="00825882"/>
    <w:rsid w:val="00826152"/>
    <w:rsid w:val="00826352"/>
    <w:rsid w:val="008263EA"/>
    <w:rsid w:val="0082644F"/>
    <w:rsid w:val="008270EC"/>
    <w:rsid w:val="008272B6"/>
    <w:rsid w:val="00827438"/>
    <w:rsid w:val="008274BA"/>
    <w:rsid w:val="008279AF"/>
    <w:rsid w:val="00827AF5"/>
    <w:rsid w:val="00827C5E"/>
    <w:rsid w:val="00827CCB"/>
    <w:rsid w:val="00827D68"/>
    <w:rsid w:val="00827EAA"/>
    <w:rsid w:val="00827F3C"/>
    <w:rsid w:val="0083017F"/>
    <w:rsid w:val="00830257"/>
    <w:rsid w:val="008305E2"/>
    <w:rsid w:val="0083082C"/>
    <w:rsid w:val="00830A63"/>
    <w:rsid w:val="00830C6F"/>
    <w:rsid w:val="00830D00"/>
    <w:rsid w:val="00830DEC"/>
    <w:rsid w:val="00830FCD"/>
    <w:rsid w:val="008311CC"/>
    <w:rsid w:val="008313CD"/>
    <w:rsid w:val="0083163E"/>
    <w:rsid w:val="00831696"/>
    <w:rsid w:val="0083178B"/>
    <w:rsid w:val="00831A7C"/>
    <w:rsid w:val="00831B04"/>
    <w:rsid w:val="00831CC7"/>
    <w:rsid w:val="00831E04"/>
    <w:rsid w:val="00831E58"/>
    <w:rsid w:val="00832108"/>
    <w:rsid w:val="0083228B"/>
    <w:rsid w:val="0083249E"/>
    <w:rsid w:val="00832524"/>
    <w:rsid w:val="008327EB"/>
    <w:rsid w:val="008329CD"/>
    <w:rsid w:val="008329F7"/>
    <w:rsid w:val="00833044"/>
    <w:rsid w:val="00833628"/>
    <w:rsid w:val="008337A4"/>
    <w:rsid w:val="00833CF7"/>
    <w:rsid w:val="00833D5E"/>
    <w:rsid w:val="00833E7A"/>
    <w:rsid w:val="00833FCC"/>
    <w:rsid w:val="0083448F"/>
    <w:rsid w:val="00834651"/>
    <w:rsid w:val="0083473A"/>
    <w:rsid w:val="0083497C"/>
    <w:rsid w:val="00834E32"/>
    <w:rsid w:val="008353C5"/>
    <w:rsid w:val="008353EA"/>
    <w:rsid w:val="0083550F"/>
    <w:rsid w:val="00835AF0"/>
    <w:rsid w:val="00835C59"/>
    <w:rsid w:val="00835C6C"/>
    <w:rsid w:val="00835E1A"/>
    <w:rsid w:val="00835ECB"/>
    <w:rsid w:val="0083613B"/>
    <w:rsid w:val="008361F5"/>
    <w:rsid w:val="0083688A"/>
    <w:rsid w:val="008369D7"/>
    <w:rsid w:val="00836A32"/>
    <w:rsid w:val="00836B9F"/>
    <w:rsid w:val="00836CE7"/>
    <w:rsid w:val="00836FE1"/>
    <w:rsid w:val="00837198"/>
    <w:rsid w:val="00837246"/>
    <w:rsid w:val="00837291"/>
    <w:rsid w:val="0083751B"/>
    <w:rsid w:val="00837555"/>
    <w:rsid w:val="00837561"/>
    <w:rsid w:val="008375F8"/>
    <w:rsid w:val="00837641"/>
    <w:rsid w:val="0083788F"/>
    <w:rsid w:val="00837A64"/>
    <w:rsid w:val="00837AB4"/>
    <w:rsid w:val="00837DEE"/>
    <w:rsid w:val="00837E65"/>
    <w:rsid w:val="00837EBF"/>
    <w:rsid w:val="00837F4A"/>
    <w:rsid w:val="00840297"/>
    <w:rsid w:val="008404D7"/>
    <w:rsid w:val="0084064A"/>
    <w:rsid w:val="00840714"/>
    <w:rsid w:val="00840729"/>
    <w:rsid w:val="008408AA"/>
    <w:rsid w:val="00840C3D"/>
    <w:rsid w:val="00840D41"/>
    <w:rsid w:val="00840DC8"/>
    <w:rsid w:val="00841ADB"/>
    <w:rsid w:val="008420D7"/>
    <w:rsid w:val="0084239E"/>
    <w:rsid w:val="008423C8"/>
    <w:rsid w:val="008424CA"/>
    <w:rsid w:val="00842542"/>
    <w:rsid w:val="00842638"/>
    <w:rsid w:val="00842776"/>
    <w:rsid w:val="0084281B"/>
    <w:rsid w:val="00842837"/>
    <w:rsid w:val="00842BC1"/>
    <w:rsid w:val="00842DEB"/>
    <w:rsid w:val="00842E61"/>
    <w:rsid w:val="008438D3"/>
    <w:rsid w:val="00843A23"/>
    <w:rsid w:val="00843C00"/>
    <w:rsid w:val="00843FA3"/>
    <w:rsid w:val="0084405C"/>
    <w:rsid w:val="008446A4"/>
    <w:rsid w:val="008447BF"/>
    <w:rsid w:val="0084498B"/>
    <w:rsid w:val="00844B71"/>
    <w:rsid w:val="00844C97"/>
    <w:rsid w:val="00844CC2"/>
    <w:rsid w:val="00844ED8"/>
    <w:rsid w:val="00844F4B"/>
    <w:rsid w:val="00845088"/>
    <w:rsid w:val="00845397"/>
    <w:rsid w:val="008453DD"/>
    <w:rsid w:val="0084559A"/>
    <w:rsid w:val="008458CD"/>
    <w:rsid w:val="00845AAC"/>
    <w:rsid w:val="00845AE2"/>
    <w:rsid w:val="00845B30"/>
    <w:rsid w:val="00845E93"/>
    <w:rsid w:val="00845EBF"/>
    <w:rsid w:val="00845ED2"/>
    <w:rsid w:val="00846023"/>
    <w:rsid w:val="0084651C"/>
    <w:rsid w:val="00846531"/>
    <w:rsid w:val="00846680"/>
    <w:rsid w:val="008466C2"/>
    <w:rsid w:val="008466EB"/>
    <w:rsid w:val="0084671E"/>
    <w:rsid w:val="00846731"/>
    <w:rsid w:val="00846986"/>
    <w:rsid w:val="00846E33"/>
    <w:rsid w:val="00846EEE"/>
    <w:rsid w:val="00846F08"/>
    <w:rsid w:val="00847065"/>
    <w:rsid w:val="00847128"/>
    <w:rsid w:val="008471CB"/>
    <w:rsid w:val="00847471"/>
    <w:rsid w:val="008475CC"/>
    <w:rsid w:val="0084775A"/>
    <w:rsid w:val="0084797F"/>
    <w:rsid w:val="00847BB9"/>
    <w:rsid w:val="00847D9D"/>
    <w:rsid w:val="00847E8F"/>
    <w:rsid w:val="0085010D"/>
    <w:rsid w:val="00850132"/>
    <w:rsid w:val="00850244"/>
    <w:rsid w:val="0085068C"/>
    <w:rsid w:val="00850853"/>
    <w:rsid w:val="008508CF"/>
    <w:rsid w:val="00850B79"/>
    <w:rsid w:val="008515D2"/>
    <w:rsid w:val="0085192E"/>
    <w:rsid w:val="00852454"/>
    <w:rsid w:val="00852632"/>
    <w:rsid w:val="008528CC"/>
    <w:rsid w:val="00852EB6"/>
    <w:rsid w:val="00852EE9"/>
    <w:rsid w:val="008533D0"/>
    <w:rsid w:val="008534E5"/>
    <w:rsid w:val="0085350A"/>
    <w:rsid w:val="00853594"/>
    <w:rsid w:val="008536A5"/>
    <w:rsid w:val="00853792"/>
    <w:rsid w:val="008537A8"/>
    <w:rsid w:val="00853957"/>
    <w:rsid w:val="00853B87"/>
    <w:rsid w:val="00853C2C"/>
    <w:rsid w:val="00853CD1"/>
    <w:rsid w:val="00853EEE"/>
    <w:rsid w:val="00853EF3"/>
    <w:rsid w:val="00853F48"/>
    <w:rsid w:val="0085447F"/>
    <w:rsid w:val="008544D5"/>
    <w:rsid w:val="00854537"/>
    <w:rsid w:val="00854785"/>
    <w:rsid w:val="008549CA"/>
    <w:rsid w:val="00854A91"/>
    <w:rsid w:val="00854B8F"/>
    <w:rsid w:val="00854DD7"/>
    <w:rsid w:val="00854DF5"/>
    <w:rsid w:val="0085511B"/>
    <w:rsid w:val="008552D8"/>
    <w:rsid w:val="008554E3"/>
    <w:rsid w:val="0085553D"/>
    <w:rsid w:val="00855A4D"/>
    <w:rsid w:val="00855B22"/>
    <w:rsid w:val="00855B7E"/>
    <w:rsid w:val="00855CD3"/>
    <w:rsid w:val="00855E8F"/>
    <w:rsid w:val="008562E9"/>
    <w:rsid w:val="008562FF"/>
    <w:rsid w:val="0085647A"/>
    <w:rsid w:val="00856855"/>
    <w:rsid w:val="008569BB"/>
    <w:rsid w:val="00856B6E"/>
    <w:rsid w:val="00856C5F"/>
    <w:rsid w:val="00856D9E"/>
    <w:rsid w:val="00856DE3"/>
    <w:rsid w:val="00856E62"/>
    <w:rsid w:val="008574E2"/>
    <w:rsid w:val="00857657"/>
    <w:rsid w:val="00857DCB"/>
    <w:rsid w:val="00857ED5"/>
    <w:rsid w:val="00857EDE"/>
    <w:rsid w:val="00857F40"/>
    <w:rsid w:val="00857F5C"/>
    <w:rsid w:val="008604F2"/>
    <w:rsid w:val="00860550"/>
    <w:rsid w:val="008609D7"/>
    <w:rsid w:val="00860AF6"/>
    <w:rsid w:val="00860B59"/>
    <w:rsid w:val="00860C6C"/>
    <w:rsid w:val="00860D60"/>
    <w:rsid w:val="00860D85"/>
    <w:rsid w:val="00860DDD"/>
    <w:rsid w:val="00861115"/>
    <w:rsid w:val="008617EA"/>
    <w:rsid w:val="00861B69"/>
    <w:rsid w:val="00861C37"/>
    <w:rsid w:val="00862429"/>
    <w:rsid w:val="0086248D"/>
    <w:rsid w:val="008626BD"/>
    <w:rsid w:val="00862852"/>
    <w:rsid w:val="008629CE"/>
    <w:rsid w:val="00862ACC"/>
    <w:rsid w:val="00862DB6"/>
    <w:rsid w:val="00862F8B"/>
    <w:rsid w:val="008634A8"/>
    <w:rsid w:val="00863CAE"/>
    <w:rsid w:val="00863D25"/>
    <w:rsid w:val="00863F1C"/>
    <w:rsid w:val="00864504"/>
    <w:rsid w:val="00864633"/>
    <w:rsid w:val="0086477F"/>
    <w:rsid w:val="00864817"/>
    <w:rsid w:val="00864ADA"/>
    <w:rsid w:val="00864C34"/>
    <w:rsid w:val="00864C8D"/>
    <w:rsid w:val="00864EF1"/>
    <w:rsid w:val="00865132"/>
    <w:rsid w:val="00865633"/>
    <w:rsid w:val="008656DA"/>
    <w:rsid w:val="008657D4"/>
    <w:rsid w:val="00866054"/>
    <w:rsid w:val="008663B7"/>
    <w:rsid w:val="0086640D"/>
    <w:rsid w:val="008667A9"/>
    <w:rsid w:val="00866872"/>
    <w:rsid w:val="008669C9"/>
    <w:rsid w:val="00866AAC"/>
    <w:rsid w:val="00866BBD"/>
    <w:rsid w:val="00866D29"/>
    <w:rsid w:val="00866D59"/>
    <w:rsid w:val="00866F6F"/>
    <w:rsid w:val="00866FE9"/>
    <w:rsid w:val="0086760D"/>
    <w:rsid w:val="00867676"/>
    <w:rsid w:val="008677F4"/>
    <w:rsid w:val="00867A2B"/>
    <w:rsid w:val="00867C42"/>
    <w:rsid w:val="00867D4A"/>
    <w:rsid w:val="00867D69"/>
    <w:rsid w:val="00867EB3"/>
    <w:rsid w:val="00867FAC"/>
    <w:rsid w:val="008700F4"/>
    <w:rsid w:val="008701BE"/>
    <w:rsid w:val="008703B6"/>
    <w:rsid w:val="00870507"/>
    <w:rsid w:val="008709E6"/>
    <w:rsid w:val="00870AAA"/>
    <w:rsid w:val="00870F82"/>
    <w:rsid w:val="008713F5"/>
    <w:rsid w:val="0087169B"/>
    <w:rsid w:val="008718ED"/>
    <w:rsid w:val="00871E95"/>
    <w:rsid w:val="00871F84"/>
    <w:rsid w:val="008729EB"/>
    <w:rsid w:val="00872A3D"/>
    <w:rsid w:val="00872BB8"/>
    <w:rsid w:val="00872C56"/>
    <w:rsid w:val="00872D66"/>
    <w:rsid w:val="00872E2F"/>
    <w:rsid w:val="00872EA0"/>
    <w:rsid w:val="00873211"/>
    <w:rsid w:val="00873D9F"/>
    <w:rsid w:val="00874483"/>
    <w:rsid w:val="0087485D"/>
    <w:rsid w:val="00874994"/>
    <w:rsid w:val="00874A1A"/>
    <w:rsid w:val="00874C02"/>
    <w:rsid w:val="0087506D"/>
    <w:rsid w:val="0087528A"/>
    <w:rsid w:val="0087551A"/>
    <w:rsid w:val="00875884"/>
    <w:rsid w:val="00875C97"/>
    <w:rsid w:val="00875E2D"/>
    <w:rsid w:val="00875EAB"/>
    <w:rsid w:val="00876504"/>
    <w:rsid w:val="0087659C"/>
    <w:rsid w:val="00876654"/>
    <w:rsid w:val="00876799"/>
    <w:rsid w:val="00876D7F"/>
    <w:rsid w:val="00876F78"/>
    <w:rsid w:val="00877478"/>
    <w:rsid w:val="00877549"/>
    <w:rsid w:val="00877B6E"/>
    <w:rsid w:val="00877B87"/>
    <w:rsid w:val="00877BBF"/>
    <w:rsid w:val="00877D6A"/>
    <w:rsid w:val="00877EFD"/>
    <w:rsid w:val="008800DF"/>
    <w:rsid w:val="008801A4"/>
    <w:rsid w:val="008806FF"/>
    <w:rsid w:val="00880C3C"/>
    <w:rsid w:val="0088103E"/>
    <w:rsid w:val="008810B5"/>
    <w:rsid w:val="0088144A"/>
    <w:rsid w:val="0088157F"/>
    <w:rsid w:val="00881598"/>
    <w:rsid w:val="008817BF"/>
    <w:rsid w:val="008817F4"/>
    <w:rsid w:val="00881A43"/>
    <w:rsid w:val="00881A86"/>
    <w:rsid w:val="00881DD4"/>
    <w:rsid w:val="008822A4"/>
    <w:rsid w:val="00882521"/>
    <w:rsid w:val="00882590"/>
    <w:rsid w:val="00882741"/>
    <w:rsid w:val="008829CC"/>
    <w:rsid w:val="00882A59"/>
    <w:rsid w:val="00882E22"/>
    <w:rsid w:val="00883043"/>
    <w:rsid w:val="00883067"/>
    <w:rsid w:val="0088318E"/>
    <w:rsid w:val="0088326E"/>
    <w:rsid w:val="008832F2"/>
    <w:rsid w:val="00883529"/>
    <w:rsid w:val="00883761"/>
    <w:rsid w:val="008837BA"/>
    <w:rsid w:val="008837DA"/>
    <w:rsid w:val="0088382C"/>
    <w:rsid w:val="00883B28"/>
    <w:rsid w:val="00883C39"/>
    <w:rsid w:val="00883E6E"/>
    <w:rsid w:val="00884101"/>
    <w:rsid w:val="0088441F"/>
    <w:rsid w:val="00884428"/>
    <w:rsid w:val="0088443C"/>
    <w:rsid w:val="008845AD"/>
    <w:rsid w:val="0088465F"/>
    <w:rsid w:val="008846A8"/>
    <w:rsid w:val="00884B19"/>
    <w:rsid w:val="00884C7E"/>
    <w:rsid w:val="00884CB2"/>
    <w:rsid w:val="00884D84"/>
    <w:rsid w:val="00884E8A"/>
    <w:rsid w:val="0088541A"/>
    <w:rsid w:val="008855BC"/>
    <w:rsid w:val="00885676"/>
    <w:rsid w:val="00885E30"/>
    <w:rsid w:val="00885F47"/>
    <w:rsid w:val="00886508"/>
    <w:rsid w:val="00886864"/>
    <w:rsid w:val="00886A7B"/>
    <w:rsid w:val="00886BB1"/>
    <w:rsid w:val="0088707E"/>
    <w:rsid w:val="008871EA"/>
    <w:rsid w:val="00887579"/>
    <w:rsid w:val="0088761C"/>
    <w:rsid w:val="008877DB"/>
    <w:rsid w:val="0088780A"/>
    <w:rsid w:val="00887882"/>
    <w:rsid w:val="008878E7"/>
    <w:rsid w:val="00887CF4"/>
    <w:rsid w:val="00887DF7"/>
    <w:rsid w:val="00887E2B"/>
    <w:rsid w:val="00887FB0"/>
    <w:rsid w:val="0089032F"/>
    <w:rsid w:val="008903D5"/>
    <w:rsid w:val="00890C63"/>
    <w:rsid w:val="00890CDF"/>
    <w:rsid w:val="00890E12"/>
    <w:rsid w:val="0089136A"/>
    <w:rsid w:val="008914B8"/>
    <w:rsid w:val="008916D4"/>
    <w:rsid w:val="00891782"/>
    <w:rsid w:val="00891AEB"/>
    <w:rsid w:val="00891EFE"/>
    <w:rsid w:val="0089207C"/>
    <w:rsid w:val="00892263"/>
    <w:rsid w:val="008922D3"/>
    <w:rsid w:val="00892464"/>
    <w:rsid w:val="00892527"/>
    <w:rsid w:val="008927C9"/>
    <w:rsid w:val="0089290B"/>
    <w:rsid w:val="00892E8A"/>
    <w:rsid w:val="00892F3A"/>
    <w:rsid w:val="008936B2"/>
    <w:rsid w:val="0089380A"/>
    <w:rsid w:val="00893834"/>
    <w:rsid w:val="008938EE"/>
    <w:rsid w:val="00893E44"/>
    <w:rsid w:val="0089454F"/>
    <w:rsid w:val="00894F8D"/>
    <w:rsid w:val="00894F9B"/>
    <w:rsid w:val="0089543C"/>
    <w:rsid w:val="00895543"/>
    <w:rsid w:val="00895617"/>
    <w:rsid w:val="00895822"/>
    <w:rsid w:val="008958E3"/>
    <w:rsid w:val="00895991"/>
    <w:rsid w:val="00895C7A"/>
    <w:rsid w:val="00895D8B"/>
    <w:rsid w:val="008961C6"/>
    <w:rsid w:val="0089624C"/>
    <w:rsid w:val="008963E6"/>
    <w:rsid w:val="008964DD"/>
    <w:rsid w:val="00896A22"/>
    <w:rsid w:val="00896B2E"/>
    <w:rsid w:val="00896FCA"/>
    <w:rsid w:val="008970AF"/>
    <w:rsid w:val="008977F3"/>
    <w:rsid w:val="00897B92"/>
    <w:rsid w:val="00897E49"/>
    <w:rsid w:val="00897E80"/>
    <w:rsid w:val="008A0101"/>
    <w:rsid w:val="008A040A"/>
    <w:rsid w:val="008A056F"/>
    <w:rsid w:val="008A0717"/>
    <w:rsid w:val="008A09CC"/>
    <w:rsid w:val="008A0B40"/>
    <w:rsid w:val="008A0EBB"/>
    <w:rsid w:val="008A13C2"/>
    <w:rsid w:val="008A1461"/>
    <w:rsid w:val="008A146A"/>
    <w:rsid w:val="008A155B"/>
    <w:rsid w:val="008A16E2"/>
    <w:rsid w:val="008A1BCB"/>
    <w:rsid w:val="008A1C73"/>
    <w:rsid w:val="008A1F8D"/>
    <w:rsid w:val="008A2014"/>
    <w:rsid w:val="008A20B0"/>
    <w:rsid w:val="008A21DF"/>
    <w:rsid w:val="008A25D1"/>
    <w:rsid w:val="008A26B3"/>
    <w:rsid w:val="008A26F7"/>
    <w:rsid w:val="008A2955"/>
    <w:rsid w:val="008A2B9A"/>
    <w:rsid w:val="008A2E6E"/>
    <w:rsid w:val="008A2ED1"/>
    <w:rsid w:val="008A3242"/>
    <w:rsid w:val="008A3377"/>
    <w:rsid w:val="008A33A7"/>
    <w:rsid w:val="008A345F"/>
    <w:rsid w:val="008A366B"/>
    <w:rsid w:val="008A3939"/>
    <w:rsid w:val="008A3999"/>
    <w:rsid w:val="008A3B33"/>
    <w:rsid w:val="008A3D9C"/>
    <w:rsid w:val="008A41EB"/>
    <w:rsid w:val="008A455F"/>
    <w:rsid w:val="008A4751"/>
    <w:rsid w:val="008A47E1"/>
    <w:rsid w:val="008A48FA"/>
    <w:rsid w:val="008A51CC"/>
    <w:rsid w:val="008A534F"/>
    <w:rsid w:val="008A57A2"/>
    <w:rsid w:val="008A5820"/>
    <w:rsid w:val="008A58A9"/>
    <w:rsid w:val="008A59E6"/>
    <w:rsid w:val="008A5A68"/>
    <w:rsid w:val="008A6229"/>
    <w:rsid w:val="008A62C0"/>
    <w:rsid w:val="008A6402"/>
    <w:rsid w:val="008A64AB"/>
    <w:rsid w:val="008A65C4"/>
    <w:rsid w:val="008A699E"/>
    <w:rsid w:val="008A69D1"/>
    <w:rsid w:val="008A6A67"/>
    <w:rsid w:val="008A6B37"/>
    <w:rsid w:val="008A6DE8"/>
    <w:rsid w:val="008A6EEE"/>
    <w:rsid w:val="008A6F36"/>
    <w:rsid w:val="008A7052"/>
    <w:rsid w:val="008A71E9"/>
    <w:rsid w:val="008A731C"/>
    <w:rsid w:val="008A73B4"/>
    <w:rsid w:val="008A7505"/>
    <w:rsid w:val="008A7611"/>
    <w:rsid w:val="008A77B4"/>
    <w:rsid w:val="008A7FA2"/>
    <w:rsid w:val="008B0342"/>
    <w:rsid w:val="008B0524"/>
    <w:rsid w:val="008B0565"/>
    <w:rsid w:val="008B071F"/>
    <w:rsid w:val="008B08A9"/>
    <w:rsid w:val="008B0944"/>
    <w:rsid w:val="008B0FED"/>
    <w:rsid w:val="008B11CE"/>
    <w:rsid w:val="008B127B"/>
    <w:rsid w:val="008B14CA"/>
    <w:rsid w:val="008B1795"/>
    <w:rsid w:val="008B1AD4"/>
    <w:rsid w:val="008B20D0"/>
    <w:rsid w:val="008B228F"/>
    <w:rsid w:val="008B24A1"/>
    <w:rsid w:val="008B24F5"/>
    <w:rsid w:val="008B25B9"/>
    <w:rsid w:val="008B25E8"/>
    <w:rsid w:val="008B28ED"/>
    <w:rsid w:val="008B2A30"/>
    <w:rsid w:val="008B2B7F"/>
    <w:rsid w:val="008B2BBD"/>
    <w:rsid w:val="008B2E36"/>
    <w:rsid w:val="008B3593"/>
    <w:rsid w:val="008B36C0"/>
    <w:rsid w:val="008B3755"/>
    <w:rsid w:val="008B38BF"/>
    <w:rsid w:val="008B3D63"/>
    <w:rsid w:val="008B3EDA"/>
    <w:rsid w:val="008B409F"/>
    <w:rsid w:val="008B4189"/>
    <w:rsid w:val="008B4675"/>
    <w:rsid w:val="008B4BBF"/>
    <w:rsid w:val="008B4CE3"/>
    <w:rsid w:val="008B4E0A"/>
    <w:rsid w:val="008B5036"/>
    <w:rsid w:val="008B5463"/>
    <w:rsid w:val="008B54A9"/>
    <w:rsid w:val="008B54E7"/>
    <w:rsid w:val="008B5613"/>
    <w:rsid w:val="008B5C38"/>
    <w:rsid w:val="008B5CC6"/>
    <w:rsid w:val="008B5E34"/>
    <w:rsid w:val="008B60A2"/>
    <w:rsid w:val="008B64F1"/>
    <w:rsid w:val="008B6524"/>
    <w:rsid w:val="008B6764"/>
    <w:rsid w:val="008B67A3"/>
    <w:rsid w:val="008B6834"/>
    <w:rsid w:val="008B686E"/>
    <w:rsid w:val="008B6BCA"/>
    <w:rsid w:val="008B6CE0"/>
    <w:rsid w:val="008B7158"/>
    <w:rsid w:val="008B7251"/>
    <w:rsid w:val="008B72C0"/>
    <w:rsid w:val="008B7304"/>
    <w:rsid w:val="008B73AE"/>
    <w:rsid w:val="008B765F"/>
    <w:rsid w:val="008B76B6"/>
    <w:rsid w:val="008B7A8F"/>
    <w:rsid w:val="008B7AA2"/>
    <w:rsid w:val="008B7E3B"/>
    <w:rsid w:val="008B7FB5"/>
    <w:rsid w:val="008C0128"/>
    <w:rsid w:val="008C02EC"/>
    <w:rsid w:val="008C042B"/>
    <w:rsid w:val="008C0488"/>
    <w:rsid w:val="008C04FA"/>
    <w:rsid w:val="008C0589"/>
    <w:rsid w:val="008C059F"/>
    <w:rsid w:val="008C06DB"/>
    <w:rsid w:val="008C08E6"/>
    <w:rsid w:val="008C0AEF"/>
    <w:rsid w:val="008C0BC9"/>
    <w:rsid w:val="008C0ED3"/>
    <w:rsid w:val="008C11E0"/>
    <w:rsid w:val="008C1596"/>
    <w:rsid w:val="008C1674"/>
    <w:rsid w:val="008C16C5"/>
    <w:rsid w:val="008C16EC"/>
    <w:rsid w:val="008C1C39"/>
    <w:rsid w:val="008C1F51"/>
    <w:rsid w:val="008C238F"/>
    <w:rsid w:val="008C23AD"/>
    <w:rsid w:val="008C23DC"/>
    <w:rsid w:val="008C2485"/>
    <w:rsid w:val="008C2895"/>
    <w:rsid w:val="008C2B62"/>
    <w:rsid w:val="008C2BBE"/>
    <w:rsid w:val="008C2C04"/>
    <w:rsid w:val="008C2F1D"/>
    <w:rsid w:val="008C2FB0"/>
    <w:rsid w:val="008C32F8"/>
    <w:rsid w:val="008C3948"/>
    <w:rsid w:val="008C3E45"/>
    <w:rsid w:val="008C4223"/>
    <w:rsid w:val="008C42A3"/>
    <w:rsid w:val="008C43B9"/>
    <w:rsid w:val="008C43E5"/>
    <w:rsid w:val="008C46D1"/>
    <w:rsid w:val="008C470E"/>
    <w:rsid w:val="008C480C"/>
    <w:rsid w:val="008C490D"/>
    <w:rsid w:val="008C49A4"/>
    <w:rsid w:val="008C49DA"/>
    <w:rsid w:val="008C4A1E"/>
    <w:rsid w:val="008C4A21"/>
    <w:rsid w:val="008C4BE7"/>
    <w:rsid w:val="008C4FFC"/>
    <w:rsid w:val="008C505D"/>
    <w:rsid w:val="008C55DD"/>
    <w:rsid w:val="008C5698"/>
    <w:rsid w:val="008C5BFA"/>
    <w:rsid w:val="008C5C98"/>
    <w:rsid w:val="008C6207"/>
    <w:rsid w:val="008C6820"/>
    <w:rsid w:val="008C6829"/>
    <w:rsid w:val="008C6982"/>
    <w:rsid w:val="008C6BA9"/>
    <w:rsid w:val="008C6CBF"/>
    <w:rsid w:val="008C6E6A"/>
    <w:rsid w:val="008C7006"/>
    <w:rsid w:val="008C722D"/>
    <w:rsid w:val="008C7329"/>
    <w:rsid w:val="008C7370"/>
    <w:rsid w:val="008C7589"/>
    <w:rsid w:val="008C76C3"/>
    <w:rsid w:val="008C77E7"/>
    <w:rsid w:val="008C77FF"/>
    <w:rsid w:val="008C785E"/>
    <w:rsid w:val="008C7A24"/>
    <w:rsid w:val="008C7BCD"/>
    <w:rsid w:val="008C7C6B"/>
    <w:rsid w:val="008C7D06"/>
    <w:rsid w:val="008C7E89"/>
    <w:rsid w:val="008D071A"/>
    <w:rsid w:val="008D0869"/>
    <w:rsid w:val="008D0A2E"/>
    <w:rsid w:val="008D0A50"/>
    <w:rsid w:val="008D0C5C"/>
    <w:rsid w:val="008D0F19"/>
    <w:rsid w:val="008D11EF"/>
    <w:rsid w:val="008D1234"/>
    <w:rsid w:val="008D13F5"/>
    <w:rsid w:val="008D1563"/>
    <w:rsid w:val="008D1731"/>
    <w:rsid w:val="008D173D"/>
    <w:rsid w:val="008D17FB"/>
    <w:rsid w:val="008D20C8"/>
    <w:rsid w:val="008D21CA"/>
    <w:rsid w:val="008D262C"/>
    <w:rsid w:val="008D2C0C"/>
    <w:rsid w:val="008D2C79"/>
    <w:rsid w:val="008D2EA0"/>
    <w:rsid w:val="008D2F8B"/>
    <w:rsid w:val="008D3144"/>
    <w:rsid w:val="008D319B"/>
    <w:rsid w:val="008D3602"/>
    <w:rsid w:val="008D3A25"/>
    <w:rsid w:val="008D3A82"/>
    <w:rsid w:val="008D3BB7"/>
    <w:rsid w:val="008D3C19"/>
    <w:rsid w:val="008D3E20"/>
    <w:rsid w:val="008D3E4B"/>
    <w:rsid w:val="008D3E67"/>
    <w:rsid w:val="008D4027"/>
    <w:rsid w:val="008D4124"/>
    <w:rsid w:val="008D4452"/>
    <w:rsid w:val="008D44E3"/>
    <w:rsid w:val="008D4791"/>
    <w:rsid w:val="008D4950"/>
    <w:rsid w:val="008D511A"/>
    <w:rsid w:val="008D51A7"/>
    <w:rsid w:val="008D51FB"/>
    <w:rsid w:val="008D5347"/>
    <w:rsid w:val="008D5354"/>
    <w:rsid w:val="008D57F4"/>
    <w:rsid w:val="008D5AD9"/>
    <w:rsid w:val="008D5EA1"/>
    <w:rsid w:val="008D60F1"/>
    <w:rsid w:val="008D66A0"/>
    <w:rsid w:val="008D6739"/>
    <w:rsid w:val="008D673C"/>
    <w:rsid w:val="008D6AA9"/>
    <w:rsid w:val="008D6AE0"/>
    <w:rsid w:val="008D6B1F"/>
    <w:rsid w:val="008D74A1"/>
    <w:rsid w:val="008D74BB"/>
    <w:rsid w:val="008D755B"/>
    <w:rsid w:val="008D76CB"/>
    <w:rsid w:val="008D780B"/>
    <w:rsid w:val="008D792C"/>
    <w:rsid w:val="008E034F"/>
    <w:rsid w:val="008E06BD"/>
    <w:rsid w:val="008E07E1"/>
    <w:rsid w:val="008E10D6"/>
    <w:rsid w:val="008E1260"/>
    <w:rsid w:val="008E13A2"/>
    <w:rsid w:val="008E13E1"/>
    <w:rsid w:val="008E158B"/>
    <w:rsid w:val="008E190E"/>
    <w:rsid w:val="008E1961"/>
    <w:rsid w:val="008E1A4B"/>
    <w:rsid w:val="008E1CD4"/>
    <w:rsid w:val="008E22E1"/>
    <w:rsid w:val="008E24FD"/>
    <w:rsid w:val="008E27A4"/>
    <w:rsid w:val="008E291C"/>
    <w:rsid w:val="008E2C19"/>
    <w:rsid w:val="008E3256"/>
    <w:rsid w:val="008E331F"/>
    <w:rsid w:val="008E34B6"/>
    <w:rsid w:val="008E360D"/>
    <w:rsid w:val="008E367B"/>
    <w:rsid w:val="008E3752"/>
    <w:rsid w:val="008E42EC"/>
    <w:rsid w:val="008E4359"/>
    <w:rsid w:val="008E437D"/>
    <w:rsid w:val="008E4629"/>
    <w:rsid w:val="008E4BAF"/>
    <w:rsid w:val="008E4FE6"/>
    <w:rsid w:val="008E5115"/>
    <w:rsid w:val="008E530F"/>
    <w:rsid w:val="008E5C3E"/>
    <w:rsid w:val="008E5CC8"/>
    <w:rsid w:val="008E5D9D"/>
    <w:rsid w:val="008E5EE7"/>
    <w:rsid w:val="008E5FD2"/>
    <w:rsid w:val="008E6029"/>
    <w:rsid w:val="008E6035"/>
    <w:rsid w:val="008E636D"/>
    <w:rsid w:val="008E6A12"/>
    <w:rsid w:val="008E6AF5"/>
    <w:rsid w:val="008E6B9F"/>
    <w:rsid w:val="008E6CE2"/>
    <w:rsid w:val="008E7001"/>
    <w:rsid w:val="008E718A"/>
    <w:rsid w:val="008E720D"/>
    <w:rsid w:val="008E73BA"/>
    <w:rsid w:val="008E7536"/>
    <w:rsid w:val="008E77E0"/>
    <w:rsid w:val="008E7DD8"/>
    <w:rsid w:val="008E7F88"/>
    <w:rsid w:val="008F0026"/>
    <w:rsid w:val="008F0292"/>
    <w:rsid w:val="008F03EF"/>
    <w:rsid w:val="008F0639"/>
    <w:rsid w:val="008F06E6"/>
    <w:rsid w:val="008F085D"/>
    <w:rsid w:val="008F0964"/>
    <w:rsid w:val="008F0A20"/>
    <w:rsid w:val="008F0B53"/>
    <w:rsid w:val="008F0BCE"/>
    <w:rsid w:val="008F0E8A"/>
    <w:rsid w:val="008F0E97"/>
    <w:rsid w:val="008F107A"/>
    <w:rsid w:val="008F1109"/>
    <w:rsid w:val="008F1208"/>
    <w:rsid w:val="008F13E3"/>
    <w:rsid w:val="008F158F"/>
    <w:rsid w:val="008F15E2"/>
    <w:rsid w:val="008F1729"/>
    <w:rsid w:val="008F1854"/>
    <w:rsid w:val="008F19C7"/>
    <w:rsid w:val="008F1A08"/>
    <w:rsid w:val="008F1A5D"/>
    <w:rsid w:val="008F1DB9"/>
    <w:rsid w:val="008F1DC2"/>
    <w:rsid w:val="008F2216"/>
    <w:rsid w:val="008F2251"/>
    <w:rsid w:val="008F24F4"/>
    <w:rsid w:val="008F2540"/>
    <w:rsid w:val="008F25C1"/>
    <w:rsid w:val="008F2932"/>
    <w:rsid w:val="008F2DC9"/>
    <w:rsid w:val="008F3121"/>
    <w:rsid w:val="008F3793"/>
    <w:rsid w:val="008F3E0E"/>
    <w:rsid w:val="008F3FCF"/>
    <w:rsid w:val="008F4226"/>
    <w:rsid w:val="008F42A3"/>
    <w:rsid w:val="008F43C9"/>
    <w:rsid w:val="008F44BD"/>
    <w:rsid w:val="008F476C"/>
    <w:rsid w:val="008F4BE2"/>
    <w:rsid w:val="008F4E14"/>
    <w:rsid w:val="008F500D"/>
    <w:rsid w:val="008F5048"/>
    <w:rsid w:val="008F5300"/>
    <w:rsid w:val="008F556F"/>
    <w:rsid w:val="008F5726"/>
    <w:rsid w:val="008F58A5"/>
    <w:rsid w:val="008F5A0A"/>
    <w:rsid w:val="008F5A41"/>
    <w:rsid w:val="008F5E1D"/>
    <w:rsid w:val="008F5ED8"/>
    <w:rsid w:val="008F649B"/>
    <w:rsid w:val="008F67F0"/>
    <w:rsid w:val="008F705A"/>
    <w:rsid w:val="008F70A5"/>
    <w:rsid w:val="008F7B1C"/>
    <w:rsid w:val="008F7B5C"/>
    <w:rsid w:val="008F7BF2"/>
    <w:rsid w:val="008F7DC8"/>
    <w:rsid w:val="009000A1"/>
    <w:rsid w:val="0090016C"/>
    <w:rsid w:val="0090041A"/>
    <w:rsid w:val="009007AD"/>
    <w:rsid w:val="009007FD"/>
    <w:rsid w:val="00900D7B"/>
    <w:rsid w:val="00900E95"/>
    <w:rsid w:val="00900F70"/>
    <w:rsid w:val="0090104F"/>
    <w:rsid w:val="00901682"/>
    <w:rsid w:val="00901F1D"/>
    <w:rsid w:val="009022AF"/>
    <w:rsid w:val="009023FC"/>
    <w:rsid w:val="0090269F"/>
    <w:rsid w:val="00902995"/>
    <w:rsid w:val="00902AA7"/>
    <w:rsid w:val="00902E15"/>
    <w:rsid w:val="00902E2F"/>
    <w:rsid w:val="00902E47"/>
    <w:rsid w:val="00902F02"/>
    <w:rsid w:val="009031E6"/>
    <w:rsid w:val="0090359B"/>
    <w:rsid w:val="0090397B"/>
    <w:rsid w:val="00903D71"/>
    <w:rsid w:val="00903EC2"/>
    <w:rsid w:val="00903F4B"/>
    <w:rsid w:val="00904176"/>
    <w:rsid w:val="00904344"/>
    <w:rsid w:val="0090466D"/>
    <w:rsid w:val="00904947"/>
    <w:rsid w:val="00904B22"/>
    <w:rsid w:val="00904B58"/>
    <w:rsid w:val="00904B95"/>
    <w:rsid w:val="00904C79"/>
    <w:rsid w:val="00904D37"/>
    <w:rsid w:val="00904E51"/>
    <w:rsid w:val="009054CB"/>
    <w:rsid w:val="00905BC8"/>
    <w:rsid w:val="00905DC7"/>
    <w:rsid w:val="009062C7"/>
    <w:rsid w:val="009066C8"/>
    <w:rsid w:val="00906AFF"/>
    <w:rsid w:val="00906DE2"/>
    <w:rsid w:val="009072C4"/>
    <w:rsid w:val="009076E3"/>
    <w:rsid w:val="009076EA"/>
    <w:rsid w:val="00907AE2"/>
    <w:rsid w:val="00907CDC"/>
    <w:rsid w:val="00907F7E"/>
    <w:rsid w:val="00907F8F"/>
    <w:rsid w:val="009100EB"/>
    <w:rsid w:val="009105BA"/>
    <w:rsid w:val="00910604"/>
    <w:rsid w:val="00910B8E"/>
    <w:rsid w:val="00910CE8"/>
    <w:rsid w:val="00910DAB"/>
    <w:rsid w:val="0091141E"/>
    <w:rsid w:val="0091143E"/>
    <w:rsid w:val="009115D7"/>
    <w:rsid w:val="0091168A"/>
    <w:rsid w:val="009116C4"/>
    <w:rsid w:val="0091174E"/>
    <w:rsid w:val="00911B25"/>
    <w:rsid w:val="00911B52"/>
    <w:rsid w:val="00911DBC"/>
    <w:rsid w:val="00911DC0"/>
    <w:rsid w:val="009120E0"/>
    <w:rsid w:val="00912148"/>
    <w:rsid w:val="009121DC"/>
    <w:rsid w:val="009121FD"/>
    <w:rsid w:val="00912335"/>
    <w:rsid w:val="009124A0"/>
    <w:rsid w:val="009127B7"/>
    <w:rsid w:val="00912BF4"/>
    <w:rsid w:val="00912ED3"/>
    <w:rsid w:val="00912F06"/>
    <w:rsid w:val="00913121"/>
    <w:rsid w:val="009131BE"/>
    <w:rsid w:val="00913215"/>
    <w:rsid w:val="00913391"/>
    <w:rsid w:val="009134D8"/>
    <w:rsid w:val="00913796"/>
    <w:rsid w:val="0091392C"/>
    <w:rsid w:val="009141BC"/>
    <w:rsid w:val="0091420B"/>
    <w:rsid w:val="009142A8"/>
    <w:rsid w:val="0091440A"/>
    <w:rsid w:val="009144CA"/>
    <w:rsid w:val="009145E7"/>
    <w:rsid w:val="00914704"/>
    <w:rsid w:val="0091496E"/>
    <w:rsid w:val="009149EA"/>
    <w:rsid w:val="00914A48"/>
    <w:rsid w:val="00914B6C"/>
    <w:rsid w:val="00914BB9"/>
    <w:rsid w:val="00914C71"/>
    <w:rsid w:val="00914FB0"/>
    <w:rsid w:val="0091501F"/>
    <w:rsid w:val="009152F5"/>
    <w:rsid w:val="009153F0"/>
    <w:rsid w:val="00915495"/>
    <w:rsid w:val="009158DE"/>
    <w:rsid w:val="00915B8B"/>
    <w:rsid w:val="00915DA0"/>
    <w:rsid w:val="00915F47"/>
    <w:rsid w:val="009162AF"/>
    <w:rsid w:val="009163DD"/>
    <w:rsid w:val="009165F4"/>
    <w:rsid w:val="00916703"/>
    <w:rsid w:val="009167D9"/>
    <w:rsid w:val="00916817"/>
    <w:rsid w:val="009168D8"/>
    <w:rsid w:val="00916C31"/>
    <w:rsid w:val="00916C4C"/>
    <w:rsid w:val="00916C5B"/>
    <w:rsid w:val="00916D88"/>
    <w:rsid w:val="00916E41"/>
    <w:rsid w:val="0091738C"/>
    <w:rsid w:val="009177A0"/>
    <w:rsid w:val="00917882"/>
    <w:rsid w:val="00917AA9"/>
    <w:rsid w:val="00917C32"/>
    <w:rsid w:val="00917DCF"/>
    <w:rsid w:val="009200E5"/>
    <w:rsid w:val="0092030A"/>
    <w:rsid w:val="00920687"/>
    <w:rsid w:val="00920ABF"/>
    <w:rsid w:val="00920D0E"/>
    <w:rsid w:val="00920E78"/>
    <w:rsid w:val="00920FBA"/>
    <w:rsid w:val="009212F2"/>
    <w:rsid w:val="0092140B"/>
    <w:rsid w:val="00921492"/>
    <w:rsid w:val="00921621"/>
    <w:rsid w:val="00921A99"/>
    <w:rsid w:val="00921DEE"/>
    <w:rsid w:val="00922042"/>
    <w:rsid w:val="0092210F"/>
    <w:rsid w:val="0092216C"/>
    <w:rsid w:val="00922265"/>
    <w:rsid w:val="00922431"/>
    <w:rsid w:val="009224FE"/>
    <w:rsid w:val="009225EE"/>
    <w:rsid w:val="00922720"/>
    <w:rsid w:val="0092291E"/>
    <w:rsid w:val="009229E8"/>
    <w:rsid w:val="009229FC"/>
    <w:rsid w:val="00922B4A"/>
    <w:rsid w:val="00922CDA"/>
    <w:rsid w:val="00922D1C"/>
    <w:rsid w:val="00923BBD"/>
    <w:rsid w:val="00923C99"/>
    <w:rsid w:val="00923CB3"/>
    <w:rsid w:val="00924279"/>
    <w:rsid w:val="00924540"/>
    <w:rsid w:val="00924586"/>
    <w:rsid w:val="00924607"/>
    <w:rsid w:val="009247F3"/>
    <w:rsid w:val="00924BCD"/>
    <w:rsid w:val="00924CC4"/>
    <w:rsid w:val="00924EAD"/>
    <w:rsid w:val="00924EF9"/>
    <w:rsid w:val="00924F40"/>
    <w:rsid w:val="00924FCE"/>
    <w:rsid w:val="00925021"/>
    <w:rsid w:val="009250FA"/>
    <w:rsid w:val="0092511E"/>
    <w:rsid w:val="00925230"/>
    <w:rsid w:val="00925257"/>
    <w:rsid w:val="0092533B"/>
    <w:rsid w:val="009256D6"/>
    <w:rsid w:val="0092599D"/>
    <w:rsid w:val="00925B84"/>
    <w:rsid w:val="00925D23"/>
    <w:rsid w:val="0092629B"/>
    <w:rsid w:val="0092637D"/>
    <w:rsid w:val="00926488"/>
    <w:rsid w:val="00926705"/>
    <w:rsid w:val="0092688D"/>
    <w:rsid w:val="00926914"/>
    <w:rsid w:val="009269A9"/>
    <w:rsid w:val="00926B2E"/>
    <w:rsid w:val="00926FBE"/>
    <w:rsid w:val="00927031"/>
    <w:rsid w:val="0092706F"/>
    <w:rsid w:val="009271FC"/>
    <w:rsid w:val="00927370"/>
    <w:rsid w:val="0092794C"/>
    <w:rsid w:val="00927968"/>
    <w:rsid w:val="00927A95"/>
    <w:rsid w:val="00927BCC"/>
    <w:rsid w:val="00927EF4"/>
    <w:rsid w:val="00930210"/>
    <w:rsid w:val="00930218"/>
    <w:rsid w:val="00930393"/>
    <w:rsid w:val="009304B7"/>
    <w:rsid w:val="009305E9"/>
    <w:rsid w:val="009306CA"/>
    <w:rsid w:val="009306F4"/>
    <w:rsid w:val="00930B96"/>
    <w:rsid w:val="00930D15"/>
    <w:rsid w:val="00930E97"/>
    <w:rsid w:val="009312DF"/>
    <w:rsid w:val="009313C4"/>
    <w:rsid w:val="009313F3"/>
    <w:rsid w:val="00931805"/>
    <w:rsid w:val="0093187B"/>
    <w:rsid w:val="00931AD0"/>
    <w:rsid w:val="00931B3B"/>
    <w:rsid w:val="009320EB"/>
    <w:rsid w:val="0093216D"/>
    <w:rsid w:val="009322B0"/>
    <w:rsid w:val="009325F1"/>
    <w:rsid w:val="00932613"/>
    <w:rsid w:val="00932C90"/>
    <w:rsid w:val="00932D45"/>
    <w:rsid w:val="00933516"/>
    <w:rsid w:val="00933997"/>
    <w:rsid w:val="00933A04"/>
    <w:rsid w:val="00933BA6"/>
    <w:rsid w:val="00933E67"/>
    <w:rsid w:val="00933EAE"/>
    <w:rsid w:val="00934518"/>
    <w:rsid w:val="009347DC"/>
    <w:rsid w:val="00934C06"/>
    <w:rsid w:val="00934CD4"/>
    <w:rsid w:val="00934DF0"/>
    <w:rsid w:val="009350D6"/>
    <w:rsid w:val="00935693"/>
    <w:rsid w:val="0093571D"/>
    <w:rsid w:val="00935858"/>
    <w:rsid w:val="00935987"/>
    <w:rsid w:val="00935E9A"/>
    <w:rsid w:val="00935EC6"/>
    <w:rsid w:val="00935F3A"/>
    <w:rsid w:val="00935F82"/>
    <w:rsid w:val="00936074"/>
    <w:rsid w:val="00936429"/>
    <w:rsid w:val="00936778"/>
    <w:rsid w:val="00936839"/>
    <w:rsid w:val="009369C3"/>
    <w:rsid w:val="00936AB7"/>
    <w:rsid w:val="00936AD3"/>
    <w:rsid w:val="00936C5B"/>
    <w:rsid w:val="00936C61"/>
    <w:rsid w:val="00936CC1"/>
    <w:rsid w:val="00936E1A"/>
    <w:rsid w:val="009371FF"/>
    <w:rsid w:val="009372F3"/>
    <w:rsid w:val="00940083"/>
    <w:rsid w:val="009402B6"/>
    <w:rsid w:val="00940409"/>
    <w:rsid w:val="00940535"/>
    <w:rsid w:val="009408A3"/>
    <w:rsid w:val="009408AC"/>
    <w:rsid w:val="00940BCF"/>
    <w:rsid w:val="00940C42"/>
    <w:rsid w:val="00940D12"/>
    <w:rsid w:val="00940E4F"/>
    <w:rsid w:val="0094103D"/>
    <w:rsid w:val="009422E2"/>
    <w:rsid w:val="00942406"/>
    <w:rsid w:val="00942728"/>
    <w:rsid w:val="009428E5"/>
    <w:rsid w:val="009429BA"/>
    <w:rsid w:val="0094321B"/>
    <w:rsid w:val="00943315"/>
    <w:rsid w:val="00943359"/>
    <w:rsid w:val="0094352C"/>
    <w:rsid w:val="00943767"/>
    <w:rsid w:val="00943793"/>
    <w:rsid w:val="0094384C"/>
    <w:rsid w:val="00943A42"/>
    <w:rsid w:val="00943F7D"/>
    <w:rsid w:val="009441FB"/>
    <w:rsid w:val="00944504"/>
    <w:rsid w:val="009448EA"/>
    <w:rsid w:val="009448F8"/>
    <w:rsid w:val="00944BB2"/>
    <w:rsid w:val="00944BC6"/>
    <w:rsid w:val="00944E6E"/>
    <w:rsid w:val="00944E93"/>
    <w:rsid w:val="00945143"/>
    <w:rsid w:val="00945192"/>
    <w:rsid w:val="009453BB"/>
    <w:rsid w:val="009453C8"/>
    <w:rsid w:val="009454C6"/>
    <w:rsid w:val="00945758"/>
    <w:rsid w:val="009459D1"/>
    <w:rsid w:val="00945A3A"/>
    <w:rsid w:val="00945A6D"/>
    <w:rsid w:val="00945E22"/>
    <w:rsid w:val="00945F02"/>
    <w:rsid w:val="00945F4F"/>
    <w:rsid w:val="00945F76"/>
    <w:rsid w:val="0094617D"/>
    <w:rsid w:val="00946975"/>
    <w:rsid w:val="00946BDB"/>
    <w:rsid w:val="00946D00"/>
    <w:rsid w:val="00946EA2"/>
    <w:rsid w:val="00947198"/>
    <w:rsid w:val="00947269"/>
    <w:rsid w:val="0094735D"/>
    <w:rsid w:val="009474AD"/>
    <w:rsid w:val="00947988"/>
    <w:rsid w:val="00947C5E"/>
    <w:rsid w:val="00947C7E"/>
    <w:rsid w:val="00947F4F"/>
    <w:rsid w:val="00950120"/>
    <w:rsid w:val="00950540"/>
    <w:rsid w:val="00950661"/>
    <w:rsid w:val="00950896"/>
    <w:rsid w:val="00950CB4"/>
    <w:rsid w:val="00951133"/>
    <w:rsid w:val="0095183E"/>
    <w:rsid w:val="0095196D"/>
    <w:rsid w:val="00951A81"/>
    <w:rsid w:val="00951B79"/>
    <w:rsid w:val="00951E24"/>
    <w:rsid w:val="00952001"/>
    <w:rsid w:val="009521F7"/>
    <w:rsid w:val="00952354"/>
    <w:rsid w:val="009524E6"/>
    <w:rsid w:val="009526AE"/>
    <w:rsid w:val="0095271F"/>
    <w:rsid w:val="00952835"/>
    <w:rsid w:val="009528C3"/>
    <w:rsid w:val="009530BD"/>
    <w:rsid w:val="009530E5"/>
    <w:rsid w:val="009534BC"/>
    <w:rsid w:val="00953734"/>
    <w:rsid w:val="00953848"/>
    <w:rsid w:val="0095385E"/>
    <w:rsid w:val="00953889"/>
    <w:rsid w:val="00953A5B"/>
    <w:rsid w:val="00953C09"/>
    <w:rsid w:val="00953E37"/>
    <w:rsid w:val="00953EE7"/>
    <w:rsid w:val="00953F45"/>
    <w:rsid w:val="00954128"/>
    <w:rsid w:val="009545F0"/>
    <w:rsid w:val="009549E8"/>
    <w:rsid w:val="00954B6C"/>
    <w:rsid w:val="00954C42"/>
    <w:rsid w:val="00954CA3"/>
    <w:rsid w:val="00954E51"/>
    <w:rsid w:val="00954EB3"/>
    <w:rsid w:val="00954FA1"/>
    <w:rsid w:val="0095532C"/>
    <w:rsid w:val="00955360"/>
    <w:rsid w:val="0095539D"/>
    <w:rsid w:val="009554A5"/>
    <w:rsid w:val="009556BD"/>
    <w:rsid w:val="009558D0"/>
    <w:rsid w:val="009559A0"/>
    <w:rsid w:val="009559C4"/>
    <w:rsid w:val="00955A14"/>
    <w:rsid w:val="00955AB5"/>
    <w:rsid w:val="00955BE6"/>
    <w:rsid w:val="00955CA3"/>
    <w:rsid w:val="00955CD6"/>
    <w:rsid w:val="0095645E"/>
    <w:rsid w:val="009565BD"/>
    <w:rsid w:val="009565C5"/>
    <w:rsid w:val="009565EC"/>
    <w:rsid w:val="00956ED0"/>
    <w:rsid w:val="00956F3E"/>
    <w:rsid w:val="00956F82"/>
    <w:rsid w:val="009574A6"/>
    <w:rsid w:val="00957BF6"/>
    <w:rsid w:val="00957C74"/>
    <w:rsid w:val="00957D8C"/>
    <w:rsid w:val="00957DCF"/>
    <w:rsid w:val="00957DDE"/>
    <w:rsid w:val="009600DD"/>
    <w:rsid w:val="0096018D"/>
    <w:rsid w:val="009601E3"/>
    <w:rsid w:val="009606D5"/>
    <w:rsid w:val="00960855"/>
    <w:rsid w:val="00960BEB"/>
    <w:rsid w:val="00960F25"/>
    <w:rsid w:val="0096100A"/>
    <w:rsid w:val="0096143A"/>
    <w:rsid w:val="00961712"/>
    <w:rsid w:val="00961AF1"/>
    <w:rsid w:val="00961BDD"/>
    <w:rsid w:val="00961C89"/>
    <w:rsid w:val="00961D98"/>
    <w:rsid w:val="00961FB8"/>
    <w:rsid w:val="00962384"/>
    <w:rsid w:val="00962706"/>
    <w:rsid w:val="00962904"/>
    <w:rsid w:val="00962A87"/>
    <w:rsid w:val="00962F62"/>
    <w:rsid w:val="0096304A"/>
    <w:rsid w:val="009630E4"/>
    <w:rsid w:val="0096316F"/>
    <w:rsid w:val="00963B76"/>
    <w:rsid w:val="009641DB"/>
    <w:rsid w:val="00964259"/>
    <w:rsid w:val="009644F5"/>
    <w:rsid w:val="0096482A"/>
    <w:rsid w:val="0096485C"/>
    <w:rsid w:val="009649AE"/>
    <w:rsid w:val="00964D15"/>
    <w:rsid w:val="00964D27"/>
    <w:rsid w:val="00964EA3"/>
    <w:rsid w:val="00964F75"/>
    <w:rsid w:val="00965183"/>
    <w:rsid w:val="00965551"/>
    <w:rsid w:val="00965726"/>
    <w:rsid w:val="00965753"/>
    <w:rsid w:val="00965773"/>
    <w:rsid w:val="0096601E"/>
    <w:rsid w:val="009664F8"/>
    <w:rsid w:val="009669C3"/>
    <w:rsid w:val="00966B9A"/>
    <w:rsid w:val="00966EA1"/>
    <w:rsid w:val="00967032"/>
    <w:rsid w:val="009674C2"/>
    <w:rsid w:val="00967B41"/>
    <w:rsid w:val="00967D53"/>
    <w:rsid w:val="00967E9B"/>
    <w:rsid w:val="0097008A"/>
    <w:rsid w:val="009700D1"/>
    <w:rsid w:val="00970148"/>
    <w:rsid w:val="00970210"/>
    <w:rsid w:val="009702F0"/>
    <w:rsid w:val="00970A0E"/>
    <w:rsid w:val="00970A0F"/>
    <w:rsid w:val="00970BD2"/>
    <w:rsid w:val="00970E35"/>
    <w:rsid w:val="00971390"/>
    <w:rsid w:val="0097145D"/>
    <w:rsid w:val="00971AF1"/>
    <w:rsid w:val="00971B43"/>
    <w:rsid w:val="00971F45"/>
    <w:rsid w:val="0097234B"/>
    <w:rsid w:val="009725CE"/>
    <w:rsid w:val="00972B98"/>
    <w:rsid w:val="00973252"/>
    <w:rsid w:val="00973357"/>
    <w:rsid w:val="00973A62"/>
    <w:rsid w:val="00973EFE"/>
    <w:rsid w:val="00973F79"/>
    <w:rsid w:val="0097405E"/>
    <w:rsid w:val="009745DB"/>
    <w:rsid w:val="00974803"/>
    <w:rsid w:val="009749A0"/>
    <w:rsid w:val="00974BDC"/>
    <w:rsid w:val="00974DD6"/>
    <w:rsid w:val="00975024"/>
    <w:rsid w:val="009750A1"/>
    <w:rsid w:val="0097537D"/>
    <w:rsid w:val="00975465"/>
    <w:rsid w:val="0097557B"/>
    <w:rsid w:val="00975A3E"/>
    <w:rsid w:val="00975A8B"/>
    <w:rsid w:val="00975BA0"/>
    <w:rsid w:val="00975D5A"/>
    <w:rsid w:val="00975F85"/>
    <w:rsid w:val="00976086"/>
    <w:rsid w:val="00976235"/>
    <w:rsid w:val="00976C51"/>
    <w:rsid w:val="00976CFA"/>
    <w:rsid w:val="00976FAB"/>
    <w:rsid w:val="00977314"/>
    <w:rsid w:val="009774B3"/>
    <w:rsid w:val="009775A7"/>
    <w:rsid w:val="00977946"/>
    <w:rsid w:val="00977B86"/>
    <w:rsid w:val="00977B8F"/>
    <w:rsid w:val="0098012B"/>
    <w:rsid w:val="0098018C"/>
    <w:rsid w:val="009802BB"/>
    <w:rsid w:val="00980487"/>
    <w:rsid w:val="00980507"/>
    <w:rsid w:val="00980BF8"/>
    <w:rsid w:val="00980CFD"/>
    <w:rsid w:val="00981156"/>
    <w:rsid w:val="00981282"/>
    <w:rsid w:val="009812D7"/>
    <w:rsid w:val="00981B9B"/>
    <w:rsid w:val="00981C03"/>
    <w:rsid w:val="00981C22"/>
    <w:rsid w:val="00981CFE"/>
    <w:rsid w:val="00981E9A"/>
    <w:rsid w:val="00981FE9"/>
    <w:rsid w:val="0098227E"/>
    <w:rsid w:val="0098231A"/>
    <w:rsid w:val="00982352"/>
    <w:rsid w:val="00982524"/>
    <w:rsid w:val="0098266D"/>
    <w:rsid w:val="009827C2"/>
    <w:rsid w:val="00982A44"/>
    <w:rsid w:val="00982DBB"/>
    <w:rsid w:val="00982F1A"/>
    <w:rsid w:val="0098341C"/>
    <w:rsid w:val="0098343B"/>
    <w:rsid w:val="00983981"/>
    <w:rsid w:val="00983C51"/>
    <w:rsid w:val="00983DA0"/>
    <w:rsid w:val="00983EAC"/>
    <w:rsid w:val="00984055"/>
    <w:rsid w:val="00984174"/>
    <w:rsid w:val="009841C5"/>
    <w:rsid w:val="00984254"/>
    <w:rsid w:val="00984421"/>
    <w:rsid w:val="009846AA"/>
    <w:rsid w:val="0098499F"/>
    <w:rsid w:val="00984A65"/>
    <w:rsid w:val="00984AB1"/>
    <w:rsid w:val="00984C6C"/>
    <w:rsid w:val="00984DA1"/>
    <w:rsid w:val="00984E37"/>
    <w:rsid w:val="009850E7"/>
    <w:rsid w:val="00985356"/>
    <w:rsid w:val="00985484"/>
    <w:rsid w:val="00985488"/>
    <w:rsid w:val="009856C5"/>
    <w:rsid w:val="00985794"/>
    <w:rsid w:val="0098588A"/>
    <w:rsid w:val="00985AD7"/>
    <w:rsid w:val="00985C53"/>
    <w:rsid w:val="00985CE4"/>
    <w:rsid w:val="0098609D"/>
    <w:rsid w:val="00986110"/>
    <w:rsid w:val="009862EA"/>
    <w:rsid w:val="0098635D"/>
    <w:rsid w:val="009864A7"/>
    <w:rsid w:val="00986F37"/>
    <w:rsid w:val="00987677"/>
    <w:rsid w:val="009879D2"/>
    <w:rsid w:val="00987DC0"/>
    <w:rsid w:val="00987E5F"/>
    <w:rsid w:val="00990516"/>
    <w:rsid w:val="00990611"/>
    <w:rsid w:val="0099068D"/>
    <w:rsid w:val="0099076D"/>
    <w:rsid w:val="00990787"/>
    <w:rsid w:val="00990DFB"/>
    <w:rsid w:val="00990E23"/>
    <w:rsid w:val="00991274"/>
    <w:rsid w:val="009912C3"/>
    <w:rsid w:val="009913F0"/>
    <w:rsid w:val="009915B4"/>
    <w:rsid w:val="009916D1"/>
    <w:rsid w:val="009916D5"/>
    <w:rsid w:val="0099187F"/>
    <w:rsid w:val="009918A3"/>
    <w:rsid w:val="00991AEC"/>
    <w:rsid w:val="0099204A"/>
    <w:rsid w:val="009924E5"/>
    <w:rsid w:val="009926CB"/>
    <w:rsid w:val="009927B2"/>
    <w:rsid w:val="00992950"/>
    <w:rsid w:val="009929FE"/>
    <w:rsid w:val="00992B0F"/>
    <w:rsid w:val="00992B22"/>
    <w:rsid w:val="00992BB4"/>
    <w:rsid w:val="00992C01"/>
    <w:rsid w:val="00993001"/>
    <w:rsid w:val="0099326E"/>
    <w:rsid w:val="00993552"/>
    <w:rsid w:val="009935CB"/>
    <w:rsid w:val="0099361D"/>
    <w:rsid w:val="00993A7C"/>
    <w:rsid w:val="00993C4E"/>
    <w:rsid w:val="00993ECA"/>
    <w:rsid w:val="00993ED6"/>
    <w:rsid w:val="009940EA"/>
    <w:rsid w:val="00994729"/>
    <w:rsid w:val="00994862"/>
    <w:rsid w:val="00994AE6"/>
    <w:rsid w:val="00994C8C"/>
    <w:rsid w:val="00994DC3"/>
    <w:rsid w:val="00995027"/>
    <w:rsid w:val="00995041"/>
    <w:rsid w:val="00995116"/>
    <w:rsid w:val="00995768"/>
    <w:rsid w:val="00995913"/>
    <w:rsid w:val="00995C7B"/>
    <w:rsid w:val="00995CA5"/>
    <w:rsid w:val="00995EAF"/>
    <w:rsid w:val="00995FE2"/>
    <w:rsid w:val="00996005"/>
    <w:rsid w:val="0099618A"/>
    <w:rsid w:val="00996211"/>
    <w:rsid w:val="0099622A"/>
    <w:rsid w:val="0099668D"/>
    <w:rsid w:val="00996773"/>
    <w:rsid w:val="00996926"/>
    <w:rsid w:val="00996F5E"/>
    <w:rsid w:val="00997041"/>
    <w:rsid w:val="00997593"/>
    <w:rsid w:val="009976E5"/>
    <w:rsid w:val="009977DB"/>
    <w:rsid w:val="00997A27"/>
    <w:rsid w:val="00997A58"/>
    <w:rsid w:val="00997A8D"/>
    <w:rsid w:val="00997DE7"/>
    <w:rsid w:val="00997F44"/>
    <w:rsid w:val="009A0BAE"/>
    <w:rsid w:val="009A0C38"/>
    <w:rsid w:val="009A0D35"/>
    <w:rsid w:val="009A0DD2"/>
    <w:rsid w:val="009A0E34"/>
    <w:rsid w:val="009A0EE1"/>
    <w:rsid w:val="009A124E"/>
    <w:rsid w:val="009A1304"/>
    <w:rsid w:val="009A13C7"/>
    <w:rsid w:val="009A15E9"/>
    <w:rsid w:val="009A167A"/>
    <w:rsid w:val="009A1977"/>
    <w:rsid w:val="009A1ACA"/>
    <w:rsid w:val="009A1D50"/>
    <w:rsid w:val="009A1EA2"/>
    <w:rsid w:val="009A2039"/>
    <w:rsid w:val="009A21AB"/>
    <w:rsid w:val="009A22E0"/>
    <w:rsid w:val="009A2359"/>
    <w:rsid w:val="009A2877"/>
    <w:rsid w:val="009A28C9"/>
    <w:rsid w:val="009A2D7C"/>
    <w:rsid w:val="009A3014"/>
    <w:rsid w:val="009A3189"/>
    <w:rsid w:val="009A31F9"/>
    <w:rsid w:val="009A34D8"/>
    <w:rsid w:val="009A394B"/>
    <w:rsid w:val="009A3A9C"/>
    <w:rsid w:val="009A3D38"/>
    <w:rsid w:val="009A4004"/>
    <w:rsid w:val="009A41A8"/>
    <w:rsid w:val="009A48F4"/>
    <w:rsid w:val="009A4902"/>
    <w:rsid w:val="009A49A5"/>
    <w:rsid w:val="009A4A34"/>
    <w:rsid w:val="009A4A62"/>
    <w:rsid w:val="009A4B2B"/>
    <w:rsid w:val="009A4BE6"/>
    <w:rsid w:val="009A5057"/>
    <w:rsid w:val="009A50AD"/>
    <w:rsid w:val="009A50B5"/>
    <w:rsid w:val="009A510F"/>
    <w:rsid w:val="009A52C3"/>
    <w:rsid w:val="009A5B88"/>
    <w:rsid w:val="009A5EDB"/>
    <w:rsid w:val="009A60F8"/>
    <w:rsid w:val="009A6450"/>
    <w:rsid w:val="009A6557"/>
    <w:rsid w:val="009A65E7"/>
    <w:rsid w:val="009A702D"/>
    <w:rsid w:val="009A7090"/>
    <w:rsid w:val="009A70F8"/>
    <w:rsid w:val="009A73F1"/>
    <w:rsid w:val="009A7425"/>
    <w:rsid w:val="009A74F5"/>
    <w:rsid w:val="009A75E3"/>
    <w:rsid w:val="009A7640"/>
    <w:rsid w:val="009A79E1"/>
    <w:rsid w:val="009A7DB2"/>
    <w:rsid w:val="009A7F6E"/>
    <w:rsid w:val="009B01C4"/>
    <w:rsid w:val="009B03AA"/>
    <w:rsid w:val="009B0454"/>
    <w:rsid w:val="009B04B9"/>
    <w:rsid w:val="009B06BE"/>
    <w:rsid w:val="009B070A"/>
    <w:rsid w:val="009B0C82"/>
    <w:rsid w:val="009B0E64"/>
    <w:rsid w:val="009B0F05"/>
    <w:rsid w:val="009B0F48"/>
    <w:rsid w:val="009B12A1"/>
    <w:rsid w:val="009B14BC"/>
    <w:rsid w:val="009B1646"/>
    <w:rsid w:val="009B1835"/>
    <w:rsid w:val="009B18C0"/>
    <w:rsid w:val="009B1A52"/>
    <w:rsid w:val="009B1D37"/>
    <w:rsid w:val="009B1F81"/>
    <w:rsid w:val="009B20DE"/>
    <w:rsid w:val="009B2AEA"/>
    <w:rsid w:val="009B2E92"/>
    <w:rsid w:val="009B30BF"/>
    <w:rsid w:val="009B3402"/>
    <w:rsid w:val="009B383D"/>
    <w:rsid w:val="009B3AB7"/>
    <w:rsid w:val="009B3B54"/>
    <w:rsid w:val="009B3D49"/>
    <w:rsid w:val="009B40F2"/>
    <w:rsid w:val="009B49E9"/>
    <w:rsid w:val="009B4DC5"/>
    <w:rsid w:val="009B5B76"/>
    <w:rsid w:val="009B5BEE"/>
    <w:rsid w:val="009B5EF0"/>
    <w:rsid w:val="009B6223"/>
    <w:rsid w:val="009B6306"/>
    <w:rsid w:val="009B6416"/>
    <w:rsid w:val="009B648A"/>
    <w:rsid w:val="009B669E"/>
    <w:rsid w:val="009B6A87"/>
    <w:rsid w:val="009B6AB2"/>
    <w:rsid w:val="009B6B79"/>
    <w:rsid w:val="009B6F92"/>
    <w:rsid w:val="009B7009"/>
    <w:rsid w:val="009B704C"/>
    <w:rsid w:val="009B7194"/>
    <w:rsid w:val="009B71E0"/>
    <w:rsid w:val="009B732F"/>
    <w:rsid w:val="009B7342"/>
    <w:rsid w:val="009B75D8"/>
    <w:rsid w:val="009B7ED4"/>
    <w:rsid w:val="009C02E6"/>
    <w:rsid w:val="009C05F4"/>
    <w:rsid w:val="009C0D4D"/>
    <w:rsid w:val="009C0D7D"/>
    <w:rsid w:val="009C0EB9"/>
    <w:rsid w:val="009C126D"/>
    <w:rsid w:val="009C14FB"/>
    <w:rsid w:val="009C161A"/>
    <w:rsid w:val="009C1714"/>
    <w:rsid w:val="009C1816"/>
    <w:rsid w:val="009C1CCF"/>
    <w:rsid w:val="009C1FF4"/>
    <w:rsid w:val="009C2411"/>
    <w:rsid w:val="009C2ADB"/>
    <w:rsid w:val="009C2F3F"/>
    <w:rsid w:val="009C307E"/>
    <w:rsid w:val="009C3867"/>
    <w:rsid w:val="009C3AE2"/>
    <w:rsid w:val="009C3B2C"/>
    <w:rsid w:val="009C3D16"/>
    <w:rsid w:val="009C3D9B"/>
    <w:rsid w:val="009C3FDB"/>
    <w:rsid w:val="009C463C"/>
    <w:rsid w:val="009C47B6"/>
    <w:rsid w:val="009C4A49"/>
    <w:rsid w:val="009C4CA1"/>
    <w:rsid w:val="009C4F43"/>
    <w:rsid w:val="009C5554"/>
    <w:rsid w:val="009C555A"/>
    <w:rsid w:val="009C55B9"/>
    <w:rsid w:val="009C579C"/>
    <w:rsid w:val="009C5B4C"/>
    <w:rsid w:val="009C5D40"/>
    <w:rsid w:val="009C5F23"/>
    <w:rsid w:val="009C6623"/>
    <w:rsid w:val="009C691F"/>
    <w:rsid w:val="009C6A08"/>
    <w:rsid w:val="009C6AD7"/>
    <w:rsid w:val="009C6B22"/>
    <w:rsid w:val="009C6C21"/>
    <w:rsid w:val="009C6EC8"/>
    <w:rsid w:val="009C7254"/>
    <w:rsid w:val="009C734F"/>
    <w:rsid w:val="009C7772"/>
    <w:rsid w:val="009C7B98"/>
    <w:rsid w:val="009C7CB2"/>
    <w:rsid w:val="009C7F0F"/>
    <w:rsid w:val="009D01AA"/>
    <w:rsid w:val="009D050A"/>
    <w:rsid w:val="009D05BA"/>
    <w:rsid w:val="009D0F24"/>
    <w:rsid w:val="009D115C"/>
    <w:rsid w:val="009D164C"/>
    <w:rsid w:val="009D1B69"/>
    <w:rsid w:val="009D1C20"/>
    <w:rsid w:val="009D1CC9"/>
    <w:rsid w:val="009D23F3"/>
    <w:rsid w:val="009D2406"/>
    <w:rsid w:val="009D253E"/>
    <w:rsid w:val="009D285C"/>
    <w:rsid w:val="009D2A38"/>
    <w:rsid w:val="009D3229"/>
    <w:rsid w:val="009D336F"/>
    <w:rsid w:val="009D3941"/>
    <w:rsid w:val="009D39E3"/>
    <w:rsid w:val="009D3D44"/>
    <w:rsid w:val="009D3EF2"/>
    <w:rsid w:val="009D3FB5"/>
    <w:rsid w:val="009D3FCE"/>
    <w:rsid w:val="009D41E4"/>
    <w:rsid w:val="009D470F"/>
    <w:rsid w:val="009D47B9"/>
    <w:rsid w:val="009D4978"/>
    <w:rsid w:val="009D4DB2"/>
    <w:rsid w:val="009D529A"/>
    <w:rsid w:val="009D5328"/>
    <w:rsid w:val="009D55C5"/>
    <w:rsid w:val="009D5C01"/>
    <w:rsid w:val="009D5C0B"/>
    <w:rsid w:val="009D5C0E"/>
    <w:rsid w:val="009D5CB6"/>
    <w:rsid w:val="009D5DB8"/>
    <w:rsid w:val="009D5F43"/>
    <w:rsid w:val="009D605D"/>
    <w:rsid w:val="009D63DF"/>
    <w:rsid w:val="009D674A"/>
    <w:rsid w:val="009D677F"/>
    <w:rsid w:val="009D6B58"/>
    <w:rsid w:val="009D6B83"/>
    <w:rsid w:val="009D6CCE"/>
    <w:rsid w:val="009D6D66"/>
    <w:rsid w:val="009D6E71"/>
    <w:rsid w:val="009D72C6"/>
    <w:rsid w:val="009D74C0"/>
    <w:rsid w:val="009D7D79"/>
    <w:rsid w:val="009D7F01"/>
    <w:rsid w:val="009D7F8D"/>
    <w:rsid w:val="009E0B28"/>
    <w:rsid w:val="009E0C94"/>
    <w:rsid w:val="009E0ECB"/>
    <w:rsid w:val="009E0FBA"/>
    <w:rsid w:val="009E1012"/>
    <w:rsid w:val="009E1013"/>
    <w:rsid w:val="009E1121"/>
    <w:rsid w:val="009E1920"/>
    <w:rsid w:val="009E1B20"/>
    <w:rsid w:val="009E1B7A"/>
    <w:rsid w:val="009E1E69"/>
    <w:rsid w:val="009E2556"/>
    <w:rsid w:val="009E25B5"/>
    <w:rsid w:val="009E27E2"/>
    <w:rsid w:val="009E28A8"/>
    <w:rsid w:val="009E28C1"/>
    <w:rsid w:val="009E2BC1"/>
    <w:rsid w:val="009E2CC6"/>
    <w:rsid w:val="009E3040"/>
    <w:rsid w:val="009E3327"/>
    <w:rsid w:val="009E3341"/>
    <w:rsid w:val="009E350F"/>
    <w:rsid w:val="009E392D"/>
    <w:rsid w:val="009E3A6B"/>
    <w:rsid w:val="009E3BF1"/>
    <w:rsid w:val="009E4029"/>
    <w:rsid w:val="009E40BD"/>
    <w:rsid w:val="009E4179"/>
    <w:rsid w:val="009E4238"/>
    <w:rsid w:val="009E425E"/>
    <w:rsid w:val="009E429A"/>
    <w:rsid w:val="009E42F6"/>
    <w:rsid w:val="009E43B1"/>
    <w:rsid w:val="009E457F"/>
    <w:rsid w:val="009E45AA"/>
    <w:rsid w:val="009E497D"/>
    <w:rsid w:val="009E4A45"/>
    <w:rsid w:val="009E4DEE"/>
    <w:rsid w:val="009E50B6"/>
    <w:rsid w:val="009E53DA"/>
    <w:rsid w:val="009E5481"/>
    <w:rsid w:val="009E5553"/>
    <w:rsid w:val="009E5D4C"/>
    <w:rsid w:val="009E5DA3"/>
    <w:rsid w:val="009E5E45"/>
    <w:rsid w:val="009E6001"/>
    <w:rsid w:val="009E6056"/>
    <w:rsid w:val="009E63A8"/>
    <w:rsid w:val="009E6539"/>
    <w:rsid w:val="009E68E6"/>
    <w:rsid w:val="009E68FD"/>
    <w:rsid w:val="009E72FD"/>
    <w:rsid w:val="009E7340"/>
    <w:rsid w:val="009E7365"/>
    <w:rsid w:val="009E7380"/>
    <w:rsid w:val="009E75B4"/>
    <w:rsid w:val="009E761C"/>
    <w:rsid w:val="009E7699"/>
    <w:rsid w:val="009E778C"/>
    <w:rsid w:val="009E7A2F"/>
    <w:rsid w:val="009E7C8A"/>
    <w:rsid w:val="009F0413"/>
    <w:rsid w:val="009F0B2D"/>
    <w:rsid w:val="009F0B3C"/>
    <w:rsid w:val="009F0D13"/>
    <w:rsid w:val="009F0E59"/>
    <w:rsid w:val="009F10C8"/>
    <w:rsid w:val="009F1464"/>
    <w:rsid w:val="009F1C29"/>
    <w:rsid w:val="009F1C52"/>
    <w:rsid w:val="009F1FBC"/>
    <w:rsid w:val="009F2203"/>
    <w:rsid w:val="009F23B6"/>
    <w:rsid w:val="009F2418"/>
    <w:rsid w:val="009F245C"/>
    <w:rsid w:val="009F27ED"/>
    <w:rsid w:val="009F27FB"/>
    <w:rsid w:val="009F2873"/>
    <w:rsid w:val="009F2998"/>
    <w:rsid w:val="009F2A1C"/>
    <w:rsid w:val="009F2DBE"/>
    <w:rsid w:val="009F2EDB"/>
    <w:rsid w:val="009F352E"/>
    <w:rsid w:val="009F368B"/>
    <w:rsid w:val="009F3BE2"/>
    <w:rsid w:val="009F3C80"/>
    <w:rsid w:val="009F4313"/>
    <w:rsid w:val="009F431A"/>
    <w:rsid w:val="009F4404"/>
    <w:rsid w:val="009F456F"/>
    <w:rsid w:val="009F4708"/>
    <w:rsid w:val="009F472A"/>
    <w:rsid w:val="009F47E1"/>
    <w:rsid w:val="009F482F"/>
    <w:rsid w:val="009F48DB"/>
    <w:rsid w:val="009F4956"/>
    <w:rsid w:val="009F5274"/>
    <w:rsid w:val="009F52C9"/>
    <w:rsid w:val="009F5368"/>
    <w:rsid w:val="009F550C"/>
    <w:rsid w:val="009F561F"/>
    <w:rsid w:val="009F5B02"/>
    <w:rsid w:val="009F5E48"/>
    <w:rsid w:val="009F606A"/>
    <w:rsid w:val="009F6115"/>
    <w:rsid w:val="009F635C"/>
    <w:rsid w:val="009F644C"/>
    <w:rsid w:val="009F6873"/>
    <w:rsid w:val="009F6BEF"/>
    <w:rsid w:val="009F6C7E"/>
    <w:rsid w:val="009F6EB9"/>
    <w:rsid w:val="009F6FF9"/>
    <w:rsid w:val="009F7320"/>
    <w:rsid w:val="009F7363"/>
    <w:rsid w:val="009F73C4"/>
    <w:rsid w:val="009F74A1"/>
    <w:rsid w:val="009F7A53"/>
    <w:rsid w:val="009F7BBD"/>
    <w:rsid w:val="009F7F7A"/>
    <w:rsid w:val="00A0018D"/>
    <w:rsid w:val="00A0020C"/>
    <w:rsid w:val="00A002C8"/>
    <w:rsid w:val="00A005B1"/>
    <w:rsid w:val="00A00820"/>
    <w:rsid w:val="00A00E2E"/>
    <w:rsid w:val="00A01078"/>
    <w:rsid w:val="00A010F2"/>
    <w:rsid w:val="00A012B4"/>
    <w:rsid w:val="00A01459"/>
    <w:rsid w:val="00A01662"/>
    <w:rsid w:val="00A017C6"/>
    <w:rsid w:val="00A01B22"/>
    <w:rsid w:val="00A01BC1"/>
    <w:rsid w:val="00A01BF0"/>
    <w:rsid w:val="00A01D67"/>
    <w:rsid w:val="00A01EF6"/>
    <w:rsid w:val="00A0248B"/>
    <w:rsid w:val="00A02A5B"/>
    <w:rsid w:val="00A02ADA"/>
    <w:rsid w:val="00A02B33"/>
    <w:rsid w:val="00A032B9"/>
    <w:rsid w:val="00A0348F"/>
    <w:rsid w:val="00A0352E"/>
    <w:rsid w:val="00A03B34"/>
    <w:rsid w:val="00A03BE3"/>
    <w:rsid w:val="00A03BE7"/>
    <w:rsid w:val="00A04199"/>
    <w:rsid w:val="00A0459E"/>
    <w:rsid w:val="00A046BC"/>
    <w:rsid w:val="00A0470F"/>
    <w:rsid w:val="00A04DCB"/>
    <w:rsid w:val="00A04F1E"/>
    <w:rsid w:val="00A04F3B"/>
    <w:rsid w:val="00A04FF3"/>
    <w:rsid w:val="00A05048"/>
    <w:rsid w:val="00A050A1"/>
    <w:rsid w:val="00A050AD"/>
    <w:rsid w:val="00A05343"/>
    <w:rsid w:val="00A05544"/>
    <w:rsid w:val="00A055C8"/>
    <w:rsid w:val="00A056F1"/>
    <w:rsid w:val="00A057C0"/>
    <w:rsid w:val="00A059F1"/>
    <w:rsid w:val="00A05E19"/>
    <w:rsid w:val="00A05E52"/>
    <w:rsid w:val="00A0653C"/>
    <w:rsid w:val="00A06CE0"/>
    <w:rsid w:val="00A06FF4"/>
    <w:rsid w:val="00A07003"/>
    <w:rsid w:val="00A07433"/>
    <w:rsid w:val="00A07631"/>
    <w:rsid w:val="00A0773C"/>
    <w:rsid w:val="00A077C5"/>
    <w:rsid w:val="00A0783E"/>
    <w:rsid w:val="00A07AE4"/>
    <w:rsid w:val="00A07B34"/>
    <w:rsid w:val="00A07E22"/>
    <w:rsid w:val="00A10253"/>
    <w:rsid w:val="00A106B2"/>
    <w:rsid w:val="00A10990"/>
    <w:rsid w:val="00A10D99"/>
    <w:rsid w:val="00A10EF2"/>
    <w:rsid w:val="00A10F09"/>
    <w:rsid w:val="00A11497"/>
    <w:rsid w:val="00A1157D"/>
    <w:rsid w:val="00A11721"/>
    <w:rsid w:val="00A117B0"/>
    <w:rsid w:val="00A11885"/>
    <w:rsid w:val="00A11923"/>
    <w:rsid w:val="00A119B1"/>
    <w:rsid w:val="00A12055"/>
    <w:rsid w:val="00A12098"/>
    <w:rsid w:val="00A129F7"/>
    <w:rsid w:val="00A12B62"/>
    <w:rsid w:val="00A12B98"/>
    <w:rsid w:val="00A12CFC"/>
    <w:rsid w:val="00A12FCE"/>
    <w:rsid w:val="00A1312B"/>
    <w:rsid w:val="00A13279"/>
    <w:rsid w:val="00A138D8"/>
    <w:rsid w:val="00A13B20"/>
    <w:rsid w:val="00A13EE7"/>
    <w:rsid w:val="00A14102"/>
    <w:rsid w:val="00A14127"/>
    <w:rsid w:val="00A14350"/>
    <w:rsid w:val="00A143DD"/>
    <w:rsid w:val="00A145ED"/>
    <w:rsid w:val="00A147C6"/>
    <w:rsid w:val="00A148A6"/>
    <w:rsid w:val="00A14CE2"/>
    <w:rsid w:val="00A14D3F"/>
    <w:rsid w:val="00A15265"/>
    <w:rsid w:val="00A15951"/>
    <w:rsid w:val="00A15ADA"/>
    <w:rsid w:val="00A15D72"/>
    <w:rsid w:val="00A15E75"/>
    <w:rsid w:val="00A15FD3"/>
    <w:rsid w:val="00A16005"/>
    <w:rsid w:val="00A1614F"/>
    <w:rsid w:val="00A16356"/>
    <w:rsid w:val="00A165BC"/>
    <w:rsid w:val="00A167D4"/>
    <w:rsid w:val="00A16A77"/>
    <w:rsid w:val="00A16C82"/>
    <w:rsid w:val="00A16E08"/>
    <w:rsid w:val="00A17091"/>
    <w:rsid w:val="00A17859"/>
    <w:rsid w:val="00A20093"/>
    <w:rsid w:val="00A20100"/>
    <w:rsid w:val="00A20120"/>
    <w:rsid w:val="00A2039A"/>
    <w:rsid w:val="00A203FA"/>
    <w:rsid w:val="00A2051B"/>
    <w:rsid w:val="00A207A3"/>
    <w:rsid w:val="00A20B17"/>
    <w:rsid w:val="00A20DEF"/>
    <w:rsid w:val="00A211DB"/>
    <w:rsid w:val="00A212DF"/>
    <w:rsid w:val="00A21684"/>
    <w:rsid w:val="00A21CF5"/>
    <w:rsid w:val="00A21DB6"/>
    <w:rsid w:val="00A2203E"/>
    <w:rsid w:val="00A220C4"/>
    <w:rsid w:val="00A2245E"/>
    <w:rsid w:val="00A2248B"/>
    <w:rsid w:val="00A22778"/>
    <w:rsid w:val="00A2287D"/>
    <w:rsid w:val="00A2294B"/>
    <w:rsid w:val="00A22D90"/>
    <w:rsid w:val="00A23243"/>
    <w:rsid w:val="00A232B8"/>
    <w:rsid w:val="00A2341D"/>
    <w:rsid w:val="00A234D5"/>
    <w:rsid w:val="00A235E1"/>
    <w:rsid w:val="00A23914"/>
    <w:rsid w:val="00A23C51"/>
    <w:rsid w:val="00A23D24"/>
    <w:rsid w:val="00A24162"/>
    <w:rsid w:val="00A24243"/>
    <w:rsid w:val="00A2426A"/>
    <w:rsid w:val="00A2430A"/>
    <w:rsid w:val="00A24842"/>
    <w:rsid w:val="00A2494D"/>
    <w:rsid w:val="00A24970"/>
    <w:rsid w:val="00A24B28"/>
    <w:rsid w:val="00A24D5D"/>
    <w:rsid w:val="00A25106"/>
    <w:rsid w:val="00A25112"/>
    <w:rsid w:val="00A257EC"/>
    <w:rsid w:val="00A257F5"/>
    <w:rsid w:val="00A25870"/>
    <w:rsid w:val="00A258B5"/>
    <w:rsid w:val="00A25989"/>
    <w:rsid w:val="00A25A37"/>
    <w:rsid w:val="00A25CB7"/>
    <w:rsid w:val="00A25D7B"/>
    <w:rsid w:val="00A26091"/>
    <w:rsid w:val="00A263CE"/>
    <w:rsid w:val="00A26483"/>
    <w:rsid w:val="00A26509"/>
    <w:rsid w:val="00A26992"/>
    <w:rsid w:val="00A26F67"/>
    <w:rsid w:val="00A2723E"/>
    <w:rsid w:val="00A274A4"/>
    <w:rsid w:val="00A27920"/>
    <w:rsid w:val="00A279B0"/>
    <w:rsid w:val="00A279EB"/>
    <w:rsid w:val="00A27B15"/>
    <w:rsid w:val="00A27C56"/>
    <w:rsid w:val="00A27D11"/>
    <w:rsid w:val="00A27D8D"/>
    <w:rsid w:val="00A27EA1"/>
    <w:rsid w:val="00A27FA0"/>
    <w:rsid w:val="00A300A9"/>
    <w:rsid w:val="00A30187"/>
    <w:rsid w:val="00A304F0"/>
    <w:rsid w:val="00A30759"/>
    <w:rsid w:val="00A30A5E"/>
    <w:rsid w:val="00A30ED5"/>
    <w:rsid w:val="00A31172"/>
    <w:rsid w:val="00A314A0"/>
    <w:rsid w:val="00A315B5"/>
    <w:rsid w:val="00A3165D"/>
    <w:rsid w:val="00A316F7"/>
    <w:rsid w:val="00A31A54"/>
    <w:rsid w:val="00A321EE"/>
    <w:rsid w:val="00A32204"/>
    <w:rsid w:val="00A32597"/>
    <w:rsid w:val="00A32916"/>
    <w:rsid w:val="00A32C01"/>
    <w:rsid w:val="00A32CDF"/>
    <w:rsid w:val="00A32DAD"/>
    <w:rsid w:val="00A33150"/>
    <w:rsid w:val="00A3317A"/>
    <w:rsid w:val="00A33530"/>
    <w:rsid w:val="00A335DC"/>
    <w:rsid w:val="00A338C1"/>
    <w:rsid w:val="00A3393C"/>
    <w:rsid w:val="00A33FA4"/>
    <w:rsid w:val="00A3409C"/>
    <w:rsid w:val="00A3415E"/>
    <w:rsid w:val="00A34173"/>
    <w:rsid w:val="00A34492"/>
    <w:rsid w:val="00A345AF"/>
    <w:rsid w:val="00A3469E"/>
    <w:rsid w:val="00A3471D"/>
    <w:rsid w:val="00A34A7F"/>
    <w:rsid w:val="00A34B12"/>
    <w:rsid w:val="00A34E44"/>
    <w:rsid w:val="00A34E74"/>
    <w:rsid w:val="00A34F8B"/>
    <w:rsid w:val="00A3521F"/>
    <w:rsid w:val="00A35638"/>
    <w:rsid w:val="00A356F6"/>
    <w:rsid w:val="00A35702"/>
    <w:rsid w:val="00A357AA"/>
    <w:rsid w:val="00A35AE4"/>
    <w:rsid w:val="00A35C65"/>
    <w:rsid w:val="00A35EE1"/>
    <w:rsid w:val="00A36759"/>
    <w:rsid w:val="00A368B5"/>
    <w:rsid w:val="00A36A2A"/>
    <w:rsid w:val="00A36CC9"/>
    <w:rsid w:val="00A36EDE"/>
    <w:rsid w:val="00A37127"/>
    <w:rsid w:val="00A372D4"/>
    <w:rsid w:val="00A37347"/>
    <w:rsid w:val="00A3752D"/>
    <w:rsid w:val="00A376BB"/>
    <w:rsid w:val="00A37928"/>
    <w:rsid w:val="00A37C57"/>
    <w:rsid w:val="00A37D6E"/>
    <w:rsid w:val="00A37DA2"/>
    <w:rsid w:val="00A37FD3"/>
    <w:rsid w:val="00A40135"/>
    <w:rsid w:val="00A40181"/>
    <w:rsid w:val="00A4019D"/>
    <w:rsid w:val="00A402E5"/>
    <w:rsid w:val="00A4031D"/>
    <w:rsid w:val="00A40355"/>
    <w:rsid w:val="00A40393"/>
    <w:rsid w:val="00A40434"/>
    <w:rsid w:val="00A40681"/>
    <w:rsid w:val="00A407A7"/>
    <w:rsid w:val="00A407DD"/>
    <w:rsid w:val="00A40910"/>
    <w:rsid w:val="00A40A41"/>
    <w:rsid w:val="00A40C69"/>
    <w:rsid w:val="00A40D77"/>
    <w:rsid w:val="00A40ECF"/>
    <w:rsid w:val="00A41088"/>
    <w:rsid w:val="00A4115E"/>
    <w:rsid w:val="00A414A8"/>
    <w:rsid w:val="00A41527"/>
    <w:rsid w:val="00A415E0"/>
    <w:rsid w:val="00A41669"/>
    <w:rsid w:val="00A41843"/>
    <w:rsid w:val="00A418AB"/>
    <w:rsid w:val="00A418BA"/>
    <w:rsid w:val="00A41AA3"/>
    <w:rsid w:val="00A41C13"/>
    <w:rsid w:val="00A41CF4"/>
    <w:rsid w:val="00A41D90"/>
    <w:rsid w:val="00A41DE3"/>
    <w:rsid w:val="00A4264E"/>
    <w:rsid w:val="00A42955"/>
    <w:rsid w:val="00A42972"/>
    <w:rsid w:val="00A43015"/>
    <w:rsid w:val="00A4307E"/>
    <w:rsid w:val="00A432B8"/>
    <w:rsid w:val="00A433AB"/>
    <w:rsid w:val="00A43437"/>
    <w:rsid w:val="00A4375F"/>
    <w:rsid w:val="00A4384E"/>
    <w:rsid w:val="00A43AD8"/>
    <w:rsid w:val="00A43E4E"/>
    <w:rsid w:val="00A43F71"/>
    <w:rsid w:val="00A442C5"/>
    <w:rsid w:val="00A445F2"/>
    <w:rsid w:val="00A449AD"/>
    <w:rsid w:val="00A44BC2"/>
    <w:rsid w:val="00A44DF7"/>
    <w:rsid w:val="00A45455"/>
    <w:rsid w:val="00A45ADD"/>
    <w:rsid w:val="00A45C29"/>
    <w:rsid w:val="00A45C87"/>
    <w:rsid w:val="00A45E26"/>
    <w:rsid w:val="00A45F85"/>
    <w:rsid w:val="00A46039"/>
    <w:rsid w:val="00A4611A"/>
    <w:rsid w:val="00A4620B"/>
    <w:rsid w:val="00A46435"/>
    <w:rsid w:val="00A464A9"/>
    <w:rsid w:val="00A466CA"/>
    <w:rsid w:val="00A46738"/>
    <w:rsid w:val="00A46B11"/>
    <w:rsid w:val="00A46DE9"/>
    <w:rsid w:val="00A46E48"/>
    <w:rsid w:val="00A46E7E"/>
    <w:rsid w:val="00A4708B"/>
    <w:rsid w:val="00A471B2"/>
    <w:rsid w:val="00A4750E"/>
    <w:rsid w:val="00A47607"/>
    <w:rsid w:val="00A476C8"/>
    <w:rsid w:val="00A476E7"/>
    <w:rsid w:val="00A4792B"/>
    <w:rsid w:val="00A4798C"/>
    <w:rsid w:val="00A479F1"/>
    <w:rsid w:val="00A47A2F"/>
    <w:rsid w:val="00A47B37"/>
    <w:rsid w:val="00A47DF0"/>
    <w:rsid w:val="00A47F34"/>
    <w:rsid w:val="00A47F48"/>
    <w:rsid w:val="00A50051"/>
    <w:rsid w:val="00A50188"/>
    <w:rsid w:val="00A5029D"/>
    <w:rsid w:val="00A50486"/>
    <w:rsid w:val="00A50787"/>
    <w:rsid w:val="00A5087C"/>
    <w:rsid w:val="00A50D7F"/>
    <w:rsid w:val="00A50DB6"/>
    <w:rsid w:val="00A50EB0"/>
    <w:rsid w:val="00A50FB7"/>
    <w:rsid w:val="00A51374"/>
    <w:rsid w:val="00A51633"/>
    <w:rsid w:val="00A516AB"/>
    <w:rsid w:val="00A518A4"/>
    <w:rsid w:val="00A51B42"/>
    <w:rsid w:val="00A51C33"/>
    <w:rsid w:val="00A51CC7"/>
    <w:rsid w:val="00A51E38"/>
    <w:rsid w:val="00A51F77"/>
    <w:rsid w:val="00A5226E"/>
    <w:rsid w:val="00A52598"/>
    <w:rsid w:val="00A52676"/>
    <w:rsid w:val="00A52931"/>
    <w:rsid w:val="00A52BBE"/>
    <w:rsid w:val="00A52D62"/>
    <w:rsid w:val="00A52F10"/>
    <w:rsid w:val="00A52F69"/>
    <w:rsid w:val="00A53009"/>
    <w:rsid w:val="00A53095"/>
    <w:rsid w:val="00A532BB"/>
    <w:rsid w:val="00A53359"/>
    <w:rsid w:val="00A533B9"/>
    <w:rsid w:val="00A53400"/>
    <w:rsid w:val="00A5341F"/>
    <w:rsid w:val="00A540FF"/>
    <w:rsid w:val="00A54114"/>
    <w:rsid w:val="00A54150"/>
    <w:rsid w:val="00A5448F"/>
    <w:rsid w:val="00A5493A"/>
    <w:rsid w:val="00A54A1E"/>
    <w:rsid w:val="00A54A4B"/>
    <w:rsid w:val="00A54D24"/>
    <w:rsid w:val="00A54E0F"/>
    <w:rsid w:val="00A54F9E"/>
    <w:rsid w:val="00A55006"/>
    <w:rsid w:val="00A551E0"/>
    <w:rsid w:val="00A551FA"/>
    <w:rsid w:val="00A55247"/>
    <w:rsid w:val="00A555C2"/>
    <w:rsid w:val="00A556A8"/>
    <w:rsid w:val="00A55928"/>
    <w:rsid w:val="00A55C09"/>
    <w:rsid w:val="00A55C24"/>
    <w:rsid w:val="00A55DA7"/>
    <w:rsid w:val="00A55E4E"/>
    <w:rsid w:val="00A563C6"/>
    <w:rsid w:val="00A56BE3"/>
    <w:rsid w:val="00A56FA6"/>
    <w:rsid w:val="00A571E1"/>
    <w:rsid w:val="00A5731B"/>
    <w:rsid w:val="00A57417"/>
    <w:rsid w:val="00A57A16"/>
    <w:rsid w:val="00A57A31"/>
    <w:rsid w:val="00A57ABC"/>
    <w:rsid w:val="00A57ACC"/>
    <w:rsid w:val="00A57C87"/>
    <w:rsid w:val="00A57D2D"/>
    <w:rsid w:val="00A57D5B"/>
    <w:rsid w:val="00A60034"/>
    <w:rsid w:val="00A60265"/>
    <w:rsid w:val="00A6060F"/>
    <w:rsid w:val="00A6063D"/>
    <w:rsid w:val="00A60921"/>
    <w:rsid w:val="00A60F1E"/>
    <w:rsid w:val="00A6106F"/>
    <w:rsid w:val="00A61073"/>
    <w:rsid w:val="00A61223"/>
    <w:rsid w:val="00A6153D"/>
    <w:rsid w:val="00A61777"/>
    <w:rsid w:val="00A618E0"/>
    <w:rsid w:val="00A61992"/>
    <w:rsid w:val="00A61DDA"/>
    <w:rsid w:val="00A61FEA"/>
    <w:rsid w:val="00A62A3C"/>
    <w:rsid w:val="00A62AF9"/>
    <w:rsid w:val="00A62E46"/>
    <w:rsid w:val="00A62E52"/>
    <w:rsid w:val="00A63117"/>
    <w:rsid w:val="00A63251"/>
    <w:rsid w:val="00A636C8"/>
    <w:rsid w:val="00A63734"/>
    <w:rsid w:val="00A637B1"/>
    <w:rsid w:val="00A638F5"/>
    <w:rsid w:val="00A63BFF"/>
    <w:rsid w:val="00A63D3D"/>
    <w:rsid w:val="00A641DD"/>
    <w:rsid w:val="00A6433C"/>
    <w:rsid w:val="00A644F0"/>
    <w:rsid w:val="00A64529"/>
    <w:rsid w:val="00A646CA"/>
    <w:rsid w:val="00A64A2A"/>
    <w:rsid w:val="00A64AE5"/>
    <w:rsid w:val="00A64B49"/>
    <w:rsid w:val="00A64CA9"/>
    <w:rsid w:val="00A64E45"/>
    <w:rsid w:val="00A65182"/>
    <w:rsid w:val="00A651C0"/>
    <w:rsid w:val="00A65332"/>
    <w:rsid w:val="00A657CD"/>
    <w:rsid w:val="00A657DA"/>
    <w:rsid w:val="00A6586C"/>
    <w:rsid w:val="00A658BF"/>
    <w:rsid w:val="00A65A6A"/>
    <w:rsid w:val="00A65BD5"/>
    <w:rsid w:val="00A65CD1"/>
    <w:rsid w:val="00A65CFD"/>
    <w:rsid w:val="00A65DC5"/>
    <w:rsid w:val="00A65DFD"/>
    <w:rsid w:val="00A65E8C"/>
    <w:rsid w:val="00A66020"/>
    <w:rsid w:val="00A663F0"/>
    <w:rsid w:val="00A666B0"/>
    <w:rsid w:val="00A66A3D"/>
    <w:rsid w:val="00A66C5D"/>
    <w:rsid w:val="00A67173"/>
    <w:rsid w:val="00A6739D"/>
    <w:rsid w:val="00A6762A"/>
    <w:rsid w:val="00A677BE"/>
    <w:rsid w:val="00A67905"/>
    <w:rsid w:val="00A67918"/>
    <w:rsid w:val="00A67A48"/>
    <w:rsid w:val="00A67B03"/>
    <w:rsid w:val="00A67C05"/>
    <w:rsid w:val="00A67E22"/>
    <w:rsid w:val="00A67EFA"/>
    <w:rsid w:val="00A700DF"/>
    <w:rsid w:val="00A70232"/>
    <w:rsid w:val="00A70240"/>
    <w:rsid w:val="00A7037D"/>
    <w:rsid w:val="00A70700"/>
    <w:rsid w:val="00A70E02"/>
    <w:rsid w:val="00A70FCC"/>
    <w:rsid w:val="00A71196"/>
    <w:rsid w:val="00A713CB"/>
    <w:rsid w:val="00A7167F"/>
    <w:rsid w:val="00A71994"/>
    <w:rsid w:val="00A71CEC"/>
    <w:rsid w:val="00A71D9B"/>
    <w:rsid w:val="00A71F17"/>
    <w:rsid w:val="00A72145"/>
    <w:rsid w:val="00A723B9"/>
    <w:rsid w:val="00A72AB7"/>
    <w:rsid w:val="00A72D2F"/>
    <w:rsid w:val="00A72E6A"/>
    <w:rsid w:val="00A733B2"/>
    <w:rsid w:val="00A735C1"/>
    <w:rsid w:val="00A736EA"/>
    <w:rsid w:val="00A73742"/>
    <w:rsid w:val="00A73B0F"/>
    <w:rsid w:val="00A73ECE"/>
    <w:rsid w:val="00A73F41"/>
    <w:rsid w:val="00A7407E"/>
    <w:rsid w:val="00A741A1"/>
    <w:rsid w:val="00A7420F"/>
    <w:rsid w:val="00A742A0"/>
    <w:rsid w:val="00A742A7"/>
    <w:rsid w:val="00A745DB"/>
    <w:rsid w:val="00A747BA"/>
    <w:rsid w:val="00A748C1"/>
    <w:rsid w:val="00A7490E"/>
    <w:rsid w:val="00A74B83"/>
    <w:rsid w:val="00A74BC8"/>
    <w:rsid w:val="00A752B1"/>
    <w:rsid w:val="00A754E0"/>
    <w:rsid w:val="00A754EB"/>
    <w:rsid w:val="00A75873"/>
    <w:rsid w:val="00A7588B"/>
    <w:rsid w:val="00A75927"/>
    <w:rsid w:val="00A75AFC"/>
    <w:rsid w:val="00A75BBF"/>
    <w:rsid w:val="00A75C46"/>
    <w:rsid w:val="00A761D6"/>
    <w:rsid w:val="00A76330"/>
    <w:rsid w:val="00A764C4"/>
    <w:rsid w:val="00A76841"/>
    <w:rsid w:val="00A7697E"/>
    <w:rsid w:val="00A76DAE"/>
    <w:rsid w:val="00A7717E"/>
    <w:rsid w:val="00A7719D"/>
    <w:rsid w:val="00A7719E"/>
    <w:rsid w:val="00A77442"/>
    <w:rsid w:val="00A77482"/>
    <w:rsid w:val="00A77763"/>
    <w:rsid w:val="00A7799B"/>
    <w:rsid w:val="00A77DBE"/>
    <w:rsid w:val="00A77E86"/>
    <w:rsid w:val="00A77EB7"/>
    <w:rsid w:val="00A77F12"/>
    <w:rsid w:val="00A77F9D"/>
    <w:rsid w:val="00A800AD"/>
    <w:rsid w:val="00A80794"/>
    <w:rsid w:val="00A809DE"/>
    <w:rsid w:val="00A80DBA"/>
    <w:rsid w:val="00A8101B"/>
    <w:rsid w:val="00A812B9"/>
    <w:rsid w:val="00A815A5"/>
    <w:rsid w:val="00A819F7"/>
    <w:rsid w:val="00A81C22"/>
    <w:rsid w:val="00A81CF0"/>
    <w:rsid w:val="00A81ECF"/>
    <w:rsid w:val="00A81FB7"/>
    <w:rsid w:val="00A81FFE"/>
    <w:rsid w:val="00A820A8"/>
    <w:rsid w:val="00A82110"/>
    <w:rsid w:val="00A82149"/>
    <w:rsid w:val="00A822D6"/>
    <w:rsid w:val="00A8272F"/>
    <w:rsid w:val="00A828A3"/>
    <w:rsid w:val="00A82D7D"/>
    <w:rsid w:val="00A8366B"/>
    <w:rsid w:val="00A839A0"/>
    <w:rsid w:val="00A83A65"/>
    <w:rsid w:val="00A83B7E"/>
    <w:rsid w:val="00A83D53"/>
    <w:rsid w:val="00A83F3C"/>
    <w:rsid w:val="00A83F68"/>
    <w:rsid w:val="00A84448"/>
    <w:rsid w:val="00A84613"/>
    <w:rsid w:val="00A8480D"/>
    <w:rsid w:val="00A84866"/>
    <w:rsid w:val="00A84C3A"/>
    <w:rsid w:val="00A84E5F"/>
    <w:rsid w:val="00A851C3"/>
    <w:rsid w:val="00A856E1"/>
    <w:rsid w:val="00A857DD"/>
    <w:rsid w:val="00A85804"/>
    <w:rsid w:val="00A859D8"/>
    <w:rsid w:val="00A85A7A"/>
    <w:rsid w:val="00A85CF9"/>
    <w:rsid w:val="00A85D29"/>
    <w:rsid w:val="00A85DEB"/>
    <w:rsid w:val="00A85E7E"/>
    <w:rsid w:val="00A85FEB"/>
    <w:rsid w:val="00A86304"/>
    <w:rsid w:val="00A86512"/>
    <w:rsid w:val="00A86675"/>
    <w:rsid w:val="00A867A0"/>
    <w:rsid w:val="00A86B8F"/>
    <w:rsid w:val="00A86E04"/>
    <w:rsid w:val="00A86F88"/>
    <w:rsid w:val="00A86FC6"/>
    <w:rsid w:val="00A86FD9"/>
    <w:rsid w:val="00A870CB"/>
    <w:rsid w:val="00A870E7"/>
    <w:rsid w:val="00A8713D"/>
    <w:rsid w:val="00A87857"/>
    <w:rsid w:val="00A87938"/>
    <w:rsid w:val="00A87AF9"/>
    <w:rsid w:val="00A87E82"/>
    <w:rsid w:val="00A901D2"/>
    <w:rsid w:val="00A90250"/>
    <w:rsid w:val="00A907AE"/>
    <w:rsid w:val="00A908B6"/>
    <w:rsid w:val="00A90A42"/>
    <w:rsid w:val="00A90B6C"/>
    <w:rsid w:val="00A90DA4"/>
    <w:rsid w:val="00A91125"/>
    <w:rsid w:val="00A911F0"/>
    <w:rsid w:val="00A912D3"/>
    <w:rsid w:val="00A9177E"/>
    <w:rsid w:val="00A92058"/>
    <w:rsid w:val="00A92077"/>
    <w:rsid w:val="00A921A5"/>
    <w:rsid w:val="00A921B0"/>
    <w:rsid w:val="00A92300"/>
    <w:rsid w:val="00A923E5"/>
    <w:rsid w:val="00A92414"/>
    <w:rsid w:val="00A9248F"/>
    <w:rsid w:val="00A9266F"/>
    <w:rsid w:val="00A92885"/>
    <w:rsid w:val="00A92A75"/>
    <w:rsid w:val="00A92D2C"/>
    <w:rsid w:val="00A92D8C"/>
    <w:rsid w:val="00A93067"/>
    <w:rsid w:val="00A93080"/>
    <w:rsid w:val="00A934C9"/>
    <w:rsid w:val="00A93607"/>
    <w:rsid w:val="00A93634"/>
    <w:rsid w:val="00A93D40"/>
    <w:rsid w:val="00A93DC5"/>
    <w:rsid w:val="00A93DDF"/>
    <w:rsid w:val="00A93F7F"/>
    <w:rsid w:val="00A948EB"/>
    <w:rsid w:val="00A949FD"/>
    <w:rsid w:val="00A94A9F"/>
    <w:rsid w:val="00A95022"/>
    <w:rsid w:val="00A9507C"/>
    <w:rsid w:val="00A9519F"/>
    <w:rsid w:val="00A95218"/>
    <w:rsid w:val="00A95302"/>
    <w:rsid w:val="00A95633"/>
    <w:rsid w:val="00A9570F"/>
    <w:rsid w:val="00A95B79"/>
    <w:rsid w:val="00A95C28"/>
    <w:rsid w:val="00A95C50"/>
    <w:rsid w:val="00A9606F"/>
    <w:rsid w:val="00A964A4"/>
    <w:rsid w:val="00A96624"/>
    <w:rsid w:val="00A96A8D"/>
    <w:rsid w:val="00A96CA0"/>
    <w:rsid w:val="00A96E26"/>
    <w:rsid w:val="00A970EB"/>
    <w:rsid w:val="00A97399"/>
    <w:rsid w:val="00A9743B"/>
    <w:rsid w:val="00A9759B"/>
    <w:rsid w:val="00A97810"/>
    <w:rsid w:val="00A979D0"/>
    <w:rsid w:val="00A97ADB"/>
    <w:rsid w:val="00AA0666"/>
    <w:rsid w:val="00AA068B"/>
    <w:rsid w:val="00AA0821"/>
    <w:rsid w:val="00AA0AAA"/>
    <w:rsid w:val="00AA1464"/>
    <w:rsid w:val="00AA180B"/>
    <w:rsid w:val="00AA18CF"/>
    <w:rsid w:val="00AA1ADE"/>
    <w:rsid w:val="00AA1C42"/>
    <w:rsid w:val="00AA20AE"/>
    <w:rsid w:val="00AA2444"/>
    <w:rsid w:val="00AA25D9"/>
    <w:rsid w:val="00AA2CB9"/>
    <w:rsid w:val="00AA2F30"/>
    <w:rsid w:val="00AA31DA"/>
    <w:rsid w:val="00AA31E9"/>
    <w:rsid w:val="00AA31F8"/>
    <w:rsid w:val="00AA3614"/>
    <w:rsid w:val="00AA3C92"/>
    <w:rsid w:val="00AA3CAB"/>
    <w:rsid w:val="00AA3D42"/>
    <w:rsid w:val="00AA3FB7"/>
    <w:rsid w:val="00AA40EC"/>
    <w:rsid w:val="00AA4148"/>
    <w:rsid w:val="00AA4365"/>
    <w:rsid w:val="00AA46B6"/>
    <w:rsid w:val="00AA4718"/>
    <w:rsid w:val="00AA4826"/>
    <w:rsid w:val="00AA4B44"/>
    <w:rsid w:val="00AA4BA9"/>
    <w:rsid w:val="00AA4CC8"/>
    <w:rsid w:val="00AA4FF1"/>
    <w:rsid w:val="00AA543A"/>
    <w:rsid w:val="00AA56E1"/>
    <w:rsid w:val="00AA5926"/>
    <w:rsid w:val="00AA5A75"/>
    <w:rsid w:val="00AA5ADC"/>
    <w:rsid w:val="00AA5DD8"/>
    <w:rsid w:val="00AA5E55"/>
    <w:rsid w:val="00AA5EDC"/>
    <w:rsid w:val="00AA5FF7"/>
    <w:rsid w:val="00AA601A"/>
    <w:rsid w:val="00AA62DB"/>
    <w:rsid w:val="00AA636C"/>
    <w:rsid w:val="00AA6452"/>
    <w:rsid w:val="00AA64C0"/>
    <w:rsid w:val="00AA67C7"/>
    <w:rsid w:val="00AA6915"/>
    <w:rsid w:val="00AA6BB0"/>
    <w:rsid w:val="00AA6CCF"/>
    <w:rsid w:val="00AA6D60"/>
    <w:rsid w:val="00AA6FBC"/>
    <w:rsid w:val="00AA7038"/>
    <w:rsid w:val="00AA717C"/>
    <w:rsid w:val="00AA71F2"/>
    <w:rsid w:val="00AA730F"/>
    <w:rsid w:val="00AA7663"/>
    <w:rsid w:val="00AA79CA"/>
    <w:rsid w:val="00AA7AB8"/>
    <w:rsid w:val="00AA7AF0"/>
    <w:rsid w:val="00AA7E3A"/>
    <w:rsid w:val="00AA7EFD"/>
    <w:rsid w:val="00AA7FBB"/>
    <w:rsid w:val="00AB0213"/>
    <w:rsid w:val="00AB0345"/>
    <w:rsid w:val="00AB044A"/>
    <w:rsid w:val="00AB0483"/>
    <w:rsid w:val="00AB05D6"/>
    <w:rsid w:val="00AB0838"/>
    <w:rsid w:val="00AB0979"/>
    <w:rsid w:val="00AB0D8D"/>
    <w:rsid w:val="00AB0DC2"/>
    <w:rsid w:val="00AB0E93"/>
    <w:rsid w:val="00AB0ED3"/>
    <w:rsid w:val="00AB0F17"/>
    <w:rsid w:val="00AB135E"/>
    <w:rsid w:val="00AB1648"/>
    <w:rsid w:val="00AB1964"/>
    <w:rsid w:val="00AB1B64"/>
    <w:rsid w:val="00AB1BD2"/>
    <w:rsid w:val="00AB1F1E"/>
    <w:rsid w:val="00AB2AAE"/>
    <w:rsid w:val="00AB2B7A"/>
    <w:rsid w:val="00AB2BE6"/>
    <w:rsid w:val="00AB2D6D"/>
    <w:rsid w:val="00AB2E65"/>
    <w:rsid w:val="00AB2ED9"/>
    <w:rsid w:val="00AB300A"/>
    <w:rsid w:val="00AB3066"/>
    <w:rsid w:val="00AB3317"/>
    <w:rsid w:val="00AB3627"/>
    <w:rsid w:val="00AB3782"/>
    <w:rsid w:val="00AB39BB"/>
    <w:rsid w:val="00AB3DAE"/>
    <w:rsid w:val="00AB3DDF"/>
    <w:rsid w:val="00AB3EFA"/>
    <w:rsid w:val="00AB402F"/>
    <w:rsid w:val="00AB41AC"/>
    <w:rsid w:val="00AB42CD"/>
    <w:rsid w:val="00AB4777"/>
    <w:rsid w:val="00AB47D0"/>
    <w:rsid w:val="00AB492C"/>
    <w:rsid w:val="00AB4BB2"/>
    <w:rsid w:val="00AB4ED8"/>
    <w:rsid w:val="00AB4FA5"/>
    <w:rsid w:val="00AB5462"/>
    <w:rsid w:val="00AB55E7"/>
    <w:rsid w:val="00AB5622"/>
    <w:rsid w:val="00AB57B2"/>
    <w:rsid w:val="00AB57B9"/>
    <w:rsid w:val="00AB5B67"/>
    <w:rsid w:val="00AB5C2B"/>
    <w:rsid w:val="00AB5CD5"/>
    <w:rsid w:val="00AB6227"/>
    <w:rsid w:val="00AB6784"/>
    <w:rsid w:val="00AB67AA"/>
    <w:rsid w:val="00AB692E"/>
    <w:rsid w:val="00AB69E9"/>
    <w:rsid w:val="00AB6B86"/>
    <w:rsid w:val="00AB72BB"/>
    <w:rsid w:val="00AB72E8"/>
    <w:rsid w:val="00AB745E"/>
    <w:rsid w:val="00AB74DB"/>
    <w:rsid w:val="00AB7705"/>
    <w:rsid w:val="00AB7D0C"/>
    <w:rsid w:val="00AC00AB"/>
    <w:rsid w:val="00AC0242"/>
    <w:rsid w:val="00AC056A"/>
    <w:rsid w:val="00AC06C1"/>
    <w:rsid w:val="00AC0758"/>
    <w:rsid w:val="00AC0B1B"/>
    <w:rsid w:val="00AC0F52"/>
    <w:rsid w:val="00AC142F"/>
    <w:rsid w:val="00AC1F20"/>
    <w:rsid w:val="00AC256D"/>
    <w:rsid w:val="00AC2604"/>
    <w:rsid w:val="00AC260A"/>
    <w:rsid w:val="00AC27BA"/>
    <w:rsid w:val="00AC27C2"/>
    <w:rsid w:val="00AC27D0"/>
    <w:rsid w:val="00AC2966"/>
    <w:rsid w:val="00AC29F1"/>
    <w:rsid w:val="00AC2B6D"/>
    <w:rsid w:val="00AC2C6E"/>
    <w:rsid w:val="00AC2DC2"/>
    <w:rsid w:val="00AC2E35"/>
    <w:rsid w:val="00AC3067"/>
    <w:rsid w:val="00AC36ED"/>
    <w:rsid w:val="00AC3B9D"/>
    <w:rsid w:val="00AC3D2A"/>
    <w:rsid w:val="00AC3EBE"/>
    <w:rsid w:val="00AC3F3B"/>
    <w:rsid w:val="00AC3F74"/>
    <w:rsid w:val="00AC420C"/>
    <w:rsid w:val="00AC425D"/>
    <w:rsid w:val="00AC441E"/>
    <w:rsid w:val="00AC4902"/>
    <w:rsid w:val="00AC4B8F"/>
    <w:rsid w:val="00AC4BF4"/>
    <w:rsid w:val="00AC4C90"/>
    <w:rsid w:val="00AC52B6"/>
    <w:rsid w:val="00AC5460"/>
    <w:rsid w:val="00AC5844"/>
    <w:rsid w:val="00AC64F4"/>
    <w:rsid w:val="00AC6AC5"/>
    <w:rsid w:val="00AC6D44"/>
    <w:rsid w:val="00AC6DA0"/>
    <w:rsid w:val="00AC6F88"/>
    <w:rsid w:val="00AC71F1"/>
    <w:rsid w:val="00AC7258"/>
    <w:rsid w:val="00AC7575"/>
    <w:rsid w:val="00AC7828"/>
    <w:rsid w:val="00AC7EED"/>
    <w:rsid w:val="00AC7F68"/>
    <w:rsid w:val="00AC7FCB"/>
    <w:rsid w:val="00AC7FE1"/>
    <w:rsid w:val="00AD054D"/>
    <w:rsid w:val="00AD05B9"/>
    <w:rsid w:val="00AD067E"/>
    <w:rsid w:val="00AD0D62"/>
    <w:rsid w:val="00AD0E3C"/>
    <w:rsid w:val="00AD1012"/>
    <w:rsid w:val="00AD180D"/>
    <w:rsid w:val="00AD18CE"/>
    <w:rsid w:val="00AD1B47"/>
    <w:rsid w:val="00AD23A3"/>
    <w:rsid w:val="00AD2438"/>
    <w:rsid w:val="00AD2762"/>
    <w:rsid w:val="00AD27BD"/>
    <w:rsid w:val="00AD28DA"/>
    <w:rsid w:val="00AD2A93"/>
    <w:rsid w:val="00AD2E2A"/>
    <w:rsid w:val="00AD2F05"/>
    <w:rsid w:val="00AD2F4C"/>
    <w:rsid w:val="00AD31E6"/>
    <w:rsid w:val="00AD3332"/>
    <w:rsid w:val="00AD3407"/>
    <w:rsid w:val="00AD3541"/>
    <w:rsid w:val="00AD3B6B"/>
    <w:rsid w:val="00AD3BB6"/>
    <w:rsid w:val="00AD3D54"/>
    <w:rsid w:val="00AD418E"/>
    <w:rsid w:val="00AD41F6"/>
    <w:rsid w:val="00AD4381"/>
    <w:rsid w:val="00AD4405"/>
    <w:rsid w:val="00AD44AD"/>
    <w:rsid w:val="00AD47FC"/>
    <w:rsid w:val="00AD4907"/>
    <w:rsid w:val="00AD49B3"/>
    <w:rsid w:val="00AD4A8A"/>
    <w:rsid w:val="00AD4DC7"/>
    <w:rsid w:val="00AD554B"/>
    <w:rsid w:val="00AD58DA"/>
    <w:rsid w:val="00AD58E4"/>
    <w:rsid w:val="00AD5AA9"/>
    <w:rsid w:val="00AD5E7C"/>
    <w:rsid w:val="00AD6306"/>
    <w:rsid w:val="00AD6369"/>
    <w:rsid w:val="00AD63FF"/>
    <w:rsid w:val="00AD6681"/>
    <w:rsid w:val="00AD6937"/>
    <w:rsid w:val="00AD6B9E"/>
    <w:rsid w:val="00AD6C46"/>
    <w:rsid w:val="00AD6C7C"/>
    <w:rsid w:val="00AD6CD0"/>
    <w:rsid w:val="00AD6F86"/>
    <w:rsid w:val="00AD6FC8"/>
    <w:rsid w:val="00AD7026"/>
    <w:rsid w:val="00AD740B"/>
    <w:rsid w:val="00AD7565"/>
    <w:rsid w:val="00AD7597"/>
    <w:rsid w:val="00AD7795"/>
    <w:rsid w:val="00AD787E"/>
    <w:rsid w:val="00AD78A4"/>
    <w:rsid w:val="00AD795F"/>
    <w:rsid w:val="00AD7B7B"/>
    <w:rsid w:val="00AD7BA3"/>
    <w:rsid w:val="00AD7CBF"/>
    <w:rsid w:val="00AE00F0"/>
    <w:rsid w:val="00AE0523"/>
    <w:rsid w:val="00AE08F5"/>
    <w:rsid w:val="00AE0EF2"/>
    <w:rsid w:val="00AE0F4B"/>
    <w:rsid w:val="00AE101D"/>
    <w:rsid w:val="00AE11CB"/>
    <w:rsid w:val="00AE1381"/>
    <w:rsid w:val="00AE1A5F"/>
    <w:rsid w:val="00AE1B43"/>
    <w:rsid w:val="00AE1DC2"/>
    <w:rsid w:val="00AE1DDE"/>
    <w:rsid w:val="00AE230C"/>
    <w:rsid w:val="00AE28DD"/>
    <w:rsid w:val="00AE29C3"/>
    <w:rsid w:val="00AE2C62"/>
    <w:rsid w:val="00AE2F3E"/>
    <w:rsid w:val="00AE3056"/>
    <w:rsid w:val="00AE30BF"/>
    <w:rsid w:val="00AE3563"/>
    <w:rsid w:val="00AE37AF"/>
    <w:rsid w:val="00AE38C2"/>
    <w:rsid w:val="00AE3B47"/>
    <w:rsid w:val="00AE40CF"/>
    <w:rsid w:val="00AE45DA"/>
    <w:rsid w:val="00AE4A5D"/>
    <w:rsid w:val="00AE4C37"/>
    <w:rsid w:val="00AE533E"/>
    <w:rsid w:val="00AE54AA"/>
    <w:rsid w:val="00AE5666"/>
    <w:rsid w:val="00AE56BC"/>
    <w:rsid w:val="00AE56F1"/>
    <w:rsid w:val="00AE59D6"/>
    <w:rsid w:val="00AE5A8D"/>
    <w:rsid w:val="00AE6045"/>
    <w:rsid w:val="00AE6491"/>
    <w:rsid w:val="00AE674A"/>
    <w:rsid w:val="00AE6814"/>
    <w:rsid w:val="00AE68A9"/>
    <w:rsid w:val="00AE70EB"/>
    <w:rsid w:val="00AE7136"/>
    <w:rsid w:val="00AE75AE"/>
    <w:rsid w:val="00AE7740"/>
    <w:rsid w:val="00AE78B3"/>
    <w:rsid w:val="00AE7B0B"/>
    <w:rsid w:val="00AE7DA2"/>
    <w:rsid w:val="00AE7E08"/>
    <w:rsid w:val="00AF0012"/>
    <w:rsid w:val="00AF0214"/>
    <w:rsid w:val="00AF03A1"/>
    <w:rsid w:val="00AF051A"/>
    <w:rsid w:val="00AF052D"/>
    <w:rsid w:val="00AF0AA6"/>
    <w:rsid w:val="00AF0CC7"/>
    <w:rsid w:val="00AF0D13"/>
    <w:rsid w:val="00AF11C5"/>
    <w:rsid w:val="00AF12B1"/>
    <w:rsid w:val="00AF13FC"/>
    <w:rsid w:val="00AF15B0"/>
    <w:rsid w:val="00AF167B"/>
    <w:rsid w:val="00AF1AFE"/>
    <w:rsid w:val="00AF1B86"/>
    <w:rsid w:val="00AF1DA3"/>
    <w:rsid w:val="00AF1E8D"/>
    <w:rsid w:val="00AF1F33"/>
    <w:rsid w:val="00AF20FB"/>
    <w:rsid w:val="00AF236E"/>
    <w:rsid w:val="00AF23BC"/>
    <w:rsid w:val="00AF26B9"/>
    <w:rsid w:val="00AF26EB"/>
    <w:rsid w:val="00AF2851"/>
    <w:rsid w:val="00AF289D"/>
    <w:rsid w:val="00AF29A8"/>
    <w:rsid w:val="00AF2A70"/>
    <w:rsid w:val="00AF2BAD"/>
    <w:rsid w:val="00AF3207"/>
    <w:rsid w:val="00AF3480"/>
    <w:rsid w:val="00AF34CD"/>
    <w:rsid w:val="00AF352E"/>
    <w:rsid w:val="00AF355F"/>
    <w:rsid w:val="00AF359A"/>
    <w:rsid w:val="00AF35D1"/>
    <w:rsid w:val="00AF3966"/>
    <w:rsid w:val="00AF3A2B"/>
    <w:rsid w:val="00AF3D75"/>
    <w:rsid w:val="00AF4067"/>
    <w:rsid w:val="00AF4A76"/>
    <w:rsid w:val="00AF4B85"/>
    <w:rsid w:val="00AF4E1F"/>
    <w:rsid w:val="00AF52E5"/>
    <w:rsid w:val="00AF5402"/>
    <w:rsid w:val="00AF54A2"/>
    <w:rsid w:val="00AF559E"/>
    <w:rsid w:val="00AF5C3D"/>
    <w:rsid w:val="00AF5E0C"/>
    <w:rsid w:val="00AF5E8E"/>
    <w:rsid w:val="00AF6139"/>
    <w:rsid w:val="00AF64DD"/>
    <w:rsid w:val="00AF655F"/>
    <w:rsid w:val="00AF6B19"/>
    <w:rsid w:val="00AF6EF7"/>
    <w:rsid w:val="00AF71CA"/>
    <w:rsid w:val="00AF76CE"/>
    <w:rsid w:val="00AF7819"/>
    <w:rsid w:val="00AF7911"/>
    <w:rsid w:val="00AF797D"/>
    <w:rsid w:val="00AF7A09"/>
    <w:rsid w:val="00AF7A35"/>
    <w:rsid w:val="00AF7BAE"/>
    <w:rsid w:val="00AF7E51"/>
    <w:rsid w:val="00AF7FAC"/>
    <w:rsid w:val="00B001B0"/>
    <w:rsid w:val="00B004B4"/>
    <w:rsid w:val="00B006B3"/>
    <w:rsid w:val="00B006BA"/>
    <w:rsid w:val="00B008BB"/>
    <w:rsid w:val="00B009A1"/>
    <w:rsid w:val="00B009DC"/>
    <w:rsid w:val="00B00F21"/>
    <w:rsid w:val="00B00F27"/>
    <w:rsid w:val="00B014CB"/>
    <w:rsid w:val="00B017C2"/>
    <w:rsid w:val="00B01AC4"/>
    <w:rsid w:val="00B01BC7"/>
    <w:rsid w:val="00B01CDC"/>
    <w:rsid w:val="00B01F82"/>
    <w:rsid w:val="00B021AE"/>
    <w:rsid w:val="00B021ED"/>
    <w:rsid w:val="00B026DC"/>
    <w:rsid w:val="00B02A71"/>
    <w:rsid w:val="00B02CB5"/>
    <w:rsid w:val="00B02E2B"/>
    <w:rsid w:val="00B030B4"/>
    <w:rsid w:val="00B0312A"/>
    <w:rsid w:val="00B0340A"/>
    <w:rsid w:val="00B0342A"/>
    <w:rsid w:val="00B036B1"/>
    <w:rsid w:val="00B03D24"/>
    <w:rsid w:val="00B03E4A"/>
    <w:rsid w:val="00B040E2"/>
    <w:rsid w:val="00B043A3"/>
    <w:rsid w:val="00B04513"/>
    <w:rsid w:val="00B04677"/>
    <w:rsid w:val="00B047E7"/>
    <w:rsid w:val="00B04BB1"/>
    <w:rsid w:val="00B04E23"/>
    <w:rsid w:val="00B04F18"/>
    <w:rsid w:val="00B0516D"/>
    <w:rsid w:val="00B051DE"/>
    <w:rsid w:val="00B0559A"/>
    <w:rsid w:val="00B058B9"/>
    <w:rsid w:val="00B05AFD"/>
    <w:rsid w:val="00B05C50"/>
    <w:rsid w:val="00B05D9B"/>
    <w:rsid w:val="00B05E9B"/>
    <w:rsid w:val="00B05F9F"/>
    <w:rsid w:val="00B0634A"/>
    <w:rsid w:val="00B0634B"/>
    <w:rsid w:val="00B06391"/>
    <w:rsid w:val="00B0665C"/>
    <w:rsid w:val="00B067A7"/>
    <w:rsid w:val="00B06A30"/>
    <w:rsid w:val="00B06ACD"/>
    <w:rsid w:val="00B06F1F"/>
    <w:rsid w:val="00B073DD"/>
    <w:rsid w:val="00B07467"/>
    <w:rsid w:val="00B07693"/>
    <w:rsid w:val="00B07698"/>
    <w:rsid w:val="00B07727"/>
    <w:rsid w:val="00B07737"/>
    <w:rsid w:val="00B07921"/>
    <w:rsid w:val="00B07A41"/>
    <w:rsid w:val="00B07C52"/>
    <w:rsid w:val="00B07CF5"/>
    <w:rsid w:val="00B07D00"/>
    <w:rsid w:val="00B07D7C"/>
    <w:rsid w:val="00B10117"/>
    <w:rsid w:val="00B10ABA"/>
    <w:rsid w:val="00B10BDB"/>
    <w:rsid w:val="00B10D7B"/>
    <w:rsid w:val="00B1103C"/>
    <w:rsid w:val="00B11088"/>
    <w:rsid w:val="00B110B6"/>
    <w:rsid w:val="00B1129D"/>
    <w:rsid w:val="00B113E6"/>
    <w:rsid w:val="00B114E2"/>
    <w:rsid w:val="00B11668"/>
    <w:rsid w:val="00B11951"/>
    <w:rsid w:val="00B11A11"/>
    <w:rsid w:val="00B11B3C"/>
    <w:rsid w:val="00B11B4C"/>
    <w:rsid w:val="00B11DF6"/>
    <w:rsid w:val="00B11E40"/>
    <w:rsid w:val="00B11E8B"/>
    <w:rsid w:val="00B12109"/>
    <w:rsid w:val="00B1222E"/>
    <w:rsid w:val="00B12444"/>
    <w:rsid w:val="00B124D9"/>
    <w:rsid w:val="00B12826"/>
    <w:rsid w:val="00B129C1"/>
    <w:rsid w:val="00B12B21"/>
    <w:rsid w:val="00B12D4F"/>
    <w:rsid w:val="00B12DC2"/>
    <w:rsid w:val="00B12F20"/>
    <w:rsid w:val="00B12F65"/>
    <w:rsid w:val="00B1302C"/>
    <w:rsid w:val="00B13067"/>
    <w:rsid w:val="00B1312C"/>
    <w:rsid w:val="00B131BF"/>
    <w:rsid w:val="00B1339C"/>
    <w:rsid w:val="00B13526"/>
    <w:rsid w:val="00B139E1"/>
    <w:rsid w:val="00B13A03"/>
    <w:rsid w:val="00B13C43"/>
    <w:rsid w:val="00B13F72"/>
    <w:rsid w:val="00B13FC6"/>
    <w:rsid w:val="00B14045"/>
    <w:rsid w:val="00B140A5"/>
    <w:rsid w:val="00B1418F"/>
    <w:rsid w:val="00B1428D"/>
    <w:rsid w:val="00B1432E"/>
    <w:rsid w:val="00B143D9"/>
    <w:rsid w:val="00B14546"/>
    <w:rsid w:val="00B146E8"/>
    <w:rsid w:val="00B148C7"/>
    <w:rsid w:val="00B149B3"/>
    <w:rsid w:val="00B14C95"/>
    <w:rsid w:val="00B14CC5"/>
    <w:rsid w:val="00B14D6D"/>
    <w:rsid w:val="00B14DC0"/>
    <w:rsid w:val="00B15024"/>
    <w:rsid w:val="00B15142"/>
    <w:rsid w:val="00B15146"/>
    <w:rsid w:val="00B1514E"/>
    <w:rsid w:val="00B1563E"/>
    <w:rsid w:val="00B156A0"/>
    <w:rsid w:val="00B1584B"/>
    <w:rsid w:val="00B15D13"/>
    <w:rsid w:val="00B15E83"/>
    <w:rsid w:val="00B16196"/>
    <w:rsid w:val="00B161F6"/>
    <w:rsid w:val="00B16207"/>
    <w:rsid w:val="00B16282"/>
    <w:rsid w:val="00B16530"/>
    <w:rsid w:val="00B16FFF"/>
    <w:rsid w:val="00B17441"/>
    <w:rsid w:val="00B1773C"/>
    <w:rsid w:val="00B17779"/>
    <w:rsid w:val="00B17C35"/>
    <w:rsid w:val="00B17D1A"/>
    <w:rsid w:val="00B17DB8"/>
    <w:rsid w:val="00B20352"/>
    <w:rsid w:val="00B203B3"/>
    <w:rsid w:val="00B206FD"/>
    <w:rsid w:val="00B20719"/>
    <w:rsid w:val="00B20833"/>
    <w:rsid w:val="00B20A98"/>
    <w:rsid w:val="00B20BAB"/>
    <w:rsid w:val="00B20FE9"/>
    <w:rsid w:val="00B21047"/>
    <w:rsid w:val="00B2133C"/>
    <w:rsid w:val="00B213D1"/>
    <w:rsid w:val="00B216FA"/>
    <w:rsid w:val="00B217D9"/>
    <w:rsid w:val="00B21966"/>
    <w:rsid w:val="00B21BD6"/>
    <w:rsid w:val="00B21C55"/>
    <w:rsid w:val="00B21DA8"/>
    <w:rsid w:val="00B21E04"/>
    <w:rsid w:val="00B222C2"/>
    <w:rsid w:val="00B22491"/>
    <w:rsid w:val="00B22551"/>
    <w:rsid w:val="00B225B5"/>
    <w:rsid w:val="00B225FD"/>
    <w:rsid w:val="00B2278A"/>
    <w:rsid w:val="00B22BD5"/>
    <w:rsid w:val="00B22E44"/>
    <w:rsid w:val="00B22F61"/>
    <w:rsid w:val="00B23190"/>
    <w:rsid w:val="00B23204"/>
    <w:rsid w:val="00B232EF"/>
    <w:rsid w:val="00B23374"/>
    <w:rsid w:val="00B23439"/>
    <w:rsid w:val="00B238CF"/>
    <w:rsid w:val="00B2397E"/>
    <w:rsid w:val="00B23E9D"/>
    <w:rsid w:val="00B23EA3"/>
    <w:rsid w:val="00B23FAE"/>
    <w:rsid w:val="00B24007"/>
    <w:rsid w:val="00B240F9"/>
    <w:rsid w:val="00B24116"/>
    <w:rsid w:val="00B2420A"/>
    <w:rsid w:val="00B24722"/>
    <w:rsid w:val="00B249F5"/>
    <w:rsid w:val="00B24B76"/>
    <w:rsid w:val="00B24E8E"/>
    <w:rsid w:val="00B2507D"/>
    <w:rsid w:val="00B250B4"/>
    <w:rsid w:val="00B25125"/>
    <w:rsid w:val="00B2535A"/>
    <w:rsid w:val="00B25C7C"/>
    <w:rsid w:val="00B2638D"/>
    <w:rsid w:val="00B26421"/>
    <w:rsid w:val="00B265D2"/>
    <w:rsid w:val="00B2669F"/>
    <w:rsid w:val="00B26781"/>
    <w:rsid w:val="00B26C8F"/>
    <w:rsid w:val="00B26C94"/>
    <w:rsid w:val="00B26F44"/>
    <w:rsid w:val="00B271D3"/>
    <w:rsid w:val="00B27238"/>
    <w:rsid w:val="00B2737D"/>
    <w:rsid w:val="00B276FC"/>
    <w:rsid w:val="00B27823"/>
    <w:rsid w:val="00B27A15"/>
    <w:rsid w:val="00B27AA1"/>
    <w:rsid w:val="00B27DB0"/>
    <w:rsid w:val="00B30178"/>
    <w:rsid w:val="00B30583"/>
    <w:rsid w:val="00B30A2B"/>
    <w:rsid w:val="00B30FE7"/>
    <w:rsid w:val="00B31131"/>
    <w:rsid w:val="00B316E6"/>
    <w:rsid w:val="00B31AD9"/>
    <w:rsid w:val="00B31B8B"/>
    <w:rsid w:val="00B31DEF"/>
    <w:rsid w:val="00B31DF5"/>
    <w:rsid w:val="00B31F5C"/>
    <w:rsid w:val="00B32271"/>
    <w:rsid w:val="00B323BE"/>
    <w:rsid w:val="00B32619"/>
    <w:rsid w:val="00B32879"/>
    <w:rsid w:val="00B32A54"/>
    <w:rsid w:val="00B32CA4"/>
    <w:rsid w:val="00B32F85"/>
    <w:rsid w:val="00B330E6"/>
    <w:rsid w:val="00B3348F"/>
    <w:rsid w:val="00B3351B"/>
    <w:rsid w:val="00B335B2"/>
    <w:rsid w:val="00B3379A"/>
    <w:rsid w:val="00B337FF"/>
    <w:rsid w:val="00B3397C"/>
    <w:rsid w:val="00B33A65"/>
    <w:rsid w:val="00B33C8B"/>
    <w:rsid w:val="00B33CF7"/>
    <w:rsid w:val="00B33D13"/>
    <w:rsid w:val="00B33EA7"/>
    <w:rsid w:val="00B34030"/>
    <w:rsid w:val="00B340CA"/>
    <w:rsid w:val="00B3416B"/>
    <w:rsid w:val="00B3419B"/>
    <w:rsid w:val="00B342B0"/>
    <w:rsid w:val="00B34371"/>
    <w:rsid w:val="00B343DF"/>
    <w:rsid w:val="00B346B1"/>
    <w:rsid w:val="00B34915"/>
    <w:rsid w:val="00B34C10"/>
    <w:rsid w:val="00B34DFC"/>
    <w:rsid w:val="00B34E9C"/>
    <w:rsid w:val="00B34EBE"/>
    <w:rsid w:val="00B3561E"/>
    <w:rsid w:val="00B35643"/>
    <w:rsid w:val="00B35A88"/>
    <w:rsid w:val="00B35C08"/>
    <w:rsid w:val="00B360CE"/>
    <w:rsid w:val="00B362DC"/>
    <w:rsid w:val="00B36513"/>
    <w:rsid w:val="00B36557"/>
    <w:rsid w:val="00B36CE1"/>
    <w:rsid w:val="00B36EC1"/>
    <w:rsid w:val="00B371BF"/>
    <w:rsid w:val="00B37482"/>
    <w:rsid w:val="00B3755A"/>
    <w:rsid w:val="00B377B8"/>
    <w:rsid w:val="00B37C7C"/>
    <w:rsid w:val="00B37E4D"/>
    <w:rsid w:val="00B401A0"/>
    <w:rsid w:val="00B401B4"/>
    <w:rsid w:val="00B40277"/>
    <w:rsid w:val="00B40AA7"/>
    <w:rsid w:val="00B40D51"/>
    <w:rsid w:val="00B40E4F"/>
    <w:rsid w:val="00B40FAD"/>
    <w:rsid w:val="00B4102A"/>
    <w:rsid w:val="00B41696"/>
    <w:rsid w:val="00B416D0"/>
    <w:rsid w:val="00B41750"/>
    <w:rsid w:val="00B4188E"/>
    <w:rsid w:val="00B41EB7"/>
    <w:rsid w:val="00B41FA7"/>
    <w:rsid w:val="00B4216A"/>
    <w:rsid w:val="00B422DD"/>
    <w:rsid w:val="00B4253F"/>
    <w:rsid w:val="00B42679"/>
    <w:rsid w:val="00B4282F"/>
    <w:rsid w:val="00B42873"/>
    <w:rsid w:val="00B42AC5"/>
    <w:rsid w:val="00B42C34"/>
    <w:rsid w:val="00B42CD7"/>
    <w:rsid w:val="00B42DE6"/>
    <w:rsid w:val="00B43003"/>
    <w:rsid w:val="00B43052"/>
    <w:rsid w:val="00B431DB"/>
    <w:rsid w:val="00B433CF"/>
    <w:rsid w:val="00B433F2"/>
    <w:rsid w:val="00B43714"/>
    <w:rsid w:val="00B43737"/>
    <w:rsid w:val="00B43B8D"/>
    <w:rsid w:val="00B44021"/>
    <w:rsid w:val="00B44181"/>
    <w:rsid w:val="00B443FB"/>
    <w:rsid w:val="00B44843"/>
    <w:rsid w:val="00B448A9"/>
    <w:rsid w:val="00B448D2"/>
    <w:rsid w:val="00B44B1E"/>
    <w:rsid w:val="00B44B73"/>
    <w:rsid w:val="00B44D98"/>
    <w:rsid w:val="00B44FA6"/>
    <w:rsid w:val="00B450FD"/>
    <w:rsid w:val="00B4533C"/>
    <w:rsid w:val="00B453CF"/>
    <w:rsid w:val="00B45A5E"/>
    <w:rsid w:val="00B45CF7"/>
    <w:rsid w:val="00B45F1D"/>
    <w:rsid w:val="00B461E9"/>
    <w:rsid w:val="00B46518"/>
    <w:rsid w:val="00B46732"/>
    <w:rsid w:val="00B46801"/>
    <w:rsid w:val="00B4696C"/>
    <w:rsid w:val="00B46D5C"/>
    <w:rsid w:val="00B46F15"/>
    <w:rsid w:val="00B470BA"/>
    <w:rsid w:val="00B4713C"/>
    <w:rsid w:val="00B4738A"/>
    <w:rsid w:val="00B47397"/>
    <w:rsid w:val="00B47ADB"/>
    <w:rsid w:val="00B47D26"/>
    <w:rsid w:val="00B47DF3"/>
    <w:rsid w:val="00B47E0D"/>
    <w:rsid w:val="00B47FE7"/>
    <w:rsid w:val="00B50185"/>
    <w:rsid w:val="00B50517"/>
    <w:rsid w:val="00B50794"/>
    <w:rsid w:val="00B50B8A"/>
    <w:rsid w:val="00B50C2C"/>
    <w:rsid w:val="00B510B0"/>
    <w:rsid w:val="00B51101"/>
    <w:rsid w:val="00B51867"/>
    <w:rsid w:val="00B51958"/>
    <w:rsid w:val="00B51B17"/>
    <w:rsid w:val="00B51C71"/>
    <w:rsid w:val="00B52250"/>
    <w:rsid w:val="00B522ED"/>
    <w:rsid w:val="00B523BD"/>
    <w:rsid w:val="00B523C3"/>
    <w:rsid w:val="00B523CF"/>
    <w:rsid w:val="00B52479"/>
    <w:rsid w:val="00B524B1"/>
    <w:rsid w:val="00B525C0"/>
    <w:rsid w:val="00B526A6"/>
    <w:rsid w:val="00B52806"/>
    <w:rsid w:val="00B52B7B"/>
    <w:rsid w:val="00B52BD4"/>
    <w:rsid w:val="00B52E92"/>
    <w:rsid w:val="00B5300D"/>
    <w:rsid w:val="00B5307A"/>
    <w:rsid w:val="00B53658"/>
    <w:rsid w:val="00B53765"/>
    <w:rsid w:val="00B538F8"/>
    <w:rsid w:val="00B53B72"/>
    <w:rsid w:val="00B5412B"/>
    <w:rsid w:val="00B54A2A"/>
    <w:rsid w:val="00B54AB8"/>
    <w:rsid w:val="00B54BF7"/>
    <w:rsid w:val="00B54D28"/>
    <w:rsid w:val="00B54FE5"/>
    <w:rsid w:val="00B55012"/>
    <w:rsid w:val="00B55073"/>
    <w:rsid w:val="00B55612"/>
    <w:rsid w:val="00B55619"/>
    <w:rsid w:val="00B55620"/>
    <w:rsid w:val="00B55A74"/>
    <w:rsid w:val="00B55B82"/>
    <w:rsid w:val="00B56003"/>
    <w:rsid w:val="00B56213"/>
    <w:rsid w:val="00B56331"/>
    <w:rsid w:val="00B564AA"/>
    <w:rsid w:val="00B5650A"/>
    <w:rsid w:val="00B56529"/>
    <w:rsid w:val="00B56647"/>
    <w:rsid w:val="00B5691C"/>
    <w:rsid w:val="00B5694B"/>
    <w:rsid w:val="00B569EC"/>
    <w:rsid w:val="00B56B43"/>
    <w:rsid w:val="00B572B8"/>
    <w:rsid w:val="00B5734F"/>
    <w:rsid w:val="00B5748D"/>
    <w:rsid w:val="00B57738"/>
    <w:rsid w:val="00B5774E"/>
    <w:rsid w:val="00B57B59"/>
    <w:rsid w:val="00B57CE4"/>
    <w:rsid w:val="00B57D84"/>
    <w:rsid w:val="00B60023"/>
    <w:rsid w:val="00B60050"/>
    <w:rsid w:val="00B60AED"/>
    <w:rsid w:val="00B60BE4"/>
    <w:rsid w:val="00B60CD8"/>
    <w:rsid w:val="00B60CE8"/>
    <w:rsid w:val="00B60E2F"/>
    <w:rsid w:val="00B61016"/>
    <w:rsid w:val="00B61184"/>
    <w:rsid w:val="00B614E0"/>
    <w:rsid w:val="00B61513"/>
    <w:rsid w:val="00B61520"/>
    <w:rsid w:val="00B61BBC"/>
    <w:rsid w:val="00B61C05"/>
    <w:rsid w:val="00B61DEE"/>
    <w:rsid w:val="00B61EB0"/>
    <w:rsid w:val="00B62007"/>
    <w:rsid w:val="00B62321"/>
    <w:rsid w:val="00B6262E"/>
    <w:rsid w:val="00B62765"/>
    <w:rsid w:val="00B62CCA"/>
    <w:rsid w:val="00B62EC1"/>
    <w:rsid w:val="00B635D7"/>
    <w:rsid w:val="00B6365A"/>
    <w:rsid w:val="00B6369C"/>
    <w:rsid w:val="00B637C9"/>
    <w:rsid w:val="00B63CC7"/>
    <w:rsid w:val="00B63E46"/>
    <w:rsid w:val="00B63E79"/>
    <w:rsid w:val="00B63E82"/>
    <w:rsid w:val="00B63F97"/>
    <w:rsid w:val="00B6424F"/>
    <w:rsid w:val="00B6442B"/>
    <w:rsid w:val="00B644DE"/>
    <w:rsid w:val="00B6454E"/>
    <w:rsid w:val="00B647BD"/>
    <w:rsid w:val="00B647ED"/>
    <w:rsid w:val="00B64837"/>
    <w:rsid w:val="00B64AE2"/>
    <w:rsid w:val="00B64D42"/>
    <w:rsid w:val="00B64FF7"/>
    <w:rsid w:val="00B65159"/>
    <w:rsid w:val="00B65352"/>
    <w:rsid w:val="00B658B2"/>
    <w:rsid w:val="00B65A79"/>
    <w:rsid w:val="00B65D08"/>
    <w:rsid w:val="00B66167"/>
    <w:rsid w:val="00B66399"/>
    <w:rsid w:val="00B664DC"/>
    <w:rsid w:val="00B667A3"/>
    <w:rsid w:val="00B66B71"/>
    <w:rsid w:val="00B66F98"/>
    <w:rsid w:val="00B67303"/>
    <w:rsid w:val="00B67593"/>
    <w:rsid w:val="00B6760B"/>
    <w:rsid w:val="00B676A4"/>
    <w:rsid w:val="00B6789D"/>
    <w:rsid w:val="00B6791D"/>
    <w:rsid w:val="00B67A45"/>
    <w:rsid w:val="00B67D5E"/>
    <w:rsid w:val="00B67F4B"/>
    <w:rsid w:val="00B701C3"/>
    <w:rsid w:val="00B7021A"/>
    <w:rsid w:val="00B70637"/>
    <w:rsid w:val="00B706C5"/>
    <w:rsid w:val="00B709FA"/>
    <w:rsid w:val="00B70BB6"/>
    <w:rsid w:val="00B70BE1"/>
    <w:rsid w:val="00B70BE5"/>
    <w:rsid w:val="00B70EBD"/>
    <w:rsid w:val="00B71038"/>
    <w:rsid w:val="00B713E5"/>
    <w:rsid w:val="00B7150B"/>
    <w:rsid w:val="00B71855"/>
    <w:rsid w:val="00B71912"/>
    <w:rsid w:val="00B71A2C"/>
    <w:rsid w:val="00B720CB"/>
    <w:rsid w:val="00B7241B"/>
    <w:rsid w:val="00B72641"/>
    <w:rsid w:val="00B72692"/>
    <w:rsid w:val="00B728D0"/>
    <w:rsid w:val="00B728F7"/>
    <w:rsid w:val="00B72983"/>
    <w:rsid w:val="00B72AC1"/>
    <w:rsid w:val="00B72CA7"/>
    <w:rsid w:val="00B72D30"/>
    <w:rsid w:val="00B73203"/>
    <w:rsid w:val="00B734E8"/>
    <w:rsid w:val="00B73945"/>
    <w:rsid w:val="00B73C74"/>
    <w:rsid w:val="00B73F01"/>
    <w:rsid w:val="00B73FDE"/>
    <w:rsid w:val="00B743CA"/>
    <w:rsid w:val="00B74F60"/>
    <w:rsid w:val="00B74F8C"/>
    <w:rsid w:val="00B75019"/>
    <w:rsid w:val="00B75071"/>
    <w:rsid w:val="00B7510D"/>
    <w:rsid w:val="00B75244"/>
    <w:rsid w:val="00B75552"/>
    <w:rsid w:val="00B757EC"/>
    <w:rsid w:val="00B7587F"/>
    <w:rsid w:val="00B758C1"/>
    <w:rsid w:val="00B75A08"/>
    <w:rsid w:val="00B75CC6"/>
    <w:rsid w:val="00B75CD4"/>
    <w:rsid w:val="00B75F5A"/>
    <w:rsid w:val="00B76187"/>
    <w:rsid w:val="00B76282"/>
    <w:rsid w:val="00B766AA"/>
    <w:rsid w:val="00B7682C"/>
    <w:rsid w:val="00B76AF0"/>
    <w:rsid w:val="00B76B93"/>
    <w:rsid w:val="00B76E71"/>
    <w:rsid w:val="00B76F8C"/>
    <w:rsid w:val="00B77019"/>
    <w:rsid w:val="00B772DC"/>
    <w:rsid w:val="00B7739B"/>
    <w:rsid w:val="00B77426"/>
    <w:rsid w:val="00B77436"/>
    <w:rsid w:val="00B77481"/>
    <w:rsid w:val="00B774D1"/>
    <w:rsid w:val="00B77527"/>
    <w:rsid w:val="00B775E7"/>
    <w:rsid w:val="00B77795"/>
    <w:rsid w:val="00B77A2D"/>
    <w:rsid w:val="00B77A42"/>
    <w:rsid w:val="00B77B68"/>
    <w:rsid w:val="00B77CBE"/>
    <w:rsid w:val="00B77FAE"/>
    <w:rsid w:val="00B800EE"/>
    <w:rsid w:val="00B80101"/>
    <w:rsid w:val="00B80669"/>
    <w:rsid w:val="00B8082E"/>
    <w:rsid w:val="00B80CFC"/>
    <w:rsid w:val="00B81008"/>
    <w:rsid w:val="00B81304"/>
    <w:rsid w:val="00B815CE"/>
    <w:rsid w:val="00B81699"/>
    <w:rsid w:val="00B8187E"/>
    <w:rsid w:val="00B81913"/>
    <w:rsid w:val="00B819ED"/>
    <w:rsid w:val="00B81BB0"/>
    <w:rsid w:val="00B81CC1"/>
    <w:rsid w:val="00B81D36"/>
    <w:rsid w:val="00B81D58"/>
    <w:rsid w:val="00B8212A"/>
    <w:rsid w:val="00B82281"/>
    <w:rsid w:val="00B82300"/>
    <w:rsid w:val="00B824A0"/>
    <w:rsid w:val="00B824A8"/>
    <w:rsid w:val="00B82640"/>
    <w:rsid w:val="00B82944"/>
    <w:rsid w:val="00B82A32"/>
    <w:rsid w:val="00B82F2A"/>
    <w:rsid w:val="00B82F59"/>
    <w:rsid w:val="00B83922"/>
    <w:rsid w:val="00B83E41"/>
    <w:rsid w:val="00B83EF1"/>
    <w:rsid w:val="00B83F92"/>
    <w:rsid w:val="00B84091"/>
    <w:rsid w:val="00B843F5"/>
    <w:rsid w:val="00B84570"/>
    <w:rsid w:val="00B84B25"/>
    <w:rsid w:val="00B84C76"/>
    <w:rsid w:val="00B84E93"/>
    <w:rsid w:val="00B84F61"/>
    <w:rsid w:val="00B850FF"/>
    <w:rsid w:val="00B85361"/>
    <w:rsid w:val="00B85453"/>
    <w:rsid w:val="00B85699"/>
    <w:rsid w:val="00B859CD"/>
    <w:rsid w:val="00B85C8C"/>
    <w:rsid w:val="00B85DB6"/>
    <w:rsid w:val="00B85EC8"/>
    <w:rsid w:val="00B86100"/>
    <w:rsid w:val="00B86151"/>
    <w:rsid w:val="00B86233"/>
    <w:rsid w:val="00B8626D"/>
    <w:rsid w:val="00B8658B"/>
    <w:rsid w:val="00B868F3"/>
    <w:rsid w:val="00B86CE6"/>
    <w:rsid w:val="00B87372"/>
    <w:rsid w:val="00B87A78"/>
    <w:rsid w:val="00B87C79"/>
    <w:rsid w:val="00B87D83"/>
    <w:rsid w:val="00B87DE0"/>
    <w:rsid w:val="00B87FEC"/>
    <w:rsid w:val="00B900BD"/>
    <w:rsid w:val="00B900F6"/>
    <w:rsid w:val="00B90636"/>
    <w:rsid w:val="00B90B0F"/>
    <w:rsid w:val="00B90DCA"/>
    <w:rsid w:val="00B91445"/>
    <w:rsid w:val="00B9145D"/>
    <w:rsid w:val="00B9161D"/>
    <w:rsid w:val="00B91868"/>
    <w:rsid w:val="00B918DF"/>
    <w:rsid w:val="00B91C22"/>
    <w:rsid w:val="00B91F3F"/>
    <w:rsid w:val="00B9224C"/>
    <w:rsid w:val="00B927B7"/>
    <w:rsid w:val="00B92BA5"/>
    <w:rsid w:val="00B93000"/>
    <w:rsid w:val="00B9328C"/>
    <w:rsid w:val="00B932FF"/>
    <w:rsid w:val="00B937BC"/>
    <w:rsid w:val="00B93881"/>
    <w:rsid w:val="00B9396E"/>
    <w:rsid w:val="00B93EEE"/>
    <w:rsid w:val="00B94045"/>
    <w:rsid w:val="00B9418C"/>
    <w:rsid w:val="00B941E8"/>
    <w:rsid w:val="00B94436"/>
    <w:rsid w:val="00B94539"/>
    <w:rsid w:val="00B94DDF"/>
    <w:rsid w:val="00B95028"/>
    <w:rsid w:val="00B954F7"/>
    <w:rsid w:val="00B958F6"/>
    <w:rsid w:val="00B95C7B"/>
    <w:rsid w:val="00B95EC3"/>
    <w:rsid w:val="00B96038"/>
    <w:rsid w:val="00B962B1"/>
    <w:rsid w:val="00B968E3"/>
    <w:rsid w:val="00B96FF1"/>
    <w:rsid w:val="00B97177"/>
    <w:rsid w:val="00B971E0"/>
    <w:rsid w:val="00B978B7"/>
    <w:rsid w:val="00B97976"/>
    <w:rsid w:val="00B97CAE"/>
    <w:rsid w:val="00B97D5A"/>
    <w:rsid w:val="00B97DDB"/>
    <w:rsid w:val="00B97E50"/>
    <w:rsid w:val="00BA00E6"/>
    <w:rsid w:val="00BA01B3"/>
    <w:rsid w:val="00BA02F6"/>
    <w:rsid w:val="00BA095D"/>
    <w:rsid w:val="00BA0F5B"/>
    <w:rsid w:val="00BA1178"/>
    <w:rsid w:val="00BA123A"/>
    <w:rsid w:val="00BA1380"/>
    <w:rsid w:val="00BA14DE"/>
    <w:rsid w:val="00BA1506"/>
    <w:rsid w:val="00BA159E"/>
    <w:rsid w:val="00BA1620"/>
    <w:rsid w:val="00BA1626"/>
    <w:rsid w:val="00BA191C"/>
    <w:rsid w:val="00BA1C85"/>
    <w:rsid w:val="00BA1F82"/>
    <w:rsid w:val="00BA201E"/>
    <w:rsid w:val="00BA2047"/>
    <w:rsid w:val="00BA213F"/>
    <w:rsid w:val="00BA217B"/>
    <w:rsid w:val="00BA2342"/>
    <w:rsid w:val="00BA2585"/>
    <w:rsid w:val="00BA2745"/>
    <w:rsid w:val="00BA28EF"/>
    <w:rsid w:val="00BA2E45"/>
    <w:rsid w:val="00BA332D"/>
    <w:rsid w:val="00BA333D"/>
    <w:rsid w:val="00BA33B9"/>
    <w:rsid w:val="00BA33D2"/>
    <w:rsid w:val="00BA3513"/>
    <w:rsid w:val="00BA3982"/>
    <w:rsid w:val="00BA3994"/>
    <w:rsid w:val="00BA3A75"/>
    <w:rsid w:val="00BA3B00"/>
    <w:rsid w:val="00BA3B52"/>
    <w:rsid w:val="00BA3CCB"/>
    <w:rsid w:val="00BA46E0"/>
    <w:rsid w:val="00BA48E3"/>
    <w:rsid w:val="00BA4901"/>
    <w:rsid w:val="00BA4A67"/>
    <w:rsid w:val="00BA4CF3"/>
    <w:rsid w:val="00BA4EA3"/>
    <w:rsid w:val="00BA4EC9"/>
    <w:rsid w:val="00BA504A"/>
    <w:rsid w:val="00BA541B"/>
    <w:rsid w:val="00BA54C9"/>
    <w:rsid w:val="00BA5834"/>
    <w:rsid w:val="00BA5848"/>
    <w:rsid w:val="00BA591D"/>
    <w:rsid w:val="00BA5EAB"/>
    <w:rsid w:val="00BA6468"/>
    <w:rsid w:val="00BA647D"/>
    <w:rsid w:val="00BA662A"/>
    <w:rsid w:val="00BA66A4"/>
    <w:rsid w:val="00BA672D"/>
    <w:rsid w:val="00BA682D"/>
    <w:rsid w:val="00BA6EA2"/>
    <w:rsid w:val="00BA6F41"/>
    <w:rsid w:val="00BA74EE"/>
    <w:rsid w:val="00BA77D9"/>
    <w:rsid w:val="00BA7DB1"/>
    <w:rsid w:val="00BA7E05"/>
    <w:rsid w:val="00BB01FA"/>
    <w:rsid w:val="00BB0959"/>
    <w:rsid w:val="00BB0991"/>
    <w:rsid w:val="00BB0D56"/>
    <w:rsid w:val="00BB0E11"/>
    <w:rsid w:val="00BB10B1"/>
    <w:rsid w:val="00BB1230"/>
    <w:rsid w:val="00BB153B"/>
    <w:rsid w:val="00BB15F5"/>
    <w:rsid w:val="00BB1A56"/>
    <w:rsid w:val="00BB1B3B"/>
    <w:rsid w:val="00BB1D9B"/>
    <w:rsid w:val="00BB1E14"/>
    <w:rsid w:val="00BB1F10"/>
    <w:rsid w:val="00BB1F25"/>
    <w:rsid w:val="00BB219B"/>
    <w:rsid w:val="00BB2406"/>
    <w:rsid w:val="00BB244F"/>
    <w:rsid w:val="00BB24CD"/>
    <w:rsid w:val="00BB27D1"/>
    <w:rsid w:val="00BB293E"/>
    <w:rsid w:val="00BB2969"/>
    <w:rsid w:val="00BB2AC8"/>
    <w:rsid w:val="00BB2C8E"/>
    <w:rsid w:val="00BB2D08"/>
    <w:rsid w:val="00BB304E"/>
    <w:rsid w:val="00BB30E9"/>
    <w:rsid w:val="00BB3410"/>
    <w:rsid w:val="00BB34B0"/>
    <w:rsid w:val="00BB3E59"/>
    <w:rsid w:val="00BB3EE0"/>
    <w:rsid w:val="00BB4620"/>
    <w:rsid w:val="00BB49A2"/>
    <w:rsid w:val="00BB4C60"/>
    <w:rsid w:val="00BB4C86"/>
    <w:rsid w:val="00BB4DFD"/>
    <w:rsid w:val="00BB4E19"/>
    <w:rsid w:val="00BB505A"/>
    <w:rsid w:val="00BB509C"/>
    <w:rsid w:val="00BB5145"/>
    <w:rsid w:val="00BB528E"/>
    <w:rsid w:val="00BB529D"/>
    <w:rsid w:val="00BB5652"/>
    <w:rsid w:val="00BB57AD"/>
    <w:rsid w:val="00BB5B9F"/>
    <w:rsid w:val="00BB5BCF"/>
    <w:rsid w:val="00BB62D9"/>
    <w:rsid w:val="00BB6AF4"/>
    <w:rsid w:val="00BB6ED7"/>
    <w:rsid w:val="00BB6FD0"/>
    <w:rsid w:val="00BB705A"/>
    <w:rsid w:val="00BB706F"/>
    <w:rsid w:val="00BB7189"/>
    <w:rsid w:val="00BB7329"/>
    <w:rsid w:val="00BB7464"/>
    <w:rsid w:val="00BB7563"/>
    <w:rsid w:val="00BB75A5"/>
    <w:rsid w:val="00BB75CE"/>
    <w:rsid w:val="00BB7695"/>
    <w:rsid w:val="00BB79B8"/>
    <w:rsid w:val="00BB7B2C"/>
    <w:rsid w:val="00BB7D3C"/>
    <w:rsid w:val="00BC0059"/>
    <w:rsid w:val="00BC0265"/>
    <w:rsid w:val="00BC0715"/>
    <w:rsid w:val="00BC0AE3"/>
    <w:rsid w:val="00BC0BA0"/>
    <w:rsid w:val="00BC0C7E"/>
    <w:rsid w:val="00BC0D0F"/>
    <w:rsid w:val="00BC0F72"/>
    <w:rsid w:val="00BC0FE0"/>
    <w:rsid w:val="00BC128F"/>
    <w:rsid w:val="00BC1327"/>
    <w:rsid w:val="00BC1AEC"/>
    <w:rsid w:val="00BC2309"/>
    <w:rsid w:val="00BC23C2"/>
    <w:rsid w:val="00BC2621"/>
    <w:rsid w:val="00BC282E"/>
    <w:rsid w:val="00BC2EC2"/>
    <w:rsid w:val="00BC2EDB"/>
    <w:rsid w:val="00BC311C"/>
    <w:rsid w:val="00BC31D0"/>
    <w:rsid w:val="00BC33C2"/>
    <w:rsid w:val="00BC39E6"/>
    <w:rsid w:val="00BC3AC8"/>
    <w:rsid w:val="00BC3B4C"/>
    <w:rsid w:val="00BC3E8B"/>
    <w:rsid w:val="00BC3F64"/>
    <w:rsid w:val="00BC401A"/>
    <w:rsid w:val="00BC4099"/>
    <w:rsid w:val="00BC40B3"/>
    <w:rsid w:val="00BC4822"/>
    <w:rsid w:val="00BC4893"/>
    <w:rsid w:val="00BC4995"/>
    <w:rsid w:val="00BC4F89"/>
    <w:rsid w:val="00BC50D0"/>
    <w:rsid w:val="00BC5180"/>
    <w:rsid w:val="00BC5794"/>
    <w:rsid w:val="00BC589D"/>
    <w:rsid w:val="00BC5BA0"/>
    <w:rsid w:val="00BC60BC"/>
    <w:rsid w:val="00BC6285"/>
    <w:rsid w:val="00BC63E4"/>
    <w:rsid w:val="00BC645A"/>
    <w:rsid w:val="00BC6511"/>
    <w:rsid w:val="00BC65EE"/>
    <w:rsid w:val="00BC67EF"/>
    <w:rsid w:val="00BC6CD1"/>
    <w:rsid w:val="00BC6F32"/>
    <w:rsid w:val="00BC6F9C"/>
    <w:rsid w:val="00BC7183"/>
    <w:rsid w:val="00BC7673"/>
    <w:rsid w:val="00BC76B7"/>
    <w:rsid w:val="00BC7944"/>
    <w:rsid w:val="00BC7A4E"/>
    <w:rsid w:val="00BC7CB0"/>
    <w:rsid w:val="00BC7E1F"/>
    <w:rsid w:val="00BC7E84"/>
    <w:rsid w:val="00BC7FA5"/>
    <w:rsid w:val="00BD020A"/>
    <w:rsid w:val="00BD0786"/>
    <w:rsid w:val="00BD08B3"/>
    <w:rsid w:val="00BD0A0C"/>
    <w:rsid w:val="00BD0C0B"/>
    <w:rsid w:val="00BD0CC0"/>
    <w:rsid w:val="00BD1287"/>
    <w:rsid w:val="00BD17C2"/>
    <w:rsid w:val="00BD1E06"/>
    <w:rsid w:val="00BD2137"/>
    <w:rsid w:val="00BD2831"/>
    <w:rsid w:val="00BD28EB"/>
    <w:rsid w:val="00BD2A39"/>
    <w:rsid w:val="00BD2CDF"/>
    <w:rsid w:val="00BD2D25"/>
    <w:rsid w:val="00BD2E01"/>
    <w:rsid w:val="00BD2E3C"/>
    <w:rsid w:val="00BD2E56"/>
    <w:rsid w:val="00BD31C8"/>
    <w:rsid w:val="00BD31F2"/>
    <w:rsid w:val="00BD3211"/>
    <w:rsid w:val="00BD33A7"/>
    <w:rsid w:val="00BD3485"/>
    <w:rsid w:val="00BD34C8"/>
    <w:rsid w:val="00BD3835"/>
    <w:rsid w:val="00BD3C01"/>
    <w:rsid w:val="00BD3C72"/>
    <w:rsid w:val="00BD3F6F"/>
    <w:rsid w:val="00BD416C"/>
    <w:rsid w:val="00BD42CA"/>
    <w:rsid w:val="00BD482D"/>
    <w:rsid w:val="00BD4A96"/>
    <w:rsid w:val="00BD4DEE"/>
    <w:rsid w:val="00BD4E56"/>
    <w:rsid w:val="00BD5030"/>
    <w:rsid w:val="00BD5217"/>
    <w:rsid w:val="00BD5316"/>
    <w:rsid w:val="00BD5339"/>
    <w:rsid w:val="00BD552B"/>
    <w:rsid w:val="00BD58D7"/>
    <w:rsid w:val="00BD5B25"/>
    <w:rsid w:val="00BD5E8A"/>
    <w:rsid w:val="00BD5F6B"/>
    <w:rsid w:val="00BD5FB3"/>
    <w:rsid w:val="00BD6055"/>
    <w:rsid w:val="00BD60DB"/>
    <w:rsid w:val="00BD6176"/>
    <w:rsid w:val="00BD62F8"/>
    <w:rsid w:val="00BD6495"/>
    <w:rsid w:val="00BD65C3"/>
    <w:rsid w:val="00BD680D"/>
    <w:rsid w:val="00BD6963"/>
    <w:rsid w:val="00BD71D1"/>
    <w:rsid w:val="00BD73F6"/>
    <w:rsid w:val="00BD7733"/>
    <w:rsid w:val="00BD77B2"/>
    <w:rsid w:val="00BD7A19"/>
    <w:rsid w:val="00BD7B59"/>
    <w:rsid w:val="00BD7C5F"/>
    <w:rsid w:val="00BD7E0D"/>
    <w:rsid w:val="00BD7E36"/>
    <w:rsid w:val="00BE000B"/>
    <w:rsid w:val="00BE012C"/>
    <w:rsid w:val="00BE03C0"/>
    <w:rsid w:val="00BE0574"/>
    <w:rsid w:val="00BE05F0"/>
    <w:rsid w:val="00BE05F4"/>
    <w:rsid w:val="00BE06E2"/>
    <w:rsid w:val="00BE08BA"/>
    <w:rsid w:val="00BE0F34"/>
    <w:rsid w:val="00BE11EE"/>
    <w:rsid w:val="00BE16E9"/>
    <w:rsid w:val="00BE1822"/>
    <w:rsid w:val="00BE18E0"/>
    <w:rsid w:val="00BE1EE8"/>
    <w:rsid w:val="00BE22BF"/>
    <w:rsid w:val="00BE2393"/>
    <w:rsid w:val="00BE2830"/>
    <w:rsid w:val="00BE298D"/>
    <w:rsid w:val="00BE29B4"/>
    <w:rsid w:val="00BE2CBE"/>
    <w:rsid w:val="00BE2E53"/>
    <w:rsid w:val="00BE2FE6"/>
    <w:rsid w:val="00BE31BA"/>
    <w:rsid w:val="00BE348A"/>
    <w:rsid w:val="00BE3588"/>
    <w:rsid w:val="00BE3840"/>
    <w:rsid w:val="00BE3AD6"/>
    <w:rsid w:val="00BE3D8F"/>
    <w:rsid w:val="00BE3F00"/>
    <w:rsid w:val="00BE3F1C"/>
    <w:rsid w:val="00BE3F53"/>
    <w:rsid w:val="00BE4253"/>
    <w:rsid w:val="00BE47E5"/>
    <w:rsid w:val="00BE485C"/>
    <w:rsid w:val="00BE4C0E"/>
    <w:rsid w:val="00BE5016"/>
    <w:rsid w:val="00BE524E"/>
    <w:rsid w:val="00BE52A6"/>
    <w:rsid w:val="00BE52DC"/>
    <w:rsid w:val="00BE54F3"/>
    <w:rsid w:val="00BE5941"/>
    <w:rsid w:val="00BE5D47"/>
    <w:rsid w:val="00BE6243"/>
    <w:rsid w:val="00BE6467"/>
    <w:rsid w:val="00BE6496"/>
    <w:rsid w:val="00BE680F"/>
    <w:rsid w:val="00BE68E3"/>
    <w:rsid w:val="00BE6945"/>
    <w:rsid w:val="00BE6A7D"/>
    <w:rsid w:val="00BE6AE7"/>
    <w:rsid w:val="00BE6BF4"/>
    <w:rsid w:val="00BE6DBF"/>
    <w:rsid w:val="00BE7096"/>
    <w:rsid w:val="00BE70C3"/>
    <w:rsid w:val="00BE7784"/>
    <w:rsid w:val="00BE7C82"/>
    <w:rsid w:val="00BE7D24"/>
    <w:rsid w:val="00BE7E47"/>
    <w:rsid w:val="00BE7EB0"/>
    <w:rsid w:val="00BE7F61"/>
    <w:rsid w:val="00BF08BE"/>
    <w:rsid w:val="00BF08C0"/>
    <w:rsid w:val="00BF0BB4"/>
    <w:rsid w:val="00BF0EAA"/>
    <w:rsid w:val="00BF0ED6"/>
    <w:rsid w:val="00BF0F41"/>
    <w:rsid w:val="00BF16A3"/>
    <w:rsid w:val="00BF16EF"/>
    <w:rsid w:val="00BF1797"/>
    <w:rsid w:val="00BF17EA"/>
    <w:rsid w:val="00BF17FD"/>
    <w:rsid w:val="00BF1936"/>
    <w:rsid w:val="00BF1953"/>
    <w:rsid w:val="00BF1959"/>
    <w:rsid w:val="00BF1B19"/>
    <w:rsid w:val="00BF1B46"/>
    <w:rsid w:val="00BF1B88"/>
    <w:rsid w:val="00BF1E6D"/>
    <w:rsid w:val="00BF1FE0"/>
    <w:rsid w:val="00BF280A"/>
    <w:rsid w:val="00BF2A80"/>
    <w:rsid w:val="00BF2AEB"/>
    <w:rsid w:val="00BF2E77"/>
    <w:rsid w:val="00BF3088"/>
    <w:rsid w:val="00BF3258"/>
    <w:rsid w:val="00BF3491"/>
    <w:rsid w:val="00BF34D8"/>
    <w:rsid w:val="00BF34F8"/>
    <w:rsid w:val="00BF3660"/>
    <w:rsid w:val="00BF36C5"/>
    <w:rsid w:val="00BF3762"/>
    <w:rsid w:val="00BF38EB"/>
    <w:rsid w:val="00BF390F"/>
    <w:rsid w:val="00BF3916"/>
    <w:rsid w:val="00BF3B89"/>
    <w:rsid w:val="00BF3BE8"/>
    <w:rsid w:val="00BF3D2D"/>
    <w:rsid w:val="00BF3E7D"/>
    <w:rsid w:val="00BF40F5"/>
    <w:rsid w:val="00BF4327"/>
    <w:rsid w:val="00BF44C6"/>
    <w:rsid w:val="00BF45CE"/>
    <w:rsid w:val="00BF474A"/>
    <w:rsid w:val="00BF49E6"/>
    <w:rsid w:val="00BF4BCC"/>
    <w:rsid w:val="00BF4C2B"/>
    <w:rsid w:val="00BF4EAA"/>
    <w:rsid w:val="00BF5443"/>
    <w:rsid w:val="00BF54D9"/>
    <w:rsid w:val="00BF5885"/>
    <w:rsid w:val="00BF591C"/>
    <w:rsid w:val="00BF5A05"/>
    <w:rsid w:val="00BF5B3E"/>
    <w:rsid w:val="00BF5D3A"/>
    <w:rsid w:val="00BF5DA4"/>
    <w:rsid w:val="00BF61D9"/>
    <w:rsid w:val="00BF6F59"/>
    <w:rsid w:val="00BF723E"/>
    <w:rsid w:val="00BF7309"/>
    <w:rsid w:val="00BF73DC"/>
    <w:rsid w:val="00BF7447"/>
    <w:rsid w:val="00BF74A6"/>
    <w:rsid w:val="00BF77D1"/>
    <w:rsid w:val="00BF7B94"/>
    <w:rsid w:val="00C00158"/>
    <w:rsid w:val="00C00B7E"/>
    <w:rsid w:val="00C00E76"/>
    <w:rsid w:val="00C00F10"/>
    <w:rsid w:val="00C01704"/>
    <w:rsid w:val="00C01FA5"/>
    <w:rsid w:val="00C01FD6"/>
    <w:rsid w:val="00C023E4"/>
    <w:rsid w:val="00C02417"/>
    <w:rsid w:val="00C02550"/>
    <w:rsid w:val="00C02903"/>
    <w:rsid w:val="00C02AA5"/>
    <w:rsid w:val="00C02ED6"/>
    <w:rsid w:val="00C031DE"/>
    <w:rsid w:val="00C03215"/>
    <w:rsid w:val="00C032E8"/>
    <w:rsid w:val="00C0354C"/>
    <w:rsid w:val="00C03636"/>
    <w:rsid w:val="00C036DC"/>
    <w:rsid w:val="00C03A4A"/>
    <w:rsid w:val="00C03D8E"/>
    <w:rsid w:val="00C03E7B"/>
    <w:rsid w:val="00C03E95"/>
    <w:rsid w:val="00C041F5"/>
    <w:rsid w:val="00C0443F"/>
    <w:rsid w:val="00C04620"/>
    <w:rsid w:val="00C046B0"/>
    <w:rsid w:val="00C048CE"/>
    <w:rsid w:val="00C04A6C"/>
    <w:rsid w:val="00C04AFA"/>
    <w:rsid w:val="00C04D10"/>
    <w:rsid w:val="00C04EC1"/>
    <w:rsid w:val="00C04EF9"/>
    <w:rsid w:val="00C04F9D"/>
    <w:rsid w:val="00C04FF4"/>
    <w:rsid w:val="00C05733"/>
    <w:rsid w:val="00C05950"/>
    <w:rsid w:val="00C05B44"/>
    <w:rsid w:val="00C05B66"/>
    <w:rsid w:val="00C05DAC"/>
    <w:rsid w:val="00C05F05"/>
    <w:rsid w:val="00C060D1"/>
    <w:rsid w:val="00C060DF"/>
    <w:rsid w:val="00C06652"/>
    <w:rsid w:val="00C06681"/>
    <w:rsid w:val="00C0668C"/>
    <w:rsid w:val="00C0676E"/>
    <w:rsid w:val="00C06817"/>
    <w:rsid w:val="00C0689E"/>
    <w:rsid w:val="00C068FB"/>
    <w:rsid w:val="00C06B21"/>
    <w:rsid w:val="00C07093"/>
    <w:rsid w:val="00C070C6"/>
    <w:rsid w:val="00C07491"/>
    <w:rsid w:val="00C07565"/>
    <w:rsid w:val="00C079BE"/>
    <w:rsid w:val="00C079CC"/>
    <w:rsid w:val="00C07BAE"/>
    <w:rsid w:val="00C07C38"/>
    <w:rsid w:val="00C07D6C"/>
    <w:rsid w:val="00C100BB"/>
    <w:rsid w:val="00C10EB8"/>
    <w:rsid w:val="00C10EDD"/>
    <w:rsid w:val="00C1122D"/>
    <w:rsid w:val="00C11488"/>
    <w:rsid w:val="00C1169F"/>
    <w:rsid w:val="00C11746"/>
    <w:rsid w:val="00C11A1E"/>
    <w:rsid w:val="00C11A6D"/>
    <w:rsid w:val="00C11B12"/>
    <w:rsid w:val="00C11CB0"/>
    <w:rsid w:val="00C11D98"/>
    <w:rsid w:val="00C11EB1"/>
    <w:rsid w:val="00C12086"/>
    <w:rsid w:val="00C1260B"/>
    <w:rsid w:val="00C12646"/>
    <w:rsid w:val="00C12909"/>
    <w:rsid w:val="00C12934"/>
    <w:rsid w:val="00C12CF3"/>
    <w:rsid w:val="00C13013"/>
    <w:rsid w:val="00C13296"/>
    <w:rsid w:val="00C1332A"/>
    <w:rsid w:val="00C138BC"/>
    <w:rsid w:val="00C1398E"/>
    <w:rsid w:val="00C13C79"/>
    <w:rsid w:val="00C13E47"/>
    <w:rsid w:val="00C13FC1"/>
    <w:rsid w:val="00C1433E"/>
    <w:rsid w:val="00C143F5"/>
    <w:rsid w:val="00C145C0"/>
    <w:rsid w:val="00C14C0A"/>
    <w:rsid w:val="00C14D5C"/>
    <w:rsid w:val="00C14E42"/>
    <w:rsid w:val="00C14E71"/>
    <w:rsid w:val="00C15DD8"/>
    <w:rsid w:val="00C16348"/>
    <w:rsid w:val="00C169E0"/>
    <w:rsid w:val="00C16B45"/>
    <w:rsid w:val="00C170AE"/>
    <w:rsid w:val="00C175CA"/>
    <w:rsid w:val="00C175F1"/>
    <w:rsid w:val="00C179EC"/>
    <w:rsid w:val="00C17A1C"/>
    <w:rsid w:val="00C17E3F"/>
    <w:rsid w:val="00C20012"/>
    <w:rsid w:val="00C201F9"/>
    <w:rsid w:val="00C2024A"/>
    <w:rsid w:val="00C2034D"/>
    <w:rsid w:val="00C2095D"/>
    <w:rsid w:val="00C20ACD"/>
    <w:rsid w:val="00C20B48"/>
    <w:rsid w:val="00C20B4A"/>
    <w:rsid w:val="00C20C28"/>
    <w:rsid w:val="00C20F39"/>
    <w:rsid w:val="00C21233"/>
    <w:rsid w:val="00C213DB"/>
    <w:rsid w:val="00C21529"/>
    <w:rsid w:val="00C2154A"/>
    <w:rsid w:val="00C2185B"/>
    <w:rsid w:val="00C218EF"/>
    <w:rsid w:val="00C21B63"/>
    <w:rsid w:val="00C21B78"/>
    <w:rsid w:val="00C222F8"/>
    <w:rsid w:val="00C22437"/>
    <w:rsid w:val="00C22623"/>
    <w:rsid w:val="00C2270D"/>
    <w:rsid w:val="00C22734"/>
    <w:rsid w:val="00C22749"/>
    <w:rsid w:val="00C22A02"/>
    <w:rsid w:val="00C22A38"/>
    <w:rsid w:val="00C22E29"/>
    <w:rsid w:val="00C230CE"/>
    <w:rsid w:val="00C23109"/>
    <w:rsid w:val="00C23B79"/>
    <w:rsid w:val="00C23E38"/>
    <w:rsid w:val="00C23EBC"/>
    <w:rsid w:val="00C24039"/>
    <w:rsid w:val="00C24115"/>
    <w:rsid w:val="00C24469"/>
    <w:rsid w:val="00C2490C"/>
    <w:rsid w:val="00C24E39"/>
    <w:rsid w:val="00C24E52"/>
    <w:rsid w:val="00C24ED2"/>
    <w:rsid w:val="00C24F4E"/>
    <w:rsid w:val="00C2530F"/>
    <w:rsid w:val="00C253D7"/>
    <w:rsid w:val="00C258D0"/>
    <w:rsid w:val="00C25BA0"/>
    <w:rsid w:val="00C25BD4"/>
    <w:rsid w:val="00C25DE7"/>
    <w:rsid w:val="00C25FF3"/>
    <w:rsid w:val="00C26148"/>
    <w:rsid w:val="00C26316"/>
    <w:rsid w:val="00C266DA"/>
    <w:rsid w:val="00C26B3D"/>
    <w:rsid w:val="00C26FEF"/>
    <w:rsid w:val="00C2702E"/>
    <w:rsid w:val="00C2727B"/>
    <w:rsid w:val="00C2735B"/>
    <w:rsid w:val="00C27376"/>
    <w:rsid w:val="00C27788"/>
    <w:rsid w:val="00C27A1B"/>
    <w:rsid w:val="00C27ED7"/>
    <w:rsid w:val="00C3039E"/>
    <w:rsid w:val="00C30407"/>
    <w:rsid w:val="00C3056C"/>
    <w:rsid w:val="00C305F2"/>
    <w:rsid w:val="00C30A60"/>
    <w:rsid w:val="00C30ABE"/>
    <w:rsid w:val="00C31146"/>
    <w:rsid w:val="00C311D9"/>
    <w:rsid w:val="00C312A3"/>
    <w:rsid w:val="00C3137C"/>
    <w:rsid w:val="00C3151D"/>
    <w:rsid w:val="00C3154C"/>
    <w:rsid w:val="00C319B0"/>
    <w:rsid w:val="00C31B11"/>
    <w:rsid w:val="00C31B2A"/>
    <w:rsid w:val="00C31BB8"/>
    <w:rsid w:val="00C31BDD"/>
    <w:rsid w:val="00C31C6E"/>
    <w:rsid w:val="00C31CB9"/>
    <w:rsid w:val="00C31D6B"/>
    <w:rsid w:val="00C31E24"/>
    <w:rsid w:val="00C32341"/>
    <w:rsid w:val="00C3292B"/>
    <w:rsid w:val="00C32BCE"/>
    <w:rsid w:val="00C32CBA"/>
    <w:rsid w:val="00C32D6F"/>
    <w:rsid w:val="00C32ECC"/>
    <w:rsid w:val="00C3365D"/>
    <w:rsid w:val="00C3371C"/>
    <w:rsid w:val="00C338FB"/>
    <w:rsid w:val="00C33B47"/>
    <w:rsid w:val="00C33BEA"/>
    <w:rsid w:val="00C33E38"/>
    <w:rsid w:val="00C345F3"/>
    <w:rsid w:val="00C346F8"/>
    <w:rsid w:val="00C34766"/>
    <w:rsid w:val="00C34796"/>
    <w:rsid w:val="00C3490A"/>
    <w:rsid w:val="00C34935"/>
    <w:rsid w:val="00C349D5"/>
    <w:rsid w:val="00C34A1A"/>
    <w:rsid w:val="00C34A1E"/>
    <w:rsid w:val="00C34AC7"/>
    <w:rsid w:val="00C34B6E"/>
    <w:rsid w:val="00C34CC1"/>
    <w:rsid w:val="00C352FE"/>
    <w:rsid w:val="00C35739"/>
    <w:rsid w:val="00C35A5A"/>
    <w:rsid w:val="00C35ED9"/>
    <w:rsid w:val="00C35F52"/>
    <w:rsid w:val="00C360BA"/>
    <w:rsid w:val="00C361AF"/>
    <w:rsid w:val="00C36321"/>
    <w:rsid w:val="00C364A2"/>
    <w:rsid w:val="00C36586"/>
    <w:rsid w:val="00C36596"/>
    <w:rsid w:val="00C36601"/>
    <w:rsid w:val="00C3708F"/>
    <w:rsid w:val="00C37223"/>
    <w:rsid w:val="00C37254"/>
    <w:rsid w:val="00C37283"/>
    <w:rsid w:val="00C37466"/>
    <w:rsid w:val="00C37661"/>
    <w:rsid w:val="00C376D9"/>
    <w:rsid w:val="00C37739"/>
    <w:rsid w:val="00C37844"/>
    <w:rsid w:val="00C378AC"/>
    <w:rsid w:val="00C378C2"/>
    <w:rsid w:val="00C37A36"/>
    <w:rsid w:val="00C37C2C"/>
    <w:rsid w:val="00C37E03"/>
    <w:rsid w:val="00C37E92"/>
    <w:rsid w:val="00C37FB7"/>
    <w:rsid w:val="00C401A5"/>
    <w:rsid w:val="00C401F3"/>
    <w:rsid w:val="00C40302"/>
    <w:rsid w:val="00C40858"/>
    <w:rsid w:val="00C408E6"/>
    <w:rsid w:val="00C40B97"/>
    <w:rsid w:val="00C4101F"/>
    <w:rsid w:val="00C41339"/>
    <w:rsid w:val="00C41512"/>
    <w:rsid w:val="00C416B9"/>
    <w:rsid w:val="00C418C4"/>
    <w:rsid w:val="00C41C0C"/>
    <w:rsid w:val="00C41DB2"/>
    <w:rsid w:val="00C4254D"/>
    <w:rsid w:val="00C4261B"/>
    <w:rsid w:val="00C42636"/>
    <w:rsid w:val="00C427C2"/>
    <w:rsid w:val="00C42A0D"/>
    <w:rsid w:val="00C42D45"/>
    <w:rsid w:val="00C42E20"/>
    <w:rsid w:val="00C42EC3"/>
    <w:rsid w:val="00C4306E"/>
    <w:rsid w:val="00C430F5"/>
    <w:rsid w:val="00C4311F"/>
    <w:rsid w:val="00C4317B"/>
    <w:rsid w:val="00C4327D"/>
    <w:rsid w:val="00C438D9"/>
    <w:rsid w:val="00C43A9A"/>
    <w:rsid w:val="00C43DC9"/>
    <w:rsid w:val="00C43F39"/>
    <w:rsid w:val="00C4462D"/>
    <w:rsid w:val="00C44AB3"/>
    <w:rsid w:val="00C44BB8"/>
    <w:rsid w:val="00C44BD6"/>
    <w:rsid w:val="00C44E44"/>
    <w:rsid w:val="00C45048"/>
    <w:rsid w:val="00C452B5"/>
    <w:rsid w:val="00C455F8"/>
    <w:rsid w:val="00C456A1"/>
    <w:rsid w:val="00C457D7"/>
    <w:rsid w:val="00C457E1"/>
    <w:rsid w:val="00C45931"/>
    <w:rsid w:val="00C45AF0"/>
    <w:rsid w:val="00C45C25"/>
    <w:rsid w:val="00C45FFD"/>
    <w:rsid w:val="00C46031"/>
    <w:rsid w:val="00C46212"/>
    <w:rsid w:val="00C463E6"/>
    <w:rsid w:val="00C463F8"/>
    <w:rsid w:val="00C4650D"/>
    <w:rsid w:val="00C466E5"/>
    <w:rsid w:val="00C467A7"/>
    <w:rsid w:val="00C468DF"/>
    <w:rsid w:val="00C46946"/>
    <w:rsid w:val="00C46964"/>
    <w:rsid w:val="00C46E3E"/>
    <w:rsid w:val="00C47061"/>
    <w:rsid w:val="00C470A5"/>
    <w:rsid w:val="00C471CF"/>
    <w:rsid w:val="00C47551"/>
    <w:rsid w:val="00C47A5B"/>
    <w:rsid w:val="00C47B39"/>
    <w:rsid w:val="00C47D1C"/>
    <w:rsid w:val="00C5004C"/>
    <w:rsid w:val="00C50478"/>
    <w:rsid w:val="00C5058E"/>
    <w:rsid w:val="00C5068B"/>
    <w:rsid w:val="00C507F7"/>
    <w:rsid w:val="00C50870"/>
    <w:rsid w:val="00C50DCB"/>
    <w:rsid w:val="00C50FE9"/>
    <w:rsid w:val="00C512E3"/>
    <w:rsid w:val="00C51464"/>
    <w:rsid w:val="00C514FB"/>
    <w:rsid w:val="00C5153E"/>
    <w:rsid w:val="00C517D7"/>
    <w:rsid w:val="00C51D61"/>
    <w:rsid w:val="00C5230C"/>
    <w:rsid w:val="00C52520"/>
    <w:rsid w:val="00C525A6"/>
    <w:rsid w:val="00C526E5"/>
    <w:rsid w:val="00C529D2"/>
    <w:rsid w:val="00C52BCF"/>
    <w:rsid w:val="00C52C9F"/>
    <w:rsid w:val="00C52CC4"/>
    <w:rsid w:val="00C52E70"/>
    <w:rsid w:val="00C52E9B"/>
    <w:rsid w:val="00C52F41"/>
    <w:rsid w:val="00C53481"/>
    <w:rsid w:val="00C53528"/>
    <w:rsid w:val="00C5357B"/>
    <w:rsid w:val="00C53C1E"/>
    <w:rsid w:val="00C53D1D"/>
    <w:rsid w:val="00C54018"/>
    <w:rsid w:val="00C54081"/>
    <w:rsid w:val="00C540D8"/>
    <w:rsid w:val="00C544E9"/>
    <w:rsid w:val="00C545BA"/>
    <w:rsid w:val="00C54666"/>
    <w:rsid w:val="00C5475F"/>
    <w:rsid w:val="00C5487C"/>
    <w:rsid w:val="00C549EC"/>
    <w:rsid w:val="00C54B8D"/>
    <w:rsid w:val="00C54C0F"/>
    <w:rsid w:val="00C55087"/>
    <w:rsid w:val="00C550A9"/>
    <w:rsid w:val="00C552B2"/>
    <w:rsid w:val="00C55357"/>
    <w:rsid w:val="00C55465"/>
    <w:rsid w:val="00C55555"/>
    <w:rsid w:val="00C555E7"/>
    <w:rsid w:val="00C55611"/>
    <w:rsid w:val="00C55685"/>
    <w:rsid w:val="00C5568E"/>
    <w:rsid w:val="00C55D07"/>
    <w:rsid w:val="00C55FCC"/>
    <w:rsid w:val="00C560B3"/>
    <w:rsid w:val="00C56385"/>
    <w:rsid w:val="00C56890"/>
    <w:rsid w:val="00C56A30"/>
    <w:rsid w:val="00C56E54"/>
    <w:rsid w:val="00C56E74"/>
    <w:rsid w:val="00C56E96"/>
    <w:rsid w:val="00C56F0B"/>
    <w:rsid w:val="00C571C6"/>
    <w:rsid w:val="00C5725B"/>
    <w:rsid w:val="00C57309"/>
    <w:rsid w:val="00C574BC"/>
    <w:rsid w:val="00C576B1"/>
    <w:rsid w:val="00C5773E"/>
    <w:rsid w:val="00C57B71"/>
    <w:rsid w:val="00C57DC4"/>
    <w:rsid w:val="00C57F7B"/>
    <w:rsid w:val="00C6030B"/>
    <w:rsid w:val="00C60425"/>
    <w:rsid w:val="00C604FD"/>
    <w:rsid w:val="00C605D7"/>
    <w:rsid w:val="00C6064A"/>
    <w:rsid w:val="00C60A97"/>
    <w:rsid w:val="00C60C08"/>
    <w:rsid w:val="00C60CFF"/>
    <w:rsid w:val="00C6102A"/>
    <w:rsid w:val="00C613E6"/>
    <w:rsid w:val="00C614BA"/>
    <w:rsid w:val="00C61628"/>
    <w:rsid w:val="00C61B7F"/>
    <w:rsid w:val="00C61F0D"/>
    <w:rsid w:val="00C61FB0"/>
    <w:rsid w:val="00C62552"/>
    <w:rsid w:val="00C62900"/>
    <w:rsid w:val="00C62A07"/>
    <w:rsid w:val="00C62A5E"/>
    <w:rsid w:val="00C62B8D"/>
    <w:rsid w:val="00C631B0"/>
    <w:rsid w:val="00C63273"/>
    <w:rsid w:val="00C635D6"/>
    <w:rsid w:val="00C637CB"/>
    <w:rsid w:val="00C6389B"/>
    <w:rsid w:val="00C639A4"/>
    <w:rsid w:val="00C63B83"/>
    <w:rsid w:val="00C63D81"/>
    <w:rsid w:val="00C6406B"/>
    <w:rsid w:val="00C640A9"/>
    <w:rsid w:val="00C64230"/>
    <w:rsid w:val="00C6484B"/>
    <w:rsid w:val="00C648BD"/>
    <w:rsid w:val="00C64B3B"/>
    <w:rsid w:val="00C64B87"/>
    <w:rsid w:val="00C64EF5"/>
    <w:rsid w:val="00C64FEE"/>
    <w:rsid w:val="00C6503C"/>
    <w:rsid w:val="00C650AF"/>
    <w:rsid w:val="00C651F1"/>
    <w:rsid w:val="00C65207"/>
    <w:rsid w:val="00C652A8"/>
    <w:rsid w:val="00C652DD"/>
    <w:rsid w:val="00C65361"/>
    <w:rsid w:val="00C6579D"/>
    <w:rsid w:val="00C659F3"/>
    <w:rsid w:val="00C65BBA"/>
    <w:rsid w:val="00C65F3E"/>
    <w:rsid w:val="00C660C6"/>
    <w:rsid w:val="00C661F5"/>
    <w:rsid w:val="00C66975"/>
    <w:rsid w:val="00C66FD1"/>
    <w:rsid w:val="00C67049"/>
    <w:rsid w:val="00C67222"/>
    <w:rsid w:val="00C67678"/>
    <w:rsid w:val="00C67827"/>
    <w:rsid w:val="00C67A11"/>
    <w:rsid w:val="00C67EC3"/>
    <w:rsid w:val="00C70033"/>
    <w:rsid w:val="00C70186"/>
    <w:rsid w:val="00C7044C"/>
    <w:rsid w:val="00C7074D"/>
    <w:rsid w:val="00C70BDA"/>
    <w:rsid w:val="00C70FD8"/>
    <w:rsid w:val="00C71AF4"/>
    <w:rsid w:val="00C71F1C"/>
    <w:rsid w:val="00C7211E"/>
    <w:rsid w:val="00C72135"/>
    <w:rsid w:val="00C72306"/>
    <w:rsid w:val="00C72442"/>
    <w:rsid w:val="00C724A1"/>
    <w:rsid w:val="00C7253F"/>
    <w:rsid w:val="00C725CD"/>
    <w:rsid w:val="00C725D5"/>
    <w:rsid w:val="00C7275C"/>
    <w:rsid w:val="00C72B5D"/>
    <w:rsid w:val="00C72F89"/>
    <w:rsid w:val="00C73080"/>
    <w:rsid w:val="00C731EB"/>
    <w:rsid w:val="00C731F3"/>
    <w:rsid w:val="00C73212"/>
    <w:rsid w:val="00C7343B"/>
    <w:rsid w:val="00C73571"/>
    <w:rsid w:val="00C7386D"/>
    <w:rsid w:val="00C73903"/>
    <w:rsid w:val="00C73975"/>
    <w:rsid w:val="00C73A6A"/>
    <w:rsid w:val="00C73D8D"/>
    <w:rsid w:val="00C73E1D"/>
    <w:rsid w:val="00C741CD"/>
    <w:rsid w:val="00C7445C"/>
    <w:rsid w:val="00C74644"/>
    <w:rsid w:val="00C746D9"/>
    <w:rsid w:val="00C747C8"/>
    <w:rsid w:val="00C74955"/>
    <w:rsid w:val="00C74A96"/>
    <w:rsid w:val="00C74BC0"/>
    <w:rsid w:val="00C74D6C"/>
    <w:rsid w:val="00C750E8"/>
    <w:rsid w:val="00C75334"/>
    <w:rsid w:val="00C7544D"/>
    <w:rsid w:val="00C75868"/>
    <w:rsid w:val="00C758D1"/>
    <w:rsid w:val="00C75934"/>
    <w:rsid w:val="00C75BBF"/>
    <w:rsid w:val="00C75CB3"/>
    <w:rsid w:val="00C760A2"/>
    <w:rsid w:val="00C7615C"/>
    <w:rsid w:val="00C7632F"/>
    <w:rsid w:val="00C76377"/>
    <w:rsid w:val="00C76685"/>
    <w:rsid w:val="00C7683A"/>
    <w:rsid w:val="00C76A9B"/>
    <w:rsid w:val="00C76AA0"/>
    <w:rsid w:val="00C76B38"/>
    <w:rsid w:val="00C76D41"/>
    <w:rsid w:val="00C76DD5"/>
    <w:rsid w:val="00C77087"/>
    <w:rsid w:val="00C77268"/>
    <w:rsid w:val="00C772AB"/>
    <w:rsid w:val="00C773A8"/>
    <w:rsid w:val="00C775DE"/>
    <w:rsid w:val="00C77773"/>
    <w:rsid w:val="00C77D58"/>
    <w:rsid w:val="00C802DB"/>
    <w:rsid w:val="00C80392"/>
    <w:rsid w:val="00C80630"/>
    <w:rsid w:val="00C806DA"/>
    <w:rsid w:val="00C80774"/>
    <w:rsid w:val="00C80AE4"/>
    <w:rsid w:val="00C80C86"/>
    <w:rsid w:val="00C80DD8"/>
    <w:rsid w:val="00C8111F"/>
    <w:rsid w:val="00C81365"/>
    <w:rsid w:val="00C8148B"/>
    <w:rsid w:val="00C81580"/>
    <w:rsid w:val="00C815B8"/>
    <w:rsid w:val="00C8162A"/>
    <w:rsid w:val="00C81881"/>
    <w:rsid w:val="00C81A6A"/>
    <w:rsid w:val="00C81A74"/>
    <w:rsid w:val="00C81BEB"/>
    <w:rsid w:val="00C81E77"/>
    <w:rsid w:val="00C82727"/>
    <w:rsid w:val="00C82813"/>
    <w:rsid w:val="00C82851"/>
    <w:rsid w:val="00C8313B"/>
    <w:rsid w:val="00C83190"/>
    <w:rsid w:val="00C831A9"/>
    <w:rsid w:val="00C83A5C"/>
    <w:rsid w:val="00C83C51"/>
    <w:rsid w:val="00C83D28"/>
    <w:rsid w:val="00C83F77"/>
    <w:rsid w:val="00C840DB"/>
    <w:rsid w:val="00C8472A"/>
    <w:rsid w:val="00C84AED"/>
    <w:rsid w:val="00C84E1A"/>
    <w:rsid w:val="00C84E44"/>
    <w:rsid w:val="00C851F8"/>
    <w:rsid w:val="00C852D5"/>
    <w:rsid w:val="00C853F8"/>
    <w:rsid w:val="00C8560D"/>
    <w:rsid w:val="00C856A9"/>
    <w:rsid w:val="00C85ADB"/>
    <w:rsid w:val="00C86063"/>
    <w:rsid w:val="00C8683A"/>
    <w:rsid w:val="00C869B7"/>
    <w:rsid w:val="00C86AB3"/>
    <w:rsid w:val="00C86B17"/>
    <w:rsid w:val="00C86B35"/>
    <w:rsid w:val="00C86FDD"/>
    <w:rsid w:val="00C870DE"/>
    <w:rsid w:val="00C87259"/>
    <w:rsid w:val="00C872AF"/>
    <w:rsid w:val="00C87942"/>
    <w:rsid w:val="00C879B6"/>
    <w:rsid w:val="00C879BA"/>
    <w:rsid w:val="00C87A24"/>
    <w:rsid w:val="00C87AEF"/>
    <w:rsid w:val="00C87AF0"/>
    <w:rsid w:val="00C87C21"/>
    <w:rsid w:val="00C87C71"/>
    <w:rsid w:val="00C87F13"/>
    <w:rsid w:val="00C9010D"/>
    <w:rsid w:val="00C901F6"/>
    <w:rsid w:val="00C90324"/>
    <w:rsid w:val="00C90687"/>
    <w:rsid w:val="00C90830"/>
    <w:rsid w:val="00C90835"/>
    <w:rsid w:val="00C90BB2"/>
    <w:rsid w:val="00C91047"/>
    <w:rsid w:val="00C91192"/>
    <w:rsid w:val="00C914A2"/>
    <w:rsid w:val="00C917D5"/>
    <w:rsid w:val="00C9181C"/>
    <w:rsid w:val="00C9192F"/>
    <w:rsid w:val="00C91AB6"/>
    <w:rsid w:val="00C91D6F"/>
    <w:rsid w:val="00C91FB0"/>
    <w:rsid w:val="00C92060"/>
    <w:rsid w:val="00C9236D"/>
    <w:rsid w:val="00C924E4"/>
    <w:rsid w:val="00C92563"/>
    <w:rsid w:val="00C927EB"/>
    <w:rsid w:val="00C92B5C"/>
    <w:rsid w:val="00C92F6D"/>
    <w:rsid w:val="00C92F70"/>
    <w:rsid w:val="00C9315E"/>
    <w:rsid w:val="00C9322B"/>
    <w:rsid w:val="00C9338D"/>
    <w:rsid w:val="00C935D7"/>
    <w:rsid w:val="00C937B5"/>
    <w:rsid w:val="00C93AA3"/>
    <w:rsid w:val="00C93B9D"/>
    <w:rsid w:val="00C93D67"/>
    <w:rsid w:val="00C93DF6"/>
    <w:rsid w:val="00C940BD"/>
    <w:rsid w:val="00C9434F"/>
    <w:rsid w:val="00C943B2"/>
    <w:rsid w:val="00C943E4"/>
    <w:rsid w:val="00C94550"/>
    <w:rsid w:val="00C94787"/>
    <w:rsid w:val="00C94F65"/>
    <w:rsid w:val="00C94FBC"/>
    <w:rsid w:val="00C9503A"/>
    <w:rsid w:val="00C95108"/>
    <w:rsid w:val="00C9542F"/>
    <w:rsid w:val="00C95910"/>
    <w:rsid w:val="00C9591A"/>
    <w:rsid w:val="00C959F0"/>
    <w:rsid w:val="00C95FE6"/>
    <w:rsid w:val="00C96118"/>
    <w:rsid w:val="00C96280"/>
    <w:rsid w:val="00C962E3"/>
    <w:rsid w:val="00C965D1"/>
    <w:rsid w:val="00C968EE"/>
    <w:rsid w:val="00C969C6"/>
    <w:rsid w:val="00C96B39"/>
    <w:rsid w:val="00C96D86"/>
    <w:rsid w:val="00C96FD7"/>
    <w:rsid w:val="00C9722C"/>
    <w:rsid w:val="00C978FC"/>
    <w:rsid w:val="00C979DE"/>
    <w:rsid w:val="00CA06DE"/>
    <w:rsid w:val="00CA0A41"/>
    <w:rsid w:val="00CA0C0C"/>
    <w:rsid w:val="00CA0FEB"/>
    <w:rsid w:val="00CA1068"/>
    <w:rsid w:val="00CA1315"/>
    <w:rsid w:val="00CA15E2"/>
    <w:rsid w:val="00CA1A20"/>
    <w:rsid w:val="00CA1B6B"/>
    <w:rsid w:val="00CA1C69"/>
    <w:rsid w:val="00CA1CCF"/>
    <w:rsid w:val="00CA1D40"/>
    <w:rsid w:val="00CA1EA7"/>
    <w:rsid w:val="00CA2405"/>
    <w:rsid w:val="00CA280E"/>
    <w:rsid w:val="00CA2B3A"/>
    <w:rsid w:val="00CA2C83"/>
    <w:rsid w:val="00CA2D9E"/>
    <w:rsid w:val="00CA2E24"/>
    <w:rsid w:val="00CA35B1"/>
    <w:rsid w:val="00CA37A2"/>
    <w:rsid w:val="00CA3874"/>
    <w:rsid w:val="00CA3B8F"/>
    <w:rsid w:val="00CA3FE0"/>
    <w:rsid w:val="00CA40B0"/>
    <w:rsid w:val="00CA4300"/>
    <w:rsid w:val="00CA436E"/>
    <w:rsid w:val="00CA4630"/>
    <w:rsid w:val="00CA4637"/>
    <w:rsid w:val="00CA4733"/>
    <w:rsid w:val="00CA4837"/>
    <w:rsid w:val="00CA48C3"/>
    <w:rsid w:val="00CA496D"/>
    <w:rsid w:val="00CA49D7"/>
    <w:rsid w:val="00CA4EB4"/>
    <w:rsid w:val="00CA4F97"/>
    <w:rsid w:val="00CA52C4"/>
    <w:rsid w:val="00CA5CA3"/>
    <w:rsid w:val="00CA6041"/>
    <w:rsid w:val="00CA60F7"/>
    <w:rsid w:val="00CA6135"/>
    <w:rsid w:val="00CA61F1"/>
    <w:rsid w:val="00CA6236"/>
    <w:rsid w:val="00CA6A1C"/>
    <w:rsid w:val="00CA6DD3"/>
    <w:rsid w:val="00CA712A"/>
    <w:rsid w:val="00CA742C"/>
    <w:rsid w:val="00CA749C"/>
    <w:rsid w:val="00CA74DC"/>
    <w:rsid w:val="00CA7804"/>
    <w:rsid w:val="00CA7855"/>
    <w:rsid w:val="00CA7947"/>
    <w:rsid w:val="00CA7C31"/>
    <w:rsid w:val="00CA7CA0"/>
    <w:rsid w:val="00CA7D40"/>
    <w:rsid w:val="00CA7E4D"/>
    <w:rsid w:val="00CA7F92"/>
    <w:rsid w:val="00CB0083"/>
    <w:rsid w:val="00CB0089"/>
    <w:rsid w:val="00CB011F"/>
    <w:rsid w:val="00CB014F"/>
    <w:rsid w:val="00CB01DC"/>
    <w:rsid w:val="00CB024F"/>
    <w:rsid w:val="00CB0316"/>
    <w:rsid w:val="00CB03FE"/>
    <w:rsid w:val="00CB054E"/>
    <w:rsid w:val="00CB07A8"/>
    <w:rsid w:val="00CB07E1"/>
    <w:rsid w:val="00CB08BC"/>
    <w:rsid w:val="00CB0911"/>
    <w:rsid w:val="00CB0FC9"/>
    <w:rsid w:val="00CB12BD"/>
    <w:rsid w:val="00CB1368"/>
    <w:rsid w:val="00CB1649"/>
    <w:rsid w:val="00CB1762"/>
    <w:rsid w:val="00CB19AB"/>
    <w:rsid w:val="00CB1A44"/>
    <w:rsid w:val="00CB1E81"/>
    <w:rsid w:val="00CB2000"/>
    <w:rsid w:val="00CB20E7"/>
    <w:rsid w:val="00CB221C"/>
    <w:rsid w:val="00CB221F"/>
    <w:rsid w:val="00CB26F0"/>
    <w:rsid w:val="00CB2755"/>
    <w:rsid w:val="00CB28EB"/>
    <w:rsid w:val="00CB28F0"/>
    <w:rsid w:val="00CB2951"/>
    <w:rsid w:val="00CB2A68"/>
    <w:rsid w:val="00CB2B5E"/>
    <w:rsid w:val="00CB2D3F"/>
    <w:rsid w:val="00CB2EE2"/>
    <w:rsid w:val="00CB33A2"/>
    <w:rsid w:val="00CB3644"/>
    <w:rsid w:val="00CB3D67"/>
    <w:rsid w:val="00CB3D77"/>
    <w:rsid w:val="00CB3E6A"/>
    <w:rsid w:val="00CB4472"/>
    <w:rsid w:val="00CB451E"/>
    <w:rsid w:val="00CB45EE"/>
    <w:rsid w:val="00CB4601"/>
    <w:rsid w:val="00CB4663"/>
    <w:rsid w:val="00CB49CE"/>
    <w:rsid w:val="00CB4B2F"/>
    <w:rsid w:val="00CB4D72"/>
    <w:rsid w:val="00CB5528"/>
    <w:rsid w:val="00CB5714"/>
    <w:rsid w:val="00CB577F"/>
    <w:rsid w:val="00CB5C9F"/>
    <w:rsid w:val="00CB63BA"/>
    <w:rsid w:val="00CB64CB"/>
    <w:rsid w:val="00CB662B"/>
    <w:rsid w:val="00CB67C2"/>
    <w:rsid w:val="00CB6DD1"/>
    <w:rsid w:val="00CB6DDC"/>
    <w:rsid w:val="00CB6E51"/>
    <w:rsid w:val="00CB7650"/>
    <w:rsid w:val="00CB77AC"/>
    <w:rsid w:val="00CB7857"/>
    <w:rsid w:val="00CB7878"/>
    <w:rsid w:val="00CB7A03"/>
    <w:rsid w:val="00CB7F26"/>
    <w:rsid w:val="00CB7F3E"/>
    <w:rsid w:val="00CC002B"/>
    <w:rsid w:val="00CC004B"/>
    <w:rsid w:val="00CC00E0"/>
    <w:rsid w:val="00CC0392"/>
    <w:rsid w:val="00CC04EE"/>
    <w:rsid w:val="00CC07F3"/>
    <w:rsid w:val="00CC0A20"/>
    <w:rsid w:val="00CC0A81"/>
    <w:rsid w:val="00CC12C0"/>
    <w:rsid w:val="00CC1529"/>
    <w:rsid w:val="00CC1614"/>
    <w:rsid w:val="00CC16D1"/>
    <w:rsid w:val="00CC1D6E"/>
    <w:rsid w:val="00CC1F38"/>
    <w:rsid w:val="00CC205C"/>
    <w:rsid w:val="00CC20A0"/>
    <w:rsid w:val="00CC25EC"/>
    <w:rsid w:val="00CC2608"/>
    <w:rsid w:val="00CC2690"/>
    <w:rsid w:val="00CC2901"/>
    <w:rsid w:val="00CC2DA9"/>
    <w:rsid w:val="00CC30B7"/>
    <w:rsid w:val="00CC32A9"/>
    <w:rsid w:val="00CC3551"/>
    <w:rsid w:val="00CC3B36"/>
    <w:rsid w:val="00CC3C18"/>
    <w:rsid w:val="00CC3E03"/>
    <w:rsid w:val="00CC3E9E"/>
    <w:rsid w:val="00CC3F5A"/>
    <w:rsid w:val="00CC43E8"/>
    <w:rsid w:val="00CC43EA"/>
    <w:rsid w:val="00CC441E"/>
    <w:rsid w:val="00CC4CEF"/>
    <w:rsid w:val="00CC4FA9"/>
    <w:rsid w:val="00CC509D"/>
    <w:rsid w:val="00CC53A1"/>
    <w:rsid w:val="00CC53A5"/>
    <w:rsid w:val="00CC560C"/>
    <w:rsid w:val="00CC5D94"/>
    <w:rsid w:val="00CC5E9E"/>
    <w:rsid w:val="00CC5F6D"/>
    <w:rsid w:val="00CC61C8"/>
    <w:rsid w:val="00CC67B6"/>
    <w:rsid w:val="00CC7062"/>
    <w:rsid w:val="00CC7225"/>
    <w:rsid w:val="00CC7230"/>
    <w:rsid w:val="00CC734B"/>
    <w:rsid w:val="00CC73E0"/>
    <w:rsid w:val="00CC741C"/>
    <w:rsid w:val="00CC78F2"/>
    <w:rsid w:val="00CC7C30"/>
    <w:rsid w:val="00CC7CF3"/>
    <w:rsid w:val="00CC7D42"/>
    <w:rsid w:val="00CC7E82"/>
    <w:rsid w:val="00CC7F53"/>
    <w:rsid w:val="00CD0104"/>
    <w:rsid w:val="00CD01A4"/>
    <w:rsid w:val="00CD01B9"/>
    <w:rsid w:val="00CD07BE"/>
    <w:rsid w:val="00CD0833"/>
    <w:rsid w:val="00CD0A29"/>
    <w:rsid w:val="00CD0B40"/>
    <w:rsid w:val="00CD0BF2"/>
    <w:rsid w:val="00CD107E"/>
    <w:rsid w:val="00CD1492"/>
    <w:rsid w:val="00CD15E5"/>
    <w:rsid w:val="00CD188F"/>
    <w:rsid w:val="00CD1A05"/>
    <w:rsid w:val="00CD1F29"/>
    <w:rsid w:val="00CD23B4"/>
    <w:rsid w:val="00CD252F"/>
    <w:rsid w:val="00CD28F5"/>
    <w:rsid w:val="00CD293A"/>
    <w:rsid w:val="00CD2D28"/>
    <w:rsid w:val="00CD2E3E"/>
    <w:rsid w:val="00CD2FAD"/>
    <w:rsid w:val="00CD300F"/>
    <w:rsid w:val="00CD319B"/>
    <w:rsid w:val="00CD3614"/>
    <w:rsid w:val="00CD3E3F"/>
    <w:rsid w:val="00CD3FAE"/>
    <w:rsid w:val="00CD3FEE"/>
    <w:rsid w:val="00CD413D"/>
    <w:rsid w:val="00CD42A4"/>
    <w:rsid w:val="00CD42E3"/>
    <w:rsid w:val="00CD4467"/>
    <w:rsid w:val="00CD465E"/>
    <w:rsid w:val="00CD4A6D"/>
    <w:rsid w:val="00CD4B1B"/>
    <w:rsid w:val="00CD4B8F"/>
    <w:rsid w:val="00CD4F62"/>
    <w:rsid w:val="00CD5015"/>
    <w:rsid w:val="00CD53E0"/>
    <w:rsid w:val="00CD5640"/>
    <w:rsid w:val="00CD58C8"/>
    <w:rsid w:val="00CD6163"/>
    <w:rsid w:val="00CD61BB"/>
    <w:rsid w:val="00CD628E"/>
    <w:rsid w:val="00CD66EB"/>
    <w:rsid w:val="00CD6BC4"/>
    <w:rsid w:val="00CD70A5"/>
    <w:rsid w:val="00CD7222"/>
    <w:rsid w:val="00CD7529"/>
    <w:rsid w:val="00CD78E9"/>
    <w:rsid w:val="00CD7AF8"/>
    <w:rsid w:val="00CD7B2D"/>
    <w:rsid w:val="00CD7B73"/>
    <w:rsid w:val="00CD7BA7"/>
    <w:rsid w:val="00CD7CD2"/>
    <w:rsid w:val="00CD7CDD"/>
    <w:rsid w:val="00CD7E66"/>
    <w:rsid w:val="00CD7F69"/>
    <w:rsid w:val="00CE0103"/>
    <w:rsid w:val="00CE0234"/>
    <w:rsid w:val="00CE02D9"/>
    <w:rsid w:val="00CE052A"/>
    <w:rsid w:val="00CE0C6F"/>
    <w:rsid w:val="00CE0D72"/>
    <w:rsid w:val="00CE16AC"/>
    <w:rsid w:val="00CE16DB"/>
    <w:rsid w:val="00CE1CD6"/>
    <w:rsid w:val="00CE1D05"/>
    <w:rsid w:val="00CE1D7B"/>
    <w:rsid w:val="00CE1DD3"/>
    <w:rsid w:val="00CE2108"/>
    <w:rsid w:val="00CE226F"/>
    <w:rsid w:val="00CE2417"/>
    <w:rsid w:val="00CE25C7"/>
    <w:rsid w:val="00CE2639"/>
    <w:rsid w:val="00CE26FB"/>
    <w:rsid w:val="00CE28C6"/>
    <w:rsid w:val="00CE2A57"/>
    <w:rsid w:val="00CE30BB"/>
    <w:rsid w:val="00CE31B2"/>
    <w:rsid w:val="00CE3223"/>
    <w:rsid w:val="00CE34C6"/>
    <w:rsid w:val="00CE34E0"/>
    <w:rsid w:val="00CE35BD"/>
    <w:rsid w:val="00CE3821"/>
    <w:rsid w:val="00CE3855"/>
    <w:rsid w:val="00CE3A73"/>
    <w:rsid w:val="00CE3E02"/>
    <w:rsid w:val="00CE3E8F"/>
    <w:rsid w:val="00CE40F6"/>
    <w:rsid w:val="00CE4144"/>
    <w:rsid w:val="00CE41D1"/>
    <w:rsid w:val="00CE41EC"/>
    <w:rsid w:val="00CE43B8"/>
    <w:rsid w:val="00CE444B"/>
    <w:rsid w:val="00CE44AD"/>
    <w:rsid w:val="00CE48F2"/>
    <w:rsid w:val="00CE4BED"/>
    <w:rsid w:val="00CE4E09"/>
    <w:rsid w:val="00CE4E9D"/>
    <w:rsid w:val="00CE4F12"/>
    <w:rsid w:val="00CE5014"/>
    <w:rsid w:val="00CE513E"/>
    <w:rsid w:val="00CE5347"/>
    <w:rsid w:val="00CE534B"/>
    <w:rsid w:val="00CE5651"/>
    <w:rsid w:val="00CE566F"/>
    <w:rsid w:val="00CE600C"/>
    <w:rsid w:val="00CE6211"/>
    <w:rsid w:val="00CE6395"/>
    <w:rsid w:val="00CE682C"/>
    <w:rsid w:val="00CE6909"/>
    <w:rsid w:val="00CE69E7"/>
    <w:rsid w:val="00CE6B49"/>
    <w:rsid w:val="00CE6D72"/>
    <w:rsid w:val="00CE6E57"/>
    <w:rsid w:val="00CE6F95"/>
    <w:rsid w:val="00CE703C"/>
    <w:rsid w:val="00CE708B"/>
    <w:rsid w:val="00CE70B2"/>
    <w:rsid w:val="00CE7362"/>
    <w:rsid w:val="00CE750F"/>
    <w:rsid w:val="00CE75FC"/>
    <w:rsid w:val="00CE765D"/>
    <w:rsid w:val="00CE7793"/>
    <w:rsid w:val="00CE7961"/>
    <w:rsid w:val="00CE79C2"/>
    <w:rsid w:val="00CE7A0C"/>
    <w:rsid w:val="00CF0065"/>
    <w:rsid w:val="00CF00F5"/>
    <w:rsid w:val="00CF037F"/>
    <w:rsid w:val="00CF03A8"/>
    <w:rsid w:val="00CF0601"/>
    <w:rsid w:val="00CF0644"/>
    <w:rsid w:val="00CF076D"/>
    <w:rsid w:val="00CF07F6"/>
    <w:rsid w:val="00CF081B"/>
    <w:rsid w:val="00CF0874"/>
    <w:rsid w:val="00CF0876"/>
    <w:rsid w:val="00CF0C8B"/>
    <w:rsid w:val="00CF0D65"/>
    <w:rsid w:val="00CF0F98"/>
    <w:rsid w:val="00CF11A1"/>
    <w:rsid w:val="00CF1270"/>
    <w:rsid w:val="00CF1316"/>
    <w:rsid w:val="00CF144D"/>
    <w:rsid w:val="00CF1735"/>
    <w:rsid w:val="00CF17AD"/>
    <w:rsid w:val="00CF1918"/>
    <w:rsid w:val="00CF197B"/>
    <w:rsid w:val="00CF1ABF"/>
    <w:rsid w:val="00CF1D49"/>
    <w:rsid w:val="00CF1E67"/>
    <w:rsid w:val="00CF2001"/>
    <w:rsid w:val="00CF2C64"/>
    <w:rsid w:val="00CF2CC1"/>
    <w:rsid w:val="00CF2F14"/>
    <w:rsid w:val="00CF315F"/>
    <w:rsid w:val="00CF327F"/>
    <w:rsid w:val="00CF3335"/>
    <w:rsid w:val="00CF3583"/>
    <w:rsid w:val="00CF40DF"/>
    <w:rsid w:val="00CF4275"/>
    <w:rsid w:val="00CF4678"/>
    <w:rsid w:val="00CF4BC0"/>
    <w:rsid w:val="00CF4D5C"/>
    <w:rsid w:val="00CF50F5"/>
    <w:rsid w:val="00CF512C"/>
    <w:rsid w:val="00CF5291"/>
    <w:rsid w:val="00CF53F2"/>
    <w:rsid w:val="00CF5933"/>
    <w:rsid w:val="00CF5C97"/>
    <w:rsid w:val="00CF5E3B"/>
    <w:rsid w:val="00CF6017"/>
    <w:rsid w:val="00CF60EB"/>
    <w:rsid w:val="00CF6110"/>
    <w:rsid w:val="00CF61F1"/>
    <w:rsid w:val="00CF6664"/>
    <w:rsid w:val="00CF688B"/>
    <w:rsid w:val="00CF6955"/>
    <w:rsid w:val="00CF6D49"/>
    <w:rsid w:val="00CF6DE8"/>
    <w:rsid w:val="00CF6E75"/>
    <w:rsid w:val="00CF6E78"/>
    <w:rsid w:val="00CF6F07"/>
    <w:rsid w:val="00CF6F2E"/>
    <w:rsid w:val="00CF7065"/>
    <w:rsid w:val="00CF7255"/>
    <w:rsid w:val="00CF776C"/>
    <w:rsid w:val="00CF7863"/>
    <w:rsid w:val="00CF78BB"/>
    <w:rsid w:val="00CF7B7A"/>
    <w:rsid w:val="00CF7BB5"/>
    <w:rsid w:val="00CF7D8D"/>
    <w:rsid w:val="00CF7FDE"/>
    <w:rsid w:val="00D00320"/>
    <w:rsid w:val="00D004F4"/>
    <w:rsid w:val="00D00A5A"/>
    <w:rsid w:val="00D00C48"/>
    <w:rsid w:val="00D00EB2"/>
    <w:rsid w:val="00D01557"/>
    <w:rsid w:val="00D016BD"/>
    <w:rsid w:val="00D0191D"/>
    <w:rsid w:val="00D01939"/>
    <w:rsid w:val="00D01C3F"/>
    <w:rsid w:val="00D01CF2"/>
    <w:rsid w:val="00D01F02"/>
    <w:rsid w:val="00D01FB3"/>
    <w:rsid w:val="00D0210F"/>
    <w:rsid w:val="00D02205"/>
    <w:rsid w:val="00D026C8"/>
    <w:rsid w:val="00D02778"/>
    <w:rsid w:val="00D02D4D"/>
    <w:rsid w:val="00D02E95"/>
    <w:rsid w:val="00D02FAF"/>
    <w:rsid w:val="00D03B4A"/>
    <w:rsid w:val="00D03F57"/>
    <w:rsid w:val="00D040DE"/>
    <w:rsid w:val="00D041C4"/>
    <w:rsid w:val="00D041ED"/>
    <w:rsid w:val="00D04209"/>
    <w:rsid w:val="00D04456"/>
    <w:rsid w:val="00D0456E"/>
    <w:rsid w:val="00D04A29"/>
    <w:rsid w:val="00D04B38"/>
    <w:rsid w:val="00D04BB8"/>
    <w:rsid w:val="00D053CD"/>
    <w:rsid w:val="00D05534"/>
    <w:rsid w:val="00D056A1"/>
    <w:rsid w:val="00D057FC"/>
    <w:rsid w:val="00D05815"/>
    <w:rsid w:val="00D05EA5"/>
    <w:rsid w:val="00D0603D"/>
    <w:rsid w:val="00D0630E"/>
    <w:rsid w:val="00D06999"/>
    <w:rsid w:val="00D06AD1"/>
    <w:rsid w:val="00D06CCD"/>
    <w:rsid w:val="00D07591"/>
    <w:rsid w:val="00D07BB9"/>
    <w:rsid w:val="00D07DE2"/>
    <w:rsid w:val="00D07F3B"/>
    <w:rsid w:val="00D10406"/>
    <w:rsid w:val="00D10462"/>
    <w:rsid w:val="00D10552"/>
    <w:rsid w:val="00D106F9"/>
    <w:rsid w:val="00D1072D"/>
    <w:rsid w:val="00D107BD"/>
    <w:rsid w:val="00D107EC"/>
    <w:rsid w:val="00D10CC7"/>
    <w:rsid w:val="00D10DF3"/>
    <w:rsid w:val="00D11067"/>
    <w:rsid w:val="00D11321"/>
    <w:rsid w:val="00D113F1"/>
    <w:rsid w:val="00D114A4"/>
    <w:rsid w:val="00D119E5"/>
    <w:rsid w:val="00D11B39"/>
    <w:rsid w:val="00D1203B"/>
    <w:rsid w:val="00D1210E"/>
    <w:rsid w:val="00D12683"/>
    <w:rsid w:val="00D129DC"/>
    <w:rsid w:val="00D12B1A"/>
    <w:rsid w:val="00D12CF0"/>
    <w:rsid w:val="00D12D02"/>
    <w:rsid w:val="00D12D9D"/>
    <w:rsid w:val="00D12DE9"/>
    <w:rsid w:val="00D12EDA"/>
    <w:rsid w:val="00D12FA2"/>
    <w:rsid w:val="00D1325D"/>
    <w:rsid w:val="00D134ED"/>
    <w:rsid w:val="00D13557"/>
    <w:rsid w:val="00D13673"/>
    <w:rsid w:val="00D13A92"/>
    <w:rsid w:val="00D13DA7"/>
    <w:rsid w:val="00D140A2"/>
    <w:rsid w:val="00D140F8"/>
    <w:rsid w:val="00D141B3"/>
    <w:rsid w:val="00D143D2"/>
    <w:rsid w:val="00D1443B"/>
    <w:rsid w:val="00D149DE"/>
    <w:rsid w:val="00D14B06"/>
    <w:rsid w:val="00D14C8E"/>
    <w:rsid w:val="00D14D1A"/>
    <w:rsid w:val="00D14E0D"/>
    <w:rsid w:val="00D1516E"/>
    <w:rsid w:val="00D1532E"/>
    <w:rsid w:val="00D1534C"/>
    <w:rsid w:val="00D15972"/>
    <w:rsid w:val="00D15983"/>
    <w:rsid w:val="00D159C3"/>
    <w:rsid w:val="00D15A6B"/>
    <w:rsid w:val="00D15B75"/>
    <w:rsid w:val="00D15C8F"/>
    <w:rsid w:val="00D15E47"/>
    <w:rsid w:val="00D1623D"/>
    <w:rsid w:val="00D162F3"/>
    <w:rsid w:val="00D16301"/>
    <w:rsid w:val="00D163A4"/>
    <w:rsid w:val="00D16728"/>
    <w:rsid w:val="00D168BB"/>
    <w:rsid w:val="00D16BC8"/>
    <w:rsid w:val="00D16C69"/>
    <w:rsid w:val="00D16F87"/>
    <w:rsid w:val="00D17171"/>
    <w:rsid w:val="00D1734A"/>
    <w:rsid w:val="00D17366"/>
    <w:rsid w:val="00D1753F"/>
    <w:rsid w:val="00D1783E"/>
    <w:rsid w:val="00D178FE"/>
    <w:rsid w:val="00D17BDD"/>
    <w:rsid w:val="00D17EA6"/>
    <w:rsid w:val="00D17F8E"/>
    <w:rsid w:val="00D20284"/>
    <w:rsid w:val="00D205BC"/>
    <w:rsid w:val="00D207FE"/>
    <w:rsid w:val="00D20DEE"/>
    <w:rsid w:val="00D21038"/>
    <w:rsid w:val="00D2104C"/>
    <w:rsid w:val="00D212C5"/>
    <w:rsid w:val="00D2154E"/>
    <w:rsid w:val="00D21920"/>
    <w:rsid w:val="00D21986"/>
    <w:rsid w:val="00D21DD8"/>
    <w:rsid w:val="00D220D2"/>
    <w:rsid w:val="00D22103"/>
    <w:rsid w:val="00D221AC"/>
    <w:rsid w:val="00D22225"/>
    <w:rsid w:val="00D22A35"/>
    <w:rsid w:val="00D22C4B"/>
    <w:rsid w:val="00D22D80"/>
    <w:rsid w:val="00D2331E"/>
    <w:rsid w:val="00D2332A"/>
    <w:rsid w:val="00D2398B"/>
    <w:rsid w:val="00D23DE5"/>
    <w:rsid w:val="00D23FA0"/>
    <w:rsid w:val="00D2425C"/>
    <w:rsid w:val="00D244A7"/>
    <w:rsid w:val="00D24534"/>
    <w:rsid w:val="00D246D1"/>
    <w:rsid w:val="00D24728"/>
    <w:rsid w:val="00D248D0"/>
    <w:rsid w:val="00D24A1D"/>
    <w:rsid w:val="00D24A22"/>
    <w:rsid w:val="00D24D1E"/>
    <w:rsid w:val="00D24D7D"/>
    <w:rsid w:val="00D24F90"/>
    <w:rsid w:val="00D24FC5"/>
    <w:rsid w:val="00D25001"/>
    <w:rsid w:val="00D25560"/>
    <w:rsid w:val="00D2557C"/>
    <w:rsid w:val="00D2558F"/>
    <w:rsid w:val="00D25742"/>
    <w:rsid w:val="00D25A3F"/>
    <w:rsid w:val="00D25A5A"/>
    <w:rsid w:val="00D25CB2"/>
    <w:rsid w:val="00D25D2C"/>
    <w:rsid w:val="00D25E4B"/>
    <w:rsid w:val="00D260D5"/>
    <w:rsid w:val="00D26150"/>
    <w:rsid w:val="00D2616B"/>
    <w:rsid w:val="00D262F1"/>
    <w:rsid w:val="00D26943"/>
    <w:rsid w:val="00D26C55"/>
    <w:rsid w:val="00D26D2A"/>
    <w:rsid w:val="00D26D2B"/>
    <w:rsid w:val="00D270BD"/>
    <w:rsid w:val="00D2726B"/>
    <w:rsid w:val="00D279A2"/>
    <w:rsid w:val="00D27AD6"/>
    <w:rsid w:val="00D27B2B"/>
    <w:rsid w:val="00D27D8E"/>
    <w:rsid w:val="00D305EC"/>
    <w:rsid w:val="00D306D9"/>
    <w:rsid w:val="00D30C11"/>
    <w:rsid w:val="00D314A7"/>
    <w:rsid w:val="00D31546"/>
    <w:rsid w:val="00D3154E"/>
    <w:rsid w:val="00D316C0"/>
    <w:rsid w:val="00D318FD"/>
    <w:rsid w:val="00D31DC9"/>
    <w:rsid w:val="00D31DFF"/>
    <w:rsid w:val="00D31F31"/>
    <w:rsid w:val="00D31F7A"/>
    <w:rsid w:val="00D322EE"/>
    <w:rsid w:val="00D3232F"/>
    <w:rsid w:val="00D325E0"/>
    <w:rsid w:val="00D32955"/>
    <w:rsid w:val="00D32AAB"/>
    <w:rsid w:val="00D33129"/>
    <w:rsid w:val="00D3314C"/>
    <w:rsid w:val="00D336B8"/>
    <w:rsid w:val="00D337AC"/>
    <w:rsid w:val="00D33A30"/>
    <w:rsid w:val="00D33CB5"/>
    <w:rsid w:val="00D342F1"/>
    <w:rsid w:val="00D34812"/>
    <w:rsid w:val="00D3488B"/>
    <w:rsid w:val="00D34C6A"/>
    <w:rsid w:val="00D34D19"/>
    <w:rsid w:val="00D34D4E"/>
    <w:rsid w:val="00D34EFA"/>
    <w:rsid w:val="00D35070"/>
    <w:rsid w:val="00D350A6"/>
    <w:rsid w:val="00D352B9"/>
    <w:rsid w:val="00D35644"/>
    <w:rsid w:val="00D35653"/>
    <w:rsid w:val="00D3577B"/>
    <w:rsid w:val="00D35D27"/>
    <w:rsid w:val="00D35D3A"/>
    <w:rsid w:val="00D35DD1"/>
    <w:rsid w:val="00D35DE1"/>
    <w:rsid w:val="00D361F2"/>
    <w:rsid w:val="00D3662A"/>
    <w:rsid w:val="00D36A69"/>
    <w:rsid w:val="00D36A87"/>
    <w:rsid w:val="00D36C88"/>
    <w:rsid w:val="00D36CB8"/>
    <w:rsid w:val="00D36EA2"/>
    <w:rsid w:val="00D36FAE"/>
    <w:rsid w:val="00D374C3"/>
    <w:rsid w:val="00D37506"/>
    <w:rsid w:val="00D37993"/>
    <w:rsid w:val="00D37CDB"/>
    <w:rsid w:val="00D402E2"/>
    <w:rsid w:val="00D40841"/>
    <w:rsid w:val="00D4089F"/>
    <w:rsid w:val="00D40944"/>
    <w:rsid w:val="00D40FF3"/>
    <w:rsid w:val="00D4131D"/>
    <w:rsid w:val="00D4136B"/>
    <w:rsid w:val="00D413AA"/>
    <w:rsid w:val="00D414B0"/>
    <w:rsid w:val="00D416A2"/>
    <w:rsid w:val="00D41C96"/>
    <w:rsid w:val="00D41EAD"/>
    <w:rsid w:val="00D41F4C"/>
    <w:rsid w:val="00D41F79"/>
    <w:rsid w:val="00D41F9B"/>
    <w:rsid w:val="00D41FE6"/>
    <w:rsid w:val="00D422FD"/>
    <w:rsid w:val="00D426EB"/>
    <w:rsid w:val="00D42946"/>
    <w:rsid w:val="00D42B62"/>
    <w:rsid w:val="00D42BFD"/>
    <w:rsid w:val="00D42CA5"/>
    <w:rsid w:val="00D42E0B"/>
    <w:rsid w:val="00D4314D"/>
    <w:rsid w:val="00D43183"/>
    <w:rsid w:val="00D4323B"/>
    <w:rsid w:val="00D432FC"/>
    <w:rsid w:val="00D436F1"/>
    <w:rsid w:val="00D43745"/>
    <w:rsid w:val="00D438F1"/>
    <w:rsid w:val="00D43962"/>
    <w:rsid w:val="00D43F6D"/>
    <w:rsid w:val="00D44685"/>
    <w:rsid w:val="00D446CA"/>
    <w:rsid w:val="00D44A38"/>
    <w:rsid w:val="00D44A95"/>
    <w:rsid w:val="00D44BF5"/>
    <w:rsid w:val="00D44FC4"/>
    <w:rsid w:val="00D450DF"/>
    <w:rsid w:val="00D450E7"/>
    <w:rsid w:val="00D4526B"/>
    <w:rsid w:val="00D452AA"/>
    <w:rsid w:val="00D4540A"/>
    <w:rsid w:val="00D457EF"/>
    <w:rsid w:val="00D45E73"/>
    <w:rsid w:val="00D45FBC"/>
    <w:rsid w:val="00D46207"/>
    <w:rsid w:val="00D463A6"/>
    <w:rsid w:val="00D46620"/>
    <w:rsid w:val="00D46781"/>
    <w:rsid w:val="00D46802"/>
    <w:rsid w:val="00D46ADE"/>
    <w:rsid w:val="00D46DA6"/>
    <w:rsid w:val="00D46DF9"/>
    <w:rsid w:val="00D46F4F"/>
    <w:rsid w:val="00D46F88"/>
    <w:rsid w:val="00D470E2"/>
    <w:rsid w:val="00D4789C"/>
    <w:rsid w:val="00D508E2"/>
    <w:rsid w:val="00D50CFC"/>
    <w:rsid w:val="00D50D0B"/>
    <w:rsid w:val="00D50D37"/>
    <w:rsid w:val="00D50EA4"/>
    <w:rsid w:val="00D50EE0"/>
    <w:rsid w:val="00D50FBC"/>
    <w:rsid w:val="00D5108F"/>
    <w:rsid w:val="00D518D8"/>
    <w:rsid w:val="00D51970"/>
    <w:rsid w:val="00D51D1F"/>
    <w:rsid w:val="00D51F23"/>
    <w:rsid w:val="00D522A8"/>
    <w:rsid w:val="00D52459"/>
    <w:rsid w:val="00D52479"/>
    <w:rsid w:val="00D524A5"/>
    <w:rsid w:val="00D52557"/>
    <w:rsid w:val="00D52804"/>
    <w:rsid w:val="00D52AB1"/>
    <w:rsid w:val="00D52C26"/>
    <w:rsid w:val="00D53026"/>
    <w:rsid w:val="00D530E1"/>
    <w:rsid w:val="00D53126"/>
    <w:rsid w:val="00D531C1"/>
    <w:rsid w:val="00D534E7"/>
    <w:rsid w:val="00D53549"/>
    <w:rsid w:val="00D5367A"/>
    <w:rsid w:val="00D536FE"/>
    <w:rsid w:val="00D5376F"/>
    <w:rsid w:val="00D53B1E"/>
    <w:rsid w:val="00D53B51"/>
    <w:rsid w:val="00D540D4"/>
    <w:rsid w:val="00D541F5"/>
    <w:rsid w:val="00D54310"/>
    <w:rsid w:val="00D543CB"/>
    <w:rsid w:val="00D54556"/>
    <w:rsid w:val="00D546C1"/>
    <w:rsid w:val="00D54A28"/>
    <w:rsid w:val="00D54AFB"/>
    <w:rsid w:val="00D54D56"/>
    <w:rsid w:val="00D54E02"/>
    <w:rsid w:val="00D54FB1"/>
    <w:rsid w:val="00D55126"/>
    <w:rsid w:val="00D5521F"/>
    <w:rsid w:val="00D55381"/>
    <w:rsid w:val="00D553C1"/>
    <w:rsid w:val="00D553E4"/>
    <w:rsid w:val="00D5586A"/>
    <w:rsid w:val="00D55B0C"/>
    <w:rsid w:val="00D5605D"/>
    <w:rsid w:val="00D560F9"/>
    <w:rsid w:val="00D565FC"/>
    <w:rsid w:val="00D5677A"/>
    <w:rsid w:val="00D5684F"/>
    <w:rsid w:val="00D56952"/>
    <w:rsid w:val="00D56AE7"/>
    <w:rsid w:val="00D56B4E"/>
    <w:rsid w:val="00D57275"/>
    <w:rsid w:val="00D57436"/>
    <w:rsid w:val="00D5763F"/>
    <w:rsid w:val="00D5793C"/>
    <w:rsid w:val="00D57A97"/>
    <w:rsid w:val="00D57C37"/>
    <w:rsid w:val="00D57DA3"/>
    <w:rsid w:val="00D57F0F"/>
    <w:rsid w:val="00D60481"/>
    <w:rsid w:val="00D60621"/>
    <w:rsid w:val="00D6086B"/>
    <w:rsid w:val="00D609B6"/>
    <w:rsid w:val="00D60BD9"/>
    <w:rsid w:val="00D6128D"/>
    <w:rsid w:val="00D612D6"/>
    <w:rsid w:val="00D617C7"/>
    <w:rsid w:val="00D61B1A"/>
    <w:rsid w:val="00D61B82"/>
    <w:rsid w:val="00D61CB6"/>
    <w:rsid w:val="00D620DB"/>
    <w:rsid w:val="00D621C3"/>
    <w:rsid w:val="00D622B7"/>
    <w:rsid w:val="00D625A1"/>
    <w:rsid w:val="00D62730"/>
    <w:rsid w:val="00D62ACC"/>
    <w:rsid w:val="00D62C5E"/>
    <w:rsid w:val="00D62CEB"/>
    <w:rsid w:val="00D62E12"/>
    <w:rsid w:val="00D62F14"/>
    <w:rsid w:val="00D62F9B"/>
    <w:rsid w:val="00D63096"/>
    <w:rsid w:val="00D631A4"/>
    <w:rsid w:val="00D63310"/>
    <w:rsid w:val="00D6356F"/>
    <w:rsid w:val="00D6374A"/>
    <w:rsid w:val="00D6383D"/>
    <w:rsid w:val="00D63AE8"/>
    <w:rsid w:val="00D63B4E"/>
    <w:rsid w:val="00D63E0C"/>
    <w:rsid w:val="00D64071"/>
    <w:rsid w:val="00D64448"/>
    <w:rsid w:val="00D6460F"/>
    <w:rsid w:val="00D6463C"/>
    <w:rsid w:val="00D64801"/>
    <w:rsid w:val="00D6488E"/>
    <w:rsid w:val="00D6491F"/>
    <w:rsid w:val="00D649FD"/>
    <w:rsid w:val="00D64AF0"/>
    <w:rsid w:val="00D64CD0"/>
    <w:rsid w:val="00D64DDD"/>
    <w:rsid w:val="00D6501A"/>
    <w:rsid w:val="00D65145"/>
    <w:rsid w:val="00D6533E"/>
    <w:rsid w:val="00D65781"/>
    <w:rsid w:val="00D6592C"/>
    <w:rsid w:val="00D659FB"/>
    <w:rsid w:val="00D65F2F"/>
    <w:rsid w:val="00D66680"/>
    <w:rsid w:val="00D6677C"/>
    <w:rsid w:val="00D66A3B"/>
    <w:rsid w:val="00D66D23"/>
    <w:rsid w:val="00D673E2"/>
    <w:rsid w:val="00D673E8"/>
    <w:rsid w:val="00D67458"/>
    <w:rsid w:val="00D675D7"/>
    <w:rsid w:val="00D67717"/>
    <w:rsid w:val="00D67812"/>
    <w:rsid w:val="00D678E9"/>
    <w:rsid w:val="00D67A77"/>
    <w:rsid w:val="00D67AE9"/>
    <w:rsid w:val="00D67EE4"/>
    <w:rsid w:val="00D701FA"/>
    <w:rsid w:val="00D70483"/>
    <w:rsid w:val="00D70576"/>
    <w:rsid w:val="00D70838"/>
    <w:rsid w:val="00D70B07"/>
    <w:rsid w:val="00D70B15"/>
    <w:rsid w:val="00D70D68"/>
    <w:rsid w:val="00D71159"/>
    <w:rsid w:val="00D7118D"/>
    <w:rsid w:val="00D711F3"/>
    <w:rsid w:val="00D71250"/>
    <w:rsid w:val="00D713C3"/>
    <w:rsid w:val="00D71527"/>
    <w:rsid w:val="00D715F0"/>
    <w:rsid w:val="00D7181F"/>
    <w:rsid w:val="00D718B6"/>
    <w:rsid w:val="00D718B7"/>
    <w:rsid w:val="00D71B34"/>
    <w:rsid w:val="00D71B46"/>
    <w:rsid w:val="00D71DA1"/>
    <w:rsid w:val="00D71FC0"/>
    <w:rsid w:val="00D7208C"/>
    <w:rsid w:val="00D723E5"/>
    <w:rsid w:val="00D729A7"/>
    <w:rsid w:val="00D72B58"/>
    <w:rsid w:val="00D72C7C"/>
    <w:rsid w:val="00D72E12"/>
    <w:rsid w:val="00D72FD8"/>
    <w:rsid w:val="00D73078"/>
    <w:rsid w:val="00D73283"/>
    <w:rsid w:val="00D73545"/>
    <w:rsid w:val="00D73733"/>
    <w:rsid w:val="00D739FC"/>
    <w:rsid w:val="00D73C88"/>
    <w:rsid w:val="00D74247"/>
    <w:rsid w:val="00D74416"/>
    <w:rsid w:val="00D745E6"/>
    <w:rsid w:val="00D74709"/>
    <w:rsid w:val="00D74C15"/>
    <w:rsid w:val="00D74C64"/>
    <w:rsid w:val="00D74D23"/>
    <w:rsid w:val="00D75107"/>
    <w:rsid w:val="00D75285"/>
    <w:rsid w:val="00D75334"/>
    <w:rsid w:val="00D75351"/>
    <w:rsid w:val="00D753FB"/>
    <w:rsid w:val="00D75467"/>
    <w:rsid w:val="00D75568"/>
    <w:rsid w:val="00D7587B"/>
    <w:rsid w:val="00D758C3"/>
    <w:rsid w:val="00D75D3D"/>
    <w:rsid w:val="00D76046"/>
    <w:rsid w:val="00D76052"/>
    <w:rsid w:val="00D7617C"/>
    <w:rsid w:val="00D764E3"/>
    <w:rsid w:val="00D76970"/>
    <w:rsid w:val="00D76971"/>
    <w:rsid w:val="00D76A4B"/>
    <w:rsid w:val="00D76BFB"/>
    <w:rsid w:val="00D76F10"/>
    <w:rsid w:val="00D770B4"/>
    <w:rsid w:val="00D7711F"/>
    <w:rsid w:val="00D77171"/>
    <w:rsid w:val="00D772EB"/>
    <w:rsid w:val="00D7759C"/>
    <w:rsid w:val="00D77783"/>
    <w:rsid w:val="00D77989"/>
    <w:rsid w:val="00D77C07"/>
    <w:rsid w:val="00D77E07"/>
    <w:rsid w:val="00D80069"/>
    <w:rsid w:val="00D80339"/>
    <w:rsid w:val="00D80349"/>
    <w:rsid w:val="00D8045C"/>
    <w:rsid w:val="00D80758"/>
    <w:rsid w:val="00D807AA"/>
    <w:rsid w:val="00D807DC"/>
    <w:rsid w:val="00D80C85"/>
    <w:rsid w:val="00D80F70"/>
    <w:rsid w:val="00D8115E"/>
    <w:rsid w:val="00D81247"/>
    <w:rsid w:val="00D813E5"/>
    <w:rsid w:val="00D81448"/>
    <w:rsid w:val="00D81664"/>
    <w:rsid w:val="00D817F8"/>
    <w:rsid w:val="00D81903"/>
    <w:rsid w:val="00D819D9"/>
    <w:rsid w:val="00D81C4F"/>
    <w:rsid w:val="00D81DF1"/>
    <w:rsid w:val="00D8208B"/>
    <w:rsid w:val="00D82267"/>
    <w:rsid w:val="00D8255F"/>
    <w:rsid w:val="00D825EF"/>
    <w:rsid w:val="00D82939"/>
    <w:rsid w:val="00D82BAA"/>
    <w:rsid w:val="00D82FF9"/>
    <w:rsid w:val="00D83254"/>
    <w:rsid w:val="00D83353"/>
    <w:rsid w:val="00D833E9"/>
    <w:rsid w:val="00D833ED"/>
    <w:rsid w:val="00D836E6"/>
    <w:rsid w:val="00D837B7"/>
    <w:rsid w:val="00D8381A"/>
    <w:rsid w:val="00D83B07"/>
    <w:rsid w:val="00D83EAD"/>
    <w:rsid w:val="00D83F9E"/>
    <w:rsid w:val="00D84363"/>
    <w:rsid w:val="00D84410"/>
    <w:rsid w:val="00D84891"/>
    <w:rsid w:val="00D84C82"/>
    <w:rsid w:val="00D8526F"/>
    <w:rsid w:val="00D85437"/>
    <w:rsid w:val="00D85551"/>
    <w:rsid w:val="00D856CC"/>
    <w:rsid w:val="00D85733"/>
    <w:rsid w:val="00D858E3"/>
    <w:rsid w:val="00D85DF8"/>
    <w:rsid w:val="00D86046"/>
    <w:rsid w:val="00D863D3"/>
    <w:rsid w:val="00D8654A"/>
    <w:rsid w:val="00D86673"/>
    <w:rsid w:val="00D869AD"/>
    <w:rsid w:val="00D86BD4"/>
    <w:rsid w:val="00D86DB7"/>
    <w:rsid w:val="00D86E54"/>
    <w:rsid w:val="00D87342"/>
    <w:rsid w:val="00D874F0"/>
    <w:rsid w:val="00D87797"/>
    <w:rsid w:val="00D87957"/>
    <w:rsid w:val="00D87F9F"/>
    <w:rsid w:val="00D9014E"/>
    <w:rsid w:val="00D90313"/>
    <w:rsid w:val="00D909A2"/>
    <w:rsid w:val="00D90AE9"/>
    <w:rsid w:val="00D90F73"/>
    <w:rsid w:val="00D916F2"/>
    <w:rsid w:val="00D918B9"/>
    <w:rsid w:val="00D91A39"/>
    <w:rsid w:val="00D91AD2"/>
    <w:rsid w:val="00D91C85"/>
    <w:rsid w:val="00D92018"/>
    <w:rsid w:val="00D9210C"/>
    <w:rsid w:val="00D921B6"/>
    <w:rsid w:val="00D9242E"/>
    <w:rsid w:val="00D92560"/>
    <w:rsid w:val="00D927F3"/>
    <w:rsid w:val="00D92831"/>
    <w:rsid w:val="00D929AD"/>
    <w:rsid w:val="00D92ABE"/>
    <w:rsid w:val="00D92B72"/>
    <w:rsid w:val="00D92D5D"/>
    <w:rsid w:val="00D9317A"/>
    <w:rsid w:val="00D93207"/>
    <w:rsid w:val="00D93216"/>
    <w:rsid w:val="00D9379D"/>
    <w:rsid w:val="00D93901"/>
    <w:rsid w:val="00D93B22"/>
    <w:rsid w:val="00D93EA1"/>
    <w:rsid w:val="00D941BC"/>
    <w:rsid w:val="00D9442F"/>
    <w:rsid w:val="00D9496C"/>
    <w:rsid w:val="00D94AAF"/>
    <w:rsid w:val="00D94AD0"/>
    <w:rsid w:val="00D94F2C"/>
    <w:rsid w:val="00D94FB8"/>
    <w:rsid w:val="00D95563"/>
    <w:rsid w:val="00D958AD"/>
    <w:rsid w:val="00D95A9E"/>
    <w:rsid w:val="00D96011"/>
    <w:rsid w:val="00D96016"/>
    <w:rsid w:val="00D96303"/>
    <w:rsid w:val="00D9648C"/>
    <w:rsid w:val="00D96855"/>
    <w:rsid w:val="00D96952"/>
    <w:rsid w:val="00D9698A"/>
    <w:rsid w:val="00D96AAC"/>
    <w:rsid w:val="00D97165"/>
    <w:rsid w:val="00D97345"/>
    <w:rsid w:val="00D973C2"/>
    <w:rsid w:val="00D97498"/>
    <w:rsid w:val="00D975CA"/>
    <w:rsid w:val="00D97711"/>
    <w:rsid w:val="00D9772A"/>
    <w:rsid w:val="00D97D1F"/>
    <w:rsid w:val="00D97D8F"/>
    <w:rsid w:val="00D97E26"/>
    <w:rsid w:val="00D97F2B"/>
    <w:rsid w:val="00DA01C9"/>
    <w:rsid w:val="00DA0291"/>
    <w:rsid w:val="00DA029E"/>
    <w:rsid w:val="00DA060E"/>
    <w:rsid w:val="00DA076E"/>
    <w:rsid w:val="00DA078B"/>
    <w:rsid w:val="00DA08A4"/>
    <w:rsid w:val="00DA0974"/>
    <w:rsid w:val="00DA0A3A"/>
    <w:rsid w:val="00DA0AE6"/>
    <w:rsid w:val="00DA0B09"/>
    <w:rsid w:val="00DA0C71"/>
    <w:rsid w:val="00DA0CE1"/>
    <w:rsid w:val="00DA0EED"/>
    <w:rsid w:val="00DA10BC"/>
    <w:rsid w:val="00DA115A"/>
    <w:rsid w:val="00DA120A"/>
    <w:rsid w:val="00DA137B"/>
    <w:rsid w:val="00DA13C1"/>
    <w:rsid w:val="00DA14F0"/>
    <w:rsid w:val="00DA167F"/>
    <w:rsid w:val="00DA1BB7"/>
    <w:rsid w:val="00DA1F10"/>
    <w:rsid w:val="00DA1F18"/>
    <w:rsid w:val="00DA2080"/>
    <w:rsid w:val="00DA25E2"/>
    <w:rsid w:val="00DA2BF5"/>
    <w:rsid w:val="00DA2C11"/>
    <w:rsid w:val="00DA2DD8"/>
    <w:rsid w:val="00DA3015"/>
    <w:rsid w:val="00DA3027"/>
    <w:rsid w:val="00DA3049"/>
    <w:rsid w:val="00DA3051"/>
    <w:rsid w:val="00DA30C2"/>
    <w:rsid w:val="00DA330F"/>
    <w:rsid w:val="00DA33A9"/>
    <w:rsid w:val="00DA33E8"/>
    <w:rsid w:val="00DA3475"/>
    <w:rsid w:val="00DA35AA"/>
    <w:rsid w:val="00DA3F45"/>
    <w:rsid w:val="00DA4455"/>
    <w:rsid w:val="00DA48C8"/>
    <w:rsid w:val="00DA4B74"/>
    <w:rsid w:val="00DA4D7E"/>
    <w:rsid w:val="00DA4D87"/>
    <w:rsid w:val="00DA57E2"/>
    <w:rsid w:val="00DA5803"/>
    <w:rsid w:val="00DA5B42"/>
    <w:rsid w:val="00DA5B62"/>
    <w:rsid w:val="00DA5D5F"/>
    <w:rsid w:val="00DA5EC3"/>
    <w:rsid w:val="00DA68A1"/>
    <w:rsid w:val="00DA6D06"/>
    <w:rsid w:val="00DA6E37"/>
    <w:rsid w:val="00DA6E7B"/>
    <w:rsid w:val="00DA6FB0"/>
    <w:rsid w:val="00DA7634"/>
    <w:rsid w:val="00DA7ACD"/>
    <w:rsid w:val="00DA7C21"/>
    <w:rsid w:val="00DA7CA0"/>
    <w:rsid w:val="00DB03C8"/>
    <w:rsid w:val="00DB059B"/>
    <w:rsid w:val="00DB059F"/>
    <w:rsid w:val="00DB0629"/>
    <w:rsid w:val="00DB06EF"/>
    <w:rsid w:val="00DB07EC"/>
    <w:rsid w:val="00DB08A9"/>
    <w:rsid w:val="00DB0A18"/>
    <w:rsid w:val="00DB0B8E"/>
    <w:rsid w:val="00DB132B"/>
    <w:rsid w:val="00DB193E"/>
    <w:rsid w:val="00DB1B99"/>
    <w:rsid w:val="00DB1C1B"/>
    <w:rsid w:val="00DB1D52"/>
    <w:rsid w:val="00DB1F69"/>
    <w:rsid w:val="00DB2158"/>
    <w:rsid w:val="00DB2165"/>
    <w:rsid w:val="00DB21BA"/>
    <w:rsid w:val="00DB221D"/>
    <w:rsid w:val="00DB2244"/>
    <w:rsid w:val="00DB26C6"/>
    <w:rsid w:val="00DB285B"/>
    <w:rsid w:val="00DB2EF9"/>
    <w:rsid w:val="00DB2F35"/>
    <w:rsid w:val="00DB30C0"/>
    <w:rsid w:val="00DB3150"/>
    <w:rsid w:val="00DB31AA"/>
    <w:rsid w:val="00DB330D"/>
    <w:rsid w:val="00DB34A2"/>
    <w:rsid w:val="00DB3715"/>
    <w:rsid w:val="00DB37B4"/>
    <w:rsid w:val="00DB37BA"/>
    <w:rsid w:val="00DB3AC1"/>
    <w:rsid w:val="00DB3C75"/>
    <w:rsid w:val="00DB3D17"/>
    <w:rsid w:val="00DB3E62"/>
    <w:rsid w:val="00DB3F87"/>
    <w:rsid w:val="00DB3FF4"/>
    <w:rsid w:val="00DB442E"/>
    <w:rsid w:val="00DB4919"/>
    <w:rsid w:val="00DB4A0B"/>
    <w:rsid w:val="00DB4AD9"/>
    <w:rsid w:val="00DB4B86"/>
    <w:rsid w:val="00DB4DB9"/>
    <w:rsid w:val="00DB52AC"/>
    <w:rsid w:val="00DB57E6"/>
    <w:rsid w:val="00DB59BA"/>
    <w:rsid w:val="00DB59CD"/>
    <w:rsid w:val="00DB5B6C"/>
    <w:rsid w:val="00DB60AB"/>
    <w:rsid w:val="00DB6277"/>
    <w:rsid w:val="00DB62B3"/>
    <w:rsid w:val="00DB6752"/>
    <w:rsid w:val="00DB6BC4"/>
    <w:rsid w:val="00DB6C9D"/>
    <w:rsid w:val="00DB6EC8"/>
    <w:rsid w:val="00DB70C0"/>
    <w:rsid w:val="00DB73C5"/>
    <w:rsid w:val="00DB7540"/>
    <w:rsid w:val="00DB79E4"/>
    <w:rsid w:val="00DB7A58"/>
    <w:rsid w:val="00DB7E50"/>
    <w:rsid w:val="00DB7F64"/>
    <w:rsid w:val="00DC0083"/>
    <w:rsid w:val="00DC0130"/>
    <w:rsid w:val="00DC025E"/>
    <w:rsid w:val="00DC04FC"/>
    <w:rsid w:val="00DC07A3"/>
    <w:rsid w:val="00DC0842"/>
    <w:rsid w:val="00DC0D60"/>
    <w:rsid w:val="00DC0F48"/>
    <w:rsid w:val="00DC10DE"/>
    <w:rsid w:val="00DC10F8"/>
    <w:rsid w:val="00DC1285"/>
    <w:rsid w:val="00DC130A"/>
    <w:rsid w:val="00DC1360"/>
    <w:rsid w:val="00DC136E"/>
    <w:rsid w:val="00DC1553"/>
    <w:rsid w:val="00DC1718"/>
    <w:rsid w:val="00DC1AEC"/>
    <w:rsid w:val="00DC1B41"/>
    <w:rsid w:val="00DC1BB1"/>
    <w:rsid w:val="00DC24A2"/>
    <w:rsid w:val="00DC28F2"/>
    <w:rsid w:val="00DC2950"/>
    <w:rsid w:val="00DC3212"/>
    <w:rsid w:val="00DC35D3"/>
    <w:rsid w:val="00DC3F48"/>
    <w:rsid w:val="00DC45DF"/>
    <w:rsid w:val="00DC4782"/>
    <w:rsid w:val="00DC4827"/>
    <w:rsid w:val="00DC4A38"/>
    <w:rsid w:val="00DC4D9E"/>
    <w:rsid w:val="00DC4DC3"/>
    <w:rsid w:val="00DC4DE3"/>
    <w:rsid w:val="00DC5174"/>
    <w:rsid w:val="00DC55C1"/>
    <w:rsid w:val="00DC564A"/>
    <w:rsid w:val="00DC5C12"/>
    <w:rsid w:val="00DC5E13"/>
    <w:rsid w:val="00DC5F63"/>
    <w:rsid w:val="00DC5FCA"/>
    <w:rsid w:val="00DC61A8"/>
    <w:rsid w:val="00DC657C"/>
    <w:rsid w:val="00DC65C7"/>
    <w:rsid w:val="00DC65F1"/>
    <w:rsid w:val="00DC668E"/>
    <w:rsid w:val="00DC6739"/>
    <w:rsid w:val="00DC687F"/>
    <w:rsid w:val="00DC6AEB"/>
    <w:rsid w:val="00DC6AFE"/>
    <w:rsid w:val="00DC720C"/>
    <w:rsid w:val="00DC73C9"/>
    <w:rsid w:val="00DC7AC9"/>
    <w:rsid w:val="00DC7E90"/>
    <w:rsid w:val="00DC7F80"/>
    <w:rsid w:val="00DD02EF"/>
    <w:rsid w:val="00DD0374"/>
    <w:rsid w:val="00DD0861"/>
    <w:rsid w:val="00DD0C8D"/>
    <w:rsid w:val="00DD0DF8"/>
    <w:rsid w:val="00DD0EC2"/>
    <w:rsid w:val="00DD0FE1"/>
    <w:rsid w:val="00DD12BC"/>
    <w:rsid w:val="00DD1645"/>
    <w:rsid w:val="00DD16D2"/>
    <w:rsid w:val="00DD171E"/>
    <w:rsid w:val="00DD18D1"/>
    <w:rsid w:val="00DD198D"/>
    <w:rsid w:val="00DD1AE7"/>
    <w:rsid w:val="00DD1B65"/>
    <w:rsid w:val="00DD1BEB"/>
    <w:rsid w:val="00DD2136"/>
    <w:rsid w:val="00DD23F5"/>
    <w:rsid w:val="00DD2435"/>
    <w:rsid w:val="00DD249E"/>
    <w:rsid w:val="00DD24EC"/>
    <w:rsid w:val="00DD29CA"/>
    <w:rsid w:val="00DD2A20"/>
    <w:rsid w:val="00DD2BE7"/>
    <w:rsid w:val="00DD2D9D"/>
    <w:rsid w:val="00DD2E9C"/>
    <w:rsid w:val="00DD303C"/>
    <w:rsid w:val="00DD304F"/>
    <w:rsid w:val="00DD3280"/>
    <w:rsid w:val="00DD3592"/>
    <w:rsid w:val="00DD3F0F"/>
    <w:rsid w:val="00DD3F78"/>
    <w:rsid w:val="00DD413A"/>
    <w:rsid w:val="00DD4207"/>
    <w:rsid w:val="00DD4459"/>
    <w:rsid w:val="00DD48EB"/>
    <w:rsid w:val="00DD4A94"/>
    <w:rsid w:val="00DD4C3C"/>
    <w:rsid w:val="00DD4EED"/>
    <w:rsid w:val="00DD4F0D"/>
    <w:rsid w:val="00DD52A1"/>
    <w:rsid w:val="00DD55D3"/>
    <w:rsid w:val="00DD58F8"/>
    <w:rsid w:val="00DD592E"/>
    <w:rsid w:val="00DD5BFB"/>
    <w:rsid w:val="00DD5C3A"/>
    <w:rsid w:val="00DD60BE"/>
    <w:rsid w:val="00DD6253"/>
    <w:rsid w:val="00DD640C"/>
    <w:rsid w:val="00DD655B"/>
    <w:rsid w:val="00DD6846"/>
    <w:rsid w:val="00DD68BC"/>
    <w:rsid w:val="00DD69C6"/>
    <w:rsid w:val="00DD69E0"/>
    <w:rsid w:val="00DD6D56"/>
    <w:rsid w:val="00DD6ED1"/>
    <w:rsid w:val="00DD6FD5"/>
    <w:rsid w:val="00DD7285"/>
    <w:rsid w:val="00DD7300"/>
    <w:rsid w:val="00DD78D5"/>
    <w:rsid w:val="00DD7A06"/>
    <w:rsid w:val="00DD7C07"/>
    <w:rsid w:val="00DD7EAB"/>
    <w:rsid w:val="00DE0506"/>
    <w:rsid w:val="00DE05CA"/>
    <w:rsid w:val="00DE0B8D"/>
    <w:rsid w:val="00DE0D14"/>
    <w:rsid w:val="00DE0D5D"/>
    <w:rsid w:val="00DE1066"/>
    <w:rsid w:val="00DE1086"/>
    <w:rsid w:val="00DE12B8"/>
    <w:rsid w:val="00DE13E6"/>
    <w:rsid w:val="00DE146B"/>
    <w:rsid w:val="00DE16E4"/>
    <w:rsid w:val="00DE1823"/>
    <w:rsid w:val="00DE1921"/>
    <w:rsid w:val="00DE1BC0"/>
    <w:rsid w:val="00DE1F41"/>
    <w:rsid w:val="00DE294C"/>
    <w:rsid w:val="00DE297D"/>
    <w:rsid w:val="00DE2992"/>
    <w:rsid w:val="00DE2A4C"/>
    <w:rsid w:val="00DE3653"/>
    <w:rsid w:val="00DE3787"/>
    <w:rsid w:val="00DE3898"/>
    <w:rsid w:val="00DE38DF"/>
    <w:rsid w:val="00DE39D7"/>
    <w:rsid w:val="00DE3EF2"/>
    <w:rsid w:val="00DE41A8"/>
    <w:rsid w:val="00DE4284"/>
    <w:rsid w:val="00DE4BD2"/>
    <w:rsid w:val="00DE4CA0"/>
    <w:rsid w:val="00DE4CDA"/>
    <w:rsid w:val="00DE4FA5"/>
    <w:rsid w:val="00DE529C"/>
    <w:rsid w:val="00DE5CA3"/>
    <w:rsid w:val="00DE5F3E"/>
    <w:rsid w:val="00DE60BE"/>
    <w:rsid w:val="00DE624E"/>
    <w:rsid w:val="00DE6597"/>
    <w:rsid w:val="00DE686A"/>
    <w:rsid w:val="00DE6BA5"/>
    <w:rsid w:val="00DE6BDB"/>
    <w:rsid w:val="00DE6C6C"/>
    <w:rsid w:val="00DE6D12"/>
    <w:rsid w:val="00DE7065"/>
    <w:rsid w:val="00DE7098"/>
    <w:rsid w:val="00DE753E"/>
    <w:rsid w:val="00DE75A2"/>
    <w:rsid w:val="00DE77B6"/>
    <w:rsid w:val="00DE77D5"/>
    <w:rsid w:val="00DE7EC2"/>
    <w:rsid w:val="00DF0173"/>
    <w:rsid w:val="00DF03FA"/>
    <w:rsid w:val="00DF06CF"/>
    <w:rsid w:val="00DF06F0"/>
    <w:rsid w:val="00DF0830"/>
    <w:rsid w:val="00DF094F"/>
    <w:rsid w:val="00DF0C09"/>
    <w:rsid w:val="00DF16BC"/>
    <w:rsid w:val="00DF175F"/>
    <w:rsid w:val="00DF19C0"/>
    <w:rsid w:val="00DF1FE1"/>
    <w:rsid w:val="00DF22BC"/>
    <w:rsid w:val="00DF24CA"/>
    <w:rsid w:val="00DF269D"/>
    <w:rsid w:val="00DF2801"/>
    <w:rsid w:val="00DF2FFE"/>
    <w:rsid w:val="00DF33D8"/>
    <w:rsid w:val="00DF3568"/>
    <w:rsid w:val="00DF38FB"/>
    <w:rsid w:val="00DF3E0E"/>
    <w:rsid w:val="00DF3E4A"/>
    <w:rsid w:val="00DF3F40"/>
    <w:rsid w:val="00DF4376"/>
    <w:rsid w:val="00DF438C"/>
    <w:rsid w:val="00DF4399"/>
    <w:rsid w:val="00DF4911"/>
    <w:rsid w:val="00DF491D"/>
    <w:rsid w:val="00DF4A5F"/>
    <w:rsid w:val="00DF4E5B"/>
    <w:rsid w:val="00DF4E92"/>
    <w:rsid w:val="00DF4F18"/>
    <w:rsid w:val="00DF4F8F"/>
    <w:rsid w:val="00DF50E1"/>
    <w:rsid w:val="00DF5335"/>
    <w:rsid w:val="00DF55E1"/>
    <w:rsid w:val="00DF56DA"/>
    <w:rsid w:val="00DF57A0"/>
    <w:rsid w:val="00DF5935"/>
    <w:rsid w:val="00DF5B96"/>
    <w:rsid w:val="00DF5BEF"/>
    <w:rsid w:val="00DF6510"/>
    <w:rsid w:val="00DF65FE"/>
    <w:rsid w:val="00DF670B"/>
    <w:rsid w:val="00DF6A63"/>
    <w:rsid w:val="00DF6AF5"/>
    <w:rsid w:val="00DF6D4B"/>
    <w:rsid w:val="00DF71DD"/>
    <w:rsid w:val="00DF725C"/>
    <w:rsid w:val="00DF7287"/>
    <w:rsid w:val="00DF7501"/>
    <w:rsid w:val="00DF77E1"/>
    <w:rsid w:val="00DF7CF6"/>
    <w:rsid w:val="00DF7E01"/>
    <w:rsid w:val="00DF7F23"/>
    <w:rsid w:val="00E001BB"/>
    <w:rsid w:val="00E0029F"/>
    <w:rsid w:val="00E004BD"/>
    <w:rsid w:val="00E006DF"/>
    <w:rsid w:val="00E00941"/>
    <w:rsid w:val="00E00A09"/>
    <w:rsid w:val="00E00D09"/>
    <w:rsid w:val="00E00DD2"/>
    <w:rsid w:val="00E00E72"/>
    <w:rsid w:val="00E01371"/>
    <w:rsid w:val="00E01509"/>
    <w:rsid w:val="00E01602"/>
    <w:rsid w:val="00E0177B"/>
    <w:rsid w:val="00E01936"/>
    <w:rsid w:val="00E019D3"/>
    <w:rsid w:val="00E01A7A"/>
    <w:rsid w:val="00E01AE1"/>
    <w:rsid w:val="00E01DAC"/>
    <w:rsid w:val="00E01FB6"/>
    <w:rsid w:val="00E0212A"/>
    <w:rsid w:val="00E02167"/>
    <w:rsid w:val="00E021DC"/>
    <w:rsid w:val="00E02382"/>
    <w:rsid w:val="00E02603"/>
    <w:rsid w:val="00E029AB"/>
    <w:rsid w:val="00E02A50"/>
    <w:rsid w:val="00E02E24"/>
    <w:rsid w:val="00E03043"/>
    <w:rsid w:val="00E0321A"/>
    <w:rsid w:val="00E032BC"/>
    <w:rsid w:val="00E03DDB"/>
    <w:rsid w:val="00E0438C"/>
    <w:rsid w:val="00E0464B"/>
    <w:rsid w:val="00E046DD"/>
    <w:rsid w:val="00E04750"/>
    <w:rsid w:val="00E0477C"/>
    <w:rsid w:val="00E04A18"/>
    <w:rsid w:val="00E0500C"/>
    <w:rsid w:val="00E05776"/>
    <w:rsid w:val="00E05AA5"/>
    <w:rsid w:val="00E05BE0"/>
    <w:rsid w:val="00E05CD2"/>
    <w:rsid w:val="00E05CF2"/>
    <w:rsid w:val="00E061ED"/>
    <w:rsid w:val="00E063AF"/>
    <w:rsid w:val="00E0644E"/>
    <w:rsid w:val="00E0645E"/>
    <w:rsid w:val="00E06509"/>
    <w:rsid w:val="00E06678"/>
    <w:rsid w:val="00E0667C"/>
    <w:rsid w:val="00E069D4"/>
    <w:rsid w:val="00E069FD"/>
    <w:rsid w:val="00E06A59"/>
    <w:rsid w:val="00E06AA6"/>
    <w:rsid w:val="00E075DA"/>
    <w:rsid w:val="00E0780F"/>
    <w:rsid w:val="00E07905"/>
    <w:rsid w:val="00E079AD"/>
    <w:rsid w:val="00E079B2"/>
    <w:rsid w:val="00E07C6A"/>
    <w:rsid w:val="00E07CA8"/>
    <w:rsid w:val="00E07D93"/>
    <w:rsid w:val="00E07F27"/>
    <w:rsid w:val="00E10006"/>
    <w:rsid w:val="00E1039E"/>
    <w:rsid w:val="00E1084F"/>
    <w:rsid w:val="00E10935"/>
    <w:rsid w:val="00E109CF"/>
    <w:rsid w:val="00E10CBF"/>
    <w:rsid w:val="00E10EB2"/>
    <w:rsid w:val="00E10EFA"/>
    <w:rsid w:val="00E10F4D"/>
    <w:rsid w:val="00E110FA"/>
    <w:rsid w:val="00E111A2"/>
    <w:rsid w:val="00E111AD"/>
    <w:rsid w:val="00E11E5D"/>
    <w:rsid w:val="00E1210A"/>
    <w:rsid w:val="00E121E1"/>
    <w:rsid w:val="00E125BE"/>
    <w:rsid w:val="00E1264F"/>
    <w:rsid w:val="00E126BF"/>
    <w:rsid w:val="00E129D8"/>
    <w:rsid w:val="00E12CD8"/>
    <w:rsid w:val="00E12E02"/>
    <w:rsid w:val="00E13240"/>
    <w:rsid w:val="00E132EB"/>
    <w:rsid w:val="00E13756"/>
    <w:rsid w:val="00E138FE"/>
    <w:rsid w:val="00E13967"/>
    <w:rsid w:val="00E13B02"/>
    <w:rsid w:val="00E13EC0"/>
    <w:rsid w:val="00E13F47"/>
    <w:rsid w:val="00E14152"/>
    <w:rsid w:val="00E14266"/>
    <w:rsid w:val="00E14399"/>
    <w:rsid w:val="00E1464C"/>
    <w:rsid w:val="00E14770"/>
    <w:rsid w:val="00E14861"/>
    <w:rsid w:val="00E14AE5"/>
    <w:rsid w:val="00E15167"/>
    <w:rsid w:val="00E153F0"/>
    <w:rsid w:val="00E157B8"/>
    <w:rsid w:val="00E15A90"/>
    <w:rsid w:val="00E15B7C"/>
    <w:rsid w:val="00E15C36"/>
    <w:rsid w:val="00E15D14"/>
    <w:rsid w:val="00E15E7B"/>
    <w:rsid w:val="00E15F6A"/>
    <w:rsid w:val="00E1607D"/>
    <w:rsid w:val="00E16295"/>
    <w:rsid w:val="00E166DB"/>
    <w:rsid w:val="00E16D61"/>
    <w:rsid w:val="00E17024"/>
    <w:rsid w:val="00E17214"/>
    <w:rsid w:val="00E17288"/>
    <w:rsid w:val="00E1733F"/>
    <w:rsid w:val="00E17541"/>
    <w:rsid w:val="00E1764B"/>
    <w:rsid w:val="00E17B02"/>
    <w:rsid w:val="00E17CDF"/>
    <w:rsid w:val="00E17E65"/>
    <w:rsid w:val="00E17F9B"/>
    <w:rsid w:val="00E2007B"/>
    <w:rsid w:val="00E2044B"/>
    <w:rsid w:val="00E20643"/>
    <w:rsid w:val="00E20BAC"/>
    <w:rsid w:val="00E20CBD"/>
    <w:rsid w:val="00E20D2A"/>
    <w:rsid w:val="00E21390"/>
    <w:rsid w:val="00E2140A"/>
    <w:rsid w:val="00E21552"/>
    <w:rsid w:val="00E215A6"/>
    <w:rsid w:val="00E21831"/>
    <w:rsid w:val="00E21CE0"/>
    <w:rsid w:val="00E21D3E"/>
    <w:rsid w:val="00E21DF7"/>
    <w:rsid w:val="00E21E2A"/>
    <w:rsid w:val="00E2245C"/>
    <w:rsid w:val="00E2270C"/>
    <w:rsid w:val="00E22735"/>
    <w:rsid w:val="00E2287D"/>
    <w:rsid w:val="00E228E5"/>
    <w:rsid w:val="00E228FA"/>
    <w:rsid w:val="00E22F3B"/>
    <w:rsid w:val="00E234BC"/>
    <w:rsid w:val="00E2357A"/>
    <w:rsid w:val="00E236FC"/>
    <w:rsid w:val="00E23701"/>
    <w:rsid w:val="00E2375E"/>
    <w:rsid w:val="00E2389B"/>
    <w:rsid w:val="00E23A66"/>
    <w:rsid w:val="00E23B2E"/>
    <w:rsid w:val="00E23F6D"/>
    <w:rsid w:val="00E24295"/>
    <w:rsid w:val="00E24395"/>
    <w:rsid w:val="00E24410"/>
    <w:rsid w:val="00E244B0"/>
    <w:rsid w:val="00E2455C"/>
    <w:rsid w:val="00E24870"/>
    <w:rsid w:val="00E248A7"/>
    <w:rsid w:val="00E24A42"/>
    <w:rsid w:val="00E24DDB"/>
    <w:rsid w:val="00E24DFE"/>
    <w:rsid w:val="00E24E42"/>
    <w:rsid w:val="00E25049"/>
    <w:rsid w:val="00E25531"/>
    <w:rsid w:val="00E25667"/>
    <w:rsid w:val="00E25739"/>
    <w:rsid w:val="00E258F4"/>
    <w:rsid w:val="00E259B8"/>
    <w:rsid w:val="00E25AB8"/>
    <w:rsid w:val="00E25BE3"/>
    <w:rsid w:val="00E25C09"/>
    <w:rsid w:val="00E25CCD"/>
    <w:rsid w:val="00E25E07"/>
    <w:rsid w:val="00E25E81"/>
    <w:rsid w:val="00E26107"/>
    <w:rsid w:val="00E26159"/>
    <w:rsid w:val="00E261B0"/>
    <w:rsid w:val="00E26214"/>
    <w:rsid w:val="00E262B1"/>
    <w:rsid w:val="00E26301"/>
    <w:rsid w:val="00E263AC"/>
    <w:rsid w:val="00E26408"/>
    <w:rsid w:val="00E264CB"/>
    <w:rsid w:val="00E264EF"/>
    <w:rsid w:val="00E268D7"/>
    <w:rsid w:val="00E26C8D"/>
    <w:rsid w:val="00E26DEF"/>
    <w:rsid w:val="00E273A4"/>
    <w:rsid w:val="00E273B1"/>
    <w:rsid w:val="00E275B7"/>
    <w:rsid w:val="00E27617"/>
    <w:rsid w:val="00E2769B"/>
    <w:rsid w:val="00E2778E"/>
    <w:rsid w:val="00E2792B"/>
    <w:rsid w:val="00E2794C"/>
    <w:rsid w:val="00E27B33"/>
    <w:rsid w:val="00E27B35"/>
    <w:rsid w:val="00E27B76"/>
    <w:rsid w:val="00E27D2B"/>
    <w:rsid w:val="00E27DEC"/>
    <w:rsid w:val="00E27E24"/>
    <w:rsid w:val="00E3007F"/>
    <w:rsid w:val="00E300D8"/>
    <w:rsid w:val="00E301C5"/>
    <w:rsid w:val="00E302A0"/>
    <w:rsid w:val="00E3043D"/>
    <w:rsid w:val="00E30630"/>
    <w:rsid w:val="00E30BC5"/>
    <w:rsid w:val="00E315F7"/>
    <w:rsid w:val="00E31F5C"/>
    <w:rsid w:val="00E32114"/>
    <w:rsid w:val="00E32116"/>
    <w:rsid w:val="00E32394"/>
    <w:rsid w:val="00E328D8"/>
    <w:rsid w:val="00E32A5C"/>
    <w:rsid w:val="00E32D2E"/>
    <w:rsid w:val="00E32FD3"/>
    <w:rsid w:val="00E33379"/>
    <w:rsid w:val="00E333EE"/>
    <w:rsid w:val="00E3388D"/>
    <w:rsid w:val="00E3393D"/>
    <w:rsid w:val="00E33948"/>
    <w:rsid w:val="00E33A8D"/>
    <w:rsid w:val="00E33D49"/>
    <w:rsid w:val="00E33F37"/>
    <w:rsid w:val="00E34165"/>
    <w:rsid w:val="00E34296"/>
    <w:rsid w:val="00E3434E"/>
    <w:rsid w:val="00E34B0E"/>
    <w:rsid w:val="00E34C6B"/>
    <w:rsid w:val="00E35242"/>
    <w:rsid w:val="00E3527B"/>
    <w:rsid w:val="00E35B50"/>
    <w:rsid w:val="00E35D86"/>
    <w:rsid w:val="00E3607B"/>
    <w:rsid w:val="00E3640D"/>
    <w:rsid w:val="00E3642B"/>
    <w:rsid w:val="00E364A9"/>
    <w:rsid w:val="00E36589"/>
    <w:rsid w:val="00E36B09"/>
    <w:rsid w:val="00E37094"/>
    <w:rsid w:val="00E370DE"/>
    <w:rsid w:val="00E374C5"/>
    <w:rsid w:val="00E376AC"/>
    <w:rsid w:val="00E3795C"/>
    <w:rsid w:val="00E37B62"/>
    <w:rsid w:val="00E37D5B"/>
    <w:rsid w:val="00E37E45"/>
    <w:rsid w:val="00E40157"/>
    <w:rsid w:val="00E4039C"/>
    <w:rsid w:val="00E4079D"/>
    <w:rsid w:val="00E40860"/>
    <w:rsid w:val="00E40869"/>
    <w:rsid w:val="00E408B6"/>
    <w:rsid w:val="00E40AF5"/>
    <w:rsid w:val="00E40D6E"/>
    <w:rsid w:val="00E410FE"/>
    <w:rsid w:val="00E411AC"/>
    <w:rsid w:val="00E41228"/>
    <w:rsid w:val="00E4128A"/>
    <w:rsid w:val="00E413FA"/>
    <w:rsid w:val="00E415AB"/>
    <w:rsid w:val="00E41925"/>
    <w:rsid w:val="00E4234D"/>
    <w:rsid w:val="00E4286C"/>
    <w:rsid w:val="00E42D24"/>
    <w:rsid w:val="00E43339"/>
    <w:rsid w:val="00E434DA"/>
    <w:rsid w:val="00E43603"/>
    <w:rsid w:val="00E4379B"/>
    <w:rsid w:val="00E43875"/>
    <w:rsid w:val="00E43B90"/>
    <w:rsid w:val="00E43C46"/>
    <w:rsid w:val="00E43E80"/>
    <w:rsid w:val="00E4410B"/>
    <w:rsid w:val="00E4417E"/>
    <w:rsid w:val="00E447B4"/>
    <w:rsid w:val="00E44CE0"/>
    <w:rsid w:val="00E44D52"/>
    <w:rsid w:val="00E44EA0"/>
    <w:rsid w:val="00E4501F"/>
    <w:rsid w:val="00E451FD"/>
    <w:rsid w:val="00E45214"/>
    <w:rsid w:val="00E45378"/>
    <w:rsid w:val="00E455A7"/>
    <w:rsid w:val="00E456E3"/>
    <w:rsid w:val="00E45708"/>
    <w:rsid w:val="00E45878"/>
    <w:rsid w:val="00E45EE7"/>
    <w:rsid w:val="00E45F63"/>
    <w:rsid w:val="00E45FD9"/>
    <w:rsid w:val="00E461FD"/>
    <w:rsid w:val="00E46241"/>
    <w:rsid w:val="00E463B8"/>
    <w:rsid w:val="00E46477"/>
    <w:rsid w:val="00E46595"/>
    <w:rsid w:val="00E46637"/>
    <w:rsid w:val="00E4668F"/>
    <w:rsid w:val="00E46981"/>
    <w:rsid w:val="00E46D2F"/>
    <w:rsid w:val="00E46E88"/>
    <w:rsid w:val="00E46FC5"/>
    <w:rsid w:val="00E47139"/>
    <w:rsid w:val="00E4733E"/>
    <w:rsid w:val="00E47359"/>
    <w:rsid w:val="00E4740E"/>
    <w:rsid w:val="00E47497"/>
    <w:rsid w:val="00E476C1"/>
    <w:rsid w:val="00E47826"/>
    <w:rsid w:val="00E47C77"/>
    <w:rsid w:val="00E47E7E"/>
    <w:rsid w:val="00E504EF"/>
    <w:rsid w:val="00E50560"/>
    <w:rsid w:val="00E505A1"/>
    <w:rsid w:val="00E505EC"/>
    <w:rsid w:val="00E50806"/>
    <w:rsid w:val="00E50BA4"/>
    <w:rsid w:val="00E50C19"/>
    <w:rsid w:val="00E51139"/>
    <w:rsid w:val="00E511B4"/>
    <w:rsid w:val="00E513AF"/>
    <w:rsid w:val="00E51698"/>
    <w:rsid w:val="00E516E1"/>
    <w:rsid w:val="00E51A2A"/>
    <w:rsid w:val="00E51B7D"/>
    <w:rsid w:val="00E51B90"/>
    <w:rsid w:val="00E51EAF"/>
    <w:rsid w:val="00E52144"/>
    <w:rsid w:val="00E522E7"/>
    <w:rsid w:val="00E52343"/>
    <w:rsid w:val="00E524AD"/>
    <w:rsid w:val="00E524C2"/>
    <w:rsid w:val="00E5252D"/>
    <w:rsid w:val="00E526C5"/>
    <w:rsid w:val="00E5278B"/>
    <w:rsid w:val="00E5282B"/>
    <w:rsid w:val="00E52C84"/>
    <w:rsid w:val="00E52E28"/>
    <w:rsid w:val="00E52FE2"/>
    <w:rsid w:val="00E53028"/>
    <w:rsid w:val="00E5337D"/>
    <w:rsid w:val="00E5344F"/>
    <w:rsid w:val="00E53AF1"/>
    <w:rsid w:val="00E53EA1"/>
    <w:rsid w:val="00E54209"/>
    <w:rsid w:val="00E5437F"/>
    <w:rsid w:val="00E543F2"/>
    <w:rsid w:val="00E54496"/>
    <w:rsid w:val="00E54531"/>
    <w:rsid w:val="00E54791"/>
    <w:rsid w:val="00E54879"/>
    <w:rsid w:val="00E54A8F"/>
    <w:rsid w:val="00E54EEF"/>
    <w:rsid w:val="00E5514F"/>
    <w:rsid w:val="00E552B5"/>
    <w:rsid w:val="00E55624"/>
    <w:rsid w:val="00E55787"/>
    <w:rsid w:val="00E558C3"/>
    <w:rsid w:val="00E55905"/>
    <w:rsid w:val="00E55ACB"/>
    <w:rsid w:val="00E55B76"/>
    <w:rsid w:val="00E55CE1"/>
    <w:rsid w:val="00E56578"/>
    <w:rsid w:val="00E5672F"/>
    <w:rsid w:val="00E5683F"/>
    <w:rsid w:val="00E569E1"/>
    <w:rsid w:val="00E56A85"/>
    <w:rsid w:val="00E56B64"/>
    <w:rsid w:val="00E56C08"/>
    <w:rsid w:val="00E56CF9"/>
    <w:rsid w:val="00E56CFD"/>
    <w:rsid w:val="00E573EF"/>
    <w:rsid w:val="00E5759D"/>
    <w:rsid w:val="00E57E38"/>
    <w:rsid w:val="00E57E5C"/>
    <w:rsid w:val="00E57F31"/>
    <w:rsid w:val="00E60078"/>
    <w:rsid w:val="00E6039A"/>
    <w:rsid w:val="00E60E45"/>
    <w:rsid w:val="00E60F58"/>
    <w:rsid w:val="00E61005"/>
    <w:rsid w:val="00E61435"/>
    <w:rsid w:val="00E61530"/>
    <w:rsid w:val="00E61676"/>
    <w:rsid w:val="00E618CB"/>
    <w:rsid w:val="00E61B9C"/>
    <w:rsid w:val="00E61E26"/>
    <w:rsid w:val="00E6201B"/>
    <w:rsid w:val="00E622C4"/>
    <w:rsid w:val="00E62383"/>
    <w:rsid w:val="00E6270A"/>
    <w:rsid w:val="00E628BB"/>
    <w:rsid w:val="00E62E8F"/>
    <w:rsid w:val="00E62F08"/>
    <w:rsid w:val="00E6317E"/>
    <w:rsid w:val="00E632D6"/>
    <w:rsid w:val="00E634C2"/>
    <w:rsid w:val="00E639E9"/>
    <w:rsid w:val="00E63AE0"/>
    <w:rsid w:val="00E63B84"/>
    <w:rsid w:val="00E63E16"/>
    <w:rsid w:val="00E63EE5"/>
    <w:rsid w:val="00E63F3C"/>
    <w:rsid w:val="00E64024"/>
    <w:rsid w:val="00E641F1"/>
    <w:rsid w:val="00E643FE"/>
    <w:rsid w:val="00E6450D"/>
    <w:rsid w:val="00E64552"/>
    <w:rsid w:val="00E647EB"/>
    <w:rsid w:val="00E64BE4"/>
    <w:rsid w:val="00E64EF2"/>
    <w:rsid w:val="00E64F28"/>
    <w:rsid w:val="00E6514A"/>
    <w:rsid w:val="00E6544C"/>
    <w:rsid w:val="00E6559A"/>
    <w:rsid w:val="00E6563A"/>
    <w:rsid w:val="00E6585D"/>
    <w:rsid w:val="00E65B46"/>
    <w:rsid w:val="00E65F80"/>
    <w:rsid w:val="00E6602D"/>
    <w:rsid w:val="00E66AD1"/>
    <w:rsid w:val="00E66CEF"/>
    <w:rsid w:val="00E66DD9"/>
    <w:rsid w:val="00E6714F"/>
    <w:rsid w:val="00E673A4"/>
    <w:rsid w:val="00E6759C"/>
    <w:rsid w:val="00E67748"/>
    <w:rsid w:val="00E6795E"/>
    <w:rsid w:val="00E67983"/>
    <w:rsid w:val="00E67FD9"/>
    <w:rsid w:val="00E701EE"/>
    <w:rsid w:val="00E703F1"/>
    <w:rsid w:val="00E705CB"/>
    <w:rsid w:val="00E70778"/>
    <w:rsid w:val="00E709DF"/>
    <w:rsid w:val="00E70A0C"/>
    <w:rsid w:val="00E70EE2"/>
    <w:rsid w:val="00E710FC"/>
    <w:rsid w:val="00E71157"/>
    <w:rsid w:val="00E71184"/>
    <w:rsid w:val="00E71249"/>
    <w:rsid w:val="00E71319"/>
    <w:rsid w:val="00E7138D"/>
    <w:rsid w:val="00E715E2"/>
    <w:rsid w:val="00E716C1"/>
    <w:rsid w:val="00E71845"/>
    <w:rsid w:val="00E7195F"/>
    <w:rsid w:val="00E71DB6"/>
    <w:rsid w:val="00E71F6F"/>
    <w:rsid w:val="00E71F87"/>
    <w:rsid w:val="00E72017"/>
    <w:rsid w:val="00E723B9"/>
    <w:rsid w:val="00E724EA"/>
    <w:rsid w:val="00E72870"/>
    <w:rsid w:val="00E729A3"/>
    <w:rsid w:val="00E72A12"/>
    <w:rsid w:val="00E72B35"/>
    <w:rsid w:val="00E72E6E"/>
    <w:rsid w:val="00E730B4"/>
    <w:rsid w:val="00E73311"/>
    <w:rsid w:val="00E736E7"/>
    <w:rsid w:val="00E73861"/>
    <w:rsid w:val="00E73E50"/>
    <w:rsid w:val="00E73E6F"/>
    <w:rsid w:val="00E74393"/>
    <w:rsid w:val="00E74AF8"/>
    <w:rsid w:val="00E74B14"/>
    <w:rsid w:val="00E74C73"/>
    <w:rsid w:val="00E74E29"/>
    <w:rsid w:val="00E74E90"/>
    <w:rsid w:val="00E7526E"/>
    <w:rsid w:val="00E755FA"/>
    <w:rsid w:val="00E75A4D"/>
    <w:rsid w:val="00E75B73"/>
    <w:rsid w:val="00E75C64"/>
    <w:rsid w:val="00E7618A"/>
    <w:rsid w:val="00E761DC"/>
    <w:rsid w:val="00E76401"/>
    <w:rsid w:val="00E764E6"/>
    <w:rsid w:val="00E765DF"/>
    <w:rsid w:val="00E765FE"/>
    <w:rsid w:val="00E7684C"/>
    <w:rsid w:val="00E769F5"/>
    <w:rsid w:val="00E76AD6"/>
    <w:rsid w:val="00E76E7C"/>
    <w:rsid w:val="00E76FC6"/>
    <w:rsid w:val="00E775E2"/>
    <w:rsid w:val="00E778ED"/>
    <w:rsid w:val="00E7796F"/>
    <w:rsid w:val="00E77BE2"/>
    <w:rsid w:val="00E77BF7"/>
    <w:rsid w:val="00E77EC5"/>
    <w:rsid w:val="00E80196"/>
    <w:rsid w:val="00E8023C"/>
    <w:rsid w:val="00E803EC"/>
    <w:rsid w:val="00E80491"/>
    <w:rsid w:val="00E80596"/>
    <w:rsid w:val="00E806E7"/>
    <w:rsid w:val="00E809F8"/>
    <w:rsid w:val="00E80E84"/>
    <w:rsid w:val="00E81176"/>
    <w:rsid w:val="00E811AD"/>
    <w:rsid w:val="00E8144A"/>
    <w:rsid w:val="00E81CB4"/>
    <w:rsid w:val="00E81D1E"/>
    <w:rsid w:val="00E81F8A"/>
    <w:rsid w:val="00E82115"/>
    <w:rsid w:val="00E82273"/>
    <w:rsid w:val="00E82BDF"/>
    <w:rsid w:val="00E82C0E"/>
    <w:rsid w:val="00E82C36"/>
    <w:rsid w:val="00E82D9A"/>
    <w:rsid w:val="00E82DDD"/>
    <w:rsid w:val="00E82F31"/>
    <w:rsid w:val="00E830FE"/>
    <w:rsid w:val="00E8320C"/>
    <w:rsid w:val="00E832FF"/>
    <w:rsid w:val="00E83382"/>
    <w:rsid w:val="00E8353B"/>
    <w:rsid w:val="00E83650"/>
    <w:rsid w:val="00E83940"/>
    <w:rsid w:val="00E83C89"/>
    <w:rsid w:val="00E83D09"/>
    <w:rsid w:val="00E83F56"/>
    <w:rsid w:val="00E840C7"/>
    <w:rsid w:val="00E8446B"/>
    <w:rsid w:val="00E84520"/>
    <w:rsid w:val="00E84A73"/>
    <w:rsid w:val="00E84AAF"/>
    <w:rsid w:val="00E84E23"/>
    <w:rsid w:val="00E84EB3"/>
    <w:rsid w:val="00E852D5"/>
    <w:rsid w:val="00E85300"/>
    <w:rsid w:val="00E8539B"/>
    <w:rsid w:val="00E85653"/>
    <w:rsid w:val="00E85664"/>
    <w:rsid w:val="00E85670"/>
    <w:rsid w:val="00E85988"/>
    <w:rsid w:val="00E85DE1"/>
    <w:rsid w:val="00E861C3"/>
    <w:rsid w:val="00E86724"/>
    <w:rsid w:val="00E8676F"/>
    <w:rsid w:val="00E8682A"/>
    <w:rsid w:val="00E868CA"/>
    <w:rsid w:val="00E86E2F"/>
    <w:rsid w:val="00E86F23"/>
    <w:rsid w:val="00E86F4E"/>
    <w:rsid w:val="00E87010"/>
    <w:rsid w:val="00E8703F"/>
    <w:rsid w:val="00E8719D"/>
    <w:rsid w:val="00E8723A"/>
    <w:rsid w:val="00E872D4"/>
    <w:rsid w:val="00E873D0"/>
    <w:rsid w:val="00E8754E"/>
    <w:rsid w:val="00E8758F"/>
    <w:rsid w:val="00E875A5"/>
    <w:rsid w:val="00E8796B"/>
    <w:rsid w:val="00E87A78"/>
    <w:rsid w:val="00E87D40"/>
    <w:rsid w:val="00E87E7B"/>
    <w:rsid w:val="00E87EA9"/>
    <w:rsid w:val="00E87F1F"/>
    <w:rsid w:val="00E87F76"/>
    <w:rsid w:val="00E901E1"/>
    <w:rsid w:val="00E9028B"/>
    <w:rsid w:val="00E902C7"/>
    <w:rsid w:val="00E906ED"/>
    <w:rsid w:val="00E90833"/>
    <w:rsid w:val="00E90E9B"/>
    <w:rsid w:val="00E90EAB"/>
    <w:rsid w:val="00E90FE4"/>
    <w:rsid w:val="00E9105F"/>
    <w:rsid w:val="00E9127C"/>
    <w:rsid w:val="00E912B7"/>
    <w:rsid w:val="00E91651"/>
    <w:rsid w:val="00E91B78"/>
    <w:rsid w:val="00E91C07"/>
    <w:rsid w:val="00E91E84"/>
    <w:rsid w:val="00E91F49"/>
    <w:rsid w:val="00E92097"/>
    <w:rsid w:val="00E920CD"/>
    <w:rsid w:val="00E921BE"/>
    <w:rsid w:val="00E921E7"/>
    <w:rsid w:val="00E921F3"/>
    <w:rsid w:val="00E923C8"/>
    <w:rsid w:val="00E927BB"/>
    <w:rsid w:val="00E92D0F"/>
    <w:rsid w:val="00E92DBD"/>
    <w:rsid w:val="00E92DDD"/>
    <w:rsid w:val="00E931BC"/>
    <w:rsid w:val="00E93753"/>
    <w:rsid w:val="00E93895"/>
    <w:rsid w:val="00E9396F"/>
    <w:rsid w:val="00E93FCB"/>
    <w:rsid w:val="00E94386"/>
    <w:rsid w:val="00E946E5"/>
    <w:rsid w:val="00E948AE"/>
    <w:rsid w:val="00E94DF5"/>
    <w:rsid w:val="00E94F85"/>
    <w:rsid w:val="00E94FBC"/>
    <w:rsid w:val="00E954C0"/>
    <w:rsid w:val="00E957BD"/>
    <w:rsid w:val="00E957E1"/>
    <w:rsid w:val="00E958CE"/>
    <w:rsid w:val="00E95980"/>
    <w:rsid w:val="00E95AFD"/>
    <w:rsid w:val="00E95BB6"/>
    <w:rsid w:val="00E95C50"/>
    <w:rsid w:val="00E95DFA"/>
    <w:rsid w:val="00E95F38"/>
    <w:rsid w:val="00E95F61"/>
    <w:rsid w:val="00E95FC3"/>
    <w:rsid w:val="00E96040"/>
    <w:rsid w:val="00E9625D"/>
    <w:rsid w:val="00E962F4"/>
    <w:rsid w:val="00E96535"/>
    <w:rsid w:val="00E966E1"/>
    <w:rsid w:val="00E96705"/>
    <w:rsid w:val="00E967AE"/>
    <w:rsid w:val="00E96DAB"/>
    <w:rsid w:val="00E96EF6"/>
    <w:rsid w:val="00E96F12"/>
    <w:rsid w:val="00E97043"/>
    <w:rsid w:val="00E9728F"/>
    <w:rsid w:val="00E973E1"/>
    <w:rsid w:val="00E97631"/>
    <w:rsid w:val="00E97F8E"/>
    <w:rsid w:val="00EA009A"/>
    <w:rsid w:val="00EA075B"/>
    <w:rsid w:val="00EA07A2"/>
    <w:rsid w:val="00EA097B"/>
    <w:rsid w:val="00EA0BB8"/>
    <w:rsid w:val="00EA0C85"/>
    <w:rsid w:val="00EA0CAE"/>
    <w:rsid w:val="00EA0E6A"/>
    <w:rsid w:val="00EA0EA6"/>
    <w:rsid w:val="00EA0F5C"/>
    <w:rsid w:val="00EA10B0"/>
    <w:rsid w:val="00EA1166"/>
    <w:rsid w:val="00EA1213"/>
    <w:rsid w:val="00EA12E4"/>
    <w:rsid w:val="00EA16AC"/>
    <w:rsid w:val="00EA189F"/>
    <w:rsid w:val="00EA1F9F"/>
    <w:rsid w:val="00EA2059"/>
    <w:rsid w:val="00EA2123"/>
    <w:rsid w:val="00EA218C"/>
    <w:rsid w:val="00EA2598"/>
    <w:rsid w:val="00EA260E"/>
    <w:rsid w:val="00EA2646"/>
    <w:rsid w:val="00EA27DC"/>
    <w:rsid w:val="00EA2851"/>
    <w:rsid w:val="00EA294F"/>
    <w:rsid w:val="00EA2D67"/>
    <w:rsid w:val="00EA2EA5"/>
    <w:rsid w:val="00EA3046"/>
    <w:rsid w:val="00EA31F6"/>
    <w:rsid w:val="00EA3227"/>
    <w:rsid w:val="00EA3352"/>
    <w:rsid w:val="00EA336D"/>
    <w:rsid w:val="00EA3380"/>
    <w:rsid w:val="00EA3440"/>
    <w:rsid w:val="00EA3552"/>
    <w:rsid w:val="00EA37AC"/>
    <w:rsid w:val="00EA3A7B"/>
    <w:rsid w:val="00EA3BAD"/>
    <w:rsid w:val="00EA3BBE"/>
    <w:rsid w:val="00EA404B"/>
    <w:rsid w:val="00EA44EC"/>
    <w:rsid w:val="00EA455F"/>
    <w:rsid w:val="00EA45CA"/>
    <w:rsid w:val="00EA476B"/>
    <w:rsid w:val="00EA4A01"/>
    <w:rsid w:val="00EA4C48"/>
    <w:rsid w:val="00EA4D63"/>
    <w:rsid w:val="00EA4D9A"/>
    <w:rsid w:val="00EA5200"/>
    <w:rsid w:val="00EA5477"/>
    <w:rsid w:val="00EA581A"/>
    <w:rsid w:val="00EA5946"/>
    <w:rsid w:val="00EA5AEE"/>
    <w:rsid w:val="00EA5B95"/>
    <w:rsid w:val="00EA5D47"/>
    <w:rsid w:val="00EA5FD0"/>
    <w:rsid w:val="00EA6048"/>
    <w:rsid w:val="00EA627D"/>
    <w:rsid w:val="00EA6482"/>
    <w:rsid w:val="00EA65A8"/>
    <w:rsid w:val="00EA6973"/>
    <w:rsid w:val="00EA6B2E"/>
    <w:rsid w:val="00EA6CC9"/>
    <w:rsid w:val="00EA6D57"/>
    <w:rsid w:val="00EA6EFB"/>
    <w:rsid w:val="00EA7140"/>
    <w:rsid w:val="00EA7166"/>
    <w:rsid w:val="00EA717A"/>
    <w:rsid w:val="00EA72D0"/>
    <w:rsid w:val="00EA76BD"/>
    <w:rsid w:val="00EA7E04"/>
    <w:rsid w:val="00EA7F7E"/>
    <w:rsid w:val="00EA7FDE"/>
    <w:rsid w:val="00EB0059"/>
    <w:rsid w:val="00EB0469"/>
    <w:rsid w:val="00EB077F"/>
    <w:rsid w:val="00EB0E6F"/>
    <w:rsid w:val="00EB129F"/>
    <w:rsid w:val="00EB15B8"/>
    <w:rsid w:val="00EB1F70"/>
    <w:rsid w:val="00EB2093"/>
    <w:rsid w:val="00EB2783"/>
    <w:rsid w:val="00EB2C14"/>
    <w:rsid w:val="00EB2F28"/>
    <w:rsid w:val="00EB3392"/>
    <w:rsid w:val="00EB348B"/>
    <w:rsid w:val="00EB34E9"/>
    <w:rsid w:val="00EB3681"/>
    <w:rsid w:val="00EB413E"/>
    <w:rsid w:val="00EB4220"/>
    <w:rsid w:val="00EB4AC1"/>
    <w:rsid w:val="00EB4B41"/>
    <w:rsid w:val="00EB520D"/>
    <w:rsid w:val="00EB5600"/>
    <w:rsid w:val="00EB5609"/>
    <w:rsid w:val="00EB5A61"/>
    <w:rsid w:val="00EB5B3B"/>
    <w:rsid w:val="00EB5C53"/>
    <w:rsid w:val="00EB5C9E"/>
    <w:rsid w:val="00EB5F2D"/>
    <w:rsid w:val="00EB6035"/>
    <w:rsid w:val="00EB64EA"/>
    <w:rsid w:val="00EB6561"/>
    <w:rsid w:val="00EB6C14"/>
    <w:rsid w:val="00EB6F33"/>
    <w:rsid w:val="00EB757A"/>
    <w:rsid w:val="00EB78F1"/>
    <w:rsid w:val="00EB7972"/>
    <w:rsid w:val="00EB7DD6"/>
    <w:rsid w:val="00EB7F54"/>
    <w:rsid w:val="00EC037F"/>
    <w:rsid w:val="00EC03FC"/>
    <w:rsid w:val="00EC0639"/>
    <w:rsid w:val="00EC068B"/>
    <w:rsid w:val="00EC0AF4"/>
    <w:rsid w:val="00EC0C0E"/>
    <w:rsid w:val="00EC0DE4"/>
    <w:rsid w:val="00EC11C5"/>
    <w:rsid w:val="00EC15A2"/>
    <w:rsid w:val="00EC16A6"/>
    <w:rsid w:val="00EC1EE3"/>
    <w:rsid w:val="00EC20D0"/>
    <w:rsid w:val="00EC23BB"/>
    <w:rsid w:val="00EC2605"/>
    <w:rsid w:val="00EC2670"/>
    <w:rsid w:val="00EC26C7"/>
    <w:rsid w:val="00EC26E5"/>
    <w:rsid w:val="00EC28CA"/>
    <w:rsid w:val="00EC28CB"/>
    <w:rsid w:val="00EC29EC"/>
    <w:rsid w:val="00EC2D22"/>
    <w:rsid w:val="00EC3028"/>
    <w:rsid w:val="00EC31F3"/>
    <w:rsid w:val="00EC3266"/>
    <w:rsid w:val="00EC33D6"/>
    <w:rsid w:val="00EC34B2"/>
    <w:rsid w:val="00EC3615"/>
    <w:rsid w:val="00EC380E"/>
    <w:rsid w:val="00EC38FB"/>
    <w:rsid w:val="00EC3999"/>
    <w:rsid w:val="00EC3A16"/>
    <w:rsid w:val="00EC3A4D"/>
    <w:rsid w:val="00EC3BFB"/>
    <w:rsid w:val="00EC3C98"/>
    <w:rsid w:val="00EC3FAF"/>
    <w:rsid w:val="00EC40E5"/>
    <w:rsid w:val="00EC410E"/>
    <w:rsid w:val="00EC4184"/>
    <w:rsid w:val="00EC4785"/>
    <w:rsid w:val="00EC49A3"/>
    <w:rsid w:val="00EC4F00"/>
    <w:rsid w:val="00EC51DC"/>
    <w:rsid w:val="00EC5910"/>
    <w:rsid w:val="00EC5B3B"/>
    <w:rsid w:val="00EC5B47"/>
    <w:rsid w:val="00EC5D4E"/>
    <w:rsid w:val="00EC62B1"/>
    <w:rsid w:val="00EC6529"/>
    <w:rsid w:val="00EC6E4C"/>
    <w:rsid w:val="00EC6EA1"/>
    <w:rsid w:val="00EC7362"/>
    <w:rsid w:val="00EC7395"/>
    <w:rsid w:val="00EC748D"/>
    <w:rsid w:val="00EC7A0F"/>
    <w:rsid w:val="00EC7A3F"/>
    <w:rsid w:val="00EC7C89"/>
    <w:rsid w:val="00EC7D52"/>
    <w:rsid w:val="00EC7E85"/>
    <w:rsid w:val="00EC7F26"/>
    <w:rsid w:val="00EC7F4E"/>
    <w:rsid w:val="00EC7F96"/>
    <w:rsid w:val="00ED01A8"/>
    <w:rsid w:val="00ED02F6"/>
    <w:rsid w:val="00ED0425"/>
    <w:rsid w:val="00ED0694"/>
    <w:rsid w:val="00ED06F5"/>
    <w:rsid w:val="00ED0850"/>
    <w:rsid w:val="00ED0956"/>
    <w:rsid w:val="00ED104C"/>
    <w:rsid w:val="00ED110B"/>
    <w:rsid w:val="00ED1469"/>
    <w:rsid w:val="00ED164E"/>
    <w:rsid w:val="00ED18C1"/>
    <w:rsid w:val="00ED1B19"/>
    <w:rsid w:val="00ED1B25"/>
    <w:rsid w:val="00ED1CC6"/>
    <w:rsid w:val="00ED1D41"/>
    <w:rsid w:val="00ED1DB0"/>
    <w:rsid w:val="00ED1E17"/>
    <w:rsid w:val="00ED2415"/>
    <w:rsid w:val="00ED2493"/>
    <w:rsid w:val="00ED2532"/>
    <w:rsid w:val="00ED2780"/>
    <w:rsid w:val="00ED290D"/>
    <w:rsid w:val="00ED2CA0"/>
    <w:rsid w:val="00ED2D10"/>
    <w:rsid w:val="00ED3120"/>
    <w:rsid w:val="00ED3136"/>
    <w:rsid w:val="00ED341D"/>
    <w:rsid w:val="00ED35CC"/>
    <w:rsid w:val="00ED3820"/>
    <w:rsid w:val="00ED393D"/>
    <w:rsid w:val="00ED3998"/>
    <w:rsid w:val="00ED3FE3"/>
    <w:rsid w:val="00ED423B"/>
    <w:rsid w:val="00ED425E"/>
    <w:rsid w:val="00ED4347"/>
    <w:rsid w:val="00ED4C89"/>
    <w:rsid w:val="00ED55D3"/>
    <w:rsid w:val="00ED5B5E"/>
    <w:rsid w:val="00ED5C34"/>
    <w:rsid w:val="00ED5CE0"/>
    <w:rsid w:val="00ED5FCB"/>
    <w:rsid w:val="00ED6142"/>
    <w:rsid w:val="00ED639A"/>
    <w:rsid w:val="00ED63F4"/>
    <w:rsid w:val="00ED646E"/>
    <w:rsid w:val="00ED659C"/>
    <w:rsid w:val="00ED6790"/>
    <w:rsid w:val="00ED68CA"/>
    <w:rsid w:val="00ED6A5B"/>
    <w:rsid w:val="00ED6E7F"/>
    <w:rsid w:val="00ED70FB"/>
    <w:rsid w:val="00ED73A2"/>
    <w:rsid w:val="00ED73E5"/>
    <w:rsid w:val="00ED7457"/>
    <w:rsid w:val="00ED75BA"/>
    <w:rsid w:val="00ED75DF"/>
    <w:rsid w:val="00ED7614"/>
    <w:rsid w:val="00ED762B"/>
    <w:rsid w:val="00ED76D9"/>
    <w:rsid w:val="00ED7706"/>
    <w:rsid w:val="00ED7AA7"/>
    <w:rsid w:val="00EE0020"/>
    <w:rsid w:val="00EE008C"/>
    <w:rsid w:val="00EE046D"/>
    <w:rsid w:val="00EE074E"/>
    <w:rsid w:val="00EE0AED"/>
    <w:rsid w:val="00EE0C5B"/>
    <w:rsid w:val="00EE0CC3"/>
    <w:rsid w:val="00EE0D06"/>
    <w:rsid w:val="00EE0E57"/>
    <w:rsid w:val="00EE1164"/>
    <w:rsid w:val="00EE12A8"/>
    <w:rsid w:val="00EE133D"/>
    <w:rsid w:val="00EE1379"/>
    <w:rsid w:val="00EE14EE"/>
    <w:rsid w:val="00EE1F92"/>
    <w:rsid w:val="00EE1FA1"/>
    <w:rsid w:val="00EE244E"/>
    <w:rsid w:val="00EE25EE"/>
    <w:rsid w:val="00EE27D0"/>
    <w:rsid w:val="00EE359A"/>
    <w:rsid w:val="00EE3B27"/>
    <w:rsid w:val="00EE3FC6"/>
    <w:rsid w:val="00EE4025"/>
    <w:rsid w:val="00EE40CA"/>
    <w:rsid w:val="00EE4204"/>
    <w:rsid w:val="00EE440B"/>
    <w:rsid w:val="00EE4635"/>
    <w:rsid w:val="00EE484A"/>
    <w:rsid w:val="00EE4B06"/>
    <w:rsid w:val="00EE4EBC"/>
    <w:rsid w:val="00EE5343"/>
    <w:rsid w:val="00EE53B6"/>
    <w:rsid w:val="00EE54B3"/>
    <w:rsid w:val="00EE591A"/>
    <w:rsid w:val="00EE6543"/>
    <w:rsid w:val="00EE676F"/>
    <w:rsid w:val="00EE6867"/>
    <w:rsid w:val="00EE6BCB"/>
    <w:rsid w:val="00EE711D"/>
    <w:rsid w:val="00EE7237"/>
    <w:rsid w:val="00EE741F"/>
    <w:rsid w:val="00EE7549"/>
    <w:rsid w:val="00EE7626"/>
    <w:rsid w:val="00EE7658"/>
    <w:rsid w:val="00EE777B"/>
    <w:rsid w:val="00EE7A24"/>
    <w:rsid w:val="00EE7F12"/>
    <w:rsid w:val="00EE7FD5"/>
    <w:rsid w:val="00EF005E"/>
    <w:rsid w:val="00EF010E"/>
    <w:rsid w:val="00EF071E"/>
    <w:rsid w:val="00EF073D"/>
    <w:rsid w:val="00EF0942"/>
    <w:rsid w:val="00EF1215"/>
    <w:rsid w:val="00EF14C4"/>
    <w:rsid w:val="00EF15F0"/>
    <w:rsid w:val="00EF1CD9"/>
    <w:rsid w:val="00EF1CE1"/>
    <w:rsid w:val="00EF1F4A"/>
    <w:rsid w:val="00EF20EB"/>
    <w:rsid w:val="00EF233D"/>
    <w:rsid w:val="00EF24DE"/>
    <w:rsid w:val="00EF2577"/>
    <w:rsid w:val="00EF2659"/>
    <w:rsid w:val="00EF268E"/>
    <w:rsid w:val="00EF2696"/>
    <w:rsid w:val="00EF2704"/>
    <w:rsid w:val="00EF2790"/>
    <w:rsid w:val="00EF2917"/>
    <w:rsid w:val="00EF2B14"/>
    <w:rsid w:val="00EF2C80"/>
    <w:rsid w:val="00EF2C9D"/>
    <w:rsid w:val="00EF2CC0"/>
    <w:rsid w:val="00EF2E24"/>
    <w:rsid w:val="00EF3690"/>
    <w:rsid w:val="00EF3A0D"/>
    <w:rsid w:val="00EF3DEE"/>
    <w:rsid w:val="00EF3E96"/>
    <w:rsid w:val="00EF40F3"/>
    <w:rsid w:val="00EF4849"/>
    <w:rsid w:val="00EF4B69"/>
    <w:rsid w:val="00EF4C06"/>
    <w:rsid w:val="00EF4C26"/>
    <w:rsid w:val="00EF4CD7"/>
    <w:rsid w:val="00EF4CF5"/>
    <w:rsid w:val="00EF4ED1"/>
    <w:rsid w:val="00EF5091"/>
    <w:rsid w:val="00EF5148"/>
    <w:rsid w:val="00EF532A"/>
    <w:rsid w:val="00EF53B4"/>
    <w:rsid w:val="00EF5425"/>
    <w:rsid w:val="00EF5A03"/>
    <w:rsid w:val="00EF5A48"/>
    <w:rsid w:val="00EF5E77"/>
    <w:rsid w:val="00EF603E"/>
    <w:rsid w:val="00EF628F"/>
    <w:rsid w:val="00EF6331"/>
    <w:rsid w:val="00EF64E8"/>
    <w:rsid w:val="00EF65D2"/>
    <w:rsid w:val="00EF666B"/>
    <w:rsid w:val="00EF6979"/>
    <w:rsid w:val="00EF6B20"/>
    <w:rsid w:val="00EF6C0E"/>
    <w:rsid w:val="00EF6E00"/>
    <w:rsid w:val="00EF6EB6"/>
    <w:rsid w:val="00EF70ED"/>
    <w:rsid w:val="00EF7301"/>
    <w:rsid w:val="00EF7736"/>
    <w:rsid w:val="00EF7B16"/>
    <w:rsid w:val="00EF7B83"/>
    <w:rsid w:val="00F00016"/>
    <w:rsid w:val="00F00478"/>
    <w:rsid w:val="00F00B0D"/>
    <w:rsid w:val="00F00C10"/>
    <w:rsid w:val="00F00E13"/>
    <w:rsid w:val="00F00EAD"/>
    <w:rsid w:val="00F01174"/>
    <w:rsid w:val="00F012E8"/>
    <w:rsid w:val="00F01514"/>
    <w:rsid w:val="00F01629"/>
    <w:rsid w:val="00F01681"/>
    <w:rsid w:val="00F017A0"/>
    <w:rsid w:val="00F017AA"/>
    <w:rsid w:val="00F017ED"/>
    <w:rsid w:val="00F01BF4"/>
    <w:rsid w:val="00F02327"/>
    <w:rsid w:val="00F0242C"/>
    <w:rsid w:val="00F0243D"/>
    <w:rsid w:val="00F024D2"/>
    <w:rsid w:val="00F02582"/>
    <w:rsid w:val="00F026A6"/>
    <w:rsid w:val="00F02868"/>
    <w:rsid w:val="00F028CB"/>
    <w:rsid w:val="00F02CA6"/>
    <w:rsid w:val="00F02CFD"/>
    <w:rsid w:val="00F02DBB"/>
    <w:rsid w:val="00F03322"/>
    <w:rsid w:val="00F0364D"/>
    <w:rsid w:val="00F03766"/>
    <w:rsid w:val="00F037C1"/>
    <w:rsid w:val="00F03816"/>
    <w:rsid w:val="00F03867"/>
    <w:rsid w:val="00F03A1D"/>
    <w:rsid w:val="00F03C12"/>
    <w:rsid w:val="00F03D21"/>
    <w:rsid w:val="00F03E41"/>
    <w:rsid w:val="00F04167"/>
    <w:rsid w:val="00F0424C"/>
    <w:rsid w:val="00F044C9"/>
    <w:rsid w:val="00F04C1C"/>
    <w:rsid w:val="00F04C96"/>
    <w:rsid w:val="00F05441"/>
    <w:rsid w:val="00F05DE6"/>
    <w:rsid w:val="00F05E5D"/>
    <w:rsid w:val="00F05ECF"/>
    <w:rsid w:val="00F05F46"/>
    <w:rsid w:val="00F06008"/>
    <w:rsid w:val="00F0604C"/>
    <w:rsid w:val="00F06400"/>
    <w:rsid w:val="00F06429"/>
    <w:rsid w:val="00F064E4"/>
    <w:rsid w:val="00F066C4"/>
    <w:rsid w:val="00F06A2B"/>
    <w:rsid w:val="00F06A89"/>
    <w:rsid w:val="00F06D0B"/>
    <w:rsid w:val="00F06E42"/>
    <w:rsid w:val="00F07090"/>
    <w:rsid w:val="00F0716A"/>
    <w:rsid w:val="00F0741D"/>
    <w:rsid w:val="00F07444"/>
    <w:rsid w:val="00F07ABD"/>
    <w:rsid w:val="00F07C1B"/>
    <w:rsid w:val="00F07E51"/>
    <w:rsid w:val="00F10244"/>
    <w:rsid w:val="00F105DE"/>
    <w:rsid w:val="00F106D5"/>
    <w:rsid w:val="00F10A0E"/>
    <w:rsid w:val="00F10E9C"/>
    <w:rsid w:val="00F1172C"/>
    <w:rsid w:val="00F117D1"/>
    <w:rsid w:val="00F11CD7"/>
    <w:rsid w:val="00F11FDA"/>
    <w:rsid w:val="00F12081"/>
    <w:rsid w:val="00F12168"/>
    <w:rsid w:val="00F12A5B"/>
    <w:rsid w:val="00F12BCD"/>
    <w:rsid w:val="00F12EAB"/>
    <w:rsid w:val="00F13094"/>
    <w:rsid w:val="00F13385"/>
    <w:rsid w:val="00F138D2"/>
    <w:rsid w:val="00F13B7B"/>
    <w:rsid w:val="00F13D88"/>
    <w:rsid w:val="00F13E81"/>
    <w:rsid w:val="00F14071"/>
    <w:rsid w:val="00F142B4"/>
    <w:rsid w:val="00F145DB"/>
    <w:rsid w:val="00F147F3"/>
    <w:rsid w:val="00F14BA3"/>
    <w:rsid w:val="00F14BE3"/>
    <w:rsid w:val="00F14C75"/>
    <w:rsid w:val="00F14F50"/>
    <w:rsid w:val="00F14F7D"/>
    <w:rsid w:val="00F1504D"/>
    <w:rsid w:val="00F150C2"/>
    <w:rsid w:val="00F15147"/>
    <w:rsid w:val="00F15434"/>
    <w:rsid w:val="00F154E5"/>
    <w:rsid w:val="00F155A7"/>
    <w:rsid w:val="00F1572E"/>
    <w:rsid w:val="00F15927"/>
    <w:rsid w:val="00F15970"/>
    <w:rsid w:val="00F1599F"/>
    <w:rsid w:val="00F159AA"/>
    <w:rsid w:val="00F15B7B"/>
    <w:rsid w:val="00F15B90"/>
    <w:rsid w:val="00F15D53"/>
    <w:rsid w:val="00F166C1"/>
    <w:rsid w:val="00F16C0F"/>
    <w:rsid w:val="00F16D4F"/>
    <w:rsid w:val="00F17081"/>
    <w:rsid w:val="00F171AA"/>
    <w:rsid w:val="00F17635"/>
    <w:rsid w:val="00F17717"/>
    <w:rsid w:val="00F17992"/>
    <w:rsid w:val="00F17A9E"/>
    <w:rsid w:val="00F17AC8"/>
    <w:rsid w:val="00F17C3C"/>
    <w:rsid w:val="00F17CB1"/>
    <w:rsid w:val="00F17ED4"/>
    <w:rsid w:val="00F17F92"/>
    <w:rsid w:val="00F2008F"/>
    <w:rsid w:val="00F20247"/>
    <w:rsid w:val="00F2024E"/>
    <w:rsid w:val="00F207FD"/>
    <w:rsid w:val="00F20A04"/>
    <w:rsid w:val="00F20B27"/>
    <w:rsid w:val="00F20D06"/>
    <w:rsid w:val="00F20D99"/>
    <w:rsid w:val="00F20E1E"/>
    <w:rsid w:val="00F20F1D"/>
    <w:rsid w:val="00F20F79"/>
    <w:rsid w:val="00F2166B"/>
    <w:rsid w:val="00F217BA"/>
    <w:rsid w:val="00F219AB"/>
    <w:rsid w:val="00F21A1F"/>
    <w:rsid w:val="00F21ADD"/>
    <w:rsid w:val="00F21C3C"/>
    <w:rsid w:val="00F21DEC"/>
    <w:rsid w:val="00F22050"/>
    <w:rsid w:val="00F2207D"/>
    <w:rsid w:val="00F22083"/>
    <w:rsid w:val="00F221FA"/>
    <w:rsid w:val="00F22454"/>
    <w:rsid w:val="00F224E1"/>
    <w:rsid w:val="00F2257C"/>
    <w:rsid w:val="00F22884"/>
    <w:rsid w:val="00F2289A"/>
    <w:rsid w:val="00F22CD1"/>
    <w:rsid w:val="00F232A8"/>
    <w:rsid w:val="00F23352"/>
    <w:rsid w:val="00F23411"/>
    <w:rsid w:val="00F2342A"/>
    <w:rsid w:val="00F23828"/>
    <w:rsid w:val="00F23B8F"/>
    <w:rsid w:val="00F23BE4"/>
    <w:rsid w:val="00F23FE1"/>
    <w:rsid w:val="00F24187"/>
    <w:rsid w:val="00F245D7"/>
    <w:rsid w:val="00F24962"/>
    <w:rsid w:val="00F24A10"/>
    <w:rsid w:val="00F24AB1"/>
    <w:rsid w:val="00F24B5B"/>
    <w:rsid w:val="00F24C5D"/>
    <w:rsid w:val="00F24F42"/>
    <w:rsid w:val="00F2526F"/>
    <w:rsid w:val="00F2536F"/>
    <w:rsid w:val="00F2556C"/>
    <w:rsid w:val="00F25637"/>
    <w:rsid w:val="00F25A95"/>
    <w:rsid w:val="00F25BD5"/>
    <w:rsid w:val="00F25F36"/>
    <w:rsid w:val="00F26307"/>
    <w:rsid w:val="00F26645"/>
    <w:rsid w:val="00F26763"/>
    <w:rsid w:val="00F2695F"/>
    <w:rsid w:val="00F26A64"/>
    <w:rsid w:val="00F2746B"/>
    <w:rsid w:val="00F27612"/>
    <w:rsid w:val="00F277B2"/>
    <w:rsid w:val="00F27A0D"/>
    <w:rsid w:val="00F27ABA"/>
    <w:rsid w:val="00F27AEB"/>
    <w:rsid w:val="00F27B39"/>
    <w:rsid w:val="00F27BB9"/>
    <w:rsid w:val="00F27C43"/>
    <w:rsid w:val="00F27D99"/>
    <w:rsid w:val="00F27D9F"/>
    <w:rsid w:val="00F27E25"/>
    <w:rsid w:val="00F27FA6"/>
    <w:rsid w:val="00F30237"/>
    <w:rsid w:val="00F308F4"/>
    <w:rsid w:val="00F30A9A"/>
    <w:rsid w:val="00F30C12"/>
    <w:rsid w:val="00F30F4E"/>
    <w:rsid w:val="00F30FFB"/>
    <w:rsid w:val="00F313D8"/>
    <w:rsid w:val="00F3170F"/>
    <w:rsid w:val="00F31802"/>
    <w:rsid w:val="00F31A9D"/>
    <w:rsid w:val="00F32277"/>
    <w:rsid w:val="00F32306"/>
    <w:rsid w:val="00F32698"/>
    <w:rsid w:val="00F3270E"/>
    <w:rsid w:val="00F32852"/>
    <w:rsid w:val="00F3287D"/>
    <w:rsid w:val="00F32C9A"/>
    <w:rsid w:val="00F334B6"/>
    <w:rsid w:val="00F335F0"/>
    <w:rsid w:val="00F33C9E"/>
    <w:rsid w:val="00F33D41"/>
    <w:rsid w:val="00F33D97"/>
    <w:rsid w:val="00F33FDE"/>
    <w:rsid w:val="00F34349"/>
    <w:rsid w:val="00F3473F"/>
    <w:rsid w:val="00F348D1"/>
    <w:rsid w:val="00F348E4"/>
    <w:rsid w:val="00F34949"/>
    <w:rsid w:val="00F34ACC"/>
    <w:rsid w:val="00F34B70"/>
    <w:rsid w:val="00F34CA7"/>
    <w:rsid w:val="00F34D5C"/>
    <w:rsid w:val="00F351C0"/>
    <w:rsid w:val="00F3555A"/>
    <w:rsid w:val="00F356C1"/>
    <w:rsid w:val="00F3580E"/>
    <w:rsid w:val="00F35939"/>
    <w:rsid w:val="00F35D51"/>
    <w:rsid w:val="00F35D60"/>
    <w:rsid w:val="00F35D84"/>
    <w:rsid w:val="00F35E62"/>
    <w:rsid w:val="00F3602E"/>
    <w:rsid w:val="00F36281"/>
    <w:rsid w:val="00F36308"/>
    <w:rsid w:val="00F368F0"/>
    <w:rsid w:val="00F36BA7"/>
    <w:rsid w:val="00F36E02"/>
    <w:rsid w:val="00F36EF6"/>
    <w:rsid w:val="00F3721E"/>
    <w:rsid w:val="00F37369"/>
    <w:rsid w:val="00F37501"/>
    <w:rsid w:val="00F37592"/>
    <w:rsid w:val="00F3762E"/>
    <w:rsid w:val="00F37773"/>
    <w:rsid w:val="00F37D9C"/>
    <w:rsid w:val="00F37F5E"/>
    <w:rsid w:val="00F37FF2"/>
    <w:rsid w:val="00F40025"/>
    <w:rsid w:val="00F4012B"/>
    <w:rsid w:val="00F401AB"/>
    <w:rsid w:val="00F40226"/>
    <w:rsid w:val="00F4027C"/>
    <w:rsid w:val="00F40FD6"/>
    <w:rsid w:val="00F41123"/>
    <w:rsid w:val="00F412E0"/>
    <w:rsid w:val="00F415B6"/>
    <w:rsid w:val="00F41B27"/>
    <w:rsid w:val="00F41BCD"/>
    <w:rsid w:val="00F41C63"/>
    <w:rsid w:val="00F41D61"/>
    <w:rsid w:val="00F41E7F"/>
    <w:rsid w:val="00F41EF4"/>
    <w:rsid w:val="00F41F4A"/>
    <w:rsid w:val="00F4209F"/>
    <w:rsid w:val="00F4215C"/>
    <w:rsid w:val="00F422BA"/>
    <w:rsid w:val="00F42399"/>
    <w:rsid w:val="00F4252C"/>
    <w:rsid w:val="00F427B1"/>
    <w:rsid w:val="00F42892"/>
    <w:rsid w:val="00F42931"/>
    <w:rsid w:val="00F43017"/>
    <w:rsid w:val="00F4309E"/>
    <w:rsid w:val="00F430EB"/>
    <w:rsid w:val="00F43B00"/>
    <w:rsid w:val="00F43D42"/>
    <w:rsid w:val="00F44245"/>
    <w:rsid w:val="00F44261"/>
    <w:rsid w:val="00F44363"/>
    <w:rsid w:val="00F4439F"/>
    <w:rsid w:val="00F44429"/>
    <w:rsid w:val="00F4450F"/>
    <w:rsid w:val="00F4463C"/>
    <w:rsid w:val="00F4485D"/>
    <w:rsid w:val="00F4492F"/>
    <w:rsid w:val="00F44C5E"/>
    <w:rsid w:val="00F44DBA"/>
    <w:rsid w:val="00F44F74"/>
    <w:rsid w:val="00F44FF2"/>
    <w:rsid w:val="00F4522A"/>
    <w:rsid w:val="00F452CF"/>
    <w:rsid w:val="00F456AC"/>
    <w:rsid w:val="00F457EC"/>
    <w:rsid w:val="00F45876"/>
    <w:rsid w:val="00F4597A"/>
    <w:rsid w:val="00F45D78"/>
    <w:rsid w:val="00F45E63"/>
    <w:rsid w:val="00F45EF0"/>
    <w:rsid w:val="00F465E4"/>
    <w:rsid w:val="00F467B7"/>
    <w:rsid w:val="00F469D8"/>
    <w:rsid w:val="00F46D19"/>
    <w:rsid w:val="00F46D9B"/>
    <w:rsid w:val="00F470FA"/>
    <w:rsid w:val="00F47182"/>
    <w:rsid w:val="00F4749F"/>
    <w:rsid w:val="00F475AD"/>
    <w:rsid w:val="00F479A6"/>
    <w:rsid w:val="00F479AB"/>
    <w:rsid w:val="00F47A3A"/>
    <w:rsid w:val="00F47D48"/>
    <w:rsid w:val="00F47E1D"/>
    <w:rsid w:val="00F500B7"/>
    <w:rsid w:val="00F5011E"/>
    <w:rsid w:val="00F504C8"/>
    <w:rsid w:val="00F50875"/>
    <w:rsid w:val="00F512BA"/>
    <w:rsid w:val="00F51432"/>
    <w:rsid w:val="00F51A61"/>
    <w:rsid w:val="00F51C25"/>
    <w:rsid w:val="00F51C52"/>
    <w:rsid w:val="00F51EA7"/>
    <w:rsid w:val="00F51FE4"/>
    <w:rsid w:val="00F52133"/>
    <w:rsid w:val="00F526C0"/>
    <w:rsid w:val="00F526C6"/>
    <w:rsid w:val="00F527A1"/>
    <w:rsid w:val="00F52A41"/>
    <w:rsid w:val="00F52A76"/>
    <w:rsid w:val="00F52AD2"/>
    <w:rsid w:val="00F52BD0"/>
    <w:rsid w:val="00F52D82"/>
    <w:rsid w:val="00F52F70"/>
    <w:rsid w:val="00F53316"/>
    <w:rsid w:val="00F5365F"/>
    <w:rsid w:val="00F537B0"/>
    <w:rsid w:val="00F5393A"/>
    <w:rsid w:val="00F53C41"/>
    <w:rsid w:val="00F53CED"/>
    <w:rsid w:val="00F53CF5"/>
    <w:rsid w:val="00F5407F"/>
    <w:rsid w:val="00F5412A"/>
    <w:rsid w:val="00F5416D"/>
    <w:rsid w:val="00F54349"/>
    <w:rsid w:val="00F557BE"/>
    <w:rsid w:val="00F55849"/>
    <w:rsid w:val="00F55990"/>
    <w:rsid w:val="00F55A5D"/>
    <w:rsid w:val="00F55A80"/>
    <w:rsid w:val="00F56229"/>
    <w:rsid w:val="00F5630F"/>
    <w:rsid w:val="00F56331"/>
    <w:rsid w:val="00F5635B"/>
    <w:rsid w:val="00F56942"/>
    <w:rsid w:val="00F56CF5"/>
    <w:rsid w:val="00F57457"/>
    <w:rsid w:val="00F57474"/>
    <w:rsid w:val="00F5786C"/>
    <w:rsid w:val="00F579F5"/>
    <w:rsid w:val="00F60174"/>
    <w:rsid w:val="00F605AD"/>
    <w:rsid w:val="00F60676"/>
    <w:rsid w:val="00F6075E"/>
    <w:rsid w:val="00F60B1F"/>
    <w:rsid w:val="00F60BB4"/>
    <w:rsid w:val="00F60BC8"/>
    <w:rsid w:val="00F60D23"/>
    <w:rsid w:val="00F60D55"/>
    <w:rsid w:val="00F60E1B"/>
    <w:rsid w:val="00F60E8D"/>
    <w:rsid w:val="00F60EB5"/>
    <w:rsid w:val="00F61482"/>
    <w:rsid w:val="00F61562"/>
    <w:rsid w:val="00F6162F"/>
    <w:rsid w:val="00F6168B"/>
    <w:rsid w:val="00F6169A"/>
    <w:rsid w:val="00F617A0"/>
    <w:rsid w:val="00F61B1A"/>
    <w:rsid w:val="00F61B1E"/>
    <w:rsid w:val="00F61CA8"/>
    <w:rsid w:val="00F61EEC"/>
    <w:rsid w:val="00F62190"/>
    <w:rsid w:val="00F6276B"/>
    <w:rsid w:val="00F62ACD"/>
    <w:rsid w:val="00F62BCF"/>
    <w:rsid w:val="00F62BF2"/>
    <w:rsid w:val="00F63596"/>
    <w:rsid w:val="00F6367D"/>
    <w:rsid w:val="00F637E1"/>
    <w:rsid w:val="00F63F6A"/>
    <w:rsid w:val="00F647B9"/>
    <w:rsid w:val="00F64A65"/>
    <w:rsid w:val="00F64F9A"/>
    <w:rsid w:val="00F651E9"/>
    <w:rsid w:val="00F652AC"/>
    <w:rsid w:val="00F655C8"/>
    <w:rsid w:val="00F658FE"/>
    <w:rsid w:val="00F6591D"/>
    <w:rsid w:val="00F659C8"/>
    <w:rsid w:val="00F65AE4"/>
    <w:rsid w:val="00F66170"/>
    <w:rsid w:val="00F664EC"/>
    <w:rsid w:val="00F664FA"/>
    <w:rsid w:val="00F66569"/>
    <w:rsid w:val="00F66D88"/>
    <w:rsid w:val="00F66EBD"/>
    <w:rsid w:val="00F66FD9"/>
    <w:rsid w:val="00F66FE8"/>
    <w:rsid w:val="00F67149"/>
    <w:rsid w:val="00F673EB"/>
    <w:rsid w:val="00F6742F"/>
    <w:rsid w:val="00F67510"/>
    <w:rsid w:val="00F6769C"/>
    <w:rsid w:val="00F6774C"/>
    <w:rsid w:val="00F67BE4"/>
    <w:rsid w:val="00F67CA1"/>
    <w:rsid w:val="00F67E72"/>
    <w:rsid w:val="00F7014D"/>
    <w:rsid w:val="00F7039C"/>
    <w:rsid w:val="00F709A4"/>
    <w:rsid w:val="00F70AB1"/>
    <w:rsid w:val="00F70FDB"/>
    <w:rsid w:val="00F7103B"/>
    <w:rsid w:val="00F71210"/>
    <w:rsid w:val="00F71570"/>
    <w:rsid w:val="00F71691"/>
    <w:rsid w:val="00F7191A"/>
    <w:rsid w:val="00F71FE7"/>
    <w:rsid w:val="00F723D4"/>
    <w:rsid w:val="00F724AC"/>
    <w:rsid w:val="00F72869"/>
    <w:rsid w:val="00F72B80"/>
    <w:rsid w:val="00F72CDC"/>
    <w:rsid w:val="00F730B7"/>
    <w:rsid w:val="00F732C9"/>
    <w:rsid w:val="00F7374F"/>
    <w:rsid w:val="00F7385B"/>
    <w:rsid w:val="00F73A30"/>
    <w:rsid w:val="00F740C0"/>
    <w:rsid w:val="00F742E3"/>
    <w:rsid w:val="00F745DF"/>
    <w:rsid w:val="00F746A5"/>
    <w:rsid w:val="00F746F8"/>
    <w:rsid w:val="00F74B37"/>
    <w:rsid w:val="00F74BDE"/>
    <w:rsid w:val="00F75060"/>
    <w:rsid w:val="00F75797"/>
    <w:rsid w:val="00F757ED"/>
    <w:rsid w:val="00F757F6"/>
    <w:rsid w:val="00F758CA"/>
    <w:rsid w:val="00F759BE"/>
    <w:rsid w:val="00F759C5"/>
    <w:rsid w:val="00F75A28"/>
    <w:rsid w:val="00F75D21"/>
    <w:rsid w:val="00F75DD7"/>
    <w:rsid w:val="00F76178"/>
    <w:rsid w:val="00F7618F"/>
    <w:rsid w:val="00F761F4"/>
    <w:rsid w:val="00F76498"/>
    <w:rsid w:val="00F764FA"/>
    <w:rsid w:val="00F767DE"/>
    <w:rsid w:val="00F769F7"/>
    <w:rsid w:val="00F76C69"/>
    <w:rsid w:val="00F76CB0"/>
    <w:rsid w:val="00F76E44"/>
    <w:rsid w:val="00F76E99"/>
    <w:rsid w:val="00F76EC1"/>
    <w:rsid w:val="00F770D7"/>
    <w:rsid w:val="00F77276"/>
    <w:rsid w:val="00F77438"/>
    <w:rsid w:val="00F776B2"/>
    <w:rsid w:val="00F778C0"/>
    <w:rsid w:val="00F778D6"/>
    <w:rsid w:val="00F7793A"/>
    <w:rsid w:val="00F77D9C"/>
    <w:rsid w:val="00F77E72"/>
    <w:rsid w:val="00F8001F"/>
    <w:rsid w:val="00F800D4"/>
    <w:rsid w:val="00F80427"/>
    <w:rsid w:val="00F80434"/>
    <w:rsid w:val="00F805CF"/>
    <w:rsid w:val="00F805E0"/>
    <w:rsid w:val="00F80C23"/>
    <w:rsid w:val="00F80DFF"/>
    <w:rsid w:val="00F80EF5"/>
    <w:rsid w:val="00F813B5"/>
    <w:rsid w:val="00F81480"/>
    <w:rsid w:val="00F819F1"/>
    <w:rsid w:val="00F81ACB"/>
    <w:rsid w:val="00F81CC8"/>
    <w:rsid w:val="00F81F06"/>
    <w:rsid w:val="00F821CA"/>
    <w:rsid w:val="00F8230B"/>
    <w:rsid w:val="00F824B6"/>
    <w:rsid w:val="00F824CE"/>
    <w:rsid w:val="00F82592"/>
    <w:rsid w:val="00F8269B"/>
    <w:rsid w:val="00F82799"/>
    <w:rsid w:val="00F82949"/>
    <w:rsid w:val="00F82C04"/>
    <w:rsid w:val="00F82DA0"/>
    <w:rsid w:val="00F82E5E"/>
    <w:rsid w:val="00F82ECF"/>
    <w:rsid w:val="00F83202"/>
    <w:rsid w:val="00F832A5"/>
    <w:rsid w:val="00F83496"/>
    <w:rsid w:val="00F8349D"/>
    <w:rsid w:val="00F838A6"/>
    <w:rsid w:val="00F83C06"/>
    <w:rsid w:val="00F83D1E"/>
    <w:rsid w:val="00F83E98"/>
    <w:rsid w:val="00F83EEF"/>
    <w:rsid w:val="00F84314"/>
    <w:rsid w:val="00F8447B"/>
    <w:rsid w:val="00F8486C"/>
    <w:rsid w:val="00F8495F"/>
    <w:rsid w:val="00F84981"/>
    <w:rsid w:val="00F849C1"/>
    <w:rsid w:val="00F85265"/>
    <w:rsid w:val="00F8548B"/>
    <w:rsid w:val="00F85643"/>
    <w:rsid w:val="00F85691"/>
    <w:rsid w:val="00F857DF"/>
    <w:rsid w:val="00F85937"/>
    <w:rsid w:val="00F85F54"/>
    <w:rsid w:val="00F85F8D"/>
    <w:rsid w:val="00F85FBE"/>
    <w:rsid w:val="00F860FA"/>
    <w:rsid w:val="00F86133"/>
    <w:rsid w:val="00F863B6"/>
    <w:rsid w:val="00F863F3"/>
    <w:rsid w:val="00F866C1"/>
    <w:rsid w:val="00F866EE"/>
    <w:rsid w:val="00F86809"/>
    <w:rsid w:val="00F868DF"/>
    <w:rsid w:val="00F8690D"/>
    <w:rsid w:val="00F86B67"/>
    <w:rsid w:val="00F86D53"/>
    <w:rsid w:val="00F86DF6"/>
    <w:rsid w:val="00F86FE1"/>
    <w:rsid w:val="00F87189"/>
    <w:rsid w:val="00F87647"/>
    <w:rsid w:val="00F87698"/>
    <w:rsid w:val="00F87716"/>
    <w:rsid w:val="00F87817"/>
    <w:rsid w:val="00F878B2"/>
    <w:rsid w:val="00F879C5"/>
    <w:rsid w:val="00F87BEC"/>
    <w:rsid w:val="00F903F8"/>
    <w:rsid w:val="00F908B5"/>
    <w:rsid w:val="00F90D56"/>
    <w:rsid w:val="00F90E7A"/>
    <w:rsid w:val="00F91006"/>
    <w:rsid w:val="00F914C3"/>
    <w:rsid w:val="00F914D7"/>
    <w:rsid w:val="00F91651"/>
    <w:rsid w:val="00F91799"/>
    <w:rsid w:val="00F91BD2"/>
    <w:rsid w:val="00F91C21"/>
    <w:rsid w:val="00F91DC6"/>
    <w:rsid w:val="00F91F33"/>
    <w:rsid w:val="00F921B6"/>
    <w:rsid w:val="00F923AE"/>
    <w:rsid w:val="00F92867"/>
    <w:rsid w:val="00F9290C"/>
    <w:rsid w:val="00F9296B"/>
    <w:rsid w:val="00F92C86"/>
    <w:rsid w:val="00F92EE2"/>
    <w:rsid w:val="00F92FDA"/>
    <w:rsid w:val="00F92FF8"/>
    <w:rsid w:val="00F93346"/>
    <w:rsid w:val="00F935CC"/>
    <w:rsid w:val="00F937C3"/>
    <w:rsid w:val="00F937F7"/>
    <w:rsid w:val="00F93B6D"/>
    <w:rsid w:val="00F93C9A"/>
    <w:rsid w:val="00F93E2F"/>
    <w:rsid w:val="00F93E6E"/>
    <w:rsid w:val="00F94038"/>
    <w:rsid w:val="00F941E0"/>
    <w:rsid w:val="00F94287"/>
    <w:rsid w:val="00F94505"/>
    <w:rsid w:val="00F945B7"/>
    <w:rsid w:val="00F946CD"/>
    <w:rsid w:val="00F94789"/>
    <w:rsid w:val="00F947BF"/>
    <w:rsid w:val="00F949FE"/>
    <w:rsid w:val="00F94ABB"/>
    <w:rsid w:val="00F94D4D"/>
    <w:rsid w:val="00F94EBC"/>
    <w:rsid w:val="00F94EEA"/>
    <w:rsid w:val="00F95169"/>
    <w:rsid w:val="00F95329"/>
    <w:rsid w:val="00F9566D"/>
    <w:rsid w:val="00F95ABE"/>
    <w:rsid w:val="00F95C33"/>
    <w:rsid w:val="00F95CC2"/>
    <w:rsid w:val="00F95D50"/>
    <w:rsid w:val="00F95FF9"/>
    <w:rsid w:val="00F96029"/>
    <w:rsid w:val="00F9604F"/>
    <w:rsid w:val="00F963A1"/>
    <w:rsid w:val="00F96489"/>
    <w:rsid w:val="00F964EA"/>
    <w:rsid w:val="00F96978"/>
    <w:rsid w:val="00F969BC"/>
    <w:rsid w:val="00F96AA7"/>
    <w:rsid w:val="00F96CD4"/>
    <w:rsid w:val="00F96E79"/>
    <w:rsid w:val="00F96EA3"/>
    <w:rsid w:val="00F970D7"/>
    <w:rsid w:val="00F971F8"/>
    <w:rsid w:val="00F97404"/>
    <w:rsid w:val="00F97731"/>
    <w:rsid w:val="00F97C05"/>
    <w:rsid w:val="00F97CA5"/>
    <w:rsid w:val="00F97DF9"/>
    <w:rsid w:val="00F97FA8"/>
    <w:rsid w:val="00FA00C5"/>
    <w:rsid w:val="00FA00C7"/>
    <w:rsid w:val="00FA0154"/>
    <w:rsid w:val="00FA0193"/>
    <w:rsid w:val="00FA02AF"/>
    <w:rsid w:val="00FA0352"/>
    <w:rsid w:val="00FA0453"/>
    <w:rsid w:val="00FA06A6"/>
    <w:rsid w:val="00FA0997"/>
    <w:rsid w:val="00FA0A6E"/>
    <w:rsid w:val="00FA0F96"/>
    <w:rsid w:val="00FA110F"/>
    <w:rsid w:val="00FA17C3"/>
    <w:rsid w:val="00FA1A84"/>
    <w:rsid w:val="00FA1B0D"/>
    <w:rsid w:val="00FA1D0E"/>
    <w:rsid w:val="00FA1E96"/>
    <w:rsid w:val="00FA1FDE"/>
    <w:rsid w:val="00FA25AA"/>
    <w:rsid w:val="00FA26EF"/>
    <w:rsid w:val="00FA2723"/>
    <w:rsid w:val="00FA2862"/>
    <w:rsid w:val="00FA29C2"/>
    <w:rsid w:val="00FA2A76"/>
    <w:rsid w:val="00FA31F5"/>
    <w:rsid w:val="00FA33A4"/>
    <w:rsid w:val="00FA3501"/>
    <w:rsid w:val="00FA35AF"/>
    <w:rsid w:val="00FA36A8"/>
    <w:rsid w:val="00FA3756"/>
    <w:rsid w:val="00FA378E"/>
    <w:rsid w:val="00FA3803"/>
    <w:rsid w:val="00FA3843"/>
    <w:rsid w:val="00FA3EE0"/>
    <w:rsid w:val="00FA4064"/>
    <w:rsid w:val="00FA4367"/>
    <w:rsid w:val="00FA454E"/>
    <w:rsid w:val="00FA4691"/>
    <w:rsid w:val="00FA4752"/>
    <w:rsid w:val="00FA496C"/>
    <w:rsid w:val="00FA4BA0"/>
    <w:rsid w:val="00FA5003"/>
    <w:rsid w:val="00FA50F8"/>
    <w:rsid w:val="00FA5498"/>
    <w:rsid w:val="00FA54D1"/>
    <w:rsid w:val="00FA5611"/>
    <w:rsid w:val="00FA56C9"/>
    <w:rsid w:val="00FA57E2"/>
    <w:rsid w:val="00FA5B85"/>
    <w:rsid w:val="00FA5C09"/>
    <w:rsid w:val="00FA5CFF"/>
    <w:rsid w:val="00FA5E7F"/>
    <w:rsid w:val="00FA6023"/>
    <w:rsid w:val="00FA6037"/>
    <w:rsid w:val="00FA609C"/>
    <w:rsid w:val="00FA62A6"/>
    <w:rsid w:val="00FA6704"/>
    <w:rsid w:val="00FA6735"/>
    <w:rsid w:val="00FA6792"/>
    <w:rsid w:val="00FA68D7"/>
    <w:rsid w:val="00FA693D"/>
    <w:rsid w:val="00FA6C11"/>
    <w:rsid w:val="00FA708E"/>
    <w:rsid w:val="00FA740D"/>
    <w:rsid w:val="00FA763E"/>
    <w:rsid w:val="00FA7931"/>
    <w:rsid w:val="00FB0037"/>
    <w:rsid w:val="00FB0069"/>
    <w:rsid w:val="00FB014E"/>
    <w:rsid w:val="00FB02B9"/>
    <w:rsid w:val="00FB063E"/>
    <w:rsid w:val="00FB0739"/>
    <w:rsid w:val="00FB0757"/>
    <w:rsid w:val="00FB0761"/>
    <w:rsid w:val="00FB0BE8"/>
    <w:rsid w:val="00FB0CF2"/>
    <w:rsid w:val="00FB0E77"/>
    <w:rsid w:val="00FB1513"/>
    <w:rsid w:val="00FB1A01"/>
    <w:rsid w:val="00FB1A1D"/>
    <w:rsid w:val="00FB1AD4"/>
    <w:rsid w:val="00FB1B81"/>
    <w:rsid w:val="00FB1C29"/>
    <w:rsid w:val="00FB1F2E"/>
    <w:rsid w:val="00FB2124"/>
    <w:rsid w:val="00FB249A"/>
    <w:rsid w:val="00FB24FC"/>
    <w:rsid w:val="00FB296A"/>
    <w:rsid w:val="00FB299E"/>
    <w:rsid w:val="00FB2BC2"/>
    <w:rsid w:val="00FB2DBC"/>
    <w:rsid w:val="00FB3083"/>
    <w:rsid w:val="00FB3211"/>
    <w:rsid w:val="00FB3423"/>
    <w:rsid w:val="00FB346C"/>
    <w:rsid w:val="00FB364D"/>
    <w:rsid w:val="00FB37A2"/>
    <w:rsid w:val="00FB3C29"/>
    <w:rsid w:val="00FB3E26"/>
    <w:rsid w:val="00FB3F9D"/>
    <w:rsid w:val="00FB4273"/>
    <w:rsid w:val="00FB42E7"/>
    <w:rsid w:val="00FB4491"/>
    <w:rsid w:val="00FB44E7"/>
    <w:rsid w:val="00FB45AD"/>
    <w:rsid w:val="00FB4928"/>
    <w:rsid w:val="00FB4974"/>
    <w:rsid w:val="00FB4C56"/>
    <w:rsid w:val="00FB4CBE"/>
    <w:rsid w:val="00FB5382"/>
    <w:rsid w:val="00FB5583"/>
    <w:rsid w:val="00FB55B3"/>
    <w:rsid w:val="00FB5658"/>
    <w:rsid w:val="00FB5A3D"/>
    <w:rsid w:val="00FB5B16"/>
    <w:rsid w:val="00FB5DA5"/>
    <w:rsid w:val="00FB600E"/>
    <w:rsid w:val="00FB60AE"/>
    <w:rsid w:val="00FB61D3"/>
    <w:rsid w:val="00FB62FB"/>
    <w:rsid w:val="00FB6313"/>
    <w:rsid w:val="00FB6833"/>
    <w:rsid w:val="00FB6AC4"/>
    <w:rsid w:val="00FB6FD0"/>
    <w:rsid w:val="00FB71F9"/>
    <w:rsid w:val="00FB7231"/>
    <w:rsid w:val="00FB75C0"/>
    <w:rsid w:val="00FB7939"/>
    <w:rsid w:val="00FB7950"/>
    <w:rsid w:val="00FB7E35"/>
    <w:rsid w:val="00FC0144"/>
    <w:rsid w:val="00FC01A8"/>
    <w:rsid w:val="00FC0203"/>
    <w:rsid w:val="00FC0B05"/>
    <w:rsid w:val="00FC0BBB"/>
    <w:rsid w:val="00FC10BD"/>
    <w:rsid w:val="00FC10DC"/>
    <w:rsid w:val="00FC183D"/>
    <w:rsid w:val="00FC19B1"/>
    <w:rsid w:val="00FC1A5E"/>
    <w:rsid w:val="00FC1AC2"/>
    <w:rsid w:val="00FC1AD7"/>
    <w:rsid w:val="00FC1C4B"/>
    <w:rsid w:val="00FC1F93"/>
    <w:rsid w:val="00FC2044"/>
    <w:rsid w:val="00FC240E"/>
    <w:rsid w:val="00FC2454"/>
    <w:rsid w:val="00FC2AD4"/>
    <w:rsid w:val="00FC2B2B"/>
    <w:rsid w:val="00FC2E5F"/>
    <w:rsid w:val="00FC2E84"/>
    <w:rsid w:val="00FC2E97"/>
    <w:rsid w:val="00FC3123"/>
    <w:rsid w:val="00FC31CF"/>
    <w:rsid w:val="00FC32D3"/>
    <w:rsid w:val="00FC32DE"/>
    <w:rsid w:val="00FC3375"/>
    <w:rsid w:val="00FC356E"/>
    <w:rsid w:val="00FC3B2A"/>
    <w:rsid w:val="00FC3B6E"/>
    <w:rsid w:val="00FC4353"/>
    <w:rsid w:val="00FC445D"/>
    <w:rsid w:val="00FC4761"/>
    <w:rsid w:val="00FC47E9"/>
    <w:rsid w:val="00FC48B1"/>
    <w:rsid w:val="00FC4BFE"/>
    <w:rsid w:val="00FC4CC1"/>
    <w:rsid w:val="00FC5473"/>
    <w:rsid w:val="00FC5AF7"/>
    <w:rsid w:val="00FC5BAE"/>
    <w:rsid w:val="00FC5D64"/>
    <w:rsid w:val="00FC600D"/>
    <w:rsid w:val="00FC6033"/>
    <w:rsid w:val="00FC63BC"/>
    <w:rsid w:val="00FC6715"/>
    <w:rsid w:val="00FC7515"/>
    <w:rsid w:val="00FC7C1A"/>
    <w:rsid w:val="00FC7C57"/>
    <w:rsid w:val="00FC7E02"/>
    <w:rsid w:val="00FD02CB"/>
    <w:rsid w:val="00FD0305"/>
    <w:rsid w:val="00FD03E5"/>
    <w:rsid w:val="00FD0533"/>
    <w:rsid w:val="00FD06CB"/>
    <w:rsid w:val="00FD13AB"/>
    <w:rsid w:val="00FD147E"/>
    <w:rsid w:val="00FD1A51"/>
    <w:rsid w:val="00FD1BCE"/>
    <w:rsid w:val="00FD1CEB"/>
    <w:rsid w:val="00FD1DC4"/>
    <w:rsid w:val="00FD2092"/>
    <w:rsid w:val="00FD2258"/>
    <w:rsid w:val="00FD236A"/>
    <w:rsid w:val="00FD27B1"/>
    <w:rsid w:val="00FD2848"/>
    <w:rsid w:val="00FD2994"/>
    <w:rsid w:val="00FD2D25"/>
    <w:rsid w:val="00FD2F10"/>
    <w:rsid w:val="00FD324C"/>
    <w:rsid w:val="00FD3270"/>
    <w:rsid w:val="00FD38E8"/>
    <w:rsid w:val="00FD3BBC"/>
    <w:rsid w:val="00FD3C7C"/>
    <w:rsid w:val="00FD3E7B"/>
    <w:rsid w:val="00FD3EAB"/>
    <w:rsid w:val="00FD400A"/>
    <w:rsid w:val="00FD40F6"/>
    <w:rsid w:val="00FD4D93"/>
    <w:rsid w:val="00FD4E4B"/>
    <w:rsid w:val="00FD513E"/>
    <w:rsid w:val="00FD5191"/>
    <w:rsid w:val="00FD5289"/>
    <w:rsid w:val="00FD52DA"/>
    <w:rsid w:val="00FD54FF"/>
    <w:rsid w:val="00FD551D"/>
    <w:rsid w:val="00FD5535"/>
    <w:rsid w:val="00FD55B2"/>
    <w:rsid w:val="00FD568C"/>
    <w:rsid w:val="00FD5CD5"/>
    <w:rsid w:val="00FD5F0C"/>
    <w:rsid w:val="00FD5F2A"/>
    <w:rsid w:val="00FD6355"/>
    <w:rsid w:val="00FD638F"/>
    <w:rsid w:val="00FD63DB"/>
    <w:rsid w:val="00FD65CF"/>
    <w:rsid w:val="00FD65D1"/>
    <w:rsid w:val="00FD6692"/>
    <w:rsid w:val="00FD66A2"/>
    <w:rsid w:val="00FD66D1"/>
    <w:rsid w:val="00FD68E4"/>
    <w:rsid w:val="00FD69B0"/>
    <w:rsid w:val="00FD69E5"/>
    <w:rsid w:val="00FD6A74"/>
    <w:rsid w:val="00FD6B3E"/>
    <w:rsid w:val="00FD6EB9"/>
    <w:rsid w:val="00FD6FC3"/>
    <w:rsid w:val="00FD7151"/>
    <w:rsid w:val="00FD77C4"/>
    <w:rsid w:val="00FD79E9"/>
    <w:rsid w:val="00FD7A07"/>
    <w:rsid w:val="00FD7A68"/>
    <w:rsid w:val="00FD7BA1"/>
    <w:rsid w:val="00FD7BF4"/>
    <w:rsid w:val="00FD7D6D"/>
    <w:rsid w:val="00FD7E9C"/>
    <w:rsid w:val="00FE0163"/>
    <w:rsid w:val="00FE06E7"/>
    <w:rsid w:val="00FE0844"/>
    <w:rsid w:val="00FE085F"/>
    <w:rsid w:val="00FE0A61"/>
    <w:rsid w:val="00FE0A8F"/>
    <w:rsid w:val="00FE0D20"/>
    <w:rsid w:val="00FE10A8"/>
    <w:rsid w:val="00FE1177"/>
    <w:rsid w:val="00FE137F"/>
    <w:rsid w:val="00FE179F"/>
    <w:rsid w:val="00FE1B0C"/>
    <w:rsid w:val="00FE1EB6"/>
    <w:rsid w:val="00FE1EE7"/>
    <w:rsid w:val="00FE1F19"/>
    <w:rsid w:val="00FE26BC"/>
    <w:rsid w:val="00FE26DC"/>
    <w:rsid w:val="00FE270A"/>
    <w:rsid w:val="00FE2B6B"/>
    <w:rsid w:val="00FE2C28"/>
    <w:rsid w:val="00FE2CA6"/>
    <w:rsid w:val="00FE2D9A"/>
    <w:rsid w:val="00FE3272"/>
    <w:rsid w:val="00FE3ABB"/>
    <w:rsid w:val="00FE3C7C"/>
    <w:rsid w:val="00FE3D57"/>
    <w:rsid w:val="00FE3E87"/>
    <w:rsid w:val="00FE3EAD"/>
    <w:rsid w:val="00FE3FED"/>
    <w:rsid w:val="00FE4481"/>
    <w:rsid w:val="00FE4574"/>
    <w:rsid w:val="00FE4698"/>
    <w:rsid w:val="00FE47DF"/>
    <w:rsid w:val="00FE481F"/>
    <w:rsid w:val="00FE4892"/>
    <w:rsid w:val="00FE4932"/>
    <w:rsid w:val="00FE4A3E"/>
    <w:rsid w:val="00FE4B59"/>
    <w:rsid w:val="00FE4E4C"/>
    <w:rsid w:val="00FE4FAE"/>
    <w:rsid w:val="00FE4FD8"/>
    <w:rsid w:val="00FE5399"/>
    <w:rsid w:val="00FE57EC"/>
    <w:rsid w:val="00FE5898"/>
    <w:rsid w:val="00FE5921"/>
    <w:rsid w:val="00FE5BF3"/>
    <w:rsid w:val="00FE5FB3"/>
    <w:rsid w:val="00FE6091"/>
    <w:rsid w:val="00FE6376"/>
    <w:rsid w:val="00FE66C5"/>
    <w:rsid w:val="00FE6BBE"/>
    <w:rsid w:val="00FE6C4A"/>
    <w:rsid w:val="00FE6EEE"/>
    <w:rsid w:val="00FE7159"/>
    <w:rsid w:val="00FE7317"/>
    <w:rsid w:val="00FE7525"/>
    <w:rsid w:val="00FE7BC2"/>
    <w:rsid w:val="00FF038B"/>
    <w:rsid w:val="00FF056B"/>
    <w:rsid w:val="00FF064E"/>
    <w:rsid w:val="00FF0A4C"/>
    <w:rsid w:val="00FF0B94"/>
    <w:rsid w:val="00FF0E8A"/>
    <w:rsid w:val="00FF0EFD"/>
    <w:rsid w:val="00FF1505"/>
    <w:rsid w:val="00FF1634"/>
    <w:rsid w:val="00FF1722"/>
    <w:rsid w:val="00FF17DE"/>
    <w:rsid w:val="00FF1931"/>
    <w:rsid w:val="00FF19B0"/>
    <w:rsid w:val="00FF1A14"/>
    <w:rsid w:val="00FF1FE1"/>
    <w:rsid w:val="00FF2076"/>
    <w:rsid w:val="00FF207D"/>
    <w:rsid w:val="00FF2393"/>
    <w:rsid w:val="00FF2520"/>
    <w:rsid w:val="00FF2668"/>
    <w:rsid w:val="00FF2944"/>
    <w:rsid w:val="00FF2C73"/>
    <w:rsid w:val="00FF2FDD"/>
    <w:rsid w:val="00FF3893"/>
    <w:rsid w:val="00FF3A92"/>
    <w:rsid w:val="00FF3EDB"/>
    <w:rsid w:val="00FF3EFB"/>
    <w:rsid w:val="00FF418D"/>
    <w:rsid w:val="00FF43AB"/>
    <w:rsid w:val="00FF43D9"/>
    <w:rsid w:val="00FF44B9"/>
    <w:rsid w:val="00FF47E1"/>
    <w:rsid w:val="00FF4827"/>
    <w:rsid w:val="00FF494D"/>
    <w:rsid w:val="00FF49BF"/>
    <w:rsid w:val="00FF4A2A"/>
    <w:rsid w:val="00FF4CD8"/>
    <w:rsid w:val="00FF4E9B"/>
    <w:rsid w:val="00FF5065"/>
    <w:rsid w:val="00FF5167"/>
    <w:rsid w:val="00FF51DB"/>
    <w:rsid w:val="00FF53A1"/>
    <w:rsid w:val="00FF5504"/>
    <w:rsid w:val="00FF55B9"/>
    <w:rsid w:val="00FF5982"/>
    <w:rsid w:val="00FF5BC3"/>
    <w:rsid w:val="00FF5C04"/>
    <w:rsid w:val="00FF5C7A"/>
    <w:rsid w:val="00FF5D9F"/>
    <w:rsid w:val="00FF62F5"/>
    <w:rsid w:val="00FF6586"/>
    <w:rsid w:val="00FF66C8"/>
    <w:rsid w:val="00FF673E"/>
    <w:rsid w:val="00FF6861"/>
    <w:rsid w:val="00FF6B94"/>
    <w:rsid w:val="00FF6DF9"/>
    <w:rsid w:val="00FF6E2E"/>
    <w:rsid w:val="00FF72BE"/>
    <w:rsid w:val="00FF73D9"/>
    <w:rsid w:val="00FF7B4E"/>
    <w:rsid w:val="00FF7B64"/>
    <w:rsid w:val="00FF7C47"/>
    <w:rsid w:val="00FF7DE0"/>
    <w:rsid w:val="00FF7E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3777">
      <o:colormru v:ext="edit" colors="#aafcf4,#e5fd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uiPriority="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141"/>
    <w:pPr>
      <w:spacing w:after="240" w:line="240" w:lineRule="atLeast"/>
    </w:pPr>
    <w:rPr>
      <w:color w:val="000000"/>
      <w:sz w:val="21"/>
      <w:szCs w:val="21"/>
      <w:lang w:eastAsia="en-US"/>
    </w:rPr>
  </w:style>
  <w:style w:type="paragraph" w:styleId="Heading1">
    <w:name w:val="heading 1"/>
    <w:basedOn w:val="Normal"/>
    <w:next w:val="BodyText"/>
    <w:link w:val="Heading1Char"/>
    <w:uiPriority w:val="99"/>
    <w:qFormat/>
    <w:rsid w:val="00470945"/>
    <w:pPr>
      <w:keepNext/>
      <w:keepLines/>
      <w:spacing w:after="120" w:line="400" w:lineRule="exact"/>
      <w:outlineLvl w:val="0"/>
    </w:pPr>
    <w:rPr>
      <w:rFonts w:eastAsia="Times New Roman"/>
      <w:bCs/>
      <w:color w:val="00011F"/>
      <w:sz w:val="40"/>
      <w:szCs w:val="28"/>
    </w:rPr>
  </w:style>
  <w:style w:type="paragraph" w:styleId="Heading2">
    <w:name w:val="heading 2"/>
    <w:basedOn w:val="Normal"/>
    <w:next w:val="BodyText"/>
    <w:link w:val="Heading2Char"/>
    <w:uiPriority w:val="99"/>
    <w:qFormat/>
    <w:rsid w:val="00470945"/>
    <w:pPr>
      <w:keepNext/>
      <w:keepLines/>
      <w:spacing w:after="60" w:line="360" w:lineRule="exact"/>
      <w:outlineLvl w:val="1"/>
    </w:pPr>
    <w:rPr>
      <w:rFonts w:eastAsia="Times New Roman"/>
      <w:bCs/>
      <w:color w:val="A2978A"/>
      <w:sz w:val="36"/>
      <w:szCs w:val="26"/>
    </w:rPr>
  </w:style>
  <w:style w:type="paragraph" w:styleId="Heading3">
    <w:name w:val="heading 3"/>
    <w:basedOn w:val="Normal"/>
    <w:next w:val="BodyText"/>
    <w:link w:val="Heading3Char"/>
    <w:uiPriority w:val="99"/>
    <w:qFormat/>
    <w:rsid w:val="00470945"/>
    <w:pPr>
      <w:keepNext/>
      <w:keepLines/>
      <w:spacing w:after="60" w:line="280" w:lineRule="exact"/>
      <w:outlineLvl w:val="2"/>
    </w:pPr>
    <w:rPr>
      <w:rFonts w:eastAsia="Times New Roman"/>
      <w:bCs/>
      <w:color w:val="00011F"/>
      <w:sz w:val="28"/>
    </w:rPr>
  </w:style>
  <w:style w:type="paragraph" w:styleId="Heading4">
    <w:name w:val="heading 4"/>
    <w:basedOn w:val="Normal"/>
    <w:next w:val="BodyText"/>
    <w:link w:val="Heading4Char"/>
    <w:uiPriority w:val="99"/>
    <w:qFormat/>
    <w:rsid w:val="000D7DAE"/>
    <w:pPr>
      <w:keepNext/>
      <w:keepLines/>
      <w:spacing w:after="60" w:line="240" w:lineRule="exact"/>
      <w:outlineLvl w:val="3"/>
    </w:pPr>
    <w:rPr>
      <w:rFonts w:eastAsia="Times New Roman"/>
      <w:bCs/>
      <w:iCs/>
      <w:color w:val="A2978A"/>
      <w:sz w:val="24"/>
    </w:rPr>
  </w:style>
  <w:style w:type="paragraph" w:styleId="Heading5">
    <w:name w:val="heading 5"/>
    <w:basedOn w:val="Normal"/>
    <w:next w:val="BodyText"/>
    <w:link w:val="Heading5Char"/>
    <w:uiPriority w:val="9"/>
    <w:qFormat/>
    <w:rsid w:val="00E50560"/>
    <w:pPr>
      <w:keepNext/>
      <w:keepLines/>
      <w:spacing w:after="60" w:line="210" w:lineRule="exact"/>
      <w:outlineLvl w:val="4"/>
    </w:pPr>
    <w:rPr>
      <w:rFonts w:eastAsia="Times New Roman"/>
      <w:color w:val="00011F"/>
    </w:rPr>
  </w:style>
  <w:style w:type="paragraph" w:styleId="Heading6">
    <w:name w:val="heading 6"/>
    <w:basedOn w:val="Normal"/>
    <w:next w:val="BodyText"/>
    <w:link w:val="Heading6Char"/>
    <w:uiPriority w:val="99"/>
    <w:qFormat/>
    <w:rsid w:val="002C1E97"/>
    <w:pPr>
      <w:keepNext/>
      <w:keepLines/>
      <w:spacing w:after="60"/>
      <w:outlineLvl w:val="5"/>
    </w:pPr>
    <w:rPr>
      <w:rFonts w:eastAsia="Times New Roman"/>
      <w:iCs/>
    </w:rPr>
  </w:style>
  <w:style w:type="paragraph" w:styleId="Heading7">
    <w:name w:val="heading 7"/>
    <w:basedOn w:val="Normal"/>
    <w:next w:val="BodyText"/>
    <w:link w:val="Heading7Char"/>
    <w:uiPriority w:val="99"/>
    <w:qFormat/>
    <w:rsid w:val="002C1E97"/>
    <w:pPr>
      <w:keepNext/>
      <w:keepLines/>
      <w:spacing w:after="60"/>
      <w:outlineLvl w:val="6"/>
    </w:pPr>
    <w:rPr>
      <w:rFonts w:eastAsia="Times New Roman"/>
      <w:iCs/>
    </w:rPr>
  </w:style>
  <w:style w:type="paragraph" w:styleId="Heading8">
    <w:name w:val="heading 8"/>
    <w:basedOn w:val="Normal"/>
    <w:next w:val="BodyText"/>
    <w:link w:val="Heading8Char"/>
    <w:uiPriority w:val="99"/>
    <w:qFormat/>
    <w:rsid w:val="002C1E97"/>
    <w:pPr>
      <w:keepNext/>
      <w:keepLines/>
      <w:spacing w:after="60"/>
      <w:outlineLvl w:val="7"/>
    </w:pPr>
    <w:rPr>
      <w:rFonts w:eastAsia="Times New Roman"/>
      <w:szCs w:val="20"/>
    </w:rPr>
  </w:style>
  <w:style w:type="paragraph" w:styleId="Heading9">
    <w:name w:val="heading 9"/>
    <w:basedOn w:val="Normal"/>
    <w:next w:val="BodyText"/>
    <w:link w:val="Heading9Char"/>
    <w:uiPriority w:val="99"/>
    <w:qFormat/>
    <w:rsid w:val="002C1E97"/>
    <w:pPr>
      <w:keepNext/>
      <w:keepLines/>
      <w:spacing w:after="6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945"/>
    <w:rPr>
      <w:rFonts w:ascii="Arial" w:hAnsi="Arial" w:cs="Times New Roman"/>
      <w:bCs/>
      <w:color w:val="00011F"/>
      <w:sz w:val="28"/>
      <w:szCs w:val="28"/>
    </w:rPr>
  </w:style>
  <w:style w:type="character" w:customStyle="1" w:styleId="Heading2Char">
    <w:name w:val="Heading 2 Char"/>
    <w:basedOn w:val="DefaultParagraphFont"/>
    <w:link w:val="Heading2"/>
    <w:uiPriority w:val="99"/>
    <w:locked/>
    <w:rsid w:val="00470945"/>
    <w:rPr>
      <w:rFonts w:ascii="Arial" w:hAnsi="Arial" w:cs="Times New Roman"/>
      <w:bCs/>
      <w:color w:val="A2978A"/>
      <w:sz w:val="26"/>
      <w:szCs w:val="26"/>
    </w:rPr>
  </w:style>
  <w:style w:type="character" w:customStyle="1" w:styleId="Heading3Char">
    <w:name w:val="Heading 3 Char"/>
    <w:basedOn w:val="DefaultParagraphFont"/>
    <w:link w:val="Heading3"/>
    <w:uiPriority w:val="99"/>
    <w:locked/>
    <w:rsid w:val="00470945"/>
    <w:rPr>
      <w:rFonts w:ascii="Arial" w:hAnsi="Arial" w:cs="Times New Roman"/>
      <w:bCs/>
      <w:color w:val="00011F"/>
      <w:sz w:val="28"/>
    </w:rPr>
  </w:style>
  <w:style w:type="character" w:customStyle="1" w:styleId="Heading4Char">
    <w:name w:val="Heading 4 Char"/>
    <w:basedOn w:val="DefaultParagraphFont"/>
    <w:link w:val="Heading4"/>
    <w:uiPriority w:val="99"/>
    <w:locked/>
    <w:rsid w:val="000D7DAE"/>
    <w:rPr>
      <w:rFonts w:ascii="Arial" w:hAnsi="Arial" w:cs="Times New Roman"/>
      <w:bCs/>
      <w:iCs/>
      <w:color w:val="A2978A"/>
      <w:sz w:val="24"/>
    </w:rPr>
  </w:style>
  <w:style w:type="character" w:customStyle="1" w:styleId="Heading5Char">
    <w:name w:val="Heading 5 Char"/>
    <w:basedOn w:val="DefaultParagraphFont"/>
    <w:link w:val="Heading5"/>
    <w:uiPriority w:val="9"/>
    <w:locked/>
    <w:rsid w:val="002649B9"/>
    <w:rPr>
      <w:rFonts w:ascii="Arial" w:hAnsi="Arial" w:cs="Times New Roman"/>
      <w:color w:val="00011F"/>
    </w:rPr>
  </w:style>
  <w:style w:type="character" w:customStyle="1" w:styleId="Heading6Char">
    <w:name w:val="Heading 6 Char"/>
    <w:basedOn w:val="DefaultParagraphFont"/>
    <w:link w:val="Heading6"/>
    <w:uiPriority w:val="99"/>
    <w:semiHidden/>
    <w:locked/>
    <w:rsid w:val="002649B9"/>
    <w:rPr>
      <w:rFonts w:ascii="Arial" w:hAnsi="Arial" w:cs="Times New Roman"/>
      <w:iCs/>
    </w:rPr>
  </w:style>
  <w:style w:type="character" w:customStyle="1" w:styleId="Heading7Char">
    <w:name w:val="Heading 7 Char"/>
    <w:basedOn w:val="DefaultParagraphFont"/>
    <w:link w:val="Heading7"/>
    <w:uiPriority w:val="99"/>
    <w:semiHidden/>
    <w:locked/>
    <w:rsid w:val="002649B9"/>
    <w:rPr>
      <w:rFonts w:ascii="Arial" w:hAnsi="Arial" w:cs="Times New Roman"/>
      <w:iCs/>
    </w:rPr>
  </w:style>
  <w:style w:type="character" w:customStyle="1" w:styleId="Heading8Char">
    <w:name w:val="Heading 8 Char"/>
    <w:basedOn w:val="DefaultParagraphFont"/>
    <w:link w:val="Heading8"/>
    <w:uiPriority w:val="99"/>
    <w:semiHidden/>
    <w:locked/>
    <w:rsid w:val="002C1E97"/>
    <w:rPr>
      <w:rFonts w:ascii="Arial" w:hAnsi="Arial" w:cs="Times New Roman"/>
      <w:sz w:val="20"/>
      <w:szCs w:val="20"/>
    </w:rPr>
  </w:style>
  <w:style w:type="character" w:customStyle="1" w:styleId="Heading9Char">
    <w:name w:val="Heading 9 Char"/>
    <w:basedOn w:val="DefaultParagraphFont"/>
    <w:link w:val="Heading9"/>
    <w:uiPriority w:val="99"/>
    <w:semiHidden/>
    <w:locked/>
    <w:rsid w:val="002C1E97"/>
    <w:rPr>
      <w:rFonts w:ascii="Arial" w:hAnsi="Arial" w:cs="Times New Roman"/>
      <w:iCs/>
      <w:sz w:val="20"/>
      <w:szCs w:val="20"/>
    </w:rPr>
  </w:style>
  <w:style w:type="paragraph" w:styleId="BodyText">
    <w:name w:val="Body Text"/>
    <w:basedOn w:val="Normal"/>
    <w:link w:val="BodyTextChar"/>
    <w:qFormat/>
    <w:rsid w:val="002C1E97"/>
  </w:style>
  <w:style w:type="character" w:customStyle="1" w:styleId="BodyTextChar">
    <w:name w:val="Body Text Char"/>
    <w:basedOn w:val="DefaultParagraphFont"/>
    <w:link w:val="BodyText"/>
    <w:locked/>
    <w:rsid w:val="00B758C1"/>
    <w:rPr>
      <w:rFonts w:cs="Times New Roman"/>
    </w:rPr>
  </w:style>
  <w:style w:type="paragraph" w:styleId="TOCHeading">
    <w:name w:val="TOC Heading"/>
    <w:basedOn w:val="Heading1"/>
    <w:next w:val="BodyText"/>
    <w:uiPriority w:val="99"/>
    <w:qFormat/>
    <w:rsid w:val="00DD303C"/>
    <w:pPr>
      <w:spacing w:before="480" w:after="0" w:line="276" w:lineRule="auto"/>
      <w:outlineLvl w:val="9"/>
    </w:pPr>
  </w:style>
  <w:style w:type="paragraph" w:styleId="Title">
    <w:name w:val="Title"/>
    <w:basedOn w:val="Normal"/>
    <w:next w:val="Subtitle"/>
    <w:link w:val="TitleChar"/>
    <w:uiPriority w:val="99"/>
    <w:qFormat/>
    <w:rsid w:val="00036AF8"/>
    <w:pPr>
      <w:pageBreakBefore/>
    </w:pPr>
    <w:rPr>
      <w:rFonts w:eastAsia="Times New Roman"/>
      <w:color w:val="00011F"/>
      <w:spacing w:val="5"/>
      <w:kern w:val="28"/>
      <w:sz w:val="72"/>
      <w:szCs w:val="52"/>
    </w:rPr>
  </w:style>
  <w:style w:type="character" w:customStyle="1" w:styleId="TitleChar">
    <w:name w:val="Title Char"/>
    <w:basedOn w:val="DefaultParagraphFont"/>
    <w:link w:val="Title"/>
    <w:uiPriority w:val="99"/>
    <w:locked/>
    <w:rsid w:val="00036AF8"/>
    <w:rPr>
      <w:rFonts w:ascii="Arial" w:hAnsi="Arial" w:cs="Times New Roman"/>
      <w:color w:val="00011F"/>
      <w:spacing w:val="5"/>
      <w:kern w:val="28"/>
      <w:sz w:val="52"/>
      <w:szCs w:val="52"/>
    </w:rPr>
  </w:style>
  <w:style w:type="paragraph" w:styleId="Subtitle">
    <w:name w:val="Subtitle"/>
    <w:basedOn w:val="Normal"/>
    <w:next w:val="BodyText"/>
    <w:link w:val="SubtitleChar"/>
    <w:uiPriority w:val="99"/>
    <w:qFormat/>
    <w:rsid w:val="00036AF8"/>
    <w:pPr>
      <w:numPr>
        <w:ilvl w:val="1"/>
      </w:numPr>
    </w:pPr>
    <w:rPr>
      <w:rFonts w:eastAsia="Times New Roman"/>
      <w:iCs/>
      <w:color w:val="A2978A"/>
      <w:sz w:val="36"/>
      <w:szCs w:val="24"/>
    </w:rPr>
  </w:style>
  <w:style w:type="character" w:customStyle="1" w:styleId="SubtitleChar">
    <w:name w:val="Subtitle Char"/>
    <w:basedOn w:val="DefaultParagraphFont"/>
    <w:link w:val="Subtitle"/>
    <w:uiPriority w:val="99"/>
    <w:locked/>
    <w:rsid w:val="00036AF8"/>
    <w:rPr>
      <w:rFonts w:ascii="Arial" w:hAnsi="Arial" w:cs="Times New Roman"/>
      <w:iCs/>
      <w:color w:val="A2978A"/>
      <w:sz w:val="24"/>
      <w:szCs w:val="24"/>
    </w:rPr>
  </w:style>
  <w:style w:type="paragraph" w:styleId="Caption">
    <w:name w:val="caption"/>
    <w:basedOn w:val="Normal"/>
    <w:next w:val="Normal"/>
    <w:uiPriority w:val="99"/>
    <w:qFormat/>
    <w:rsid w:val="00756FEA"/>
    <w:pPr>
      <w:spacing w:after="0"/>
    </w:pPr>
    <w:rPr>
      <w:b/>
      <w:bCs/>
      <w:sz w:val="18"/>
      <w:szCs w:val="18"/>
    </w:rPr>
  </w:style>
  <w:style w:type="paragraph" w:styleId="BlockText">
    <w:name w:val="Block Text"/>
    <w:basedOn w:val="Normal"/>
    <w:uiPriority w:val="99"/>
    <w:semiHidden/>
    <w:rsid w:val="00756FEA"/>
    <w:pPr>
      <w:pBdr>
        <w:top w:val="single" w:sz="2" w:space="10" w:color="auto"/>
        <w:left w:val="single" w:sz="2" w:space="10" w:color="auto"/>
        <w:bottom w:val="single" w:sz="2" w:space="10" w:color="auto"/>
        <w:right w:val="single" w:sz="2" w:space="10" w:color="auto"/>
      </w:pBdr>
      <w:ind w:left="1152" w:right="1152"/>
    </w:pPr>
    <w:rPr>
      <w:rFonts w:eastAsia="Times New Roman"/>
      <w:i/>
      <w:iCs/>
      <w:sz w:val="22"/>
      <w:szCs w:val="22"/>
    </w:rPr>
  </w:style>
  <w:style w:type="character" w:styleId="IntenseEmphasis">
    <w:name w:val="Intense Emphasis"/>
    <w:basedOn w:val="DefaultParagraphFont"/>
    <w:uiPriority w:val="99"/>
    <w:qFormat/>
    <w:rsid w:val="00756FEA"/>
    <w:rPr>
      <w:rFonts w:cs="Times New Roman"/>
      <w:b/>
      <w:bCs/>
      <w:i/>
      <w:iCs/>
      <w:color w:val="auto"/>
      <w:u w:val="none"/>
    </w:rPr>
  </w:style>
  <w:style w:type="paragraph" w:styleId="IntenseQuote">
    <w:name w:val="Intense Quote"/>
    <w:basedOn w:val="Normal"/>
    <w:next w:val="Normal"/>
    <w:link w:val="IntenseQuoteChar"/>
    <w:uiPriority w:val="99"/>
    <w:qFormat/>
    <w:rsid w:val="00756FEA"/>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99"/>
    <w:semiHidden/>
    <w:locked/>
    <w:rsid w:val="00DD303C"/>
    <w:rPr>
      <w:rFonts w:cs="Times New Roman"/>
      <w:b/>
      <w:bCs/>
      <w:i/>
      <w:iCs/>
      <w:sz w:val="22"/>
      <w:szCs w:val="22"/>
    </w:rPr>
  </w:style>
  <w:style w:type="character" w:styleId="IntenseReference">
    <w:name w:val="Intense Reference"/>
    <w:basedOn w:val="DefaultParagraphFont"/>
    <w:uiPriority w:val="99"/>
    <w:qFormat/>
    <w:rsid w:val="00756FEA"/>
    <w:rPr>
      <w:rFonts w:cs="Times New Roman"/>
      <w:b/>
      <w:bCs/>
      <w:smallCaps/>
      <w:color w:val="auto"/>
      <w:spacing w:val="5"/>
      <w:u w:val="none"/>
    </w:rPr>
  </w:style>
  <w:style w:type="character" w:styleId="SubtleEmphasis">
    <w:name w:val="Subtle Emphasis"/>
    <w:basedOn w:val="DefaultParagraphFont"/>
    <w:uiPriority w:val="99"/>
    <w:qFormat/>
    <w:rsid w:val="00756FEA"/>
    <w:rPr>
      <w:rFonts w:cs="Times New Roman"/>
      <w:i/>
      <w:iCs/>
      <w:color w:val="auto"/>
      <w:u w:val="none"/>
    </w:rPr>
  </w:style>
  <w:style w:type="character" w:styleId="SubtleReference">
    <w:name w:val="Subtle Reference"/>
    <w:basedOn w:val="DefaultParagraphFont"/>
    <w:uiPriority w:val="99"/>
    <w:qFormat/>
    <w:rsid w:val="00756FEA"/>
    <w:rPr>
      <w:rFonts w:cs="Times New Roman"/>
      <w:smallCaps/>
      <w:color w:val="auto"/>
      <w:u w:val="single"/>
    </w:rPr>
  </w:style>
  <w:style w:type="paragraph" w:styleId="ListBullet">
    <w:name w:val="List Bullet"/>
    <w:basedOn w:val="Normal"/>
    <w:uiPriority w:val="99"/>
    <w:rsid w:val="00ED73E5"/>
    <w:pPr>
      <w:numPr>
        <w:numId w:val="1"/>
      </w:numPr>
    </w:pPr>
  </w:style>
  <w:style w:type="paragraph" w:styleId="ListBullet2">
    <w:name w:val="List Bullet 2"/>
    <w:basedOn w:val="Normal"/>
    <w:uiPriority w:val="99"/>
    <w:rsid w:val="00ED73E5"/>
    <w:pPr>
      <w:numPr>
        <w:ilvl w:val="1"/>
        <w:numId w:val="1"/>
      </w:numPr>
    </w:pPr>
  </w:style>
  <w:style w:type="paragraph" w:styleId="ListBullet3">
    <w:name w:val="List Bullet 3"/>
    <w:basedOn w:val="Normal"/>
    <w:uiPriority w:val="99"/>
    <w:rsid w:val="00ED73E5"/>
    <w:pPr>
      <w:numPr>
        <w:ilvl w:val="2"/>
        <w:numId w:val="1"/>
      </w:numPr>
    </w:pPr>
  </w:style>
  <w:style w:type="table" w:styleId="TableGrid">
    <w:name w:val="Table Grid"/>
    <w:basedOn w:val="TableNormal"/>
    <w:uiPriority w:val="59"/>
    <w:rsid w:val="00B635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758C1"/>
    <w:rPr>
      <w:rFonts w:cs="Times New Roman"/>
      <w:b/>
      <w:bCs/>
    </w:rPr>
  </w:style>
  <w:style w:type="paragraph" w:styleId="ListNumber">
    <w:name w:val="List Number"/>
    <w:basedOn w:val="Normal"/>
    <w:uiPriority w:val="99"/>
    <w:rsid w:val="00ED73E5"/>
    <w:pPr>
      <w:numPr>
        <w:numId w:val="2"/>
      </w:numPr>
    </w:pPr>
  </w:style>
  <w:style w:type="paragraph" w:customStyle="1" w:styleId="BodySingle">
    <w:name w:val="Body Single"/>
    <w:basedOn w:val="BodyText"/>
    <w:link w:val="BodySingleChar"/>
    <w:uiPriority w:val="99"/>
    <w:rsid w:val="00B758C1"/>
    <w:pPr>
      <w:spacing w:after="0"/>
    </w:pPr>
  </w:style>
  <w:style w:type="character" w:customStyle="1" w:styleId="BodySingleChar">
    <w:name w:val="Body Single Char"/>
    <w:basedOn w:val="BodyTextChar"/>
    <w:link w:val="BodySingle"/>
    <w:uiPriority w:val="99"/>
    <w:locked/>
    <w:rsid w:val="00B758C1"/>
    <w:rPr>
      <w:rFonts w:cs="Times New Roman"/>
    </w:rPr>
  </w:style>
  <w:style w:type="paragraph" w:styleId="ListParagraph">
    <w:name w:val="List Paragraph"/>
    <w:basedOn w:val="Normal"/>
    <w:link w:val="ListParagraphChar"/>
    <w:uiPriority w:val="34"/>
    <w:qFormat/>
    <w:rsid w:val="0029269A"/>
    <w:pPr>
      <w:ind w:left="720"/>
      <w:contextualSpacing/>
    </w:pPr>
  </w:style>
  <w:style w:type="paragraph" w:styleId="Header">
    <w:name w:val="header"/>
    <w:basedOn w:val="Normal"/>
    <w:link w:val="HeaderChar"/>
    <w:uiPriority w:val="99"/>
    <w:rsid w:val="00436A4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36A45"/>
    <w:rPr>
      <w:rFonts w:cs="Times New Roman"/>
    </w:rPr>
  </w:style>
  <w:style w:type="paragraph" w:styleId="Footer">
    <w:name w:val="footer"/>
    <w:basedOn w:val="Normal"/>
    <w:link w:val="FooterChar"/>
    <w:uiPriority w:val="99"/>
    <w:rsid w:val="00436A4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36A45"/>
    <w:rPr>
      <w:rFonts w:cs="Times New Roman"/>
    </w:rPr>
  </w:style>
  <w:style w:type="table" w:styleId="LightShading-Accent2">
    <w:name w:val="Light Shading Accent 2"/>
    <w:basedOn w:val="TableNormal"/>
    <w:uiPriority w:val="99"/>
    <w:rsid w:val="000D7DAE"/>
    <w:rPr>
      <w:color w:val="83756D"/>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la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AE7E5"/>
      </w:tcPr>
    </w:tblStylePr>
    <w:tblStylePr w:type="band1Horz">
      <w:rPr>
        <w:rFonts w:cs="Times New Roman"/>
      </w:rPr>
      <w:tblPr/>
      <w:tcPr>
        <w:tcBorders>
          <w:left w:val="nil"/>
          <w:right w:val="nil"/>
          <w:insideH w:val="nil"/>
          <w:insideV w:val="nil"/>
        </w:tcBorders>
        <w:shd w:val="clear" w:color="auto" w:fill="EAE7E5"/>
      </w:tcPr>
    </w:tblStylePr>
  </w:style>
  <w:style w:type="table" w:styleId="MediumShading1-Accent4">
    <w:name w:val="Medium Shading 1 Accent 4"/>
    <w:basedOn w:val="TableNormal"/>
    <w:uiPriority w:val="99"/>
    <w:rsid w:val="000D7DAE"/>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E5E2E0"/>
          <w:left w:val="single" w:sz="8" w:space="0" w:color="E5E2E0"/>
          <w:bottom w:val="single" w:sz="8" w:space="0" w:color="E5E2E0"/>
          <w:right w:val="single" w:sz="8" w:space="0" w:color="E5E2E0"/>
          <w:insideH w:val="nil"/>
          <w:insideV w:val="nil"/>
        </w:tcBorders>
        <w:shd w:val="clear" w:color="auto" w:fill="DDD9D6"/>
      </w:tcPr>
    </w:tblStylePr>
    <w:tblStylePr w:type="lastRow">
      <w:pPr>
        <w:spacing w:before="0" w:after="0"/>
      </w:pPr>
      <w:rPr>
        <w:rFonts w:cs="Times New Roman"/>
        <w:b/>
        <w:bCs/>
      </w:rPr>
      <w:tblPr/>
      <w:tcPr>
        <w:tcBorders>
          <w:top w:val="double" w:sz="6" w:space="0" w:color="E5E2E0"/>
          <w:left w:val="single" w:sz="8" w:space="0" w:color="E5E2E0"/>
          <w:bottom w:val="single" w:sz="8" w:space="0" w:color="E5E2E0"/>
          <w:right w:val="single" w:sz="8" w:space="0" w:color="E5E2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F5F4"/>
      </w:tcPr>
    </w:tblStylePr>
    <w:tblStylePr w:type="band1Horz">
      <w:rPr>
        <w:rFonts w:cs="Times New Roman"/>
      </w:rPr>
      <w:tblPr/>
      <w:tcPr>
        <w:tcBorders>
          <w:insideH w:val="nil"/>
          <w:insideV w:val="nil"/>
        </w:tcBorders>
        <w:shd w:val="clear" w:color="auto" w:fill="F6F5F4"/>
      </w:tcPr>
    </w:tblStylePr>
    <w:tblStylePr w:type="band2Horz">
      <w:rPr>
        <w:rFonts w:cs="Times New Roman"/>
      </w:rPr>
      <w:tblPr/>
      <w:tcPr>
        <w:tcBorders>
          <w:insideH w:val="nil"/>
          <w:insideV w:val="nil"/>
        </w:tcBorders>
      </w:tcPr>
    </w:tblStylePr>
  </w:style>
  <w:style w:type="table" w:customStyle="1" w:styleId="MediumShading11">
    <w:name w:val="Medium Shading 11"/>
    <w:uiPriority w:val="99"/>
    <w:rsid w:val="000D7DAE"/>
    <w:rPr>
      <w:sz w:val="16"/>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0D7DAE"/>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0D7DA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0D7DAE"/>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Logo">
    <w:name w:val="Logo"/>
    <w:basedOn w:val="Normal"/>
    <w:next w:val="BodyText"/>
    <w:uiPriority w:val="99"/>
    <w:rsid w:val="00743030"/>
    <w:pPr>
      <w:spacing w:after="0" w:line="240" w:lineRule="auto"/>
      <w:jc w:val="right"/>
    </w:pPr>
    <w:rPr>
      <w:rFonts w:ascii="PwC_Logo" w:hAnsi="PwC_Logo"/>
      <w:color w:val="00011F"/>
      <w:sz w:val="48"/>
      <w:szCs w:val="48"/>
    </w:rPr>
  </w:style>
  <w:style w:type="paragraph" w:styleId="ListNumber2">
    <w:name w:val="List Number 2"/>
    <w:basedOn w:val="Normal"/>
    <w:uiPriority w:val="99"/>
    <w:rsid w:val="00ED73E5"/>
    <w:pPr>
      <w:numPr>
        <w:ilvl w:val="1"/>
        <w:numId w:val="2"/>
      </w:numPr>
    </w:pPr>
  </w:style>
  <w:style w:type="paragraph" w:styleId="ListNumber3">
    <w:name w:val="List Number 3"/>
    <w:basedOn w:val="Normal"/>
    <w:uiPriority w:val="99"/>
    <w:rsid w:val="00ED73E5"/>
    <w:pPr>
      <w:numPr>
        <w:ilvl w:val="2"/>
        <w:numId w:val="2"/>
      </w:numPr>
    </w:pPr>
  </w:style>
  <w:style w:type="table" w:customStyle="1" w:styleId="PwCTable1">
    <w:name w:val="PwC Table 1"/>
    <w:uiPriority w:val="99"/>
    <w:rsid w:val="00F47A3A"/>
    <w:rPr>
      <w:sz w:val="18"/>
    </w:rPr>
    <w:tblPr>
      <w:tblStyleRowBandSize w:val="1"/>
      <w:tblInd w:w="0" w:type="dxa"/>
      <w:tblBorders>
        <w:top w:val="single" w:sz="4" w:space="0" w:color="A2978A"/>
        <w:left w:val="single" w:sz="4" w:space="0" w:color="A2978A"/>
        <w:bottom w:val="single" w:sz="4" w:space="0" w:color="A2978A"/>
        <w:right w:val="single" w:sz="4" w:space="0" w:color="A2978A"/>
        <w:insideH w:val="single" w:sz="4" w:space="0" w:color="A2978A"/>
      </w:tblBorders>
      <w:tblCellMar>
        <w:top w:w="57" w:type="dxa"/>
        <w:left w:w="0" w:type="dxa"/>
        <w:bottom w:w="57" w:type="dxa"/>
        <w:right w:w="0" w:type="dxa"/>
      </w:tblCellMar>
    </w:tblPr>
  </w:style>
  <w:style w:type="paragraph" w:styleId="ListBullet4">
    <w:name w:val="List Bullet 4"/>
    <w:basedOn w:val="Normal"/>
    <w:uiPriority w:val="99"/>
    <w:rsid w:val="00ED73E5"/>
    <w:pPr>
      <w:numPr>
        <w:ilvl w:val="3"/>
        <w:numId w:val="1"/>
      </w:numPr>
    </w:pPr>
  </w:style>
  <w:style w:type="paragraph" w:styleId="ListContinue">
    <w:name w:val="List Continue"/>
    <w:basedOn w:val="Normal"/>
    <w:uiPriority w:val="99"/>
    <w:rsid w:val="00EE0C5B"/>
    <w:pPr>
      <w:ind w:left="397"/>
    </w:pPr>
  </w:style>
  <w:style w:type="paragraph" w:styleId="ListContinue2">
    <w:name w:val="List Continue 2"/>
    <w:basedOn w:val="Normal"/>
    <w:uiPriority w:val="99"/>
    <w:rsid w:val="00EE0C5B"/>
    <w:pPr>
      <w:ind w:left="794"/>
    </w:pPr>
  </w:style>
  <w:style w:type="paragraph" w:styleId="List3">
    <w:name w:val="List 3"/>
    <w:basedOn w:val="Normal"/>
    <w:uiPriority w:val="99"/>
    <w:rsid w:val="00EE0C5B"/>
    <w:pPr>
      <w:ind w:left="1191" w:hanging="397"/>
    </w:pPr>
  </w:style>
  <w:style w:type="paragraph" w:styleId="List4">
    <w:name w:val="List 4"/>
    <w:basedOn w:val="Normal"/>
    <w:uiPriority w:val="99"/>
    <w:semiHidden/>
    <w:rsid w:val="00EE0C5B"/>
    <w:pPr>
      <w:ind w:left="1588" w:hanging="397"/>
    </w:pPr>
  </w:style>
  <w:style w:type="paragraph" w:styleId="List5">
    <w:name w:val="List 5"/>
    <w:basedOn w:val="Normal"/>
    <w:uiPriority w:val="99"/>
    <w:semiHidden/>
    <w:rsid w:val="00EE0C5B"/>
    <w:pPr>
      <w:ind w:left="1985" w:hanging="397"/>
    </w:pPr>
  </w:style>
  <w:style w:type="paragraph" w:styleId="ListContinue3">
    <w:name w:val="List Continue 3"/>
    <w:basedOn w:val="Normal"/>
    <w:uiPriority w:val="99"/>
    <w:rsid w:val="003B26A2"/>
    <w:pPr>
      <w:ind w:left="1191"/>
    </w:pPr>
  </w:style>
  <w:style w:type="paragraph" w:styleId="ListContinue4">
    <w:name w:val="List Continue 4"/>
    <w:basedOn w:val="Normal"/>
    <w:uiPriority w:val="99"/>
    <w:semiHidden/>
    <w:rsid w:val="003B26A2"/>
    <w:pPr>
      <w:ind w:left="1588"/>
    </w:pPr>
  </w:style>
  <w:style w:type="paragraph" w:styleId="ListContinue5">
    <w:name w:val="List Continue 5"/>
    <w:basedOn w:val="Normal"/>
    <w:uiPriority w:val="99"/>
    <w:semiHidden/>
    <w:rsid w:val="003B26A2"/>
    <w:pPr>
      <w:ind w:left="1985"/>
    </w:pPr>
  </w:style>
  <w:style w:type="paragraph" w:styleId="ListNumber4">
    <w:name w:val="List Number 4"/>
    <w:basedOn w:val="Normal"/>
    <w:uiPriority w:val="99"/>
    <w:semiHidden/>
    <w:rsid w:val="00ED73E5"/>
    <w:pPr>
      <w:numPr>
        <w:ilvl w:val="3"/>
        <w:numId w:val="2"/>
      </w:numPr>
    </w:pPr>
  </w:style>
  <w:style w:type="paragraph" w:styleId="ListNumber5">
    <w:name w:val="List Number 5"/>
    <w:basedOn w:val="Normal"/>
    <w:uiPriority w:val="99"/>
    <w:semiHidden/>
    <w:rsid w:val="00ED73E5"/>
    <w:pPr>
      <w:numPr>
        <w:ilvl w:val="4"/>
        <w:numId w:val="2"/>
      </w:numPr>
    </w:pPr>
  </w:style>
  <w:style w:type="paragraph" w:styleId="ListBullet5">
    <w:name w:val="List Bullet 5"/>
    <w:basedOn w:val="Normal"/>
    <w:uiPriority w:val="99"/>
    <w:rsid w:val="00ED73E5"/>
    <w:pPr>
      <w:numPr>
        <w:ilvl w:val="4"/>
        <w:numId w:val="1"/>
      </w:numPr>
    </w:pPr>
  </w:style>
  <w:style w:type="paragraph" w:styleId="List2">
    <w:name w:val="List 2"/>
    <w:basedOn w:val="Normal"/>
    <w:uiPriority w:val="99"/>
    <w:rsid w:val="00EE0C5B"/>
    <w:pPr>
      <w:ind w:left="794" w:hanging="397"/>
    </w:pPr>
  </w:style>
  <w:style w:type="paragraph" w:styleId="List">
    <w:name w:val="List"/>
    <w:basedOn w:val="Normal"/>
    <w:uiPriority w:val="99"/>
    <w:rsid w:val="00EE0C5B"/>
    <w:pPr>
      <w:ind w:left="397" w:hanging="397"/>
    </w:pPr>
  </w:style>
  <w:style w:type="paragraph" w:styleId="FootnoteText">
    <w:name w:val="footnote text"/>
    <w:basedOn w:val="Normal"/>
    <w:link w:val="FootnoteTextChar"/>
    <w:uiPriority w:val="99"/>
    <w:semiHidden/>
    <w:rsid w:val="00056E5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56E5F"/>
    <w:rPr>
      <w:rFonts w:cs="Times New Roman"/>
      <w:sz w:val="20"/>
      <w:szCs w:val="20"/>
    </w:rPr>
  </w:style>
  <w:style w:type="character" w:styleId="FootnoteReference">
    <w:name w:val="footnote reference"/>
    <w:basedOn w:val="DefaultParagraphFont"/>
    <w:uiPriority w:val="99"/>
    <w:semiHidden/>
    <w:rsid w:val="00056E5F"/>
    <w:rPr>
      <w:rFonts w:cs="Times New Roman"/>
      <w:vertAlign w:val="superscript"/>
    </w:rPr>
  </w:style>
  <w:style w:type="paragraph" w:customStyle="1" w:styleId="ExampleSub">
    <w:name w:val="ExampleSub"/>
    <w:basedOn w:val="Normal"/>
    <w:uiPriority w:val="99"/>
    <w:rsid w:val="005639C2"/>
    <w:pPr>
      <w:keepNext/>
      <w:keepLines/>
      <w:widowControl w:val="0"/>
      <w:suppressAutoHyphens/>
      <w:autoSpaceDE w:val="0"/>
      <w:autoSpaceDN w:val="0"/>
      <w:adjustRightInd w:val="0"/>
      <w:spacing w:before="150" w:after="0" w:line="320" w:lineRule="atLeast"/>
      <w:ind w:left="567"/>
      <w:textAlignment w:val="center"/>
    </w:pPr>
    <w:rPr>
      <w:rFonts w:ascii="FS Lola" w:eastAsia="Times New Roman" w:hAnsi="FS Lola" w:cs="FS Lola"/>
      <w:b/>
      <w:bCs/>
      <w:color w:val="57585A"/>
      <w:sz w:val="23"/>
      <w:szCs w:val="23"/>
      <w:lang w:eastAsia="en-GB"/>
    </w:rPr>
  </w:style>
  <w:style w:type="paragraph" w:customStyle="1" w:styleId="ExampleText">
    <w:name w:val="ExampleText"/>
    <w:basedOn w:val="Normal"/>
    <w:rsid w:val="005639C2"/>
    <w:pPr>
      <w:widowControl w:val="0"/>
      <w:tabs>
        <w:tab w:val="left" w:pos="567"/>
        <w:tab w:val="left" w:pos="786"/>
      </w:tabs>
      <w:suppressAutoHyphens/>
      <w:autoSpaceDE w:val="0"/>
      <w:autoSpaceDN w:val="0"/>
      <w:adjustRightInd w:val="0"/>
      <w:spacing w:before="150" w:after="0" w:line="280" w:lineRule="atLeast"/>
      <w:ind w:left="567"/>
      <w:textAlignment w:val="baseline"/>
    </w:pPr>
    <w:rPr>
      <w:rFonts w:ascii="FS Lola Light" w:eastAsia="Times New Roman" w:hAnsi="FS Lola Light" w:cs="FS Lola Light"/>
      <w:sz w:val="20"/>
      <w:szCs w:val="20"/>
      <w:lang w:eastAsia="en-GB"/>
    </w:rPr>
  </w:style>
  <w:style w:type="paragraph" w:customStyle="1" w:styleId="ExampleBullet">
    <w:name w:val="ExampleBullet"/>
    <w:basedOn w:val="Normal"/>
    <w:uiPriority w:val="99"/>
    <w:rsid w:val="005639C2"/>
    <w:pPr>
      <w:keepLines/>
      <w:widowControl w:val="0"/>
      <w:tabs>
        <w:tab w:val="left" w:pos="1800"/>
      </w:tabs>
      <w:suppressAutoHyphens/>
      <w:autoSpaceDE w:val="0"/>
      <w:autoSpaceDN w:val="0"/>
      <w:adjustRightInd w:val="0"/>
      <w:spacing w:before="70" w:after="0" w:line="280" w:lineRule="atLeast"/>
      <w:ind w:left="850" w:hanging="283"/>
      <w:textAlignment w:val="baseline"/>
    </w:pPr>
    <w:rPr>
      <w:rFonts w:ascii="FS Lola Light" w:eastAsia="Times New Roman" w:hAnsi="FS Lola Light" w:cs="FS Lola Light"/>
      <w:sz w:val="20"/>
      <w:szCs w:val="20"/>
      <w:lang w:eastAsia="en-GB"/>
    </w:rPr>
  </w:style>
  <w:style w:type="paragraph" w:customStyle="1" w:styleId="ExampleSub02">
    <w:name w:val="ExampleSub02"/>
    <w:basedOn w:val="ExampleSub"/>
    <w:uiPriority w:val="99"/>
    <w:rsid w:val="005639C2"/>
    <w:pPr>
      <w:tabs>
        <w:tab w:val="left" w:pos="850"/>
      </w:tabs>
      <w:spacing w:line="300" w:lineRule="atLeast"/>
    </w:pPr>
    <w:rPr>
      <w:sz w:val="20"/>
      <w:szCs w:val="20"/>
    </w:rPr>
  </w:style>
  <w:style w:type="paragraph" w:customStyle="1" w:styleId="ExampleDash">
    <w:name w:val="ExampleDash"/>
    <w:basedOn w:val="ExampleBullet"/>
    <w:uiPriority w:val="99"/>
    <w:rsid w:val="005639C2"/>
    <w:pPr>
      <w:ind w:left="1134"/>
    </w:pPr>
  </w:style>
  <w:style w:type="paragraph" w:customStyle="1" w:styleId="ExampleBulletEnd">
    <w:name w:val="ExampleBulletEnd"/>
    <w:basedOn w:val="ExampleBullet"/>
    <w:uiPriority w:val="99"/>
    <w:rsid w:val="005639C2"/>
    <w:pPr>
      <w:pBdr>
        <w:bottom w:val="single" w:sz="12" w:space="8" w:color="57585A"/>
      </w:pBdr>
      <w:spacing w:after="320"/>
    </w:pPr>
  </w:style>
  <w:style w:type="character" w:customStyle="1" w:styleId="Italic">
    <w:name w:val="Italic"/>
    <w:uiPriority w:val="99"/>
    <w:rsid w:val="005639C2"/>
    <w:rPr>
      <w:rFonts w:ascii="FS Lola" w:hAnsi="FS Lola"/>
      <w:i/>
    </w:rPr>
  </w:style>
  <w:style w:type="character" w:customStyle="1" w:styleId="Bold">
    <w:name w:val="Bold"/>
    <w:uiPriority w:val="99"/>
    <w:rsid w:val="005639C2"/>
    <w:rPr>
      <w:b/>
    </w:rPr>
  </w:style>
  <w:style w:type="character" w:styleId="Emphasis">
    <w:name w:val="Emphasis"/>
    <w:basedOn w:val="DefaultParagraphFont"/>
    <w:uiPriority w:val="20"/>
    <w:qFormat/>
    <w:rsid w:val="00A15ADA"/>
    <w:rPr>
      <w:rFonts w:cs="Times New Roman"/>
      <w:i/>
      <w:iCs/>
    </w:rPr>
  </w:style>
  <w:style w:type="character" w:customStyle="1" w:styleId="i1searchhl1">
    <w:name w:val="i1_searchhl1"/>
    <w:basedOn w:val="DefaultParagraphFont"/>
    <w:uiPriority w:val="99"/>
    <w:rsid w:val="00A15ADA"/>
    <w:rPr>
      <w:rFonts w:cs="Times New Roman"/>
      <w:shd w:val="clear" w:color="auto" w:fill="FFFF00"/>
    </w:rPr>
  </w:style>
  <w:style w:type="character" w:styleId="Hyperlink">
    <w:name w:val="Hyperlink"/>
    <w:basedOn w:val="DefaultParagraphFont"/>
    <w:uiPriority w:val="99"/>
    <w:rsid w:val="0057757D"/>
    <w:rPr>
      <w:rFonts w:cs="Times New Roman"/>
      <w:color w:val="564242"/>
      <w:u w:val="single"/>
    </w:rPr>
  </w:style>
  <w:style w:type="paragraph" w:customStyle="1" w:styleId="NoParagraphStyle">
    <w:name w:val="[No Paragraph Style]"/>
    <w:link w:val="NoParagraphStyleChar"/>
    <w:uiPriority w:val="99"/>
    <w:rsid w:val="00360301"/>
    <w:pPr>
      <w:widowControl w:val="0"/>
      <w:autoSpaceDE w:val="0"/>
      <w:autoSpaceDN w:val="0"/>
      <w:adjustRightInd w:val="0"/>
      <w:spacing w:line="288" w:lineRule="auto"/>
      <w:textAlignment w:val="center"/>
    </w:pPr>
    <w:rPr>
      <w:rFonts w:ascii="FS Lola" w:eastAsia="SimSun" w:hAnsi="FS Lola" w:cs="FS Lola"/>
      <w:color w:val="000000"/>
      <w:sz w:val="24"/>
      <w:szCs w:val="24"/>
      <w:lang w:eastAsia="zh-CN"/>
    </w:rPr>
  </w:style>
  <w:style w:type="paragraph" w:customStyle="1" w:styleId="TableText">
    <w:name w:val="TableText"/>
    <w:basedOn w:val="NoParagraphStyle"/>
    <w:uiPriority w:val="99"/>
    <w:rsid w:val="00360301"/>
    <w:pPr>
      <w:suppressAutoHyphens/>
      <w:spacing w:before="57" w:line="280" w:lineRule="atLeast"/>
      <w:ind w:left="28" w:right="113"/>
    </w:pPr>
    <w:rPr>
      <w:sz w:val="20"/>
      <w:szCs w:val="20"/>
    </w:rPr>
  </w:style>
  <w:style w:type="paragraph" w:customStyle="1" w:styleId="Holder">
    <w:name w:val="Holder"/>
    <w:basedOn w:val="Normal"/>
    <w:uiPriority w:val="99"/>
    <w:rsid w:val="00360301"/>
    <w:pPr>
      <w:keepNext/>
      <w:widowControl w:val="0"/>
      <w:tabs>
        <w:tab w:val="left" w:pos="680"/>
      </w:tabs>
      <w:suppressAutoHyphens/>
      <w:autoSpaceDE w:val="0"/>
      <w:autoSpaceDN w:val="0"/>
      <w:adjustRightInd w:val="0"/>
      <w:spacing w:before="198" w:after="142" w:line="288" w:lineRule="auto"/>
      <w:ind w:left="567" w:right="113"/>
      <w:textAlignment w:val="center"/>
    </w:pPr>
    <w:rPr>
      <w:rFonts w:ascii="FS Lola" w:eastAsia="SimSun" w:hAnsi="FS Lola" w:cs="FS Lola"/>
      <w:b/>
      <w:bCs/>
      <w:color w:val="57585A"/>
      <w:sz w:val="28"/>
      <w:szCs w:val="28"/>
      <w:lang w:eastAsia="zh-CN"/>
    </w:rPr>
  </w:style>
  <w:style w:type="paragraph" w:customStyle="1" w:styleId="TableRight">
    <w:name w:val="TableRight"/>
    <w:basedOn w:val="TableText"/>
    <w:uiPriority w:val="99"/>
    <w:rsid w:val="00360301"/>
    <w:pPr>
      <w:ind w:right="28"/>
      <w:jc w:val="right"/>
    </w:pPr>
    <w:rPr>
      <w:lang w:val="en-US"/>
    </w:rPr>
  </w:style>
  <w:style w:type="paragraph" w:customStyle="1" w:styleId="TableRightBold">
    <w:name w:val="TableRightBold"/>
    <w:basedOn w:val="TableText"/>
    <w:uiPriority w:val="99"/>
    <w:rsid w:val="00360301"/>
    <w:pPr>
      <w:ind w:right="28"/>
      <w:jc w:val="right"/>
    </w:pPr>
    <w:rPr>
      <w:b/>
      <w:bCs/>
      <w:color w:val="57585A"/>
      <w:lang w:val="en-US"/>
    </w:rPr>
  </w:style>
  <w:style w:type="paragraph" w:customStyle="1" w:styleId="TableHeadBold">
    <w:name w:val="TableHeadBold"/>
    <w:basedOn w:val="TableRightBold"/>
    <w:uiPriority w:val="99"/>
    <w:rsid w:val="00360301"/>
    <w:pPr>
      <w:tabs>
        <w:tab w:val="left" w:pos="680"/>
      </w:tabs>
      <w:spacing w:before="60" w:after="60"/>
      <w:jc w:val="left"/>
    </w:pPr>
    <w:rPr>
      <w:color w:val="60227A"/>
      <w:sz w:val="18"/>
      <w:szCs w:val="18"/>
    </w:rPr>
  </w:style>
  <w:style w:type="paragraph" w:customStyle="1" w:styleId="CodeNotesExampleHead">
    <w:name w:val="CodeNotes Example Head"/>
    <w:basedOn w:val="Normal"/>
    <w:uiPriority w:val="99"/>
    <w:rsid w:val="00360301"/>
    <w:pPr>
      <w:spacing w:after="0"/>
    </w:pPr>
    <w:rPr>
      <w:rFonts w:eastAsia="Times New Roman"/>
      <w:b/>
      <w:sz w:val="18"/>
      <w:szCs w:val="18"/>
    </w:rPr>
  </w:style>
  <w:style w:type="paragraph" w:customStyle="1" w:styleId="TableBullet">
    <w:name w:val="TableBullet"/>
    <w:basedOn w:val="TableText"/>
    <w:uiPriority w:val="99"/>
    <w:rsid w:val="00360301"/>
    <w:pPr>
      <w:ind w:left="312" w:hanging="283"/>
    </w:pPr>
  </w:style>
  <w:style w:type="paragraph" w:customStyle="1" w:styleId="TableHeadWhite">
    <w:name w:val="TableHeadWhite"/>
    <w:basedOn w:val="TableText"/>
    <w:uiPriority w:val="99"/>
    <w:rsid w:val="00360301"/>
    <w:pPr>
      <w:ind w:right="28"/>
    </w:pPr>
    <w:rPr>
      <w:b/>
      <w:bCs/>
      <w:color w:val="FFFFFF"/>
      <w:lang w:val="en-US"/>
    </w:rPr>
  </w:style>
  <w:style w:type="paragraph" w:styleId="BodyTextIndent2">
    <w:name w:val="Body Text Indent 2"/>
    <w:basedOn w:val="Normal"/>
    <w:link w:val="BodyTextIndent2Char"/>
    <w:uiPriority w:val="99"/>
    <w:semiHidden/>
    <w:rsid w:val="0036030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60301"/>
    <w:rPr>
      <w:rFonts w:cs="Times New Roman"/>
    </w:rPr>
  </w:style>
  <w:style w:type="paragraph" w:customStyle="1" w:styleId="TableTextBold">
    <w:name w:val="TableTextBold"/>
    <w:basedOn w:val="TableText"/>
    <w:uiPriority w:val="99"/>
    <w:rsid w:val="00360301"/>
    <w:pPr>
      <w:tabs>
        <w:tab w:val="left" w:pos="680"/>
      </w:tabs>
    </w:pPr>
    <w:rPr>
      <w:b/>
      <w:bCs/>
      <w:color w:val="57585A"/>
      <w:lang w:val="en-US"/>
    </w:rPr>
  </w:style>
  <w:style w:type="paragraph" w:customStyle="1" w:styleId="ExampleEnd">
    <w:name w:val="ExampleEnd"/>
    <w:basedOn w:val="ExampleText"/>
    <w:uiPriority w:val="99"/>
    <w:rsid w:val="00360301"/>
    <w:pPr>
      <w:pBdr>
        <w:bottom w:val="single" w:sz="12" w:space="8" w:color="57585A"/>
      </w:pBdr>
      <w:spacing w:after="320"/>
    </w:pPr>
    <w:rPr>
      <w:rFonts w:eastAsia="SimSun"/>
      <w:lang w:eastAsia="zh-CN"/>
    </w:rPr>
  </w:style>
  <w:style w:type="character" w:customStyle="1" w:styleId="Purple">
    <w:name w:val="Purple"/>
    <w:uiPriority w:val="99"/>
    <w:rsid w:val="00360301"/>
    <w:rPr>
      <w:color w:val="60227A"/>
    </w:rPr>
  </w:style>
  <w:style w:type="paragraph" w:customStyle="1" w:styleId="CodeNotesHead1">
    <w:name w:val="CodeNotes Head 1"/>
    <w:basedOn w:val="Normal"/>
    <w:link w:val="CodeNotesHead1Char"/>
    <w:uiPriority w:val="99"/>
    <w:rsid w:val="00360301"/>
    <w:rPr>
      <w:rFonts w:eastAsia="Times New Roman"/>
      <w:b/>
    </w:rPr>
  </w:style>
  <w:style w:type="character" w:customStyle="1" w:styleId="CodeNotesHead1Char">
    <w:name w:val="CodeNotes Head 1 Char"/>
    <w:basedOn w:val="DefaultParagraphFont"/>
    <w:link w:val="CodeNotesHead1"/>
    <w:uiPriority w:val="99"/>
    <w:locked/>
    <w:rsid w:val="00360301"/>
    <w:rPr>
      <w:rFonts w:ascii="Arial" w:hAnsi="Arial" w:cs="Times New Roman"/>
      <w:b/>
      <w:color w:val="000000"/>
    </w:rPr>
  </w:style>
  <w:style w:type="paragraph" w:customStyle="1" w:styleId="TableHeadRightWhite">
    <w:name w:val="TableHeadRightWhite"/>
    <w:basedOn w:val="TableHeadWhite"/>
    <w:uiPriority w:val="99"/>
    <w:rsid w:val="00360301"/>
    <w:pPr>
      <w:jc w:val="right"/>
    </w:pPr>
  </w:style>
  <w:style w:type="paragraph" w:styleId="BalloonText">
    <w:name w:val="Balloon Text"/>
    <w:basedOn w:val="Normal"/>
    <w:link w:val="BalloonTextChar"/>
    <w:uiPriority w:val="99"/>
    <w:semiHidden/>
    <w:rsid w:val="00FA3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78E"/>
    <w:rPr>
      <w:rFonts w:ascii="Tahoma" w:hAnsi="Tahoma" w:cs="Tahoma"/>
      <w:sz w:val="16"/>
      <w:szCs w:val="16"/>
    </w:rPr>
  </w:style>
  <w:style w:type="character" w:styleId="CommentReference">
    <w:name w:val="annotation reference"/>
    <w:basedOn w:val="DefaultParagraphFont"/>
    <w:rsid w:val="00E15B7C"/>
    <w:rPr>
      <w:rFonts w:cs="Times New Roman"/>
      <w:sz w:val="16"/>
      <w:szCs w:val="16"/>
    </w:rPr>
  </w:style>
  <w:style w:type="paragraph" w:styleId="CommentText">
    <w:name w:val="annotation text"/>
    <w:basedOn w:val="Normal"/>
    <w:link w:val="CommentTextChar"/>
    <w:rsid w:val="00E15B7C"/>
    <w:pPr>
      <w:spacing w:line="240" w:lineRule="auto"/>
    </w:pPr>
    <w:rPr>
      <w:sz w:val="20"/>
      <w:szCs w:val="20"/>
    </w:rPr>
  </w:style>
  <w:style w:type="character" w:customStyle="1" w:styleId="CommentTextChar">
    <w:name w:val="Comment Text Char"/>
    <w:basedOn w:val="DefaultParagraphFont"/>
    <w:link w:val="CommentText"/>
    <w:locked/>
    <w:rsid w:val="00E15B7C"/>
    <w:rPr>
      <w:rFonts w:cs="Times New Roman"/>
      <w:sz w:val="20"/>
      <w:szCs w:val="20"/>
    </w:rPr>
  </w:style>
  <w:style w:type="paragraph" w:styleId="CommentSubject">
    <w:name w:val="annotation subject"/>
    <w:basedOn w:val="CommentText"/>
    <w:next w:val="CommentText"/>
    <w:link w:val="CommentSubjectChar"/>
    <w:uiPriority w:val="99"/>
    <w:semiHidden/>
    <w:rsid w:val="00E15B7C"/>
    <w:rPr>
      <w:b/>
      <w:bCs/>
    </w:rPr>
  </w:style>
  <w:style w:type="character" w:customStyle="1" w:styleId="CommentSubjectChar">
    <w:name w:val="Comment Subject Char"/>
    <w:basedOn w:val="CommentTextChar"/>
    <w:link w:val="CommentSubject"/>
    <w:uiPriority w:val="99"/>
    <w:semiHidden/>
    <w:locked/>
    <w:rsid w:val="00E15B7C"/>
    <w:rPr>
      <w:rFonts w:cs="Times New Roman"/>
      <w:b/>
      <w:bCs/>
      <w:sz w:val="20"/>
      <w:szCs w:val="20"/>
    </w:rPr>
  </w:style>
  <w:style w:type="paragraph" w:customStyle="1" w:styleId="CodeNotesbody">
    <w:name w:val="CodeNotes body"/>
    <w:basedOn w:val="ListParagraph"/>
    <w:link w:val="CodeNotesbodyChar"/>
    <w:uiPriority w:val="99"/>
    <w:rsid w:val="00E20CBD"/>
    <w:pPr>
      <w:numPr>
        <w:numId w:val="5"/>
      </w:numPr>
      <w:spacing w:after="0"/>
    </w:pPr>
    <w:rPr>
      <w:rFonts w:eastAsia="Times New Roman"/>
    </w:rPr>
  </w:style>
  <w:style w:type="character" w:customStyle="1" w:styleId="CodeNotesbodyChar">
    <w:name w:val="CodeNotes body Char"/>
    <w:basedOn w:val="DefaultParagraphFont"/>
    <w:link w:val="CodeNotesbody"/>
    <w:uiPriority w:val="99"/>
    <w:locked/>
    <w:rsid w:val="00E20CBD"/>
    <w:rPr>
      <w:rFonts w:eastAsia="Times New Roman"/>
      <w:color w:val="000000"/>
      <w:sz w:val="21"/>
      <w:szCs w:val="21"/>
      <w:lang w:eastAsia="en-US"/>
    </w:rPr>
  </w:style>
  <w:style w:type="paragraph" w:customStyle="1" w:styleId="TableRightBoldHead">
    <w:name w:val="TableRightBoldHead"/>
    <w:basedOn w:val="TableRight"/>
    <w:uiPriority w:val="99"/>
    <w:rsid w:val="000B495A"/>
    <w:pPr>
      <w:tabs>
        <w:tab w:val="left" w:pos="680"/>
      </w:tabs>
      <w:spacing w:before="60" w:after="60" w:line="289" w:lineRule="auto"/>
      <w:ind w:left="0" w:right="0"/>
      <w:textAlignment w:val="baseline"/>
    </w:pPr>
    <w:rPr>
      <w:rFonts w:ascii="DIN-Bold" w:eastAsia="Times New Roman" w:hAnsi="DIN-Bold" w:cs="DIN-Bold"/>
      <w:color w:val="5100B7"/>
      <w:sz w:val="18"/>
      <w:szCs w:val="18"/>
      <w:lang w:eastAsia="en-GB"/>
    </w:rPr>
  </w:style>
  <w:style w:type="paragraph" w:customStyle="1" w:styleId="TableTextRight">
    <w:name w:val="TableTextRight"/>
    <w:basedOn w:val="TableText"/>
    <w:uiPriority w:val="99"/>
    <w:rsid w:val="00C9181C"/>
    <w:pPr>
      <w:spacing w:before="60" w:after="60" w:line="289" w:lineRule="auto"/>
      <w:ind w:left="0" w:right="0"/>
      <w:jc w:val="right"/>
      <w:textAlignment w:val="baseline"/>
    </w:pPr>
    <w:rPr>
      <w:rFonts w:ascii="DIN-Regular" w:eastAsia="Times New Roman" w:hAnsi="DIN-Regular" w:cs="DIN-Regular"/>
      <w:sz w:val="18"/>
      <w:szCs w:val="18"/>
      <w:lang w:eastAsia="en-GB"/>
    </w:rPr>
  </w:style>
  <w:style w:type="character" w:customStyle="1" w:styleId="NoParagraphStyleChar">
    <w:name w:val="[No Paragraph Style] Char"/>
    <w:basedOn w:val="DefaultParagraphFont"/>
    <w:link w:val="NoParagraphStyle"/>
    <w:uiPriority w:val="99"/>
    <w:locked/>
    <w:rsid w:val="007A3F28"/>
    <w:rPr>
      <w:rFonts w:ascii="FS Lola" w:eastAsia="SimSun" w:hAnsi="FS Lola" w:cs="FS Lola"/>
      <w:color w:val="000000"/>
      <w:sz w:val="24"/>
      <w:szCs w:val="24"/>
      <w:lang w:val="en-GB" w:eastAsia="zh-CN" w:bidi="ar-SA"/>
    </w:rPr>
  </w:style>
  <w:style w:type="character" w:customStyle="1" w:styleId="ParaNumber">
    <w:name w:val="ParaNumber"/>
    <w:uiPriority w:val="99"/>
    <w:rsid w:val="00613705"/>
    <w:rPr>
      <w:rFonts w:ascii="DIN-Black" w:hAnsi="DIN-Black"/>
      <w:color w:val="5100B7"/>
      <w:sz w:val="16"/>
    </w:rPr>
  </w:style>
  <w:style w:type="paragraph" w:customStyle="1" w:styleId="TableItalic">
    <w:name w:val="TableItalic"/>
    <w:basedOn w:val="TableText"/>
    <w:uiPriority w:val="99"/>
    <w:rsid w:val="00EC5D4E"/>
    <w:pPr>
      <w:spacing w:before="60" w:after="60" w:line="289" w:lineRule="auto"/>
      <w:ind w:left="0" w:right="0"/>
      <w:textAlignment w:val="baseline"/>
    </w:pPr>
    <w:rPr>
      <w:rFonts w:ascii="DIN-Regular" w:eastAsia="Times New Roman" w:hAnsi="DIN-Regular" w:cs="DIN-Regular"/>
      <w:i/>
      <w:iCs/>
      <w:sz w:val="18"/>
      <w:szCs w:val="18"/>
      <w:lang w:eastAsia="en-GB"/>
    </w:rPr>
  </w:style>
  <w:style w:type="paragraph" w:customStyle="1" w:styleId="CodeNotesExampleText">
    <w:name w:val="CodeNotes Example Text"/>
    <w:basedOn w:val="Normal"/>
    <w:uiPriority w:val="99"/>
    <w:rsid w:val="00BB1A56"/>
    <w:pPr>
      <w:spacing w:after="0"/>
    </w:pPr>
    <w:rPr>
      <w:rFonts w:eastAsia="Times New Roman"/>
      <w:sz w:val="18"/>
      <w:szCs w:val="18"/>
    </w:rPr>
  </w:style>
  <w:style w:type="character" w:customStyle="1" w:styleId="ListParagraphChar">
    <w:name w:val="List Paragraph Char"/>
    <w:basedOn w:val="DefaultParagraphFont"/>
    <w:link w:val="ListParagraph"/>
    <w:uiPriority w:val="34"/>
    <w:locked/>
    <w:rsid w:val="00F456AC"/>
    <w:rPr>
      <w:rFonts w:cs="Times New Roman"/>
    </w:rPr>
  </w:style>
  <w:style w:type="table" w:styleId="LightList-Accent5">
    <w:name w:val="Light List Accent 5"/>
    <w:basedOn w:val="TableNormal"/>
    <w:uiPriority w:val="99"/>
    <w:rsid w:val="003A718E"/>
    <w:tblPr>
      <w:tblStyleRowBandSize w:val="1"/>
      <w:tblStyleColBandSize w:val="1"/>
      <w:tblInd w:w="0" w:type="dxa"/>
      <w:tblBorders>
        <w:top w:val="single" w:sz="8" w:space="0" w:color="EEECEA"/>
        <w:left w:val="single" w:sz="8" w:space="0" w:color="EEECEA"/>
        <w:bottom w:val="single" w:sz="8" w:space="0" w:color="EEECEA"/>
        <w:right w:val="single" w:sz="8" w:space="0" w:color="EEECEA"/>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EECEA"/>
      </w:tcPr>
    </w:tblStylePr>
    <w:tblStylePr w:type="lastRow">
      <w:pPr>
        <w:spacing w:before="0" w:after="0"/>
      </w:pPr>
      <w:rPr>
        <w:rFonts w:cs="Times New Roman"/>
        <w:b/>
        <w:bCs/>
      </w:rPr>
      <w:tblPr/>
      <w:tcPr>
        <w:tcBorders>
          <w:top w:val="double" w:sz="6" w:space="0" w:color="EEECEA"/>
          <w:left w:val="single" w:sz="8" w:space="0" w:color="EEECEA"/>
          <w:bottom w:val="single" w:sz="8" w:space="0" w:color="EEECEA"/>
          <w:right w:val="single" w:sz="8" w:space="0" w:color="EEECEA"/>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EECEA"/>
          <w:left w:val="single" w:sz="8" w:space="0" w:color="EEECEA"/>
          <w:bottom w:val="single" w:sz="8" w:space="0" w:color="EEECEA"/>
          <w:right w:val="single" w:sz="8" w:space="0" w:color="EEECEA"/>
        </w:tcBorders>
      </w:tcPr>
    </w:tblStylePr>
    <w:tblStylePr w:type="band1Horz">
      <w:rPr>
        <w:rFonts w:cs="Times New Roman"/>
      </w:rPr>
      <w:tblPr/>
      <w:tcPr>
        <w:tcBorders>
          <w:top w:val="single" w:sz="8" w:space="0" w:color="EEECEA"/>
          <w:left w:val="single" w:sz="8" w:space="0" w:color="EEECEA"/>
          <w:bottom w:val="single" w:sz="8" w:space="0" w:color="EEECEA"/>
          <w:right w:val="single" w:sz="8" w:space="0" w:color="EEECEA"/>
        </w:tcBorders>
      </w:tcPr>
    </w:tblStylePr>
  </w:style>
  <w:style w:type="table" w:styleId="ColorfulList-Accent5">
    <w:name w:val="Colorful List Accent 5"/>
    <w:basedOn w:val="TableNormal"/>
    <w:uiPriority w:val="99"/>
    <w:rsid w:val="003A718E"/>
    <w:tblPr>
      <w:tblStyleRowBandSize w:val="1"/>
      <w:tblStyleColBandSize w:val="1"/>
      <w:tblInd w:w="0" w:type="dxa"/>
      <w:tblCellMar>
        <w:top w:w="0" w:type="dxa"/>
        <w:left w:w="108" w:type="dxa"/>
        <w:bottom w:w="0" w:type="dxa"/>
        <w:right w:w="108" w:type="dxa"/>
      </w:tblCellMar>
    </w:tblPr>
    <w:tcPr>
      <w:shd w:val="clear" w:color="auto" w:fill="FDFCFC"/>
    </w:tcPr>
    <w:tblStylePr w:type="firstRow">
      <w:rPr>
        <w:rFonts w:cs="Times New Roman"/>
        <w:b/>
        <w:bCs/>
        <w:color w:val="FFFFFF"/>
      </w:rPr>
      <w:tblPr/>
      <w:tcPr>
        <w:tcBorders>
          <w:bottom w:val="single" w:sz="12" w:space="0" w:color="FFFFFF"/>
        </w:tcBorders>
        <w:shd w:val="clear" w:color="auto" w:fill="000018"/>
      </w:tcPr>
    </w:tblStylePr>
    <w:tblStylePr w:type="lastRow">
      <w:rPr>
        <w:rFonts w:cs="Times New Roman"/>
        <w:b/>
        <w:bCs/>
        <w:color w:val="00001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AFAF9"/>
      </w:tcPr>
    </w:tblStylePr>
    <w:tblStylePr w:type="band1Horz">
      <w:rPr>
        <w:rFonts w:cs="Times New Roman"/>
      </w:rPr>
      <w:tblPr/>
      <w:tcPr>
        <w:shd w:val="clear" w:color="auto" w:fill="FBFBFA"/>
      </w:tcPr>
    </w:tblStylePr>
  </w:style>
  <w:style w:type="paragraph" w:styleId="BodyTextIndent">
    <w:name w:val="Body Text Indent"/>
    <w:basedOn w:val="Normal"/>
    <w:link w:val="BodyTextIndentChar"/>
    <w:uiPriority w:val="99"/>
    <w:rsid w:val="00421521"/>
    <w:pPr>
      <w:spacing w:after="120"/>
      <w:ind w:left="283"/>
    </w:pPr>
    <w:rPr>
      <w:rFonts w:eastAsia="Times New Roman"/>
    </w:rPr>
  </w:style>
  <w:style w:type="character" w:customStyle="1" w:styleId="BodyTextIndentChar">
    <w:name w:val="Body Text Indent Char"/>
    <w:basedOn w:val="DefaultParagraphFont"/>
    <w:link w:val="BodyTextIndent"/>
    <w:uiPriority w:val="99"/>
    <w:locked/>
    <w:rsid w:val="00421521"/>
    <w:rPr>
      <w:rFonts w:eastAsia="Times New Roman" w:cs="Times New Roman"/>
      <w:color w:val="000000"/>
      <w:sz w:val="21"/>
      <w:szCs w:val="21"/>
      <w:lang w:eastAsia="en-US"/>
    </w:rPr>
  </w:style>
  <w:style w:type="paragraph" w:styleId="DocumentMap">
    <w:name w:val="Document Map"/>
    <w:basedOn w:val="Normal"/>
    <w:link w:val="DocumentMapChar"/>
    <w:uiPriority w:val="99"/>
    <w:semiHidden/>
    <w:rsid w:val="00E92D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A3874"/>
    <w:rPr>
      <w:rFonts w:ascii="Times New Roman" w:hAnsi="Times New Roman" w:cs="Times New Roman"/>
      <w:color w:val="000000"/>
      <w:sz w:val="2"/>
      <w:lang w:eastAsia="en-US"/>
    </w:rPr>
  </w:style>
  <w:style w:type="paragraph" w:customStyle="1" w:styleId="CharChar2CharCharCharCharCharCharCharCharCharChar">
    <w:name w:val="Char Char2 Char Char Char Char Char Char Char Char Char Char"/>
    <w:basedOn w:val="Normal"/>
    <w:uiPriority w:val="99"/>
    <w:rsid w:val="00F77E72"/>
    <w:pPr>
      <w:spacing w:after="160" w:line="240" w:lineRule="exact"/>
    </w:pPr>
    <w:rPr>
      <w:rFonts w:ascii="Verdana" w:eastAsia="Times New Roman" w:hAnsi="Verdana"/>
      <w:color w:val="auto"/>
      <w:sz w:val="20"/>
      <w:szCs w:val="20"/>
      <w:lang w:val="en-US"/>
    </w:rPr>
  </w:style>
  <w:style w:type="paragraph" w:customStyle="1" w:styleId="CharChar2CharCharCharCharCharCharCharCharCharCharCharCharCharCharCharCharCharCharCharCharCharCharCharCharChar">
    <w:name w:val="Char Char2 Char Char Char Char Char Char Char Char Char Char Char Char Char Char Char Char Char Char Char Char Char Char Char Char Char"/>
    <w:basedOn w:val="Normal"/>
    <w:uiPriority w:val="99"/>
    <w:rsid w:val="00B22551"/>
    <w:pPr>
      <w:spacing w:after="160" w:line="240" w:lineRule="exact"/>
    </w:pPr>
    <w:rPr>
      <w:rFonts w:ascii="Verdana" w:eastAsia="Times New Roman" w:hAnsi="Verdana"/>
      <w:color w:val="auto"/>
      <w:sz w:val="20"/>
      <w:szCs w:val="20"/>
      <w:lang w:val="en-US"/>
    </w:rPr>
  </w:style>
  <w:style w:type="paragraph" w:customStyle="1" w:styleId="exampletext0">
    <w:name w:val="exampletext"/>
    <w:basedOn w:val="Normal"/>
    <w:uiPriority w:val="99"/>
    <w:rsid w:val="00CC53A1"/>
    <w:pPr>
      <w:widowControl w:val="0"/>
      <w:adjustRightInd w:val="0"/>
      <w:spacing w:before="100" w:beforeAutospacing="1" w:after="100" w:afterAutospacing="1" w:line="360" w:lineRule="atLeast"/>
      <w:jc w:val="both"/>
      <w:textAlignment w:val="baseline"/>
    </w:pPr>
    <w:rPr>
      <w:rFonts w:ascii="Verdana" w:eastAsia="Times New Roman" w:hAnsi="Verdana"/>
      <w:sz w:val="17"/>
      <w:szCs w:val="17"/>
      <w:lang w:eastAsia="en-GB"/>
    </w:rPr>
  </w:style>
  <w:style w:type="paragraph" w:customStyle="1" w:styleId="examplebullet0">
    <w:name w:val="examplebullet"/>
    <w:basedOn w:val="Normal"/>
    <w:uiPriority w:val="99"/>
    <w:rsid w:val="00CC53A1"/>
    <w:pPr>
      <w:widowControl w:val="0"/>
      <w:adjustRightInd w:val="0"/>
      <w:spacing w:before="100" w:beforeAutospacing="1" w:after="100" w:afterAutospacing="1" w:line="360" w:lineRule="atLeast"/>
      <w:jc w:val="both"/>
      <w:textAlignment w:val="baseline"/>
    </w:pPr>
    <w:rPr>
      <w:rFonts w:ascii="Verdana" w:eastAsia="Times New Roman" w:hAnsi="Verdana"/>
      <w:color w:val="auto"/>
      <w:sz w:val="17"/>
      <w:szCs w:val="17"/>
      <w:lang w:eastAsia="en-GB"/>
    </w:rPr>
  </w:style>
  <w:style w:type="paragraph" w:customStyle="1" w:styleId="exampleend0">
    <w:name w:val="exampleend"/>
    <w:basedOn w:val="Normal"/>
    <w:uiPriority w:val="99"/>
    <w:rsid w:val="00424F92"/>
    <w:pPr>
      <w:widowControl w:val="0"/>
      <w:pBdr>
        <w:bottom w:val="single" w:sz="6" w:space="2" w:color="006F92"/>
      </w:pBdr>
      <w:adjustRightInd w:val="0"/>
      <w:spacing w:before="100" w:beforeAutospacing="1" w:after="100" w:afterAutospacing="1" w:line="360" w:lineRule="atLeast"/>
      <w:jc w:val="both"/>
      <w:textAlignment w:val="baseline"/>
    </w:pPr>
    <w:rPr>
      <w:rFonts w:ascii="Verdana" w:eastAsia="Times New Roman" w:hAnsi="Verdana"/>
      <w:sz w:val="17"/>
      <w:szCs w:val="17"/>
      <w:lang w:eastAsia="en-GB"/>
    </w:rPr>
  </w:style>
  <w:style w:type="paragraph" w:styleId="NormalWeb">
    <w:name w:val="Normal (Web)"/>
    <w:basedOn w:val="Normal"/>
    <w:uiPriority w:val="99"/>
    <w:rsid w:val="00A9519F"/>
    <w:pPr>
      <w:widowControl w:val="0"/>
      <w:adjustRightInd w:val="0"/>
      <w:spacing w:before="100" w:after="100" w:line="360" w:lineRule="atLeast"/>
      <w:jc w:val="both"/>
      <w:textAlignment w:val="baseline"/>
    </w:pPr>
    <w:rPr>
      <w:rFonts w:eastAsia="Times New Roman"/>
      <w:color w:val="auto"/>
      <w:sz w:val="20"/>
      <w:szCs w:val="20"/>
    </w:rPr>
  </w:style>
  <w:style w:type="paragraph" w:customStyle="1" w:styleId="Bullets">
    <w:name w:val="Bullets"/>
    <w:basedOn w:val="Normal"/>
    <w:uiPriority w:val="99"/>
    <w:rsid w:val="001174CA"/>
    <w:pPr>
      <w:widowControl w:val="0"/>
      <w:numPr>
        <w:numId w:val="18"/>
      </w:numPr>
      <w:tabs>
        <w:tab w:val="left" w:pos="3062"/>
      </w:tabs>
      <w:adjustRightInd w:val="0"/>
      <w:spacing w:before="30" w:after="0" w:line="264" w:lineRule="auto"/>
      <w:jc w:val="both"/>
      <w:textAlignment w:val="baseline"/>
    </w:pPr>
    <w:rPr>
      <w:rFonts w:ascii="Times" w:eastAsia="Times New Roman" w:hAnsi="Times"/>
      <w:color w:val="auto"/>
      <w:szCs w:val="20"/>
    </w:rPr>
  </w:style>
  <w:style w:type="paragraph" w:styleId="PlainText">
    <w:name w:val="Plain Text"/>
    <w:basedOn w:val="Normal"/>
    <w:link w:val="PlainTextChar"/>
    <w:uiPriority w:val="99"/>
    <w:rsid w:val="00BC65EE"/>
    <w:pPr>
      <w:widowControl w:val="0"/>
      <w:adjustRightInd w:val="0"/>
      <w:spacing w:after="0" w:line="360" w:lineRule="atLeast"/>
      <w:jc w:val="both"/>
      <w:textAlignment w:val="baseline"/>
    </w:pPr>
    <w:rPr>
      <w:rFonts w:ascii="Courier New" w:eastAsia="Times New Roman" w:hAnsi="Courier New"/>
      <w:color w:val="auto"/>
      <w:sz w:val="20"/>
      <w:szCs w:val="20"/>
    </w:rPr>
  </w:style>
  <w:style w:type="character" w:customStyle="1" w:styleId="PlainTextChar">
    <w:name w:val="Plain Text Char"/>
    <w:basedOn w:val="DefaultParagraphFont"/>
    <w:link w:val="PlainText"/>
    <w:uiPriority w:val="99"/>
    <w:locked/>
    <w:rsid w:val="00531867"/>
    <w:rPr>
      <w:rFonts w:ascii="Courier New" w:hAnsi="Courier New" w:cs="Times New Roman"/>
      <w:lang w:val="en-GB" w:eastAsia="en-US" w:bidi="ar-SA"/>
    </w:rPr>
  </w:style>
  <w:style w:type="paragraph" w:customStyle="1" w:styleId="PolicyHeader">
    <w:name w:val="Policy Header"/>
    <w:basedOn w:val="Normal"/>
    <w:next w:val="Normal"/>
    <w:uiPriority w:val="99"/>
    <w:rsid w:val="00F31A9D"/>
    <w:pPr>
      <w:widowControl w:val="0"/>
      <w:adjustRightInd w:val="0"/>
      <w:spacing w:after="0" w:line="360" w:lineRule="atLeast"/>
      <w:jc w:val="both"/>
      <w:textAlignment w:val="baseline"/>
    </w:pPr>
    <w:rPr>
      <w:rFonts w:ascii="Times New Roman" w:eastAsia="Times New Roman" w:hAnsi="Times New Roman"/>
      <w:b/>
      <w:color w:val="auto"/>
      <w:sz w:val="24"/>
      <w:szCs w:val="20"/>
    </w:rPr>
  </w:style>
  <w:style w:type="paragraph" w:customStyle="1" w:styleId="Quick1">
    <w:name w:val="Quick 1."/>
    <w:basedOn w:val="Normal"/>
    <w:uiPriority w:val="99"/>
    <w:rsid w:val="00F31A9D"/>
    <w:pPr>
      <w:widowControl w:val="0"/>
      <w:numPr>
        <w:numId w:val="19"/>
      </w:numPr>
      <w:spacing w:after="0" w:line="240" w:lineRule="auto"/>
      <w:jc w:val="both"/>
    </w:pPr>
    <w:rPr>
      <w:rFonts w:ascii="Times New Roman" w:eastAsia="Times New Roman" w:hAnsi="Times New Roman"/>
      <w:color w:val="auto"/>
      <w:sz w:val="24"/>
      <w:szCs w:val="20"/>
    </w:rPr>
  </w:style>
  <w:style w:type="paragraph" w:styleId="BodyText3">
    <w:name w:val="Body Text 3"/>
    <w:basedOn w:val="Normal"/>
    <w:link w:val="BodyText3Char"/>
    <w:uiPriority w:val="99"/>
    <w:rsid w:val="00131B9B"/>
    <w:pPr>
      <w:spacing w:after="120"/>
    </w:pPr>
    <w:rPr>
      <w:sz w:val="16"/>
      <w:szCs w:val="16"/>
    </w:rPr>
  </w:style>
  <w:style w:type="character" w:customStyle="1" w:styleId="BodyText3Char">
    <w:name w:val="Body Text 3 Char"/>
    <w:basedOn w:val="DefaultParagraphFont"/>
    <w:link w:val="BodyText3"/>
    <w:uiPriority w:val="99"/>
    <w:semiHidden/>
    <w:locked/>
    <w:rsid w:val="00CA3874"/>
    <w:rPr>
      <w:rFonts w:cs="Times New Roman"/>
      <w:color w:val="000000"/>
      <w:sz w:val="16"/>
      <w:szCs w:val="16"/>
      <w:lang w:eastAsia="en-US"/>
    </w:rPr>
  </w:style>
  <w:style w:type="character" w:styleId="PageNumber">
    <w:name w:val="page number"/>
    <w:basedOn w:val="DefaultParagraphFont"/>
    <w:uiPriority w:val="99"/>
    <w:rsid w:val="00351DE5"/>
    <w:rPr>
      <w:rFonts w:cs="Times New Roman"/>
    </w:rPr>
  </w:style>
  <w:style w:type="paragraph" w:styleId="BodyTextFirstIndent">
    <w:name w:val="Body Text First Indent"/>
    <w:basedOn w:val="BodyText"/>
    <w:link w:val="BodyTextFirstIndentChar"/>
    <w:uiPriority w:val="99"/>
    <w:rsid w:val="00DE60BE"/>
    <w:pPr>
      <w:spacing w:after="120"/>
      <w:ind w:firstLine="210"/>
    </w:pPr>
  </w:style>
  <w:style w:type="character" w:customStyle="1" w:styleId="BodyTextFirstIndentChar">
    <w:name w:val="Body Text First Indent Char"/>
    <w:basedOn w:val="BodyTextChar"/>
    <w:link w:val="BodyTextFirstIndent"/>
    <w:uiPriority w:val="99"/>
    <w:locked/>
    <w:rsid w:val="00CA3874"/>
    <w:rPr>
      <w:rFonts w:cs="Times New Roman"/>
      <w:color w:val="000000"/>
      <w:sz w:val="21"/>
      <w:szCs w:val="21"/>
      <w:lang w:eastAsia="en-US"/>
    </w:rPr>
  </w:style>
  <w:style w:type="paragraph" w:customStyle="1" w:styleId="Default">
    <w:name w:val="Default"/>
    <w:rsid w:val="00710490"/>
    <w:pPr>
      <w:autoSpaceDE w:val="0"/>
      <w:autoSpaceDN w:val="0"/>
      <w:adjustRightInd w:val="0"/>
    </w:pPr>
    <w:rPr>
      <w:rFonts w:ascii="Gill Sans MT" w:eastAsia="Times New Roman" w:hAnsi="Gill Sans MT" w:cs="Gill Sans MT"/>
      <w:color w:val="000000"/>
      <w:sz w:val="24"/>
      <w:szCs w:val="24"/>
    </w:rPr>
  </w:style>
  <w:style w:type="paragraph" w:styleId="NormalIndent">
    <w:name w:val="Normal Indent"/>
    <w:basedOn w:val="Normal"/>
    <w:uiPriority w:val="99"/>
    <w:rsid w:val="006D2BE5"/>
    <w:pPr>
      <w:ind w:left="720"/>
    </w:pPr>
  </w:style>
  <w:style w:type="table" w:customStyle="1" w:styleId="TableGrid1">
    <w:name w:val="Table Grid1"/>
    <w:uiPriority w:val="99"/>
    <w:rsid w:val="00C139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8248E"/>
    <w:rPr>
      <w:rFonts w:cs="Times New Roman"/>
      <w:color w:val="800080"/>
      <w:u w:val="single"/>
    </w:rPr>
  </w:style>
  <w:style w:type="paragraph" w:styleId="NoSpacing">
    <w:name w:val="No Spacing"/>
    <w:uiPriority w:val="99"/>
    <w:qFormat/>
    <w:rsid w:val="00531867"/>
    <w:rPr>
      <w:rFonts w:ascii="Times New Roman" w:eastAsia="Times New Roman" w:hAnsi="Times New Roman"/>
      <w:sz w:val="24"/>
      <w:szCs w:val="24"/>
    </w:rPr>
  </w:style>
  <w:style w:type="paragraph" w:styleId="BodyText2">
    <w:name w:val="Body Text 2"/>
    <w:basedOn w:val="Normal"/>
    <w:link w:val="BodyText2Char"/>
    <w:uiPriority w:val="99"/>
    <w:rsid w:val="00A43F71"/>
    <w:pPr>
      <w:spacing w:after="120" w:line="480" w:lineRule="auto"/>
    </w:pPr>
  </w:style>
  <w:style w:type="character" w:customStyle="1" w:styleId="BodyText2Char">
    <w:name w:val="Body Text 2 Char"/>
    <w:basedOn w:val="DefaultParagraphFont"/>
    <w:link w:val="BodyText2"/>
    <w:uiPriority w:val="99"/>
    <w:locked/>
    <w:rsid w:val="00A43F71"/>
    <w:rPr>
      <w:rFonts w:cs="Times New Roman"/>
      <w:color w:val="000000"/>
      <w:sz w:val="21"/>
      <w:szCs w:val="21"/>
      <w:lang w:eastAsia="en-US"/>
    </w:rPr>
  </w:style>
  <w:style w:type="paragraph" w:customStyle="1" w:styleId="inlinenormal">
    <w:name w:val="inlinenormal"/>
    <w:basedOn w:val="Normal"/>
    <w:rsid w:val="00A43F71"/>
    <w:pPr>
      <w:autoSpaceDN w:val="0"/>
      <w:spacing w:before="120" w:after="60" w:line="264" w:lineRule="auto"/>
    </w:pPr>
    <w:rPr>
      <w:rFonts w:eastAsia="Times New Roman" w:cs="Arial"/>
      <w:color w:val="auto"/>
      <w:sz w:val="24"/>
      <w:szCs w:val="24"/>
      <w:lang w:eastAsia="en-GB"/>
    </w:rPr>
  </w:style>
  <w:style w:type="numbering" w:customStyle="1" w:styleId="PwCListNumbers1">
    <w:name w:val="PwC List Numbers 1"/>
    <w:rsid w:val="004C4D37"/>
    <w:pPr>
      <w:numPr>
        <w:numId w:val="2"/>
      </w:numPr>
    </w:pPr>
  </w:style>
  <w:style w:type="numbering" w:customStyle="1" w:styleId="PwCListBullets1">
    <w:name w:val="PwC List Bullets 1"/>
    <w:rsid w:val="004C4D37"/>
    <w:pPr>
      <w:numPr>
        <w:numId w:val="1"/>
      </w:numPr>
    </w:pPr>
  </w:style>
  <w:style w:type="table" w:styleId="MediumGrid2-Accent5">
    <w:name w:val="Medium Grid 2 Accent 5"/>
    <w:basedOn w:val="TableNormal"/>
    <w:uiPriority w:val="68"/>
    <w:rsid w:val="0076201A"/>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Grid-Accent4">
    <w:name w:val="Light Grid Accent 4"/>
    <w:basedOn w:val="TableNormal"/>
    <w:uiPriority w:val="62"/>
    <w:rsid w:val="0076201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1-Accent4">
    <w:name w:val="Medium List 1 Accent 4"/>
    <w:basedOn w:val="TableNormal"/>
    <w:uiPriority w:val="65"/>
    <w:rsid w:val="0076201A"/>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6">
    <w:name w:val="Medium Shading 1 Accent 6"/>
    <w:basedOn w:val="TableNormal"/>
    <w:uiPriority w:val="63"/>
    <w:rsid w:val="00A407A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F06E6"/>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4">
    <w:name w:val="Light Shading Accent 4"/>
    <w:basedOn w:val="TableNormal"/>
    <w:uiPriority w:val="60"/>
    <w:rsid w:val="0006709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6">
    <w:name w:val="Light List Accent 6"/>
    <w:basedOn w:val="TableNormal"/>
    <w:uiPriority w:val="61"/>
    <w:rsid w:val="00D25D2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MediumShading1-Accent12">
    <w:name w:val="Medium Shading 1 - Accent 12"/>
    <w:basedOn w:val="TableNormal"/>
    <w:uiPriority w:val="63"/>
    <w:rsid w:val="0045209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8B6BC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Table3-Accent51">
    <w:name w:val="List Table 3 - Accent 51"/>
    <w:basedOn w:val="TableNormal"/>
    <w:uiPriority w:val="48"/>
    <w:rsid w:val="00B93EE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4-Accent51">
    <w:name w:val="List Table 4 - Accent 51"/>
    <w:basedOn w:val="TableNormal"/>
    <w:uiPriority w:val="49"/>
    <w:rsid w:val="00373F87"/>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1">
    <w:name w:val="Grid Table 4 - Accent 51"/>
    <w:basedOn w:val="TableNormal"/>
    <w:uiPriority w:val="49"/>
    <w:rsid w:val="00701F5B"/>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23">
    <w:name w:val="Pa23"/>
    <w:basedOn w:val="Normal"/>
    <w:next w:val="Normal"/>
    <w:uiPriority w:val="99"/>
    <w:rsid w:val="00C13C79"/>
    <w:pPr>
      <w:autoSpaceDE w:val="0"/>
      <w:autoSpaceDN w:val="0"/>
      <w:adjustRightInd w:val="0"/>
      <w:spacing w:after="0" w:line="201" w:lineRule="atLeast"/>
    </w:pPr>
    <w:rPr>
      <w:rFonts w:ascii="FS Lola" w:eastAsiaTheme="minorHAnsi" w:hAnsi="FS Lola" w:cstheme="minorBidi"/>
      <w:color w:val="auto"/>
      <w:sz w:val="24"/>
      <w:szCs w:val="24"/>
    </w:rPr>
  </w:style>
  <w:style w:type="paragraph" w:styleId="EndnoteText">
    <w:name w:val="endnote text"/>
    <w:basedOn w:val="Normal"/>
    <w:link w:val="EndnoteTextChar"/>
    <w:uiPriority w:val="99"/>
    <w:semiHidden/>
    <w:unhideWhenUsed/>
    <w:locked/>
    <w:rsid w:val="00292A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2A4B"/>
    <w:rPr>
      <w:color w:val="000000"/>
      <w:lang w:eastAsia="en-US"/>
    </w:rPr>
  </w:style>
  <w:style w:type="character" w:styleId="EndnoteReference">
    <w:name w:val="endnote reference"/>
    <w:basedOn w:val="DefaultParagraphFont"/>
    <w:uiPriority w:val="99"/>
    <w:semiHidden/>
    <w:unhideWhenUsed/>
    <w:locked/>
    <w:rsid w:val="00292A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PwCListNumbers1"/>
    <w:pPr>
      <w:numPr>
        <w:numId w:val="2"/>
      </w:numPr>
    </w:pPr>
  </w:style>
  <w:style w:type="numbering" w:customStyle="1" w:styleId="Heading2Char">
    <w:name w:val="PwCListBullets1"/>
    <w:pPr>
      <w:numPr>
        <w:numId w:val="1"/>
      </w:numPr>
    </w:pPr>
  </w:style>
</w:styles>
</file>

<file path=word/webSettings.xml><?xml version="1.0" encoding="utf-8"?>
<w:webSettings xmlns:r="http://schemas.openxmlformats.org/officeDocument/2006/relationships" xmlns:w="http://schemas.openxmlformats.org/wordprocessingml/2006/main">
  <w:divs>
    <w:div w:id="270548224">
      <w:bodyDiv w:val="1"/>
      <w:marLeft w:val="0"/>
      <w:marRight w:val="0"/>
      <w:marTop w:val="0"/>
      <w:marBottom w:val="0"/>
      <w:divBdr>
        <w:top w:val="none" w:sz="0" w:space="0" w:color="auto"/>
        <w:left w:val="none" w:sz="0" w:space="0" w:color="auto"/>
        <w:bottom w:val="none" w:sz="0" w:space="0" w:color="auto"/>
        <w:right w:val="none" w:sz="0" w:space="0" w:color="auto"/>
      </w:divBdr>
    </w:div>
    <w:div w:id="353502115">
      <w:bodyDiv w:val="1"/>
      <w:marLeft w:val="0"/>
      <w:marRight w:val="0"/>
      <w:marTop w:val="0"/>
      <w:marBottom w:val="0"/>
      <w:divBdr>
        <w:top w:val="none" w:sz="0" w:space="0" w:color="auto"/>
        <w:left w:val="none" w:sz="0" w:space="0" w:color="auto"/>
        <w:bottom w:val="none" w:sz="0" w:space="0" w:color="auto"/>
        <w:right w:val="none" w:sz="0" w:space="0" w:color="auto"/>
      </w:divBdr>
    </w:div>
    <w:div w:id="463279622">
      <w:bodyDiv w:val="1"/>
      <w:marLeft w:val="0"/>
      <w:marRight w:val="0"/>
      <w:marTop w:val="0"/>
      <w:marBottom w:val="0"/>
      <w:divBdr>
        <w:top w:val="none" w:sz="0" w:space="0" w:color="auto"/>
        <w:left w:val="none" w:sz="0" w:space="0" w:color="auto"/>
        <w:bottom w:val="none" w:sz="0" w:space="0" w:color="auto"/>
        <w:right w:val="none" w:sz="0" w:space="0" w:color="auto"/>
      </w:divBdr>
    </w:div>
    <w:div w:id="491986895">
      <w:bodyDiv w:val="1"/>
      <w:marLeft w:val="0"/>
      <w:marRight w:val="0"/>
      <w:marTop w:val="0"/>
      <w:marBottom w:val="0"/>
      <w:divBdr>
        <w:top w:val="none" w:sz="0" w:space="0" w:color="auto"/>
        <w:left w:val="none" w:sz="0" w:space="0" w:color="auto"/>
        <w:bottom w:val="none" w:sz="0" w:space="0" w:color="auto"/>
        <w:right w:val="none" w:sz="0" w:space="0" w:color="auto"/>
      </w:divBdr>
    </w:div>
    <w:div w:id="822038815">
      <w:bodyDiv w:val="1"/>
      <w:marLeft w:val="0"/>
      <w:marRight w:val="0"/>
      <w:marTop w:val="0"/>
      <w:marBottom w:val="0"/>
      <w:divBdr>
        <w:top w:val="none" w:sz="0" w:space="0" w:color="auto"/>
        <w:left w:val="none" w:sz="0" w:space="0" w:color="auto"/>
        <w:bottom w:val="none" w:sz="0" w:space="0" w:color="auto"/>
        <w:right w:val="none" w:sz="0" w:space="0" w:color="auto"/>
      </w:divBdr>
    </w:div>
    <w:div w:id="843979928">
      <w:bodyDiv w:val="1"/>
      <w:marLeft w:val="0"/>
      <w:marRight w:val="0"/>
      <w:marTop w:val="0"/>
      <w:marBottom w:val="0"/>
      <w:divBdr>
        <w:top w:val="none" w:sz="0" w:space="0" w:color="auto"/>
        <w:left w:val="none" w:sz="0" w:space="0" w:color="auto"/>
        <w:bottom w:val="none" w:sz="0" w:space="0" w:color="auto"/>
        <w:right w:val="none" w:sz="0" w:space="0" w:color="auto"/>
      </w:divBdr>
    </w:div>
    <w:div w:id="865948267">
      <w:bodyDiv w:val="1"/>
      <w:marLeft w:val="0"/>
      <w:marRight w:val="0"/>
      <w:marTop w:val="0"/>
      <w:marBottom w:val="0"/>
      <w:divBdr>
        <w:top w:val="none" w:sz="0" w:space="0" w:color="auto"/>
        <w:left w:val="none" w:sz="0" w:space="0" w:color="auto"/>
        <w:bottom w:val="none" w:sz="0" w:space="0" w:color="auto"/>
        <w:right w:val="none" w:sz="0" w:space="0" w:color="auto"/>
      </w:divBdr>
    </w:div>
    <w:div w:id="1016731464">
      <w:bodyDiv w:val="1"/>
      <w:marLeft w:val="0"/>
      <w:marRight w:val="0"/>
      <w:marTop w:val="0"/>
      <w:marBottom w:val="0"/>
      <w:divBdr>
        <w:top w:val="none" w:sz="0" w:space="0" w:color="auto"/>
        <w:left w:val="none" w:sz="0" w:space="0" w:color="auto"/>
        <w:bottom w:val="none" w:sz="0" w:space="0" w:color="auto"/>
        <w:right w:val="none" w:sz="0" w:space="0" w:color="auto"/>
      </w:divBdr>
    </w:div>
    <w:div w:id="1046416147">
      <w:marLeft w:val="0"/>
      <w:marRight w:val="0"/>
      <w:marTop w:val="0"/>
      <w:marBottom w:val="0"/>
      <w:divBdr>
        <w:top w:val="none" w:sz="0" w:space="0" w:color="auto"/>
        <w:left w:val="none" w:sz="0" w:space="0" w:color="auto"/>
        <w:bottom w:val="none" w:sz="0" w:space="0" w:color="auto"/>
        <w:right w:val="none" w:sz="0" w:space="0" w:color="auto"/>
      </w:divBdr>
    </w:div>
    <w:div w:id="104641614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46416155">
      <w:marLeft w:val="0"/>
      <w:marRight w:val="0"/>
      <w:marTop w:val="0"/>
      <w:marBottom w:val="0"/>
      <w:divBdr>
        <w:top w:val="none" w:sz="0" w:space="0" w:color="auto"/>
        <w:left w:val="none" w:sz="0" w:space="0" w:color="auto"/>
        <w:bottom w:val="none" w:sz="0" w:space="0" w:color="auto"/>
        <w:right w:val="none" w:sz="0" w:space="0" w:color="auto"/>
      </w:divBdr>
    </w:div>
    <w:div w:id="1046416157">
      <w:marLeft w:val="0"/>
      <w:marRight w:val="0"/>
      <w:marTop w:val="0"/>
      <w:marBottom w:val="0"/>
      <w:divBdr>
        <w:top w:val="none" w:sz="0" w:space="0" w:color="auto"/>
        <w:left w:val="none" w:sz="0" w:space="0" w:color="auto"/>
        <w:bottom w:val="none" w:sz="0" w:space="0" w:color="auto"/>
        <w:right w:val="none" w:sz="0" w:space="0" w:color="auto"/>
      </w:divBdr>
    </w:div>
    <w:div w:id="1046416160">
      <w:marLeft w:val="0"/>
      <w:marRight w:val="0"/>
      <w:marTop w:val="0"/>
      <w:marBottom w:val="0"/>
      <w:divBdr>
        <w:top w:val="none" w:sz="0" w:space="0" w:color="auto"/>
        <w:left w:val="none" w:sz="0" w:space="0" w:color="auto"/>
        <w:bottom w:val="none" w:sz="0" w:space="0" w:color="auto"/>
        <w:right w:val="none" w:sz="0" w:space="0" w:color="auto"/>
      </w:divBdr>
    </w:div>
    <w:div w:id="1046416161">
      <w:marLeft w:val="0"/>
      <w:marRight w:val="0"/>
      <w:marTop w:val="0"/>
      <w:marBottom w:val="0"/>
      <w:divBdr>
        <w:top w:val="none" w:sz="0" w:space="0" w:color="auto"/>
        <w:left w:val="none" w:sz="0" w:space="0" w:color="auto"/>
        <w:bottom w:val="none" w:sz="0" w:space="0" w:color="auto"/>
        <w:right w:val="none" w:sz="0" w:space="0" w:color="auto"/>
      </w:divBdr>
    </w:div>
    <w:div w:id="1046416162">
      <w:marLeft w:val="0"/>
      <w:marRight w:val="0"/>
      <w:marTop w:val="0"/>
      <w:marBottom w:val="0"/>
      <w:divBdr>
        <w:top w:val="none" w:sz="0" w:space="0" w:color="auto"/>
        <w:left w:val="none" w:sz="0" w:space="0" w:color="auto"/>
        <w:bottom w:val="none" w:sz="0" w:space="0" w:color="auto"/>
        <w:right w:val="none" w:sz="0" w:space="0" w:color="auto"/>
      </w:divBdr>
    </w:div>
    <w:div w:id="1046416163">
      <w:marLeft w:val="0"/>
      <w:marRight w:val="0"/>
      <w:marTop w:val="0"/>
      <w:marBottom w:val="0"/>
      <w:divBdr>
        <w:top w:val="none" w:sz="0" w:space="0" w:color="auto"/>
        <w:left w:val="none" w:sz="0" w:space="0" w:color="auto"/>
        <w:bottom w:val="none" w:sz="0" w:space="0" w:color="auto"/>
        <w:right w:val="none" w:sz="0" w:space="0" w:color="auto"/>
      </w:divBdr>
      <w:divsChild>
        <w:div w:id="1046416165">
          <w:marLeft w:val="0"/>
          <w:marRight w:val="0"/>
          <w:marTop w:val="0"/>
          <w:marBottom w:val="0"/>
          <w:divBdr>
            <w:top w:val="none" w:sz="0" w:space="0" w:color="auto"/>
            <w:left w:val="none" w:sz="0" w:space="0" w:color="auto"/>
            <w:bottom w:val="none" w:sz="0" w:space="0" w:color="auto"/>
            <w:right w:val="none" w:sz="0" w:space="0" w:color="auto"/>
          </w:divBdr>
          <w:divsChild>
            <w:div w:id="1046416169">
              <w:marLeft w:val="0"/>
              <w:marRight w:val="0"/>
              <w:marTop w:val="0"/>
              <w:marBottom w:val="0"/>
              <w:divBdr>
                <w:top w:val="none" w:sz="0" w:space="0" w:color="auto"/>
                <w:left w:val="none" w:sz="0" w:space="0" w:color="auto"/>
                <w:bottom w:val="none" w:sz="0" w:space="0" w:color="auto"/>
                <w:right w:val="none" w:sz="0" w:space="0" w:color="auto"/>
              </w:divBdr>
              <w:divsChild>
                <w:div w:id="1046416156">
                  <w:marLeft w:val="0"/>
                  <w:marRight w:val="0"/>
                  <w:marTop w:val="0"/>
                  <w:marBottom w:val="0"/>
                  <w:divBdr>
                    <w:top w:val="none" w:sz="0" w:space="0" w:color="auto"/>
                    <w:left w:val="none" w:sz="0" w:space="0" w:color="auto"/>
                    <w:bottom w:val="none" w:sz="0" w:space="0" w:color="auto"/>
                    <w:right w:val="none" w:sz="0" w:space="0" w:color="auto"/>
                  </w:divBdr>
                  <w:divsChild>
                    <w:div w:id="1046416198">
                      <w:marLeft w:val="0"/>
                      <w:marRight w:val="0"/>
                      <w:marTop w:val="0"/>
                      <w:marBottom w:val="0"/>
                      <w:divBdr>
                        <w:top w:val="none" w:sz="0" w:space="0" w:color="auto"/>
                        <w:left w:val="none" w:sz="0" w:space="0" w:color="auto"/>
                        <w:bottom w:val="none" w:sz="0" w:space="0" w:color="auto"/>
                        <w:right w:val="none" w:sz="0" w:space="0" w:color="auto"/>
                      </w:divBdr>
                      <w:divsChild>
                        <w:div w:id="10464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16164">
      <w:marLeft w:val="0"/>
      <w:marRight w:val="0"/>
      <w:marTop w:val="0"/>
      <w:marBottom w:val="0"/>
      <w:divBdr>
        <w:top w:val="none" w:sz="0" w:space="0" w:color="auto"/>
        <w:left w:val="none" w:sz="0" w:space="0" w:color="auto"/>
        <w:bottom w:val="none" w:sz="0" w:space="0" w:color="auto"/>
        <w:right w:val="none" w:sz="0" w:space="0" w:color="auto"/>
      </w:divBdr>
    </w:div>
    <w:div w:id="1046416170">
      <w:marLeft w:val="0"/>
      <w:marRight w:val="0"/>
      <w:marTop w:val="0"/>
      <w:marBottom w:val="0"/>
      <w:divBdr>
        <w:top w:val="none" w:sz="0" w:space="0" w:color="auto"/>
        <w:left w:val="none" w:sz="0" w:space="0" w:color="auto"/>
        <w:bottom w:val="none" w:sz="0" w:space="0" w:color="auto"/>
        <w:right w:val="none" w:sz="0" w:space="0" w:color="auto"/>
      </w:divBdr>
      <w:divsChild>
        <w:div w:id="1046416148">
          <w:marLeft w:val="0"/>
          <w:marRight w:val="0"/>
          <w:marTop w:val="0"/>
          <w:marBottom w:val="0"/>
          <w:divBdr>
            <w:top w:val="none" w:sz="0" w:space="0" w:color="auto"/>
            <w:left w:val="none" w:sz="0" w:space="0" w:color="auto"/>
            <w:bottom w:val="none" w:sz="0" w:space="0" w:color="auto"/>
            <w:right w:val="none" w:sz="0" w:space="0" w:color="auto"/>
          </w:divBdr>
          <w:divsChild>
            <w:div w:id="1046416151">
              <w:marLeft w:val="0"/>
              <w:marRight w:val="0"/>
              <w:marTop w:val="0"/>
              <w:marBottom w:val="0"/>
              <w:divBdr>
                <w:top w:val="none" w:sz="0" w:space="0" w:color="auto"/>
                <w:left w:val="none" w:sz="0" w:space="0" w:color="auto"/>
                <w:bottom w:val="none" w:sz="0" w:space="0" w:color="auto"/>
                <w:right w:val="none" w:sz="0" w:space="0" w:color="auto"/>
              </w:divBdr>
              <w:divsChild>
                <w:div w:id="1046416205">
                  <w:marLeft w:val="0"/>
                  <w:marRight w:val="0"/>
                  <w:marTop w:val="53"/>
                  <w:marBottom w:val="53"/>
                  <w:divBdr>
                    <w:top w:val="single" w:sz="6" w:space="0" w:color="FFFFFF"/>
                    <w:left w:val="single" w:sz="6" w:space="0" w:color="FFFFFF"/>
                    <w:bottom w:val="single" w:sz="6" w:space="0" w:color="FFFFFF"/>
                    <w:right w:val="single" w:sz="6" w:space="0" w:color="FFFFFF"/>
                  </w:divBdr>
                  <w:divsChild>
                    <w:div w:id="1046416206">
                      <w:marLeft w:val="0"/>
                      <w:marRight w:val="0"/>
                      <w:marTop w:val="0"/>
                      <w:marBottom w:val="0"/>
                      <w:divBdr>
                        <w:top w:val="none" w:sz="0" w:space="0" w:color="auto"/>
                        <w:left w:val="none" w:sz="0" w:space="0" w:color="auto"/>
                        <w:bottom w:val="single" w:sz="6" w:space="7" w:color="999999"/>
                        <w:right w:val="none" w:sz="0" w:space="0" w:color="auto"/>
                      </w:divBdr>
                      <w:divsChild>
                        <w:div w:id="1046416208">
                          <w:marLeft w:val="0"/>
                          <w:marRight w:val="0"/>
                          <w:marTop w:val="0"/>
                          <w:marBottom w:val="240"/>
                          <w:divBdr>
                            <w:top w:val="none" w:sz="0" w:space="0" w:color="auto"/>
                            <w:left w:val="none" w:sz="0" w:space="0" w:color="auto"/>
                            <w:bottom w:val="none" w:sz="0" w:space="0" w:color="auto"/>
                            <w:right w:val="none" w:sz="0" w:space="0" w:color="auto"/>
                          </w:divBdr>
                          <w:divsChild>
                            <w:div w:id="10464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16171">
      <w:marLeft w:val="0"/>
      <w:marRight w:val="0"/>
      <w:marTop w:val="0"/>
      <w:marBottom w:val="0"/>
      <w:divBdr>
        <w:top w:val="none" w:sz="0" w:space="0" w:color="auto"/>
        <w:left w:val="none" w:sz="0" w:space="0" w:color="auto"/>
        <w:bottom w:val="none" w:sz="0" w:space="0" w:color="auto"/>
        <w:right w:val="none" w:sz="0" w:space="0" w:color="auto"/>
      </w:divBdr>
    </w:div>
    <w:div w:id="1046416172">
      <w:marLeft w:val="0"/>
      <w:marRight w:val="0"/>
      <w:marTop w:val="0"/>
      <w:marBottom w:val="0"/>
      <w:divBdr>
        <w:top w:val="none" w:sz="0" w:space="0" w:color="auto"/>
        <w:left w:val="none" w:sz="0" w:space="0" w:color="auto"/>
        <w:bottom w:val="none" w:sz="0" w:space="0" w:color="auto"/>
        <w:right w:val="none" w:sz="0" w:space="0" w:color="auto"/>
      </w:divBdr>
      <w:divsChild>
        <w:div w:id="1046416189">
          <w:marLeft w:val="0"/>
          <w:marRight w:val="0"/>
          <w:marTop w:val="0"/>
          <w:marBottom w:val="0"/>
          <w:divBdr>
            <w:top w:val="none" w:sz="0" w:space="0" w:color="auto"/>
            <w:left w:val="none" w:sz="0" w:space="0" w:color="auto"/>
            <w:bottom w:val="none" w:sz="0" w:space="0" w:color="auto"/>
            <w:right w:val="none" w:sz="0" w:space="0" w:color="auto"/>
          </w:divBdr>
          <w:divsChild>
            <w:div w:id="1046416185">
              <w:marLeft w:val="0"/>
              <w:marRight w:val="0"/>
              <w:marTop w:val="0"/>
              <w:marBottom w:val="0"/>
              <w:divBdr>
                <w:top w:val="none" w:sz="0" w:space="0" w:color="auto"/>
                <w:left w:val="none" w:sz="0" w:space="0" w:color="auto"/>
                <w:bottom w:val="none" w:sz="0" w:space="0" w:color="auto"/>
                <w:right w:val="none" w:sz="0" w:space="0" w:color="auto"/>
              </w:divBdr>
              <w:divsChild>
                <w:div w:id="1046416178">
                  <w:marLeft w:val="0"/>
                  <w:marRight w:val="0"/>
                  <w:marTop w:val="0"/>
                  <w:marBottom w:val="0"/>
                  <w:divBdr>
                    <w:top w:val="none" w:sz="0" w:space="0" w:color="auto"/>
                    <w:left w:val="none" w:sz="0" w:space="0" w:color="auto"/>
                    <w:bottom w:val="none" w:sz="0" w:space="0" w:color="auto"/>
                    <w:right w:val="none" w:sz="0" w:space="0" w:color="auto"/>
                  </w:divBdr>
                  <w:divsChild>
                    <w:div w:id="1046416188">
                      <w:marLeft w:val="0"/>
                      <w:marRight w:val="0"/>
                      <w:marTop w:val="0"/>
                      <w:marBottom w:val="0"/>
                      <w:divBdr>
                        <w:top w:val="none" w:sz="0" w:space="0" w:color="auto"/>
                        <w:left w:val="none" w:sz="0" w:space="0" w:color="auto"/>
                        <w:bottom w:val="none" w:sz="0" w:space="0" w:color="auto"/>
                        <w:right w:val="none" w:sz="0" w:space="0" w:color="auto"/>
                      </w:divBdr>
                      <w:divsChild>
                        <w:div w:id="1046416158">
                          <w:marLeft w:val="0"/>
                          <w:marRight w:val="0"/>
                          <w:marTop w:val="0"/>
                          <w:marBottom w:val="0"/>
                          <w:divBdr>
                            <w:top w:val="none" w:sz="0" w:space="0" w:color="auto"/>
                            <w:left w:val="none" w:sz="0" w:space="0" w:color="auto"/>
                            <w:bottom w:val="none" w:sz="0" w:space="0" w:color="auto"/>
                            <w:right w:val="none" w:sz="0" w:space="0" w:color="auto"/>
                          </w:divBdr>
                          <w:divsChild>
                            <w:div w:id="10464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16175">
      <w:marLeft w:val="0"/>
      <w:marRight w:val="0"/>
      <w:marTop w:val="0"/>
      <w:marBottom w:val="0"/>
      <w:divBdr>
        <w:top w:val="none" w:sz="0" w:space="0" w:color="auto"/>
        <w:left w:val="none" w:sz="0" w:space="0" w:color="auto"/>
        <w:bottom w:val="none" w:sz="0" w:space="0" w:color="auto"/>
        <w:right w:val="none" w:sz="0" w:space="0" w:color="auto"/>
      </w:divBdr>
    </w:div>
    <w:div w:id="1046416177">
      <w:marLeft w:val="0"/>
      <w:marRight w:val="0"/>
      <w:marTop w:val="0"/>
      <w:marBottom w:val="0"/>
      <w:divBdr>
        <w:top w:val="none" w:sz="0" w:space="0" w:color="auto"/>
        <w:left w:val="none" w:sz="0" w:space="0" w:color="auto"/>
        <w:bottom w:val="none" w:sz="0" w:space="0" w:color="auto"/>
        <w:right w:val="none" w:sz="0" w:space="0" w:color="auto"/>
      </w:divBdr>
      <w:divsChild>
        <w:div w:id="1046416168">
          <w:marLeft w:val="0"/>
          <w:marRight w:val="0"/>
          <w:marTop w:val="0"/>
          <w:marBottom w:val="0"/>
          <w:divBdr>
            <w:top w:val="none" w:sz="0" w:space="0" w:color="auto"/>
            <w:left w:val="none" w:sz="0" w:space="0" w:color="auto"/>
            <w:bottom w:val="none" w:sz="0" w:space="0" w:color="auto"/>
            <w:right w:val="none" w:sz="0" w:space="0" w:color="auto"/>
          </w:divBdr>
          <w:divsChild>
            <w:div w:id="1046416191">
              <w:marLeft w:val="0"/>
              <w:marRight w:val="0"/>
              <w:marTop w:val="0"/>
              <w:marBottom w:val="0"/>
              <w:divBdr>
                <w:top w:val="none" w:sz="0" w:space="0" w:color="auto"/>
                <w:left w:val="none" w:sz="0" w:space="0" w:color="auto"/>
                <w:bottom w:val="none" w:sz="0" w:space="0" w:color="auto"/>
                <w:right w:val="none" w:sz="0" w:space="0" w:color="auto"/>
              </w:divBdr>
              <w:divsChild>
                <w:div w:id="1046416174">
                  <w:marLeft w:val="0"/>
                  <w:marRight w:val="0"/>
                  <w:marTop w:val="53"/>
                  <w:marBottom w:val="53"/>
                  <w:divBdr>
                    <w:top w:val="single" w:sz="6" w:space="0" w:color="FFFFFF"/>
                    <w:left w:val="single" w:sz="6" w:space="0" w:color="FFFFFF"/>
                    <w:bottom w:val="single" w:sz="6" w:space="0" w:color="FFFFFF"/>
                    <w:right w:val="single" w:sz="6" w:space="0" w:color="FFFFFF"/>
                  </w:divBdr>
                  <w:divsChild>
                    <w:div w:id="1046416195">
                      <w:marLeft w:val="0"/>
                      <w:marRight w:val="0"/>
                      <w:marTop w:val="0"/>
                      <w:marBottom w:val="0"/>
                      <w:divBdr>
                        <w:top w:val="none" w:sz="0" w:space="0" w:color="auto"/>
                        <w:left w:val="none" w:sz="0" w:space="0" w:color="auto"/>
                        <w:bottom w:val="single" w:sz="6" w:space="7" w:color="999999"/>
                        <w:right w:val="none" w:sz="0" w:space="0" w:color="auto"/>
                      </w:divBdr>
                      <w:divsChild>
                        <w:div w:id="1046416184">
                          <w:marLeft w:val="0"/>
                          <w:marRight w:val="0"/>
                          <w:marTop w:val="0"/>
                          <w:marBottom w:val="0"/>
                          <w:divBdr>
                            <w:top w:val="none" w:sz="0" w:space="0" w:color="auto"/>
                            <w:left w:val="none" w:sz="0" w:space="0" w:color="auto"/>
                            <w:bottom w:val="none" w:sz="0" w:space="0" w:color="auto"/>
                            <w:right w:val="none" w:sz="0" w:space="0" w:color="auto"/>
                          </w:divBdr>
                          <w:divsChild>
                            <w:div w:id="10464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16182">
      <w:marLeft w:val="0"/>
      <w:marRight w:val="0"/>
      <w:marTop w:val="0"/>
      <w:marBottom w:val="0"/>
      <w:divBdr>
        <w:top w:val="none" w:sz="0" w:space="0" w:color="auto"/>
        <w:left w:val="none" w:sz="0" w:space="0" w:color="auto"/>
        <w:bottom w:val="none" w:sz="0" w:space="0" w:color="auto"/>
        <w:right w:val="none" w:sz="0" w:space="0" w:color="auto"/>
      </w:divBdr>
      <w:divsChild>
        <w:div w:id="1046416202">
          <w:marLeft w:val="0"/>
          <w:marRight w:val="0"/>
          <w:marTop w:val="0"/>
          <w:marBottom w:val="0"/>
          <w:divBdr>
            <w:top w:val="none" w:sz="0" w:space="0" w:color="auto"/>
            <w:left w:val="none" w:sz="0" w:space="0" w:color="auto"/>
            <w:bottom w:val="none" w:sz="0" w:space="0" w:color="auto"/>
            <w:right w:val="none" w:sz="0" w:space="0" w:color="auto"/>
          </w:divBdr>
          <w:divsChild>
            <w:div w:id="1046416159">
              <w:marLeft w:val="0"/>
              <w:marRight w:val="0"/>
              <w:marTop w:val="0"/>
              <w:marBottom w:val="0"/>
              <w:divBdr>
                <w:top w:val="none" w:sz="0" w:space="0" w:color="auto"/>
                <w:left w:val="none" w:sz="0" w:space="0" w:color="auto"/>
                <w:bottom w:val="none" w:sz="0" w:space="0" w:color="auto"/>
                <w:right w:val="none" w:sz="0" w:space="0" w:color="auto"/>
              </w:divBdr>
              <w:divsChild>
                <w:div w:id="1046416194">
                  <w:marLeft w:val="0"/>
                  <w:marRight w:val="0"/>
                  <w:marTop w:val="0"/>
                  <w:marBottom w:val="0"/>
                  <w:divBdr>
                    <w:top w:val="none" w:sz="0" w:space="0" w:color="auto"/>
                    <w:left w:val="none" w:sz="0" w:space="0" w:color="auto"/>
                    <w:bottom w:val="none" w:sz="0" w:space="0" w:color="auto"/>
                    <w:right w:val="none" w:sz="0" w:space="0" w:color="auto"/>
                  </w:divBdr>
                  <w:divsChild>
                    <w:div w:id="1046416152">
                      <w:marLeft w:val="0"/>
                      <w:marRight w:val="0"/>
                      <w:marTop w:val="0"/>
                      <w:marBottom w:val="0"/>
                      <w:divBdr>
                        <w:top w:val="none" w:sz="0" w:space="0" w:color="auto"/>
                        <w:left w:val="none" w:sz="0" w:space="0" w:color="auto"/>
                        <w:bottom w:val="none" w:sz="0" w:space="0" w:color="auto"/>
                        <w:right w:val="none" w:sz="0" w:space="0" w:color="auto"/>
                      </w:divBdr>
                      <w:divsChild>
                        <w:div w:id="1046416187">
                          <w:marLeft w:val="0"/>
                          <w:marRight w:val="0"/>
                          <w:marTop w:val="0"/>
                          <w:marBottom w:val="0"/>
                          <w:divBdr>
                            <w:top w:val="none" w:sz="0" w:space="0" w:color="auto"/>
                            <w:left w:val="none" w:sz="0" w:space="0" w:color="auto"/>
                            <w:bottom w:val="none" w:sz="0" w:space="0" w:color="auto"/>
                            <w:right w:val="none" w:sz="0" w:space="0" w:color="auto"/>
                          </w:divBdr>
                          <w:divsChild>
                            <w:div w:id="10464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16183">
      <w:marLeft w:val="0"/>
      <w:marRight w:val="0"/>
      <w:marTop w:val="0"/>
      <w:marBottom w:val="0"/>
      <w:divBdr>
        <w:top w:val="none" w:sz="0" w:space="0" w:color="auto"/>
        <w:left w:val="none" w:sz="0" w:space="0" w:color="auto"/>
        <w:bottom w:val="none" w:sz="0" w:space="0" w:color="auto"/>
        <w:right w:val="none" w:sz="0" w:space="0" w:color="auto"/>
      </w:divBdr>
    </w:div>
    <w:div w:id="1046416193">
      <w:marLeft w:val="0"/>
      <w:marRight w:val="0"/>
      <w:marTop w:val="0"/>
      <w:marBottom w:val="0"/>
      <w:divBdr>
        <w:top w:val="none" w:sz="0" w:space="0" w:color="auto"/>
        <w:left w:val="none" w:sz="0" w:space="0" w:color="auto"/>
        <w:bottom w:val="none" w:sz="0" w:space="0" w:color="auto"/>
        <w:right w:val="none" w:sz="0" w:space="0" w:color="auto"/>
      </w:divBdr>
    </w:div>
    <w:div w:id="1046416197">
      <w:marLeft w:val="0"/>
      <w:marRight w:val="0"/>
      <w:marTop w:val="0"/>
      <w:marBottom w:val="0"/>
      <w:divBdr>
        <w:top w:val="none" w:sz="0" w:space="0" w:color="auto"/>
        <w:left w:val="none" w:sz="0" w:space="0" w:color="auto"/>
        <w:bottom w:val="none" w:sz="0" w:space="0" w:color="auto"/>
        <w:right w:val="none" w:sz="0" w:space="0" w:color="auto"/>
      </w:divBdr>
      <w:divsChild>
        <w:div w:id="1046416192">
          <w:marLeft w:val="0"/>
          <w:marRight w:val="0"/>
          <w:marTop w:val="0"/>
          <w:marBottom w:val="0"/>
          <w:divBdr>
            <w:top w:val="none" w:sz="0" w:space="0" w:color="auto"/>
            <w:left w:val="none" w:sz="0" w:space="0" w:color="auto"/>
            <w:bottom w:val="none" w:sz="0" w:space="0" w:color="auto"/>
            <w:right w:val="none" w:sz="0" w:space="0" w:color="auto"/>
          </w:divBdr>
          <w:divsChild>
            <w:div w:id="1046416153">
              <w:marLeft w:val="0"/>
              <w:marRight w:val="0"/>
              <w:marTop w:val="0"/>
              <w:marBottom w:val="0"/>
              <w:divBdr>
                <w:top w:val="none" w:sz="0" w:space="0" w:color="auto"/>
                <w:left w:val="none" w:sz="0" w:space="0" w:color="auto"/>
                <w:bottom w:val="none" w:sz="0" w:space="0" w:color="auto"/>
                <w:right w:val="none" w:sz="0" w:space="0" w:color="auto"/>
              </w:divBdr>
              <w:divsChild>
                <w:div w:id="1046416200">
                  <w:marLeft w:val="0"/>
                  <w:marRight w:val="0"/>
                  <w:marTop w:val="0"/>
                  <w:marBottom w:val="0"/>
                  <w:divBdr>
                    <w:top w:val="none" w:sz="0" w:space="0" w:color="auto"/>
                    <w:left w:val="none" w:sz="0" w:space="0" w:color="auto"/>
                    <w:bottom w:val="none" w:sz="0" w:space="0" w:color="auto"/>
                    <w:right w:val="none" w:sz="0" w:space="0" w:color="auto"/>
                  </w:divBdr>
                  <w:divsChild>
                    <w:div w:id="1046416181">
                      <w:marLeft w:val="0"/>
                      <w:marRight w:val="0"/>
                      <w:marTop w:val="0"/>
                      <w:marBottom w:val="0"/>
                      <w:divBdr>
                        <w:top w:val="none" w:sz="0" w:space="0" w:color="auto"/>
                        <w:left w:val="none" w:sz="0" w:space="0" w:color="auto"/>
                        <w:bottom w:val="none" w:sz="0" w:space="0" w:color="auto"/>
                        <w:right w:val="none" w:sz="0" w:space="0" w:color="auto"/>
                      </w:divBdr>
                      <w:divsChild>
                        <w:div w:id="1046416176">
                          <w:marLeft w:val="0"/>
                          <w:marRight w:val="0"/>
                          <w:marTop w:val="0"/>
                          <w:marBottom w:val="0"/>
                          <w:divBdr>
                            <w:top w:val="none" w:sz="0" w:space="0" w:color="auto"/>
                            <w:left w:val="none" w:sz="0" w:space="0" w:color="auto"/>
                            <w:bottom w:val="none" w:sz="0" w:space="0" w:color="auto"/>
                            <w:right w:val="none" w:sz="0" w:space="0" w:color="auto"/>
                          </w:divBdr>
                          <w:divsChild>
                            <w:div w:id="10464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16201">
      <w:marLeft w:val="0"/>
      <w:marRight w:val="0"/>
      <w:marTop w:val="0"/>
      <w:marBottom w:val="0"/>
      <w:divBdr>
        <w:top w:val="none" w:sz="0" w:space="0" w:color="auto"/>
        <w:left w:val="none" w:sz="0" w:space="0" w:color="auto"/>
        <w:bottom w:val="none" w:sz="0" w:space="0" w:color="auto"/>
        <w:right w:val="none" w:sz="0" w:space="0" w:color="auto"/>
      </w:divBdr>
    </w:div>
    <w:div w:id="1046416207">
      <w:marLeft w:val="0"/>
      <w:marRight w:val="0"/>
      <w:marTop w:val="0"/>
      <w:marBottom w:val="0"/>
      <w:divBdr>
        <w:top w:val="none" w:sz="0" w:space="0" w:color="auto"/>
        <w:left w:val="none" w:sz="0" w:space="0" w:color="auto"/>
        <w:bottom w:val="none" w:sz="0" w:space="0" w:color="auto"/>
        <w:right w:val="none" w:sz="0" w:space="0" w:color="auto"/>
      </w:divBdr>
      <w:divsChild>
        <w:div w:id="1046416167">
          <w:marLeft w:val="0"/>
          <w:marRight w:val="0"/>
          <w:marTop w:val="0"/>
          <w:marBottom w:val="0"/>
          <w:divBdr>
            <w:top w:val="none" w:sz="0" w:space="0" w:color="auto"/>
            <w:left w:val="none" w:sz="0" w:space="0" w:color="auto"/>
            <w:bottom w:val="none" w:sz="0" w:space="0" w:color="auto"/>
            <w:right w:val="none" w:sz="0" w:space="0" w:color="auto"/>
          </w:divBdr>
          <w:divsChild>
            <w:div w:id="1046416186">
              <w:marLeft w:val="0"/>
              <w:marRight w:val="0"/>
              <w:marTop w:val="0"/>
              <w:marBottom w:val="0"/>
              <w:divBdr>
                <w:top w:val="none" w:sz="0" w:space="0" w:color="auto"/>
                <w:left w:val="none" w:sz="0" w:space="0" w:color="auto"/>
                <w:bottom w:val="none" w:sz="0" w:space="0" w:color="auto"/>
                <w:right w:val="none" w:sz="0" w:space="0" w:color="auto"/>
              </w:divBdr>
              <w:divsChild>
                <w:div w:id="1046416204">
                  <w:marLeft w:val="0"/>
                  <w:marRight w:val="0"/>
                  <w:marTop w:val="53"/>
                  <w:marBottom w:val="53"/>
                  <w:divBdr>
                    <w:top w:val="single" w:sz="6" w:space="0" w:color="FFFFFF"/>
                    <w:left w:val="single" w:sz="6" w:space="0" w:color="FFFFFF"/>
                    <w:bottom w:val="single" w:sz="6" w:space="0" w:color="FFFFFF"/>
                    <w:right w:val="single" w:sz="6" w:space="0" w:color="FFFFFF"/>
                  </w:divBdr>
                  <w:divsChild>
                    <w:div w:id="1046416166">
                      <w:marLeft w:val="0"/>
                      <w:marRight w:val="0"/>
                      <w:marTop w:val="0"/>
                      <w:marBottom w:val="0"/>
                      <w:divBdr>
                        <w:top w:val="none" w:sz="0" w:space="0" w:color="auto"/>
                        <w:left w:val="none" w:sz="0" w:space="0" w:color="auto"/>
                        <w:bottom w:val="single" w:sz="6" w:space="7" w:color="999999"/>
                        <w:right w:val="none" w:sz="0" w:space="0" w:color="auto"/>
                      </w:divBdr>
                      <w:divsChild>
                        <w:div w:id="1046416150">
                          <w:marLeft w:val="0"/>
                          <w:marRight w:val="0"/>
                          <w:marTop w:val="0"/>
                          <w:marBottom w:val="240"/>
                          <w:divBdr>
                            <w:top w:val="none" w:sz="0" w:space="0" w:color="auto"/>
                            <w:left w:val="none" w:sz="0" w:space="0" w:color="auto"/>
                            <w:bottom w:val="none" w:sz="0" w:space="0" w:color="auto"/>
                            <w:right w:val="none" w:sz="0" w:space="0" w:color="auto"/>
                          </w:divBdr>
                          <w:divsChild>
                            <w:div w:id="10464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16209">
      <w:marLeft w:val="0"/>
      <w:marRight w:val="0"/>
      <w:marTop w:val="0"/>
      <w:marBottom w:val="0"/>
      <w:divBdr>
        <w:top w:val="none" w:sz="0" w:space="0" w:color="auto"/>
        <w:left w:val="none" w:sz="0" w:space="0" w:color="auto"/>
        <w:bottom w:val="none" w:sz="0" w:space="0" w:color="auto"/>
        <w:right w:val="none" w:sz="0" w:space="0" w:color="auto"/>
      </w:divBdr>
    </w:div>
    <w:div w:id="1100492859">
      <w:bodyDiv w:val="1"/>
      <w:marLeft w:val="0"/>
      <w:marRight w:val="0"/>
      <w:marTop w:val="0"/>
      <w:marBottom w:val="0"/>
      <w:divBdr>
        <w:top w:val="none" w:sz="0" w:space="0" w:color="auto"/>
        <w:left w:val="none" w:sz="0" w:space="0" w:color="auto"/>
        <w:bottom w:val="none" w:sz="0" w:space="0" w:color="auto"/>
        <w:right w:val="none" w:sz="0" w:space="0" w:color="auto"/>
      </w:divBdr>
    </w:div>
    <w:div w:id="1149446435">
      <w:bodyDiv w:val="1"/>
      <w:marLeft w:val="0"/>
      <w:marRight w:val="0"/>
      <w:marTop w:val="0"/>
      <w:marBottom w:val="0"/>
      <w:divBdr>
        <w:top w:val="none" w:sz="0" w:space="0" w:color="auto"/>
        <w:left w:val="none" w:sz="0" w:space="0" w:color="auto"/>
        <w:bottom w:val="none" w:sz="0" w:space="0" w:color="auto"/>
        <w:right w:val="none" w:sz="0" w:space="0" w:color="auto"/>
      </w:divBdr>
    </w:div>
    <w:div w:id="1224291377">
      <w:bodyDiv w:val="1"/>
      <w:marLeft w:val="0"/>
      <w:marRight w:val="0"/>
      <w:marTop w:val="0"/>
      <w:marBottom w:val="0"/>
      <w:divBdr>
        <w:top w:val="none" w:sz="0" w:space="0" w:color="auto"/>
        <w:left w:val="none" w:sz="0" w:space="0" w:color="auto"/>
        <w:bottom w:val="none" w:sz="0" w:space="0" w:color="auto"/>
        <w:right w:val="none" w:sz="0" w:space="0" w:color="auto"/>
      </w:divBdr>
    </w:div>
    <w:div w:id="1256404321">
      <w:bodyDiv w:val="1"/>
      <w:marLeft w:val="0"/>
      <w:marRight w:val="0"/>
      <w:marTop w:val="0"/>
      <w:marBottom w:val="0"/>
      <w:divBdr>
        <w:top w:val="none" w:sz="0" w:space="0" w:color="auto"/>
        <w:left w:val="none" w:sz="0" w:space="0" w:color="auto"/>
        <w:bottom w:val="none" w:sz="0" w:space="0" w:color="auto"/>
        <w:right w:val="none" w:sz="0" w:space="0" w:color="auto"/>
      </w:divBdr>
    </w:div>
    <w:div w:id="1312447740">
      <w:bodyDiv w:val="1"/>
      <w:marLeft w:val="0"/>
      <w:marRight w:val="0"/>
      <w:marTop w:val="0"/>
      <w:marBottom w:val="0"/>
      <w:divBdr>
        <w:top w:val="none" w:sz="0" w:space="0" w:color="auto"/>
        <w:left w:val="none" w:sz="0" w:space="0" w:color="auto"/>
        <w:bottom w:val="none" w:sz="0" w:space="0" w:color="auto"/>
        <w:right w:val="none" w:sz="0" w:space="0" w:color="auto"/>
      </w:divBdr>
      <w:divsChild>
        <w:div w:id="1898544025">
          <w:marLeft w:val="0"/>
          <w:marRight w:val="0"/>
          <w:marTop w:val="0"/>
          <w:marBottom w:val="0"/>
          <w:divBdr>
            <w:top w:val="none" w:sz="0" w:space="0" w:color="auto"/>
            <w:left w:val="none" w:sz="0" w:space="0" w:color="auto"/>
            <w:bottom w:val="none" w:sz="0" w:space="0" w:color="auto"/>
            <w:right w:val="none" w:sz="0" w:space="0" w:color="auto"/>
          </w:divBdr>
          <w:divsChild>
            <w:div w:id="1715083662">
              <w:marLeft w:val="0"/>
              <w:marRight w:val="0"/>
              <w:marTop w:val="0"/>
              <w:marBottom w:val="0"/>
              <w:divBdr>
                <w:top w:val="none" w:sz="0" w:space="0" w:color="auto"/>
                <w:left w:val="none" w:sz="0" w:space="0" w:color="auto"/>
                <w:bottom w:val="none" w:sz="0" w:space="0" w:color="auto"/>
                <w:right w:val="none" w:sz="0" w:space="0" w:color="auto"/>
              </w:divBdr>
              <w:divsChild>
                <w:div w:id="1047681516">
                  <w:marLeft w:val="0"/>
                  <w:marRight w:val="0"/>
                  <w:marTop w:val="0"/>
                  <w:marBottom w:val="0"/>
                  <w:divBdr>
                    <w:top w:val="none" w:sz="0" w:space="0" w:color="auto"/>
                    <w:left w:val="none" w:sz="0" w:space="0" w:color="auto"/>
                    <w:bottom w:val="none" w:sz="0" w:space="0" w:color="auto"/>
                    <w:right w:val="none" w:sz="0" w:space="0" w:color="auto"/>
                  </w:divBdr>
                  <w:divsChild>
                    <w:div w:id="343166813">
                      <w:marLeft w:val="0"/>
                      <w:marRight w:val="0"/>
                      <w:marTop w:val="0"/>
                      <w:marBottom w:val="0"/>
                      <w:divBdr>
                        <w:top w:val="none" w:sz="0" w:space="0" w:color="auto"/>
                        <w:left w:val="none" w:sz="0" w:space="0" w:color="auto"/>
                        <w:bottom w:val="none" w:sz="0" w:space="0" w:color="auto"/>
                        <w:right w:val="none" w:sz="0" w:space="0" w:color="auto"/>
                      </w:divBdr>
                      <w:divsChild>
                        <w:div w:id="177276102">
                          <w:marLeft w:val="0"/>
                          <w:marRight w:val="0"/>
                          <w:marTop w:val="0"/>
                          <w:marBottom w:val="0"/>
                          <w:divBdr>
                            <w:top w:val="none" w:sz="0" w:space="0" w:color="auto"/>
                            <w:left w:val="none" w:sz="0" w:space="0" w:color="auto"/>
                            <w:bottom w:val="none" w:sz="0" w:space="0" w:color="auto"/>
                            <w:right w:val="none" w:sz="0" w:space="0" w:color="auto"/>
                          </w:divBdr>
                        </w:div>
                        <w:div w:id="6036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21684">
      <w:bodyDiv w:val="1"/>
      <w:marLeft w:val="0"/>
      <w:marRight w:val="0"/>
      <w:marTop w:val="0"/>
      <w:marBottom w:val="0"/>
      <w:divBdr>
        <w:top w:val="none" w:sz="0" w:space="0" w:color="auto"/>
        <w:left w:val="none" w:sz="0" w:space="0" w:color="auto"/>
        <w:bottom w:val="none" w:sz="0" w:space="0" w:color="auto"/>
        <w:right w:val="none" w:sz="0" w:space="0" w:color="auto"/>
      </w:divBdr>
      <w:divsChild>
        <w:div w:id="2060980067">
          <w:marLeft w:val="0"/>
          <w:marRight w:val="0"/>
          <w:marTop w:val="0"/>
          <w:marBottom w:val="0"/>
          <w:divBdr>
            <w:top w:val="none" w:sz="0" w:space="0" w:color="auto"/>
            <w:left w:val="none" w:sz="0" w:space="0" w:color="auto"/>
            <w:bottom w:val="none" w:sz="0" w:space="0" w:color="auto"/>
            <w:right w:val="none" w:sz="0" w:space="0" w:color="auto"/>
          </w:divBdr>
          <w:divsChild>
            <w:div w:id="1769353316">
              <w:marLeft w:val="0"/>
              <w:marRight w:val="0"/>
              <w:marTop w:val="0"/>
              <w:marBottom w:val="0"/>
              <w:divBdr>
                <w:top w:val="none" w:sz="0" w:space="0" w:color="auto"/>
                <w:left w:val="none" w:sz="0" w:space="0" w:color="auto"/>
                <w:bottom w:val="none" w:sz="0" w:space="0" w:color="auto"/>
                <w:right w:val="none" w:sz="0" w:space="0" w:color="auto"/>
              </w:divBdr>
              <w:divsChild>
                <w:div w:id="1094397377">
                  <w:marLeft w:val="0"/>
                  <w:marRight w:val="0"/>
                  <w:marTop w:val="0"/>
                  <w:marBottom w:val="0"/>
                  <w:divBdr>
                    <w:top w:val="none" w:sz="0" w:space="0" w:color="auto"/>
                    <w:left w:val="none" w:sz="0" w:space="0" w:color="auto"/>
                    <w:bottom w:val="none" w:sz="0" w:space="0" w:color="auto"/>
                    <w:right w:val="none" w:sz="0" w:space="0" w:color="auto"/>
                  </w:divBdr>
                  <w:divsChild>
                    <w:div w:id="626394894">
                      <w:marLeft w:val="0"/>
                      <w:marRight w:val="0"/>
                      <w:marTop w:val="0"/>
                      <w:marBottom w:val="0"/>
                      <w:divBdr>
                        <w:top w:val="none" w:sz="0" w:space="0" w:color="auto"/>
                        <w:left w:val="none" w:sz="0" w:space="0" w:color="auto"/>
                        <w:bottom w:val="none" w:sz="0" w:space="0" w:color="auto"/>
                        <w:right w:val="none" w:sz="0" w:space="0" w:color="auto"/>
                      </w:divBdr>
                      <w:divsChild>
                        <w:div w:id="431053146">
                          <w:marLeft w:val="0"/>
                          <w:marRight w:val="0"/>
                          <w:marTop w:val="0"/>
                          <w:marBottom w:val="0"/>
                          <w:divBdr>
                            <w:top w:val="none" w:sz="0" w:space="0" w:color="auto"/>
                            <w:left w:val="none" w:sz="0" w:space="0" w:color="auto"/>
                            <w:bottom w:val="none" w:sz="0" w:space="0" w:color="auto"/>
                            <w:right w:val="none" w:sz="0" w:space="0" w:color="auto"/>
                          </w:divBdr>
                        </w:div>
                        <w:div w:id="17640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525128">
      <w:bodyDiv w:val="1"/>
      <w:marLeft w:val="0"/>
      <w:marRight w:val="0"/>
      <w:marTop w:val="0"/>
      <w:marBottom w:val="0"/>
      <w:divBdr>
        <w:top w:val="none" w:sz="0" w:space="0" w:color="auto"/>
        <w:left w:val="none" w:sz="0" w:space="0" w:color="auto"/>
        <w:bottom w:val="none" w:sz="0" w:space="0" w:color="auto"/>
        <w:right w:val="none" w:sz="0" w:space="0" w:color="auto"/>
      </w:divBdr>
    </w:div>
    <w:div w:id="1736584809">
      <w:bodyDiv w:val="1"/>
      <w:marLeft w:val="0"/>
      <w:marRight w:val="0"/>
      <w:marTop w:val="0"/>
      <w:marBottom w:val="0"/>
      <w:divBdr>
        <w:top w:val="none" w:sz="0" w:space="0" w:color="auto"/>
        <w:left w:val="none" w:sz="0" w:space="0" w:color="auto"/>
        <w:bottom w:val="none" w:sz="0" w:space="0" w:color="auto"/>
        <w:right w:val="none" w:sz="0" w:space="0" w:color="auto"/>
      </w:divBdr>
    </w:div>
    <w:div w:id="1860118778">
      <w:bodyDiv w:val="1"/>
      <w:marLeft w:val="0"/>
      <w:marRight w:val="0"/>
      <w:marTop w:val="0"/>
      <w:marBottom w:val="0"/>
      <w:divBdr>
        <w:top w:val="none" w:sz="0" w:space="0" w:color="auto"/>
        <w:left w:val="none" w:sz="0" w:space="0" w:color="auto"/>
        <w:bottom w:val="none" w:sz="0" w:space="0" w:color="auto"/>
        <w:right w:val="none" w:sz="0" w:space="0" w:color="auto"/>
      </w:divBdr>
    </w:div>
    <w:div w:id="1862547086">
      <w:bodyDiv w:val="1"/>
      <w:marLeft w:val="0"/>
      <w:marRight w:val="0"/>
      <w:marTop w:val="0"/>
      <w:marBottom w:val="0"/>
      <w:divBdr>
        <w:top w:val="none" w:sz="0" w:space="0" w:color="auto"/>
        <w:left w:val="none" w:sz="0" w:space="0" w:color="auto"/>
        <w:bottom w:val="none" w:sz="0" w:space="0" w:color="auto"/>
        <w:right w:val="none" w:sz="0" w:space="0" w:color="auto"/>
      </w:divBdr>
    </w:div>
    <w:div w:id="1929776979">
      <w:bodyDiv w:val="1"/>
      <w:marLeft w:val="0"/>
      <w:marRight w:val="0"/>
      <w:marTop w:val="0"/>
      <w:marBottom w:val="0"/>
      <w:divBdr>
        <w:top w:val="none" w:sz="0" w:space="0" w:color="auto"/>
        <w:left w:val="none" w:sz="0" w:space="0" w:color="auto"/>
        <w:bottom w:val="none" w:sz="0" w:space="0" w:color="auto"/>
        <w:right w:val="none" w:sz="0" w:space="0" w:color="auto"/>
      </w:divBdr>
    </w:div>
    <w:div w:id="20770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orbay.gov.uk/index/council/financial_services/accountsinspection.htm" TargetMode="External"/><Relationship Id="rId26" Type="http://schemas.openxmlformats.org/officeDocument/2006/relationships/hyperlink" Target="http://www.torbay.gov.uk/DemocraticServices/uuCoverPage.aspx?bcr=1" TargetMode="External"/><Relationship Id="rId39" Type="http://schemas.openxmlformats.org/officeDocument/2006/relationships/header" Target="header15.xml"/><Relationship Id="rId21" Type="http://schemas.openxmlformats.org/officeDocument/2006/relationships/chart" Target="charts/chart3.xml"/><Relationship Id="rId34" Type="http://schemas.openxmlformats.org/officeDocument/2006/relationships/header" Target="header10.xml"/><Relationship Id="rId42" Type="http://schemas.openxmlformats.org/officeDocument/2006/relationships/hyperlink" Target="http://www.torbay.gov.uk/index/yourcouncil/financialservices/heritageassets.doc" TargetMode="External"/><Relationship Id="rId47" Type="http://schemas.openxmlformats.org/officeDocument/2006/relationships/hyperlink" Target="http://www.peninsulapensions.org.uk/lgps/pension-fund-investments/devon-county-council-investments/annual-reports-and-accounts-archive/" TargetMode="External"/><Relationship Id="rId50" Type="http://schemas.openxmlformats.org/officeDocument/2006/relationships/diagramLayout" Target="diagrams/layout1.xml"/><Relationship Id="rId55"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orbay.gov.uk/index/yourcouncil/financialservices/budget/budgetservicedetails.htm" TargetMode="External"/><Relationship Id="rId25" Type="http://schemas.openxmlformats.org/officeDocument/2006/relationships/hyperlink" Target="http://www.torbay.gov.uk/financialservices" TargetMode="Externa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hyperlink" Target="http://www.nhsbsa.nhs.uk/Documents/Pensions/Resource_Accounts_2014-2015.pdf"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torbay.gov.uk/index/yourcouncil/factsfigures" TargetMode="External"/><Relationship Id="rId20" Type="http://schemas.openxmlformats.org/officeDocument/2006/relationships/chart" Target="charts/chart2.xml"/><Relationship Id="rId29" Type="http://schemas.openxmlformats.org/officeDocument/2006/relationships/header" Target="header5.xml"/><Relationship Id="rId41" Type="http://schemas.openxmlformats.org/officeDocument/2006/relationships/hyperlink" Target="http://www.torre-abbey.org.uk/collections" TargetMode="External"/><Relationship Id="rId54" Type="http://schemas.openxmlformats.org/officeDocument/2006/relationships/hyperlink" Target="http://www.torbay.gov.uk/DemocraticServices/documents/s22185/32%20Code%20of%20Corporate%20Govern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torbay.gov.uk/index/yourcouncil/financialservices/expenditure.htm" TargetMode="External"/><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yperlink" Target="https://www.gov.uk/government/uploads/system/uploads/attachment_data/file/468974/TPS_Annual_Report_and_Accounts_web.pdf" TargetMode="External"/><Relationship Id="rId53" Type="http://schemas.microsoft.com/office/2007/relationships/diagramDrawing" Target="diagrams/drawing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bay.gov.uk/index/council/performance/corporateplan" TargetMode="External"/><Relationship Id="rId23" Type="http://schemas.openxmlformats.org/officeDocument/2006/relationships/hyperlink" Target="http://www.torbay.gov.uk/index/yourcouncil/performance/cpc.htm" TargetMode="External"/><Relationship Id="rId28" Type="http://schemas.openxmlformats.org/officeDocument/2006/relationships/header" Target="header4.xml"/><Relationship Id="rId36" Type="http://schemas.openxmlformats.org/officeDocument/2006/relationships/header" Target="header12.xml"/><Relationship Id="rId49" Type="http://schemas.openxmlformats.org/officeDocument/2006/relationships/diagramData" Target="diagrams/data1.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header" Target="header7.xml"/><Relationship Id="rId44" Type="http://schemas.openxmlformats.org/officeDocument/2006/relationships/hyperlink" Target="http://www.torbay.gov.uk/DemocraticServices/mgMemberIndex.aspx?bcr=1" TargetMode="External"/><Relationship Id="rId52"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footer" Target="footer3.xml"/><Relationship Id="rId22" Type="http://schemas.openxmlformats.org/officeDocument/2006/relationships/hyperlink" Target="http://www.torbay.gov.uk/DemocraticServices/ieListMeetings.aspx?CId=124&amp;Year=0" TargetMode="Externa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header" Target="header11.xml"/><Relationship Id="rId43" Type="http://schemas.openxmlformats.org/officeDocument/2006/relationships/hyperlink" Target="http://www.torbay.gov.uk/DemocraticServices/ieListMeetings.aspx?CId=458&amp;info=1" TargetMode="External"/><Relationship Id="rId48" Type="http://schemas.openxmlformats.org/officeDocument/2006/relationships/image" Target="media/image2.jpeg"/><Relationship Id="rId56" Type="http://schemas.openxmlformats.org/officeDocument/2006/relationships/header" Target="header18.xml"/><Relationship Id="rId8" Type="http://schemas.openxmlformats.org/officeDocument/2006/relationships/image" Target="media/image1.emf"/><Relationship Id="rId51" Type="http://schemas.openxmlformats.org/officeDocument/2006/relationships/diagramQuickStyle" Target="diagrams/quickStyle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baseline="0">
                <a:solidFill>
                  <a:sysClr val="windowText" lastClr="000000"/>
                </a:solidFill>
              </a:rPr>
              <a:t>Funding 2015/16 (%)</a:t>
            </a:r>
          </a:p>
        </c:rich>
      </c:tx>
      <c:layout/>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Funding 2015/16</c:v>
                </c:pt>
              </c:strCache>
            </c:strRef>
          </c:tx>
          <c:explosion val="25"/>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Pt>
            <c:idx val="2"/>
            <c:spPr>
              <a:solidFill>
                <a:schemeClr val="accent3"/>
              </a:solidFill>
              <a:ln>
                <a:noFill/>
              </a:ln>
              <a:effectLst>
                <a:outerShdw blurRad="254000" sx="102000" sy="102000" algn="ctr" rotWithShape="0">
                  <a:prstClr val="black">
                    <a:alpha val="20000"/>
                  </a:prstClr>
                </a:outerShdw>
              </a:effectLst>
              <a:sp3d/>
            </c:spPr>
          </c:dPt>
          <c:dPt>
            <c:idx val="3"/>
            <c:spPr>
              <a:solidFill>
                <a:schemeClr val="accent4"/>
              </a:solidFill>
              <a:ln>
                <a:noFill/>
              </a:ln>
              <a:effectLst>
                <a:outerShdw blurRad="254000" sx="102000" sy="102000" algn="ctr" rotWithShape="0">
                  <a:prstClr val="black">
                    <a:alpha val="20000"/>
                  </a:prstClr>
                </a:outerShdw>
              </a:effectLst>
              <a:sp3d/>
            </c:spPr>
          </c:dPt>
          <c:dPt>
            <c:idx val="4"/>
            <c:spPr>
              <a:solidFill>
                <a:schemeClr val="accent5"/>
              </a:solidFill>
              <a:ln>
                <a:noFill/>
              </a:ln>
              <a:effectLst>
                <a:outerShdw blurRad="254000" sx="102000" sy="102000" algn="ctr" rotWithShape="0">
                  <a:prstClr val="black">
                    <a:alpha val="20000"/>
                  </a:prstClr>
                </a:outerShdw>
              </a:effectLst>
              <a:sp3d/>
            </c:spPr>
          </c:dPt>
          <c:dLbls>
            <c:txPr>
              <a:bodyPr/>
              <a:lstStyle/>
              <a:p>
                <a:pPr>
                  <a:defRPr sz="1200" baseline="0"/>
                </a:pPr>
                <a:endParaRPr lang="en-US"/>
              </a:p>
            </c:txPr>
            <c:showPercent val="1"/>
          </c:dLbls>
          <c:cat>
            <c:strRef>
              <c:f>Sheet1!$A$2:$A$5</c:f>
              <c:strCache>
                <c:ptCount val="4"/>
                <c:pt idx="0">
                  <c:v>Council Tax</c:v>
                </c:pt>
                <c:pt idx="1">
                  <c:v>RSG</c:v>
                </c:pt>
                <c:pt idx="2">
                  <c:v>NNDR</c:v>
                </c:pt>
                <c:pt idx="3">
                  <c:v>Other</c:v>
                </c:pt>
              </c:strCache>
            </c:strRef>
          </c:cat>
          <c:val>
            <c:numRef>
              <c:f>Sheet1!$B$2:$B$5</c:f>
              <c:numCache>
                <c:formatCode>0%</c:formatCode>
                <c:ptCount val="4"/>
                <c:pt idx="0">
                  <c:v>0.49000000000000032</c:v>
                </c:pt>
                <c:pt idx="1">
                  <c:v>0.24000000000000021</c:v>
                </c:pt>
                <c:pt idx="2">
                  <c:v>0.26</c:v>
                </c:pt>
                <c:pt idx="3">
                  <c:v>1.0000000000000037E-2</c:v>
                </c:pt>
              </c:numCache>
            </c:numRef>
          </c:val>
        </c:ser>
        <c:dLbls>
          <c:showPercent val="1"/>
        </c:dLbls>
      </c:pie3D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accent1">
          <a:lumMod val="7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199"/>
            </a:pPr>
            <a:r>
              <a:rPr lang="en-US" sz="1199"/>
              <a:t>Budget Variance £000's</a:t>
            </a:r>
          </a:p>
        </c:rich>
      </c:tx>
      <c:layout/>
    </c:title>
    <c:plotArea>
      <c:layout/>
      <c:barChart>
        <c:barDir val="bar"/>
        <c:grouping val="clustered"/>
        <c:ser>
          <c:idx val="0"/>
          <c:order val="0"/>
          <c:tx>
            <c:strRef>
              <c:f>Sheet1!$B$1</c:f>
              <c:strCache>
                <c:ptCount val="1"/>
                <c:pt idx="0">
                  <c:v>Outturn</c:v>
                </c:pt>
              </c:strCache>
            </c:strRef>
          </c:tx>
          <c:cat>
            <c:strRef>
              <c:f>Sheet1!$A$2:$A$6</c:f>
              <c:strCache>
                <c:ptCount val="5"/>
                <c:pt idx="0">
                  <c:v>Adult Social Care</c:v>
                </c:pt>
                <c:pt idx="1">
                  <c:v>Childrens' Services</c:v>
                </c:pt>
                <c:pt idx="2">
                  <c:v>Public Health (ring fenced)</c:v>
                </c:pt>
                <c:pt idx="3">
                  <c:v>Community &amp; Customer Services</c:v>
                </c:pt>
                <c:pt idx="4">
                  <c:v>Corporate &amp; Business Services</c:v>
                </c:pt>
              </c:strCache>
            </c:strRef>
          </c:cat>
          <c:val>
            <c:numRef>
              <c:f>Sheet1!$B$2:$B$6</c:f>
              <c:numCache>
                <c:formatCode>General</c:formatCode>
                <c:ptCount val="5"/>
                <c:pt idx="0">
                  <c:v>582</c:v>
                </c:pt>
                <c:pt idx="1">
                  <c:v>2832</c:v>
                </c:pt>
                <c:pt idx="2">
                  <c:v>-12</c:v>
                </c:pt>
                <c:pt idx="3">
                  <c:v>-636</c:v>
                </c:pt>
                <c:pt idx="4">
                  <c:v>-1095</c:v>
                </c:pt>
              </c:numCache>
            </c:numRef>
          </c:val>
        </c:ser>
        <c:dLbls>
          <c:showVal val="1"/>
        </c:dLbls>
        <c:axId val="96376320"/>
        <c:axId val="96378240"/>
      </c:barChart>
      <c:catAx>
        <c:axId val="96376320"/>
        <c:scaling>
          <c:orientation val="minMax"/>
        </c:scaling>
        <c:axPos val="l"/>
        <c:numFmt formatCode="General" sourceLinked="1"/>
        <c:tickLblPos val="low"/>
        <c:crossAx val="96378240"/>
        <c:crosses val="autoZero"/>
        <c:auto val="1"/>
        <c:lblAlgn val="ctr"/>
        <c:lblOffset val="1000"/>
        <c:tickLblSkip val="1"/>
      </c:catAx>
      <c:valAx>
        <c:axId val="96378240"/>
        <c:scaling>
          <c:orientation val="minMax"/>
        </c:scaling>
        <c:axPos val="b"/>
        <c:majorGridlines/>
        <c:numFmt formatCode="General" sourceLinked="1"/>
        <c:tickLblPos val="nextTo"/>
        <c:crossAx val="9637632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baseline="0">
                <a:solidFill>
                  <a:sysClr val="windowText" lastClr="000000"/>
                </a:solidFill>
              </a:rPr>
              <a:t>Net Expenditure 2015/16 (%)</a:t>
            </a:r>
          </a:p>
        </c:rich>
      </c:tx>
      <c:layout/>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Net Expenditure 2015/16</c:v>
                </c:pt>
              </c:strCache>
            </c:strRef>
          </c:tx>
          <c:explosion val="25"/>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Pt>
            <c:idx val="2"/>
            <c:spPr>
              <a:solidFill>
                <a:schemeClr val="accent3"/>
              </a:solidFill>
              <a:ln>
                <a:noFill/>
              </a:ln>
              <a:effectLst>
                <a:outerShdw blurRad="254000" sx="102000" sy="102000" algn="ctr" rotWithShape="0">
                  <a:prstClr val="black">
                    <a:alpha val="20000"/>
                  </a:prstClr>
                </a:outerShdw>
              </a:effectLst>
              <a:sp3d/>
            </c:spPr>
          </c:dPt>
          <c:dPt>
            <c:idx val="3"/>
            <c:spPr>
              <a:solidFill>
                <a:schemeClr val="accent4"/>
              </a:solidFill>
              <a:ln>
                <a:noFill/>
              </a:ln>
              <a:effectLst>
                <a:outerShdw blurRad="254000" sx="102000" sy="102000" algn="ctr" rotWithShape="0">
                  <a:prstClr val="black">
                    <a:alpha val="20000"/>
                  </a:prstClr>
                </a:outerShdw>
              </a:effectLst>
              <a:sp3d/>
            </c:spPr>
          </c:dPt>
          <c:dPt>
            <c:idx val="4"/>
            <c:spPr>
              <a:solidFill>
                <a:schemeClr val="accent5"/>
              </a:solidFill>
              <a:ln>
                <a:noFill/>
              </a:ln>
              <a:effectLst>
                <a:outerShdw blurRad="254000" sx="102000" sy="102000" algn="ctr" rotWithShape="0">
                  <a:prstClr val="black">
                    <a:alpha val="20000"/>
                  </a:prstClr>
                </a:outerShdw>
              </a:effectLst>
              <a:sp3d/>
            </c:spPr>
          </c:dPt>
          <c:dLbls>
            <c:txPr>
              <a:bodyPr/>
              <a:lstStyle/>
              <a:p>
                <a:pPr>
                  <a:defRPr sz="1200" baseline="0"/>
                </a:pPr>
                <a:endParaRPr lang="en-US"/>
              </a:p>
            </c:txPr>
            <c:showPercent val="1"/>
          </c:dLbls>
          <c:cat>
            <c:strRef>
              <c:f>Sheet1!$A$2:$A$6</c:f>
              <c:strCache>
                <c:ptCount val="5"/>
                <c:pt idx="0">
                  <c:v>Adult Social Care</c:v>
                </c:pt>
                <c:pt idx="1">
                  <c:v>Childrens</c:v>
                </c:pt>
                <c:pt idx="2">
                  <c:v>Community &amp; Customer Services</c:v>
                </c:pt>
                <c:pt idx="3">
                  <c:v>Corporate &amp; Business Services</c:v>
                </c:pt>
                <c:pt idx="4">
                  <c:v>Public Health</c:v>
                </c:pt>
              </c:strCache>
            </c:strRef>
          </c:cat>
          <c:val>
            <c:numRef>
              <c:f>Sheet1!$B$2:$B$6</c:f>
              <c:numCache>
                <c:formatCode>General</c:formatCode>
                <c:ptCount val="5"/>
                <c:pt idx="0">
                  <c:v>42.4</c:v>
                </c:pt>
                <c:pt idx="1">
                  <c:v>31.5</c:v>
                </c:pt>
                <c:pt idx="2">
                  <c:v>28.799999999999986</c:v>
                </c:pt>
                <c:pt idx="3">
                  <c:v>9.9</c:v>
                </c:pt>
                <c:pt idx="4">
                  <c:v>0.1</c:v>
                </c:pt>
              </c:numCache>
            </c:numRef>
          </c:val>
        </c:ser>
        <c:dLbls>
          <c:showPercent val="1"/>
        </c:dLbls>
      </c:pie3D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accent1">
          <a:lumMod val="75000"/>
        </a:schemeClr>
      </a:solidFill>
      <a:round/>
    </a:ln>
    <a:effectLst/>
  </c:spPr>
  <c:txPr>
    <a:bodyPr/>
    <a:lstStyle/>
    <a:p>
      <a:pPr>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95DD28-A0B2-4D6B-B27F-CBAAA230281E}" type="doc">
      <dgm:prSet loTypeId="urn:microsoft.com/office/officeart/2005/8/layout/pyramid1" loCatId="pyramid" qsTypeId="urn:microsoft.com/office/officeart/2005/8/quickstyle/simple1" qsCatId="simple" csTypeId="urn:microsoft.com/office/officeart/2005/8/colors/accent1_2" csCatId="accent1" phldr="1"/>
      <dgm:spPr/>
    </dgm:pt>
    <dgm:pt modelId="{E2BEF6A2-7358-4FC9-AEA7-8CE17B07536D}">
      <dgm:prSet phldrT="[Text]" custT="1"/>
      <dgm:spPr>
        <a:solidFill>
          <a:schemeClr val="accent6">
            <a:lumMod val="60000"/>
            <a:lumOff val="40000"/>
          </a:schemeClr>
        </a:solidFill>
      </dgm:spPr>
      <dgm:t>
        <a:bodyPr/>
        <a:lstStyle/>
        <a:p>
          <a:endParaRPr lang="en-GB" sz="2400" dirty="0" smtClean="0"/>
        </a:p>
        <a:p>
          <a:r>
            <a:rPr lang="en-GB" sz="2400" dirty="0" smtClean="0"/>
            <a:t>Level 1</a:t>
          </a:r>
          <a:endParaRPr lang="en-GB" sz="2400" dirty="0"/>
        </a:p>
      </dgm:t>
    </dgm:pt>
    <dgm:pt modelId="{4A42E74A-0F17-4ADC-88B6-AA741E0F4299}" type="parTrans" cxnId="{7D808EA4-C633-48B2-87C3-B3F21BB0E98F}">
      <dgm:prSet/>
      <dgm:spPr/>
      <dgm:t>
        <a:bodyPr/>
        <a:lstStyle/>
        <a:p>
          <a:endParaRPr lang="en-GB"/>
        </a:p>
      </dgm:t>
    </dgm:pt>
    <dgm:pt modelId="{DCCB906F-2048-4128-94CB-406D34F4D156}" type="sibTrans" cxnId="{7D808EA4-C633-48B2-87C3-B3F21BB0E98F}">
      <dgm:prSet/>
      <dgm:spPr/>
      <dgm:t>
        <a:bodyPr/>
        <a:lstStyle/>
        <a:p>
          <a:endParaRPr lang="en-GB"/>
        </a:p>
      </dgm:t>
    </dgm:pt>
    <dgm:pt modelId="{FEF4B8A4-9ED5-4513-B563-6C30757D242B}">
      <dgm:prSet phldrT="[Text]" custT="1"/>
      <dgm:spPr>
        <a:solidFill>
          <a:schemeClr val="accent6">
            <a:lumMod val="60000"/>
            <a:lumOff val="40000"/>
          </a:schemeClr>
        </a:solidFill>
      </dgm:spPr>
      <dgm:t>
        <a:bodyPr/>
        <a:lstStyle/>
        <a:p>
          <a:r>
            <a:rPr lang="en-GB" sz="2400" dirty="0" smtClean="0"/>
            <a:t>Level 2</a:t>
          </a:r>
          <a:endParaRPr lang="en-GB" sz="2400" dirty="0"/>
        </a:p>
      </dgm:t>
    </dgm:pt>
    <dgm:pt modelId="{E5212585-4029-439C-B3D1-A579D14CF924}" type="parTrans" cxnId="{AD4B2BE9-A68B-45F3-8648-3269E6A74EB1}">
      <dgm:prSet/>
      <dgm:spPr/>
      <dgm:t>
        <a:bodyPr/>
        <a:lstStyle/>
        <a:p>
          <a:endParaRPr lang="en-GB"/>
        </a:p>
      </dgm:t>
    </dgm:pt>
    <dgm:pt modelId="{0B8EE06B-95FD-4393-BC8A-4D51458502B8}" type="sibTrans" cxnId="{AD4B2BE9-A68B-45F3-8648-3269E6A74EB1}">
      <dgm:prSet/>
      <dgm:spPr/>
      <dgm:t>
        <a:bodyPr/>
        <a:lstStyle/>
        <a:p>
          <a:endParaRPr lang="en-GB"/>
        </a:p>
      </dgm:t>
    </dgm:pt>
    <dgm:pt modelId="{8D1F03A3-E85E-4637-81F2-64B555D6A237}">
      <dgm:prSet phldrT="[Text]" custT="1"/>
      <dgm:spPr>
        <a:solidFill>
          <a:schemeClr val="accent6">
            <a:lumMod val="60000"/>
            <a:lumOff val="40000"/>
          </a:schemeClr>
        </a:solidFill>
      </dgm:spPr>
      <dgm:t>
        <a:bodyPr/>
        <a:lstStyle/>
        <a:p>
          <a:r>
            <a:rPr lang="en-GB" sz="2400" dirty="0" smtClean="0"/>
            <a:t>Level 3</a:t>
          </a:r>
          <a:endParaRPr lang="en-GB" sz="2400" dirty="0"/>
        </a:p>
      </dgm:t>
    </dgm:pt>
    <dgm:pt modelId="{F01E20E2-F253-4DD9-8C2D-CA57A4F84E41}" type="parTrans" cxnId="{18B441CC-5BE1-4433-81FA-552F2A0630FE}">
      <dgm:prSet/>
      <dgm:spPr/>
      <dgm:t>
        <a:bodyPr/>
        <a:lstStyle/>
        <a:p>
          <a:endParaRPr lang="en-GB"/>
        </a:p>
      </dgm:t>
    </dgm:pt>
    <dgm:pt modelId="{1415B27F-4154-40A2-A9E9-F327088548A6}" type="sibTrans" cxnId="{18B441CC-5BE1-4433-81FA-552F2A0630FE}">
      <dgm:prSet/>
      <dgm:spPr/>
      <dgm:t>
        <a:bodyPr/>
        <a:lstStyle/>
        <a:p>
          <a:endParaRPr lang="en-GB"/>
        </a:p>
      </dgm:t>
    </dgm:pt>
    <dgm:pt modelId="{468E1CE0-74B9-4662-9934-92AFDF7D8D09}" type="pres">
      <dgm:prSet presAssocID="{BA95DD28-A0B2-4D6B-B27F-CBAAA230281E}" presName="Name0" presStyleCnt="0">
        <dgm:presLayoutVars>
          <dgm:dir/>
          <dgm:animLvl val="lvl"/>
          <dgm:resizeHandles val="exact"/>
        </dgm:presLayoutVars>
      </dgm:prSet>
      <dgm:spPr/>
    </dgm:pt>
    <dgm:pt modelId="{70D76EC1-F1C9-4B1D-A7F7-B4086CB10146}" type="pres">
      <dgm:prSet presAssocID="{E2BEF6A2-7358-4FC9-AEA7-8CE17B07536D}" presName="Name8" presStyleCnt="0"/>
      <dgm:spPr/>
    </dgm:pt>
    <dgm:pt modelId="{2CB372D2-152B-48E6-87FE-D89085F1989A}" type="pres">
      <dgm:prSet presAssocID="{E2BEF6A2-7358-4FC9-AEA7-8CE17B07536D}" presName="level" presStyleLbl="node1" presStyleIdx="0" presStyleCnt="3" custScaleY="128843">
        <dgm:presLayoutVars>
          <dgm:chMax val="1"/>
          <dgm:bulletEnabled val="1"/>
        </dgm:presLayoutVars>
      </dgm:prSet>
      <dgm:spPr/>
      <dgm:t>
        <a:bodyPr/>
        <a:lstStyle/>
        <a:p>
          <a:endParaRPr lang="en-GB"/>
        </a:p>
      </dgm:t>
    </dgm:pt>
    <dgm:pt modelId="{B8C7675A-1158-4960-A6FC-9F1F661D08D1}" type="pres">
      <dgm:prSet presAssocID="{E2BEF6A2-7358-4FC9-AEA7-8CE17B07536D}" presName="levelTx" presStyleLbl="revTx" presStyleIdx="0" presStyleCnt="0">
        <dgm:presLayoutVars>
          <dgm:chMax val="1"/>
          <dgm:bulletEnabled val="1"/>
        </dgm:presLayoutVars>
      </dgm:prSet>
      <dgm:spPr/>
      <dgm:t>
        <a:bodyPr/>
        <a:lstStyle/>
        <a:p>
          <a:endParaRPr lang="en-GB"/>
        </a:p>
      </dgm:t>
    </dgm:pt>
    <dgm:pt modelId="{CD99285C-6D58-4858-96C6-570F35AFE052}" type="pres">
      <dgm:prSet presAssocID="{FEF4B8A4-9ED5-4513-B563-6C30757D242B}" presName="Name8" presStyleCnt="0"/>
      <dgm:spPr/>
    </dgm:pt>
    <dgm:pt modelId="{B8C691D4-3EAA-41A4-A265-2EE7CDE39E13}" type="pres">
      <dgm:prSet presAssocID="{FEF4B8A4-9ED5-4513-B563-6C30757D242B}" presName="level" presStyleLbl="node1" presStyleIdx="1" presStyleCnt="3">
        <dgm:presLayoutVars>
          <dgm:chMax val="1"/>
          <dgm:bulletEnabled val="1"/>
        </dgm:presLayoutVars>
      </dgm:prSet>
      <dgm:spPr/>
      <dgm:t>
        <a:bodyPr/>
        <a:lstStyle/>
        <a:p>
          <a:endParaRPr lang="en-GB"/>
        </a:p>
      </dgm:t>
    </dgm:pt>
    <dgm:pt modelId="{249BC750-A291-4510-95DC-F5F633565D83}" type="pres">
      <dgm:prSet presAssocID="{FEF4B8A4-9ED5-4513-B563-6C30757D242B}" presName="levelTx" presStyleLbl="revTx" presStyleIdx="0" presStyleCnt="0">
        <dgm:presLayoutVars>
          <dgm:chMax val="1"/>
          <dgm:bulletEnabled val="1"/>
        </dgm:presLayoutVars>
      </dgm:prSet>
      <dgm:spPr/>
      <dgm:t>
        <a:bodyPr/>
        <a:lstStyle/>
        <a:p>
          <a:endParaRPr lang="en-GB"/>
        </a:p>
      </dgm:t>
    </dgm:pt>
    <dgm:pt modelId="{955F6D37-A732-4B21-AA16-FFB3CF87FBA8}" type="pres">
      <dgm:prSet presAssocID="{8D1F03A3-E85E-4637-81F2-64B555D6A237}" presName="Name8" presStyleCnt="0"/>
      <dgm:spPr/>
    </dgm:pt>
    <dgm:pt modelId="{9F069C05-7231-46E0-A754-05FB05F1EE5B}" type="pres">
      <dgm:prSet presAssocID="{8D1F03A3-E85E-4637-81F2-64B555D6A237}" presName="level" presStyleLbl="node1" presStyleIdx="2" presStyleCnt="3">
        <dgm:presLayoutVars>
          <dgm:chMax val="1"/>
          <dgm:bulletEnabled val="1"/>
        </dgm:presLayoutVars>
      </dgm:prSet>
      <dgm:spPr/>
      <dgm:t>
        <a:bodyPr/>
        <a:lstStyle/>
        <a:p>
          <a:endParaRPr lang="en-GB"/>
        </a:p>
      </dgm:t>
    </dgm:pt>
    <dgm:pt modelId="{D33E6E05-F33C-495A-B01D-3553037B5CFE}" type="pres">
      <dgm:prSet presAssocID="{8D1F03A3-E85E-4637-81F2-64B555D6A237}" presName="levelTx" presStyleLbl="revTx" presStyleIdx="0" presStyleCnt="0">
        <dgm:presLayoutVars>
          <dgm:chMax val="1"/>
          <dgm:bulletEnabled val="1"/>
        </dgm:presLayoutVars>
      </dgm:prSet>
      <dgm:spPr/>
      <dgm:t>
        <a:bodyPr/>
        <a:lstStyle/>
        <a:p>
          <a:endParaRPr lang="en-GB"/>
        </a:p>
      </dgm:t>
    </dgm:pt>
  </dgm:ptLst>
  <dgm:cxnLst>
    <dgm:cxn modelId="{65EC67F7-D2A9-48B8-BECC-E7239D15DE12}" type="presOf" srcId="{8D1F03A3-E85E-4637-81F2-64B555D6A237}" destId="{D33E6E05-F33C-495A-B01D-3553037B5CFE}" srcOrd="1" destOrd="0" presId="urn:microsoft.com/office/officeart/2005/8/layout/pyramid1"/>
    <dgm:cxn modelId="{AD4B2BE9-A68B-45F3-8648-3269E6A74EB1}" srcId="{BA95DD28-A0B2-4D6B-B27F-CBAAA230281E}" destId="{FEF4B8A4-9ED5-4513-B563-6C30757D242B}" srcOrd="1" destOrd="0" parTransId="{E5212585-4029-439C-B3D1-A579D14CF924}" sibTransId="{0B8EE06B-95FD-4393-BC8A-4D51458502B8}"/>
    <dgm:cxn modelId="{725181E5-C578-4103-B417-21080D91F79B}" type="presOf" srcId="{FEF4B8A4-9ED5-4513-B563-6C30757D242B}" destId="{249BC750-A291-4510-95DC-F5F633565D83}" srcOrd="1" destOrd="0" presId="urn:microsoft.com/office/officeart/2005/8/layout/pyramid1"/>
    <dgm:cxn modelId="{BD90CF31-3207-4E44-B2B7-63F5AD68E2D4}" type="presOf" srcId="{FEF4B8A4-9ED5-4513-B563-6C30757D242B}" destId="{B8C691D4-3EAA-41A4-A265-2EE7CDE39E13}" srcOrd="0" destOrd="0" presId="urn:microsoft.com/office/officeart/2005/8/layout/pyramid1"/>
    <dgm:cxn modelId="{7D808EA4-C633-48B2-87C3-B3F21BB0E98F}" srcId="{BA95DD28-A0B2-4D6B-B27F-CBAAA230281E}" destId="{E2BEF6A2-7358-4FC9-AEA7-8CE17B07536D}" srcOrd="0" destOrd="0" parTransId="{4A42E74A-0F17-4ADC-88B6-AA741E0F4299}" sibTransId="{DCCB906F-2048-4128-94CB-406D34F4D156}"/>
    <dgm:cxn modelId="{C4E0E69B-F9E3-4DD4-92B8-C9E06EBC121B}" type="presOf" srcId="{BA95DD28-A0B2-4D6B-B27F-CBAAA230281E}" destId="{468E1CE0-74B9-4662-9934-92AFDF7D8D09}" srcOrd="0" destOrd="0" presId="urn:microsoft.com/office/officeart/2005/8/layout/pyramid1"/>
    <dgm:cxn modelId="{6058536D-0DD8-47B3-B027-000D57C643EA}" type="presOf" srcId="{E2BEF6A2-7358-4FC9-AEA7-8CE17B07536D}" destId="{B8C7675A-1158-4960-A6FC-9F1F661D08D1}" srcOrd="1" destOrd="0" presId="urn:microsoft.com/office/officeart/2005/8/layout/pyramid1"/>
    <dgm:cxn modelId="{18955715-2324-4554-A863-654397DD4B44}" type="presOf" srcId="{8D1F03A3-E85E-4637-81F2-64B555D6A237}" destId="{9F069C05-7231-46E0-A754-05FB05F1EE5B}" srcOrd="0" destOrd="0" presId="urn:microsoft.com/office/officeart/2005/8/layout/pyramid1"/>
    <dgm:cxn modelId="{18B441CC-5BE1-4433-81FA-552F2A0630FE}" srcId="{BA95DD28-A0B2-4D6B-B27F-CBAAA230281E}" destId="{8D1F03A3-E85E-4637-81F2-64B555D6A237}" srcOrd="2" destOrd="0" parTransId="{F01E20E2-F253-4DD9-8C2D-CA57A4F84E41}" sibTransId="{1415B27F-4154-40A2-A9E9-F327088548A6}"/>
    <dgm:cxn modelId="{117C0192-9C3E-4B2B-A065-191A9BAD3678}" type="presOf" srcId="{E2BEF6A2-7358-4FC9-AEA7-8CE17B07536D}" destId="{2CB372D2-152B-48E6-87FE-D89085F1989A}" srcOrd="0" destOrd="0" presId="urn:microsoft.com/office/officeart/2005/8/layout/pyramid1"/>
    <dgm:cxn modelId="{3157A29A-5EA8-445E-8315-B1AF7B4A7141}" type="presParOf" srcId="{468E1CE0-74B9-4662-9934-92AFDF7D8D09}" destId="{70D76EC1-F1C9-4B1D-A7F7-B4086CB10146}" srcOrd="0" destOrd="0" presId="urn:microsoft.com/office/officeart/2005/8/layout/pyramid1"/>
    <dgm:cxn modelId="{949AEBFA-2AA0-4830-8996-2CDB3E2F8406}" type="presParOf" srcId="{70D76EC1-F1C9-4B1D-A7F7-B4086CB10146}" destId="{2CB372D2-152B-48E6-87FE-D89085F1989A}" srcOrd="0" destOrd="0" presId="urn:microsoft.com/office/officeart/2005/8/layout/pyramid1"/>
    <dgm:cxn modelId="{EE8DA904-1C18-4EBD-81EB-44CBF82C3179}" type="presParOf" srcId="{70D76EC1-F1C9-4B1D-A7F7-B4086CB10146}" destId="{B8C7675A-1158-4960-A6FC-9F1F661D08D1}" srcOrd="1" destOrd="0" presId="urn:microsoft.com/office/officeart/2005/8/layout/pyramid1"/>
    <dgm:cxn modelId="{9CA8FFF0-2BAD-425E-B3D0-BBC231DFD0D3}" type="presParOf" srcId="{468E1CE0-74B9-4662-9934-92AFDF7D8D09}" destId="{CD99285C-6D58-4858-96C6-570F35AFE052}" srcOrd="1" destOrd="0" presId="urn:microsoft.com/office/officeart/2005/8/layout/pyramid1"/>
    <dgm:cxn modelId="{EA66D195-61E1-467F-A67D-EFB1D9C573BD}" type="presParOf" srcId="{CD99285C-6D58-4858-96C6-570F35AFE052}" destId="{B8C691D4-3EAA-41A4-A265-2EE7CDE39E13}" srcOrd="0" destOrd="0" presId="urn:microsoft.com/office/officeart/2005/8/layout/pyramid1"/>
    <dgm:cxn modelId="{C2E9432A-11C2-4296-8D63-A886D22627D8}" type="presParOf" srcId="{CD99285C-6D58-4858-96C6-570F35AFE052}" destId="{249BC750-A291-4510-95DC-F5F633565D83}" srcOrd="1" destOrd="0" presId="urn:microsoft.com/office/officeart/2005/8/layout/pyramid1"/>
    <dgm:cxn modelId="{BA86E194-5602-4237-B02D-29B98D3D9444}" type="presParOf" srcId="{468E1CE0-74B9-4662-9934-92AFDF7D8D09}" destId="{955F6D37-A732-4B21-AA16-FFB3CF87FBA8}" srcOrd="2" destOrd="0" presId="urn:microsoft.com/office/officeart/2005/8/layout/pyramid1"/>
    <dgm:cxn modelId="{A36E13C0-27DF-4BD0-AD51-E11C092F0A1D}" type="presParOf" srcId="{955F6D37-A732-4B21-AA16-FFB3CF87FBA8}" destId="{9F069C05-7231-46E0-A754-05FB05F1EE5B}" srcOrd="0" destOrd="0" presId="urn:microsoft.com/office/officeart/2005/8/layout/pyramid1"/>
    <dgm:cxn modelId="{B8F95B36-1BC3-496B-83A1-A4AAD4DBF303}" type="presParOf" srcId="{955F6D37-A732-4B21-AA16-FFB3CF87FBA8}" destId="{D33E6E05-F33C-495A-B01D-3553037B5CFE}" srcOrd="1" destOrd="0" presId="urn:microsoft.com/office/officeart/2005/8/layout/pyramid1"/>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B372D2-152B-48E6-87FE-D89085F1989A}">
      <dsp:nvSpPr>
        <dsp:cNvPr id="0" name=""/>
        <dsp:cNvSpPr/>
      </dsp:nvSpPr>
      <dsp:spPr>
        <a:xfrm>
          <a:off x="1629615" y="0"/>
          <a:ext cx="2099645" cy="1385207"/>
        </a:xfrm>
        <a:prstGeom prst="trapezoid">
          <a:avLst>
            <a:gd name="adj" fmla="val 75788"/>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en-GB" sz="2400" kern="1200" dirty="0" smtClean="0"/>
        </a:p>
        <a:p>
          <a:pPr lvl="0" algn="ctr" defTabSz="1066800">
            <a:lnSpc>
              <a:spcPct val="90000"/>
            </a:lnSpc>
            <a:spcBef>
              <a:spcPct val="0"/>
            </a:spcBef>
            <a:spcAft>
              <a:spcPct val="35000"/>
            </a:spcAft>
          </a:pPr>
          <a:r>
            <a:rPr lang="en-GB" sz="2400" kern="1200" dirty="0" smtClean="0"/>
            <a:t>Level 1</a:t>
          </a:r>
          <a:endParaRPr lang="en-GB" sz="2400" kern="1200" dirty="0"/>
        </a:p>
      </dsp:txBody>
      <dsp:txXfrm>
        <a:off x="1629615" y="0"/>
        <a:ext cx="2099645" cy="1385207"/>
      </dsp:txXfrm>
    </dsp:sp>
    <dsp:sp modelId="{B8C691D4-3EAA-41A4-A265-2EE7CDE39E13}">
      <dsp:nvSpPr>
        <dsp:cNvPr id="0" name=""/>
        <dsp:cNvSpPr/>
      </dsp:nvSpPr>
      <dsp:spPr>
        <a:xfrm>
          <a:off x="814807" y="1385207"/>
          <a:ext cx="3729260" cy="1075112"/>
        </a:xfrm>
        <a:prstGeom prst="trapezoid">
          <a:avLst>
            <a:gd name="adj" fmla="val 75788"/>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GB" sz="2400" kern="1200" dirty="0" smtClean="0"/>
            <a:t>Level 2</a:t>
          </a:r>
          <a:endParaRPr lang="en-GB" sz="2400" kern="1200" dirty="0"/>
        </a:p>
      </dsp:txBody>
      <dsp:txXfrm>
        <a:off x="1467428" y="1385207"/>
        <a:ext cx="2424019" cy="1075112"/>
      </dsp:txXfrm>
    </dsp:sp>
    <dsp:sp modelId="{9F069C05-7231-46E0-A754-05FB05F1EE5B}">
      <dsp:nvSpPr>
        <dsp:cNvPr id="0" name=""/>
        <dsp:cNvSpPr/>
      </dsp:nvSpPr>
      <dsp:spPr>
        <a:xfrm>
          <a:off x="0" y="2460319"/>
          <a:ext cx="5358875" cy="1075112"/>
        </a:xfrm>
        <a:prstGeom prst="trapezoid">
          <a:avLst>
            <a:gd name="adj" fmla="val 75788"/>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GB" sz="2400" kern="1200" dirty="0" smtClean="0"/>
            <a:t>Level 3</a:t>
          </a:r>
          <a:endParaRPr lang="en-GB" sz="2400" kern="1200" dirty="0"/>
        </a:p>
      </dsp:txBody>
      <dsp:txXfrm>
        <a:off x="937803" y="2460319"/>
        <a:ext cx="3483269" cy="107511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72593-1229-456B-8837-56102F9D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131</Pages>
  <Words>47206</Words>
  <Characters>252410</Characters>
  <Application>Microsoft Office Word</Application>
  <DocSecurity>0</DocSecurity>
  <Lines>2103</Lines>
  <Paragraphs>598</Paragraphs>
  <ScaleCrop>false</ScaleCrop>
  <HeadingPairs>
    <vt:vector size="2" baseType="variant">
      <vt:variant>
        <vt:lpstr>Title</vt:lpstr>
      </vt:variant>
      <vt:variant>
        <vt:i4>1</vt:i4>
      </vt:variant>
    </vt:vector>
  </HeadingPairs>
  <TitlesOfParts>
    <vt:vector size="1" baseType="lpstr">
      <vt:lpstr>Example Financial Statements and Notes to the Accounts for Local Authorities 2010/11</vt:lpstr>
    </vt:vector>
  </TitlesOfParts>
  <Company>PricewaterhouseCoopers</Company>
  <LinksUpToDate>false</LinksUpToDate>
  <CharactersWithSpaces>299018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Financial Statements and Notes to the Accounts for Local Authorities 2010/11</dc:title>
  <dc:creator>Sheen</dc:creator>
  <cp:lastModifiedBy>csfs083</cp:lastModifiedBy>
  <cp:revision>3</cp:revision>
  <cp:lastPrinted>2016-06-06T14:57:00Z</cp:lastPrinted>
  <dcterms:created xsi:type="dcterms:W3CDTF">2016-08-10T15:42:00Z</dcterms:created>
  <dcterms:modified xsi:type="dcterms:W3CDTF">2016-08-10T16:10:00Z</dcterms:modified>
</cp:coreProperties>
</file>