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88E" w:rsidRDefault="00507EF4" w:rsidP="00B6788E">
      <w:pPr>
        <w:framePr w:hSpace="180" w:wrap="auto" w:vAnchor="text" w:hAnchor="page" w:x="1153" w:y="1"/>
        <w:rPr>
          <w:noProof/>
        </w:rPr>
      </w:pPr>
      <w:r>
        <w:rPr>
          <w:noProof/>
          <w:lang w:eastAsia="en-GB"/>
        </w:rPr>
        <w:drawing>
          <wp:inline distT="0" distB="0" distL="0" distR="0">
            <wp:extent cx="1457325" cy="542925"/>
            <wp:effectExtent l="19050" t="0" r="9525" b="0"/>
            <wp:docPr id="1" name="Picture 1" descr="torbaycouncil_4m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rbaycouncil_4mm_rgb"/>
                    <pic:cNvPicPr>
                      <a:picLocks noChangeAspect="1" noChangeArrowheads="1"/>
                    </pic:cNvPicPr>
                  </pic:nvPicPr>
                  <pic:blipFill>
                    <a:blip r:embed="rId8" cstate="print"/>
                    <a:srcRect/>
                    <a:stretch>
                      <a:fillRect/>
                    </a:stretch>
                  </pic:blipFill>
                  <pic:spPr bwMode="auto">
                    <a:xfrm>
                      <a:off x="0" y="0"/>
                      <a:ext cx="1457325" cy="542925"/>
                    </a:xfrm>
                    <a:prstGeom prst="rect">
                      <a:avLst/>
                    </a:prstGeom>
                    <a:noFill/>
                    <a:ln w="9525">
                      <a:noFill/>
                      <a:miter lim="800000"/>
                      <a:headEnd/>
                      <a:tailEnd/>
                    </a:ln>
                  </pic:spPr>
                </pic:pic>
              </a:graphicData>
            </a:graphic>
          </wp:inline>
        </w:drawing>
      </w:r>
    </w:p>
    <w:p w:rsidR="00C666C6" w:rsidRDefault="00C666C6"/>
    <w:p w:rsidR="00B6788E" w:rsidRDefault="00B6788E"/>
    <w:p w:rsidR="00B6788E" w:rsidRDefault="00B6788E"/>
    <w:p w:rsidR="00B6788E" w:rsidRDefault="00B6788E"/>
    <w:p w:rsidR="00B6788E" w:rsidRDefault="00B6788E" w:rsidP="00B6788E">
      <w:pPr>
        <w:jc w:val="center"/>
        <w:rPr>
          <w:b/>
          <w:sz w:val="32"/>
          <w:szCs w:val="32"/>
        </w:rPr>
      </w:pPr>
    </w:p>
    <w:p w:rsidR="00B6788E" w:rsidRDefault="00B6788E" w:rsidP="00B6788E">
      <w:pPr>
        <w:jc w:val="center"/>
        <w:rPr>
          <w:b/>
          <w:sz w:val="32"/>
          <w:szCs w:val="32"/>
        </w:rPr>
      </w:pPr>
    </w:p>
    <w:p w:rsidR="00B6788E" w:rsidRPr="00B33951" w:rsidRDefault="00B6788E" w:rsidP="00B6788E">
      <w:pPr>
        <w:rPr>
          <w:b/>
          <w:sz w:val="36"/>
          <w:szCs w:val="36"/>
        </w:rPr>
      </w:pPr>
      <w:r w:rsidRPr="00B33951">
        <w:rPr>
          <w:b/>
          <w:sz w:val="36"/>
          <w:szCs w:val="36"/>
        </w:rPr>
        <w:t>PRIVATE FOSTERING</w:t>
      </w:r>
    </w:p>
    <w:p w:rsidR="00B6788E" w:rsidRDefault="00B6788E" w:rsidP="00B6788E">
      <w:pPr>
        <w:jc w:val="both"/>
        <w:rPr>
          <w:b/>
          <w:sz w:val="28"/>
          <w:szCs w:val="28"/>
        </w:rPr>
      </w:pPr>
    </w:p>
    <w:p w:rsidR="00B6788E" w:rsidRPr="00EF4793" w:rsidRDefault="00B6788E" w:rsidP="00B6788E">
      <w:pPr>
        <w:jc w:val="both"/>
        <w:rPr>
          <w:b/>
          <w:sz w:val="28"/>
          <w:szCs w:val="28"/>
        </w:rPr>
      </w:pPr>
      <w:r w:rsidRPr="00EF4793">
        <w:rPr>
          <w:b/>
          <w:sz w:val="28"/>
          <w:szCs w:val="28"/>
        </w:rPr>
        <w:t>ANNUAL REPORT FOR YEAR ENDING 31 MARCH 20</w:t>
      </w:r>
      <w:r>
        <w:rPr>
          <w:b/>
          <w:sz w:val="28"/>
          <w:szCs w:val="28"/>
        </w:rPr>
        <w:t>1</w:t>
      </w:r>
      <w:r w:rsidR="0015294D">
        <w:rPr>
          <w:b/>
          <w:sz w:val="28"/>
          <w:szCs w:val="28"/>
        </w:rPr>
        <w:t>6</w:t>
      </w:r>
    </w:p>
    <w:p w:rsidR="00B6788E" w:rsidRDefault="00B6788E" w:rsidP="00B6788E"/>
    <w:p w:rsidR="009E2E94" w:rsidRPr="00142E0A" w:rsidRDefault="009E2E94" w:rsidP="009E2E94">
      <w:pPr>
        <w:jc w:val="both"/>
        <w:rPr>
          <w:b/>
        </w:rPr>
      </w:pPr>
      <w:r w:rsidRPr="00142E0A">
        <w:rPr>
          <w:b/>
        </w:rPr>
        <w:t>DEFINITION</w:t>
      </w:r>
      <w:r>
        <w:rPr>
          <w:b/>
        </w:rPr>
        <w:t xml:space="preserve"> OF PRIVATE FOSTERING</w:t>
      </w:r>
    </w:p>
    <w:p w:rsidR="009E2E94" w:rsidRDefault="009E2E94" w:rsidP="009E2E94">
      <w:pPr>
        <w:jc w:val="both"/>
        <w:rPr>
          <w:b/>
        </w:rPr>
      </w:pPr>
    </w:p>
    <w:p w:rsidR="009E2E94" w:rsidRDefault="009E2E94" w:rsidP="0087157A">
      <w:pPr>
        <w:jc w:val="both"/>
      </w:pPr>
      <w:r>
        <w:t>A Private Fostering arrangement is one that is made privately (that is to say without the involvement of the local authority), for the care of a child under the age of 16 (under 18, if disabled), by someone other than a parent or close relative, with the intention that it should last for 28 days or more.  Private Foster Carers may be from the extended family, such as a cousin or great aunt, or they may be a friend of the family or other non-relative, such as the parents of the child’s friend.  A person who is a close relative of the child</w:t>
      </w:r>
      <w:r w:rsidR="00630ABF">
        <w:t>, as defined by</w:t>
      </w:r>
      <w:r>
        <w:t xml:space="preserve"> the Children Act 1989 (a grandparent, brother, sister, uncle or aunt (whether by full or half blood or by marriage</w:t>
      </w:r>
      <w:r w:rsidR="00785310">
        <w:t xml:space="preserve"> or civil partnership</w:t>
      </w:r>
      <w:r>
        <w:t xml:space="preserve">) or step-parent) will </w:t>
      </w:r>
      <w:r>
        <w:rPr>
          <w:b/>
        </w:rPr>
        <w:t>not</w:t>
      </w:r>
      <w:r>
        <w:t xml:space="preserve"> be a Private Foster Carer.</w:t>
      </w:r>
    </w:p>
    <w:p w:rsidR="009E2E94" w:rsidRDefault="009E2E94" w:rsidP="0087157A">
      <w:pPr>
        <w:jc w:val="both"/>
      </w:pPr>
    </w:p>
    <w:p w:rsidR="009E2E94" w:rsidRDefault="009E2E94" w:rsidP="0087157A">
      <w:pPr>
        <w:jc w:val="both"/>
      </w:pPr>
      <w:r>
        <w:t>Examples of private fostering arrangements are:</w:t>
      </w:r>
    </w:p>
    <w:p w:rsidR="009E2E94" w:rsidRDefault="009E2E94" w:rsidP="0087157A">
      <w:pPr>
        <w:jc w:val="both"/>
      </w:pPr>
    </w:p>
    <w:p w:rsidR="009E2E94" w:rsidRDefault="009E2E94" w:rsidP="0087157A">
      <w:pPr>
        <w:numPr>
          <w:ilvl w:val="0"/>
          <w:numId w:val="1"/>
        </w:numPr>
        <w:jc w:val="both"/>
      </w:pPr>
      <w:r>
        <w:t>Children sent from abroad to stay with another family, usually to improve their English or for educational opportunities;</w:t>
      </w:r>
    </w:p>
    <w:p w:rsidR="009E2E94" w:rsidRDefault="009E2E94" w:rsidP="0087157A">
      <w:pPr>
        <w:numPr>
          <w:ilvl w:val="0"/>
          <w:numId w:val="1"/>
        </w:numPr>
        <w:jc w:val="both"/>
      </w:pPr>
      <w:r>
        <w:t>Asylum seeking and refugee children;</w:t>
      </w:r>
    </w:p>
    <w:p w:rsidR="009E2E94" w:rsidRDefault="009E2E94" w:rsidP="0087157A">
      <w:pPr>
        <w:numPr>
          <w:ilvl w:val="0"/>
          <w:numId w:val="1"/>
        </w:numPr>
        <w:jc w:val="both"/>
      </w:pPr>
      <w:r>
        <w:t>Teenagers who, having broken ties with their parents, are staying in short term arrangements with friends or other non-relatives;</w:t>
      </w:r>
    </w:p>
    <w:p w:rsidR="00D24081" w:rsidRDefault="00D24081" w:rsidP="0087157A">
      <w:pPr>
        <w:numPr>
          <w:ilvl w:val="0"/>
          <w:numId w:val="1"/>
        </w:numPr>
        <w:jc w:val="both"/>
      </w:pPr>
      <w:r>
        <w:t>Children living with someone they know while their parent is unable to care for them (through</w:t>
      </w:r>
      <w:r w:rsidR="00960CEA">
        <w:t xml:space="preserve"> safeguarding issues,</w:t>
      </w:r>
      <w:r>
        <w:t xml:space="preserve"> illness, imprisonment, living overseas, etc)</w:t>
      </w:r>
    </w:p>
    <w:p w:rsidR="009E2E94" w:rsidRDefault="009E2E94" w:rsidP="0087157A">
      <w:pPr>
        <w:numPr>
          <w:ilvl w:val="0"/>
          <w:numId w:val="1"/>
        </w:numPr>
        <w:jc w:val="both"/>
      </w:pPr>
      <w:r>
        <w:t>Children living with host families, arranged by language schools or other organisations;</w:t>
      </w:r>
    </w:p>
    <w:p w:rsidR="009E2E94" w:rsidRDefault="00D62281" w:rsidP="0087157A">
      <w:pPr>
        <w:numPr>
          <w:ilvl w:val="0"/>
          <w:numId w:val="1"/>
        </w:numPr>
        <w:jc w:val="both"/>
      </w:pPr>
      <w:r>
        <w:t>Children living with members of the extended family, eg, great aunt</w:t>
      </w:r>
      <w:r w:rsidR="009E2E94">
        <w:t>.</w:t>
      </w:r>
    </w:p>
    <w:p w:rsidR="007711A8" w:rsidRDefault="007711A8" w:rsidP="0087157A">
      <w:pPr>
        <w:numPr>
          <w:ilvl w:val="0"/>
          <w:numId w:val="1"/>
        </w:numPr>
        <w:jc w:val="both"/>
      </w:pPr>
      <w:r>
        <w:t>Children who have been adopted in countries which are not signatories to the Hague Convention and who have yet to be adopted in the UK</w:t>
      </w:r>
    </w:p>
    <w:p w:rsidR="009E2E94" w:rsidRDefault="009E2E94" w:rsidP="0087157A">
      <w:pPr>
        <w:jc w:val="both"/>
        <w:rPr>
          <w:b/>
        </w:rPr>
      </w:pPr>
    </w:p>
    <w:p w:rsidR="006534CA" w:rsidRDefault="006534CA">
      <w:pPr>
        <w:rPr>
          <w:b/>
        </w:rPr>
      </w:pPr>
      <w:r>
        <w:rPr>
          <w:b/>
        </w:rPr>
        <w:br w:type="page"/>
      </w:r>
    </w:p>
    <w:p w:rsidR="009E2E94" w:rsidRDefault="009E2E94" w:rsidP="0087157A">
      <w:pPr>
        <w:jc w:val="both"/>
        <w:rPr>
          <w:b/>
        </w:rPr>
      </w:pPr>
      <w:r>
        <w:rPr>
          <w:b/>
        </w:rPr>
        <w:lastRenderedPageBreak/>
        <w:t>LEGAL FRAMEWORK &amp; RELEVANT STANDARDS</w:t>
      </w:r>
    </w:p>
    <w:p w:rsidR="009E2E94" w:rsidRDefault="009E2E94" w:rsidP="0087157A">
      <w:pPr>
        <w:jc w:val="both"/>
        <w:rPr>
          <w:b/>
        </w:rPr>
      </w:pPr>
    </w:p>
    <w:p w:rsidR="007D1CBD" w:rsidRDefault="007D1CBD" w:rsidP="0087157A">
      <w:pPr>
        <w:numPr>
          <w:ilvl w:val="0"/>
          <w:numId w:val="2"/>
        </w:numPr>
        <w:jc w:val="both"/>
      </w:pPr>
      <w:r>
        <w:t>Every Child Matters</w:t>
      </w:r>
    </w:p>
    <w:p w:rsidR="009E2E94" w:rsidRDefault="007D1CBD" w:rsidP="0087157A">
      <w:pPr>
        <w:numPr>
          <w:ilvl w:val="0"/>
          <w:numId w:val="2"/>
        </w:numPr>
        <w:jc w:val="both"/>
      </w:pPr>
      <w:r>
        <w:t xml:space="preserve">Replacement </w:t>
      </w:r>
      <w:r w:rsidR="009E2E94">
        <w:t>Children Act 1989</w:t>
      </w:r>
      <w:r>
        <w:t xml:space="preserve"> Guidance Private Fostering</w:t>
      </w:r>
    </w:p>
    <w:p w:rsidR="009E2E94" w:rsidRDefault="009E2E94" w:rsidP="0087157A">
      <w:pPr>
        <w:numPr>
          <w:ilvl w:val="0"/>
          <w:numId w:val="2"/>
        </w:numPr>
        <w:jc w:val="both"/>
      </w:pPr>
      <w:r>
        <w:t>Children Act 2004 (Section 44 amends Section 67 in the 1989 Act)</w:t>
      </w:r>
    </w:p>
    <w:p w:rsidR="009E2E94" w:rsidRDefault="009E2E94" w:rsidP="0087157A">
      <w:pPr>
        <w:numPr>
          <w:ilvl w:val="0"/>
          <w:numId w:val="2"/>
        </w:numPr>
        <w:jc w:val="both"/>
      </w:pPr>
      <w:r>
        <w:t>The Children (Private Arrangements for Fostering) Regulations 2005</w:t>
      </w:r>
    </w:p>
    <w:p w:rsidR="009E2E94" w:rsidRDefault="009E2E94" w:rsidP="0087157A">
      <w:pPr>
        <w:numPr>
          <w:ilvl w:val="0"/>
          <w:numId w:val="2"/>
        </w:numPr>
        <w:jc w:val="both"/>
      </w:pPr>
      <w:r>
        <w:t>National Minimum Standards for Private Fostering</w:t>
      </w:r>
    </w:p>
    <w:p w:rsidR="00960CEA" w:rsidRDefault="00960CEA" w:rsidP="0087157A">
      <w:pPr>
        <w:jc w:val="both"/>
        <w:rPr>
          <w:b/>
        </w:rPr>
      </w:pPr>
    </w:p>
    <w:p w:rsidR="009E2E94" w:rsidRDefault="009E2E94" w:rsidP="0087157A">
      <w:pPr>
        <w:jc w:val="both"/>
        <w:rPr>
          <w:b/>
        </w:rPr>
      </w:pPr>
      <w:r>
        <w:rPr>
          <w:b/>
        </w:rPr>
        <w:t xml:space="preserve">NOTIFICATIONS </w:t>
      </w:r>
    </w:p>
    <w:p w:rsidR="009E2E94" w:rsidRDefault="009E2E94" w:rsidP="0087157A">
      <w:pPr>
        <w:jc w:val="both"/>
        <w:rPr>
          <w:b/>
        </w:rPr>
      </w:pPr>
    </w:p>
    <w:p w:rsidR="009E2E94" w:rsidRDefault="009E2E94" w:rsidP="0087157A">
      <w:pPr>
        <w:jc w:val="both"/>
      </w:pPr>
      <w:r>
        <w:t>It is a legal requirement that anyone directly involved in</w:t>
      </w:r>
      <w:r w:rsidR="00630ABF">
        <w:t xml:space="preserve"> making</w:t>
      </w:r>
      <w:r>
        <w:t xml:space="preserve"> a Private Fostering arrangement must notify the local authority.  This means that the parents of the child, the Private Foster carers and anyone else involved in making the arrangement must tell the local authority at least 6 weeks before the arrangement is due to start, or within 48 hours if the arrangement is due to start sooner or has already started.  The purpose of publicity in relation to Private Fostering has been to increase the rate of notifications</w:t>
      </w:r>
      <w:r w:rsidR="00D24081">
        <w:t xml:space="preserve"> but research has shown that any such publicity has had little impact on the overall rate of notifications, although publicity targeted at health and education professionals is useful</w:t>
      </w:r>
      <w:r>
        <w:t xml:space="preserve">.  </w:t>
      </w:r>
      <w:r w:rsidR="0069230E">
        <w:t>Good</w:t>
      </w:r>
      <w:r>
        <w:t xml:space="preserve"> notification processes</w:t>
      </w:r>
      <w:r w:rsidR="0069230E">
        <w:t xml:space="preserve"> continue</w:t>
      </w:r>
      <w:r>
        <w:t xml:space="preserve"> in respect of the local </w:t>
      </w:r>
      <w:r w:rsidR="00CF0258">
        <w:t>international school</w:t>
      </w:r>
      <w:r w:rsidR="00DE553D">
        <w:t>, language schools</w:t>
      </w:r>
      <w:r>
        <w:t xml:space="preserve"> and White House Guardianships</w:t>
      </w:r>
      <w:r w:rsidR="001E1FAF">
        <w:t>.  N</w:t>
      </w:r>
      <w:r>
        <w:t>otification is still patchy within the wider community and host families have been slow to embrace their duty to notify the authority, either when a new private fostering arrangement starts or finishes, or when there are any changes in the family’s circumstances</w:t>
      </w:r>
      <w:r w:rsidR="00A814B3">
        <w:t>, relying instead on notifications being made through their organisations.</w:t>
      </w:r>
      <w:r>
        <w:t xml:space="preserve">  Although non-notification is an offence, </w:t>
      </w:r>
      <w:r w:rsidR="0069230E">
        <w:t>there have been no prosecutions nationally for non-notification.</w:t>
      </w:r>
      <w:r w:rsidR="009D5C9E">
        <w:t xml:space="preserve">  On a positive note, </w:t>
      </w:r>
      <w:r w:rsidR="00D34E23">
        <w:t xml:space="preserve">Torbay </w:t>
      </w:r>
      <w:r w:rsidR="009D5C9E">
        <w:t xml:space="preserve">Schools Admissions </w:t>
      </w:r>
      <w:r w:rsidR="00D24081">
        <w:t>continue to be</w:t>
      </w:r>
      <w:r w:rsidR="009D5C9E">
        <w:t xml:space="preserve"> pro-active in identifying potential private fostering arrangements</w:t>
      </w:r>
      <w:r w:rsidR="00D24081">
        <w:t xml:space="preserve">, although with the increase in the numbers of </w:t>
      </w:r>
      <w:r w:rsidR="00A81AD3">
        <w:t xml:space="preserve">academies in Torbay, not all schools use </w:t>
      </w:r>
      <w:r w:rsidR="00D34E23">
        <w:t>this service</w:t>
      </w:r>
      <w:r w:rsidR="00A81AD3">
        <w:t>.</w:t>
      </w:r>
    </w:p>
    <w:p w:rsidR="00A81AD3" w:rsidRDefault="00A81AD3" w:rsidP="0087157A">
      <w:pPr>
        <w:jc w:val="both"/>
      </w:pPr>
    </w:p>
    <w:p w:rsidR="009E2E94" w:rsidRDefault="009E2E94" w:rsidP="0087157A">
      <w:pPr>
        <w:jc w:val="both"/>
      </w:pPr>
      <w:r>
        <w:t>For the year ending 31 March 20</w:t>
      </w:r>
      <w:r w:rsidR="007B5356">
        <w:t>1</w:t>
      </w:r>
      <w:r w:rsidR="00D34E23">
        <w:t>6</w:t>
      </w:r>
      <w:r>
        <w:t>, notifications</w:t>
      </w:r>
      <w:r w:rsidRPr="008E153E">
        <w:t xml:space="preserve"> </w:t>
      </w:r>
      <w:r>
        <w:t xml:space="preserve">were received in respect of </w:t>
      </w:r>
      <w:r w:rsidR="00785310">
        <w:rPr>
          <w:b/>
        </w:rPr>
        <w:t>2</w:t>
      </w:r>
      <w:r w:rsidR="0015294D">
        <w:rPr>
          <w:b/>
        </w:rPr>
        <w:t xml:space="preserve">36 </w:t>
      </w:r>
      <w:r>
        <w:t xml:space="preserve">Private Fostering arrangements.  Subsequently, several of these arrangements were cancelled, found not to be Private Fostering, or terminated within 28 days, leaving </w:t>
      </w:r>
      <w:r w:rsidR="00DE553D">
        <w:rPr>
          <w:b/>
        </w:rPr>
        <w:t>19</w:t>
      </w:r>
      <w:r w:rsidR="0015294D">
        <w:rPr>
          <w:b/>
        </w:rPr>
        <w:t>7</w:t>
      </w:r>
      <w:r>
        <w:rPr>
          <w:b/>
        </w:rPr>
        <w:t xml:space="preserve"> </w:t>
      </w:r>
      <w:r>
        <w:t>actual</w:t>
      </w:r>
      <w:r w:rsidR="0069230E">
        <w:t xml:space="preserve"> new</w:t>
      </w:r>
      <w:r>
        <w:t xml:space="preserve"> Private Fostering arrangements</w:t>
      </w:r>
      <w:r w:rsidR="00557424">
        <w:t xml:space="preserve"> which started during the year and </w:t>
      </w:r>
      <w:r w:rsidR="0015294D">
        <w:rPr>
          <w:b/>
        </w:rPr>
        <w:t>9</w:t>
      </w:r>
      <w:r w:rsidR="00557424">
        <w:t xml:space="preserve"> proposed arrangements which </w:t>
      </w:r>
      <w:r w:rsidR="0015294D">
        <w:t>started in April 2016</w:t>
      </w:r>
      <w:r w:rsidR="00557424">
        <w:t>.</w:t>
      </w:r>
      <w:r>
        <w:t xml:space="preserve">  </w:t>
      </w:r>
      <w:r w:rsidRPr="00630ABF">
        <w:t xml:space="preserve">These figures represent </w:t>
      </w:r>
      <w:r w:rsidR="004625C0">
        <w:t>a</w:t>
      </w:r>
      <w:r w:rsidR="0069230E" w:rsidRPr="00630ABF">
        <w:t xml:space="preserve"> </w:t>
      </w:r>
      <w:r w:rsidR="00473A7E" w:rsidRPr="00473A7E">
        <w:rPr>
          <w:b/>
        </w:rPr>
        <w:t>3</w:t>
      </w:r>
      <w:r w:rsidR="00A81AD3" w:rsidRPr="00473A7E">
        <w:rPr>
          <w:b/>
        </w:rPr>
        <w:t>%</w:t>
      </w:r>
      <w:r w:rsidR="008E6E5C">
        <w:t xml:space="preserve"> </w:t>
      </w:r>
      <w:r w:rsidR="00473A7E">
        <w:t>in</w:t>
      </w:r>
      <w:r w:rsidR="008E6E5C">
        <w:t>crease on 201</w:t>
      </w:r>
      <w:r w:rsidR="00473A7E">
        <w:t>4</w:t>
      </w:r>
      <w:r w:rsidR="008E6E5C">
        <w:t>-1</w:t>
      </w:r>
      <w:r w:rsidR="00473A7E">
        <w:t>5</w:t>
      </w:r>
      <w:r w:rsidR="004625C0">
        <w:t xml:space="preserve">.  </w:t>
      </w:r>
      <w:r w:rsidR="00C419D1">
        <w:t xml:space="preserve">There have been no private fostering notifications in respect of asylum seeking or refugee children.  </w:t>
      </w:r>
    </w:p>
    <w:p w:rsidR="004625C0" w:rsidRDefault="004625C0" w:rsidP="0087157A">
      <w:pPr>
        <w:jc w:val="both"/>
      </w:pPr>
    </w:p>
    <w:p w:rsidR="006534CA" w:rsidRDefault="006534CA">
      <w:r>
        <w:br w:type="page"/>
      </w:r>
    </w:p>
    <w:p w:rsidR="009E2E94" w:rsidRDefault="009E2E94" w:rsidP="0087157A">
      <w:pPr>
        <w:jc w:val="both"/>
      </w:pPr>
      <w:r>
        <w:lastRenderedPageBreak/>
        <w:t>The</w:t>
      </w:r>
      <w:r w:rsidR="00B070D9">
        <w:t xml:space="preserve"> </w:t>
      </w:r>
      <w:r w:rsidR="0015294D">
        <w:rPr>
          <w:b/>
        </w:rPr>
        <w:t>236 notifications</w:t>
      </w:r>
      <w:r w:rsidR="001F7BD4">
        <w:rPr>
          <w:b/>
        </w:rPr>
        <w:t xml:space="preserve"> </w:t>
      </w:r>
      <w:r w:rsidR="00D62281">
        <w:t>can be broken down as follows</w:t>
      </w:r>
      <w:r>
        <w:t>:</w:t>
      </w:r>
    </w:p>
    <w:p w:rsidR="009E2E94" w:rsidRDefault="009E2E94" w:rsidP="0087157A">
      <w:pPr>
        <w:jc w:val="both"/>
      </w:pPr>
    </w:p>
    <w:p w:rsidR="00585098" w:rsidRDefault="007C044C" w:rsidP="0087157A">
      <w:pPr>
        <w:numPr>
          <w:ilvl w:val="0"/>
          <w:numId w:val="12"/>
        </w:numPr>
        <w:jc w:val="both"/>
      </w:pPr>
      <w:r>
        <w:rPr>
          <w:b/>
        </w:rPr>
        <w:t>1</w:t>
      </w:r>
      <w:r w:rsidR="00570B74">
        <w:rPr>
          <w:b/>
        </w:rPr>
        <w:t>7 for</w:t>
      </w:r>
      <w:r w:rsidR="005B0828">
        <w:t xml:space="preserve"> </w:t>
      </w:r>
      <w:r w:rsidR="005B0828" w:rsidRPr="00570B74">
        <w:rPr>
          <w:b/>
        </w:rPr>
        <w:t>local young people</w:t>
      </w:r>
      <w:r w:rsidR="005B0828">
        <w:t xml:space="preserve"> </w:t>
      </w:r>
    </w:p>
    <w:p w:rsidR="00707AA5" w:rsidRDefault="00570B74" w:rsidP="0087157A">
      <w:pPr>
        <w:numPr>
          <w:ilvl w:val="0"/>
          <w:numId w:val="12"/>
        </w:numPr>
        <w:jc w:val="both"/>
      </w:pPr>
      <w:r>
        <w:rPr>
          <w:b/>
        </w:rPr>
        <w:t>89 from White House Guardianships</w:t>
      </w:r>
    </w:p>
    <w:p w:rsidR="00707AA5" w:rsidRDefault="00570B74" w:rsidP="0087157A">
      <w:pPr>
        <w:numPr>
          <w:ilvl w:val="0"/>
          <w:numId w:val="12"/>
        </w:numPr>
        <w:jc w:val="both"/>
      </w:pPr>
      <w:r>
        <w:rPr>
          <w:b/>
        </w:rPr>
        <w:t>37 from language schools</w:t>
      </w:r>
      <w:r w:rsidR="00707AA5">
        <w:t xml:space="preserve"> international students studying for short periods (4-8 weeks) at local language schools</w:t>
      </w:r>
      <w:r w:rsidR="00D62281">
        <w:t xml:space="preserve"> – mainly during the summer months</w:t>
      </w:r>
      <w:r w:rsidR="00707AA5">
        <w:t>;</w:t>
      </w:r>
    </w:p>
    <w:p w:rsidR="00707AA5" w:rsidRDefault="00570B74" w:rsidP="0087157A">
      <w:pPr>
        <w:numPr>
          <w:ilvl w:val="0"/>
          <w:numId w:val="12"/>
        </w:numPr>
        <w:jc w:val="both"/>
      </w:pPr>
      <w:r>
        <w:rPr>
          <w:b/>
        </w:rPr>
        <w:t>92 from EF International Academy</w:t>
      </w:r>
      <w:r w:rsidR="00707AA5">
        <w:rPr>
          <w:b/>
        </w:rPr>
        <w:t xml:space="preserve"> </w:t>
      </w:r>
      <w:r w:rsidR="00707AA5">
        <w:t xml:space="preserve">international students studying long-term at </w:t>
      </w:r>
      <w:r w:rsidR="00B843E7">
        <w:t>a local independent school;</w:t>
      </w:r>
    </w:p>
    <w:p w:rsidR="00707AA5" w:rsidRDefault="007C044C" w:rsidP="0087157A">
      <w:pPr>
        <w:numPr>
          <w:ilvl w:val="0"/>
          <w:numId w:val="12"/>
        </w:numPr>
        <w:jc w:val="both"/>
      </w:pPr>
      <w:r>
        <w:rPr>
          <w:b/>
        </w:rPr>
        <w:t>1</w:t>
      </w:r>
      <w:r w:rsidR="00707AA5">
        <w:t xml:space="preserve"> other </w:t>
      </w:r>
      <w:r w:rsidR="00557424">
        <w:t>young pe</w:t>
      </w:r>
      <w:r>
        <w:t>rson</w:t>
      </w:r>
      <w:r w:rsidR="007760B5">
        <w:t xml:space="preserve"> – </w:t>
      </w:r>
      <w:r w:rsidR="00570B74">
        <w:t xml:space="preserve"> referred via Schools Admissions but not private fostering as age 16</w:t>
      </w:r>
    </w:p>
    <w:p w:rsidR="00707AA5" w:rsidRDefault="00707AA5" w:rsidP="0087157A">
      <w:pPr>
        <w:jc w:val="both"/>
      </w:pPr>
    </w:p>
    <w:p w:rsidR="00240CA2" w:rsidRDefault="00AD3633" w:rsidP="0087157A">
      <w:pPr>
        <w:jc w:val="both"/>
      </w:pPr>
      <w:r>
        <w:t xml:space="preserve">Referrals from </w:t>
      </w:r>
      <w:r w:rsidR="00B843E7">
        <w:t>the guardianship organisation</w:t>
      </w:r>
      <w:r>
        <w:t xml:space="preserve"> </w:t>
      </w:r>
      <w:r w:rsidR="00836F2B">
        <w:t>reduced</w:t>
      </w:r>
      <w:r>
        <w:t xml:space="preserve"> this year, </w:t>
      </w:r>
      <w:r w:rsidR="00B070D9">
        <w:t xml:space="preserve">with </w:t>
      </w:r>
      <w:r w:rsidR="00836F2B">
        <w:t>fewer</w:t>
      </w:r>
      <w:r w:rsidR="00B070D9">
        <w:t xml:space="preserve"> international students wanting to come to this area to attend local state</w:t>
      </w:r>
      <w:r w:rsidR="008200E5">
        <w:t xml:space="preserve"> and independent</w:t>
      </w:r>
      <w:r w:rsidR="00B070D9">
        <w:t xml:space="preserve"> schools for periods of between </w:t>
      </w:r>
      <w:r w:rsidR="00E705C7">
        <w:t>4</w:t>
      </w:r>
      <w:r w:rsidR="00B070D9">
        <w:t xml:space="preserve"> weeks and a year, or longer.  </w:t>
      </w:r>
      <w:r w:rsidR="00C419D1">
        <w:t xml:space="preserve">Torbay schools which have taken these students </w:t>
      </w:r>
      <w:r w:rsidR="00B2725B">
        <w:t>are</w:t>
      </w:r>
      <w:r w:rsidR="00C419D1">
        <w:t xml:space="preserve"> Torquay </w:t>
      </w:r>
      <w:r w:rsidR="00B2725B">
        <w:t>Academy</w:t>
      </w:r>
      <w:r w:rsidR="00C419D1">
        <w:t xml:space="preserve">, St Cuthbert Mayne School, </w:t>
      </w:r>
      <w:r w:rsidR="00570B74">
        <w:t>The Spires College</w:t>
      </w:r>
      <w:r w:rsidR="00BF278A">
        <w:t xml:space="preserve">, </w:t>
      </w:r>
      <w:r w:rsidR="00B2725B">
        <w:t>Paignton Community and Sports Academy</w:t>
      </w:r>
      <w:r w:rsidR="00A87872">
        <w:t xml:space="preserve"> and</w:t>
      </w:r>
      <w:r w:rsidR="00B2725B">
        <w:t xml:space="preserve"> Brixham College</w:t>
      </w:r>
      <w:r w:rsidR="00C419D1">
        <w:t>.  Other</w:t>
      </w:r>
      <w:r w:rsidR="00797CEF">
        <w:t xml:space="preserve"> </w:t>
      </w:r>
      <w:r w:rsidR="00B843E7">
        <w:t>guardianship</w:t>
      </w:r>
      <w:r w:rsidR="00C419D1">
        <w:t xml:space="preserve"> students staying in Torbay attend</w:t>
      </w:r>
      <w:r w:rsidR="00B2725B">
        <w:t>ed</w:t>
      </w:r>
      <w:r w:rsidR="00C419D1">
        <w:t xml:space="preserve"> schools in the neighbouring authority</w:t>
      </w:r>
      <w:r w:rsidR="00797CEF">
        <w:t xml:space="preserve"> (Dartmouth</w:t>
      </w:r>
      <w:r w:rsidR="00B2725B">
        <w:t xml:space="preserve"> Academy</w:t>
      </w:r>
      <w:r w:rsidR="00797CEF">
        <w:t xml:space="preserve">, </w:t>
      </w:r>
      <w:r w:rsidR="000B4BB7">
        <w:t>Newton Abbot College</w:t>
      </w:r>
      <w:r w:rsidR="00B2725B">
        <w:t xml:space="preserve">, </w:t>
      </w:r>
      <w:proofErr w:type="gramStart"/>
      <w:r w:rsidR="00B2725B">
        <w:t>Trinity</w:t>
      </w:r>
      <w:proofErr w:type="gramEnd"/>
      <w:r w:rsidR="007355B9">
        <w:t xml:space="preserve"> </w:t>
      </w:r>
      <w:r w:rsidR="00B2725B">
        <w:t>School</w:t>
      </w:r>
      <w:r w:rsidR="00797CEF">
        <w:t>)</w:t>
      </w:r>
      <w:r w:rsidR="00C419D1">
        <w:t xml:space="preserve">.  </w:t>
      </w:r>
      <w:r w:rsidR="00240CA2">
        <w:t xml:space="preserve">Notifications from </w:t>
      </w:r>
      <w:r w:rsidR="00B843E7">
        <w:t>the guardianship organisation</w:t>
      </w:r>
      <w:r w:rsidR="00240CA2">
        <w:t xml:space="preserve"> </w:t>
      </w:r>
      <w:r w:rsidR="00557424">
        <w:t>are mainly</w:t>
      </w:r>
      <w:r w:rsidR="00240CA2">
        <w:t xml:space="preserve"> received in advance, with appropriate paperwork completed and information regarding the young person provided to the host family.  </w:t>
      </w:r>
      <w:r w:rsidR="00BF278A">
        <w:t>The organisation carries out thorough DBS checks on its host families and requires a high standard of care</w:t>
      </w:r>
      <w:r w:rsidR="00557424">
        <w:t>, with young people placed only in single rooms</w:t>
      </w:r>
      <w:r w:rsidR="00BF278A">
        <w:t xml:space="preserve">.  </w:t>
      </w:r>
      <w:r w:rsidR="00240CA2">
        <w:t xml:space="preserve">Although some of these students have experienced problems, these have generally been </w:t>
      </w:r>
      <w:r w:rsidR="00570B74">
        <w:t>dealt with promptly by the organisation with children moved to another host family, when appropriate</w:t>
      </w:r>
      <w:r w:rsidR="00240CA2">
        <w:t>.</w:t>
      </w:r>
      <w:r w:rsidR="0063209D">
        <w:t xml:space="preserve">  </w:t>
      </w:r>
    </w:p>
    <w:p w:rsidR="00240CA2" w:rsidRDefault="00240CA2" w:rsidP="0087157A">
      <w:pPr>
        <w:jc w:val="both"/>
      </w:pPr>
    </w:p>
    <w:p w:rsidR="00333924" w:rsidRDefault="00B070D9" w:rsidP="0087157A">
      <w:pPr>
        <w:jc w:val="both"/>
      </w:pPr>
      <w:r>
        <w:t>Referrals</w:t>
      </w:r>
      <w:r w:rsidR="00AD3633">
        <w:t xml:space="preserve"> from language schools in respect of short-term arrangements</w:t>
      </w:r>
      <w:r>
        <w:t xml:space="preserve"> </w:t>
      </w:r>
      <w:r w:rsidR="00570B74">
        <w:t>increased</w:t>
      </w:r>
      <w:r w:rsidR="00B843E7">
        <w:t xml:space="preserve"> </w:t>
      </w:r>
      <w:r w:rsidR="000B4BB7">
        <w:t xml:space="preserve">considerably </w:t>
      </w:r>
      <w:r w:rsidR="00B843E7">
        <w:t>this year</w:t>
      </w:r>
      <w:r w:rsidR="00B2725B">
        <w:t>.</w:t>
      </w:r>
      <w:r w:rsidR="00797CEF">
        <w:t xml:space="preserve">  Typically, most of these students stay</w:t>
      </w:r>
      <w:r w:rsidR="00211CF8">
        <w:t>ed</w:t>
      </w:r>
      <w:r w:rsidR="00797CEF">
        <w:t xml:space="preserve"> for periods of between four and </w:t>
      </w:r>
      <w:r w:rsidR="000B4BB7">
        <w:t>six</w:t>
      </w:r>
      <w:r w:rsidR="00797CEF">
        <w:t xml:space="preserve"> weeks.</w:t>
      </w:r>
      <w:r w:rsidR="000E0E57">
        <w:t xml:space="preserve">  This increase is largely due to under-reporting in previous years.</w:t>
      </w:r>
    </w:p>
    <w:p w:rsidR="001C7ACF" w:rsidRDefault="001C7ACF" w:rsidP="0087157A">
      <w:pPr>
        <w:jc w:val="both"/>
      </w:pPr>
    </w:p>
    <w:p w:rsidR="00E25FFF" w:rsidRDefault="00B843E7" w:rsidP="0087157A">
      <w:pPr>
        <w:jc w:val="both"/>
      </w:pPr>
      <w:r>
        <w:t>Noti</w:t>
      </w:r>
      <w:r w:rsidR="00EC064E">
        <w:t>fications</w:t>
      </w:r>
      <w:r w:rsidR="00B2725B">
        <w:t xml:space="preserve"> from </w:t>
      </w:r>
      <w:r>
        <w:t>a local in</w:t>
      </w:r>
      <w:r w:rsidR="000E0E57">
        <w:t>ternational</w:t>
      </w:r>
      <w:r>
        <w:t xml:space="preserve"> school</w:t>
      </w:r>
      <w:r w:rsidR="00B2725B">
        <w:t xml:space="preserve"> </w:t>
      </w:r>
      <w:r w:rsidR="00570B74">
        <w:t>increased</w:t>
      </w:r>
      <w:r>
        <w:t xml:space="preserve"> this year</w:t>
      </w:r>
      <w:r w:rsidR="00570B74">
        <w:t xml:space="preserve">. </w:t>
      </w:r>
      <w:r w:rsidR="000B4BB7">
        <w:t xml:space="preserve"> </w:t>
      </w:r>
      <w:r w:rsidR="00EC064E">
        <w:t xml:space="preserve">Students attending </w:t>
      </w:r>
      <w:r>
        <w:t>this school</w:t>
      </w:r>
      <w:r w:rsidR="00EC064E">
        <w:t xml:space="preserve"> arrive throughout the year, with peak arrival times being </w:t>
      </w:r>
      <w:r w:rsidR="00AE0AE2">
        <w:t>September, January, April and June</w:t>
      </w:r>
      <w:r w:rsidR="00EC064E">
        <w:t xml:space="preserve">.  </w:t>
      </w:r>
      <w:r w:rsidR="00E77C7E">
        <w:t xml:space="preserve">Arrivals are often subject to delays associated with granting of visas.  </w:t>
      </w:r>
      <w:r w:rsidR="00EC064E">
        <w:t>As well as providing study courses for IGCSE, ‘A’ levels and International Baccalaureate (IB), the school offers an English preparation course</w:t>
      </w:r>
      <w:r w:rsidR="00211CF8">
        <w:t>.  Many of the students only return home at Christmas and during the summer vacation, although some remain in England over Christmas.</w:t>
      </w:r>
    </w:p>
    <w:p w:rsidR="00E77C7E" w:rsidRDefault="00E77C7E" w:rsidP="0087157A">
      <w:pPr>
        <w:jc w:val="both"/>
      </w:pPr>
    </w:p>
    <w:p w:rsidR="006534CA" w:rsidRDefault="006534CA">
      <w:r>
        <w:br w:type="page"/>
      </w:r>
    </w:p>
    <w:p w:rsidR="00B070D9" w:rsidRDefault="00E77C7E" w:rsidP="0087157A">
      <w:pPr>
        <w:jc w:val="both"/>
      </w:pPr>
      <w:r>
        <w:lastRenderedPageBreak/>
        <w:t xml:space="preserve">Although notifications from </w:t>
      </w:r>
      <w:r w:rsidR="00B843E7">
        <w:t>this school</w:t>
      </w:r>
      <w:r>
        <w:t xml:space="preserve"> are </w:t>
      </w:r>
      <w:r w:rsidR="000E0E57">
        <w:t>generally received promptly</w:t>
      </w:r>
      <w:r>
        <w:t xml:space="preserve">, there are still </w:t>
      </w:r>
      <w:r w:rsidR="00570B74">
        <w:t>several</w:t>
      </w:r>
      <w:r w:rsidR="00AE0AE2">
        <w:t xml:space="preserve"> </w:t>
      </w:r>
      <w:r>
        <w:t xml:space="preserve">instances of late or short notice notifications, with little information provided about the young people.  </w:t>
      </w:r>
      <w:r w:rsidR="0078012A">
        <w:t xml:space="preserve">The school have identified host families who now take only under </w:t>
      </w:r>
      <w:proofErr w:type="gramStart"/>
      <w:r w:rsidR="0078012A">
        <w:t>16’s</w:t>
      </w:r>
      <w:proofErr w:type="gramEnd"/>
      <w:r w:rsidR="0078012A">
        <w:t xml:space="preserve"> and provide these families with appropriate safeguarding training.</w:t>
      </w:r>
      <w:r>
        <w:t xml:space="preserve">  </w:t>
      </w:r>
      <w:r w:rsidR="0078012A">
        <w:t>The</w:t>
      </w:r>
      <w:r w:rsidR="00B843E7">
        <w:t xml:space="preserve"> school</w:t>
      </w:r>
      <w:r>
        <w:t xml:space="preserve"> have been very accommodating, allowing staff from the local authority to visit the young people at school and have co-operated with staff in regard to requests for information.</w:t>
      </w:r>
      <w:r w:rsidR="00A87872">
        <w:t xml:space="preserve">  They also </w:t>
      </w:r>
      <w:r w:rsidR="00AE0AE2">
        <w:t>carry</w:t>
      </w:r>
      <w:r w:rsidR="00A87872">
        <w:t xml:space="preserve"> out DBS ch</w:t>
      </w:r>
      <w:r w:rsidR="00137DD4">
        <w:t>ecks on all their host families and members of the household age 1</w:t>
      </w:r>
      <w:r w:rsidR="0078012A">
        <w:t>8</w:t>
      </w:r>
      <w:r w:rsidR="00137DD4">
        <w:t xml:space="preserve"> and over</w:t>
      </w:r>
      <w:r w:rsidR="00AE0AE2">
        <w:t xml:space="preserve"> prior to placing a student</w:t>
      </w:r>
      <w:r w:rsidR="00137DD4">
        <w:t>, in line with recent guidance from DfE (Keeping Children Safe in Education – April 2014).</w:t>
      </w:r>
      <w:r w:rsidR="00AE0AE2">
        <w:t xml:space="preserve">  They </w:t>
      </w:r>
      <w:r w:rsidR="00570B74">
        <w:t>also have</w:t>
      </w:r>
      <w:r w:rsidR="00AE0AE2">
        <w:t xml:space="preserve"> a programme of unannounced visits to their host families</w:t>
      </w:r>
      <w:r w:rsidR="00CF62D3">
        <w:t xml:space="preserve"> and have been very receptive to advice and guidance from the local authority</w:t>
      </w:r>
      <w:r w:rsidR="00AE0AE2">
        <w:t>.</w:t>
      </w:r>
    </w:p>
    <w:p w:rsidR="00211CF8" w:rsidRDefault="00211CF8" w:rsidP="0087157A">
      <w:pPr>
        <w:jc w:val="both"/>
      </w:pPr>
    </w:p>
    <w:p w:rsidR="00211CF8" w:rsidRPr="00211CF8" w:rsidRDefault="000E0E57" w:rsidP="0087157A">
      <w:pPr>
        <w:jc w:val="both"/>
        <w:rPr>
          <w:b/>
        </w:rPr>
      </w:pPr>
      <w:r>
        <w:rPr>
          <w:b/>
        </w:rPr>
        <w:br w:type="page"/>
      </w:r>
      <w:r w:rsidR="00211CF8">
        <w:rPr>
          <w:b/>
        </w:rPr>
        <w:lastRenderedPageBreak/>
        <w:t>PF1 RETURN TO CENTRAL GOVERNMENT</w:t>
      </w:r>
    </w:p>
    <w:p w:rsidR="00A44414" w:rsidRDefault="00A44414" w:rsidP="0087157A">
      <w:pPr>
        <w:jc w:val="both"/>
      </w:pPr>
    </w:p>
    <w:p w:rsidR="00C97D7D" w:rsidRDefault="00E25FFF" w:rsidP="00C97D7D">
      <w:r>
        <w:t xml:space="preserve">The following chart shows the numbers of notifications </w:t>
      </w:r>
      <w:r w:rsidR="00C97D7D">
        <w:t xml:space="preserve">over the last </w:t>
      </w:r>
      <w:r w:rsidR="003E7093">
        <w:t>six</w:t>
      </w:r>
      <w:r w:rsidR="00C97D7D">
        <w:t xml:space="preserve"> years.  </w:t>
      </w:r>
      <w:r w:rsidR="00CF62D3">
        <w:t xml:space="preserve">It demonstrates that overall numbers were </w:t>
      </w:r>
      <w:r w:rsidR="003E7093">
        <w:t>higher</w:t>
      </w:r>
      <w:r w:rsidR="00CF62D3">
        <w:t xml:space="preserve"> this year</w:t>
      </w:r>
      <w:r w:rsidR="003E7093">
        <w:t xml:space="preserve"> but</w:t>
      </w:r>
      <w:r w:rsidR="00CF62D3">
        <w:t xml:space="preserve"> the number of notifications in relation to local young people was </w:t>
      </w:r>
      <w:r w:rsidR="003E7093">
        <w:t>broadly the same</w:t>
      </w:r>
      <w:r w:rsidR="00CF62D3">
        <w:t xml:space="preserve">.  </w:t>
      </w:r>
    </w:p>
    <w:p w:rsidR="00D60478" w:rsidRDefault="00D60478" w:rsidP="00A44414"/>
    <w:p w:rsidR="00D60478" w:rsidRDefault="00D60478" w:rsidP="00A44414"/>
    <w:p w:rsidR="00CF62D3" w:rsidRDefault="00507EF4" w:rsidP="00A44414">
      <w:r>
        <w:rPr>
          <w:noProof/>
          <w:lang w:eastAsia="en-GB"/>
        </w:rPr>
        <w:drawing>
          <wp:inline distT="0" distB="0" distL="0" distR="0">
            <wp:extent cx="5153025" cy="3438525"/>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A6578" w:rsidRPr="00A44414" w:rsidRDefault="00CF62D3" w:rsidP="00A44414">
      <w:pPr>
        <w:rPr>
          <w:b/>
        </w:rPr>
      </w:pPr>
      <w:r>
        <w:t>Overleaf is a table, showing the information</w:t>
      </w:r>
      <w:r w:rsidR="00570B74">
        <w:t xml:space="preserve"> previously</w:t>
      </w:r>
      <w:r>
        <w:t xml:space="preserve"> provided to the DfE on the</w:t>
      </w:r>
      <w:r w:rsidR="00992428">
        <w:t xml:space="preserve"> annual PF1 return with comparisons to the previous four </w:t>
      </w:r>
      <w:proofErr w:type="gramStart"/>
      <w:r w:rsidR="00992428">
        <w:t>years.</w:t>
      </w:r>
      <w:proofErr w:type="gramEnd"/>
      <w:r w:rsidR="00570B74">
        <w:t xml:space="preserve">   In 2015, the DfE decided that they would no longer require local authorities to report separately on Private Fostering and only those children deemed Children In Need (CIN) will show on the annual CIN Census.</w:t>
      </w:r>
      <w:r w:rsidR="00A44414">
        <w:br w:type="page"/>
      </w:r>
      <w:r w:rsidR="00A44414">
        <w:rPr>
          <w:b/>
        </w:rPr>
        <w:lastRenderedPageBreak/>
        <w:t>PF1 Annual Return to DfE – comparison figures</w:t>
      </w:r>
    </w:p>
    <w:p w:rsidR="00D60478" w:rsidRPr="00EA6578" w:rsidRDefault="00D60478" w:rsidP="00A44414">
      <w:pPr>
        <w:rPr>
          <w:rFonts w:ascii="Calibri" w:hAnsi="Calibri"/>
          <w:color w:val="000000"/>
          <w:sz w:val="22"/>
          <w:szCs w:val="22"/>
          <w:lang w:val="en-US"/>
        </w:rPr>
      </w:pPr>
    </w:p>
    <w:tbl>
      <w:tblPr>
        <w:tblW w:w="779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2822"/>
        <w:gridCol w:w="988"/>
        <w:gridCol w:w="986"/>
        <w:gridCol w:w="1008"/>
        <w:gridCol w:w="1008"/>
        <w:gridCol w:w="981"/>
      </w:tblGrid>
      <w:tr w:rsidR="00570B74" w:rsidRPr="00EA6578" w:rsidTr="00570B74">
        <w:trPr>
          <w:trHeight w:val="300"/>
        </w:trPr>
        <w:tc>
          <w:tcPr>
            <w:tcW w:w="2822" w:type="dxa"/>
            <w:shd w:val="clear" w:color="auto" w:fill="auto"/>
            <w:vAlign w:val="bottom"/>
            <w:hideMark/>
          </w:tcPr>
          <w:p w:rsidR="00570B74" w:rsidRPr="00EA6578" w:rsidRDefault="00570B74" w:rsidP="00EA6578">
            <w:pPr>
              <w:rPr>
                <w:rFonts w:ascii="Calibri" w:hAnsi="Calibri"/>
                <w:color w:val="000000"/>
                <w:sz w:val="22"/>
                <w:szCs w:val="22"/>
                <w:lang w:val="en-US"/>
              </w:rPr>
            </w:pPr>
          </w:p>
        </w:tc>
        <w:tc>
          <w:tcPr>
            <w:tcW w:w="988" w:type="dxa"/>
            <w:shd w:val="clear" w:color="auto" w:fill="auto"/>
            <w:noWrap/>
            <w:vAlign w:val="center"/>
            <w:hideMark/>
          </w:tcPr>
          <w:p w:rsidR="00570B74" w:rsidRPr="00EA6578" w:rsidRDefault="00570B74" w:rsidP="00EA6578">
            <w:pPr>
              <w:jc w:val="center"/>
              <w:rPr>
                <w:rFonts w:ascii="Calibri" w:hAnsi="Calibri"/>
                <w:color w:val="000000"/>
                <w:sz w:val="22"/>
                <w:szCs w:val="22"/>
                <w:lang w:val="en-US"/>
              </w:rPr>
            </w:pPr>
            <w:r w:rsidRPr="00EA6578">
              <w:rPr>
                <w:rFonts w:ascii="Calibri" w:hAnsi="Calibri"/>
                <w:color w:val="000000"/>
                <w:sz w:val="22"/>
                <w:szCs w:val="22"/>
                <w:lang w:val="en-US"/>
              </w:rPr>
              <w:t>2011/12</w:t>
            </w:r>
          </w:p>
        </w:tc>
        <w:tc>
          <w:tcPr>
            <w:tcW w:w="986" w:type="dxa"/>
          </w:tcPr>
          <w:p w:rsidR="00570B74" w:rsidRPr="00EA6578" w:rsidRDefault="00570B74" w:rsidP="00EA6578">
            <w:pPr>
              <w:jc w:val="center"/>
              <w:rPr>
                <w:rFonts w:ascii="Calibri" w:hAnsi="Calibri"/>
                <w:color w:val="000000"/>
                <w:sz w:val="22"/>
                <w:szCs w:val="22"/>
                <w:lang w:val="en-US"/>
              </w:rPr>
            </w:pPr>
            <w:r>
              <w:rPr>
                <w:rFonts w:ascii="Calibri" w:hAnsi="Calibri"/>
                <w:color w:val="000000"/>
                <w:sz w:val="22"/>
                <w:szCs w:val="22"/>
                <w:lang w:val="en-US"/>
              </w:rPr>
              <w:t>2012/13</w:t>
            </w:r>
          </w:p>
        </w:tc>
        <w:tc>
          <w:tcPr>
            <w:tcW w:w="1008" w:type="dxa"/>
          </w:tcPr>
          <w:p w:rsidR="00570B74" w:rsidRPr="00B354B5" w:rsidRDefault="00570B74" w:rsidP="00EA6578">
            <w:pPr>
              <w:jc w:val="center"/>
              <w:rPr>
                <w:rFonts w:ascii="Calibri" w:hAnsi="Calibri"/>
                <w:color w:val="000000"/>
                <w:sz w:val="22"/>
                <w:szCs w:val="22"/>
                <w:lang w:val="en-US"/>
              </w:rPr>
            </w:pPr>
            <w:r w:rsidRPr="00B354B5">
              <w:rPr>
                <w:rFonts w:ascii="Calibri" w:hAnsi="Calibri"/>
                <w:color w:val="000000"/>
                <w:sz w:val="22"/>
                <w:szCs w:val="22"/>
                <w:lang w:val="en-US"/>
              </w:rPr>
              <w:t>2013/14</w:t>
            </w:r>
          </w:p>
        </w:tc>
        <w:tc>
          <w:tcPr>
            <w:tcW w:w="1008" w:type="dxa"/>
          </w:tcPr>
          <w:p w:rsidR="00570B74" w:rsidRPr="00B354B5" w:rsidRDefault="00570B74" w:rsidP="00EA6578">
            <w:pPr>
              <w:jc w:val="center"/>
              <w:rPr>
                <w:rFonts w:ascii="Calibri" w:hAnsi="Calibri"/>
                <w:color w:val="000000"/>
                <w:sz w:val="22"/>
                <w:szCs w:val="22"/>
                <w:lang w:val="en-US"/>
              </w:rPr>
            </w:pPr>
            <w:r>
              <w:rPr>
                <w:rFonts w:ascii="Calibri" w:hAnsi="Calibri"/>
                <w:color w:val="000000"/>
                <w:sz w:val="22"/>
                <w:szCs w:val="22"/>
                <w:lang w:val="en-US"/>
              </w:rPr>
              <w:t>2014/15</w:t>
            </w:r>
          </w:p>
        </w:tc>
        <w:tc>
          <w:tcPr>
            <w:tcW w:w="981" w:type="dxa"/>
          </w:tcPr>
          <w:p w:rsidR="00570B74" w:rsidRDefault="00570B74" w:rsidP="00EA6578">
            <w:pPr>
              <w:jc w:val="center"/>
              <w:rPr>
                <w:rFonts w:ascii="Calibri" w:hAnsi="Calibri"/>
                <w:color w:val="000000"/>
                <w:sz w:val="22"/>
                <w:szCs w:val="22"/>
                <w:lang w:val="en-US"/>
              </w:rPr>
            </w:pPr>
            <w:r>
              <w:rPr>
                <w:rFonts w:ascii="Calibri" w:hAnsi="Calibri"/>
                <w:color w:val="000000"/>
                <w:sz w:val="22"/>
                <w:szCs w:val="22"/>
                <w:lang w:val="en-US"/>
              </w:rPr>
              <w:t>2015/16</w:t>
            </w:r>
          </w:p>
        </w:tc>
      </w:tr>
      <w:tr w:rsidR="00570B74" w:rsidRPr="00EA6578" w:rsidTr="00570B74">
        <w:trPr>
          <w:trHeight w:val="600"/>
        </w:trPr>
        <w:tc>
          <w:tcPr>
            <w:tcW w:w="2822" w:type="dxa"/>
            <w:shd w:val="clear" w:color="auto" w:fill="auto"/>
            <w:vAlign w:val="bottom"/>
            <w:hideMark/>
          </w:tcPr>
          <w:p w:rsidR="00570B74" w:rsidRPr="00EA6578" w:rsidRDefault="00570B74" w:rsidP="00EA6578">
            <w:pPr>
              <w:rPr>
                <w:rFonts w:ascii="Calibri" w:hAnsi="Calibri"/>
                <w:color w:val="000000"/>
                <w:sz w:val="22"/>
                <w:szCs w:val="22"/>
                <w:lang w:val="en-US"/>
              </w:rPr>
            </w:pPr>
            <w:r w:rsidRPr="00EA6578">
              <w:rPr>
                <w:rFonts w:ascii="Calibri" w:hAnsi="Calibri"/>
                <w:color w:val="000000"/>
                <w:sz w:val="22"/>
                <w:szCs w:val="22"/>
                <w:lang w:val="en-US"/>
              </w:rPr>
              <w:t>Number of notifications of new private fostering arrangements received during the year:</w:t>
            </w:r>
          </w:p>
        </w:tc>
        <w:tc>
          <w:tcPr>
            <w:tcW w:w="988" w:type="dxa"/>
            <w:shd w:val="clear" w:color="auto" w:fill="auto"/>
            <w:noWrap/>
            <w:vAlign w:val="center"/>
            <w:hideMark/>
          </w:tcPr>
          <w:p w:rsidR="00570B74" w:rsidRPr="00EA6578" w:rsidRDefault="00570B74" w:rsidP="00EA6578">
            <w:pPr>
              <w:jc w:val="center"/>
              <w:rPr>
                <w:rFonts w:ascii="Calibri" w:hAnsi="Calibri"/>
                <w:color w:val="000000"/>
                <w:sz w:val="22"/>
                <w:szCs w:val="22"/>
                <w:lang w:val="en-US"/>
              </w:rPr>
            </w:pPr>
            <w:r w:rsidRPr="00EA6578">
              <w:rPr>
                <w:rFonts w:ascii="Calibri" w:hAnsi="Calibri"/>
                <w:color w:val="000000"/>
                <w:sz w:val="22"/>
                <w:szCs w:val="22"/>
                <w:lang w:val="en-US"/>
              </w:rPr>
              <w:t>187</w:t>
            </w:r>
          </w:p>
        </w:tc>
        <w:tc>
          <w:tcPr>
            <w:tcW w:w="986" w:type="dxa"/>
          </w:tcPr>
          <w:p w:rsidR="00570B74" w:rsidRDefault="00570B74" w:rsidP="00663844">
            <w:pPr>
              <w:jc w:val="center"/>
              <w:rPr>
                <w:rFonts w:ascii="Calibri" w:hAnsi="Calibri"/>
                <w:color w:val="000000"/>
                <w:sz w:val="22"/>
                <w:szCs w:val="22"/>
                <w:lang w:val="en-US"/>
              </w:rPr>
            </w:pPr>
          </w:p>
          <w:p w:rsidR="00570B74" w:rsidRPr="00EA6578" w:rsidRDefault="00570B74" w:rsidP="00663844">
            <w:pPr>
              <w:jc w:val="center"/>
              <w:rPr>
                <w:rFonts w:ascii="Calibri" w:hAnsi="Calibri"/>
                <w:color w:val="000000"/>
                <w:sz w:val="22"/>
                <w:szCs w:val="22"/>
                <w:lang w:val="en-US"/>
              </w:rPr>
            </w:pPr>
            <w:r>
              <w:rPr>
                <w:rFonts w:ascii="Calibri" w:hAnsi="Calibri"/>
                <w:color w:val="000000"/>
                <w:sz w:val="22"/>
                <w:szCs w:val="22"/>
                <w:lang w:val="en-US"/>
              </w:rPr>
              <w:t>204</w:t>
            </w:r>
          </w:p>
        </w:tc>
        <w:tc>
          <w:tcPr>
            <w:tcW w:w="1008" w:type="dxa"/>
          </w:tcPr>
          <w:p w:rsidR="00570B74" w:rsidRDefault="00570B74" w:rsidP="00663844">
            <w:pPr>
              <w:jc w:val="center"/>
              <w:rPr>
                <w:rFonts w:ascii="Calibri" w:hAnsi="Calibri"/>
                <w:color w:val="000000"/>
                <w:sz w:val="22"/>
                <w:szCs w:val="22"/>
                <w:lang w:val="en-US"/>
              </w:rPr>
            </w:pPr>
          </w:p>
          <w:p w:rsidR="00570B74" w:rsidRDefault="00570B74" w:rsidP="002D2156">
            <w:pPr>
              <w:jc w:val="center"/>
              <w:rPr>
                <w:rFonts w:ascii="Calibri" w:hAnsi="Calibri"/>
                <w:color w:val="000000"/>
                <w:sz w:val="22"/>
                <w:szCs w:val="22"/>
                <w:lang w:val="en-US"/>
              </w:rPr>
            </w:pPr>
            <w:r>
              <w:rPr>
                <w:rFonts w:ascii="Calibri" w:hAnsi="Calibri"/>
                <w:color w:val="000000"/>
                <w:sz w:val="22"/>
                <w:szCs w:val="22"/>
                <w:lang w:val="en-US"/>
              </w:rPr>
              <w:t>254</w:t>
            </w:r>
          </w:p>
        </w:tc>
        <w:tc>
          <w:tcPr>
            <w:tcW w:w="1008" w:type="dxa"/>
          </w:tcPr>
          <w:p w:rsidR="00570B74" w:rsidRDefault="00570B74" w:rsidP="00663844">
            <w:pPr>
              <w:jc w:val="center"/>
              <w:rPr>
                <w:rFonts w:ascii="Calibri" w:hAnsi="Calibri"/>
                <w:color w:val="000000"/>
                <w:sz w:val="22"/>
                <w:szCs w:val="22"/>
                <w:lang w:val="en-US"/>
              </w:rPr>
            </w:pPr>
          </w:p>
          <w:p w:rsidR="00570B74" w:rsidRDefault="00570B74" w:rsidP="00663844">
            <w:pPr>
              <w:jc w:val="center"/>
              <w:rPr>
                <w:rFonts w:ascii="Calibri" w:hAnsi="Calibri"/>
                <w:color w:val="000000"/>
                <w:sz w:val="22"/>
                <w:szCs w:val="22"/>
                <w:lang w:val="en-US"/>
              </w:rPr>
            </w:pPr>
            <w:r>
              <w:rPr>
                <w:rFonts w:ascii="Calibri" w:hAnsi="Calibri"/>
                <w:color w:val="000000"/>
                <w:sz w:val="22"/>
                <w:szCs w:val="22"/>
                <w:lang w:val="en-US"/>
              </w:rPr>
              <w:t>214</w:t>
            </w:r>
          </w:p>
        </w:tc>
        <w:tc>
          <w:tcPr>
            <w:tcW w:w="981" w:type="dxa"/>
          </w:tcPr>
          <w:p w:rsidR="00570B74" w:rsidRDefault="00570B74" w:rsidP="00663844">
            <w:pPr>
              <w:jc w:val="center"/>
              <w:rPr>
                <w:rFonts w:ascii="Calibri" w:hAnsi="Calibri"/>
                <w:color w:val="000000"/>
                <w:sz w:val="22"/>
                <w:szCs w:val="22"/>
                <w:lang w:val="en-US"/>
              </w:rPr>
            </w:pPr>
          </w:p>
          <w:p w:rsidR="00570B74" w:rsidRDefault="00570B74" w:rsidP="00663844">
            <w:pPr>
              <w:jc w:val="center"/>
              <w:rPr>
                <w:rFonts w:ascii="Calibri" w:hAnsi="Calibri"/>
                <w:color w:val="000000"/>
                <w:sz w:val="22"/>
                <w:szCs w:val="22"/>
                <w:lang w:val="en-US"/>
              </w:rPr>
            </w:pPr>
            <w:r>
              <w:rPr>
                <w:rFonts w:ascii="Calibri" w:hAnsi="Calibri"/>
                <w:color w:val="000000"/>
                <w:sz w:val="22"/>
                <w:szCs w:val="22"/>
                <w:lang w:val="en-US"/>
              </w:rPr>
              <w:t>236</w:t>
            </w:r>
          </w:p>
        </w:tc>
      </w:tr>
      <w:tr w:rsidR="00570B74" w:rsidRPr="00EA6578" w:rsidTr="00570B74">
        <w:trPr>
          <w:trHeight w:val="1200"/>
        </w:trPr>
        <w:tc>
          <w:tcPr>
            <w:tcW w:w="2822" w:type="dxa"/>
            <w:shd w:val="clear" w:color="auto" w:fill="auto"/>
            <w:vAlign w:val="bottom"/>
            <w:hideMark/>
          </w:tcPr>
          <w:p w:rsidR="00570B74" w:rsidRPr="00EA6578" w:rsidRDefault="00570B74" w:rsidP="00EA6578">
            <w:pPr>
              <w:rPr>
                <w:rFonts w:ascii="Calibri" w:hAnsi="Calibri"/>
                <w:color w:val="000000"/>
                <w:sz w:val="22"/>
                <w:szCs w:val="22"/>
                <w:lang w:val="en-US"/>
              </w:rPr>
            </w:pPr>
            <w:r w:rsidRPr="00EA6578">
              <w:rPr>
                <w:rFonts w:ascii="Calibri" w:hAnsi="Calibri"/>
                <w:color w:val="000000"/>
                <w:sz w:val="22"/>
                <w:szCs w:val="22"/>
                <w:lang w:val="en-US"/>
              </w:rPr>
              <w:t>No. of cases where action was taken in accordance with requirements of Regulation 4(1) of Children (Private Arrangements for Fostering) Regulations 2005 for carrying out visits:</w:t>
            </w:r>
          </w:p>
        </w:tc>
        <w:tc>
          <w:tcPr>
            <w:tcW w:w="988" w:type="dxa"/>
            <w:shd w:val="clear" w:color="auto" w:fill="auto"/>
            <w:noWrap/>
            <w:vAlign w:val="center"/>
            <w:hideMark/>
          </w:tcPr>
          <w:p w:rsidR="00570B74" w:rsidRPr="00EA6578" w:rsidRDefault="00570B74" w:rsidP="00EA6578">
            <w:pPr>
              <w:jc w:val="center"/>
              <w:rPr>
                <w:rFonts w:ascii="Calibri" w:hAnsi="Calibri"/>
                <w:color w:val="000000"/>
                <w:sz w:val="22"/>
                <w:szCs w:val="22"/>
                <w:lang w:val="en-US"/>
              </w:rPr>
            </w:pPr>
            <w:r w:rsidRPr="00EA6578">
              <w:rPr>
                <w:rFonts w:ascii="Calibri" w:hAnsi="Calibri"/>
                <w:color w:val="000000"/>
                <w:sz w:val="22"/>
                <w:szCs w:val="22"/>
                <w:lang w:val="en-US"/>
              </w:rPr>
              <w:t>142</w:t>
            </w:r>
          </w:p>
        </w:tc>
        <w:tc>
          <w:tcPr>
            <w:tcW w:w="986" w:type="dxa"/>
          </w:tcPr>
          <w:p w:rsidR="00570B74" w:rsidRDefault="00570B74" w:rsidP="00663844">
            <w:pPr>
              <w:jc w:val="center"/>
              <w:rPr>
                <w:rFonts w:ascii="Calibri" w:hAnsi="Calibri"/>
                <w:color w:val="000000"/>
                <w:sz w:val="22"/>
                <w:szCs w:val="22"/>
                <w:lang w:val="en-US"/>
              </w:rPr>
            </w:pPr>
          </w:p>
          <w:p w:rsidR="00570B74" w:rsidRDefault="00570B74" w:rsidP="00663844">
            <w:pPr>
              <w:jc w:val="center"/>
              <w:rPr>
                <w:rFonts w:ascii="Calibri" w:hAnsi="Calibri"/>
                <w:color w:val="000000"/>
                <w:sz w:val="22"/>
                <w:szCs w:val="22"/>
                <w:lang w:val="en-US"/>
              </w:rPr>
            </w:pPr>
          </w:p>
          <w:p w:rsidR="00570B74" w:rsidRDefault="00570B74" w:rsidP="00663844">
            <w:pPr>
              <w:jc w:val="center"/>
              <w:rPr>
                <w:rFonts w:ascii="Calibri" w:hAnsi="Calibri"/>
                <w:color w:val="000000"/>
                <w:sz w:val="22"/>
                <w:szCs w:val="22"/>
                <w:lang w:val="en-US"/>
              </w:rPr>
            </w:pPr>
          </w:p>
          <w:p w:rsidR="00570B74" w:rsidRDefault="00570B74" w:rsidP="00663844">
            <w:pPr>
              <w:jc w:val="center"/>
              <w:rPr>
                <w:rFonts w:ascii="Calibri" w:hAnsi="Calibri"/>
                <w:color w:val="000000"/>
                <w:sz w:val="22"/>
                <w:szCs w:val="22"/>
                <w:lang w:val="en-US"/>
              </w:rPr>
            </w:pPr>
            <w:r>
              <w:rPr>
                <w:rFonts w:ascii="Calibri" w:hAnsi="Calibri"/>
                <w:color w:val="000000"/>
                <w:sz w:val="22"/>
                <w:szCs w:val="22"/>
                <w:lang w:val="en-US"/>
              </w:rPr>
              <w:t>174</w:t>
            </w:r>
          </w:p>
          <w:p w:rsidR="00570B74" w:rsidRDefault="00570B74" w:rsidP="00663844">
            <w:pPr>
              <w:jc w:val="center"/>
              <w:rPr>
                <w:rFonts w:ascii="Calibri" w:hAnsi="Calibri"/>
                <w:color w:val="000000"/>
                <w:sz w:val="22"/>
                <w:szCs w:val="22"/>
                <w:lang w:val="en-US"/>
              </w:rPr>
            </w:pPr>
          </w:p>
          <w:p w:rsidR="00570B74" w:rsidRDefault="00570B74" w:rsidP="00663844">
            <w:pPr>
              <w:rPr>
                <w:rFonts w:ascii="Calibri" w:hAnsi="Calibri"/>
                <w:color w:val="000000"/>
                <w:sz w:val="22"/>
                <w:szCs w:val="22"/>
                <w:lang w:val="en-US"/>
              </w:rPr>
            </w:pPr>
          </w:p>
          <w:p w:rsidR="00570B74" w:rsidRPr="00EA6578" w:rsidRDefault="00570B74" w:rsidP="00663844">
            <w:pPr>
              <w:jc w:val="center"/>
              <w:rPr>
                <w:rFonts w:ascii="Calibri" w:hAnsi="Calibri"/>
                <w:color w:val="000000"/>
                <w:sz w:val="22"/>
                <w:szCs w:val="22"/>
                <w:lang w:val="en-US"/>
              </w:rPr>
            </w:pPr>
          </w:p>
        </w:tc>
        <w:tc>
          <w:tcPr>
            <w:tcW w:w="1008" w:type="dxa"/>
          </w:tcPr>
          <w:p w:rsidR="00570B74" w:rsidRDefault="00570B74" w:rsidP="00663844">
            <w:pPr>
              <w:jc w:val="center"/>
              <w:rPr>
                <w:rFonts w:ascii="Calibri" w:hAnsi="Calibri"/>
                <w:color w:val="000000"/>
                <w:sz w:val="22"/>
                <w:szCs w:val="22"/>
                <w:lang w:val="en-US"/>
              </w:rPr>
            </w:pPr>
          </w:p>
          <w:p w:rsidR="00570B74" w:rsidRDefault="00570B74" w:rsidP="00663844">
            <w:pPr>
              <w:jc w:val="center"/>
              <w:rPr>
                <w:rFonts w:ascii="Calibri" w:hAnsi="Calibri"/>
                <w:color w:val="000000"/>
                <w:sz w:val="22"/>
                <w:szCs w:val="22"/>
                <w:lang w:val="en-US"/>
              </w:rPr>
            </w:pPr>
          </w:p>
          <w:p w:rsidR="00570B74" w:rsidRDefault="00570B74" w:rsidP="00663844">
            <w:pPr>
              <w:jc w:val="center"/>
              <w:rPr>
                <w:rFonts w:ascii="Calibri" w:hAnsi="Calibri"/>
                <w:color w:val="000000"/>
                <w:sz w:val="22"/>
                <w:szCs w:val="22"/>
                <w:lang w:val="en-US"/>
              </w:rPr>
            </w:pPr>
          </w:p>
          <w:p w:rsidR="00570B74" w:rsidRDefault="00570B74" w:rsidP="002D2156">
            <w:pPr>
              <w:jc w:val="center"/>
              <w:rPr>
                <w:rFonts w:ascii="Calibri" w:hAnsi="Calibri"/>
                <w:color w:val="000000"/>
                <w:sz w:val="22"/>
                <w:szCs w:val="22"/>
                <w:lang w:val="en-US"/>
              </w:rPr>
            </w:pPr>
            <w:r>
              <w:rPr>
                <w:rFonts w:ascii="Calibri" w:hAnsi="Calibri"/>
                <w:color w:val="000000"/>
                <w:sz w:val="22"/>
                <w:szCs w:val="22"/>
                <w:lang w:val="en-US"/>
              </w:rPr>
              <w:t>228</w:t>
            </w:r>
          </w:p>
        </w:tc>
        <w:tc>
          <w:tcPr>
            <w:tcW w:w="1008" w:type="dxa"/>
          </w:tcPr>
          <w:p w:rsidR="00570B74" w:rsidRDefault="00570B74" w:rsidP="00663844">
            <w:pPr>
              <w:jc w:val="center"/>
              <w:rPr>
                <w:rFonts w:ascii="Calibri" w:hAnsi="Calibri"/>
                <w:color w:val="000000"/>
                <w:sz w:val="22"/>
                <w:szCs w:val="22"/>
                <w:lang w:val="en-US"/>
              </w:rPr>
            </w:pPr>
          </w:p>
          <w:p w:rsidR="00570B74" w:rsidRDefault="00570B74" w:rsidP="00663844">
            <w:pPr>
              <w:jc w:val="center"/>
              <w:rPr>
                <w:rFonts w:ascii="Calibri" w:hAnsi="Calibri"/>
                <w:color w:val="000000"/>
                <w:sz w:val="22"/>
                <w:szCs w:val="22"/>
                <w:lang w:val="en-US"/>
              </w:rPr>
            </w:pPr>
          </w:p>
          <w:p w:rsidR="00570B74" w:rsidRDefault="00570B74" w:rsidP="00663844">
            <w:pPr>
              <w:jc w:val="center"/>
              <w:rPr>
                <w:rFonts w:ascii="Calibri" w:hAnsi="Calibri"/>
                <w:color w:val="000000"/>
                <w:sz w:val="22"/>
                <w:szCs w:val="22"/>
                <w:lang w:val="en-US"/>
              </w:rPr>
            </w:pPr>
          </w:p>
          <w:p w:rsidR="00570B74" w:rsidRDefault="00570B74" w:rsidP="00663844">
            <w:pPr>
              <w:jc w:val="center"/>
              <w:rPr>
                <w:rFonts w:ascii="Calibri" w:hAnsi="Calibri"/>
                <w:color w:val="000000"/>
                <w:sz w:val="22"/>
                <w:szCs w:val="22"/>
                <w:lang w:val="en-US"/>
              </w:rPr>
            </w:pPr>
            <w:r>
              <w:rPr>
                <w:rFonts w:ascii="Calibri" w:hAnsi="Calibri"/>
                <w:color w:val="000000"/>
                <w:sz w:val="22"/>
                <w:szCs w:val="22"/>
                <w:lang w:val="en-US"/>
              </w:rPr>
              <w:t>179</w:t>
            </w:r>
          </w:p>
          <w:p w:rsidR="00570B74" w:rsidRDefault="00570B74" w:rsidP="00663844">
            <w:pPr>
              <w:jc w:val="center"/>
              <w:rPr>
                <w:rFonts w:ascii="Calibri" w:hAnsi="Calibri"/>
                <w:color w:val="000000"/>
                <w:sz w:val="22"/>
                <w:szCs w:val="22"/>
                <w:lang w:val="en-US"/>
              </w:rPr>
            </w:pPr>
          </w:p>
        </w:tc>
        <w:tc>
          <w:tcPr>
            <w:tcW w:w="981" w:type="dxa"/>
          </w:tcPr>
          <w:p w:rsidR="00570B74" w:rsidRDefault="00570B74" w:rsidP="00663844">
            <w:pPr>
              <w:jc w:val="center"/>
              <w:rPr>
                <w:rFonts w:ascii="Calibri" w:hAnsi="Calibri"/>
                <w:color w:val="000000"/>
                <w:sz w:val="22"/>
                <w:szCs w:val="22"/>
                <w:lang w:val="en-US"/>
              </w:rPr>
            </w:pPr>
          </w:p>
          <w:p w:rsidR="00570B74" w:rsidRDefault="00570B74" w:rsidP="00663844">
            <w:pPr>
              <w:jc w:val="center"/>
              <w:rPr>
                <w:rFonts w:ascii="Calibri" w:hAnsi="Calibri"/>
                <w:color w:val="000000"/>
                <w:sz w:val="22"/>
                <w:szCs w:val="22"/>
                <w:lang w:val="en-US"/>
              </w:rPr>
            </w:pPr>
          </w:p>
          <w:p w:rsidR="00570B74" w:rsidRDefault="00570B74" w:rsidP="00663844">
            <w:pPr>
              <w:jc w:val="center"/>
              <w:rPr>
                <w:rFonts w:ascii="Calibri" w:hAnsi="Calibri"/>
                <w:color w:val="000000"/>
                <w:sz w:val="22"/>
                <w:szCs w:val="22"/>
                <w:lang w:val="en-US"/>
              </w:rPr>
            </w:pPr>
          </w:p>
          <w:p w:rsidR="00570B74" w:rsidRDefault="00570B74" w:rsidP="00663844">
            <w:pPr>
              <w:jc w:val="center"/>
              <w:rPr>
                <w:rFonts w:ascii="Calibri" w:hAnsi="Calibri"/>
                <w:color w:val="000000"/>
                <w:sz w:val="22"/>
                <w:szCs w:val="22"/>
                <w:lang w:val="en-US"/>
              </w:rPr>
            </w:pPr>
            <w:r>
              <w:rPr>
                <w:rFonts w:ascii="Calibri" w:hAnsi="Calibri"/>
                <w:color w:val="000000"/>
                <w:sz w:val="22"/>
                <w:szCs w:val="22"/>
                <w:lang w:val="en-US"/>
              </w:rPr>
              <w:t>197</w:t>
            </w:r>
          </w:p>
        </w:tc>
      </w:tr>
      <w:tr w:rsidR="00570B74" w:rsidRPr="00EA6578" w:rsidTr="00570B74">
        <w:trPr>
          <w:trHeight w:val="900"/>
        </w:trPr>
        <w:tc>
          <w:tcPr>
            <w:tcW w:w="2822" w:type="dxa"/>
            <w:shd w:val="clear" w:color="auto" w:fill="auto"/>
            <w:vAlign w:val="bottom"/>
            <w:hideMark/>
          </w:tcPr>
          <w:p w:rsidR="00570B74" w:rsidRPr="00EA6578" w:rsidRDefault="00570B74" w:rsidP="00EA6578">
            <w:pPr>
              <w:rPr>
                <w:rFonts w:ascii="Calibri" w:hAnsi="Calibri"/>
                <w:color w:val="000000"/>
                <w:sz w:val="22"/>
                <w:szCs w:val="22"/>
                <w:lang w:val="en-US"/>
              </w:rPr>
            </w:pPr>
            <w:r w:rsidRPr="00EA6578">
              <w:rPr>
                <w:rFonts w:ascii="Calibri" w:hAnsi="Calibri"/>
                <w:color w:val="000000"/>
                <w:sz w:val="22"/>
                <w:szCs w:val="22"/>
                <w:lang w:val="en-US"/>
              </w:rPr>
              <w:t>Of these, the number of cases where this action was taken within 7 working days of receipt of notification of the private fostering arrangements:</w:t>
            </w:r>
          </w:p>
        </w:tc>
        <w:tc>
          <w:tcPr>
            <w:tcW w:w="988" w:type="dxa"/>
            <w:shd w:val="clear" w:color="auto" w:fill="auto"/>
            <w:noWrap/>
            <w:vAlign w:val="center"/>
            <w:hideMark/>
          </w:tcPr>
          <w:p w:rsidR="00570B74" w:rsidRDefault="00570B74" w:rsidP="00EA6578">
            <w:pPr>
              <w:jc w:val="center"/>
              <w:rPr>
                <w:rFonts w:ascii="Calibri" w:hAnsi="Calibri"/>
                <w:color w:val="000000"/>
                <w:sz w:val="22"/>
                <w:szCs w:val="22"/>
                <w:lang w:val="en-US"/>
              </w:rPr>
            </w:pPr>
          </w:p>
          <w:p w:rsidR="00570B74" w:rsidRPr="00EA6578" w:rsidRDefault="00570B74" w:rsidP="00EA6578">
            <w:pPr>
              <w:jc w:val="center"/>
              <w:rPr>
                <w:rFonts w:ascii="Calibri" w:hAnsi="Calibri"/>
                <w:color w:val="000000"/>
                <w:sz w:val="22"/>
                <w:szCs w:val="22"/>
                <w:lang w:val="en-US"/>
              </w:rPr>
            </w:pPr>
            <w:r w:rsidRPr="00EA6578">
              <w:rPr>
                <w:rFonts w:ascii="Calibri" w:hAnsi="Calibri"/>
                <w:color w:val="000000"/>
                <w:sz w:val="22"/>
                <w:szCs w:val="22"/>
                <w:lang w:val="en-US"/>
              </w:rPr>
              <w:t>57</w:t>
            </w:r>
          </w:p>
        </w:tc>
        <w:tc>
          <w:tcPr>
            <w:tcW w:w="986" w:type="dxa"/>
          </w:tcPr>
          <w:p w:rsidR="00570B74" w:rsidRDefault="00570B74" w:rsidP="00663844">
            <w:pPr>
              <w:jc w:val="center"/>
              <w:rPr>
                <w:rFonts w:ascii="Calibri" w:hAnsi="Calibri"/>
                <w:color w:val="000000"/>
                <w:sz w:val="22"/>
                <w:szCs w:val="22"/>
                <w:lang w:val="en-US"/>
              </w:rPr>
            </w:pPr>
          </w:p>
          <w:p w:rsidR="00570B74" w:rsidRDefault="00570B74" w:rsidP="00663844">
            <w:pPr>
              <w:jc w:val="center"/>
              <w:rPr>
                <w:rFonts w:ascii="Calibri" w:hAnsi="Calibri"/>
                <w:color w:val="000000"/>
                <w:sz w:val="22"/>
                <w:szCs w:val="22"/>
                <w:lang w:val="en-US"/>
              </w:rPr>
            </w:pPr>
          </w:p>
          <w:p w:rsidR="00570B74" w:rsidRDefault="00570B74" w:rsidP="00663844">
            <w:pPr>
              <w:jc w:val="center"/>
              <w:rPr>
                <w:rFonts w:ascii="Calibri" w:hAnsi="Calibri"/>
                <w:color w:val="000000"/>
                <w:sz w:val="22"/>
                <w:szCs w:val="22"/>
                <w:lang w:val="en-US"/>
              </w:rPr>
            </w:pPr>
          </w:p>
          <w:p w:rsidR="00570B74" w:rsidRPr="00EA6578" w:rsidRDefault="00570B74" w:rsidP="00663844">
            <w:pPr>
              <w:jc w:val="center"/>
              <w:rPr>
                <w:rFonts w:ascii="Calibri" w:hAnsi="Calibri"/>
                <w:color w:val="000000"/>
                <w:sz w:val="22"/>
                <w:szCs w:val="22"/>
                <w:lang w:val="en-US"/>
              </w:rPr>
            </w:pPr>
            <w:r>
              <w:rPr>
                <w:rFonts w:ascii="Calibri" w:hAnsi="Calibri"/>
                <w:color w:val="000000"/>
                <w:sz w:val="22"/>
                <w:szCs w:val="22"/>
                <w:lang w:val="en-US"/>
              </w:rPr>
              <w:t>72</w:t>
            </w:r>
          </w:p>
        </w:tc>
        <w:tc>
          <w:tcPr>
            <w:tcW w:w="1008" w:type="dxa"/>
          </w:tcPr>
          <w:p w:rsidR="00570B74" w:rsidRDefault="00570B74" w:rsidP="00663844">
            <w:pPr>
              <w:jc w:val="center"/>
              <w:rPr>
                <w:rFonts w:ascii="Calibri" w:hAnsi="Calibri"/>
                <w:color w:val="000000"/>
                <w:sz w:val="22"/>
                <w:szCs w:val="22"/>
                <w:lang w:val="en-US"/>
              </w:rPr>
            </w:pPr>
          </w:p>
          <w:p w:rsidR="00570B74" w:rsidRDefault="00570B74" w:rsidP="00663844">
            <w:pPr>
              <w:jc w:val="center"/>
              <w:rPr>
                <w:rFonts w:ascii="Calibri" w:hAnsi="Calibri"/>
                <w:color w:val="000000"/>
                <w:sz w:val="22"/>
                <w:szCs w:val="22"/>
                <w:lang w:val="en-US"/>
              </w:rPr>
            </w:pPr>
          </w:p>
          <w:p w:rsidR="00570B74" w:rsidRDefault="00570B74" w:rsidP="00663844">
            <w:pPr>
              <w:jc w:val="center"/>
              <w:rPr>
                <w:rFonts w:ascii="Calibri" w:hAnsi="Calibri"/>
                <w:color w:val="000000"/>
                <w:sz w:val="22"/>
                <w:szCs w:val="22"/>
                <w:lang w:val="en-US"/>
              </w:rPr>
            </w:pPr>
          </w:p>
          <w:p w:rsidR="00570B74" w:rsidRDefault="00570B74" w:rsidP="002D2156">
            <w:pPr>
              <w:jc w:val="center"/>
              <w:rPr>
                <w:rFonts w:ascii="Calibri" w:hAnsi="Calibri"/>
                <w:color w:val="000000"/>
                <w:sz w:val="22"/>
                <w:szCs w:val="22"/>
                <w:lang w:val="en-US"/>
              </w:rPr>
            </w:pPr>
            <w:r>
              <w:rPr>
                <w:rFonts w:ascii="Calibri" w:hAnsi="Calibri"/>
                <w:color w:val="000000"/>
                <w:sz w:val="22"/>
                <w:szCs w:val="22"/>
                <w:lang w:val="en-US"/>
              </w:rPr>
              <w:t>149</w:t>
            </w:r>
          </w:p>
        </w:tc>
        <w:tc>
          <w:tcPr>
            <w:tcW w:w="1008" w:type="dxa"/>
          </w:tcPr>
          <w:p w:rsidR="00570B74" w:rsidRDefault="00570B74" w:rsidP="00663844">
            <w:pPr>
              <w:jc w:val="center"/>
              <w:rPr>
                <w:rFonts w:ascii="Calibri" w:hAnsi="Calibri"/>
                <w:color w:val="000000"/>
                <w:sz w:val="22"/>
                <w:szCs w:val="22"/>
                <w:lang w:val="en-US"/>
              </w:rPr>
            </w:pPr>
          </w:p>
          <w:p w:rsidR="00570B74" w:rsidRDefault="00570B74" w:rsidP="00663844">
            <w:pPr>
              <w:jc w:val="center"/>
              <w:rPr>
                <w:rFonts w:ascii="Calibri" w:hAnsi="Calibri"/>
                <w:color w:val="000000"/>
                <w:sz w:val="22"/>
                <w:szCs w:val="22"/>
                <w:lang w:val="en-US"/>
              </w:rPr>
            </w:pPr>
          </w:p>
          <w:p w:rsidR="00570B74" w:rsidRDefault="00570B74" w:rsidP="00663844">
            <w:pPr>
              <w:jc w:val="center"/>
              <w:rPr>
                <w:rFonts w:ascii="Calibri" w:hAnsi="Calibri"/>
                <w:color w:val="000000"/>
                <w:sz w:val="22"/>
                <w:szCs w:val="22"/>
                <w:lang w:val="en-US"/>
              </w:rPr>
            </w:pPr>
          </w:p>
          <w:p w:rsidR="00570B74" w:rsidRDefault="00570B74" w:rsidP="00663844">
            <w:pPr>
              <w:jc w:val="center"/>
              <w:rPr>
                <w:rFonts w:ascii="Calibri" w:hAnsi="Calibri"/>
                <w:color w:val="000000"/>
                <w:sz w:val="22"/>
                <w:szCs w:val="22"/>
                <w:lang w:val="en-US"/>
              </w:rPr>
            </w:pPr>
            <w:r>
              <w:rPr>
                <w:rFonts w:ascii="Calibri" w:hAnsi="Calibri"/>
                <w:color w:val="000000"/>
                <w:sz w:val="22"/>
                <w:szCs w:val="22"/>
                <w:lang w:val="en-US"/>
              </w:rPr>
              <w:t>51</w:t>
            </w:r>
          </w:p>
          <w:p w:rsidR="00570B74" w:rsidRDefault="00570B74" w:rsidP="00663844">
            <w:pPr>
              <w:jc w:val="center"/>
              <w:rPr>
                <w:rFonts w:ascii="Calibri" w:hAnsi="Calibri"/>
                <w:color w:val="000000"/>
                <w:sz w:val="22"/>
                <w:szCs w:val="22"/>
                <w:lang w:val="en-US"/>
              </w:rPr>
            </w:pPr>
          </w:p>
        </w:tc>
        <w:tc>
          <w:tcPr>
            <w:tcW w:w="981" w:type="dxa"/>
          </w:tcPr>
          <w:p w:rsidR="00570B74" w:rsidRDefault="00570B74" w:rsidP="00663844">
            <w:pPr>
              <w:jc w:val="center"/>
              <w:rPr>
                <w:rFonts w:ascii="Calibri" w:hAnsi="Calibri"/>
                <w:color w:val="000000"/>
                <w:sz w:val="22"/>
                <w:szCs w:val="22"/>
                <w:lang w:val="en-US"/>
              </w:rPr>
            </w:pPr>
          </w:p>
          <w:p w:rsidR="00570B74" w:rsidRDefault="00570B74" w:rsidP="00663844">
            <w:pPr>
              <w:jc w:val="center"/>
              <w:rPr>
                <w:rFonts w:ascii="Calibri" w:hAnsi="Calibri"/>
                <w:color w:val="000000"/>
                <w:sz w:val="22"/>
                <w:szCs w:val="22"/>
                <w:lang w:val="en-US"/>
              </w:rPr>
            </w:pPr>
          </w:p>
          <w:p w:rsidR="00570B74" w:rsidRDefault="00570B74" w:rsidP="00663844">
            <w:pPr>
              <w:jc w:val="center"/>
              <w:rPr>
                <w:rFonts w:ascii="Calibri" w:hAnsi="Calibri"/>
                <w:color w:val="000000"/>
                <w:sz w:val="22"/>
                <w:szCs w:val="22"/>
                <w:lang w:val="en-US"/>
              </w:rPr>
            </w:pPr>
          </w:p>
          <w:p w:rsidR="00570B74" w:rsidRDefault="0010716B" w:rsidP="00663844">
            <w:pPr>
              <w:jc w:val="center"/>
              <w:rPr>
                <w:rFonts w:ascii="Calibri" w:hAnsi="Calibri"/>
                <w:color w:val="000000"/>
                <w:sz w:val="22"/>
                <w:szCs w:val="22"/>
                <w:lang w:val="en-US"/>
              </w:rPr>
            </w:pPr>
            <w:r>
              <w:rPr>
                <w:rFonts w:ascii="Calibri" w:hAnsi="Calibri"/>
                <w:color w:val="000000"/>
                <w:sz w:val="22"/>
                <w:szCs w:val="22"/>
                <w:lang w:val="en-US"/>
              </w:rPr>
              <w:t>102</w:t>
            </w:r>
          </w:p>
        </w:tc>
      </w:tr>
      <w:tr w:rsidR="00570B74" w:rsidRPr="00EA6578" w:rsidTr="00570B74">
        <w:trPr>
          <w:trHeight w:val="600"/>
        </w:trPr>
        <w:tc>
          <w:tcPr>
            <w:tcW w:w="2822" w:type="dxa"/>
            <w:shd w:val="clear" w:color="auto" w:fill="auto"/>
            <w:vAlign w:val="bottom"/>
            <w:hideMark/>
          </w:tcPr>
          <w:p w:rsidR="00570B74" w:rsidRPr="00EA6578" w:rsidRDefault="00570B74" w:rsidP="00EA6578">
            <w:pPr>
              <w:rPr>
                <w:rFonts w:ascii="Calibri" w:hAnsi="Calibri"/>
                <w:color w:val="000000"/>
                <w:sz w:val="22"/>
                <w:szCs w:val="22"/>
                <w:lang w:val="en-US"/>
              </w:rPr>
            </w:pPr>
            <w:r w:rsidRPr="00EA6578">
              <w:rPr>
                <w:rFonts w:ascii="Calibri" w:hAnsi="Calibri"/>
                <w:color w:val="000000"/>
                <w:sz w:val="22"/>
                <w:szCs w:val="22"/>
                <w:lang w:val="en-US"/>
              </w:rPr>
              <w:t>Number of new private fostering arrangements that began during year:</w:t>
            </w:r>
          </w:p>
        </w:tc>
        <w:tc>
          <w:tcPr>
            <w:tcW w:w="988" w:type="dxa"/>
            <w:shd w:val="clear" w:color="auto" w:fill="auto"/>
            <w:noWrap/>
            <w:vAlign w:val="center"/>
            <w:hideMark/>
          </w:tcPr>
          <w:p w:rsidR="00570B74" w:rsidRPr="002C2FE0" w:rsidRDefault="00570B74" w:rsidP="00EA6578">
            <w:pPr>
              <w:jc w:val="center"/>
              <w:rPr>
                <w:rFonts w:ascii="Calibri" w:hAnsi="Calibri"/>
                <w:b/>
                <w:color w:val="000000"/>
                <w:sz w:val="22"/>
                <w:szCs w:val="22"/>
                <w:lang w:val="en-US"/>
              </w:rPr>
            </w:pPr>
            <w:r w:rsidRPr="002C2FE0">
              <w:rPr>
                <w:rFonts w:ascii="Calibri" w:hAnsi="Calibri"/>
                <w:b/>
                <w:color w:val="000000"/>
                <w:sz w:val="22"/>
                <w:szCs w:val="22"/>
                <w:lang w:val="en-US"/>
              </w:rPr>
              <w:t>156</w:t>
            </w:r>
          </w:p>
        </w:tc>
        <w:tc>
          <w:tcPr>
            <w:tcW w:w="986" w:type="dxa"/>
          </w:tcPr>
          <w:p w:rsidR="00570B74" w:rsidRPr="002C2FE0" w:rsidRDefault="00570B74" w:rsidP="00663844">
            <w:pPr>
              <w:jc w:val="center"/>
              <w:rPr>
                <w:rFonts w:ascii="Calibri" w:hAnsi="Calibri"/>
                <w:b/>
                <w:color w:val="000000"/>
                <w:sz w:val="22"/>
                <w:szCs w:val="22"/>
                <w:lang w:val="en-US"/>
              </w:rPr>
            </w:pPr>
          </w:p>
          <w:p w:rsidR="00570B74" w:rsidRPr="002C2FE0" w:rsidRDefault="00570B74" w:rsidP="00663844">
            <w:pPr>
              <w:jc w:val="center"/>
              <w:rPr>
                <w:rFonts w:ascii="Calibri" w:hAnsi="Calibri"/>
                <w:b/>
                <w:color w:val="000000"/>
                <w:sz w:val="22"/>
                <w:szCs w:val="22"/>
                <w:lang w:val="en-US"/>
              </w:rPr>
            </w:pPr>
            <w:r w:rsidRPr="002C2FE0">
              <w:rPr>
                <w:rFonts w:ascii="Calibri" w:hAnsi="Calibri"/>
                <w:b/>
                <w:color w:val="000000"/>
                <w:sz w:val="22"/>
                <w:szCs w:val="22"/>
                <w:lang w:val="en-US"/>
              </w:rPr>
              <w:t>180</w:t>
            </w:r>
          </w:p>
        </w:tc>
        <w:tc>
          <w:tcPr>
            <w:tcW w:w="1008" w:type="dxa"/>
          </w:tcPr>
          <w:p w:rsidR="00570B74" w:rsidRPr="002C2FE0" w:rsidRDefault="00570B74" w:rsidP="00663844">
            <w:pPr>
              <w:jc w:val="center"/>
              <w:rPr>
                <w:rFonts w:ascii="Calibri" w:hAnsi="Calibri"/>
                <w:b/>
                <w:color w:val="000000"/>
                <w:sz w:val="22"/>
                <w:szCs w:val="22"/>
                <w:lang w:val="en-US"/>
              </w:rPr>
            </w:pPr>
          </w:p>
          <w:p w:rsidR="00570B74" w:rsidRPr="00B354B5" w:rsidRDefault="00570B74" w:rsidP="002D2156">
            <w:pPr>
              <w:jc w:val="center"/>
              <w:rPr>
                <w:rFonts w:ascii="Calibri" w:hAnsi="Calibri"/>
                <w:b/>
                <w:color w:val="000000"/>
                <w:sz w:val="22"/>
                <w:szCs w:val="22"/>
                <w:lang w:val="en-US"/>
              </w:rPr>
            </w:pPr>
            <w:r>
              <w:rPr>
                <w:rFonts w:ascii="Calibri" w:hAnsi="Calibri"/>
                <w:b/>
                <w:color w:val="000000"/>
                <w:sz w:val="22"/>
                <w:szCs w:val="22"/>
                <w:lang w:val="en-US"/>
              </w:rPr>
              <w:t>216</w:t>
            </w:r>
          </w:p>
        </w:tc>
        <w:tc>
          <w:tcPr>
            <w:tcW w:w="1008" w:type="dxa"/>
          </w:tcPr>
          <w:p w:rsidR="00570B74" w:rsidRDefault="00570B74" w:rsidP="00663844">
            <w:pPr>
              <w:jc w:val="center"/>
              <w:rPr>
                <w:rFonts w:ascii="Calibri" w:hAnsi="Calibri"/>
                <w:b/>
                <w:color w:val="000000"/>
                <w:sz w:val="22"/>
                <w:szCs w:val="22"/>
                <w:lang w:val="en-US"/>
              </w:rPr>
            </w:pPr>
          </w:p>
          <w:p w:rsidR="00570B74" w:rsidRDefault="00570B74" w:rsidP="00663844">
            <w:pPr>
              <w:jc w:val="center"/>
              <w:rPr>
                <w:rFonts w:ascii="Calibri" w:hAnsi="Calibri"/>
                <w:b/>
                <w:color w:val="000000"/>
                <w:sz w:val="22"/>
                <w:szCs w:val="22"/>
                <w:lang w:val="en-US"/>
              </w:rPr>
            </w:pPr>
            <w:r>
              <w:rPr>
                <w:rFonts w:ascii="Calibri" w:hAnsi="Calibri"/>
                <w:b/>
                <w:color w:val="000000"/>
                <w:sz w:val="22"/>
                <w:szCs w:val="22"/>
                <w:lang w:val="en-US"/>
              </w:rPr>
              <w:t>192</w:t>
            </w:r>
          </w:p>
          <w:p w:rsidR="00570B74" w:rsidRPr="002C2FE0" w:rsidRDefault="00570B74" w:rsidP="00663844">
            <w:pPr>
              <w:jc w:val="center"/>
              <w:rPr>
                <w:rFonts w:ascii="Calibri" w:hAnsi="Calibri"/>
                <w:b/>
                <w:color w:val="000000"/>
                <w:sz w:val="22"/>
                <w:szCs w:val="22"/>
                <w:lang w:val="en-US"/>
              </w:rPr>
            </w:pPr>
          </w:p>
        </w:tc>
        <w:tc>
          <w:tcPr>
            <w:tcW w:w="981" w:type="dxa"/>
          </w:tcPr>
          <w:p w:rsidR="00570B74" w:rsidRDefault="00570B74" w:rsidP="00663844">
            <w:pPr>
              <w:jc w:val="center"/>
              <w:rPr>
                <w:rFonts w:ascii="Calibri" w:hAnsi="Calibri"/>
                <w:b/>
                <w:color w:val="000000"/>
                <w:sz w:val="22"/>
                <w:szCs w:val="22"/>
                <w:lang w:val="en-US"/>
              </w:rPr>
            </w:pPr>
          </w:p>
          <w:p w:rsidR="0010716B" w:rsidRDefault="0010716B" w:rsidP="00663844">
            <w:pPr>
              <w:jc w:val="center"/>
              <w:rPr>
                <w:rFonts w:ascii="Calibri" w:hAnsi="Calibri"/>
                <w:b/>
                <w:color w:val="000000"/>
                <w:sz w:val="22"/>
                <w:szCs w:val="22"/>
                <w:lang w:val="en-US"/>
              </w:rPr>
            </w:pPr>
            <w:r>
              <w:rPr>
                <w:rFonts w:ascii="Calibri" w:hAnsi="Calibri"/>
                <w:b/>
                <w:color w:val="000000"/>
                <w:sz w:val="22"/>
                <w:szCs w:val="22"/>
                <w:lang w:val="en-US"/>
              </w:rPr>
              <w:t>198</w:t>
            </w:r>
          </w:p>
        </w:tc>
      </w:tr>
      <w:tr w:rsidR="00570B74" w:rsidRPr="00EA6578" w:rsidTr="00570B74">
        <w:trPr>
          <w:trHeight w:val="900"/>
        </w:trPr>
        <w:tc>
          <w:tcPr>
            <w:tcW w:w="2822" w:type="dxa"/>
            <w:shd w:val="clear" w:color="auto" w:fill="auto"/>
            <w:vAlign w:val="bottom"/>
            <w:hideMark/>
          </w:tcPr>
          <w:p w:rsidR="00570B74" w:rsidRPr="00EA6578" w:rsidRDefault="00570B74" w:rsidP="00EA6578">
            <w:pPr>
              <w:rPr>
                <w:rFonts w:ascii="Calibri" w:hAnsi="Calibri"/>
                <w:color w:val="000000"/>
                <w:sz w:val="22"/>
                <w:szCs w:val="22"/>
                <w:lang w:val="en-US"/>
              </w:rPr>
            </w:pPr>
            <w:r w:rsidRPr="00EA6578">
              <w:rPr>
                <w:rFonts w:ascii="Calibri" w:hAnsi="Calibri"/>
                <w:color w:val="000000"/>
                <w:sz w:val="22"/>
                <w:szCs w:val="22"/>
                <w:lang w:val="en-US"/>
              </w:rPr>
              <w:t>The number of private fostering arrangements that began ON or AFTER 1st April where visits were made at intervals of not more than 6 weeks:</w:t>
            </w:r>
          </w:p>
        </w:tc>
        <w:tc>
          <w:tcPr>
            <w:tcW w:w="988" w:type="dxa"/>
            <w:shd w:val="clear" w:color="auto" w:fill="auto"/>
            <w:noWrap/>
            <w:vAlign w:val="center"/>
            <w:hideMark/>
          </w:tcPr>
          <w:p w:rsidR="00570B74" w:rsidRPr="00EA6578" w:rsidRDefault="00570B74" w:rsidP="00EA6578">
            <w:pPr>
              <w:jc w:val="center"/>
              <w:rPr>
                <w:rFonts w:ascii="Calibri" w:hAnsi="Calibri"/>
                <w:color w:val="000000"/>
                <w:sz w:val="22"/>
                <w:szCs w:val="22"/>
                <w:lang w:val="en-US"/>
              </w:rPr>
            </w:pPr>
            <w:r w:rsidRPr="00EA6578">
              <w:rPr>
                <w:rFonts w:ascii="Calibri" w:hAnsi="Calibri"/>
                <w:color w:val="000000"/>
                <w:sz w:val="22"/>
                <w:szCs w:val="22"/>
                <w:lang w:val="en-US"/>
              </w:rPr>
              <w:t>48</w:t>
            </w:r>
          </w:p>
        </w:tc>
        <w:tc>
          <w:tcPr>
            <w:tcW w:w="986" w:type="dxa"/>
          </w:tcPr>
          <w:p w:rsidR="00570B74" w:rsidRDefault="00570B74" w:rsidP="00663844">
            <w:pPr>
              <w:jc w:val="center"/>
              <w:rPr>
                <w:rFonts w:ascii="Calibri" w:hAnsi="Calibri"/>
                <w:color w:val="000000"/>
                <w:sz w:val="22"/>
                <w:szCs w:val="22"/>
                <w:lang w:val="en-US"/>
              </w:rPr>
            </w:pPr>
          </w:p>
          <w:p w:rsidR="00570B74" w:rsidRDefault="00570B74" w:rsidP="00663844">
            <w:pPr>
              <w:jc w:val="center"/>
              <w:rPr>
                <w:rFonts w:ascii="Calibri" w:hAnsi="Calibri"/>
                <w:color w:val="000000"/>
                <w:sz w:val="22"/>
                <w:szCs w:val="22"/>
                <w:lang w:val="en-US"/>
              </w:rPr>
            </w:pPr>
          </w:p>
          <w:p w:rsidR="00570B74" w:rsidRPr="00EA6578" w:rsidRDefault="00570B74" w:rsidP="00663844">
            <w:pPr>
              <w:jc w:val="center"/>
              <w:rPr>
                <w:rFonts w:ascii="Calibri" w:hAnsi="Calibri"/>
                <w:color w:val="000000"/>
                <w:sz w:val="22"/>
                <w:szCs w:val="22"/>
                <w:lang w:val="en-US"/>
              </w:rPr>
            </w:pPr>
            <w:r>
              <w:rPr>
                <w:rFonts w:ascii="Calibri" w:hAnsi="Calibri"/>
                <w:color w:val="000000"/>
                <w:sz w:val="22"/>
                <w:szCs w:val="22"/>
                <w:lang w:val="en-US"/>
              </w:rPr>
              <w:t>102</w:t>
            </w:r>
          </w:p>
        </w:tc>
        <w:tc>
          <w:tcPr>
            <w:tcW w:w="1008" w:type="dxa"/>
          </w:tcPr>
          <w:p w:rsidR="00570B74" w:rsidRDefault="00570B74" w:rsidP="00663844">
            <w:pPr>
              <w:jc w:val="center"/>
              <w:rPr>
                <w:rFonts w:ascii="Calibri" w:hAnsi="Calibri"/>
                <w:color w:val="000000"/>
                <w:sz w:val="22"/>
                <w:szCs w:val="22"/>
                <w:lang w:val="en-US"/>
              </w:rPr>
            </w:pPr>
          </w:p>
          <w:p w:rsidR="00570B74" w:rsidRDefault="00570B74" w:rsidP="00663844">
            <w:pPr>
              <w:jc w:val="center"/>
              <w:rPr>
                <w:rFonts w:ascii="Calibri" w:hAnsi="Calibri"/>
                <w:color w:val="000000"/>
                <w:sz w:val="22"/>
                <w:szCs w:val="22"/>
                <w:lang w:val="en-US"/>
              </w:rPr>
            </w:pPr>
          </w:p>
          <w:p w:rsidR="00570B74" w:rsidRDefault="00570B74" w:rsidP="00663844">
            <w:pPr>
              <w:jc w:val="center"/>
              <w:rPr>
                <w:rFonts w:ascii="Calibri" w:hAnsi="Calibri"/>
                <w:color w:val="000000"/>
                <w:sz w:val="22"/>
                <w:szCs w:val="22"/>
                <w:lang w:val="en-US"/>
              </w:rPr>
            </w:pPr>
            <w:r>
              <w:rPr>
                <w:rFonts w:ascii="Calibri" w:hAnsi="Calibri"/>
                <w:color w:val="000000"/>
                <w:sz w:val="22"/>
                <w:szCs w:val="22"/>
                <w:lang w:val="en-US"/>
              </w:rPr>
              <w:t>151</w:t>
            </w:r>
          </w:p>
        </w:tc>
        <w:tc>
          <w:tcPr>
            <w:tcW w:w="1008" w:type="dxa"/>
          </w:tcPr>
          <w:p w:rsidR="00570B74" w:rsidRDefault="00570B74" w:rsidP="00663844">
            <w:pPr>
              <w:jc w:val="center"/>
              <w:rPr>
                <w:rFonts w:ascii="Calibri" w:hAnsi="Calibri"/>
                <w:color w:val="000000"/>
                <w:sz w:val="22"/>
                <w:szCs w:val="22"/>
                <w:lang w:val="en-US"/>
              </w:rPr>
            </w:pPr>
          </w:p>
          <w:p w:rsidR="00570B74" w:rsidRDefault="00570B74" w:rsidP="00663844">
            <w:pPr>
              <w:jc w:val="center"/>
              <w:rPr>
                <w:rFonts w:ascii="Calibri" w:hAnsi="Calibri"/>
                <w:color w:val="000000"/>
                <w:sz w:val="22"/>
                <w:szCs w:val="22"/>
                <w:lang w:val="en-US"/>
              </w:rPr>
            </w:pPr>
          </w:p>
          <w:p w:rsidR="00570B74" w:rsidRDefault="00570B74" w:rsidP="00663844">
            <w:pPr>
              <w:jc w:val="center"/>
              <w:rPr>
                <w:rFonts w:ascii="Calibri" w:hAnsi="Calibri"/>
                <w:color w:val="000000"/>
                <w:sz w:val="22"/>
                <w:szCs w:val="22"/>
                <w:lang w:val="en-US"/>
              </w:rPr>
            </w:pPr>
            <w:r>
              <w:rPr>
                <w:rFonts w:ascii="Calibri" w:hAnsi="Calibri"/>
                <w:color w:val="000000"/>
                <w:sz w:val="22"/>
                <w:szCs w:val="22"/>
                <w:lang w:val="en-US"/>
              </w:rPr>
              <w:t>132</w:t>
            </w:r>
          </w:p>
        </w:tc>
        <w:tc>
          <w:tcPr>
            <w:tcW w:w="981" w:type="dxa"/>
          </w:tcPr>
          <w:p w:rsidR="00570B74" w:rsidRDefault="00570B74" w:rsidP="00663844">
            <w:pPr>
              <w:jc w:val="center"/>
              <w:rPr>
                <w:rFonts w:ascii="Calibri" w:hAnsi="Calibri"/>
                <w:color w:val="000000"/>
                <w:sz w:val="22"/>
                <w:szCs w:val="22"/>
                <w:lang w:val="en-US"/>
              </w:rPr>
            </w:pPr>
          </w:p>
          <w:p w:rsidR="0010716B" w:rsidRDefault="0010716B" w:rsidP="00663844">
            <w:pPr>
              <w:jc w:val="center"/>
              <w:rPr>
                <w:rFonts w:ascii="Calibri" w:hAnsi="Calibri"/>
                <w:color w:val="000000"/>
                <w:sz w:val="22"/>
                <w:szCs w:val="22"/>
                <w:lang w:val="en-US"/>
              </w:rPr>
            </w:pPr>
          </w:p>
          <w:p w:rsidR="0010716B" w:rsidRDefault="0010716B" w:rsidP="00663844">
            <w:pPr>
              <w:jc w:val="center"/>
              <w:rPr>
                <w:rFonts w:ascii="Calibri" w:hAnsi="Calibri"/>
                <w:color w:val="000000"/>
                <w:sz w:val="22"/>
                <w:szCs w:val="22"/>
                <w:lang w:val="en-US"/>
              </w:rPr>
            </w:pPr>
            <w:r>
              <w:rPr>
                <w:rFonts w:ascii="Calibri" w:hAnsi="Calibri"/>
                <w:color w:val="000000"/>
                <w:sz w:val="22"/>
                <w:szCs w:val="22"/>
                <w:lang w:val="en-US"/>
              </w:rPr>
              <w:t>159</w:t>
            </w:r>
          </w:p>
        </w:tc>
      </w:tr>
      <w:tr w:rsidR="00570B74" w:rsidRPr="00EA6578" w:rsidTr="00570B74">
        <w:trPr>
          <w:trHeight w:val="600"/>
        </w:trPr>
        <w:tc>
          <w:tcPr>
            <w:tcW w:w="2822" w:type="dxa"/>
            <w:shd w:val="clear" w:color="auto" w:fill="auto"/>
            <w:vAlign w:val="bottom"/>
            <w:hideMark/>
          </w:tcPr>
          <w:p w:rsidR="00570B74" w:rsidRPr="00EA6578" w:rsidRDefault="00570B74" w:rsidP="00EA6578">
            <w:pPr>
              <w:rPr>
                <w:rFonts w:ascii="Calibri" w:hAnsi="Calibri"/>
                <w:color w:val="000000"/>
                <w:sz w:val="22"/>
                <w:szCs w:val="22"/>
                <w:lang w:val="en-US"/>
              </w:rPr>
            </w:pPr>
            <w:r w:rsidRPr="00EA6578">
              <w:rPr>
                <w:rFonts w:ascii="Calibri" w:hAnsi="Calibri"/>
                <w:color w:val="000000"/>
                <w:sz w:val="22"/>
                <w:szCs w:val="22"/>
                <w:lang w:val="en-US"/>
              </w:rPr>
              <w:t>The number of private fostering arrangements that began BEFORE 1st April  that were continuing on 1st April:</w:t>
            </w:r>
          </w:p>
        </w:tc>
        <w:tc>
          <w:tcPr>
            <w:tcW w:w="988" w:type="dxa"/>
            <w:shd w:val="clear" w:color="auto" w:fill="auto"/>
            <w:noWrap/>
            <w:vAlign w:val="center"/>
            <w:hideMark/>
          </w:tcPr>
          <w:p w:rsidR="00570B74" w:rsidRPr="00EA6578" w:rsidRDefault="00570B74" w:rsidP="00EA6578">
            <w:pPr>
              <w:jc w:val="center"/>
              <w:rPr>
                <w:rFonts w:ascii="Calibri" w:hAnsi="Calibri"/>
                <w:color w:val="000000"/>
                <w:sz w:val="22"/>
                <w:szCs w:val="22"/>
                <w:lang w:val="en-US"/>
              </w:rPr>
            </w:pPr>
            <w:r w:rsidRPr="00EA6578">
              <w:rPr>
                <w:rFonts w:ascii="Calibri" w:hAnsi="Calibri"/>
                <w:color w:val="000000"/>
                <w:sz w:val="22"/>
                <w:szCs w:val="22"/>
                <w:lang w:val="en-US"/>
              </w:rPr>
              <w:t>19</w:t>
            </w:r>
          </w:p>
        </w:tc>
        <w:tc>
          <w:tcPr>
            <w:tcW w:w="986" w:type="dxa"/>
          </w:tcPr>
          <w:p w:rsidR="00570B74" w:rsidRDefault="00570B74" w:rsidP="00663844">
            <w:pPr>
              <w:jc w:val="center"/>
              <w:rPr>
                <w:rFonts w:ascii="Calibri" w:hAnsi="Calibri"/>
                <w:color w:val="000000"/>
                <w:sz w:val="22"/>
                <w:szCs w:val="22"/>
                <w:lang w:val="en-US"/>
              </w:rPr>
            </w:pPr>
          </w:p>
          <w:p w:rsidR="00570B74" w:rsidRDefault="00570B74" w:rsidP="00663844">
            <w:pPr>
              <w:jc w:val="center"/>
              <w:rPr>
                <w:rFonts w:ascii="Calibri" w:hAnsi="Calibri"/>
                <w:color w:val="000000"/>
                <w:sz w:val="22"/>
                <w:szCs w:val="22"/>
                <w:lang w:val="en-US"/>
              </w:rPr>
            </w:pPr>
            <w:r>
              <w:rPr>
                <w:rFonts w:ascii="Calibri" w:hAnsi="Calibri"/>
                <w:color w:val="000000"/>
                <w:sz w:val="22"/>
                <w:szCs w:val="22"/>
                <w:lang w:val="en-US"/>
              </w:rPr>
              <w:t>37</w:t>
            </w:r>
          </w:p>
          <w:p w:rsidR="00570B74" w:rsidRPr="00EA6578" w:rsidRDefault="00570B74" w:rsidP="00663844">
            <w:pPr>
              <w:jc w:val="center"/>
              <w:rPr>
                <w:rFonts w:ascii="Calibri" w:hAnsi="Calibri"/>
                <w:color w:val="000000"/>
                <w:sz w:val="22"/>
                <w:szCs w:val="22"/>
                <w:lang w:val="en-US"/>
              </w:rPr>
            </w:pPr>
          </w:p>
        </w:tc>
        <w:tc>
          <w:tcPr>
            <w:tcW w:w="1008" w:type="dxa"/>
          </w:tcPr>
          <w:p w:rsidR="00570B74" w:rsidRDefault="00570B74" w:rsidP="00663844">
            <w:pPr>
              <w:jc w:val="center"/>
              <w:rPr>
                <w:rFonts w:ascii="Calibri" w:hAnsi="Calibri"/>
                <w:color w:val="000000"/>
                <w:sz w:val="22"/>
                <w:szCs w:val="22"/>
                <w:lang w:val="en-US"/>
              </w:rPr>
            </w:pPr>
          </w:p>
          <w:p w:rsidR="00570B74" w:rsidRDefault="00570B74" w:rsidP="00663844">
            <w:pPr>
              <w:jc w:val="center"/>
              <w:rPr>
                <w:rFonts w:ascii="Calibri" w:hAnsi="Calibri"/>
                <w:color w:val="000000"/>
                <w:sz w:val="22"/>
                <w:szCs w:val="22"/>
                <w:lang w:val="en-US"/>
              </w:rPr>
            </w:pPr>
            <w:r>
              <w:rPr>
                <w:rFonts w:ascii="Calibri" w:hAnsi="Calibri"/>
                <w:color w:val="000000"/>
                <w:sz w:val="22"/>
                <w:szCs w:val="22"/>
                <w:lang w:val="en-US"/>
              </w:rPr>
              <w:t>42</w:t>
            </w:r>
          </w:p>
        </w:tc>
        <w:tc>
          <w:tcPr>
            <w:tcW w:w="1008" w:type="dxa"/>
          </w:tcPr>
          <w:p w:rsidR="00570B74" w:rsidRDefault="00570B74" w:rsidP="00663844">
            <w:pPr>
              <w:jc w:val="center"/>
              <w:rPr>
                <w:rFonts w:ascii="Calibri" w:hAnsi="Calibri"/>
                <w:color w:val="000000"/>
                <w:sz w:val="22"/>
                <w:szCs w:val="22"/>
                <w:lang w:val="en-US"/>
              </w:rPr>
            </w:pPr>
          </w:p>
          <w:p w:rsidR="00570B74" w:rsidRDefault="00570B74" w:rsidP="00663844">
            <w:pPr>
              <w:jc w:val="center"/>
              <w:rPr>
                <w:rFonts w:ascii="Calibri" w:hAnsi="Calibri"/>
                <w:color w:val="000000"/>
                <w:sz w:val="22"/>
                <w:szCs w:val="22"/>
                <w:lang w:val="en-US"/>
              </w:rPr>
            </w:pPr>
            <w:r>
              <w:rPr>
                <w:rFonts w:ascii="Calibri" w:hAnsi="Calibri"/>
                <w:color w:val="000000"/>
                <w:sz w:val="22"/>
                <w:szCs w:val="22"/>
                <w:lang w:val="en-US"/>
              </w:rPr>
              <w:t>74</w:t>
            </w:r>
          </w:p>
        </w:tc>
        <w:tc>
          <w:tcPr>
            <w:tcW w:w="981" w:type="dxa"/>
          </w:tcPr>
          <w:p w:rsidR="00570B74" w:rsidRDefault="00570B74" w:rsidP="00663844">
            <w:pPr>
              <w:jc w:val="center"/>
              <w:rPr>
                <w:rFonts w:ascii="Calibri" w:hAnsi="Calibri"/>
                <w:color w:val="000000"/>
                <w:sz w:val="22"/>
                <w:szCs w:val="22"/>
                <w:lang w:val="en-US"/>
              </w:rPr>
            </w:pPr>
          </w:p>
          <w:p w:rsidR="0010716B" w:rsidRDefault="0010716B" w:rsidP="00663844">
            <w:pPr>
              <w:jc w:val="center"/>
              <w:rPr>
                <w:rFonts w:ascii="Calibri" w:hAnsi="Calibri"/>
                <w:color w:val="000000"/>
                <w:sz w:val="22"/>
                <w:szCs w:val="22"/>
                <w:lang w:val="en-US"/>
              </w:rPr>
            </w:pPr>
            <w:r>
              <w:rPr>
                <w:rFonts w:ascii="Calibri" w:hAnsi="Calibri"/>
                <w:color w:val="000000"/>
                <w:sz w:val="22"/>
                <w:szCs w:val="22"/>
                <w:lang w:val="en-US"/>
              </w:rPr>
              <w:t>58</w:t>
            </w:r>
          </w:p>
        </w:tc>
      </w:tr>
      <w:tr w:rsidR="00570B74" w:rsidRPr="00EA6578" w:rsidTr="00570B74">
        <w:trPr>
          <w:trHeight w:val="1200"/>
        </w:trPr>
        <w:tc>
          <w:tcPr>
            <w:tcW w:w="2822" w:type="dxa"/>
            <w:shd w:val="clear" w:color="auto" w:fill="auto"/>
            <w:vAlign w:val="bottom"/>
            <w:hideMark/>
          </w:tcPr>
          <w:p w:rsidR="00570B74" w:rsidRPr="00EA6578" w:rsidRDefault="00570B74" w:rsidP="00EA6578">
            <w:pPr>
              <w:rPr>
                <w:rFonts w:ascii="Calibri" w:hAnsi="Calibri"/>
                <w:color w:val="000000"/>
                <w:sz w:val="22"/>
                <w:szCs w:val="22"/>
                <w:lang w:val="en-US"/>
              </w:rPr>
            </w:pPr>
            <w:r w:rsidRPr="00EA6578">
              <w:rPr>
                <w:rFonts w:ascii="Calibri" w:hAnsi="Calibri"/>
                <w:color w:val="000000"/>
                <w:sz w:val="22"/>
                <w:szCs w:val="22"/>
                <w:lang w:val="en-US"/>
              </w:rPr>
              <w:t>The number of private fostering arrangements that began BEFORE 1st April  that were continuing on 1st April where scheduled visits in the survey year were completed in the required timescale:</w:t>
            </w:r>
          </w:p>
        </w:tc>
        <w:tc>
          <w:tcPr>
            <w:tcW w:w="988" w:type="dxa"/>
            <w:shd w:val="clear" w:color="auto" w:fill="auto"/>
            <w:noWrap/>
            <w:vAlign w:val="center"/>
            <w:hideMark/>
          </w:tcPr>
          <w:p w:rsidR="00570B74" w:rsidRPr="00EA6578" w:rsidRDefault="00570B74" w:rsidP="00EA6578">
            <w:pPr>
              <w:jc w:val="center"/>
              <w:rPr>
                <w:rFonts w:ascii="Calibri" w:hAnsi="Calibri"/>
                <w:color w:val="000000"/>
                <w:sz w:val="22"/>
                <w:szCs w:val="22"/>
                <w:lang w:val="en-US"/>
              </w:rPr>
            </w:pPr>
            <w:r w:rsidRPr="00EA6578">
              <w:rPr>
                <w:rFonts w:ascii="Calibri" w:hAnsi="Calibri"/>
                <w:color w:val="000000"/>
                <w:sz w:val="22"/>
                <w:szCs w:val="22"/>
                <w:lang w:val="en-US"/>
              </w:rPr>
              <w:t>12</w:t>
            </w:r>
          </w:p>
        </w:tc>
        <w:tc>
          <w:tcPr>
            <w:tcW w:w="986" w:type="dxa"/>
          </w:tcPr>
          <w:p w:rsidR="00570B74" w:rsidRDefault="00570B74" w:rsidP="00663844">
            <w:pPr>
              <w:jc w:val="center"/>
              <w:rPr>
                <w:rFonts w:ascii="Calibri" w:hAnsi="Calibri"/>
                <w:color w:val="000000"/>
                <w:sz w:val="22"/>
                <w:szCs w:val="22"/>
                <w:lang w:val="en-US"/>
              </w:rPr>
            </w:pPr>
          </w:p>
          <w:p w:rsidR="00570B74" w:rsidRDefault="00570B74" w:rsidP="00663844">
            <w:pPr>
              <w:jc w:val="center"/>
              <w:rPr>
                <w:rFonts w:ascii="Calibri" w:hAnsi="Calibri"/>
                <w:color w:val="000000"/>
                <w:sz w:val="22"/>
                <w:szCs w:val="22"/>
                <w:lang w:val="en-US"/>
              </w:rPr>
            </w:pPr>
          </w:p>
          <w:p w:rsidR="00570B74" w:rsidRDefault="00570B74" w:rsidP="00663844">
            <w:pPr>
              <w:jc w:val="center"/>
              <w:rPr>
                <w:rFonts w:ascii="Calibri" w:hAnsi="Calibri"/>
                <w:color w:val="000000"/>
                <w:sz w:val="22"/>
                <w:szCs w:val="22"/>
                <w:lang w:val="en-US"/>
              </w:rPr>
            </w:pPr>
          </w:p>
          <w:p w:rsidR="00570B74" w:rsidRPr="00EA6578" w:rsidRDefault="00570B74" w:rsidP="00663844">
            <w:pPr>
              <w:jc w:val="center"/>
              <w:rPr>
                <w:rFonts w:ascii="Calibri" w:hAnsi="Calibri"/>
                <w:color w:val="000000"/>
                <w:sz w:val="22"/>
                <w:szCs w:val="22"/>
                <w:lang w:val="en-US"/>
              </w:rPr>
            </w:pPr>
            <w:r>
              <w:rPr>
                <w:rFonts w:ascii="Calibri" w:hAnsi="Calibri"/>
                <w:color w:val="000000"/>
                <w:sz w:val="22"/>
                <w:szCs w:val="22"/>
                <w:lang w:val="en-US"/>
              </w:rPr>
              <w:t>8</w:t>
            </w:r>
          </w:p>
        </w:tc>
        <w:tc>
          <w:tcPr>
            <w:tcW w:w="1008" w:type="dxa"/>
          </w:tcPr>
          <w:p w:rsidR="00570B74" w:rsidRDefault="00570B74" w:rsidP="00663844">
            <w:pPr>
              <w:jc w:val="center"/>
              <w:rPr>
                <w:rFonts w:ascii="Calibri" w:hAnsi="Calibri"/>
                <w:color w:val="000000"/>
                <w:sz w:val="22"/>
                <w:szCs w:val="22"/>
                <w:lang w:val="en-US"/>
              </w:rPr>
            </w:pPr>
          </w:p>
          <w:p w:rsidR="00570B74" w:rsidRDefault="00570B74" w:rsidP="00663844">
            <w:pPr>
              <w:jc w:val="center"/>
              <w:rPr>
                <w:rFonts w:ascii="Calibri" w:hAnsi="Calibri"/>
                <w:color w:val="000000"/>
                <w:sz w:val="22"/>
                <w:szCs w:val="22"/>
                <w:lang w:val="en-US"/>
              </w:rPr>
            </w:pPr>
          </w:p>
          <w:p w:rsidR="00570B74" w:rsidRDefault="00570B74" w:rsidP="00663844">
            <w:pPr>
              <w:jc w:val="center"/>
              <w:rPr>
                <w:rFonts w:ascii="Calibri" w:hAnsi="Calibri"/>
                <w:color w:val="000000"/>
                <w:sz w:val="22"/>
                <w:szCs w:val="22"/>
                <w:lang w:val="en-US"/>
              </w:rPr>
            </w:pPr>
          </w:p>
          <w:p w:rsidR="00570B74" w:rsidRDefault="00570B74" w:rsidP="00663844">
            <w:pPr>
              <w:jc w:val="center"/>
              <w:rPr>
                <w:rFonts w:ascii="Calibri" w:hAnsi="Calibri"/>
                <w:color w:val="000000"/>
                <w:sz w:val="22"/>
                <w:szCs w:val="22"/>
                <w:lang w:val="en-US"/>
              </w:rPr>
            </w:pPr>
            <w:r>
              <w:rPr>
                <w:rFonts w:ascii="Calibri" w:hAnsi="Calibri"/>
                <w:color w:val="000000"/>
                <w:sz w:val="22"/>
                <w:szCs w:val="22"/>
                <w:lang w:val="en-US"/>
              </w:rPr>
              <w:t>31</w:t>
            </w:r>
          </w:p>
        </w:tc>
        <w:tc>
          <w:tcPr>
            <w:tcW w:w="1008" w:type="dxa"/>
          </w:tcPr>
          <w:p w:rsidR="00570B74" w:rsidRDefault="00570B74" w:rsidP="00663844">
            <w:pPr>
              <w:jc w:val="center"/>
              <w:rPr>
                <w:rFonts w:ascii="Calibri" w:hAnsi="Calibri"/>
                <w:color w:val="000000"/>
                <w:sz w:val="22"/>
                <w:szCs w:val="22"/>
                <w:lang w:val="en-US"/>
              </w:rPr>
            </w:pPr>
          </w:p>
          <w:p w:rsidR="00570B74" w:rsidRDefault="00570B74" w:rsidP="00663844">
            <w:pPr>
              <w:jc w:val="center"/>
              <w:rPr>
                <w:rFonts w:ascii="Calibri" w:hAnsi="Calibri"/>
                <w:color w:val="000000"/>
                <w:sz w:val="22"/>
                <w:szCs w:val="22"/>
                <w:lang w:val="en-US"/>
              </w:rPr>
            </w:pPr>
          </w:p>
          <w:p w:rsidR="00570B74" w:rsidRDefault="00570B74" w:rsidP="00663844">
            <w:pPr>
              <w:jc w:val="center"/>
              <w:rPr>
                <w:rFonts w:ascii="Calibri" w:hAnsi="Calibri"/>
                <w:color w:val="000000"/>
                <w:sz w:val="22"/>
                <w:szCs w:val="22"/>
                <w:lang w:val="en-US"/>
              </w:rPr>
            </w:pPr>
          </w:p>
          <w:p w:rsidR="00570B74" w:rsidRDefault="00570B74" w:rsidP="00663844">
            <w:pPr>
              <w:jc w:val="center"/>
              <w:rPr>
                <w:rFonts w:ascii="Calibri" w:hAnsi="Calibri"/>
                <w:color w:val="000000"/>
                <w:sz w:val="22"/>
                <w:szCs w:val="22"/>
                <w:lang w:val="en-US"/>
              </w:rPr>
            </w:pPr>
            <w:r>
              <w:rPr>
                <w:rFonts w:ascii="Calibri" w:hAnsi="Calibri"/>
                <w:color w:val="000000"/>
                <w:sz w:val="22"/>
                <w:szCs w:val="22"/>
                <w:lang w:val="en-US"/>
              </w:rPr>
              <w:t>70</w:t>
            </w:r>
          </w:p>
          <w:p w:rsidR="00570B74" w:rsidRDefault="00570B74" w:rsidP="00663844">
            <w:pPr>
              <w:jc w:val="center"/>
              <w:rPr>
                <w:rFonts w:ascii="Calibri" w:hAnsi="Calibri"/>
                <w:color w:val="000000"/>
                <w:sz w:val="22"/>
                <w:szCs w:val="22"/>
                <w:lang w:val="en-US"/>
              </w:rPr>
            </w:pPr>
          </w:p>
        </w:tc>
        <w:tc>
          <w:tcPr>
            <w:tcW w:w="981" w:type="dxa"/>
          </w:tcPr>
          <w:p w:rsidR="00570B74" w:rsidRDefault="00570B74" w:rsidP="00663844">
            <w:pPr>
              <w:jc w:val="center"/>
              <w:rPr>
                <w:rFonts w:ascii="Calibri" w:hAnsi="Calibri"/>
                <w:color w:val="000000"/>
                <w:sz w:val="22"/>
                <w:szCs w:val="22"/>
                <w:lang w:val="en-US"/>
              </w:rPr>
            </w:pPr>
          </w:p>
          <w:p w:rsidR="0010716B" w:rsidRDefault="0010716B" w:rsidP="00663844">
            <w:pPr>
              <w:jc w:val="center"/>
              <w:rPr>
                <w:rFonts w:ascii="Calibri" w:hAnsi="Calibri"/>
                <w:color w:val="000000"/>
                <w:sz w:val="22"/>
                <w:szCs w:val="22"/>
                <w:lang w:val="en-US"/>
              </w:rPr>
            </w:pPr>
          </w:p>
          <w:p w:rsidR="0010716B" w:rsidRDefault="0010716B" w:rsidP="00663844">
            <w:pPr>
              <w:jc w:val="center"/>
              <w:rPr>
                <w:rFonts w:ascii="Calibri" w:hAnsi="Calibri"/>
                <w:color w:val="000000"/>
                <w:sz w:val="22"/>
                <w:szCs w:val="22"/>
                <w:lang w:val="en-US"/>
              </w:rPr>
            </w:pPr>
          </w:p>
          <w:p w:rsidR="0010716B" w:rsidRDefault="0010716B" w:rsidP="00663844">
            <w:pPr>
              <w:jc w:val="center"/>
              <w:rPr>
                <w:rFonts w:ascii="Calibri" w:hAnsi="Calibri"/>
                <w:color w:val="000000"/>
                <w:sz w:val="22"/>
                <w:szCs w:val="22"/>
                <w:lang w:val="en-US"/>
              </w:rPr>
            </w:pPr>
            <w:r>
              <w:rPr>
                <w:rFonts w:ascii="Calibri" w:hAnsi="Calibri"/>
                <w:color w:val="000000"/>
                <w:sz w:val="22"/>
                <w:szCs w:val="22"/>
                <w:lang w:val="en-US"/>
              </w:rPr>
              <w:t>54</w:t>
            </w:r>
          </w:p>
        </w:tc>
      </w:tr>
      <w:tr w:rsidR="00570B74" w:rsidRPr="00EA6578" w:rsidTr="00570B74">
        <w:trPr>
          <w:trHeight w:val="600"/>
        </w:trPr>
        <w:tc>
          <w:tcPr>
            <w:tcW w:w="2822" w:type="dxa"/>
            <w:shd w:val="clear" w:color="auto" w:fill="auto"/>
            <w:vAlign w:val="bottom"/>
            <w:hideMark/>
          </w:tcPr>
          <w:p w:rsidR="00570B74" w:rsidRPr="00EA6578" w:rsidRDefault="00570B74" w:rsidP="00EA6578">
            <w:pPr>
              <w:rPr>
                <w:rFonts w:ascii="Calibri" w:hAnsi="Calibri"/>
                <w:color w:val="000000"/>
                <w:sz w:val="22"/>
                <w:szCs w:val="22"/>
                <w:lang w:val="en-US"/>
              </w:rPr>
            </w:pPr>
            <w:r w:rsidRPr="00EA6578">
              <w:rPr>
                <w:rFonts w:ascii="Calibri" w:hAnsi="Calibri"/>
                <w:color w:val="000000"/>
                <w:sz w:val="22"/>
                <w:szCs w:val="22"/>
                <w:lang w:val="en-US"/>
              </w:rPr>
              <w:t>Number of private fostering arrangements that ended during year:</w:t>
            </w:r>
          </w:p>
        </w:tc>
        <w:tc>
          <w:tcPr>
            <w:tcW w:w="988" w:type="dxa"/>
            <w:shd w:val="clear" w:color="auto" w:fill="auto"/>
            <w:noWrap/>
            <w:vAlign w:val="center"/>
            <w:hideMark/>
          </w:tcPr>
          <w:p w:rsidR="00570B74" w:rsidRPr="00EA6578" w:rsidRDefault="00570B74" w:rsidP="00EA6578">
            <w:pPr>
              <w:jc w:val="center"/>
              <w:rPr>
                <w:rFonts w:ascii="Calibri" w:hAnsi="Calibri"/>
                <w:color w:val="000000"/>
                <w:sz w:val="22"/>
                <w:szCs w:val="22"/>
                <w:lang w:val="en-US"/>
              </w:rPr>
            </w:pPr>
            <w:r w:rsidRPr="00EA6578">
              <w:rPr>
                <w:rFonts w:ascii="Calibri" w:hAnsi="Calibri"/>
                <w:color w:val="000000"/>
                <w:sz w:val="22"/>
                <w:szCs w:val="22"/>
                <w:lang w:val="en-US"/>
              </w:rPr>
              <w:t>111</w:t>
            </w:r>
          </w:p>
        </w:tc>
        <w:tc>
          <w:tcPr>
            <w:tcW w:w="986" w:type="dxa"/>
          </w:tcPr>
          <w:p w:rsidR="00570B74" w:rsidRDefault="00570B74" w:rsidP="00663844">
            <w:pPr>
              <w:jc w:val="center"/>
              <w:rPr>
                <w:rFonts w:ascii="Calibri" w:hAnsi="Calibri"/>
                <w:color w:val="000000"/>
                <w:sz w:val="22"/>
                <w:szCs w:val="22"/>
                <w:lang w:val="en-US"/>
              </w:rPr>
            </w:pPr>
          </w:p>
          <w:p w:rsidR="00570B74" w:rsidRPr="00EA6578" w:rsidRDefault="00570B74" w:rsidP="00663844">
            <w:pPr>
              <w:jc w:val="center"/>
              <w:rPr>
                <w:rFonts w:ascii="Calibri" w:hAnsi="Calibri"/>
                <w:color w:val="000000"/>
                <w:sz w:val="22"/>
                <w:szCs w:val="22"/>
                <w:lang w:val="en-US"/>
              </w:rPr>
            </w:pPr>
            <w:r>
              <w:rPr>
                <w:rFonts w:ascii="Calibri" w:hAnsi="Calibri"/>
                <w:color w:val="000000"/>
                <w:sz w:val="22"/>
                <w:szCs w:val="22"/>
                <w:lang w:val="en-US"/>
              </w:rPr>
              <w:t>175</w:t>
            </w:r>
          </w:p>
        </w:tc>
        <w:tc>
          <w:tcPr>
            <w:tcW w:w="1008" w:type="dxa"/>
          </w:tcPr>
          <w:p w:rsidR="00570B74" w:rsidRDefault="00570B74" w:rsidP="00663844">
            <w:pPr>
              <w:jc w:val="center"/>
              <w:rPr>
                <w:rFonts w:ascii="Calibri" w:hAnsi="Calibri"/>
                <w:color w:val="000000"/>
                <w:sz w:val="22"/>
                <w:szCs w:val="22"/>
                <w:lang w:val="en-US"/>
              </w:rPr>
            </w:pPr>
          </w:p>
          <w:p w:rsidR="00570B74" w:rsidRDefault="00570B74" w:rsidP="002D2156">
            <w:pPr>
              <w:jc w:val="center"/>
              <w:rPr>
                <w:rFonts w:ascii="Calibri" w:hAnsi="Calibri"/>
                <w:color w:val="000000"/>
                <w:sz w:val="22"/>
                <w:szCs w:val="22"/>
                <w:lang w:val="en-US"/>
              </w:rPr>
            </w:pPr>
            <w:r>
              <w:rPr>
                <w:rFonts w:ascii="Calibri" w:hAnsi="Calibri"/>
                <w:color w:val="000000"/>
                <w:sz w:val="22"/>
                <w:szCs w:val="22"/>
                <w:lang w:val="en-US"/>
              </w:rPr>
              <w:t>187</w:t>
            </w:r>
          </w:p>
        </w:tc>
        <w:tc>
          <w:tcPr>
            <w:tcW w:w="1008" w:type="dxa"/>
          </w:tcPr>
          <w:p w:rsidR="00570B74" w:rsidRDefault="00570B74" w:rsidP="00663844">
            <w:pPr>
              <w:jc w:val="center"/>
              <w:rPr>
                <w:rFonts w:ascii="Calibri" w:hAnsi="Calibri"/>
                <w:color w:val="000000"/>
                <w:sz w:val="22"/>
                <w:szCs w:val="22"/>
                <w:lang w:val="en-US"/>
              </w:rPr>
            </w:pPr>
          </w:p>
          <w:p w:rsidR="00570B74" w:rsidRDefault="00570B74" w:rsidP="00663844">
            <w:pPr>
              <w:jc w:val="center"/>
              <w:rPr>
                <w:rFonts w:ascii="Calibri" w:hAnsi="Calibri"/>
                <w:color w:val="000000"/>
                <w:sz w:val="22"/>
                <w:szCs w:val="22"/>
                <w:lang w:val="en-US"/>
              </w:rPr>
            </w:pPr>
            <w:r>
              <w:rPr>
                <w:rFonts w:ascii="Calibri" w:hAnsi="Calibri"/>
                <w:color w:val="000000"/>
                <w:sz w:val="22"/>
                <w:szCs w:val="22"/>
                <w:lang w:val="en-US"/>
              </w:rPr>
              <w:t>208</w:t>
            </w:r>
          </w:p>
          <w:p w:rsidR="00570B74" w:rsidRDefault="00570B74" w:rsidP="00663844">
            <w:pPr>
              <w:jc w:val="center"/>
              <w:rPr>
                <w:rFonts w:ascii="Calibri" w:hAnsi="Calibri"/>
                <w:color w:val="000000"/>
                <w:sz w:val="22"/>
                <w:szCs w:val="22"/>
                <w:lang w:val="en-US"/>
              </w:rPr>
            </w:pPr>
          </w:p>
        </w:tc>
        <w:tc>
          <w:tcPr>
            <w:tcW w:w="981" w:type="dxa"/>
          </w:tcPr>
          <w:p w:rsidR="00570B74" w:rsidRDefault="00570B74" w:rsidP="00663844">
            <w:pPr>
              <w:jc w:val="center"/>
              <w:rPr>
                <w:rFonts w:ascii="Calibri" w:hAnsi="Calibri"/>
                <w:color w:val="000000"/>
                <w:sz w:val="22"/>
                <w:szCs w:val="22"/>
                <w:lang w:val="en-US"/>
              </w:rPr>
            </w:pPr>
          </w:p>
          <w:p w:rsidR="0010716B" w:rsidRDefault="0010716B" w:rsidP="00663844">
            <w:pPr>
              <w:jc w:val="center"/>
              <w:rPr>
                <w:rFonts w:ascii="Calibri" w:hAnsi="Calibri"/>
                <w:color w:val="000000"/>
                <w:sz w:val="22"/>
                <w:szCs w:val="22"/>
                <w:lang w:val="en-US"/>
              </w:rPr>
            </w:pPr>
            <w:r>
              <w:rPr>
                <w:rFonts w:ascii="Calibri" w:hAnsi="Calibri"/>
                <w:color w:val="000000"/>
                <w:sz w:val="22"/>
                <w:szCs w:val="22"/>
                <w:lang w:val="en-US"/>
              </w:rPr>
              <w:t>215</w:t>
            </w:r>
          </w:p>
          <w:p w:rsidR="0010716B" w:rsidRDefault="0010716B" w:rsidP="00663844">
            <w:pPr>
              <w:jc w:val="center"/>
              <w:rPr>
                <w:rFonts w:ascii="Calibri" w:hAnsi="Calibri"/>
                <w:color w:val="000000"/>
                <w:sz w:val="22"/>
                <w:szCs w:val="22"/>
                <w:lang w:val="en-US"/>
              </w:rPr>
            </w:pPr>
          </w:p>
        </w:tc>
      </w:tr>
      <w:tr w:rsidR="00570B74" w:rsidRPr="00EA6578" w:rsidTr="00570B74">
        <w:trPr>
          <w:trHeight w:val="600"/>
        </w:trPr>
        <w:tc>
          <w:tcPr>
            <w:tcW w:w="2822" w:type="dxa"/>
            <w:shd w:val="clear" w:color="auto" w:fill="auto"/>
            <w:vAlign w:val="bottom"/>
            <w:hideMark/>
          </w:tcPr>
          <w:p w:rsidR="00570B74" w:rsidRPr="00EA6578" w:rsidRDefault="00570B74" w:rsidP="00EA6578">
            <w:pPr>
              <w:rPr>
                <w:rFonts w:ascii="Calibri" w:hAnsi="Calibri"/>
                <w:color w:val="000000"/>
                <w:sz w:val="22"/>
                <w:szCs w:val="22"/>
                <w:lang w:val="en-US"/>
              </w:rPr>
            </w:pPr>
            <w:r w:rsidRPr="00EA6578">
              <w:rPr>
                <w:rFonts w:ascii="Calibri" w:hAnsi="Calibri"/>
                <w:color w:val="000000"/>
                <w:sz w:val="22"/>
                <w:szCs w:val="22"/>
                <w:lang w:val="en-US"/>
              </w:rPr>
              <w:t>Number of children under private fostering arrangements at 31 March:</w:t>
            </w:r>
          </w:p>
        </w:tc>
        <w:tc>
          <w:tcPr>
            <w:tcW w:w="988" w:type="dxa"/>
            <w:shd w:val="clear" w:color="auto" w:fill="auto"/>
            <w:noWrap/>
            <w:vAlign w:val="center"/>
            <w:hideMark/>
          </w:tcPr>
          <w:p w:rsidR="00570B74" w:rsidRPr="00EA6578" w:rsidRDefault="00570B74" w:rsidP="00EA6578">
            <w:pPr>
              <w:jc w:val="center"/>
              <w:rPr>
                <w:rFonts w:ascii="Calibri" w:hAnsi="Calibri"/>
                <w:color w:val="000000"/>
                <w:sz w:val="22"/>
                <w:szCs w:val="22"/>
                <w:lang w:val="en-US"/>
              </w:rPr>
            </w:pPr>
            <w:r w:rsidRPr="00EA6578">
              <w:rPr>
                <w:rFonts w:ascii="Calibri" w:hAnsi="Calibri"/>
                <w:color w:val="000000"/>
                <w:sz w:val="22"/>
                <w:szCs w:val="22"/>
                <w:lang w:val="en-US"/>
              </w:rPr>
              <w:t>50</w:t>
            </w:r>
          </w:p>
        </w:tc>
        <w:tc>
          <w:tcPr>
            <w:tcW w:w="986" w:type="dxa"/>
          </w:tcPr>
          <w:p w:rsidR="00570B74" w:rsidRDefault="00570B74" w:rsidP="00663844">
            <w:pPr>
              <w:jc w:val="center"/>
              <w:rPr>
                <w:rFonts w:ascii="Calibri" w:hAnsi="Calibri"/>
                <w:color w:val="000000"/>
                <w:sz w:val="22"/>
                <w:szCs w:val="22"/>
                <w:lang w:val="en-US"/>
              </w:rPr>
            </w:pPr>
          </w:p>
          <w:p w:rsidR="00570B74" w:rsidRPr="00EA6578" w:rsidRDefault="00570B74" w:rsidP="00663844">
            <w:pPr>
              <w:jc w:val="center"/>
              <w:rPr>
                <w:rFonts w:ascii="Calibri" w:hAnsi="Calibri"/>
                <w:color w:val="000000"/>
                <w:sz w:val="22"/>
                <w:szCs w:val="22"/>
                <w:lang w:val="en-US"/>
              </w:rPr>
            </w:pPr>
            <w:r>
              <w:rPr>
                <w:rFonts w:ascii="Calibri" w:hAnsi="Calibri"/>
                <w:color w:val="000000"/>
                <w:sz w:val="22"/>
                <w:szCs w:val="22"/>
                <w:lang w:val="en-US"/>
              </w:rPr>
              <w:t>42</w:t>
            </w:r>
          </w:p>
        </w:tc>
        <w:tc>
          <w:tcPr>
            <w:tcW w:w="1008" w:type="dxa"/>
          </w:tcPr>
          <w:p w:rsidR="00570B74" w:rsidRDefault="00570B74" w:rsidP="00663844">
            <w:pPr>
              <w:jc w:val="center"/>
              <w:rPr>
                <w:rFonts w:ascii="Calibri" w:hAnsi="Calibri"/>
                <w:color w:val="000000"/>
                <w:sz w:val="22"/>
                <w:szCs w:val="22"/>
                <w:lang w:val="en-US"/>
              </w:rPr>
            </w:pPr>
          </w:p>
          <w:p w:rsidR="00570B74" w:rsidRDefault="00570B74" w:rsidP="000A54DF">
            <w:pPr>
              <w:jc w:val="center"/>
              <w:rPr>
                <w:rFonts w:ascii="Calibri" w:hAnsi="Calibri"/>
                <w:color w:val="000000"/>
                <w:sz w:val="22"/>
                <w:szCs w:val="22"/>
                <w:lang w:val="en-US"/>
              </w:rPr>
            </w:pPr>
            <w:r>
              <w:rPr>
                <w:rFonts w:ascii="Calibri" w:hAnsi="Calibri"/>
                <w:color w:val="000000"/>
                <w:sz w:val="22"/>
                <w:szCs w:val="22"/>
                <w:lang w:val="en-US"/>
              </w:rPr>
              <w:t>74</w:t>
            </w:r>
          </w:p>
        </w:tc>
        <w:tc>
          <w:tcPr>
            <w:tcW w:w="1008" w:type="dxa"/>
          </w:tcPr>
          <w:p w:rsidR="00570B74" w:rsidRDefault="00570B74" w:rsidP="00663844">
            <w:pPr>
              <w:jc w:val="center"/>
              <w:rPr>
                <w:rFonts w:ascii="Calibri" w:hAnsi="Calibri"/>
                <w:color w:val="000000"/>
                <w:sz w:val="22"/>
                <w:szCs w:val="22"/>
                <w:lang w:val="en-US"/>
              </w:rPr>
            </w:pPr>
          </w:p>
          <w:p w:rsidR="00570B74" w:rsidRDefault="00570B74" w:rsidP="00663844">
            <w:pPr>
              <w:jc w:val="center"/>
              <w:rPr>
                <w:rFonts w:ascii="Calibri" w:hAnsi="Calibri"/>
                <w:color w:val="000000"/>
                <w:sz w:val="22"/>
                <w:szCs w:val="22"/>
                <w:lang w:val="en-US"/>
              </w:rPr>
            </w:pPr>
            <w:r>
              <w:rPr>
                <w:rFonts w:ascii="Calibri" w:hAnsi="Calibri"/>
                <w:color w:val="000000"/>
                <w:sz w:val="22"/>
                <w:szCs w:val="22"/>
                <w:lang w:val="en-US"/>
              </w:rPr>
              <w:t>58</w:t>
            </w:r>
          </w:p>
        </w:tc>
        <w:tc>
          <w:tcPr>
            <w:tcW w:w="981" w:type="dxa"/>
          </w:tcPr>
          <w:p w:rsidR="00570B74" w:rsidRDefault="00570B74" w:rsidP="00663844">
            <w:pPr>
              <w:jc w:val="center"/>
              <w:rPr>
                <w:rFonts w:ascii="Calibri" w:hAnsi="Calibri"/>
                <w:color w:val="000000"/>
                <w:sz w:val="22"/>
                <w:szCs w:val="22"/>
                <w:lang w:val="en-US"/>
              </w:rPr>
            </w:pPr>
          </w:p>
          <w:p w:rsidR="0010716B" w:rsidRDefault="0010716B" w:rsidP="00663844">
            <w:pPr>
              <w:jc w:val="center"/>
              <w:rPr>
                <w:rFonts w:ascii="Calibri" w:hAnsi="Calibri"/>
                <w:color w:val="000000"/>
                <w:sz w:val="22"/>
                <w:szCs w:val="22"/>
                <w:lang w:val="en-US"/>
              </w:rPr>
            </w:pPr>
            <w:r>
              <w:rPr>
                <w:rFonts w:ascii="Calibri" w:hAnsi="Calibri"/>
                <w:color w:val="000000"/>
                <w:sz w:val="22"/>
                <w:szCs w:val="22"/>
                <w:lang w:val="en-US"/>
              </w:rPr>
              <w:t>41</w:t>
            </w:r>
          </w:p>
        </w:tc>
      </w:tr>
    </w:tbl>
    <w:p w:rsidR="00EA6578" w:rsidRDefault="00EA6578" w:rsidP="0087157A">
      <w:pPr>
        <w:jc w:val="both"/>
      </w:pPr>
    </w:p>
    <w:p w:rsidR="00DC443F" w:rsidRDefault="00DC443F" w:rsidP="0087157A">
      <w:pPr>
        <w:jc w:val="both"/>
      </w:pPr>
    </w:p>
    <w:p w:rsidR="00B164D3" w:rsidRPr="007600E2" w:rsidRDefault="00B164D3" w:rsidP="0087157A">
      <w:pPr>
        <w:jc w:val="both"/>
        <w:rPr>
          <w:b/>
        </w:rPr>
      </w:pPr>
      <w:r>
        <w:rPr>
          <w:b/>
        </w:rPr>
        <w:t>COMPLETION OF INITIAL VISITS</w:t>
      </w:r>
      <w:r w:rsidR="00F5491E">
        <w:rPr>
          <w:b/>
        </w:rPr>
        <w:t xml:space="preserve">, </w:t>
      </w:r>
      <w:r w:rsidR="00247401">
        <w:rPr>
          <w:b/>
        </w:rPr>
        <w:t>ASSESSMENTS</w:t>
      </w:r>
      <w:r w:rsidR="00F5491E">
        <w:rPr>
          <w:b/>
        </w:rPr>
        <w:t xml:space="preserve"> </w:t>
      </w:r>
      <w:smartTag w:uri="urn:schemas-microsoft-com:office:smarttags" w:element="stockticker">
        <w:r w:rsidR="00F5491E">
          <w:rPr>
            <w:b/>
          </w:rPr>
          <w:t>AND</w:t>
        </w:r>
      </w:smartTag>
      <w:r w:rsidR="00F5491E">
        <w:rPr>
          <w:b/>
        </w:rPr>
        <w:t xml:space="preserve"> REGULATION 8 VISITS</w:t>
      </w:r>
      <w:r>
        <w:rPr>
          <w:b/>
        </w:rPr>
        <w:t xml:space="preserve"> WITHIN TIMESCALES </w:t>
      </w:r>
    </w:p>
    <w:p w:rsidR="00B164D3" w:rsidRDefault="00B164D3" w:rsidP="0087157A">
      <w:pPr>
        <w:jc w:val="both"/>
      </w:pPr>
    </w:p>
    <w:p w:rsidR="00E97056" w:rsidRDefault="00EC512A" w:rsidP="0087157A">
      <w:pPr>
        <w:jc w:val="both"/>
      </w:pPr>
      <w:r>
        <w:t xml:space="preserve">This year, </w:t>
      </w:r>
      <w:r w:rsidR="0010716B">
        <w:t>all but one</w:t>
      </w:r>
      <w:r>
        <w:t xml:space="preserve"> young person </w:t>
      </w:r>
      <w:r w:rsidR="007C05F7">
        <w:t>who was privately fostered</w:t>
      </w:r>
      <w:r w:rsidR="0010716B">
        <w:t xml:space="preserve"> w</w:t>
      </w:r>
      <w:r w:rsidR="007C6D14">
        <w:t>ere</w:t>
      </w:r>
      <w:r w:rsidR="0010716B">
        <w:t xml:space="preserve"> visited</w:t>
      </w:r>
      <w:r>
        <w:t xml:space="preserve">.  Of the </w:t>
      </w:r>
      <w:r w:rsidR="00DC3087">
        <w:t>19</w:t>
      </w:r>
      <w:r w:rsidR="0010716B">
        <w:t>8</w:t>
      </w:r>
      <w:r w:rsidR="00741A98">
        <w:t xml:space="preserve"> </w:t>
      </w:r>
      <w:r w:rsidR="00DF218E">
        <w:t>new</w:t>
      </w:r>
      <w:r w:rsidR="00741A98">
        <w:t xml:space="preserve"> and proposed</w:t>
      </w:r>
      <w:r w:rsidR="00DF218E">
        <w:t xml:space="preserve"> private fostering arrangements</w:t>
      </w:r>
      <w:r w:rsidR="00006CA2">
        <w:t xml:space="preserve">, </w:t>
      </w:r>
      <w:r w:rsidR="000E0FCB">
        <w:t>1</w:t>
      </w:r>
      <w:r w:rsidR="0010716B">
        <w:t>97</w:t>
      </w:r>
      <w:r w:rsidR="000E0FCB">
        <w:t xml:space="preserve"> </w:t>
      </w:r>
      <w:r>
        <w:t>were</w:t>
      </w:r>
      <w:r w:rsidR="00006CA2">
        <w:t xml:space="preserve"> visited</w:t>
      </w:r>
      <w:r>
        <w:t xml:space="preserve"> </w:t>
      </w:r>
      <w:r w:rsidR="0010716B">
        <w:t>and 102 (52%)</w:t>
      </w:r>
      <w:r w:rsidR="000E0FCB">
        <w:t xml:space="preserve"> of these visits were </w:t>
      </w:r>
      <w:r>
        <w:t>within the statutory requirement of 7 days from notification</w:t>
      </w:r>
      <w:r w:rsidR="00006CA2">
        <w:t xml:space="preserve">, which represents a significant </w:t>
      </w:r>
      <w:r w:rsidR="0010716B">
        <w:t>improvement</w:t>
      </w:r>
      <w:r w:rsidR="00006CA2">
        <w:t xml:space="preserve"> on the previous year (</w:t>
      </w:r>
      <w:r w:rsidR="007C6D14">
        <w:t>26</w:t>
      </w:r>
      <w:r w:rsidR="00006CA2">
        <w:t>%)</w:t>
      </w:r>
      <w:r>
        <w:t xml:space="preserve">.   </w:t>
      </w:r>
      <w:r w:rsidR="007C6D14">
        <w:t>The one young person</w:t>
      </w:r>
      <w:r w:rsidR="00E97056">
        <w:t xml:space="preserve"> who w</w:t>
      </w:r>
      <w:r w:rsidR="007C6D14">
        <w:t>as</w:t>
      </w:r>
      <w:r w:rsidR="00E97056">
        <w:t xml:space="preserve"> not seen</w:t>
      </w:r>
      <w:r w:rsidR="007C6D14">
        <w:t xml:space="preserve"> was a local young person who was nearly 16 and the team had received notification by a social worker close to the young person’s birthday</w:t>
      </w:r>
      <w:r w:rsidR="009D1226">
        <w:t>.</w:t>
      </w:r>
    </w:p>
    <w:p w:rsidR="00E97056" w:rsidRDefault="00E97056" w:rsidP="0087157A">
      <w:pPr>
        <w:jc w:val="both"/>
      </w:pPr>
    </w:p>
    <w:p w:rsidR="00247401" w:rsidRDefault="00006CA2" w:rsidP="0087157A">
      <w:pPr>
        <w:jc w:val="both"/>
      </w:pPr>
      <w:r>
        <w:t>Some a</w:t>
      </w:r>
      <w:r w:rsidR="00EC512A">
        <w:t xml:space="preserve">ssessments </w:t>
      </w:r>
      <w:r w:rsidR="00DF218E">
        <w:t>continue to take</w:t>
      </w:r>
      <w:r w:rsidR="00EC512A">
        <w:t xml:space="preserve"> longer than 42 days to complete from the date of notification, due largely to </w:t>
      </w:r>
      <w:r w:rsidR="00541C01">
        <w:t xml:space="preserve">delays </w:t>
      </w:r>
      <w:r>
        <w:t>in</w:t>
      </w:r>
      <w:r w:rsidR="00541C01">
        <w:t xml:space="preserve"> receipt of DBS</w:t>
      </w:r>
      <w:r>
        <w:t xml:space="preserve"> and other</w:t>
      </w:r>
      <w:r w:rsidR="00541C01">
        <w:t xml:space="preserve"> checks</w:t>
      </w:r>
      <w:r w:rsidR="002F1F79">
        <w:t xml:space="preserve"> (GP checks, references, information from other local authorities)</w:t>
      </w:r>
      <w:r w:rsidR="00EC512A">
        <w:t>.</w:t>
      </w:r>
      <w:r w:rsidR="00DF218E">
        <w:t xml:space="preserve"> </w:t>
      </w:r>
      <w:r w:rsidR="00597532">
        <w:t xml:space="preserve"> </w:t>
      </w:r>
      <w:r w:rsidR="007C6D14">
        <w:t>During this year, the authority made the decision to accept DBS checks carried out</w:t>
      </w:r>
      <w:r w:rsidR="00597532">
        <w:t xml:space="preserve"> for host families</w:t>
      </w:r>
      <w:r w:rsidR="007C6D14">
        <w:t xml:space="preserve"> by organisations</w:t>
      </w:r>
      <w:r w:rsidR="00597532">
        <w:t xml:space="preserve"> themselves.  This has considerably reduced the cost to the authority and has resulted in speedier completion of many assessments. </w:t>
      </w:r>
      <w:r w:rsidR="00DF218E">
        <w:t xml:space="preserve"> </w:t>
      </w:r>
      <w:r w:rsidR="00597532">
        <w:t>DBS checks in relation to private fostering arrangements for local young people are free of charge to the authority.  The previously introduced annual review process for private foster carers has worked well, resulting in a reduction in the need to re-assess existing host families</w:t>
      </w:r>
      <w:r w:rsidR="00E97056">
        <w:t>.</w:t>
      </w:r>
      <w:r w:rsidR="00B07216">
        <w:t xml:space="preserve"> </w:t>
      </w:r>
    </w:p>
    <w:p w:rsidR="00F5491E" w:rsidRDefault="00F5491E" w:rsidP="0087157A">
      <w:pPr>
        <w:jc w:val="both"/>
      </w:pPr>
    </w:p>
    <w:p w:rsidR="008913F6" w:rsidRDefault="002D59DE" w:rsidP="0087157A">
      <w:pPr>
        <w:jc w:val="both"/>
      </w:pPr>
      <w:r>
        <w:t>Guidance</w:t>
      </w:r>
      <w:r w:rsidR="00F5491E">
        <w:t xml:space="preserve"> from D</w:t>
      </w:r>
      <w:r>
        <w:t>fE</w:t>
      </w:r>
      <w:r w:rsidR="00F5491E">
        <w:t xml:space="preserve"> provided clarification regarding the requirement to visit privately fostered young people ‘at least every 6 weeks’</w:t>
      </w:r>
      <w:r w:rsidR="001F43ED">
        <w:t xml:space="preserve"> in the first year</w:t>
      </w:r>
      <w:r w:rsidR="00F5491E">
        <w:t>.  If a</w:t>
      </w:r>
      <w:r w:rsidR="00E97056">
        <w:t>ny one</w:t>
      </w:r>
      <w:r w:rsidR="00F5491E">
        <w:t xml:space="preserve"> visit is delayed for whatever reason, it is counted as</w:t>
      </w:r>
      <w:r w:rsidR="009D1226">
        <w:t xml:space="preserve"> all</w:t>
      </w:r>
      <w:r w:rsidR="00F5491E">
        <w:t xml:space="preserve"> th</w:t>
      </w:r>
      <w:r w:rsidR="00B15DE1">
        <w:t>at child’s</w:t>
      </w:r>
      <w:r w:rsidR="00F5491E">
        <w:t xml:space="preserve"> visit</w:t>
      </w:r>
      <w:r w:rsidR="00B15DE1">
        <w:t>s</w:t>
      </w:r>
      <w:r w:rsidR="00F5491E">
        <w:t xml:space="preserve"> being ‘out of time’.  </w:t>
      </w:r>
      <w:r>
        <w:t>There may be</w:t>
      </w:r>
      <w:r w:rsidR="00F5491E">
        <w:t xml:space="preserve"> legitimate reasons why a visit to a young person </w:t>
      </w:r>
      <w:r>
        <w:t>was</w:t>
      </w:r>
      <w:r w:rsidR="00F5491E">
        <w:t xml:space="preserve"> delayed, such as the child being unwell, going on </w:t>
      </w:r>
      <w:r w:rsidR="007F7549">
        <w:t>a school trip</w:t>
      </w:r>
      <w:r w:rsidR="00F5491E">
        <w:t xml:space="preserve">, </w:t>
      </w:r>
      <w:r w:rsidR="00541C01">
        <w:t xml:space="preserve">visiting parents during school holidays, </w:t>
      </w:r>
      <w:r w:rsidR="00F5491E">
        <w:t xml:space="preserve">etc.  </w:t>
      </w:r>
      <w:r w:rsidR="00EC512A">
        <w:t>During the year all of the young people</w:t>
      </w:r>
      <w:r w:rsidR="00006CA2">
        <w:t xml:space="preserve"> received regular visits although not all of these visits were within timescales.</w:t>
      </w:r>
      <w:r w:rsidR="002F242B">
        <w:t xml:space="preserve"> </w:t>
      </w:r>
      <w:r w:rsidR="004D75F8">
        <w:t xml:space="preserve"> Visits are </w:t>
      </w:r>
      <w:r w:rsidR="00597532">
        <w:t xml:space="preserve">frequently </w:t>
      </w:r>
      <w:r w:rsidR="004D75F8">
        <w:t>arranged for every 5 weeks as legislation requires visits</w:t>
      </w:r>
      <w:r w:rsidR="00741A98">
        <w:t xml:space="preserve"> ‘at least</w:t>
      </w:r>
      <w:r w:rsidR="004D75F8">
        <w:t xml:space="preserve"> every 6 weeks</w:t>
      </w:r>
      <w:r w:rsidR="00741A98">
        <w:t>’</w:t>
      </w:r>
      <w:r w:rsidR="004D75F8">
        <w:t>.  By setting visits a week earlier than require</w:t>
      </w:r>
      <w:r w:rsidR="00741A98">
        <w:t>d, this</w:t>
      </w:r>
      <w:r w:rsidR="004D75F8">
        <w:t xml:space="preserve"> allows for absences and gives the ability to still visit within t</w:t>
      </w:r>
      <w:r w:rsidR="00741A98">
        <w:t>imescales</w:t>
      </w:r>
      <w:r w:rsidR="004D75F8">
        <w:t xml:space="preserve">.  </w:t>
      </w:r>
      <w:r w:rsidR="00597532">
        <w:t xml:space="preserve">This year, </w:t>
      </w:r>
      <w:r w:rsidR="00597532" w:rsidRPr="00597532">
        <w:rPr>
          <w:b/>
        </w:rPr>
        <w:t>80%</w:t>
      </w:r>
      <w:r w:rsidR="00597532">
        <w:t xml:space="preserve"> </w:t>
      </w:r>
      <w:r w:rsidR="00E97056">
        <w:t>of young people</w:t>
      </w:r>
      <w:r w:rsidR="00F22155">
        <w:t xml:space="preserve"> in new private fostering arrangements</w:t>
      </w:r>
      <w:r w:rsidR="00E97056">
        <w:t xml:space="preserve"> </w:t>
      </w:r>
      <w:r w:rsidR="00F22155">
        <w:t xml:space="preserve">and </w:t>
      </w:r>
      <w:r w:rsidR="00F22155" w:rsidRPr="00F22155">
        <w:rPr>
          <w:b/>
        </w:rPr>
        <w:t>93%</w:t>
      </w:r>
      <w:r w:rsidR="00F22155">
        <w:t xml:space="preserve"> of those in pre-existing arrangements </w:t>
      </w:r>
      <w:r w:rsidR="00E97056">
        <w:t>were visited within timescales</w:t>
      </w:r>
      <w:r w:rsidR="00597532">
        <w:t>, representing a</w:t>
      </w:r>
      <w:r w:rsidR="00F22155">
        <w:t xml:space="preserve"> significant</w:t>
      </w:r>
      <w:r w:rsidR="00597532">
        <w:t xml:space="preserve"> improvement on the previous year (68.75%)</w:t>
      </w:r>
      <w:r w:rsidR="00E97056">
        <w:t>.</w:t>
      </w:r>
      <w:r w:rsidR="008913F6">
        <w:t xml:space="preserve">  </w:t>
      </w:r>
      <w:r w:rsidR="002F242B">
        <w:t xml:space="preserve">Most of the </w:t>
      </w:r>
      <w:r w:rsidR="009D1226">
        <w:t>international students</w:t>
      </w:r>
      <w:r w:rsidR="002F242B">
        <w:t xml:space="preserve"> were visited at school, because of the very high numbers. </w:t>
      </w:r>
      <w:r w:rsidR="00B07216">
        <w:t xml:space="preserve"> </w:t>
      </w:r>
    </w:p>
    <w:p w:rsidR="008913F6" w:rsidRDefault="008913F6" w:rsidP="0087157A">
      <w:pPr>
        <w:jc w:val="both"/>
      </w:pPr>
    </w:p>
    <w:p w:rsidR="00EC512A" w:rsidRDefault="00EC512A" w:rsidP="0087157A">
      <w:pPr>
        <w:jc w:val="both"/>
      </w:pPr>
      <w:r>
        <w:t xml:space="preserve">Of interest is the snapshot figure relating to the numbers of young people in private fostering arrangements </w:t>
      </w:r>
      <w:r w:rsidR="000100B9">
        <w:t>as at</w:t>
      </w:r>
      <w:r>
        <w:t xml:space="preserve"> 31 March</w:t>
      </w:r>
      <w:r w:rsidR="004F2CCD">
        <w:t xml:space="preserve"> 201</w:t>
      </w:r>
      <w:r w:rsidR="00597532">
        <w:t>6</w:t>
      </w:r>
      <w:r>
        <w:t xml:space="preserve">.  </w:t>
      </w:r>
      <w:r w:rsidR="002F1F79">
        <w:t xml:space="preserve">This year, </w:t>
      </w:r>
      <w:r w:rsidR="00597532">
        <w:rPr>
          <w:b/>
        </w:rPr>
        <w:t>41</w:t>
      </w:r>
      <w:r w:rsidR="002F1F79">
        <w:t xml:space="preserve"> young people remained in private fostering arrangements </w:t>
      </w:r>
      <w:r w:rsidR="00597532">
        <w:t xml:space="preserve">and once again, </w:t>
      </w:r>
      <w:r w:rsidR="002F1F79">
        <w:t>this</w:t>
      </w:r>
      <w:r w:rsidR="00597532">
        <w:t xml:space="preserve"> low number</w:t>
      </w:r>
      <w:r w:rsidR="002F1F79">
        <w:t xml:space="preserve"> </w:t>
      </w:r>
      <w:r w:rsidR="008913F6">
        <w:t>was</w:t>
      </w:r>
      <w:r w:rsidR="002F1F79">
        <w:t xml:space="preserve"> accounted for by Easter being </w:t>
      </w:r>
      <w:r w:rsidR="008913F6">
        <w:t>earlier</w:t>
      </w:r>
      <w:r w:rsidR="002F1F79">
        <w:t xml:space="preserve"> this year and s</w:t>
      </w:r>
      <w:r w:rsidR="008913F6">
        <w:t>everal</w:t>
      </w:r>
      <w:r w:rsidR="002F1F79">
        <w:t xml:space="preserve"> students </w:t>
      </w:r>
      <w:r w:rsidR="008913F6">
        <w:t>going home</w:t>
      </w:r>
      <w:r w:rsidR="009D1226">
        <w:t xml:space="preserve"> just</w:t>
      </w:r>
      <w:r w:rsidR="008913F6">
        <w:t xml:space="preserve"> before the end of March.</w:t>
      </w:r>
    </w:p>
    <w:p w:rsidR="00797CEF" w:rsidRDefault="00797CEF" w:rsidP="0087157A">
      <w:pPr>
        <w:jc w:val="both"/>
      </w:pPr>
    </w:p>
    <w:p w:rsidR="00797CEF" w:rsidRDefault="009D1226" w:rsidP="0087157A">
      <w:pPr>
        <w:jc w:val="both"/>
        <w:rPr>
          <w:b/>
        </w:rPr>
      </w:pPr>
      <w:r>
        <w:rPr>
          <w:b/>
        </w:rPr>
        <w:br w:type="page"/>
      </w:r>
      <w:r w:rsidR="00797CEF">
        <w:rPr>
          <w:b/>
        </w:rPr>
        <w:lastRenderedPageBreak/>
        <w:t>DIVERSITY</w:t>
      </w:r>
    </w:p>
    <w:p w:rsidR="00797CEF" w:rsidRDefault="00797CEF" w:rsidP="0087157A">
      <w:pPr>
        <w:jc w:val="both"/>
        <w:rPr>
          <w:b/>
        </w:rPr>
      </w:pPr>
    </w:p>
    <w:p w:rsidR="00797CEF" w:rsidRPr="00797CEF" w:rsidRDefault="00797CEF" w:rsidP="0087157A">
      <w:pPr>
        <w:jc w:val="both"/>
      </w:pPr>
      <w:r>
        <w:t>Approximately 9</w:t>
      </w:r>
      <w:r w:rsidR="008913F6">
        <w:t>4</w:t>
      </w:r>
      <w:r>
        <w:t xml:space="preserve">% of all privately fostered young people in Torbay </w:t>
      </w:r>
      <w:r w:rsidR="008913F6">
        <w:t>we</w:t>
      </w:r>
      <w:r>
        <w:t xml:space="preserve">re from overseas and </w:t>
      </w:r>
      <w:r w:rsidR="00B07216">
        <w:t xml:space="preserve">most </w:t>
      </w:r>
      <w:r>
        <w:t>c</w:t>
      </w:r>
      <w:r w:rsidR="008913F6">
        <w:t>ame</w:t>
      </w:r>
      <w:r>
        <w:t xml:space="preserve"> to this country in order to study and improve their English. </w:t>
      </w:r>
      <w:r w:rsidR="00262BA3">
        <w:t>Young people c</w:t>
      </w:r>
      <w:r w:rsidR="008913F6">
        <w:t>a</w:t>
      </w:r>
      <w:r w:rsidR="00262BA3">
        <w:t xml:space="preserve">me mainly from countries in </w:t>
      </w:r>
      <w:r w:rsidR="007A2391">
        <w:t xml:space="preserve">Europe and </w:t>
      </w:r>
      <w:r w:rsidR="00262BA3">
        <w:t>Asia</w:t>
      </w:r>
      <w:r w:rsidR="007A2391">
        <w:t>,</w:t>
      </w:r>
      <w:r w:rsidR="008913F6">
        <w:t xml:space="preserve"> </w:t>
      </w:r>
      <w:r w:rsidR="00262BA3">
        <w:t>with a small number coming from Africa</w:t>
      </w:r>
      <w:r w:rsidR="007A2391">
        <w:t xml:space="preserve">, the Middle East and </w:t>
      </w:r>
      <w:r w:rsidR="00262BA3">
        <w:t>North</w:t>
      </w:r>
      <w:r w:rsidR="007A2391">
        <w:t xml:space="preserve"> and South America.  </w:t>
      </w:r>
      <w:r w:rsidR="008913F6">
        <w:t>Most</w:t>
      </w:r>
      <w:r>
        <w:t xml:space="preserve"> of the host families recruited by the various schools and organisations are white British.  The children know in advance that they are coming to stay with British families and most appear to welcome this as part of the experience</w:t>
      </w:r>
      <w:r w:rsidR="00E15FDB">
        <w:t xml:space="preserve"> of coming to this country.  Some of the students have commented about the positive aspects of learning about another culture but others have struggled</w:t>
      </w:r>
      <w:r w:rsidR="006B0B8D">
        <w:t>,</w:t>
      </w:r>
      <w:r w:rsidR="00E15FDB">
        <w:t xml:space="preserve"> especially those whose English is poor or where their cultural experience has been very different</w:t>
      </w:r>
      <w:r w:rsidR="00262BA3">
        <w:t xml:space="preserve"> from that of their host family</w:t>
      </w:r>
      <w:r w:rsidR="00E15FDB">
        <w:t xml:space="preserve">.  </w:t>
      </w:r>
      <w:r w:rsidR="002F1F79">
        <w:t>While some organisations</w:t>
      </w:r>
      <w:r w:rsidR="00E15FDB">
        <w:t xml:space="preserve"> ha</w:t>
      </w:r>
      <w:r w:rsidR="002F1F79">
        <w:t>ve</w:t>
      </w:r>
      <w:r w:rsidR="00E15FDB">
        <w:t xml:space="preserve"> been good at matching young people with their host families, with both parties being given information</w:t>
      </w:r>
      <w:r w:rsidR="00BC5625" w:rsidRPr="00BC5625">
        <w:t xml:space="preserve"> </w:t>
      </w:r>
      <w:r w:rsidR="00BC5625">
        <w:t>including photographs</w:t>
      </w:r>
      <w:r w:rsidR="00E15FDB">
        <w:t xml:space="preserve"> about the other in advance</w:t>
      </w:r>
      <w:r w:rsidR="002F1F79">
        <w:t>, others provide little information other than names, ages and country of origin</w:t>
      </w:r>
      <w:r w:rsidR="00E15FDB">
        <w:t xml:space="preserve">.  Communication in advance of the student arriving in this country has been encouraged by some organisations but </w:t>
      </w:r>
      <w:r w:rsidR="00B07216">
        <w:t>is not an industry standard</w:t>
      </w:r>
      <w:r w:rsidR="00E15FDB">
        <w:t xml:space="preserve">.  </w:t>
      </w:r>
      <w:r w:rsidR="00D25344">
        <w:t>During this year, there have been no reported incidents of racist abuse in relation to privately fostered young people</w:t>
      </w:r>
      <w:r w:rsidR="009D1226">
        <w:t>.</w:t>
      </w:r>
    </w:p>
    <w:p w:rsidR="0030130D" w:rsidRDefault="0030130D" w:rsidP="0087157A">
      <w:pPr>
        <w:jc w:val="both"/>
      </w:pPr>
    </w:p>
    <w:p w:rsidR="0021202B" w:rsidRDefault="0021202B" w:rsidP="0087157A">
      <w:pPr>
        <w:jc w:val="both"/>
        <w:rPr>
          <w:b/>
        </w:rPr>
      </w:pPr>
      <w:r>
        <w:rPr>
          <w:b/>
        </w:rPr>
        <w:t>Ofsted INSPECTION</w:t>
      </w:r>
    </w:p>
    <w:p w:rsidR="00800194" w:rsidRDefault="00800194" w:rsidP="00800194">
      <w:pPr>
        <w:pStyle w:val="Default"/>
      </w:pPr>
    </w:p>
    <w:p w:rsidR="00800194" w:rsidRDefault="00800194" w:rsidP="00800194">
      <w:pPr>
        <w:pStyle w:val="Default"/>
        <w:rPr>
          <w:rFonts w:ascii="Arial" w:hAnsi="Arial" w:cs="Arial"/>
        </w:rPr>
      </w:pPr>
      <w:r>
        <w:rPr>
          <w:rFonts w:ascii="Arial" w:hAnsi="Arial" w:cs="Arial"/>
        </w:rPr>
        <w:t>Ofsted inspected the authority in October and November 2015 and their report was published in January 2016.  The following is their comment in relation to private fostering.</w:t>
      </w:r>
    </w:p>
    <w:p w:rsidR="00800194" w:rsidRDefault="00800194" w:rsidP="00800194">
      <w:pPr>
        <w:pStyle w:val="Default"/>
        <w:rPr>
          <w:rFonts w:ascii="Arial" w:hAnsi="Arial" w:cs="Arial"/>
        </w:rPr>
      </w:pPr>
    </w:p>
    <w:p w:rsidR="00800194" w:rsidRDefault="00800194" w:rsidP="00800194">
      <w:pPr>
        <w:pStyle w:val="Default"/>
        <w:rPr>
          <w:rFonts w:ascii="Arial" w:hAnsi="Arial" w:cs="Arial"/>
        </w:rPr>
      </w:pPr>
      <w:r>
        <w:rPr>
          <w:rFonts w:ascii="Arial" w:hAnsi="Arial" w:cs="Arial"/>
        </w:rPr>
        <w:t>‘</w:t>
      </w:r>
      <w:r w:rsidRPr="00800194">
        <w:rPr>
          <w:rFonts w:ascii="Arial" w:hAnsi="Arial" w:cs="Arial"/>
          <w:i/>
        </w:rPr>
        <w:t>Arrangements to identify and monitor children in private fostering placements are not sufficiently robust. Despite an increase in capacity to respond to private fostering arrangements, the local authority is still not ensuring that the high number of children who travel from abroad to attend language courses receive initial visits within timescales or that their welfare is sufficiently protected. During 2014–15, only a quarter of children received initial visits within timescales</w:t>
      </w:r>
      <w:r>
        <w:rPr>
          <w:rFonts w:ascii="Arial" w:hAnsi="Arial" w:cs="Arial"/>
        </w:rPr>
        <w:t>.’</w:t>
      </w:r>
    </w:p>
    <w:p w:rsidR="00800194" w:rsidRDefault="00800194" w:rsidP="00800194">
      <w:pPr>
        <w:pStyle w:val="Default"/>
        <w:rPr>
          <w:rFonts w:ascii="Arial" w:hAnsi="Arial" w:cs="Arial"/>
        </w:rPr>
      </w:pPr>
    </w:p>
    <w:p w:rsidR="00800194" w:rsidRPr="00800194" w:rsidRDefault="00800194" w:rsidP="00800194">
      <w:pPr>
        <w:pStyle w:val="Default"/>
        <w:rPr>
          <w:rFonts w:ascii="Arial" w:hAnsi="Arial" w:cs="Arial"/>
        </w:rPr>
      </w:pPr>
      <w:r>
        <w:rPr>
          <w:rFonts w:ascii="Arial" w:hAnsi="Arial" w:cs="Arial"/>
        </w:rPr>
        <w:t>During the year, all</w:t>
      </w:r>
      <w:r w:rsidR="00F22155">
        <w:rPr>
          <w:rFonts w:ascii="Arial" w:hAnsi="Arial" w:cs="Arial"/>
        </w:rPr>
        <w:t>-</w:t>
      </w:r>
      <w:r>
        <w:rPr>
          <w:rFonts w:ascii="Arial" w:hAnsi="Arial" w:cs="Arial"/>
        </w:rPr>
        <w:t>but</w:t>
      </w:r>
      <w:r w:rsidR="00F22155">
        <w:rPr>
          <w:rFonts w:ascii="Arial" w:hAnsi="Arial" w:cs="Arial"/>
        </w:rPr>
        <w:t>-</w:t>
      </w:r>
      <w:r>
        <w:rPr>
          <w:rFonts w:ascii="Arial" w:hAnsi="Arial" w:cs="Arial"/>
        </w:rPr>
        <w:t xml:space="preserve"> one children were seen, with </w:t>
      </w:r>
      <w:r w:rsidRPr="00F22155">
        <w:rPr>
          <w:rFonts w:ascii="Arial" w:hAnsi="Arial" w:cs="Arial"/>
          <w:b/>
        </w:rPr>
        <w:t>52%</w:t>
      </w:r>
      <w:r>
        <w:rPr>
          <w:rFonts w:ascii="Arial" w:hAnsi="Arial" w:cs="Arial"/>
        </w:rPr>
        <w:t xml:space="preserve"> being seen within timescales, representing a considerable improvement on the previous year (26%).  Also improved is the number of statutory visits completed within timescales (80% as against 68.75% in the previous year).  </w:t>
      </w:r>
    </w:p>
    <w:p w:rsidR="00262BA3" w:rsidRDefault="00262BA3" w:rsidP="00541C01">
      <w:pPr>
        <w:pStyle w:val="Default"/>
        <w:rPr>
          <w:rFonts w:ascii="Arial" w:hAnsi="Arial" w:cs="Arial"/>
        </w:rPr>
      </w:pPr>
    </w:p>
    <w:p w:rsidR="009D1226" w:rsidRDefault="009D1226" w:rsidP="00541C01">
      <w:pPr>
        <w:pStyle w:val="Default"/>
        <w:rPr>
          <w:b/>
        </w:rPr>
      </w:pPr>
    </w:p>
    <w:p w:rsidR="006534CA" w:rsidRDefault="006534CA">
      <w:pPr>
        <w:rPr>
          <w:rFonts w:ascii="Tahoma" w:hAnsi="Tahoma" w:cs="Tahoma"/>
          <w:b/>
          <w:color w:val="000000"/>
          <w:lang w:eastAsia="en-GB"/>
        </w:rPr>
      </w:pPr>
      <w:r>
        <w:rPr>
          <w:b/>
        </w:rPr>
        <w:br w:type="page"/>
      </w:r>
    </w:p>
    <w:p w:rsidR="009E2E94" w:rsidRDefault="004D4AA7" w:rsidP="00541C01">
      <w:pPr>
        <w:pStyle w:val="Default"/>
        <w:rPr>
          <w:b/>
        </w:rPr>
      </w:pPr>
      <w:r>
        <w:rPr>
          <w:b/>
        </w:rPr>
        <w:lastRenderedPageBreak/>
        <w:t xml:space="preserve">RAISING AWARENESS – ‘SOMEBODY </w:t>
      </w:r>
      <w:smartTag w:uri="urn:schemas-microsoft-com:office:smarttags" w:element="stockticker">
        <w:r>
          <w:rPr>
            <w:b/>
          </w:rPr>
          <w:t>ELSE</w:t>
        </w:r>
      </w:smartTag>
      <w:r>
        <w:rPr>
          <w:b/>
        </w:rPr>
        <w:t>’S CHILD</w:t>
      </w:r>
      <w:r w:rsidR="009E1D9A">
        <w:rPr>
          <w:b/>
        </w:rPr>
        <w:t xml:space="preserve"> – EVERYBODY’S RESPONSIBILITY</w:t>
      </w:r>
      <w:r>
        <w:rPr>
          <w:b/>
        </w:rPr>
        <w:t>’</w:t>
      </w:r>
    </w:p>
    <w:p w:rsidR="004D4AA7" w:rsidRDefault="004D4AA7" w:rsidP="0087157A">
      <w:pPr>
        <w:jc w:val="both"/>
        <w:rPr>
          <w:b/>
        </w:rPr>
      </w:pPr>
    </w:p>
    <w:p w:rsidR="004B7A6C" w:rsidRDefault="00F22155" w:rsidP="0087157A">
      <w:pPr>
        <w:jc w:val="both"/>
      </w:pPr>
      <w:r>
        <w:t>In July 2015,</w:t>
      </w:r>
      <w:r w:rsidR="0027691F">
        <w:t xml:space="preserve"> </w:t>
      </w:r>
      <w:r w:rsidR="00380568">
        <w:t xml:space="preserve">the local authority ran a campaign of awareness-raising about private fostering.  The authority’s Communications Team were pro-active in ensuring information about private fostering was included in a variety of </w:t>
      </w:r>
      <w:r>
        <w:t>media</w:t>
      </w:r>
      <w:r w:rsidR="00380568">
        <w:t>, including the use of social media and daily news bulletins to Torbay Council staff.  Information was sent to schools, health (GP surgeries, hospital, etc), the Probation Service, and the Police.  Presentations were made to groups, including social work teams, the Early Help Panel and social work staff at Rowcroft Hospice</w:t>
      </w:r>
      <w:r>
        <w:t>, as well as meetings with staff from two local language schools, one of which had previously not taken under 16’s</w:t>
      </w:r>
      <w:r w:rsidR="00380568">
        <w:t>.</w:t>
      </w:r>
    </w:p>
    <w:p w:rsidR="00F53D80" w:rsidRDefault="00F53D80" w:rsidP="0087157A">
      <w:pPr>
        <w:jc w:val="both"/>
        <w:rPr>
          <w:rFonts w:cs="Arial"/>
        </w:rPr>
      </w:pPr>
    </w:p>
    <w:p w:rsidR="007A5D28" w:rsidRDefault="007A5D28" w:rsidP="0087157A">
      <w:pPr>
        <w:jc w:val="both"/>
        <w:rPr>
          <w:rFonts w:cs="Arial"/>
          <w:b/>
        </w:rPr>
      </w:pPr>
      <w:r>
        <w:rPr>
          <w:rFonts w:cs="Arial"/>
          <w:b/>
        </w:rPr>
        <w:t>POST</w:t>
      </w:r>
      <w:r w:rsidR="00887E58">
        <w:rPr>
          <w:rFonts w:cs="Arial"/>
          <w:b/>
        </w:rPr>
        <w:t>-</w:t>
      </w:r>
      <w:r>
        <w:rPr>
          <w:rFonts w:cs="Arial"/>
          <w:b/>
        </w:rPr>
        <w:t>16 SUPPORT</w:t>
      </w:r>
      <w:r>
        <w:rPr>
          <w:rFonts w:cs="Arial"/>
          <w:b/>
        </w:rPr>
        <w:tab/>
      </w:r>
    </w:p>
    <w:p w:rsidR="007A5D28" w:rsidRDefault="007A5D28" w:rsidP="0087157A">
      <w:pPr>
        <w:jc w:val="both"/>
        <w:rPr>
          <w:rFonts w:cs="Arial"/>
          <w:b/>
        </w:rPr>
      </w:pPr>
    </w:p>
    <w:p w:rsidR="00380568" w:rsidRDefault="007949B7" w:rsidP="0087157A">
      <w:pPr>
        <w:jc w:val="both"/>
        <w:rPr>
          <w:rFonts w:cs="Arial"/>
        </w:rPr>
      </w:pPr>
      <w:r>
        <w:rPr>
          <w:rFonts w:cs="Arial"/>
        </w:rPr>
        <w:t>During the year, one</w:t>
      </w:r>
      <w:r w:rsidR="00C41AF7">
        <w:rPr>
          <w:rFonts w:cs="Arial"/>
        </w:rPr>
        <w:t xml:space="preserve"> young pe</w:t>
      </w:r>
      <w:r>
        <w:rPr>
          <w:rFonts w:cs="Arial"/>
        </w:rPr>
        <w:t>rson</w:t>
      </w:r>
      <w:r w:rsidR="00C41AF7">
        <w:rPr>
          <w:rFonts w:cs="Arial"/>
        </w:rPr>
        <w:t xml:space="preserve"> (other than international students) remained in</w:t>
      </w:r>
      <w:r>
        <w:rPr>
          <w:rFonts w:cs="Arial"/>
        </w:rPr>
        <w:t xml:space="preserve"> a</w:t>
      </w:r>
      <w:r w:rsidR="00C41AF7">
        <w:rPr>
          <w:rFonts w:cs="Arial"/>
        </w:rPr>
        <w:t xml:space="preserve"> private fostering arrangement post-16.</w:t>
      </w:r>
      <w:r w:rsidR="00696698">
        <w:rPr>
          <w:rFonts w:cs="Arial"/>
        </w:rPr>
        <w:t xml:space="preserve">  </w:t>
      </w:r>
      <w:r>
        <w:rPr>
          <w:rFonts w:cs="Arial"/>
        </w:rPr>
        <w:t xml:space="preserve">This young person was referred to the Integrated Youth Support Service </w:t>
      </w:r>
      <w:r w:rsidR="00380568">
        <w:rPr>
          <w:rFonts w:cs="Arial"/>
        </w:rPr>
        <w:t>and was offered</w:t>
      </w:r>
      <w:r>
        <w:rPr>
          <w:rFonts w:cs="Arial"/>
        </w:rPr>
        <w:t xml:space="preserve"> ongoing advice and assistance as a qualifying young person under the Leaving Care Act</w:t>
      </w:r>
      <w:r w:rsidR="003306E1">
        <w:rPr>
          <w:rFonts w:cs="Arial"/>
        </w:rPr>
        <w:t>.  The young person chose to decline all support</w:t>
      </w:r>
      <w:r w:rsidR="00380568">
        <w:rPr>
          <w:rFonts w:cs="Arial"/>
        </w:rPr>
        <w:t xml:space="preserve"> and the referral was subsequently closed.</w:t>
      </w:r>
    </w:p>
    <w:p w:rsidR="00887E58" w:rsidRDefault="007949B7" w:rsidP="0087157A">
      <w:pPr>
        <w:jc w:val="both"/>
        <w:rPr>
          <w:rFonts w:cs="Arial"/>
        </w:rPr>
      </w:pPr>
      <w:r>
        <w:rPr>
          <w:rFonts w:cs="Arial"/>
        </w:rPr>
        <w:t xml:space="preserve"> </w:t>
      </w:r>
    </w:p>
    <w:p w:rsidR="00887E58" w:rsidRPr="00492273" w:rsidRDefault="00887E58" w:rsidP="0087157A">
      <w:pPr>
        <w:jc w:val="both"/>
        <w:rPr>
          <w:b/>
        </w:rPr>
      </w:pPr>
      <w:r w:rsidRPr="00492273">
        <w:rPr>
          <w:b/>
        </w:rPr>
        <w:t>EVALUATION OF OUTCOMES</w:t>
      </w:r>
    </w:p>
    <w:p w:rsidR="00887E58" w:rsidRDefault="00887E58" w:rsidP="0087157A">
      <w:pPr>
        <w:jc w:val="both"/>
      </w:pPr>
    </w:p>
    <w:p w:rsidR="00887E58" w:rsidRDefault="00887E58" w:rsidP="0087157A">
      <w:pPr>
        <w:jc w:val="both"/>
      </w:pPr>
      <w:r>
        <w:t>STAY</w:t>
      </w:r>
      <w:r w:rsidR="00696698">
        <w:t>ING</w:t>
      </w:r>
      <w:r>
        <w:t xml:space="preserve"> </w:t>
      </w:r>
      <w:smartTag w:uri="urn:schemas-microsoft-com:office:smarttags" w:element="stockticker">
        <w:r>
          <w:t>SAFE</w:t>
        </w:r>
      </w:smartTag>
      <w:r>
        <w:t xml:space="preserve">  </w:t>
      </w:r>
    </w:p>
    <w:p w:rsidR="00887E58" w:rsidRDefault="00887E58" w:rsidP="0087157A">
      <w:pPr>
        <w:jc w:val="both"/>
      </w:pPr>
    </w:p>
    <w:p w:rsidR="00887E58" w:rsidRDefault="00887E58" w:rsidP="0087157A">
      <w:pPr>
        <w:numPr>
          <w:ilvl w:val="0"/>
          <w:numId w:val="6"/>
        </w:numPr>
        <w:jc w:val="both"/>
      </w:pPr>
      <w:r>
        <w:t>Private Foster carers and members of household assessed</w:t>
      </w:r>
    </w:p>
    <w:p w:rsidR="00262BA3" w:rsidRDefault="00887E58" w:rsidP="0087157A">
      <w:pPr>
        <w:numPr>
          <w:ilvl w:val="0"/>
          <w:numId w:val="6"/>
        </w:numPr>
        <w:jc w:val="both"/>
      </w:pPr>
      <w:r>
        <w:t>Comprehensive health and safety assessment of property</w:t>
      </w:r>
      <w:r w:rsidR="00262BA3">
        <w:t xml:space="preserve"> </w:t>
      </w:r>
    </w:p>
    <w:p w:rsidR="00887E58" w:rsidRDefault="00713942" w:rsidP="0087157A">
      <w:pPr>
        <w:numPr>
          <w:ilvl w:val="0"/>
          <w:numId w:val="6"/>
        </w:numPr>
        <w:jc w:val="both"/>
      </w:pPr>
      <w:r>
        <w:t>Smoke detectors required in all private foster carers’ homes</w:t>
      </w:r>
    </w:p>
    <w:p w:rsidR="00887E58" w:rsidRDefault="00887E58" w:rsidP="0087157A">
      <w:pPr>
        <w:numPr>
          <w:ilvl w:val="0"/>
          <w:numId w:val="6"/>
        </w:numPr>
        <w:jc w:val="both"/>
      </w:pPr>
      <w:r>
        <w:t>Private foster carers’ details passed to Fire Service for free fire home safety visit</w:t>
      </w:r>
      <w:r w:rsidR="00237F14">
        <w:t>s</w:t>
      </w:r>
      <w:r w:rsidR="00F53D80">
        <w:t xml:space="preserve"> to vulnerable families and leaflets available for host families</w:t>
      </w:r>
      <w:r w:rsidR="007949B7">
        <w:t xml:space="preserve"> (this service is now considerably reduced following budget restrictions in the Fire Service)</w:t>
      </w:r>
    </w:p>
    <w:p w:rsidR="00887E58" w:rsidRDefault="00887E58" w:rsidP="0087157A">
      <w:pPr>
        <w:numPr>
          <w:ilvl w:val="0"/>
          <w:numId w:val="6"/>
        </w:numPr>
        <w:jc w:val="both"/>
      </w:pPr>
      <w:r>
        <w:t>Privately Fostered young people have named worker</w:t>
      </w:r>
    </w:p>
    <w:p w:rsidR="00887E58" w:rsidRDefault="00887E58" w:rsidP="0087157A">
      <w:pPr>
        <w:numPr>
          <w:ilvl w:val="0"/>
          <w:numId w:val="6"/>
        </w:numPr>
        <w:jc w:val="both"/>
      </w:pPr>
      <w:r>
        <w:t>Young people receive regular statutory visits</w:t>
      </w:r>
      <w:r w:rsidR="003927B8">
        <w:t xml:space="preserve"> in line with</w:t>
      </w:r>
      <w:r>
        <w:t xml:space="preserve"> national minimum standards</w:t>
      </w:r>
      <w:r w:rsidR="00FF6D49">
        <w:t xml:space="preserve"> (at least every 6 weeks in first year, at least every 12 weeks in subsequent years)</w:t>
      </w:r>
    </w:p>
    <w:p w:rsidR="00887E58" w:rsidRDefault="00887E58" w:rsidP="0087157A">
      <w:pPr>
        <w:numPr>
          <w:ilvl w:val="0"/>
          <w:numId w:val="6"/>
        </w:numPr>
        <w:jc w:val="both"/>
      </w:pPr>
      <w:r>
        <w:t>Private Foster carers have access to support and information</w:t>
      </w:r>
    </w:p>
    <w:p w:rsidR="00887E58" w:rsidRDefault="00887E58" w:rsidP="0087157A">
      <w:pPr>
        <w:numPr>
          <w:ilvl w:val="0"/>
          <w:numId w:val="6"/>
        </w:numPr>
        <w:jc w:val="both"/>
      </w:pPr>
      <w:r>
        <w:t>Effective Prohibition process established</w:t>
      </w:r>
      <w:r w:rsidR="001E1FAF">
        <w:t xml:space="preserve"> (no prohibitions issued during the year)</w:t>
      </w:r>
    </w:p>
    <w:p w:rsidR="00207302" w:rsidRDefault="00207302" w:rsidP="00207302">
      <w:pPr>
        <w:jc w:val="both"/>
      </w:pPr>
    </w:p>
    <w:p w:rsidR="006534CA" w:rsidRDefault="006534CA">
      <w:r>
        <w:br w:type="page"/>
      </w:r>
    </w:p>
    <w:p w:rsidR="00696698" w:rsidRDefault="00207302" w:rsidP="00696698">
      <w:pPr>
        <w:jc w:val="both"/>
      </w:pPr>
      <w:r>
        <w:lastRenderedPageBreak/>
        <w:t>PROMOTING GOOD HEALTH</w:t>
      </w:r>
    </w:p>
    <w:p w:rsidR="00696698" w:rsidRDefault="00696698" w:rsidP="00696698">
      <w:pPr>
        <w:jc w:val="both"/>
      </w:pPr>
    </w:p>
    <w:p w:rsidR="00696698" w:rsidRDefault="00696698" w:rsidP="00696698">
      <w:pPr>
        <w:numPr>
          <w:ilvl w:val="0"/>
          <w:numId w:val="7"/>
        </w:numPr>
        <w:jc w:val="both"/>
      </w:pPr>
      <w:r>
        <w:t>Privately Fostered young people registered with GP</w:t>
      </w:r>
    </w:p>
    <w:p w:rsidR="00696698" w:rsidRDefault="00207302" w:rsidP="00696698">
      <w:pPr>
        <w:numPr>
          <w:ilvl w:val="0"/>
          <w:numId w:val="7"/>
        </w:numPr>
        <w:jc w:val="both"/>
      </w:pPr>
      <w:r>
        <w:t xml:space="preserve">Private foster carers asked to ensure that </w:t>
      </w:r>
      <w:r w:rsidR="00696698">
        <w:t xml:space="preserve">young people </w:t>
      </w:r>
      <w:r w:rsidR="00713942">
        <w:t>receive</w:t>
      </w:r>
      <w:r w:rsidR="00696698">
        <w:t xml:space="preserve"> regular dental and optical check</w:t>
      </w:r>
      <w:r w:rsidR="00713942">
        <w:t>s</w:t>
      </w:r>
    </w:p>
    <w:p w:rsidR="00696698" w:rsidRDefault="00696698" w:rsidP="00696698">
      <w:pPr>
        <w:numPr>
          <w:ilvl w:val="0"/>
          <w:numId w:val="7"/>
        </w:numPr>
        <w:jc w:val="both"/>
      </w:pPr>
      <w:r>
        <w:t>Signposting to information regarding sexual health, mental health, drugs and alcohol, smoking, counselling service</w:t>
      </w:r>
      <w:r w:rsidR="00237F14">
        <w:t>, if appropriate</w:t>
      </w:r>
    </w:p>
    <w:p w:rsidR="00696698" w:rsidRDefault="00696698" w:rsidP="00696698">
      <w:pPr>
        <w:numPr>
          <w:ilvl w:val="0"/>
          <w:numId w:val="7"/>
        </w:numPr>
        <w:jc w:val="both"/>
      </w:pPr>
      <w:r>
        <w:t>Young person’s health reviewed at every visit</w:t>
      </w:r>
    </w:p>
    <w:p w:rsidR="00696698" w:rsidRDefault="00696698" w:rsidP="00696698">
      <w:pPr>
        <w:numPr>
          <w:ilvl w:val="0"/>
          <w:numId w:val="7"/>
        </w:numPr>
        <w:jc w:val="both"/>
      </w:pPr>
      <w:r>
        <w:t>Carers encouraged to promote healthy diet and lifestyle choices</w:t>
      </w:r>
    </w:p>
    <w:p w:rsidR="00696698" w:rsidRDefault="00696698" w:rsidP="00696698">
      <w:pPr>
        <w:numPr>
          <w:ilvl w:val="0"/>
          <w:numId w:val="7"/>
        </w:numPr>
        <w:jc w:val="both"/>
      </w:pPr>
      <w:r>
        <w:t>Positive contact encouraged to promote emotional wellbeing</w:t>
      </w:r>
    </w:p>
    <w:p w:rsidR="00887E58" w:rsidRDefault="00887E58" w:rsidP="0087157A">
      <w:pPr>
        <w:jc w:val="both"/>
      </w:pPr>
    </w:p>
    <w:p w:rsidR="00887E58" w:rsidRDefault="00237F14" w:rsidP="0087157A">
      <w:pPr>
        <w:jc w:val="both"/>
      </w:pPr>
      <w:r>
        <w:t>PROMOTING EDUCATION</w:t>
      </w:r>
    </w:p>
    <w:p w:rsidR="00887E58" w:rsidRDefault="00887E58" w:rsidP="0087157A">
      <w:pPr>
        <w:jc w:val="both"/>
      </w:pPr>
    </w:p>
    <w:p w:rsidR="00887E58" w:rsidRDefault="00887E58" w:rsidP="0087157A">
      <w:pPr>
        <w:numPr>
          <w:ilvl w:val="0"/>
          <w:numId w:val="8"/>
        </w:numPr>
        <w:jc w:val="both"/>
      </w:pPr>
      <w:r>
        <w:t>Regular liaison with schools</w:t>
      </w:r>
      <w:r w:rsidR="00BC5625">
        <w:t xml:space="preserve"> (many statutory visits undertaken at schools)</w:t>
      </w:r>
    </w:p>
    <w:p w:rsidR="00887E58" w:rsidRDefault="00887E58" w:rsidP="0087157A">
      <w:pPr>
        <w:numPr>
          <w:ilvl w:val="0"/>
          <w:numId w:val="8"/>
        </w:numPr>
        <w:jc w:val="both"/>
      </w:pPr>
      <w:r>
        <w:t>School attendance</w:t>
      </w:r>
      <w:r w:rsidR="00713942">
        <w:t xml:space="preserve"> and attainment</w:t>
      </w:r>
      <w:r>
        <w:t xml:space="preserve"> monitored</w:t>
      </w:r>
      <w:r w:rsidR="00713942">
        <w:t xml:space="preserve"> at each statutory visit</w:t>
      </w:r>
    </w:p>
    <w:p w:rsidR="00887E58" w:rsidRDefault="00887E58" w:rsidP="0087157A">
      <w:pPr>
        <w:numPr>
          <w:ilvl w:val="0"/>
          <w:numId w:val="8"/>
        </w:numPr>
        <w:jc w:val="both"/>
      </w:pPr>
      <w:r>
        <w:t>Young people encouraged to attend out of school activities</w:t>
      </w:r>
    </w:p>
    <w:p w:rsidR="00887E58" w:rsidRDefault="00887E58" w:rsidP="0087157A">
      <w:pPr>
        <w:numPr>
          <w:ilvl w:val="0"/>
          <w:numId w:val="8"/>
        </w:numPr>
        <w:jc w:val="both"/>
      </w:pPr>
      <w:r>
        <w:t>Private Foster carers encouraged to support young people’s education</w:t>
      </w:r>
      <w:r w:rsidR="00237F14">
        <w:t xml:space="preserve"> – attending parents’ evenings, etc.</w:t>
      </w:r>
    </w:p>
    <w:p w:rsidR="00887E58" w:rsidRDefault="00887E58" w:rsidP="0087157A">
      <w:pPr>
        <w:jc w:val="both"/>
      </w:pPr>
    </w:p>
    <w:p w:rsidR="00AD6949" w:rsidRDefault="00AD6949" w:rsidP="0087157A">
      <w:pPr>
        <w:jc w:val="both"/>
        <w:rPr>
          <w:b/>
        </w:rPr>
      </w:pPr>
      <w:r>
        <w:rPr>
          <w:b/>
        </w:rPr>
        <w:t>SUMMARY</w:t>
      </w:r>
    </w:p>
    <w:p w:rsidR="002A158C" w:rsidRDefault="002A158C" w:rsidP="0087157A">
      <w:pPr>
        <w:jc w:val="both"/>
        <w:rPr>
          <w:b/>
        </w:rPr>
      </w:pPr>
    </w:p>
    <w:p w:rsidR="006B7FDB" w:rsidRDefault="006B7FDB" w:rsidP="0087157A">
      <w:pPr>
        <w:jc w:val="both"/>
      </w:pPr>
      <w:r>
        <w:t>In summarising the last year for the Private Fostering service, there are a number of issues:</w:t>
      </w:r>
    </w:p>
    <w:p w:rsidR="006B7FDB" w:rsidRDefault="006B7FDB" w:rsidP="0087157A">
      <w:pPr>
        <w:jc w:val="both"/>
      </w:pPr>
    </w:p>
    <w:p w:rsidR="006B7FDB" w:rsidRDefault="007949B7" w:rsidP="006B7FDB">
      <w:pPr>
        <w:numPr>
          <w:ilvl w:val="0"/>
          <w:numId w:val="14"/>
        </w:numPr>
        <w:jc w:val="both"/>
      </w:pPr>
      <w:r>
        <w:t>This year has seen a</w:t>
      </w:r>
      <w:r w:rsidR="003306E1">
        <w:t>n increase</w:t>
      </w:r>
      <w:r w:rsidR="00830AFD">
        <w:t xml:space="preserve"> in the numbers of private fostering notifications within Torbay.  It is a requirement that the local authority responds to all notifications within 7 days and that assessments are completed within 42 days or when the </w:t>
      </w:r>
      <w:r w:rsidR="00541C01">
        <w:t>DBS</w:t>
      </w:r>
      <w:r w:rsidR="00830AFD">
        <w:t xml:space="preserve"> checks are returned, if sooner.  Practically, when </w:t>
      </w:r>
      <w:r w:rsidR="001E1FAF">
        <w:t>high numbers of</w:t>
      </w:r>
      <w:r w:rsidR="00830AFD">
        <w:t xml:space="preserve"> notifications</w:t>
      </w:r>
      <w:r w:rsidR="001E1FAF">
        <w:t xml:space="preserve"> </w:t>
      </w:r>
      <w:r w:rsidR="00830AFD">
        <w:t>are received from various organisations</w:t>
      </w:r>
      <w:r w:rsidR="001E1FAF">
        <w:t xml:space="preserve"> within a short timeframe</w:t>
      </w:r>
      <w:r w:rsidR="00830AFD">
        <w:t>, it has not</w:t>
      </w:r>
      <w:r w:rsidR="00412EB5">
        <w:t xml:space="preserve"> always</w:t>
      </w:r>
      <w:r w:rsidR="00830AFD">
        <w:t xml:space="preserve"> been possible to take action</w:t>
      </w:r>
      <w:r w:rsidR="001E1FAF">
        <w:t xml:space="preserve"> on all cases within timescales</w:t>
      </w:r>
      <w:r w:rsidR="00866463">
        <w:t xml:space="preserve">, </w:t>
      </w:r>
      <w:proofErr w:type="gramStart"/>
      <w:r w:rsidR="00866463">
        <w:t>eg</w:t>
      </w:r>
      <w:proofErr w:type="gramEnd"/>
      <w:r w:rsidR="00866463">
        <w:t>, over 50 notifications were received from a guardianship organisation during the last two weeks of July, for students due to arrive at the end of August.</w:t>
      </w:r>
    </w:p>
    <w:p w:rsidR="00CA7CCB" w:rsidRDefault="00412EB5" w:rsidP="006B7FDB">
      <w:pPr>
        <w:numPr>
          <w:ilvl w:val="0"/>
          <w:numId w:val="14"/>
        </w:numPr>
        <w:jc w:val="both"/>
      </w:pPr>
      <w:r>
        <w:t xml:space="preserve">Changes to the way DBS checks are notified means that the local authority is dependent upon applicants informing </w:t>
      </w:r>
      <w:r w:rsidR="00D62373">
        <w:t>the authority</w:t>
      </w:r>
      <w:r>
        <w:t xml:space="preserve"> when their DBS check is returned and a further </w:t>
      </w:r>
      <w:proofErr w:type="gramStart"/>
      <w:r>
        <w:t>visit</w:t>
      </w:r>
      <w:r w:rsidR="00D62373">
        <w:t xml:space="preserve">  is</w:t>
      </w:r>
      <w:proofErr w:type="gramEnd"/>
      <w:r w:rsidR="00D62373">
        <w:t xml:space="preserve"> often needed</w:t>
      </w:r>
      <w:r>
        <w:t xml:space="preserve"> in order to have sight of the check</w:t>
      </w:r>
      <w:r w:rsidR="00642A82">
        <w:t xml:space="preserve"> (previously the local authority received notification when a DBS was issued)</w:t>
      </w:r>
      <w:r>
        <w:t>.</w:t>
      </w:r>
    </w:p>
    <w:p w:rsidR="00CA7CCB" w:rsidRDefault="00830AFD" w:rsidP="006B7FDB">
      <w:pPr>
        <w:numPr>
          <w:ilvl w:val="0"/>
          <w:numId w:val="14"/>
        </w:numPr>
        <w:jc w:val="both"/>
      </w:pPr>
      <w:r>
        <w:t>Priority has been given to local young people, private</w:t>
      </w:r>
      <w:r w:rsidR="00F611F5">
        <w:t xml:space="preserve"> </w:t>
      </w:r>
      <w:r>
        <w:t>arrangements for</w:t>
      </w:r>
      <w:r w:rsidR="00F611F5">
        <w:t xml:space="preserve"> individual</w:t>
      </w:r>
      <w:r>
        <w:t xml:space="preserve"> international students and to students placed with previously unknown host families.  </w:t>
      </w:r>
      <w:r w:rsidR="000100B9">
        <w:t>Further priority has been given to the younger students (some as young as 1</w:t>
      </w:r>
      <w:r w:rsidR="007949B7">
        <w:t>1</w:t>
      </w:r>
      <w:r w:rsidR="000100B9">
        <w:t>).</w:t>
      </w:r>
    </w:p>
    <w:p w:rsidR="005670E9" w:rsidRDefault="00F611F5" w:rsidP="0087157A">
      <w:pPr>
        <w:numPr>
          <w:ilvl w:val="0"/>
          <w:numId w:val="14"/>
        </w:numPr>
        <w:jc w:val="both"/>
      </w:pPr>
      <w:r>
        <w:t>As in previous years</w:t>
      </w:r>
      <w:r w:rsidR="007949B7">
        <w:t xml:space="preserve"> </w:t>
      </w:r>
      <w:r>
        <w:t>summer school students at language schools</w:t>
      </w:r>
      <w:r w:rsidR="003306E1">
        <w:t>, most of whom were here for stays of 4-6 weeks, were visited onc</w:t>
      </w:r>
      <w:r>
        <w:t>e</w:t>
      </w:r>
      <w:r w:rsidR="00412EB5">
        <w:t xml:space="preserve"> only</w:t>
      </w:r>
      <w:r>
        <w:t xml:space="preserve"> at the school</w:t>
      </w:r>
      <w:r w:rsidR="00CA7CCB">
        <w:t>.</w:t>
      </w:r>
      <w:r w:rsidR="00412EB5">
        <w:t xml:space="preserve"> </w:t>
      </w:r>
    </w:p>
    <w:p w:rsidR="00D62373" w:rsidRDefault="00D62373" w:rsidP="00D62373">
      <w:pPr>
        <w:numPr>
          <w:ilvl w:val="0"/>
          <w:numId w:val="14"/>
        </w:numPr>
        <w:jc w:val="both"/>
      </w:pPr>
      <w:r>
        <w:lastRenderedPageBreak/>
        <w:t>Good liaison has been maintained with organisations, who generally report concerns promptly regarding young people.</w:t>
      </w:r>
    </w:p>
    <w:p w:rsidR="00CA7CCB" w:rsidRDefault="005670E9" w:rsidP="0087157A">
      <w:pPr>
        <w:numPr>
          <w:ilvl w:val="0"/>
          <w:numId w:val="14"/>
        </w:numPr>
        <w:jc w:val="both"/>
      </w:pPr>
      <w:r>
        <w:t>T</w:t>
      </w:r>
      <w:r w:rsidR="00412EB5">
        <w:t xml:space="preserve">he service is currently staffed by </w:t>
      </w:r>
      <w:r>
        <w:t xml:space="preserve">one part-time worker, supported by other social workers within the Fostering Service, with a ‘whole-team approach’ during busy periods.  </w:t>
      </w:r>
      <w:r w:rsidR="00D62373">
        <w:t xml:space="preserve">There is also a fostering social worker with specific responsibility for local privately fostered young people.  </w:t>
      </w:r>
      <w:r>
        <w:t xml:space="preserve">The lead worker is about to retire and plans are afoot for changes within the team.   </w:t>
      </w:r>
    </w:p>
    <w:p w:rsidR="00D62373" w:rsidRDefault="00D62373" w:rsidP="0087157A">
      <w:pPr>
        <w:numPr>
          <w:ilvl w:val="0"/>
          <w:numId w:val="14"/>
        </w:numPr>
        <w:jc w:val="both"/>
      </w:pPr>
      <w:r>
        <w:t>The Fostering Service has welcomed social work students into the team, all of whom have been given the opportunity to work with privately fostered young people and their caers.</w:t>
      </w:r>
    </w:p>
    <w:p w:rsidR="00E25FFF" w:rsidRDefault="00E25FFF" w:rsidP="0087157A">
      <w:pPr>
        <w:jc w:val="both"/>
      </w:pPr>
    </w:p>
    <w:p w:rsidR="00F9316B" w:rsidRDefault="00D62373" w:rsidP="0087157A">
      <w:pPr>
        <w:jc w:val="both"/>
        <w:rPr>
          <w:b/>
        </w:rPr>
      </w:pPr>
      <w:r>
        <w:rPr>
          <w:b/>
        </w:rPr>
        <w:br w:type="page"/>
      </w:r>
      <w:r w:rsidR="00F9316B">
        <w:rPr>
          <w:b/>
        </w:rPr>
        <w:lastRenderedPageBreak/>
        <w:t>THE COMING YEAR</w:t>
      </w:r>
    </w:p>
    <w:p w:rsidR="00F9316B" w:rsidRDefault="00F9316B" w:rsidP="0087157A">
      <w:pPr>
        <w:jc w:val="both"/>
        <w:rPr>
          <w:b/>
        </w:rPr>
      </w:pPr>
    </w:p>
    <w:p w:rsidR="005A0B24" w:rsidRDefault="00F9316B" w:rsidP="0087157A">
      <w:pPr>
        <w:jc w:val="both"/>
      </w:pPr>
      <w:r>
        <w:t xml:space="preserve">It is </w:t>
      </w:r>
      <w:r w:rsidR="00521AF7">
        <w:t>anticipated</w:t>
      </w:r>
      <w:r>
        <w:t xml:space="preserve"> that </w:t>
      </w:r>
      <w:r w:rsidR="00A95BA8">
        <w:t>numbers of</w:t>
      </w:r>
      <w:r w:rsidR="006A41C7">
        <w:t xml:space="preserve"> new</w:t>
      </w:r>
      <w:r w:rsidR="00A95BA8">
        <w:t xml:space="preserve"> private foster</w:t>
      </w:r>
      <w:r w:rsidR="006A41C7">
        <w:t>ing</w:t>
      </w:r>
      <w:r w:rsidR="00A95BA8">
        <w:t xml:space="preserve"> </w:t>
      </w:r>
      <w:r w:rsidR="006A41C7">
        <w:t>arrangements</w:t>
      </w:r>
      <w:r w:rsidR="00A95BA8">
        <w:t xml:space="preserve"> will remain </w:t>
      </w:r>
      <w:r w:rsidR="006A41C7">
        <w:t>broadly similar to recent years</w:t>
      </w:r>
      <w:r w:rsidR="00D62373">
        <w:t xml:space="preserve"> with no reports of any significant increases or decreases in numbers. N</w:t>
      </w:r>
      <w:r w:rsidR="00A95BA8">
        <w:t>otifications</w:t>
      </w:r>
      <w:r>
        <w:t xml:space="preserve"> from language schools are uncertain</w:t>
      </w:r>
      <w:r w:rsidR="00A95BA8">
        <w:t xml:space="preserve"> but likely to remain </w:t>
      </w:r>
      <w:r w:rsidR="005670E9">
        <w:t>largely</w:t>
      </w:r>
      <w:r w:rsidR="00A95BA8">
        <w:t xml:space="preserve"> confined to the summer months</w:t>
      </w:r>
      <w:r w:rsidR="00F9035D">
        <w:t>.</w:t>
      </w:r>
      <w:r>
        <w:t xml:space="preserve"> </w:t>
      </w:r>
      <w:r w:rsidR="00D62373">
        <w:t xml:space="preserve">One local language school has recently decided to expand their business in order to accommodate under 16’s, an area in which they have not previously been involved.  </w:t>
      </w:r>
      <w:r w:rsidR="00F9035D">
        <w:t>Referrals</w:t>
      </w:r>
      <w:r>
        <w:t xml:space="preserve"> in respect of other young people, including local youngsters and international students here through private arrangements</w:t>
      </w:r>
      <w:r w:rsidR="00D62373">
        <w:t>,</w:t>
      </w:r>
      <w:r w:rsidR="00DC57F2">
        <w:t xml:space="preserve"> are</w:t>
      </w:r>
      <w:r>
        <w:t xml:space="preserve"> likely to </w:t>
      </w:r>
      <w:r w:rsidR="003367C8">
        <w:t>remain</w:t>
      </w:r>
      <w:r>
        <w:t xml:space="preserve"> relatively </w:t>
      </w:r>
      <w:r w:rsidR="00642A82">
        <w:t>low</w:t>
      </w:r>
      <w:r w:rsidR="00866463">
        <w:t xml:space="preserve"> and this mirrors the national picture, where very few local authorities have seen high numbers other than</w:t>
      </w:r>
      <w:r w:rsidR="00D62373">
        <w:t xml:space="preserve"> for</w:t>
      </w:r>
      <w:r w:rsidR="00866463">
        <w:t xml:space="preserve"> international students</w:t>
      </w:r>
      <w:r>
        <w:t xml:space="preserve">.  Local young people </w:t>
      </w:r>
      <w:r w:rsidR="00F9035D">
        <w:t>continue to</w:t>
      </w:r>
      <w:r>
        <w:t xml:space="preserve"> remain a priority, as they are frequently vulnerable with parents </w:t>
      </w:r>
      <w:r w:rsidR="0021661A">
        <w:t xml:space="preserve">either </w:t>
      </w:r>
      <w:r>
        <w:t xml:space="preserve">unavailable </w:t>
      </w:r>
      <w:r w:rsidR="0021661A">
        <w:t>or unwilling to engage</w:t>
      </w:r>
      <w:r w:rsidR="00642A82">
        <w:t xml:space="preserve"> and we are aware that there may be under-reporting because people are unaware of the notification requirements</w:t>
      </w:r>
      <w:r w:rsidR="00691298">
        <w:t xml:space="preserve">.  These same young people are frequently on the periphery of care and in fact, </w:t>
      </w:r>
      <w:r w:rsidR="00C44139">
        <w:t xml:space="preserve">it is </w:t>
      </w:r>
      <w:proofErr w:type="gramStart"/>
      <w:r w:rsidR="00D62373">
        <w:t>ot</w:t>
      </w:r>
      <w:proofErr w:type="gramEnd"/>
      <w:r w:rsidR="00D62373">
        <w:t xml:space="preserve"> un</w:t>
      </w:r>
      <w:r w:rsidR="00C44139">
        <w:t>common for such</w:t>
      </w:r>
      <w:r w:rsidR="00691298">
        <w:t xml:space="preserve"> young people </w:t>
      </w:r>
      <w:r w:rsidR="00C44139">
        <w:t>to become accommodated</w:t>
      </w:r>
      <w:r w:rsidR="005A0B24">
        <w:t xml:space="preserve">.  </w:t>
      </w:r>
      <w:r w:rsidR="00301AE2">
        <w:t xml:space="preserve">In Torbay, </w:t>
      </w:r>
      <w:r w:rsidR="00A95BA8" w:rsidRPr="006A41C7">
        <w:rPr>
          <w:b/>
        </w:rPr>
        <w:t>two</w:t>
      </w:r>
      <w:r w:rsidR="00301AE2">
        <w:t xml:space="preserve"> local young people</w:t>
      </w:r>
      <w:r w:rsidR="00A95BA8">
        <w:t xml:space="preserve"> were</w:t>
      </w:r>
      <w:r w:rsidR="00301AE2">
        <w:t xml:space="preserve"> </w:t>
      </w:r>
      <w:r w:rsidR="00D87DB5">
        <w:t>subsequently</w:t>
      </w:r>
      <w:r w:rsidR="00301AE2">
        <w:t xml:space="preserve"> </w:t>
      </w:r>
      <w:r w:rsidR="00D87DB5">
        <w:t>a</w:t>
      </w:r>
      <w:r w:rsidR="00301AE2">
        <w:t>ccommodated</w:t>
      </w:r>
      <w:r w:rsidR="003367C8">
        <w:t xml:space="preserve"> this year</w:t>
      </w:r>
      <w:r w:rsidR="00301AE2">
        <w:t xml:space="preserve">.  </w:t>
      </w:r>
      <w:r w:rsidR="005A0B24">
        <w:t xml:space="preserve">Assessments in relation to these young people are frequently complex and involve assessments of risk.  </w:t>
      </w:r>
      <w:r w:rsidR="00A95BA8">
        <w:t xml:space="preserve">Priority </w:t>
      </w:r>
      <w:r w:rsidR="006A41C7">
        <w:t>was</w:t>
      </w:r>
      <w:r w:rsidR="00A95BA8">
        <w:t xml:space="preserve"> given to raising awareness amongst health, education</w:t>
      </w:r>
      <w:r w:rsidR="00F9035D">
        <w:t>, probation service, police and</w:t>
      </w:r>
      <w:r w:rsidR="00A95BA8">
        <w:t xml:space="preserve"> social care professionals in order to ensure there is proper reporting of all private fostering arrangements.</w:t>
      </w:r>
    </w:p>
    <w:p w:rsidR="0021661A" w:rsidRDefault="0021661A" w:rsidP="0087157A">
      <w:pPr>
        <w:jc w:val="both"/>
      </w:pPr>
    </w:p>
    <w:p w:rsidR="00301AE2" w:rsidRDefault="0021661A" w:rsidP="0087157A">
      <w:pPr>
        <w:jc w:val="both"/>
      </w:pPr>
      <w:r>
        <w:t xml:space="preserve">Priority is </w:t>
      </w:r>
      <w:r w:rsidR="00E1334A">
        <w:t xml:space="preserve">also </w:t>
      </w:r>
      <w:r>
        <w:t>being given to ensuring notifications are responded to and assessments completed within timescales.</w:t>
      </w:r>
      <w:r w:rsidR="00CB1425">
        <w:t xml:space="preserve">  </w:t>
      </w:r>
      <w:r w:rsidR="00E1334A">
        <w:t xml:space="preserve"> We are also concentrating on ensuring our processes are further streamlined</w:t>
      </w:r>
      <w:r w:rsidR="003367C8">
        <w:t xml:space="preserve"> and our service continues to meet the Private Fostering Regulations.</w:t>
      </w:r>
    </w:p>
    <w:p w:rsidR="00301AE2" w:rsidRPr="00301AE2" w:rsidRDefault="00301AE2" w:rsidP="0087157A">
      <w:pPr>
        <w:jc w:val="both"/>
      </w:pPr>
    </w:p>
    <w:p w:rsidR="00586130" w:rsidRDefault="00586130" w:rsidP="0087157A">
      <w:pPr>
        <w:jc w:val="both"/>
        <w:rPr>
          <w:b/>
        </w:rPr>
      </w:pPr>
      <w:r>
        <w:rPr>
          <w:b/>
        </w:rPr>
        <w:t>Mary Tayler</w:t>
      </w:r>
    </w:p>
    <w:p w:rsidR="00586130" w:rsidRDefault="00586130" w:rsidP="0087157A">
      <w:pPr>
        <w:jc w:val="both"/>
        <w:rPr>
          <w:b/>
        </w:rPr>
      </w:pPr>
      <w:r>
        <w:rPr>
          <w:b/>
        </w:rPr>
        <w:t>Private Fostering Development Worker</w:t>
      </w:r>
    </w:p>
    <w:p w:rsidR="00301AE2" w:rsidRDefault="00301AE2" w:rsidP="0087157A">
      <w:pPr>
        <w:jc w:val="both"/>
        <w:rPr>
          <w:b/>
        </w:rPr>
      </w:pPr>
    </w:p>
    <w:p w:rsidR="00301AE2" w:rsidRDefault="00836F2B" w:rsidP="0087157A">
      <w:pPr>
        <w:jc w:val="both"/>
        <w:rPr>
          <w:b/>
        </w:rPr>
      </w:pPr>
      <w:r>
        <w:rPr>
          <w:b/>
        </w:rPr>
        <w:t>11</w:t>
      </w:r>
      <w:r w:rsidR="003367C8">
        <w:rPr>
          <w:b/>
        </w:rPr>
        <w:t xml:space="preserve"> April 201</w:t>
      </w:r>
      <w:r>
        <w:rPr>
          <w:b/>
        </w:rPr>
        <w:t>6</w:t>
      </w:r>
    </w:p>
    <w:p w:rsidR="00301AE2" w:rsidRDefault="00301AE2" w:rsidP="0087157A">
      <w:pPr>
        <w:jc w:val="both"/>
        <w:rPr>
          <w:b/>
        </w:rPr>
      </w:pPr>
    </w:p>
    <w:sectPr w:rsidR="00301AE2">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B81" w:rsidRDefault="00306B81">
      <w:r>
        <w:separator/>
      </w:r>
    </w:p>
  </w:endnote>
  <w:endnote w:type="continuationSeparator" w:id="0">
    <w:p w:rsidR="00306B81" w:rsidRDefault="00306B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093" w:rsidRDefault="003E70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918"/>
      <w:gridCol w:w="7938"/>
    </w:tblGrid>
    <w:tr w:rsidR="003E7093">
      <w:tc>
        <w:tcPr>
          <w:tcW w:w="918" w:type="dxa"/>
        </w:tcPr>
        <w:p w:rsidR="003E7093" w:rsidRDefault="003E7093">
          <w:pPr>
            <w:pStyle w:val="Footer"/>
            <w:jc w:val="right"/>
            <w:rPr>
              <w:b/>
              <w:color w:val="4F81BD"/>
              <w:sz w:val="32"/>
              <w:szCs w:val="32"/>
            </w:rPr>
          </w:pPr>
          <w:fldSimple w:instr=" PAGE   \* MERGEFORMAT ">
            <w:r w:rsidR="006534CA" w:rsidRPr="006534CA">
              <w:rPr>
                <w:b/>
                <w:noProof/>
                <w:color w:val="4F81BD"/>
                <w:sz w:val="32"/>
                <w:szCs w:val="32"/>
              </w:rPr>
              <w:t>3</w:t>
            </w:r>
          </w:fldSimple>
        </w:p>
      </w:tc>
      <w:tc>
        <w:tcPr>
          <w:tcW w:w="7938" w:type="dxa"/>
        </w:tcPr>
        <w:p w:rsidR="003E7093" w:rsidRDefault="003E7093">
          <w:pPr>
            <w:pStyle w:val="Footer"/>
          </w:pPr>
        </w:p>
      </w:tc>
    </w:tr>
  </w:tbl>
  <w:p w:rsidR="003E7093" w:rsidRDefault="003E7093" w:rsidP="007A5D28">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093" w:rsidRDefault="003E70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B81" w:rsidRDefault="00306B81">
      <w:r>
        <w:separator/>
      </w:r>
    </w:p>
  </w:footnote>
  <w:footnote w:type="continuationSeparator" w:id="0">
    <w:p w:rsidR="00306B81" w:rsidRDefault="00306B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093" w:rsidRDefault="003E70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093" w:rsidRDefault="003E709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093" w:rsidRDefault="003E70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23CAC"/>
    <w:multiLevelType w:val="hybridMultilevel"/>
    <w:tmpl w:val="A08CC864"/>
    <w:lvl w:ilvl="0" w:tplc="7C7E7360">
      <w:start w:val="1"/>
      <w:numFmt w:val="bullet"/>
      <w:lvlText w:val=""/>
      <w:lvlJc w:val="left"/>
      <w:pPr>
        <w:tabs>
          <w:tab w:val="num" w:pos="357"/>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5B403B"/>
    <w:multiLevelType w:val="hybridMultilevel"/>
    <w:tmpl w:val="DE84ED26"/>
    <w:lvl w:ilvl="0" w:tplc="7C7E7360">
      <w:start w:val="1"/>
      <w:numFmt w:val="bullet"/>
      <w:lvlText w:val=""/>
      <w:lvlJc w:val="left"/>
      <w:pPr>
        <w:tabs>
          <w:tab w:val="num" w:pos="357"/>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0C2036"/>
    <w:multiLevelType w:val="hybridMultilevel"/>
    <w:tmpl w:val="4DE0138C"/>
    <w:lvl w:ilvl="0" w:tplc="7C7E7360">
      <w:start w:val="1"/>
      <w:numFmt w:val="bullet"/>
      <w:lvlText w:val=""/>
      <w:lvlJc w:val="left"/>
      <w:pPr>
        <w:tabs>
          <w:tab w:val="num" w:pos="357"/>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6867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26A3063C"/>
    <w:multiLevelType w:val="hybridMultilevel"/>
    <w:tmpl w:val="D5DE634A"/>
    <w:lvl w:ilvl="0" w:tplc="7C7E7360">
      <w:start w:val="1"/>
      <w:numFmt w:val="bullet"/>
      <w:lvlText w:val=""/>
      <w:lvlJc w:val="left"/>
      <w:pPr>
        <w:tabs>
          <w:tab w:val="num" w:pos="357"/>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83712E1"/>
    <w:multiLevelType w:val="hybridMultilevel"/>
    <w:tmpl w:val="D7E055EE"/>
    <w:lvl w:ilvl="0" w:tplc="7C7E7360">
      <w:start w:val="1"/>
      <w:numFmt w:val="bullet"/>
      <w:lvlText w:val=""/>
      <w:lvlJc w:val="left"/>
      <w:pPr>
        <w:tabs>
          <w:tab w:val="num" w:pos="357"/>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120E92"/>
    <w:multiLevelType w:val="hybridMultilevel"/>
    <w:tmpl w:val="4F388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DD3155F"/>
    <w:multiLevelType w:val="hybridMultilevel"/>
    <w:tmpl w:val="40BE23CC"/>
    <w:lvl w:ilvl="0" w:tplc="C7325818">
      <w:start w:val="1"/>
      <w:numFmt w:val="bullet"/>
      <w:lvlText w:val=""/>
      <w:lvlJc w:val="left"/>
      <w:pPr>
        <w:tabs>
          <w:tab w:val="num" w:pos="720"/>
        </w:tabs>
        <w:ind w:left="720" w:hanging="360"/>
      </w:pPr>
      <w:rPr>
        <w:rFonts w:ascii="Arial" w:hAnsi="Aria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FC75317"/>
    <w:multiLevelType w:val="hybridMultilevel"/>
    <w:tmpl w:val="AFDE8682"/>
    <w:lvl w:ilvl="0" w:tplc="C7325818">
      <w:start w:val="1"/>
      <w:numFmt w:val="bullet"/>
      <w:lvlText w:val=""/>
      <w:lvlJc w:val="left"/>
      <w:pPr>
        <w:tabs>
          <w:tab w:val="num" w:pos="720"/>
        </w:tabs>
        <w:ind w:left="720" w:hanging="360"/>
      </w:pPr>
      <w:rPr>
        <w:rFonts w:ascii="Arial" w:hAnsi="Aria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0102F77"/>
    <w:multiLevelType w:val="hybridMultilevel"/>
    <w:tmpl w:val="38FC8D94"/>
    <w:lvl w:ilvl="0" w:tplc="7C7E7360">
      <w:start w:val="1"/>
      <w:numFmt w:val="bullet"/>
      <w:lvlText w:val=""/>
      <w:lvlJc w:val="left"/>
      <w:pPr>
        <w:tabs>
          <w:tab w:val="num" w:pos="357"/>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794145C"/>
    <w:multiLevelType w:val="hybridMultilevel"/>
    <w:tmpl w:val="D4820994"/>
    <w:lvl w:ilvl="0" w:tplc="7C7E7360">
      <w:start w:val="1"/>
      <w:numFmt w:val="bullet"/>
      <w:lvlText w:val=""/>
      <w:lvlJc w:val="left"/>
      <w:pPr>
        <w:tabs>
          <w:tab w:val="num" w:pos="357"/>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9E03AF8"/>
    <w:multiLevelType w:val="hybridMultilevel"/>
    <w:tmpl w:val="D982E67E"/>
    <w:lvl w:ilvl="0" w:tplc="C7325818">
      <w:start w:val="1"/>
      <w:numFmt w:val="bullet"/>
      <w:lvlText w:val=""/>
      <w:lvlJc w:val="left"/>
      <w:pPr>
        <w:tabs>
          <w:tab w:val="num" w:pos="720"/>
        </w:tabs>
        <w:ind w:left="720" w:hanging="360"/>
      </w:pPr>
      <w:rPr>
        <w:rFonts w:ascii="Arial" w:hAnsi="Aria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42E5074"/>
    <w:multiLevelType w:val="hybridMultilevel"/>
    <w:tmpl w:val="7C72B13A"/>
    <w:lvl w:ilvl="0" w:tplc="7C7E7360">
      <w:start w:val="1"/>
      <w:numFmt w:val="bullet"/>
      <w:lvlText w:val=""/>
      <w:lvlJc w:val="left"/>
      <w:pPr>
        <w:tabs>
          <w:tab w:val="num" w:pos="357"/>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751261A"/>
    <w:multiLevelType w:val="hybridMultilevel"/>
    <w:tmpl w:val="C0842148"/>
    <w:lvl w:ilvl="0" w:tplc="7C7E7360">
      <w:start w:val="1"/>
      <w:numFmt w:val="bullet"/>
      <w:lvlText w:val=""/>
      <w:lvlJc w:val="left"/>
      <w:pPr>
        <w:tabs>
          <w:tab w:val="num" w:pos="357"/>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10"/>
  </w:num>
  <w:num w:numId="4">
    <w:abstractNumId w:val="2"/>
  </w:num>
  <w:num w:numId="5">
    <w:abstractNumId w:val="7"/>
  </w:num>
  <w:num w:numId="6">
    <w:abstractNumId w:val="0"/>
  </w:num>
  <w:num w:numId="7">
    <w:abstractNumId w:val="9"/>
  </w:num>
  <w:num w:numId="8">
    <w:abstractNumId w:val="13"/>
  </w:num>
  <w:num w:numId="9">
    <w:abstractNumId w:val="5"/>
  </w:num>
  <w:num w:numId="10">
    <w:abstractNumId w:val="1"/>
  </w:num>
  <w:num w:numId="11">
    <w:abstractNumId w:val="12"/>
  </w:num>
  <w:num w:numId="12">
    <w:abstractNumId w:val="11"/>
  </w:num>
  <w:num w:numId="13">
    <w:abstractNumId w:val="8"/>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3A00CB"/>
    <w:rsid w:val="00006CA2"/>
    <w:rsid w:val="000100B9"/>
    <w:rsid w:val="00032334"/>
    <w:rsid w:val="00040048"/>
    <w:rsid w:val="00044607"/>
    <w:rsid w:val="00050761"/>
    <w:rsid w:val="00070E46"/>
    <w:rsid w:val="000A2011"/>
    <w:rsid w:val="000A54DF"/>
    <w:rsid w:val="000B24DC"/>
    <w:rsid w:val="000B4BB7"/>
    <w:rsid w:val="000C18AE"/>
    <w:rsid w:val="000C3EF3"/>
    <w:rsid w:val="000D00D1"/>
    <w:rsid w:val="000D6F89"/>
    <w:rsid w:val="000E0E57"/>
    <w:rsid w:val="000E0FCB"/>
    <w:rsid w:val="0010716B"/>
    <w:rsid w:val="00133EF3"/>
    <w:rsid w:val="0013682D"/>
    <w:rsid w:val="00137DD4"/>
    <w:rsid w:val="0015294D"/>
    <w:rsid w:val="0015475F"/>
    <w:rsid w:val="00180743"/>
    <w:rsid w:val="00185BAC"/>
    <w:rsid w:val="001878CA"/>
    <w:rsid w:val="001B5C92"/>
    <w:rsid w:val="001C7ACF"/>
    <w:rsid w:val="001D01C5"/>
    <w:rsid w:val="001D0BE9"/>
    <w:rsid w:val="001E1FAF"/>
    <w:rsid w:val="001E2C9F"/>
    <w:rsid w:val="001F1445"/>
    <w:rsid w:val="001F43ED"/>
    <w:rsid w:val="001F5D86"/>
    <w:rsid w:val="001F7AD8"/>
    <w:rsid w:val="001F7BD4"/>
    <w:rsid w:val="00207302"/>
    <w:rsid w:val="00211CF8"/>
    <w:rsid w:val="0021202B"/>
    <w:rsid w:val="0021661A"/>
    <w:rsid w:val="00237F14"/>
    <w:rsid w:val="00240CA2"/>
    <w:rsid w:val="00241003"/>
    <w:rsid w:val="00245055"/>
    <w:rsid w:val="00247401"/>
    <w:rsid w:val="00262BA3"/>
    <w:rsid w:val="0027691F"/>
    <w:rsid w:val="002A158C"/>
    <w:rsid w:val="002B432D"/>
    <w:rsid w:val="002C2443"/>
    <w:rsid w:val="002C2FE0"/>
    <w:rsid w:val="002C45C6"/>
    <w:rsid w:val="002C5C73"/>
    <w:rsid w:val="002D2156"/>
    <w:rsid w:val="002D59DE"/>
    <w:rsid w:val="002F1F79"/>
    <w:rsid w:val="002F242B"/>
    <w:rsid w:val="0030130D"/>
    <w:rsid w:val="00301AE2"/>
    <w:rsid w:val="00306B81"/>
    <w:rsid w:val="00315788"/>
    <w:rsid w:val="003267FC"/>
    <w:rsid w:val="003306E1"/>
    <w:rsid w:val="00333924"/>
    <w:rsid w:val="003367C8"/>
    <w:rsid w:val="00357657"/>
    <w:rsid w:val="00361E2D"/>
    <w:rsid w:val="00363CF1"/>
    <w:rsid w:val="00380568"/>
    <w:rsid w:val="00380C30"/>
    <w:rsid w:val="003927B8"/>
    <w:rsid w:val="003A00CB"/>
    <w:rsid w:val="003A4EA2"/>
    <w:rsid w:val="003B7365"/>
    <w:rsid w:val="003D04F9"/>
    <w:rsid w:val="003D40AB"/>
    <w:rsid w:val="003E288B"/>
    <w:rsid w:val="003E7093"/>
    <w:rsid w:val="003F58D8"/>
    <w:rsid w:val="00412EB5"/>
    <w:rsid w:val="00423485"/>
    <w:rsid w:val="004625C0"/>
    <w:rsid w:val="00472DF7"/>
    <w:rsid w:val="00473A7E"/>
    <w:rsid w:val="004B7A6C"/>
    <w:rsid w:val="004C7D0D"/>
    <w:rsid w:val="004D4AA7"/>
    <w:rsid w:val="004D75F8"/>
    <w:rsid w:val="004F0DF8"/>
    <w:rsid w:val="004F2CCD"/>
    <w:rsid w:val="0050280D"/>
    <w:rsid w:val="00507C2B"/>
    <w:rsid w:val="00507EF4"/>
    <w:rsid w:val="0051727B"/>
    <w:rsid w:val="00521AF7"/>
    <w:rsid w:val="00541C01"/>
    <w:rsid w:val="00547779"/>
    <w:rsid w:val="00557424"/>
    <w:rsid w:val="005670E9"/>
    <w:rsid w:val="00570B74"/>
    <w:rsid w:val="00576C7D"/>
    <w:rsid w:val="00585098"/>
    <w:rsid w:val="00586130"/>
    <w:rsid w:val="00597532"/>
    <w:rsid w:val="005A0B24"/>
    <w:rsid w:val="005B0828"/>
    <w:rsid w:val="005B44D3"/>
    <w:rsid w:val="005C3F39"/>
    <w:rsid w:val="005D148B"/>
    <w:rsid w:val="00602FF5"/>
    <w:rsid w:val="00612684"/>
    <w:rsid w:val="006132B1"/>
    <w:rsid w:val="0062014A"/>
    <w:rsid w:val="00626B91"/>
    <w:rsid w:val="00630ABF"/>
    <w:rsid w:val="0063209D"/>
    <w:rsid w:val="00635C52"/>
    <w:rsid w:val="00642A82"/>
    <w:rsid w:val="006534CA"/>
    <w:rsid w:val="00663844"/>
    <w:rsid w:val="00691298"/>
    <w:rsid w:val="006912AC"/>
    <w:rsid w:val="0069230E"/>
    <w:rsid w:val="00696698"/>
    <w:rsid w:val="006A41C7"/>
    <w:rsid w:val="006B0B8D"/>
    <w:rsid w:val="006B7FDB"/>
    <w:rsid w:val="006E1476"/>
    <w:rsid w:val="006E7DA0"/>
    <w:rsid w:val="007017AC"/>
    <w:rsid w:val="007040D2"/>
    <w:rsid w:val="00705922"/>
    <w:rsid w:val="00707AA5"/>
    <w:rsid w:val="00713942"/>
    <w:rsid w:val="00723690"/>
    <w:rsid w:val="007355B9"/>
    <w:rsid w:val="0073685E"/>
    <w:rsid w:val="00741A98"/>
    <w:rsid w:val="0075713F"/>
    <w:rsid w:val="007711A8"/>
    <w:rsid w:val="007760B5"/>
    <w:rsid w:val="0078012A"/>
    <w:rsid w:val="00785310"/>
    <w:rsid w:val="00787D4C"/>
    <w:rsid w:val="007949B7"/>
    <w:rsid w:val="00796A92"/>
    <w:rsid w:val="00797CEF"/>
    <w:rsid w:val="007A2391"/>
    <w:rsid w:val="007A5D28"/>
    <w:rsid w:val="007A76AA"/>
    <w:rsid w:val="007B5356"/>
    <w:rsid w:val="007C044C"/>
    <w:rsid w:val="007C05F7"/>
    <w:rsid w:val="007C6D14"/>
    <w:rsid w:val="007D1CBD"/>
    <w:rsid w:val="007F7549"/>
    <w:rsid w:val="00800194"/>
    <w:rsid w:val="008200E5"/>
    <w:rsid w:val="00830AFD"/>
    <w:rsid w:val="00836F2B"/>
    <w:rsid w:val="00844828"/>
    <w:rsid w:val="00856880"/>
    <w:rsid w:val="00866463"/>
    <w:rsid w:val="008709E6"/>
    <w:rsid w:val="0087157A"/>
    <w:rsid w:val="00887E58"/>
    <w:rsid w:val="008913F6"/>
    <w:rsid w:val="008962A7"/>
    <w:rsid w:val="008E5B01"/>
    <w:rsid w:val="008E6E5C"/>
    <w:rsid w:val="00907702"/>
    <w:rsid w:val="00915574"/>
    <w:rsid w:val="00960693"/>
    <w:rsid w:val="00960CEA"/>
    <w:rsid w:val="0096616D"/>
    <w:rsid w:val="009874C4"/>
    <w:rsid w:val="00992428"/>
    <w:rsid w:val="009A2752"/>
    <w:rsid w:val="009D0E8F"/>
    <w:rsid w:val="009D1226"/>
    <w:rsid w:val="009D1C98"/>
    <w:rsid w:val="009D46C9"/>
    <w:rsid w:val="009D5C9E"/>
    <w:rsid w:val="009D6135"/>
    <w:rsid w:val="009E1D9A"/>
    <w:rsid w:val="009E2E94"/>
    <w:rsid w:val="00A1158B"/>
    <w:rsid w:val="00A44414"/>
    <w:rsid w:val="00A64651"/>
    <w:rsid w:val="00A73B19"/>
    <w:rsid w:val="00A80C98"/>
    <w:rsid w:val="00A814B3"/>
    <w:rsid w:val="00A81AD3"/>
    <w:rsid w:val="00A87872"/>
    <w:rsid w:val="00A95BA8"/>
    <w:rsid w:val="00AA2D36"/>
    <w:rsid w:val="00AC6F37"/>
    <w:rsid w:val="00AD3633"/>
    <w:rsid w:val="00AD50F6"/>
    <w:rsid w:val="00AD6949"/>
    <w:rsid w:val="00AE0AE2"/>
    <w:rsid w:val="00AF31A7"/>
    <w:rsid w:val="00AF4D10"/>
    <w:rsid w:val="00B01091"/>
    <w:rsid w:val="00B070D9"/>
    <w:rsid w:val="00B07216"/>
    <w:rsid w:val="00B15DE1"/>
    <w:rsid w:val="00B164D3"/>
    <w:rsid w:val="00B2725B"/>
    <w:rsid w:val="00B304DB"/>
    <w:rsid w:val="00B354B5"/>
    <w:rsid w:val="00B36143"/>
    <w:rsid w:val="00B3704C"/>
    <w:rsid w:val="00B52855"/>
    <w:rsid w:val="00B6788E"/>
    <w:rsid w:val="00B843E7"/>
    <w:rsid w:val="00B86B84"/>
    <w:rsid w:val="00BA30BA"/>
    <w:rsid w:val="00BB1958"/>
    <w:rsid w:val="00BC5625"/>
    <w:rsid w:val="00BD6664"/>
    <w:rsid w:val="00BE1CF3"/>
    <w:rsid w:val="00BE239A"/>
    <w:rsid w:val="00BF278A"/>
    <w:rsid w:val="00BF7E07"/>
    <w:rsid w:val="00C1479A"/>
    <w:rsid w:val="00C41581"/>
    <w:rsid w:val="00C419D1"/>
    <w:rsid w:val="00C41AF7"/>
    <w:rsid w:val="00C44139"/>
    <w:rsid w:val="00C50D4B"/>
    <w:rsid w:val="00C54E45"/>
    <w:rsid w:val="00C6464B"/>
    <w:rsid w:val="00C666C6"/>
    <w:rsid w:val="00C810C8"/>
    <w:rsid w:val="00C97434"/>
    <w:rsid w:val="00C97D7D"/>
    <w:rsid w:val="00CA427E"/>
    <w:rsid w:val="00CA7CCB"/>
    <w:rsid w:val="00CB1425"/>
    <w:rsid w:val="00CB21F5"/>
    <w:rsid w:val="00CC2545"/>
    <w:rsid w:val="00CE0EE6"/>
    <w:rsid w:val="00CE0F61"/>
    <w:rsid w:val="00CE45D2"/>
    <w:rsid w:val="00CF0258"/>
    <w:rsid w:val="00CF62D3"/>
    <w:rsid w:val="00D24081"/>
    <w:rsid w:val="00D25344"/>
    <w:rsid w:val="00D270A6"/>
    <w:rsid w:val="00D32176"/>
    <w:rsid w:val="00D34E23"/>
    <w:rsid w:val="00D60478"/>
    <w:rsid w:val="00D62281"/>
    <w:rsid w:val="00D62373"/>
    <w:rsid w:val="00D64BC0"/>
    <w:rsid w:val="00D8579C"/>
    <w:rsid w:val="00D86EE6"/>
    <w:rsid w:val="00D87DB5"/>
    <w:rsid w:val="00D906EA"/>
    <w:rsid w:val="00D9291F"/>
    <w:rsid w:val="00DA7421"/>
    <w:rsid w:val="00DB34E8"/>
    <w:rsid w:val="00DB606D"/>
    <w:rsid w:val="00DC3087"/>
    <w:rsid w:val="00DC443F"/>
    <w:rsid w:val="00DC57F2"/>
    <w:rsid w:val="00DC624D"/>
    <w:rsid w:val="00DE553D"/>
    <w:rsid w:val="00DF218E"/>
    <w:rsid w:val="00DF6044"/>
    <w:rsid w:val="00DF64C4"/>
    <w:rsid w:val="00E1334A"/>
    <w:rsid w:val="00E13419"/>
    <w:rsid w:val="00E15FDB"/>
    <w:rsid w:val="00E25FFF"/>
    <w:rsid w:val="00E41BEB"/>
    <w:rsid w:val="00E62A29"/>
    <w:rsid w:val="00E6455A"/>
    <w:rsid w:val="00E6501F"/>
    <w:rsid w:val="00E705C7"/>
    <w:rsid w:val="00E77C7E"/>
    <w:rsid w:val="00E97056"/>
    <w:rsid w:val="00EA4514"/>
    <w:rsid w:val="00EA6334"/>
    <w:rsid w:val="00EA6578"/>
    <w:rsid w:val="00EC064E"/>
    <w:rsid w:val="00EC48B9"/>
    <w:rsid w:val="00EC512A"/>
    <w:rsid w:val="00F0421C"/>
    <w:rsid w:val="00F072A0"/>
    <w:rsid w:val="00F22155"/>
    <w:rsid w:val="00F42314"/>
    <w:rsid w:val="00F52E84"/>
    <w:rsid w:val="00F53D80"/>
    <w:rsid w:val="00F5491E"/>
    <w:rsid w:val="00F611F5"/>
    <w:rsid w:val="00F6228C"/>
    <w:rsid w:val="00F65A0F"/>
    <w:rsid w:val="00F75AA9"/>
    <w:rsid w:val="00F76FAB"/>
    <w:rsid w:val="00F80228"/>
    <w:rsid w:val="00F838E8"/>
    <w:rsid w:val="00F84827"/>
    <w:rsid w:val="00F876BC"/>
    <w:rsid w:val="00F9035D"/>
    <w:rsid w:val="00F9316B"/>
    <w:rsid w:val="00FA0F28"/>
    <w:rsid w:val="00FF3D89"/>
    <w:rsid w:val="00FF6D4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88E"/>
    <w:rPr>
      <w:rFonts w:ascii="Arial" w:hAnsi="Arial"/>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basedOn w:val="DefaultParagraphFont"/>
    <w:semiHidden/>
    <w:rsid w:val="009E2E94"/>
    <w:rPr>
      <w:sz w:val="16"/>
      <w:szCs w:val="16"/>
    </w:rPr>
  </w:style>
  <w:style w:type="paragraph" w:styleId="CommentText">
    <w:name w:val="annotation text"/>
    <w:basedOn w:val="Normal"/>
    <w:semiHidden/>
    <w:rsid w:val="009E2E94"/>
    <w:rPr>
      <w:sz w:val="20"/>
      <w:szCs w:val="20"/>
    </w:rPr>
  </w:style>
  <w:style w:type="paragraph" w:styleId="CommentSubject">
    <w:name w:val="annotation subject"/>
    <w:basedOn w:val="CommentText"/>
    <w:next w:val="CommentText"/>
    <w:semiHidden/>
    <w:rsid w:val="009E2E94"/>
    <w:rPr>
      <w:b/>
      <w:bCs/>
    </w:rPr>
  </w:style>
  <w:style w:type="paragraph" w:styleId="BalloonText">
    <w:name w:val="Balloon Text"/>
    <w:basedOn w:val="Normal"/>
    <w:semiHidden/>
    <w:rsid w:val="009E2E94"/>
    <w:rPr>
      <w:rFonts w:ascii="Tahoma" w:hAnsi="Tahoma" w:cs="Tahoma"/>
      <w:sz w:val="16"/>
      <w:szCs w:val="16"/>
    </w:rPr>
  </w:style>
  <w:style w:type="character" w:styleId="Hyperlink">
    <w:name w:val="Hyperlink"/>
    <w:basedOn w:val="DefaultParagraphFont"/>
    <w:rsid w:val="004D4AA7"/>
    <w:rPr>
      <w:color w:val="0000FF"/>
      <w:u w:val="single"/>
    </w:rPr>
  </w:style>
  <w:style w:type="paragraph" w:styleId="Header">
    <w:name w:val="header"/>
    <w:basedOn w:val="Normal"/>
    <w:rsid w:val="007A5D28"/>
    <w:pPr>
      <w:tabs>
        <w:tab w:val="center" w:pos="4320"/>
        <w:tab w:val="right" w:pos="8640"/>
      </w:tabs>
    </w:pPr>
  </w:style>
  <w:style w:type="paragraph" w:styleId="Footer">
    <w:name w:val="footer"/>
    <w:basedOn w:val="Normal"/>
    <w:link w:val="FooterChar"/>
    <w:uiPriority w:val="99"/>
    <w:rsid w:val="007A5D28"/>
    <w:pPr>
      <w:tabs>
        <w:tab w:val="center" w:pos="4320"/>
        <w:tab w:val="right" w:pos="8640"/>
      </w:tabs>
    </w:pPr>
  </w:style>
  <w:style w:type="character" w:styleId="PageNumber">
    <w:name w:val="page number"/>
    <w:basedOn w:val="DefaultParagraphFont"/>
    <w:rsid w:val="007A5D28"/>
  </w:style>
  <w:style w:type="character" w:customStyle="1" w:styleId="FooterChar">
    <w:name w:val="Footer Char"/>
    <w:basedOn w:val="DefaultParagraphFont"/>
    <w:link w:val="Footer"/>
    <w:uiPriority w:val="99"/>
    <w:rsid w:val="00A44414"/>
    <w:rPr>
      <w:rFonts w:ascii="Arial" w:hAnsi="Arial"/>
      <w:sz w:val="24"/>
      <w:szCs w:val="24"/>
      <w:lang w:val="en-GB"/>
    </w:rPr>
  </w:style>
  <w:style w:type="paragraph" w:customStyle="1" w:styleId="Default">
    <w:name w:val="Default"/>
    <w:rsid w:val="00185BAC"/>
    <w:pPr>
      <w:autoSpaceDE w:val="0"/>
      <w:autoSpaceDN w:val="0"/>
      <w:adjustRightInd w:val="0"/>
    </w:pPr>
    <w:rPr>
      <w:rFonts w:ascii="Tahoma" w:hAnsi="Tahoma" w:cs="Tahoma"/>
      <w:color w:val="000000"/>
      <w:sz w:val="24"/>
      <w:szCs w:val="24"/>
    </w:rPr>
  </w:style>
</w:styles>
</file>

<file path=word/webSettings.xml><?xml version="1.0" encoding="utf-8"?>
<w:webSettings xmlns:r="http://schemas.openxmlformats.org/officeDocument/2006/relationships" xmlns:w="http://schemas.openxmlformats.org/wordprocessingml/2006/main">
  <w:divs>
    <w:div w:id="134134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autoTitleDeleted val="1"/>
    <c:view3D>
      <c:hPercent val="92"/>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9.2278719397363485E-2"/>
          <c:y val="7.1225071225071254E-2"/>
          <c:w val="0.60263653483992452"/>
          <c:h val="0.78632478632478653"/>
        </c:manualLayout>
      </c:layout>
      <c:bar3DChart>
        <c:barDir val="col"/>
        <c:grouping val="clustered"/>
        <c:ser>
          <c:idx val="0"/>
          <c:order val="0"/>
          <c:tx>
            <c:strRef>
              <c:f>Sheet1!$A$2</c:f>
              <c:strCache>
                <c:ptCount val="1"/>
                <c:pt idx="0">
                  <c:v>Total private fostering arrangements</c:v>
                </c:pt>
              </c:strCache>
            </c:strRef>
          </c:tx>
          <c:spPr>
            <a:solidFill>
              <a:srgbClr val="9999FF"/>
            </a:solidFill>
            <a:ln w="12700">
              <a:solidFill>
                <a:srgbClr val="000000"/>
              </a:solidFill>
              <a:prstDash val="solid"/>
            </a:ln>
          </c:spPr>
          <c:cat>
            <c:strRef>
              <c:f>Sheet1!$B$1:$G$1</c:f>
              <c:strCache>
                <c:ptCount val="6"/>
                <c:pt idx="0">
                  <c:v>2010/11</c:v>
                </c:pt>
                <c:pt idx="1">
                  <c:v>2011/12</c:v>
                </c:pt>
                <c:pt idx="2">
                  <c:v>2012/13</c:v>
                </c:pt>
                <c:pt idx="3">
                  <c:v>2013/14</c:v>
                </c:pt>
                <c:pt idx="4">
                  <c:v>2014/15</c:v>
                </c:pt>
                <c:pt idx="5">
                  <c:v>2015/16</c:v>
                </c:pt>
              </c:strCache>
            </c:strRef>
          </c:cat>
          <c:val>
            <c:numRef>
              <c:f>Sheet1!$B$2:$G$2</c:f>
              <c:numCache>
                <c:formatCode>General</c:formatCode>
                <c:ptCount val="6"/>
                <c:pt idx="0">
                  <c:v>113</c:v>
                </c:pt>
                <c:pt idx="1">
                  <c:v>156</c:v>
                </c:pt>
                <c:pt idx="2">
                  <c:v>180</c:v>
                </c:pt>
                <c:pt idx="3">
                  <c:v>218</c:v>
                </c:pt>
                <c:pt idx="4">
                  <c:v>194</c:v>
                </c:pt>
                <c:pt idx="5">
                  <c:v>198</c:v>
                </c:pt>
              </c:numCache>
            </c:numRef>
          </c:val>
        </c:ser>
        <c:ser>
          <c:idx val="1"/>
          <c:order val="1"/>
          <c:tx>
            <c:strRef>
              <c:f>Sheet1!$A$3</c:f>
              <c:strCache>
                <c:ptCount val="1"/>
                <c:pt idx="0">
                  <c:v>International Students</c:v>
                </c:pt>
              </c:strCache>
            </c:strRef>
          </c:tx>
          <c:spPr>
            <a:solidFill>
              <a:srgbClr val="993366"/>
            </a:solidFill>
            <a:ln w="12700">
              <a:solidFill>
                <a:srgbClr val="000000"/>
              </a:solidFill>
              <a:prstDash val="solid"/>
            </a:ln>
          </c:spPr>
          <c:cat>
            <c:strRef>
              <c:f>Sheet1!$B$1:$G$1</c:f>
              <c:strCache>
                <c:ptCount val="6"/>
                <c:pt idx="0">
                  <c:v>2010/11</c:v>
                </c:pt>
                <c:pt idx="1">
                  <c:v>2011/12</c:v>
                </c:pt>
                <c:pt idx="2">
                  <c:v>2012/13</c:v>
                </c:pt>
                <c:pt idx="3">
                  <c:v>2013/14</c:v>
                </c:pt>
                <c:pt idx="4">
                  <c:v>2014/15</c:v>
                </c:pt>
                <c:pt idx="5">
                  <c:v>2015/16</c:v>
                </c:pt>
              </c:strCache>
            </c:strRef>
          </c:cat>
          <c:val>
            <c:numRef>
              <c:f>Sheet1!$B$3:$G$3</c:f>
              <c:numCache>
                <c:formatCode>General</c:formatCode>
                <c:ptCount val="6"/>
                <c:pt idx="0">
                  <c:v>96</c:v>
                </c:pt>
                <c:pt idx="1">
                  <c:v>144</c:v>
                </c:pt>
                <c:pt idx="2">
                  <c:v>176</c:v>
                </c:pt>
                <c:pt idx="3">
                  <c:v>210</c:v>
                </c:pt>
                <c:pt idx="4">
                  <c:v>181</c:v>
                </c:pt>
                <c:pt idx="5">
                  <c:v>186</c:v>
                </c:pt>
              </c:numCache>
            </c:numRef>
          </c:val>
        </c:ser>
        <c:ser>
          <c:idx val="2"/>
          <c:order val="2"/>
          <c:tx>
            <c:strRef>
              <c:f>Sheet1!$A$4</c:f>
              <c:strCache>
                <c:ptCount val="1"/>
                <c:pt idx="0">
                  <c:v>Other young people</c:v>
                </c:pt>
              </c:strCache>
            </c:strRef>
          </c:tx>
          <c:spPr>
            <a:solidFill>
              <a:srgbClr val="FFFFCC"/>
            </a:solidFill>
            <a:ln w="12700">
              <a:solidFill>
                <a:srgbClr val="000000"/>
              </a:solidFill>
              <a:prstDash val="solid"/>
            </a:ln>
          </c:spPr>
          <c:cat>
            <c:strRef>
              <c:f>Sheet1!$B$1:$G$1</c:f>
              <c:strCache>
                <c:ptCount val="6"/>
                <c:pt idx="0">
                  <c:v>2010/11</c:v>
                </c:pt>
                <c:pt idx="1">
                  <c:v>2011/12</c:v>
                </c:pt>
                <c:pt idx="2">
                  <c:v>2012/13</c:v>
                </c:pt>
                <c:pt idx="3">
                  <c:v>2013/14</c:v>
                </c:pt>
                <c:pt idx="4">
                  <c:v>2014/15</c:v>
                </c:pt>
                <c:pt idx="5">
                  <c:v>2015/16</c:v>
                </c:pt>
              </c:strCache>
            </c:strRef>
          </c:cat>
          <c:val>
            <c:numRef>
              <c:f>Sheet1!$B$4:$G$4</c:f>
              <c:numCache>
                <c:formatCode>General</c:formatCode>
                <c:ptCount val="6"/>
                <c:pt idx="0">
                  <c:v>17</c:v>
                </c:pt>
                <c:pt idx="1">
                  <c:v>12</c:v>
                </c:pt>
                <c:pt idx="2">
                  <c:v>4</c:v>
                </c:pt>
                <c:pt idx="3">
                  <c:v>8</c:v>
                </c:pt>
                <c:pt idx="4">
                  <c:v>13</c:v>
                </c:pt>
                <c:pt idx="5">
                  <c:v>12</c:v>
                </c:pt>
              </c:numCache>
            </c:numRef>
          </c:val>
        </c:ser>
        <c:gapDepth val="0"/>
        <c:shape val="box"/>
        <c:axId val="131336448"/>
        <c:axId val="131493888"/>
        <c:axId val="0"/>
      </c:bar3DChart>
      <c:catAx>
        <c:axId val="131336448"/>
        <c:scaling>
          <c:orientation val="minMax"/>
        </c:scaling>
        <c:axPos val="b"/>
        <c:numFmt formatCode="General" sourceLinked="1"/>
        <c:tickLblPos val="low"/>
        <c:spPr>
          <a:ln w="3175">
            <a:solidFill>
              <a:srgbClr val="000000"/>
            </a:solidFill>
            <a:prstDash val="solid"/>
          </a:ln>
        </c:spPr>
        <c:txPr>
          <a:bodyPr rot="0" vert="horz"/>
          <a:lstStyle/>
          <a:p>
            <a:pPr>
              <a:defRPr sz="1525" b="1" i="0" u="none" strike="noStrike" baseline="0">
                <a:solidFill>
                  <a:srgbClr val="000000"/>
                </a:solidFill>
                <a:latin typeface="Calibri"/>
                <a:ea typeface="Calibri"/>
                <a:cs typeface="Calibri"/>
              </a:defRPr>
            </a:pPr>
            <a:endParaRPr lang="en-US"/>
          </a:p>
        </c:txPr>
        <c:crossAx val="131493888"/>
        <c:crosses val="autoZero"/>
        <c:auto val="1"/>
        <c:lblAlgn val="ctr"/>
        <c:lblOffset val="100"/>
        <c:tickLblSkip val="2"/>
        <c:tickMarkSkip val="1"/>
      </c:catAx>
      <c:valAx>
        <c:axId val="13149388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525" b="1" i="0" u="none" strike="noStrike" baseline="0">
                <a:solidFill>
                  <a:srgbClr val="000000"/>
                </a:solidFill>
                <a:latin typeface="Calibri"/>
                <a:ea typeface="Calibri"/>
                <a:cs typeface="Calibri"/>
              </a:defRPr>
            </a:pPr>
            <a:endParaRPr lang="en-US"/>
          </a:p>
        </c:txPr>
        <c:crossAx val="131336448"/>
        <c:crosses val="autoZero"/>
        <c:crossBetween val="between"/>
      </c:valAx>
      <c:spPr>
        <a:noFill/>
        <a:ln w="25401">
          <a:noFill/>
        </a:ln>
      </c:spPr>
    </c:plotArea>
    <c:legend>
      <c:legendPos val="r"/>
      <c:layout>
        <c:manualLayout>
          <c:xMode val="edge"/>
          <c:yMode val="edge"/>
          <c:x val="0.71563088512241069"/>
          <c:y val="0.17094017094017094"/>
          <c:w val="0.2768361581920904"/>
          <c:h val="0.66096866096866091"/>
        </c:manualLayout>
      </c:layout>
      <c:spPr>
        <a:noFill/>
        <a:ln w="3175">
          <a:solidFill>
            <a:srgbClr val="000000"/>
          </a:solidFill>
          <a:prstDash val="solid"/>
        </a:ln>
      </c:spPr>
      <c:txPr>
        <a:bodyPr/>
        <a:lstStyle/>
        <a:p>
          <a:pPr>
            <a:defRPr sz="1400" b="1" i="0" u="none" strike="noStrike" baseline="0">
              <a:solidFill>
                <a:srgbClr val="000000"/>
              </a:solidFill>
              <a:latin typeface="Calibri"/>
              <a:ea typeface="Calibri"/>
              <a:cs typeface="Calibri"/>
            </a:defRPr>
          </a:pPr>
          <a:endParaRPr lang="en-US"/>
        </a:p>
      </c:txPr>
    </c:legend>
    <c:plotVisOnly val="1"/>
    <c:dispBlanksAs val="gap"/>
  </c:chart>
  <c:spPr>
    <a:noFill/>
    <a:ln>
      <a:noFill/>
    </a:ln>
  </c:spPr>
  <c:txPr>
    <a:bodyPr/>
    <a:lstStyle/>
    <a:p>
      <a:pPr>
        <a:defRPr sz="1525" b="1" i="0" u="none" strike="noStrike" baseline="0">
          <a:solidFill>
            <a:srgbClr val="000000"/>
          </a:solidFill>
          <a:latin typeface="Calibri"/>
          <a:ea typeface="Calibri"/>
          <a:cs typeface="Calibri"/>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F506A4-41D4-4228-AB14-22218BD54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3168</Words>
  <Characters>18061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lpstr>
    </vt:vector>
  </TitlesOfParts>
  <Company>Torbay Council</Company>
  <LinksUpToDate>false</LinksUpToDate>
  <CharactersWithSpaces>21187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Tayler, Mary</dc:creator>
  <cp:lastModifiedBy>eneh061</cp:lastModifiedBy>
  <cp:revision>3</cp:revision>
  <cp:lastPrinted>2016-04-11T13:00:00Z</cp:lastPrinted>
  <dcterms:created xsi:type="dcterms:W3CDTF">2016-06-08T09:37:00Z</dcterms:created>
  <dcterms:modified xsi:type="dcterms:W3CDTF">2016-06-08T09:38:00Z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-959027023</vt:i4>
  </property>
  <property fmtid="{D5CDD505-2E9C-101B-9397-08002B2CF9AE}" pid="3" name="_NewReviewCycle">
    <vt:lpwstr/>
  </property>
  <property fmtid="{D5CDD505-2E9C-101B-9397-08002B2CF9AE}" pid="4" name="_EmailSubject">
    <vt:lpwstr>PRIVATE FOSTERING PAGE - UP-DATE REQUEST</vt:lpwstr>
  </property>
  <property fmtid="{D5CDD505-2E9C-101B-9397-08002B2CF9AE}" pid="5" name="_AuthorEmail">
    <vt:lpwstr>Mary.Tayler@torbay.gcsx.gov.uk</vt:lpwstr>
  </property>
  <property fmtid="{D5CDD505-2E9C-101B-9397-08002B2CF9AE}" pid="6" name="_AuthorEmailDisplayName">
    <vt:lpwstr>Tayler, Mary</vt:lpwstr>
  </property>
  <property fmtid="{D5CDD505-2E9C-101B-9397-08002B2CF9AE}" pid="7" name="_PreviousAdHocReviewCycleID">
    <vt:i4>-464463412</vt:i4>
  </property>
  <property fmtid="{D5CDD505-2E9C-101B-9397-08002B2CF9AE}" pid="8" name="_ReviewingToolsShownOnce">
    <vt:lpwstr/>
  </property>
</Properties>
</file>