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Grid"/>
        <w:tblpPr w:leftFromText="181" w:rightFromText="181" w:bottomFromText="567" w:vertAnchor="text" w:tblpY="1"/>
        <w:tblOverlap w:val="never"/>
        <w:tblW w:w="5000" w:type="pct"/>
        <w:tblBorders>
          <w:top w:val="none" w:color="auto" w:sz="0" w:space="0"/>
          <w:left w:val="none" w:color="auto" w:sz="0" w:space="0"/>
          <w:bottom w:val="single" w:color="213563" w:themeColor="text1" w:sz="12" w:space="0"/>
          <w:right w:val="none" w:color="auto" w:sz="0" w:space="0"/>
          <w:insideH w:val="none" w:color="auto" w:sz="0" w:space="0"/>
          <w:insideV w:val="none" w:color="auto" w:sz="0" w:space="0"/>
        </w:tblBorders>
        <w:shd w:val="clear" w:color="auto" w:fill="213563" w:themeFill="text1"/>
        <w:tblCellMar>
          <w:left w:w="0" w:type="dxa"/>
          <w:right w:w="0" w:type="dxa"/>
        </w:tblCellMar>
        <w:tblLook w:val="04A0" w:firstRow="1" w:lastRow="0" w:firstColumn="1" w:lastColumn="0" w:noHBand="0" w:noVBand="1"/>
      </w:tblPr>
      <w:tblGrid>
        <w:gridCol w:w="6669"/>
        <w:gridCol w:w="3797"/>
      </w:tblGrid>
      <w:tr w:rsidRPr="008952DF" w:rsidR="00384A6A" w:rsidTr="00765D69" w14:paraId="173DEA24" w14:textId="77777777">
        <w:trPr>
          <w:trHeight w:val="711"/>
        </w:trPr>
        <w:tc>
          <w:tcPr>
            <w:tcW w:w="6669" w:type="dxa"/>
            <w:shd w:val="clear" w:color="auto" w:fill="213563" w:themeFill="text1"/>
            <w:vAlign w:val="center"/>
          </w:tcPr>
          <w:p w:rsidRPr="008952DF" w:rsidR="00384A6A" w:rsidP="00A01973" w:rsidRDefault="00384A6A" w14:paraId="30BE0F85" w14:textId="77777777">
            <w:pPr>
              <w:spacing w:after="0"/>
              <w:jc w:val="right"/>
            </w:pPr>
            <w:bookmarkStart w:name="_Toc33020989" w:id="0"/>
          </w:p>
        </w:tc>
        <w:tc>
          <w:tcPr>
            <w:tcW w:w="3797" w:type="dxa"/>
            <w:shd w:val="clear" w:color="auto" w:fill="213563" w:themeFill="text1"/>
            <w:vAlign w:val="center"/>
          </w:tcPr>
          <w:p w:rsidRPr="008952DF" w:rsidR="00384A6A" w:rsidP="00A01973" w:rsidRDefault="00384A6A" w14:paraId="06662248" w14:textId="77777777">
            <w:pPr>
              <w:spacing w:after="0"/>
              <w:ind w:right="170"/>
              <w:jc w:val="right"/>
            </w:pPr>
            <w:r w:rsidRPr="008952DF">
              <w:rPr>
                <w:noProof/>
                <w:lang w:eastAsia="en-GB"/>
              </w:rPr>
              <w:drawing>
                <wp:inline distT="0" distB="0" distL="0" distR="0" wp14:anchorId="49DE2088" wp14:editId="4D898BD6">
                  <wp:extent cx="2159995" cy="2738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2159995" cy="273802"/>
                          </a:xfrm>
                          <a:prstGeom prst="rect">
                            <a:avLst/>
                          </a:prstGeom>
                        </pic:spPr>
                      </pic:pic>
                    </a:graphicData>
                  </a:graphic>
                </wp:inline>
              </w:drawing>
            </w:r>
          </w:p>
        </w:tc>
      </w:tr>
    </w:tbl>
    <w:bookmarkEnd w:id="0"/>
    <w:p w:rsidRPr="00292913" w:rsidR="0021366A" w:rsidP="00963A29" w:rsidRDefault="0021366A" w14:paraId="5877F818" w14:textId="77777777">
      <w:pPr>
        <w:pStyle w:val="Highlightedtext"/>
        <w:rPr>
          <w:rFonts w:cstheme="minorHAnsi"/>
          <w:sz w:val="40"/>
          <w:szCs w:val="40"/>
        </w:rPr>
      </w:pPr>
      <w:r w:rsidRPr="00292913">
        <w:rPr>
          <w:sz w:val="40"/>
          <w:szCs w:val="40"/>
        </w:rPr>
        <w:t>Guidance to support multilingual children in Early Years settings</w:t>
      </w:r>
    </w:p>
    <w:p w:rsidRPr="00216A7B" w:rsidR="0021366A" w:rsidP="0021366A" w:rsidRDefault="0021366A" w14:paraId="1233BBF0" w14:textId="15074232">
      <w:pPr>
        <w:pStyle w:val="Heading1"/>
        <w:rPr>
          <w:rFonts w:asciiTheme="minorHAnsi" w:hAnsiTheme="minorHAnsi" w:cstheme="minorHAnsi"/>
          <w:color w:val="auto"/>
          <w:sz w:val="24"/>
          <w:szCs w:val="24"/>
        </w:rPr>
      </w:pPr>
      <w:r w:rsidRPr="00216A7B">
        <w:rPr>
          <w:rFonts w:asciiTheme="minorHAnsi" w:hAnsiTheme="minorHAnsi" w:cstheme="minorHAnsi"/>
          <w:color w:val="auto"/>
          <w:sz w:val="24"/>
          <w:szCs w:val="24"/>
        </w:rPr>
        <w:t>This document sets out how to support children who speak more than one language. In addition, the Torbay mul</w:t>
      </w:r>
      <w:r w:rsidRPr="00216A7B" w:rsidR="00522D4F">
        <w:rPr>
          <w:rFonts w:asciiTheme="minorHAnsi" w:hAnsiTheme="minorHAnsi" w:cstheme="minorHAnsi"/>
          <w:color w:val="auto"/>
          <w:sz w:val="24"/>
          <w:szCs w:val="24"/>
        </w:rPr>
        <w:t xml:space="preserve">tilingual </w:t>
      </w:r>
      <w:r w:rsidRPr="00216A7B">
        <w:rPr>
          <w:rFonts w:asciiTheme="minorHAnsi" w:hAnsiTheme="minorHAnsi" w:cstheme="minorHAnsi"/>
          <w:color w:val="auto"/>
          <w:sz w:val="24"/>
          <w:szCs w:val="24"/>
        </w:rPr>
        <w:t>assessment document has been designed to support practitioners in identifying the stage a child may currently be working at and what their next steps might be. Each area outlines what this may</w:t>
      </w:r>
      <w:r w:rsidRPr="00216A7B" w:rsidR="00522D4F">
        <w:rPr>
          <w:rFonts w:asciiTheme="minorHAnsi" w:hAnsiTheme="minorHAnsi" w:cstheme="minorHAnsi"/>
          <w:color w:val="auto"/>
          <w:sz w:val="24"/>
          <w:szCs w:val="24"/>
        </w:rPr>
        <w:t xml:space="preserve"> </w:t>
      </w:r>
      <w:r w:rsidRPr="00216A7B">
        <w:rPr>
          <w:rFonts w:asciiTheme="minorHAnsi" w:hAnsiTheme="minorHAnsi" w:cstheme="minorHAnsi"/>
          <w:color w:val="auto"/>
          <w:sz w:val="24"/>
          <w:szCs w:val="24"/>
        </w:rPr>
        <w:t>look like, provides space for date and comments and offers support ideas.</w:t>
      </w:r>
    </w:p>
    <w:p w:rsidRPr="0095365B" w:rsidR="00002D15" w:rsidP="0095365B" w:rsidRDefault="0021366A" w14:paraId="06546350" w14:textId="66477109">
      <w:pPr>
        <w:pStyle w:val="Heading3"/>
        <w:rPr>
          <w:szCs w:val="28"/>
        </w:rPr>
      </w:pPr>
      <w:r w:rsidRPr="0095365B">
        <w:rPr>
          <w:rStyle w:val="Heading1Char"/>
          <w:sz w:val="28"/>
          <w:szCs w:val="28"/>
        </w:rPr>
        <w:t>Transition is the first step for children who speak English as an additional language within your setting.</w:t>
      </w:r>
      <w:r w:rsidRPr="0095365B">
        <w:rPr>
          <w:szCs w:val="28"/>
        </w:rPr>
        <w:t xml:space="preserve"> </w:t>
      </w:r>
      <w:r w:rsidRPr="0095365B" w:rsidR="00496617">
        <w:rPr>
          <w:rStyle w:val="Heading2Char"/>
          <w:sz w:val="28"/>
        </w:rPr>
        <w:t>This initial meeting offers an opportunity to find out and record as much information as possible:</w:t>
      </w:r>
    </w:p>
    <w:p w:rsidR="00AF7B3B" w:rsidP="0032016D" w:rsidRDefault="00AF7B3B" w14:paraId="3CB89D2E" w14:textId="36CA34B2">
      <w:pPr>
        <w:pStyle w:val="squarebullets"/>
      </w:pPr>
      <w:r w:rsidRPr="0021366A">
        <w:t>How to pronounce the child’s name</w:t>
      </w:r>
      <w:r w:rsidR="00A679C9">
        <w:t xml:space="preserve"> is very important to the child’s sense of belonging</w:t>
      </w:r>
      <w:r w:rsidRPr="0021366A">
        <w:t>. Write it down phonetically to ensure everyone uses the same pronunciation.</w:t>
      </w:r>
    </w:p>
    <w:p w:rsidR="00D44594" w:rsidP="0032016D" w:rsidRDefault="00502194" w14:paraId="11E6FC39" w14:textId="77777777">
      <w:pPr>
        <w:pStyle w:val="squarebullets"/>
      </w:pPr>
      <w:r w:rsidRPr="0021366A">
        <w:t xml:space="preserve">What language/s are spoken at home? </w:t>
      </w:r>
      <w:r>
        <w:t xml:space="preserve">You may wish to look online to check you have </w:t>
      </w:r>
      <w:r w:rsidR="00D44594">
        <w:t>recorded the correct language.</w:t>
      </w:r>
    </w:p>
    <w:p w:rsidR="0036528E" w:rsidP="0032016D" w:rsidRDefault="00502194" w14:paraId="744198BB" w14:textId="77777777">
      <w:pPr>
        <w:pStyle w:val="squarebullets"/>
      </w:pPr>
      <w:r w:rsidRPr="0036528E">
        <w:t xml:space="preserve">Is English spoken at home? </w:t>
      </w:r>
      <w:r w:rsidRPr="0036528E" w:rsidR="007B16B1">
        <w:t>Do e</w:t>
      </w:r>
      <w:r w:rsidRPr="0036528E">
        <w:t xml:space="preserve">mphasise </w:t>
      </w:r>
      <w:r w:rsidRPr="0036528E" w:rsidR="007B16B1">
        <w:t xml:space="preserve">to the family and colleagues </w:t>
      </w:r>
      <w:r w:rsidRPr="0036528E">
        <w:t xml:space="preserve">that is it </w:t>
      </w:r>
      <w:r w:rsidRPr="0036528E" w:rsidR="007B16B1">
        <w:t xml:space="preserve">good for the child to speak </w:t>
      </w:r>
      <w:r w:rsidRPr="0036528E" w:rsidR="003F454C">
        <w:t>their h</w:t>
      </w:r>
      <w:r w:rsidRPr="0036528E">
        <w:t>ome language/s</w:t>
      </w:r>
      <w:r w:rsidRPr="0036528E" w:rsidR="003F454C">
        <w:t xml:space="preserve">. Their knowledge of their home language will support </w:t>
      </w:r>
      <w:r w:rsidRPr="0036528E" w:rsidR="0036528E">
        <w:t xml:space="preserve">developing their </w:t>
      </w:r>
      <w:r w:rsidRPr="0036528E" w:rsidR="003F454C">
        <w:t>English</w:t>
      </w:r>
      <w:r w:rsidR="0036528E">
        <w:t>.</w:t>
      </w:r>
    </w:p>
    <w:p w:rsidRPr="0036528E" w:rsidR="00502194" w:rsidP="0032016D" w:rsidRDefault="00E320B2" w14:paraId="0A5C5DA1" w14:textId="25887D5F">
      <w:pPr>
        <w:pStyle w:val="squarebullets"/>
      </w:pPr>
      <w:r>
        <w:t>D</w:t>
      </w:r>
      <w:r w:rsidRPr="0036528E" w:rsidR="00502194">
        <w:t>oes the child speak their home language/s</w:t>
      </w:r>
      <w:r w:rsidRPr="00E320B2">
        <w:t xml:space="preserve"> </w:t>
      </w:r>
      <w:r w:rsidRPr="0036528E">
        <w:t>well</w:t>
      </w:r>
      <w:r w:rsidRPr="0036528E" w:rsidR="00502194">
        <w:t>? What can they say?</w:t>
      </w:r>
    </w:p>
    <w:p w:rsidRPr="0021366A" w:rsidR="00502194" w:rsidP="0032016D" w:rsidRDefault="00502194" w14:paraId="27C4625E" w14:textId="77777777">
      <w:pPr>
        <w:pStyle w:val="squarebullets"/>
      </w:pPr>
      <w:r w:rsidRPr="0021366A">
        <w:t>Who lives at home?</w:t>
      </w:r>
    </w:p>
    <w:p w:rsidRPr="0021366A" w:rsidR="00E320B2" w:rsidP="0032016D" w:rsidRDefault="00E320B2" w14:paraId="1DA70817" w14:textId="77777777">
      <w:pPr>
        <w:pStyle w:val="squarebullets"/>
      </w:pPr>
      <w:r w:rsidRPr="0021366A">
        <w:t>Which country did the</w:t>
      </w:r>
      <w:r>
        <w:t xml:space="preserve"> family </w:t>
      </w:r>
      <w:r w:rsidRPr="0021366A">
        <w:t>originate from?</w:t>
      </w:r>
    </w:p>
    <w:p w:rsidRPr="0021366A" w:rsidR="00E320B2" w:rsidP="0032016D" w:rsidRDefault="00E320B2" w14:paraId="5752308D" w14:textId="77777777">
      <w:pPr>
        <w:pStyle w:val="squarebullets"/>
      </w:pPr>
      <w:r w:rsidRPr="0021366A">
        <w:t>Does the family have a specific religion or culture? Explain the setting would like to celebrate any key festivals which link to this.</w:t>
      </w:r>
    </w:p>
    <w:p w:rsidR="00292913" w:rsidP="00BF316C" w:rsidRDefault="00E320B2" w14:paraId="77B2E9D1" w14:textId="4B0881CB">
      <w:pPr>
        <w:pStyle w:val="squarebullets"/>
      </w:pPr>
      <w:r w:rsidRPr="0021366A">
        <w:t>What does the child like to play with/what are their interests?</w:t>
      </w:r>
    </w:p>
    <w:p w:rsidR="00ED5F29" w:rsidP="00247325" w:rsidRDefault="00963A29" w14:paraId="061313E5" w14:textId="0CD237CA">
      <w:pPr>
        <w:pStyle w:val="Heading3"/>
      </w:pPr>
      <w:r>
        <w:t xml:space="preserve">Some </w:t>
      </w:r>
      <w:r w:rsidR="00BF316C">
        <w:t xml:space="preserve">prompts to bear in mind: </w:t>
      </w:r>
    </w:p>
    <w:p w:rsidRPr="0021366A" w:rsidR="00C65291" w:rsidP="00216A7B" w:rsidRDefault="00C65291" w14:paraId="5BA51083" w14:textId="37162288">
      <w:pPr>
        <w:pStyle w:val="squarebullets"/>
      </w:pPr>
      <w:r>
        <w:t>C</w:t>
      </w:r>
      <w:r w:rsidRPr="0021366A">
        <w:t xml:space="preserve">hildren </w:t>
      </w:r>
      <w:r>
        <w:t>can</w:t>
      </w:r>
      <w:r w:rsidRPr="0021366A">
        <w:t xml:space="preserve"> feel overwhelmed, frightened, upset, isolated, lost and display unwanted behaviour if</w:t>
      </w:r>
      <w:r>
        <w:t xml:space="preserve"> </w:t>
      </w:r>
      <w:r w:rsidRPr="0021366A">
        <w:t xml:space="preserve">they </w:t>
      </w:r>
      <w:r w:rsidR="00BF316C">
        <w:t xml:space="preserve">feel unable to </w:t>
      </w:r>
      <w:r w:rsidRPr="0021366A">
        <w:t>communicate.</w:t>
      </w:r>
    </w:p>
    <w:p w:rsidRPr="0021366A" w:rsidR="00756A64" w:rsidP="00756A64" w:rsidRDefault="00756A64" w14:paraId="6CAA7114" w14:textId="7CEE34BC">
      <w:pPr>
        <w:pStyle w:val="squarebullets"/>
      </w:pPr>
      <w:r w:rsidRPr="0021366A">
        <w:t>The key person may wish to learn some simple phrases e.g. hello/goodbye in the child’s home language</w:t>
      </w:r>
    </w:p>
    <w:p w:rsidRPr="0021366A" w:rsidR="00216A7B" w:rsidP="00216A7B" w:rsidRDefault="00216A7B" w14:paraId="220EBEAF" w14:textId="77777777">
      <w:pPr>
        <w:pStyle w:val="squarebullets"/>
      </w:pPr>
      <w:r w:rsidRPr="0021366A">
        <w:t xml:space="preserve">For the child, seeing their parent/carer welcomed and interacting with adults will help them to feel secure. </w:t>
      </w:r>
    </w:p>
    <w:p w:rsidR="00216A7B" w:rsidP="00216A7B" w:rsidRDefault="00216A7B" w14:paraId="2C194658" w14:textId="65351EC1">
      <w:pPr>
        <w:pStyle w:val="squarebullets"/>
      </w:pPr>
      <w:r w:rsidRPr="0021366A">
        <w:t xml:space="preserve">A child </w:t>
      </w:r>
      <w:r>
        <w:t xml:space="preserve">who is new to </w:t>
      </w:r>
      <w:r w:rsidRPr="0021366A">
        <w:t xml:space="preserve">English may </w:t>
      </w:r>
      <w:r>
        <w:t xml:space="preserve">use a mixture of </w:t>
      </w:r>
      <w:r w:rsidRPr="0021366A">
        <w:t xml:space="preserve">words from the languages they know in the same sentence. </w:t>
      </w:r>
      <w:r w:rsidR="004C683B">
        <w:t>Encourage all their verbal utterances to grow their confidence.</w:t>
      </w:r>
    </w:p>
    <w:p w:rsidRPr="0021366A" w:rsidR="00E320B2" w:rsidP="00216A7B" w:rsidRDefault="00A93F90" w14:paraId="4AAFB653" w14:textId="069F3B48">
      <w:pPr>
        <w:pStyle w:val="squarebullets"/>
      </w:pPr>
      <w:r>
        <w:t xml:space="preserve">Be sensitive regarding Early Years funding as not all families </w:t>
      </w:r>
      <w:r w:rsidR="007C7CC4">
        <w:t xml:space="preserve">are entitled to </w:t>
      </w:r>
      <w:r w:rsidRPr="0021366A" w:rsidR="00E320B2">
        <w:t>public funds</w:t>
      </w:r>
    </w:p>
    <w:p w:rsidRPr="0021366A" w:rsidR="0021366A" w:rsidP="004C683B" w:rsidRDefault="0021366A" w14:paraId="4AB70735" w14:textId="2E73D32E">
      <w:pPr>
        <w:pStyle w:val="squarebullets"/>
      </w:pPr>
      <w:r w:rsidRPr="0021366A">
        <w:t xml:space="preserve">With permission take some photos of the family visiting the setting to make a welcome book e.g. playing; eating snack; outside; pointing to the bathroom </w:t>
      </w:r>
    </w:p>
    <w:p w:rsidRPr="00D449D8" w:rsidR="0021366A" w:rsidP="00886E4C" w:rsidRDefault="002F661C" w14:paraId="08B13EA3" w14:textId="4F2401F4">
      <w:pPr>
        <w:pStyle w:val="squarebullets"/>
      </w:pPr>
      <w:r>
        <w:t xml:space="preserve">If language is a barrier provide </w:t>
      </w:r>
      <w:r w:rsidR="00297C74">
        <w:t xml:space="preserve">a </w:t>
      </w:r>
      <w:r w:rsidRPr="0021366A" w:rsidR="0021366A">
        <w:t>visual show</w:t>
      </w:r>
      <w:r w:rsidR="00297C74">
        <w:t>ing which sessions the child can attend and the</w:t>
      </w:r>
      <w:r w:rsidRPr="0021366A" w:rsidR="0021366A">
        <w:t xml:space="preserve"> start and finish times; </w:t>
      </w:r>
      <w:r w:rsidR="00292913">
        <w:t>also,</w:t>
      </w:r>
      <w:r w:rsidR="00297C74">
        <w:t xml:space="preserve"> </w:t>
      </w:r>
      <w:r w:rsidR="00C8272C">
        <w:t xml:space="preserve">it may be helpful to show </w:t>
      </w:r>
      <w:r w:rsidRPr="0021366A" w:rsidR="0021366A">
        <w:t xml:space="preserve">what the child needs </w:t>
      </w:r>
      <w:r w:rsidR="00C8272C">
        <w:t xml:space="preserve">to bring </w:t>
      </w:r>
      <w:r w:rsidR="009E3147">
        <w:t xml:space="preserve">to the session </w:t>
      </w:r>
      <w:r w:rsidR="005A2FF7">
        <w:t>e.g.</w:t>
      </w:r>
      <w:r w:rsidR="009E3147">
        <w:t xml:space="preserve"> </w:t>
      </w:r>
      <w:r w:rsidR="005A2FF7">
        <w:t xml:space="preserve">snacks/lunch; a </w:t>
      </w:r>
      <w:r w:rsidR="009E3147">
        <w:t xml:space="preserve">winter coat or sunscreen </w:t>
      </w:r>
      <w:r w:rsidR="005A2FF7">
        <w:t>depending on the season.</w:t>
      </w:r>
    </w:p>
    <w:p w:rsidRPr="0021366A" w:rsidR="0021366A" w:rsidP="00C70A73" w:rsidRDefault="0021366A" w14:paraId="56EC5564" w14:textId="73A80342">
      <w:pPr>
        <w:pStyle w:val="squarebullets"/>
      </w:pPr>
      <w:r w:rsidRPr="0021366A">
        <w:t xml:space="preserve">Please ensure </w:t>
      </w:r>
      <w:r w:rsidR="00C70A73">
        <w:t xml:space="preserve">information is passed on </w:t>
      </w:r>
      <w:r w:rsidR="00886E4C">
        <w:t>to practitioners</w:t>
      </w:r>
      <w:r w:rsidRPr="0021366A">
        <w:t xml:space="preserve"> working with the child </w:t>
      </w:r>
      <w:r w:rsidR="00886E4C">
        <w:t xml:space="preserve">so they </w:t>
      </w:r>
      <w:r w:rsidRPr="0021366A">
        <w:t>know the languages spoken, the</w:t>
      </w:r>
      <w:r w:rsidR="00886E4C">
        <w:t xml:space="preserve"> </w:t>
      </w:r>
      <w:r w:rsidR="00292913">
        <w:t>family’s</w:t>
      </w:r>
      <w:r w:rsidRPr="0021366A">
        <w:t xml:space="preserve"> religion or culture and which country they may have lived or have relatives living in.</w:t>
      </w:r>
    </w:p>
    <w:p w:rsidRPr="0021366A" w:rsidR="0021366A" w:rsidP="006D04DE" w:rsidRDefault="0021366A" w14:paraId="5A13F850" w14:textId="091149F2">
      <w:pPr>
        <w:pStyle w:val="Heading3"/>
      </w:pPr>
      <w:r w:rsidRPr="0021366A">
        <w:t>Visual resources to support understanding</w:t>
      </w:r>
      <w:r w:rsidR="0095365B">
        <w:t xml:space="preserve"> for all children including those who are multilingual:</w:t>
      </w:r>
    </w:p>
    <w:p w:rsidRPr="0021366A" w:rsidR="0021366A" w:rsidP="00AA566B" w:rsidRDefault="0021366A" w14:paraId="4B2A0A8D" w14:textId="16EEF3F8">
      <w:pPr>
        <w:pStyle w:val="squarebullets"/>
      </w:pPr>
      <w:r w:rsidRPr="0021366A">
        <w:t xml:space="preserve">A visual timetable </w:t>
      </w:r>
      <w:r w:rsidR="00002D15">
        <w:t>is used to explain the daily routine</w:t>
      </w:r>
    </w:p>
    <w:p w:rsidRPr="0021366A" w:rsidR="0021366A" w:rsidP="00002D15" w:rsidRDefault="0021366A" w14:paraId="26E395DF" w14:textId="77777777">
      <w:pPr>
        <w:pStyle w:val="squarebullets"/>
      </w:pPr>
      <w:r w:rsidRPr="0021366A">
        <w:t>Feelings or emotions picture cards so children can label their own and others’ emotions.</w:t>
      </w:r>
    </w:p>
    <w:p w:rsidRPr="0021366A" w:rsidR="0021366A" w:rsidP="00002D15" w:rsidRDefault="0021366A" w14:paraId="03F94CE7" w14:textId="77777777">
      <w:pPr>
        <w:pStyle w:val="squarebullets"/>
      </w:pPr>
      <w:r w:rsidRPr="0021366A">
        <w:t>Photographs of areas, resources, peers, and staff to support children with their understanding.</w:t>
      </w:r>
    </w:p>
    <w:p w:rsidRPr="0021366A" w:rsidR="0021366A" w:rsidP="00002D15" w:rsidRDefault="0021366A" w14:paraId="0E07F8F0" w14:textId="77777777">
      <w:pPr>
        <w:pStyle w:val="squarebullets"/>
      </w:pPr>
      <w:r w:rsidRPr="0021366A">
        <w:t>Story and song props used as often as possible.</w:t>
      </w:r>
    </w:p>
    <w:p w:rsidRPr="001E0E2C" w:rsidR="0021366A" w:rsidP="006D04DE" w:rsidRDefault="0021366A" w14:paraId="62E5B972" w14:textId="5D1FA51C">
      <w:pPr>
        <w:pStyle w:val="Heading3"/>
      </w:pPr>
      <w:r w:rsidRPr="001E0E2C">
        <w:t>Top tips for supporting multilingual children in Early years settings</w:t>
      </w:r>
      <w:r w:rsidR="006D04DE">
        <w:t>:</w:t>
      </w:r>
    </w:p>
    <w:p w:rsidRPr="00AE53F0" w:rsidR="0021366A" w:rsidP="0021366A" w:rsidRDefault="0021366A" w14:paraId="3A33271A" w14:textId="78136C02">
      <w:pPr>
        <w:pStyle w:val="squarebullets"/>
      </w:pPr>
      <w:r w:rsidRPr="0021366A">
        <w:t xml:space="preserve">Engaging parents improves children’s outcomes. Invite parents in to share a book in their </w:t>
      </w:r>
      <w:r w:rsidRPr="001E0E2C">
        <w:rPr>
          <w:rFonts w:cstheme="minorHAnsi"/>
          <w:szCs w:val="24"/>
        </w:rPr>
        <w:t>own language. This can give the child a real sense of pride and help to make the</w:t>
      </w:r>
      <w:r w:rsidR="00185C70">
        <w:rPr>
          <w:rFonts w:cstheme="minorHAnsi"/>
          <w:szCs w:val="24"/>
        </w:rPr>
        <w:t xml:space="preserve">ir culture is valued </w:t>
      </w:r>
      <w:r w:rsidR="00AE53F0">
        <w:rPr>
          <w:rFonts w:cstheme="minorHAnsi"/>
          <w:szCs w:val="24"/>
        </w:rPr>
        <w:t>within</w:t>
      </w:r>
      <w:r w:rsidRPr="001E0E2C">
        <w:rPr>
          <w:rFonts w:cstheme="minorHAnsi"/>
          <w:szCs w:val="24"/>
        </w:rPr>
        <w:t xml:space="preserve"> the </w:t>
      </w:r>
      <w:r w:rsidR="00185C70">
        <w:rPr>
          <w:rFonts w:cstheme="minorHAnsi"/>
          <w:szCs w:val="24"/>
        </w:rPr>
        <w:t>setting</w:t>
      </w:r>
      <w:r w:rsidRPr="00185C70">
        <w:rPr>
          <w:rFonts w:cstheme="minorHAnsi"/>
          <w:szCs w:val="24"/>
        </w:rPr>
        <w:t xml:space="preserve">. It is also a wonderful opportunity for the other children to experience a different culture first </w:t>
      </w:r>
      <w:r w:rsidRPr="00AE53F0">
        <w:rPr>
          <w:rFonts w:cstheme="minorHAnsi"/>
          <w:szCs w:val="24"/>
        </w:rPr>
        <w:t xml:space="preserve">hand. </w:t>
      </w:r>
    </w:p>
    <w:p w:rsidRPr="0021366A" w:rsidR="0021366A" w:rsidP="00AE53F0" w:rsidRDefault="0021366A" w14:paraId="576FDEE5" w14:textId="77777777">
      <w:pPr>
        <w:pStyle w:val="squarebullets"/>
      </w:pPr>
      <w:r w:rsidRPr="0021366A">
        <w:t>Use positive body language and facial expressions</w:t>
      </w:r>
    </w:p>
    <w:p w:rsidRPr="00AE53F0" w:rsidR="0021366A" w:rsidP="0021366A" w:rsidRDefault="0021366A" w14:paraId="5C5385CF" w14:textId="373C8961">
      <w:pPr>
        <w:pStyle w:val="squarebullets"/>
      </w:pPr>
      <w:r w:rsidRPr="0021366A">
        <w:t>Focus activities on what the child likes and can do</w:t>
      </w:r>
      <w:r w:rsidR="00AE53F0">
        <w:t xml:space="preserve"> </w:t>
      </w:r>
      <w:r w:rsidRPr="0021366A">
        <w:t xml:space="preserve">- the more motivated they are in what they’re </w:t>
      </w:r>
      <w:r w:rsidRPr="00AE53F0">
        <w:rPr>
          <w:rFonts w:cstheme="minorHAnsi"/>
          <w:szCs w:val="24"/>
        </w:rPr>
        <w:t>doing/playing with, the more they are likely to learn the language linked to that activity.</w:t>
      </w:r>
    </w:p>
    <w:p w:rsidRPr="0021366A" w:rsidR="0021366A" w:rsidP="00AE53F0" w:rsidRDefault="0021366A" w14:paraId="0B413849" w14:textId="33DE3C38">
      <w:pPr>
        <w:pStyle w:val="squarebullets"/>
      </w:pPr>
      <w:r w:rsidRPr="0021366A">
        <w:t xml:space="preserve">Gain the child’s attention </w:t>
      </w:r>
      <w:r w:rsidR="00AE53F0">
        <w:t xml:space="preserve">using their name </w:t>
      </w:r>
      <w:r w:rsidRPr="0021366A">
        <w:t>before addressing them.</w:t>
      </w:r>
    </w:p>
    <w:p w:rsidRPr="00AE53F0" w:rsidR="0021366A" w:rsidP="0021366A" w:rsidRDefault="0021366A" w14:paraId="383226B3" w14:textId="2BE1C5EF">
      <w:pPr>
        <w:pStyle w:val="squarebullets"/>
      </w:pPr>
      <w:r w:rsidRPr="0021366A">
        <w:t xml:space="preserve">Use short simple sentences, give at least 10 seconds for them to respond. </w:t>
      </w:r>
      <w:r w:rsidR="005C5FDB">
        <w:t>R</w:t>
      </w:r>
      <w:r w:rsidRPr="0021366A">
        <w:t xml:space="preserve">ephrase </w:t>
      </w:r>
      <w:r w:rsidR="005C5FDB">
        <w:t xml:space="preserve">if you believe they </w:t>
      </w:r>
      <w:r w:rsidRPr="00AE53F0">
        <w:rPr>
          <w:rFonts w:cstheme="minorHAnsi"/>
          <w:szCs w:val="24"/>
        </w:rPr>
        <w:t>haven’t understood</w:t>
      </w:r>
    </w:p>
    <w:p w:rsidRPr="009C643F" w:rsidR="0021366A" w:rsidP="0021366A" w:rsidRDefault="0021366A" w14:paraId="5A3D1773" w14:textId="198D063E">
      <w:pPr>
        <w:pStyle w:val="squarebullets"/>
      </w:pPr>
      <w:r w:rsidRPr="0021366A">
        <w:t xml:space="preserve">Value and celebrate cultural diversity. Cultural learning experiences can improve awareness and </w:t>
      </w:r>
      <w:r w:rsidRPr="009C643F">
        <w:rPr>
          <w:rFonts w:cstheme="minorHAnsi"/>
          <w:szCs w:val="24"/>
        </w:rPr>
        <w:t>appreciation and prevent social and cultural exclusion.</w:t>
      </w:r>
    </w:p>
    <w:p w:rsidRPr="0021366A" w:rsidR="0021366A" w:rsidP="009C643F" w:rsidRDefault="0021366A" w14:paraId="74B9860B" w14:textId="61C59857">
      <w:pPr>
        <w:pStyle w:val="squarebullets"/>
      </w:pPr>
      <w:r w:rsidRPr="0021366A">
        <w:t>Use objects, pointing, gesture, visual support alongside spoken instructions</w:t>
      </w:r>
      <w:r w:rsidRPr="00A77B5D" w:rsidR="00A77B5D">
        <w:t xml:space="preserve"> </w:t>
      </w:r>
      <w:r w:rsidRPr="0021366A" w:rsidR="00A77B5D">
        <w:t>to help show what you mean</w:t>
      </w:r>
    </w:p>
    <w:p w:rsidRPr="0021366A" w:rsidR="0021366A" w:rsidP="009C643F" w:rsidRDefault="0021366A" w14:paraId="0C584A16" w14:textId="652AFDF9">
      <w:pPr>
        <w:pStyle w:val="squarebullets"/>
      </w:pPr>
      <w:r w:rsidRPr="0021366A">
        <w:t xml:space="preserve">Use repetition </w:t>
      </w:r>
      <w:r w:rsidR="00A77B5D">
        <w:t>frequently</w:t>
      </w:r>
    </w:p>
    <w:p w:rsidRPr="0021366A" w:rsidR="0021366A" w:rsidP="00A77B5D" w:rsidRDefault="0021366A" w14:paraId="321EEBA9" w14:textId="77777777">
      <w:pPr>
        <w:pStyle w:val="squarebullets"/>
      </w:pPr>
      <w:r w:rsidRPr="0021366A">
        <w:t>Allow child to have solitary play to begin with, try not to overwhelm.</w:t>
      </w:r>
    </w:p>
    <w:p w:rsidRPr="0021366A" w:rsidR="0021366A" w:rsidP="00A77B5D" w:rsidRDefault="0021366A" w14:paraId="674378AD" w14:textId="77777777">
      <w:pPr>
        <w:pStyle w:val="squarebullets"/>
      </w:pPr>
      <w:r w:rsidRPr="0021366A">
        <w:t>Offer opportunities for them to join in activities in their own time.</w:t>
      </w:r>
    </w:p>
    <w:p w:rsidRPr="0021366A" w:rsidR="0021366A" w:rsidP="00A77B5D" w:rsidRDefault="0021366A" w14:paraId="22796D3A" w14:textId="77777777">
      <w:pPr>
        <w:pStyle w:val="squarebullets"/>
      </w:pPr>
      <w:r w:rsidRPr="0021366A">
        <w:t>Use visual alongside verbal- talk while doing.</w:t>
      </w:r>
    </w:p>
    <w:p w:rsidRPr="00A77B5D" w:rsidR="0021366A" w:rsidP="0021366A" w:rsidRDefault="0021366A" w14:paraId="28B413DA" w14:textId="117D2304">
      <w:pPr>
        <w:pStyle w:val="squarebullets"/>
      </w:pPr>
      <w:r w:rsidRPr="0021366A">
        <w:t xml:space="preserve">Praise any attempt to communicate, no matter how small. Accept nonverbal responses i.e. pointing, </w:t>
      </w:r>
      <w:r w:rsidRPr="00A77B5D">
        <w:rPr>
          <w:rFonts w:cstheme="minorHAnsi"/>
          <w:szCs w:val="24"/>
        </w:rPr>
        <w:t>nodding, gesture, taking you by the hand to show.</w:t>
      </w:r>
    </w:p>
    <w:p w:rsidRPr="0021366A" w:rsidR="0021366A" w:rsidP="00247325" w:rsidRDefault="0021366A" w14:paraId="1F6A5C60" w14:textId="77777777">
      <w:pPr>
        <w:pStyle w:val="squarebullets"/>
      </w:pPr>
      <w:r w:rsidRPr="0021366A">
        <w:t>Use questions with specific answers i.e. do you want the blue one of the green one?</w:t>
      </w:r>
    </w:p>
    <w:p w:rsidRPr="0021366A" w:rsidR="0021366A" w:rsidP="00247325" w:rsidRDefault="0021366A" w14:paraId="4E66A1F8" w14:textId="77777777">
      <w:pPr>
        <w:pStyle w:val="squarebullets"/>
      </w:pPr>
      <w:r w:rsidRPr="0021366A">
        <w:t>Use the home corner to reflect different cultures</w:t>
      </w:r>
    </w:p>
    <w:p w:rsidRPr="0021366A" w:rsidR="0021366A" w:rsidP="00247325" w:rsidRDefault="0021366A" w14:paraId="526091CA" w14:textId="77777777">
      <w:pPr>
        <w:pStyle w:val="squarebullets"/>
      </w:pPr>
      <w:r w:rsidRPr="0021366A">
        <w:t>Use snacks/food from home country if appropriate at snack times.</w:t>
      </w:r>
    </w:p>
    <w:p w:rsidRPr="00247325" w:rsidR="0021366A" w:rsidP="006D04DE" w:rsidRDefault="5CF8E890" w14:paraId="5DC5E565" w14:textId="666D4BCF">
      <w:pPr>
        <w:pStyle w:val="Heading3"/>
      </w:pPr>
      <w:r>
        <w:t>A c</w:t>
      </w:r>
      <w:r w:rsidR="02BB7E5E">
        <w:t xml:space="preserve">onsideration with </w:t>
      </w:r>
      <w:r w:rsidR="5BD6BDF5">
        <w:t xml:space="preserve">multilingual </w:t>
      </w:r>
      <w:r w:rsidR="02BB7E5E">
        <w:t>c</w:t>
      </w:r>
      <w:r w:rsidR="532B5CF9">
        <w:t xml:space="preserve">hildren who </w:t>
      </w:r>
      <w:r w:rsidR="73F5D26B">
        <w:t>may have an additional need</w:t>
      </w:r>
      <w:r w:rsidR="006D04DE">
        <w:t>:</w:t>
      </w:r>
    </w:p>
    <w:p w:rsidRPr="0021366A" w:rsidR="0021366A" w:rsidP="2EAB6931" w:rsidRDefault="0021366A" w14:paraId="1AEB7DDD" w14:textId="7AD9FE14">
      <w:pPr>
        <w:pStyle w:val="Heading1"/>
        <w:pBdr>
          <w:bottom w:val="single" w:color="FFBF3F" w:themeColor="accent4" w:sz="12" w:space="31"/>
        </w:pBdr>
        <w:rPr>
          <w:rFonts w:asciiTheme="minorHAnsi" w:hAnsiTheme="minorHAnsi" w:cstheme="minorBidi"/>
          <w:sz w:val="24"/>
          <w:szCs w:val="24"/>
        </w:rPr>
      </w:pPr>
      <w:r w:rsidRPr="2EAB6931">
        <w:rPr>
          <w:rFonts w:asciiTheme="minorHAnsi" w:hAnsiTheme="minorHAnsi" w:cstheme="minorBidi"/>
          <w:sz w:val="24"/>
          <w:szCs w:val="24"/>
        </w:rPr>
        <w:t>Depending on their level of proficiency in English, multilingual children who are learning EAL may face linguistic challenges and will need targeted language support to help them learn both the English.</w:t>
      </w:r>
      <w:r w:rsidRPr="2EAB6931" w:rsidR="00A71B53">
        <w:rPr>
          <w:rFonts w:asciiTheme="minorHAnsi" w:hAnsiTheme="minorHAnsi" w:cstheme="minorBidi"/>
          <w:sz w:val="24"/>
          <w:szCs w:val="24"/>
        </w:rPr>
        <w:t xml:space="preserve"> </w:t>
      </w:r>
      <w:r w:rsidRPr="2EAB6931">
        <w:rPr>
          <w:rFonts w:asciiTheme="minorHAnsi" w:hAnsiTheme="minorHAnsi" w:cstheme="minorBidi"/>
          <w:sz w:val="24"/>
          <w:szCs w:val="24"/>
        </w:rPr>
        <w:t xml:space="preserve">A small proportion of multilingual children </w:t>
      </w:r>
      <w:r w:rsidRPr="2EAB6931" w:rsidR="6DF4BD06">
        <w:rPr>
          <w:rFonts w:asciiTheme="minorHAnsi" w:hAnsiTheme="minorHAnsi" w:cstheme="minorBidi"/>
          <w:sz w:val="24"/>
          <w:szCs w:val="24"/>
        </w:rPr>
        <w:t>may</w:t>
      </w:r>
      <w:r w:rsidRPr="2EAB6931">
        <w:rPr>
          <w:rFonts w:asciiTheme="minorHAnsi" w:hAnsiTheme="minorHAnsi" w:cstheme="minorBidi"/>
          <w:sz w:val="24"/>
          <w:szCs w:val="24"/>
        </w:rPr>
        <w:t xml:space="preserve"> also have SEND. It is vital that children are identified as early as possible, so they can receive targeted and integrated support that addresses both their linguistic challenges, and their special learning needs.</w:t>
      </w:r>
    </w:p>
    <w:p w:rsidRPr="0021366A" w:rsidR="0021366A" w:rsidP="00C67CDF" w:rsidRDefault="0021366A" w14:paraId="07B34302" w14:textId="68F74F06">
      <w:pPr>
        <w:pStyle w:val="Heading1"/>
        <w:pBdr>
          <w:bottom w:val="single" w:color="FFBF3F" w:themeColor="accent4" w:sz="12" w:space="31"/>
        </w:pBdr>
        <w:rPr>
          <w:rFonts w:asciiTheme="minorHAnsi" w:hAnsiTheme="minorHAnsi" w:cstheme="minorHAnsi"/>
          <w:sz w:val="24"/>
          <w:szCs w:val="24"/>
        </w:rPr>
      </w:pPr>
      <w:r w:rsidRPr="0021366A">
        <w:rPr>
          <w:rFonts w:asciiTheme="minorHAnsi" w:hAnsiTheme="minorHAnsi" w:cstheme="minorHAnsi"/>
          <w:sz w:val="24"/>
          <w:szCs w:val="24"/>
        </w:rPr>
        <w:t>There is insignificant evidence to show that being bilingual and ASD creates a significant barrier to developing communication. Some studies have shown that children with ASD exposed to a bilingual environment use more functional gestures to communicate than monolingual peers. This means it is beneficial to continue to use Makaton, clear non-verbal communication, and visual cues to support verbal language, providing opportunities to bridge both languages.</w:t>
      </w:r>
    </w:p>
    <w:p w:rsidRPr="0021366A" w:rsidR="0021366A" w:rsidP="00C67CDF" w:rsidRDefault="0021366A" w14:paraId="4AAE332C" w14:textId="4CAFD10B">
      <w:pPr>
        <w:pStyle w:val="Heading1"/>
        <w:pBdr>
          <w:bottom w:val="single" w:color="FFBF3F" w:themeColor="accent4" w:sz="12" w:space="31"/>
        </w:pBdr>
        <w:rPr>
          <w:rFonts w:asciiTheme="minorHAnsi" w:hAnsiTheme="minorHAnsi" w:cstheme="minorHAnsi"/>
          <w:sz w:val="24"/>
          <w:szCs w:val="24"/>
        </w:rPr>
      </w:pPr>
      <w:r w:rsidRPr="0021366A">
        <w:rPr>
          <w:rFonts w:asciiTheme="minorHAnsi" w:hAnsiTheme="minorHAnsi" w:cstheme="minorHAnsi"/>
          <w:sz w:val="24"/>
          <w:szCs w:val="24"/>
        </w:rPr>
        <w:t>There isn’t a specific test to show whether a multilingual learner has SEND. Focused observations both in and outside of the classroom and feedback from all those who work with the child will help to build a picture of their needs and particular challenges.</w:t>
      </w:r>
    </w:p>
    <w:p w:rsidR="000F3295" w:rsidP="006D04DE" w:rsidRDefault="000F3295" w14:paraId="7BCCD7CD" w14:textId="43018629">
      <w:pPr>
        <w:pStyle w:val="Heading3"/>
      </w:pPr>
      <w:r w:rsidRPr="0001591C">
        <w:t>Online resources</w:t>
      </w:r>
      <w:r w:rsidR="00034F8E">
        <w:t>:</w:t>
      </w:r>
      <w:r w:rsidRPr="0001591C">
        <w:t xml:space="preserve"> </w:t>
      </w:r>
    </w:p>
    <w:p w:rsidRPr="00034F8E" w:rsidR="00034F8E" w:rsidP="00034F8E" w:rsidRDefault="00034F8E" w14:paraId="6A35F2AB" w14:textId="38AB619F">
      <w:pPr>
        <w:pStyle w:val="squarebullets"/>
        <w:numPr>
          <w:ilvl w:val="0"/>
          <w:numId w:val="0"/>
        </w:numPr>
        <w:ind w:left="360" w:hanging="360"/>
      </w:pPr>
      <w:r w:rsidRPr="0021366A">
        <w:t>T</w:t>
      </w:r>
      <w:r>
        <w:t>orbay</w:t>
      </w:r>
      <w:r w:rsidRPr="0021366A">
        <w:t xml:space="preserve"> Family hub has a function in the bottom lefthand corner, where you can translate it into</w:t>
      </w:r>
      <w:r w:rsidR="0040408E">
        <w:t xml:space="preserve"> </w:t>
      </w:r>
      <w:r w:rsidRPr="0021366A">
        <w:t>many different languages so parents and families can access information.</w:t>
      </w:r>
    </w:p>
    <w:p w:rsidRPr="00034F8E" w:rsidR="00034F8E" w:rsidP="00034F8E" w:rsidRDefault="00034F8E" w14:paraId="173BF2D9" w14:textId="0B1937D3">
      <w:hyperlink w:history="1" r:id="rId11">
        <w:r w:rsidRPr="00034F8E">
          <w:rPr>
            <w:color w:val="0000FF"/>
            <w:u w:val="single"/>
          </w:rPr>
          <w:t>Torbay Online Family Hub – Home - Family Hub</w:t>
        </w:r>
      </w:hyperlink>
    </w:p>
    <w:p w:rsidR="0066644E" w:rsidP="0066644E" w:rsidRDefault="000F3295" w14:paraId="157951DA" w14:textId="77777777">
      <w:pPr>
        <w:pStyle w:val="squarebullets"/>
      </w:pPr>
      <w:r w:rsidRPr="0001591C">
        <w:rPr>
          <w:rStyle w:val="Heading3Char"/>
        </w:rPr>
        <w:t>Chat, Play, Read</w:t>
      </w:r>
      <w:r w:rsidRPr="0021366A">
        <w:rPr>
          <w:rFonts w:cstheme="minorHAnsi"/>
          <w:szCs w:val="24"/>
        </w:rPr>
        <w:t xml:space="preserve"> is a national initiative to promote the </w:t>
      </w:r>
      <w:r w:rsidRPr="0021366A" w:rsidR="00F26055">
        <w:rPr>
          <w:rFonts w:cstheme="minorHAnsi"/>
          <w:szCs w:val="24"/>
        </w:rPr>
        <w:t xml:space="preserve">crucial role </w:t>
      </w:r>
      <w:r w:rsidR="00CA4213">
        <w:rPr>
          <w:rFonts w:cstheme="minorHAnsi"/>
          <w:szCs w:val="24"/>
        </w:rPr>
        <w:t xml:space="preserve">of </w:t>
      </w:r>
      <w:r w:rsidR="00F26055">
        <w:rPr>
          <w:rFonts w:cstheme="minorHAnsi"/>
          <w:szCs w:val="24"/>
        </w:rPr>
        <w:t xml:space="preserve">the </w:t>
      </w:r>
      <w:r w:rsidRPr="0021366A">
        <w:rPr>
          <w:rFonts w:cstheme="minorHAnsi"/>
          <w:szCs w:val="24"/>
        </w:rPr>
        <w:t xml:space="preserve">home learning environment in children’s early development. </w:t>
      </w:r>
      <w:hyperlink w:history="1" r:id="rId12">
        <w:r w:rsidRPr="00683F08" w:rsidR="0066644E">
          <w:rPr>
            <w:color w:val="0000FF"/>
            <w:u w:val="single"/>
          </w:rPr>
          <w:t>Chat, play, read booklets | National Literacy Trust</w:t>
        </w:r>
      </w:hyperlink>
      <w:r w:rsidRPr="00C67CDF" w:rsidR="0066644E">
        <w:t xml:space="preserve"> </w:t>
      </w:r>
    </w:p>
    <w:p w:rsidR="0066644E" w:rsidP="0066644E" w:rsidRDefault="0066644E" w14:paraId="6A45DE53" w14:textId="77777777">
      <w:pPr>
        <w:pStyle w:val="squarebullets"/>
      </w:pPr>
      <w:r w:rsidRPr="00CA4213">
        <w:t>Translated resources</w:t>
      </w:r>
      <w:r>
        <w:t xml:space="preserve">: </w:t>
      </w:r>
      <w:r w:rsidRPr="00CA4213">
        <w:t>The booklet can be downloaded in 19 different languages for you to share with the multilingual families in your setting or community.</w:t>
      </w:r>
      <w:r w:rsidRPr="00C67CDF">
        <w:t xml:space="preserve"> </w:t>
      </w:r>
      <w:hyperlink w:history="1" r:id="rId13">
        <w:r w:rsidRPr="00C67CDF">
          <w:rPr>
            <w:color w:val="0000FF"/>
            <w:u w:val="single"/>
          </w:rPr>
          <w:t>Download Chat, play, read booklets | Words for Life</w:t>
        </w:r>
      </w:hyperlink>
      <w:r w:rsidRPr="00C67CDF">
        <w:t xml:space="preserve"> </w:t>
      </w:r>
    </w:p>
    <w:p w:rsidR="0066644E" w:rsidP="0066644E" w:rsidRDefault="0066644E" w14:paraId="156F16F5" w14:textId="77777777">
      <w:pPr>
        <w:pStyle w:val="squarebullets"/>
      </w:pPr>
      <w:r w:rsidRPr="00CA4213">
        <w:t>Visit our Soundcloud page to access voice recordings of these translations.</w:t>
      </w:r>
      <w:r w:rsidRPr="00352264">
        <w:t xml:space="preserve"> </w:t>
      </w:r>
      <w:hyperlink w:history="1" r:id="rId14">
        <w:r w:rsidRPr="00352264">
          <w:rPr>
            <w:color w:val="0000FF"/>
            <w:u w:val="single"/>
          </w:rPr>
          <w:t>Stream National Literacy Trust | Listen to music playlists online for free on SoundCloud</w:t>
        </w:r>
      </w:hyperlink>
    </w:p>
    <w:p w:rsidR="00C243F7" w:rsidP="0066644E" w:rsidRDefault="006002BF" w14:paraId="2750DBC8" w14:textId="06CD669E">
      <w:pPr>
        <w:pStyle w:val="squarebullets"/>
      </w:pPr>
      <w:hyperlink w:history="1" r:id="rId15">
        <w:r w:rsidRPr="006002BF">
          <w:rPr>
            <w:color w:val="0000FF"/>
            <w:u w:val="single"/>
          </w:rPr>
          <w:t>Help for early years providers : English as an additional language (EAL)</w:t>
        </w:r>
      </w:hyperlink>
    </w:p>
    <w:p w:rsidR="005B478B" w:rsidP="0066644E" w:rsidRDefault="005B478B" w14:paraId="7D87FEE4" w14:textId="1E542309">
      <w:pPr>
        <w:pStyle w:val="squarebullets"/>
      </w:pPr>
      <w:hyperlink w:history="1" r:id="rId16">
        <w:r w:rsidRPr="005B478B">
          <w:rPr>
            <w:color w:val="0000FF"/>
            <w:u w:val="single"/>
          </w:rPr>
          <w:t>EAL in Early Years Settings: Guidance and Strategies - The Bell Foundation</w:t>
        </w:r>
      </w:hyperlink>
    </w:p>
    <w:p w:rsidR="005B478B" w:rsidP="0066644E" w:rsidRDefault="00AD7AA6" w14:paraId="02FD03B2" w14:textId="16765D9B">
      <w:pPr>
        <w:pStyle w:val="squarebullets"/>
      </w:pPr>
      <w:hyperlink w:history="1" r:id="rId17">
        <w:r w:rsidRPr="00AD7AA6">
          <w:rPr>
            <w:color w:val="0000FF"/>
            <w:u w:val="single"/>
          </w:rPr>
          <w:t>Supporting EAL In The Early Years For Practitioners In Early Years Settings And Childminders | Stronger Practice Hubs</w:t>
        </w:r>
      </w:hyperlink>
    </w:p>
    <w:p w:rsidR="00AD7AA6" w:rsidP="0066644E" w:rsidRDefault="005F4490" w14:paraId="18889749" w14:textId="7D22A3E2">
      <w:pPr>
        <w:pStyle w:val="squarebullets"/>
      </w:pPr>
      <w:hyperlink w:history="1" r:id="rId18">
        <w:r w:rsidRPr="005F4490">
          <w:rPr>
            <w:color w:val="0000FF"/>
            <w:u w:val="single"/>
          </w:rPr>
          <w:t>EAL: Why the home language matters | www.eyalliance.org.uk</w:t>
        </w:r>
      </w:hyperlink>
    </w:p>
    <w:p w:rsidR="00BC75F0" w:rsidP="0066644E" w:rsidRDefault="00BC75F0" w14:paraId="40EE93A4" w14:textId="72FB1E6B">
      <w:pPr>
        <w:pStyle w:val="squarebullets"/>
      </w:pPr>
      <w:hyperlink w:history="1" r:id="rId19">
        <w:r w:rsidRPr="00BC75F0">
          <w:rPr>
            <w:color w:val="0000FF"/>
            <w:u w:val="single"/>
          </w:rPr>
          <w:t>Understanding multilingualism in the early years | National Literacy Trust</w:t>
        </w:r>
      </w:hyperlink>
    </w:p>
    <w:p w:rsidR="00BC75F0" w:rsidP="0066644E" w:rsidRDefault="000D0554" w14:paraId="71077141" w14:textId="7C74935F">
      <w:pPr>
        <w:pStyle w:val="squarebullets"/>
      </w:pPr>
      <w:hyperlink w:history="1" r:id="rId20">
        <w:r w:rsidRPr="000D0554">
          <w:rPr>
            <w:color w:val="0000FF"/>
            <w:u w:val="single"/>
          </w:rPr>
          <w:t>Time together - support for multilingual families | National Literacy Trust</w:t>
        </w:r>
      </w:hyperlink>
    </w:p>
    <w:p w:rsidR="006D04DE" w:rsidP="0066644E" w:rsidRDefault="006D04DE" w14:paraId="5A05D849" w14:textId="553C9577">
      <w:pPr>
        <w:pStyle w:val="squarebullets"/>
      </w:pPr>
      <w:hyperlink w:history="1" r:id="rId21">
        <w:r w:rsidRPr="006D04DE">
          <w:rPr>
            <w:color w:val="0000FF"/>
            <w:u w:val="single"/>
          </w:rPr>
          <w:t>Mantra Lingua UK | Dual language books and bilingual books and resources for bilingual children and parents and for the multi-lingual classroom.</w:t>
        </w:r>
      </w:hyperlink>
    </w:p>
    <w:p w:rsidRPr="0021366A" w:rsidR="00C243F7" w:rsidP="00C243F7" w:rsidRDefault="00C243F7" w14:paraId="5F7EA8E1" w14:textId="078487CC">
      <w:pPr>
        <w:pStyle w:val="Heading1"/>
        <w:rPr>
          <w:rFonts w:asciiTheme="minorHAnsi" w:hAnsiTheme="minorHAnsi" w:cstheme="minorHAnsi"/>
          <w:sz w:val="24"/>
          <w:szCs w:val="24"/>
        </w:rPr>
      </w:pPr>
    </w:p>
    <w:p w:rsidRPr="00CA4213" w:rsidR="0003239F" w:rsidP="006D04DE" w:rsidRDefault="0003239F" w14:paraId="311835CD" w14:textId="77777777">
      <w:pPr>
        <w:pStyle w:val="squarebullets"/>
        <w:numPr>
          <w:ilvl w:val="0"/>
          <w:numId w:val="0"/>
        </w:numPr>
        <w:ind w:left="360" w:hanging="360"/>
      </w:pPr>
    </w:p>
    <w:p w:rsidR="00C67CDF" w:rsidP="00C67CDF" w:rsidRDefault="00C67CDF" w14:paraId="54C07ADB" w14:textId="61D071B2">
      <w:pPr>
        <w:pStyle w:val="Heading1"/>
        <w:pBdr>
          <w:bottom w:val="single" w:color="FFBF3F" w:themeColor="accent4" w:sz="12" w:space="31"/>
        </w:pBdr>
        <w:rPr>
          <w:rFonts w:asciiTheme="minorHAnsi" w:hAnsiTheme="minorHAnsi" w:cstheme="minorHAnsi"/>
          <w:sz w:val="24"/>
          <w:szCs w:val="24"/>
        </w:rPr>
      </w:pPr>
    </w:p>
    <w:p w:rsidRPr="0021366A" w:rsidR="0066644E" w:rsidP="0066644E" w:rsidRDefault="0066644E" w14:paraId="3CAEF26B" w14:textId="77777777">
      <w:pPr>
        <w:pStyle w:val="Heading1"/>
      </w:pPr>
      <w:r w:rsidRPr="0021366A">
        <w:t>Suggested resources</w:t>
      </w:r>
    </w:p>
    <w:p w:rsidRPr="0021366A" w:rsidR="0066644E" w:rsidP="0066644E" w:rsidRDefault="0066644E" w14:paraId="1E96D900" w14:textId="531670B4">
      <w:pPr>
        <w:pStyle w:val="Heading1"/>
        <w:rPr>
          <w:rFonts w:asciiTheme="minorHAnsi" w:hAnsiTheme="minorHAnsi" w:cstheme="minorHAnsi"/>
          <w:sz w:val="24"/>
          <w:szCs w:val="24"/>
        </w:rPr>
      </w:pPr>
      <w:r w:rsidRPr="0021366A">
        <w:rPr>
          <w:rFonts w:asciiTheme="minorHAnsi" w:hAnsiTheme="minorHAnsi" w:cstheme="minorHAnsi"/>
          <w:sz w:val="24"/>
          <w:szCs w:val="24"/>
        </w:rPr>
        <w:t xml:space="preserve">Below is a list of resources collated from Torbay Home Learning Environment and Early Years Team. It is vitally important to include </w:t>
      </w:r>
      <w:r w:rsidR="0003239F">
        <w:rPr>
          <w:rFonts w:asciiTheme="minorHAnsi" w:hAnsiTheme="minorHAnsi" w:cstheme="minorHAnsi"/>
          <w:sz w:val="24"/>
          <w:szCs w:val="24"/>
        </w:rPr>
        <w:t xml:space="preserve">multicultural </w:t>
      </w:r>
      <w:r w:rsidRPr="0021366A">
        <w:rPr>
          <w:rFonts w:asciiTheme="minorHAnsi" w:hAnsiTheme="minorHAnsi" w:cstheme="minorHAnsi"/>
          <w:sz w:val="24"/>
          <w:szCs w:val="24"/>
        </w:rPr>
        <w:t xml:space="preserve">resources in your setting, even if you do not have any multilingual children. This will </w:t>
      </w:r>
      <w:r w:rsidR="0003239F">
        <w:rPr>
          <w:rFonts w:asciiTheme="minorHAnsi" w:hAnsiTheme="minorHAnsi" w:cstheme="minorHAnsi"/>
          <w:sz w:val="24"/>
          <w:szCs w:val="24"/>
        </w:rPr>
        <w:t xml:space="preserve">develop an </w:t>
      </w:r>
      <w:r w:rsidRPr="0021366A" w:rsidR="0003239F">
        <w:rPr>
          <w:rFonts w:asciiTheme="minorHAnsi" w:hAnsiTheme="minorHAnsi" w:cstheme="minorHAnsi"/>
          <w:sz w:val="24"/>
          <w:szCs w:val="24"/>
        </w:rPr>
        <w:t xml:space="preserve">appreciation </w:t>
      </w:r>
      <w:r w:rsidRPr="0021366A">
        <w:rPr>
          <w:rFonts w:asciiTheme="minorHAnsi" w:hAnsiTheme="minorHAnsi" w:cstheme="minorHAnsi"/>
          <w:sz w:val="24"/>
          <w:szCs w:val="24"/>
        </w:rPr>
        <w:t>of different cultures</w:t>
      </w:r>
      <w:r w:rsidR="0003239F">
        <w:rPr>
          <w:rFonts w:asciiTheme="minorHAnsi" w:hAnsiTheme="minorHAnsi" w:cstheme="minorHAnsi"/>
          <w:sz w:val="24"/>
          <w:szCs w:val="24"/>
        </w:rPr>
        <w:t>.</w:t>
      </w:r>
      <w:r w:rsidRPr="0021366A">
        <w:rPr>
          <w:rFonts w:asciiTheme="minorHAnsi" w:hAnsiTheme="minorHAnsi" w:cstheme="minorHAnsi"/>
          <w:sz w:val="24"/>
          <w:szCs w:val="24"/>
        </w:rPr>
        <w:t xml:space="preserve"> We have organised the resources into those that incur some cost and others that are</w:t>
      </w:r>
      <w:r>
        <w:rPr>
          <w:rFonts w:asciiTheme="minorHAnsi" w:hAnsiTheme="minorHAnsi" w:cstheme="minorHAnsi"/>
          <w:sz w:val="24"/>
          <w:szCs w:val="24"/>
        </w:rPr>
        <w:t xml:space="preserve"> </w:t>
      </w:r>
      <w:r w:rsidRPr="0021366A">
        <w:rPr>
          <w:rFonts w:asciiTheme="minorHAnsi" w:hAnsiTheme="minorHAnsi" w:cstheme="minorHAnsi"/>
          <w:sz w:val="24"/>
          <w:szCs w:val="24"/>
        </w:rPr>
        <w:t xml:space="preserve">free and should be easy to implement. </w:t>
      </w:r>
    </w:p>
    <w:p w:rsidR="0066644E" w:rsidP="008937CF" w:rsidRDefault="0021366A" w14:paraId="5AE297C6" w14:textId="35D4A2B9">
      <w:pPr>
        <w:pStyle w:val="Heading3"/>
      </w:pPr>
      <w:r w:rsidRPr="0021366A">
        <w:t>Free resources</w:t>
      </w:r>
      <w:r w:rsidR="006D04DE">
        <w:t>:</w:t>
      </w:r>
      <w:r w:rsidRPr="0066644E" w:rsidR="0066644E">
        <w:t xml:space="preserve"> </w:t>
      </w:r>
    </w:p>
    <w:p w:rsidR="00CD7C2B" w:rsidP="00CD7C2B" w:rsidRDefault="0066644E" w14:paraId="74FAA5C9" w14:textId="77777777">
      <w:pPr>
        <w:pStyle w:val="squarebullets"/>
      </w:pPr>
      <w:r w:rsidRPr="0021366A">
        <w:t>Objects of reference</w:t>
      </w:r>
      <w:r w:rsidR="00981F44">
        <w:t xml:space="preserve"> </w:t>
      </w:r>
      <w:hyperlink w:history="1" r:id="rId22">
        <w:r w:rsidRPr="00C604CC" w:rsidR="00C604CC">
          <w:rPr>
            <w:color w:val="0000FF"/>
            <w:u w:val="single"/>
          </w:rPr>
          <w:t>Objects of Reference - Family Hub</w:t>
        </w:r>
      </w:hyperlink>
      <w:r w:rsidRPr="00CD7C2B" w:rsidR="00CD7C2B">
        <w:t xml:space="preserve"> </w:t>
      </w:r>
    </w:p>
    <w:p w:rsidR="0066644E" w:rsidP="00CD7C2B" w:rsidRDefault="00CD7C2B" w14:paraId="40FF8973" w14:textId="5FF990C9">
      <w:pPr>
        <w:pStyle w:val="squarebullets"/>
      </w:pPr>
      <w:r>
        <w:t xml:space="preserve">24 </w:t>
      </w:r>
      <w:r w:rsidRPr="0021366A">
        <w:t xml:space="preserve">Makaton </w:t>
      </w:r>
      <w:r>
        <w:t xml:space="preserve">signs available on </w:t>
      </w:r>
      <w:r w:rsidRPr="0021366A">
        <w:t xml:space="preserve">Torbay Council </w:t>
      </w:r>
      <w:r>
        <w:t>ILearn</w:t>
      </w:r>
    </w:p>
    <w:p w:rsidR="00800EF1" w:rsidP="00501B76" w:rsidRDefault="00B4576B" w14:paraId="7BBBC21C" w14:textId="2893287E">
      <w:pPr>
        <w:pStyle w:val="squarebullets"/>
        <w:rPr>
          <w:szCs w:val="24"/>
        </w:rPr>
      </w:pPr>
      <w:r w:rsidRPr="0021366A">
        <w:t>Widget symbols</w:t>
      </w:r>
      <w:r w:rsidR="00501B76">
        <w:t xml:space="preserve"> </w:t>
      </w:r>
      <w:r w:rsidRPr="0021366A" w:rsidR="00800EF1">
        <w:t>use widget symbols printed to add to a lanyard or visual timetable</w:t>
      </w:r>
      <w:r w:rsidRPr="00501B76" w:rsidR="00501B76">
        <w:rPr>
          <w:sz w:val="32"/>
          <w:szCs w:val="32"/>
        </w:rPr>
        <w:t xml:space="preserve"> </w:t>
      </w:r>
      <w:hyperlink w:history="1" r:id="rId23">
        <w:proofErr w:type="spellStart"/>
        <w:r w:rsidRPr="00981F44" w:rsidR="00501B76">
          <w:rPr>
            <w:color w:val="0000FF"/>
            <w:szCs w:val="24"/>
            <w:u w:val="single"/>
          </w:rPr>
          <w:t>Widgit</w:t>
        </w:r>
        <w:proofErr w:type="spellEnd"/>
        <w:r w:rsidRPr="00981F44" w:rsidR="00501B76">
          <w:rPr>
            <w:color w:val="0000FF"/>
            <w:szCs w:val="24"/>
            <w:u w:val="single"/>
          </w:rPr>
          <w:t xml:space="preserve"> Online</w:t>
        </w:r>
      </w:hyperlink>
    </w:p>
    <w:p w:rsidRPr="00664A95" w:rsidR="009B7E0E" w:rsidP="009B7E0E" w:rsidRDefault="009B7E0E" w14:paraId="72F7CC77" w14:textId="69A03CFE">
      <w:pPr>
        <w:pStyle w:val="squarebullets"/>
        <w:rPr>
          <w:rFonts w:cstheme="minorHAnsi"/>
          <w:szCs w:val="24"/>
        </w:rPr>
      </w:pPr>
      <w:r w:rsidRPr="0021366A">
        <w:t xml:space="preserve">Objects and </w:t>
      </w:r>
      <w:r w:rsidRPr="00664A95">
        <w:rPr>
          <w:rFonts w:cstheme="minorHAnsi"/>
          <w:szCs w:val="24"/>
        </w:rPr>
        <w:t>pictures from around the world</w:t>
      </w:r>
      <w:r w:rsidR="00C821CE">
        <w:rPr>
          <w:rFonts w:cstheme="minorHAnsi"/>
          <w:szCs w:val="24"/>
        </w:rPr>
        <w:t xml:space="preserve"> which can be accessed from</w:t>
      </w:r>
      <w:r w:rsidR="0074736C">
        <w:rPr>
          <w:rFonts w:cstheme="minorHAnsi"/>
          <w:szCs w:val="24"/>
        </w:rPr>
        <w:t xml:space="preserve"> </w:t>
      </w:r>
      <w:r w:rsidR="00C821CE">
        <w:rPr>
          <w:rFonts w:cstheme="minorHAnsi"/>
          <w:szCs w:val="24"/>
        </w:rPr>
        <w:t>y</w:t>
      </w:r>
      <w:r w:rsidRPr="00664A95">
        <w:rPr>
          <w:rFonts w:cstheme="minorHAnsi"/>
          <w:szCs w:val="24"/>
        </w:rPr>
        <w:t>our families/charity shops/</w:t>
      </w:r>
      <w:r w:rsidRPr="0074736C" w:rsidR="0074736C">
        <w:rPr>
          <w:rFonts w:cstheme="minorHAnsi"/>
          <w:szCs w:val="24"/>
        </w:rPr>
        <w:t xml:space="preserve"> </w:t>
      </w:r>
      <w:r w:rsidRPr="00664A95" w:rsidR="0074736C">
        <w:rPr>
          <w:rFonts w:cstheme="minorHAnsi"/>
          <w:szCs w:val="24"/>
        </w:rPr>
        <w:t xml:space="preserve">online </w:t>
      </w:r>
      <w:r w:rsidRPr="00664A95">
        <w:rPr>
          <w:rFonts w:cstheme="minorHAnsi"/>
          <w:szCs w:val="24"/>
        </w:rPr>
        <w:t>p</w:t>
      </w:r>
      <w:r w:rsidR="0074736C">
        <w:rPr>
          <w:rFonts w:cstheme="minorHAnsi"/>
          <w:szCs w:val="24"/>
        </w:rPr>
        <w:t>hotos/p</w:t>
      </w:r>
      <w:r w:rsidRPr="00664A95">
        <w:rPr>
          <w:rFonts w:cstheme="minorHAnsi"/>
          <w:szCs w:val="24"/>
        </w:rPr>
        <w:t xml:space="preserve">ictures printed </w:t>
      </w:r>
      <w:r w:rsidR="0074736C">
        <w:rPr>
          <w:rFonts w:cstheme="minorHAnsi"/>
          <w:szCs w:val="24"/>
        </w:rPr>
        <w:t>off</w:t>
      </w:r>
    </w:p>
    <w:p w:rsidR="0021366A" w:rsidP="00C821CE" w:rsidRDefault="00664A95" w14:paraId="01D96725" w14:textId="41744425">
      <w:pPr>
        <w:pStyle w:val="squarebullets"/>
      </w:pPr>
      <w:r w:rsidRPr="0021366A">
        <w:t xml:space="preserve">Use objects from different cultures to </w:t>
      </w:r>
      <w:r w:rsidRPr="00C821CE">
        <w:t xml:space="preserve">incorporate into your environment e.g. using chopsticks in the home corner or Indian bangles and Saris in the dressing up. As well as providing a homely feel to your environment; photo frames around the room with pictures of different styles </w:t>
      </w:r>
      <w:r w:rsidRPr="0021366A" w:rsidR="00C821CE">
        <w:t>of houses and locations will be supportive of a multi-cultural environment.</w:t>
      </w:r>
    </w:p>
    <w:p w:rsidR="009C3119" w:rsidP="00C821CE" w:rsidRDefault="009C3119" w14:paraId="11C7D4AF" w14:textId="2A6E877A">
      <w:pPr>
        <w:pStyle w:val="squarebullets"/>
      </w:pPr>
      <w:r>
        <w:t xml:space="preserve">Celebrate </w:t>
      </w:r>
      <w:r w:rsidR="006B2055">
        <w:t>key festivals from around the world with a story, some food or a video</w:t>
      </w:r>
      <w:r w:rsidR="003B118F">
        <w:t xml:space="preserve"> depicting this event</w:t>
      </w:r>
    </w:p>
    <w:p w:rsidR="003B118F" w:rsidP="00C821CE" w:rsidRDefault="001061D2" w14:paraId="37B071C4" w14:textId="5A7CB62D">
      <w:pPr>
        <w:pStyle w:val="squarebullets"/>
      </w:pPr>
      <w:r>
        <w:t xml:space="preserve">A diverse menu </w:t>
      </w:r>
      <w:r w:rsidR="008937CF">
        <w:t xml:space="preserve">offered each </w:t>
      </w:r>
      <w:r w:rsidR="00C243F7">
        <w:t>week,</w:t>
      </w:r>
      <w:r w:rsidR="00E97074">
        <w:t xml:space="preserve"> and </w:t>
      </w:r>
      <w:r w:rsidR="0003239F">
        <w:t xml:space="preserve">relevant </w:t>
      </w:r>
      <w:r w:rsidR="00E97074">
        <w:t xml:space="preserve">discussions encouraged </w:t>
      </w:r>
      <w:r w:rsidR="0003239F">
        <w:t>regarding</w:t>
      </w:r>
      <w:r w:rsidR="002B26DF">
        <w:t xml:space="preserve"> the</w:t>
      </w:r>
      <w:r w:rsidR="00E97074">
        <w:t xml:space="preserve"> foods</w:t>
      </w:r>
    </w:p>
    <w:p w:rsidRPr="0021366A" w:rsidR="00DE4869" w:rsidP="00C821CE" w:rsidRDefault="00DE4869" w14:paraId="739B3AFD" w14:textId="29568968">
      <w:pPr>
        <w:pStyle w:val="squarebullets"/>
      </w:pPr>
      <w:r w:rsidRPr="0021366A">
        <w:t>National Literacy Trust</w:t>
      </w:r>
      <w:r w:rsidR="00516C60">
        <w:t xml:space="preserve">: </w:t>
      </w:r>
      <w:r w:rsidRPr="0021366A">
        <w:t xml:space="preserve">Early years: resources and tools for early language development and parental </w:t>
      </w:r>
      <w:r w:rsidR="00516C60">
        <w:t xml:space="preserve">engagement: </w:t>
      </w:r>
      <w:hyperlink w:history="1" r:id="rId24">
        <w:r w:rsidRPr="00516C60">
          <w:rPr>
            <w:color w:val="0000FF"/>
            <w:u w:val="single"/>
          </w:rPr>
          <w:t>Early years: resources and tools for early language development and parental engagement | National Literacy Trust</w:t>
        </w:r>
      </w:hyperlink>
    </w:p>
    <w:p w:rsidRPr="0021366A" w:rsidR="0021366A" w:rsidP="003A30F3" w:rsidRDefault="0021366A" w14:paraId="4D6C9A45" w14:textId="1CB250F5">
      <w:pPr>
        <w:pStyle w:val="Heading3"/>
      </w:pPr>
      <w:r w:rsidRPr="0021366A">
        <w:t>Resources at a cost</w:t>
      </w:r>
      <w:r w:rsidR="006D04DE">
        <w:t>:</w:t>
      </w:r>
    </w:p>
    <w:p w:rsidRPr="0021366A" w:rsidR="0021366A" w:rsidP="009966F2" w:rsidRDefault="009966F2" w14:paraId="43EEA3DD" w14:textId="136F3FA2">
      <w:pPr>
        <w:pStyle w:val="squarebullets"/>
      </w:pPr>
      <w:r>
        <w:t>Talking Pens c</w:t>
      </w:r>
      <w:r w:rsidRPr="0021366A" w:rsidR="0021366A">
        <w:t xml:space="preserve">an be used to support settling in and an easy way to communicate with the child and families. </w:t>
      </w:r>
      <w:r w:rsidR="005E567F">
        <w:t>B</w:t>
      </w:r>
      <w:r w:rsidRPr="0021366A" w:rsidR="0021366A">
        <w:t>ooks can be purchased at an additional cost and the Pen can read it in their language. £135 -</w:t>
      </w:r>
      <w:r w:rsidR="005F27A9">
        <w:t xml:space="preserve"> </w:t>
      </w:r>
      <w:r w:rsidRPr="0021366A" w:rsidR="0021366A">
        <w:t>£160</w:t>
      </w:r>
    </w:p>
    <w:p w:rsidRPr="0021366A" w:rsidR="0021366A" w:rsidP="009966F2" w:rsidRDefault="0021366A" w14:paraId="31C98266" w14:textId="3A3C3FCE">
      <w:pPr>
        <w:pStyle w:val="squarebullets"/>
      </w:pPr>
      <w:r w:rsidRPr="0021366A">
        <w:t xml:space="preserve">Books with text </w:t>
      </w:r>
      <w:r w:rsidR="002D2A33">
        <w:t>in h</w:t>
      </w:r>
      <w:r w:rsidRPr="0021366A">
        <w:t>ome language</w:t>
      </w:r>
      <w:r w:rsidR="002D2A33">
        <w:t xml:space="preserve"> can be ordered/borrowed from the </w:t>
      </w:r>
      <w:r w:rsidRPr="0021366A">
        <w:t>Library for free or</w:t>
      </w:r>
      <w:r w:rsidR="00A529FF">
        <w:t xml:space="preserve"> purchased </w:t>
      </w:r>
      <w:r w:rsidRPr="0021366A">
        <w:t xml:space="preserve">to support your discussions around other cultures and different texts. It will be comforting and supportive for children to see text from their home language, particularly if they use a different alphabet. Speak </w:t>
      </w:r>
      <w:r w:rsidRPr="0021366A" w:rsidR="00A3664D">
        <w:t xml:space="preserve">with </w:t>
      </w:r>
      <w:r w:rsidR="00A3664D">
        <w:t>families</w:t>
      </w:r>
      <w:r w:rsidRPr="0021366A">
        <w:t xml:space="preserve"> for </w:t>
      </w:r>
      <w:r w:rsidRPr="0021366A" w:rsidR="00A3664D">
        <w:t>suggestions</w:t>
      </w:r>
      <w:r w:rsidRPr="0021366A">
        <w:t xml:space="preserve"> </w:t>
      </w:r>
      <w:r w:rsidR="00A3664D">
        <w:t xml:space="preserve">£5 </w:t>
      </w:r>
      <w:r w:rsidRPr="0021366A">
        <w:t>- £15</w:t>
      </w:r>
    </w:p>
    <w:p w:rsidRPr="0021366A" w:rsidR="0021366A" w:rsidP="0021366A" w:rsidRDefault="0021366A" w14:paraId="413A5D73" w14:textId="2F303881">
      <w:pPr>
        <w:pStyle w:val="Heading1"/>
        <w:rPr>
          <w:rFonts w:asciiTheme="minorHAnsi" w:hAnsiTheme="minorHAnsi" w:cstheme="minorHAnsi"/>
          <w:sz w:val="24"/>
          <w:szCs w:val="24"/>
        </w:rPr>
      </w:pPr>
    </w:p>
    <w:p w:rsidRPr="0021366A" w:rsidR="0021366A" w:rsidP="007521D1" w:rsidRDefault="0021366A" w14:paraId="0B9D5F0D" w14:textId="39737092">
      <w:pPr>
        <w:pStyle w:val="Heading3"/>
      </w:pPr>
      <w:r w:rsidRPr="0021366A">
        <w:t>Book suggestions</w:t>
      </w:r>
      <w:r w:rsidR="006D04DE">
        <w:t>:</w:t>
      </w:r>
    </w:p>
    <w:p w:rsidRPr="007521D1" w:rsidR="0021366A" w:rsidP="0021366A" w:rsidRDefault="0021366A" w14:paraId="492DCD2D" w14:textId="48A6C3D7">
      <w:pPr>
        <w:pStyle w:val="squarebullets"/>
        <w:rPr>
          <w:rFonts w:cstheme="minorHAnsi"/>
          <w:szCs w:val="24"/>
        </w:rPr>
      </w:pPr>
      <w:r w:rsidRPr="0021366A">
        <w:t xml:space="preserve">‘The Koala Who Could’ Rachel Bright and Jim Field. A story about facing change with courage and </w:t>
      </w:r>
      <w:r w:rsidRPr="007521D1">
        <w:rPr>
          <w:rFonts w:cstheme="minorHAnsi"/>
          <w:szCs w:val="24"/>
        </w:rPr>
        <w:t>curiosity.</w:t>
      </w:r>
    </w:p>
    <w:p w:rsidRPr="0021366A" w:rsidR="0021366A" w:rsidP="00E45B4B" w:rsidRDefault="0021366A" w14:paraId="7D250E1C" w14:textId="77777777">
      <w:pPr>
        <w:pStyle w:val="squarebullets"/>
      </w:pPr>
      <w:r w:rsidRPr="0021366A">
        <w:t xml:space="preserve">‘Where Are You From?’ Yamile Saied Mendez and Jaime Kim. A story about identity, belonging and </w:t>
      </w:r>
      <w:proofErr w:type="spellStart"/>
      <w:r w:rsidRPr="0021366A">
        <w:t>selfacceptance</w:t>
      </w:r>
      <w:proofErr w:type="spellEnd"/>
      <w:r w:rsidRPr="0021366A">
        <w:t>.</w:t>
      </w:r>
    </w:p>
    <w:p w:rsidRPr="0021366A" w:rsidR="0021366A" w:rsidP="00E45B4B" w:rsidRDefault="0021366A" w14:paraId="0F28861F" w14:textId="051C7DE6">
      <w:pPr>
        <w:pStyle w:val="squarebullets"/>
      </w:pPr>
      <w:r w:rsidRPr="0021366A">
        <w:t>‘The Snail and the Whale’ Julia Donaldson and Axel Sheffler. A story about friendship, determination</w:t>
      </w:r>
      <w:r w:rsidR="00E45B4B">
        <w:t xml:space="preserve"> </w:t>
      </w:r>
      <w:r w:rsidRPr="0021366A">
        <w:t xml:space="preserve">and adventure. A fantastic book for discussions around different countries. </w:t>
      </w:r>
    </w:p>
    <w:p w:rsidRPr="0021366A" w:rsidR="0021366A" w:rsidP="00E45B4B" w:rsidRDefault="0021366A" w14:paraId="520592A5" w14:textId="5E9F99FE">
      <w:pPr>
        <w:pStyle w:val="squarebullets"/>
      </w:pPr>
      <w:r w:rsidRPr="0021366A">
        <w:t xml:space="preserve">‘Ten Little Fingers and Ten Little Toes’ Mem Fox and Helen Oxenbury. A celebration of baby fingers and toes and the babies they belong to. </w:t>
      </w:r>
    </w:p>
    <w:sectPr w:rsidRPr="0021366A" w:rsidR="0021366A" w:rsidSect="00466134">
      <w:headerReference w:type="even" r:id="rId25"/>
      <w:headerReference w:type="default" r:id="rId26"/>
      <w:footerReference w:type="even" r:id="rId27"/>
      <w:footerReference w:type="default" r:id="rId28"/>
      <w:footerReference w:type="first" r:id="rId29"/>
      <w:pgSz w:w="11906" w:h="16838" w:orient="portrait" w:code="9"/>
      <w:pgMar w:top="720" w:right="720" w:bottom="720" w:left="720"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2CB6" w:rsidP="008952DF" w:rsidRDefault="00212CB6" w14:paraId="27A114B5" w14:textId="77777777">
      <w:r>
        <w:separator/>
      </w:r>
    </w:p>
  </w:endnote>
  <w:endnote w:type="continuationSeparator" w:id="0">
    <w:p w:rsidR="00212CB6" w:rsidP="008952DF" w:rsidRDefault="00212CB6" w14:paraId="5D04001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46C" w:rsidRDefault="0002446C" w14:paraId="66804F14"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color="213563" w:themeColor="text1" w:sz="12"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56"/>
    </w:tblGrid>
    <w:tr w:rsidR="0002446C" w:rsidTr="004D04E4" w14:paraId="157F397F" w14:textId="77777777">
      <w:tc>
        <w:tcPr>
          <w:tcW w:w="10456" w:type="dxa"/>
        </w:tcPr>
        <w:sdt>
          <w:sdtPr>
            <w:id w:val="-518623638"/>
            <w:docPartObj>
              <w:docPartGallery w:val="Page Numbers (Bottom of Page)"/>
              <w:docPartUnique/>
            </w:docPartObj>
          </w:sdtPr>
          <w:sdtEndPr>
            <w:rPr>
              <w:noProof/>
            </w:rPr>
          </w:sdtEndPr>
          <w:sdtContent>
            <w:p w:rsidR="0002446C" w:rsidP="0002446C" w:rsidRDefault="0002446C" w14:paraId="742A4AA9" w14:textId="77777777">
              <w:pPr>
                <w:pStyle w:val="Footer"/>
                <w:jc w:val="center"/>
              </w:pPr>
              <w:r>
                <w:fldChar w:fldCharType="begin"/>
              </w:r>
              <w:r>
                <w:instrText xml:space="preserve"> PAGE   \* MERGEFORMAT </w:instrText>
              </w:r>
              <w:r>
                <w:fldChar w:fldCharType="separate"/>
              </w:r>
              <w:r w:rsidR="00520C03">
                <w:rPr>
                  <w:noProof/>
                </w:rPr>
                <w:t>2</w:t>
              </w:r>
              <w:r>
                <w:rPr>
                  <w:noProof/>
                </w:rPr>
                <w:fldChar w:fldCharType="end"/>
              </w:r>
            </w:p>
          </w:sdtContent>
        </w:sdt>
      </w:tc>
    </w:tr>
  </w:tbl>
  <w:p w:rsidR="0002446C" w:rsidRDefault="0002446C" w14:paraId="4CCD799A" w14:textId="77777777">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070946"/>
      <w:docPartObj>
        <w:docPartGallery w:val="Page Numbers (Bottom of Page)"/>
        <w:docPartUnique/>
      </w:docPartObj>
    </w:sdtPr>
    <w:sdtEndPr>
      <w:rPr>
        <w:noProof/>
      </w:rPr>
    </w:sdtEndPr>
    <w:sdtContent>
      <w:p w:rsidR="0002446C" w:rsidP="004D04E4" w:rsidRDefault="0002446C" w14:paraId="166A8407" w14:textId="77777777">
        <w:pPr>
          <w:pStyle w:val="Footer"/>
          <w:pBdr>
            <w:top w:val="single" w:color="213563" w:themeColor="text1" w:sz="12" w:space="4"/>
          </w:pBdr>
          <w:jc w:val="center"/>
        </w:pPr>
        <w:r>
          <w:fldChar w:fldCharType="begin"/>
        </w:r>
        <w:r>
          <w:instrText xml:space="preserve"> PAGE   \* MERGEFORMAT </w:instrText>
        </w:r>
        <w:r>
          <w:fldChar w:fldCharType="separate"/>
        </w:r>
        <w:r w:rsidR="00520C03">
          <w:rPr>
            <w:noProof/>
          </w:rPr>
          <w:t>1</w:t>
        </w:r>
        <w:r>
          <w:rPr>
            <w:noProof/>
          </w:rPr>
          <w:fldChar w:fldCharType="end"/>
        </w:r>
      </w:p>
    </w:sdtContent>
  </w:sdt>
  <w:p w:rsidR="0002446C" w:rsidRDefault="0002446C" w14:paraId="0F57AF01" w14:textId="77777777">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2CB6" w:rsidP="008952DF" w:rsidRDefault="00212CB6" w14:paraId="7D8BE31B" w14:textId="77777777">
      <w:r>
        <w:separator/>
      </w:r>
    </w:p>
  </w:footnote>
  <w:footnote w:type="continuationSeparator" w:id="0">
    <w:p w:rsidR="00212CB6" w:rsidP="008952DF" w:rsidRDefault="00212CB6" w14:paraId="2F3EF2B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46C" w:rsidRDefault="0002446C" w14:paraId="67F6E038" w14:textId="77777777">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7A0" w:rsidRDefault="004067A0" w14:paraId="1E8B6A5D" w14:textId="77777777">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CB0"/>
    <w:multiLevelType w:val="hybridMultilevel"/>
    <w:tmpl w:val="692654AA"/>
    <w:lvl w:ilvl="0" w:tplc="79AC4C28">
      <w:start w:val="1"/>
      <w:numFmt w:val="bullet"/>
      <w:lvlText w:val=""/>
      <w:lvlJc w:val="left"/>
      <w:pPr>
        <w:ind w:left="360" w:hanging="360"/>
      </w:pPr>
      <w:rPr>
        <w:rFonts w:hint="default" w:ascii="Wingdings" w:hAnsi="Wingdings"/>
        <w:color w:val="466BC1" w:themeColor="text1" w:themeTint="A6"/>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6203182"/>
    <w:multiLevelType w:val="hybridMultilevel"/>
    <w:tmpl w:val="4D24BFAE"/>
    <w:lvl w:ilvl="0" w:tplc="ECA06E3E">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6517433"/>
    <w:multiLevelType w:val="hybridMultilevel"/>
    <w:tmpl w:val="EC587396"/>
    <w:lvl w:ilvl="0" w:tplc="DC1239BA">
      <w:start w:val="1"/>
      <w:numFmt w:val="bullet"/>
      <w:lvlText w:val=""/>
      <w:lvlJc w:val="left"/>
      <w:pPr>
        <w:ind w:left="360" w:hanging="360"/>
      </w:pPr>
      <w:rPr>
        <w:rFonts w:hint="default" w:ascii="Wingdings" w:hAnsi="Wingdings"/>
        <w:color w:val="673A8E" w:themeColor="text2"/>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 w15:restartNumberingAfterBreak="0">
    <w:nsid w:val="1B7C2762"/>
    <w:multiLevelType w:val="hybridMultilevel"/>
    <w:tmpl w:val="282460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E857A48"/>
    <w:multiLevelType w:val="hybridMultilevel"/>
    <w:tmpl w:val="44DE540E"/>
    <w:lvl w:ilvl="0" w:tplc="FCE6C380">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82A74E1"/>
    <w:multiLevelType w:val="hybridMultilevel"/>
    <w:tmpl w:val="D3784A70"/>
    <w:lvl w:ilvl="0" w:tplc="C5340E14">
      <w:start w:val="1"/>
      <w:numFmt w:val="bullet"/>
      <w:lvlText w:val=""/>
      <w:lvlJc w:val="left"/>
      <w:pPr>
        <w:ind w:left="360" w:hanging="360"/>
      </w:pPr>
      <w:rPr>
        <w:rFonts w:hint="default" w:ascii="Wingdings" w:hAnsi="Wingdings"/>
        <w:color w:val="0A71A2" w:themeColor="accent1" w:themeShade="E6"/>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3C4A169A"/>
    <w:multiLevelType w:val="hybridMultilevel"/>
    <w:tmpl w:val="CCDCA0A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CA411DA"/>
    <w:multiLevelType w:val="hybridMultilevel"/>
    <w:tmpl w:val="DB2601D2"/>
    <w:lvl w:ilvl="0" w:tplc="0CF46830">
      <w:start w:val="1"/>
      <w:numFmt w:val="bullet"/>
      <w:lvlText w:val=""/>
      <w:lvlJc w:val="left"/>
      <w:pPr>
        <w:ind w:left="360" w:hanging="360"/>
      </w:pPr>
      <w:rPr>
        <w:rFonts w:hint="default" w:ascii="Wingdings" w:hAnsi="Wingdings"/>
        <w:color w:val="0A71A2" w:themeColor="accent1" w:themeShade="E6"/>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54EB0996"/>
    <w:multiLevelType w:val="hybridMultilevel"/>
    <w:tmpl w:val="39AA8866"/>
    <w:lvl w:ilvl="0" w:tplc="090440F0">
      <w:start w:val="1"/>
      <w:numFmt w:val="bullet"/>
      <w:pStyle w:val="squarebullets"/>
      <w:lvlText w:val=""/>
      <w:lvlJc w:val="left"/>
      <w:pPr>
        <w:ind w:left="360" w:hanging="360"/>
      </w:pPr>
      <w:rPr>
        <w:rFonts w:hint="default" w:ascii="Wingdings" w:hAnsi="Wingdings"/>
        <w:color w:val="213563" w:themeColor="text1"/>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9" w15:restartNumberingAfterBreak="0">
    <w:nsid w:val="642F2C0B"/>
    <w:multiLevelType w:val="hybridMultilevel"/>
    <w:tmpl w:val="C45C7208"/>
    <w:lvl w:ilvl="0" w:tplc="F77A8484">
      <w:start w:val="1"/>
      <w:numFmt w:val="bullet"/>
      <w:lvlText w:val=""/>
      <w:lvlJc w:val="left"/>
      <w:pPr>
        <w:ind w:left="360" w:hanging="360"/>
      </w:pPr>
      <w:rPr>
        <w:rFonts w:hint="default" w:ascii="Wingdings" w:hAnsi="Wingdings"/>
        <w:color w:val="085E86" w:themeColor="accent1" w:themeShade="BF"/>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6477776E"/>
    <w:multiLevelType w:val="hybridMultilevel"/>
    <w:tmpl w:val="FA784F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761558BC"/>
    <w:multiLevelType w:val="hybridMultilevel"/>
    <w:tmpl w:val="2222C5CC"/>
    <w:lvl w:ilvl="0" w:tplc="D66EF9C6">
      <w:start w:val="1"/>
      <w:numFmt w:val="bullet"/>
      <w:lvlText w:val=""/>
      <w:lvlJc w:val="left"/>
      <w:pPr>
        <w:ind w:left="360" w:hanging="360"/>
      </w:pPr>
      <w:rPr>
        <w:rFonts w:hint="default" w:ascii="Wingdings" w:hAnsi="Wingdings"/>
        <w:color w:val="CC484C" w:themeColor="accent2"/>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784F5105"/>
    <w:multiLevelType w:val="hybridMultilevel"/>
    <w:tmpl w:val="84485A2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03345218">
    <w:abstractNumId w:val="10"/>
  </w:num>
  <w:num w:numId="2" w16cid:durableId="409622547">
    <w:abstractNumId w:val="1"/>
  </w:num>
  <w:num w:numId="3" w16cid:durableId="177306984">
    <w:abstractNumId w:val="11"/>
  </w:num>
  <w:num w:numId="4" w16cid:durableId="486015485">
    <w:abstractNumId w:val="5"/>
  </w:num>
  <w:num w:numId="5" w16cid:durableId="2080592973">
    <w:abstractNumId w:val="9"/>
  </w:num>
  <w:num w:numId="6" w16cid:durableId="261376293">
    <w:abstractNumId w:val="4"/>
  </w:num>
  <w:num w:numId="7" w16cid:durableId="353389443">
    <w:abstractNumId w:val="0"/>
  </w:num>
  <w:num w:numId="8" w16cid:durableId="65692454">
    <w:abstractNumId w:val="3"/>
  </w:num>
  <w:num w:numId="9" w16cid:durableId="1926379290">
    <w:abstractNumId w:val="7"/>
  </w:num>
  <w:num w:numId="10" w16cid:durableId="613443006">
    <w:abstractNumId w:val="2"/>
  </w:num>
  <w:num w:numId="11" w16cid:durableId="2144686992">
    <w:abstractNumId w:val="8"/>
  </w:num>
  <w:num w:numId="12" w16cid:durableId="1551113177">
    <w:abstractNumId w:val="8"/>
  </w:num>
  <w:num w:numId="13" w16cid:durableId="1568416491">
    <w:abstractNumId w:val="6"/>
  </w:num>
  <w:num w:numId="14" w16cid:durableId="15252862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A2"/>
    <w:rsid w:val="00002D15"/>
    <w:rsid w:val="00013BD7"/>
    <w:rsid w:val="0001591C"/>
    <w:rsid w:val="0002446C"/>
    <w:rsid w:val="0003239F"/>
    <w:rsid w:val="00034F8E"/>
    <w:rsid w:val="0006694A"/>
    <w:rsid w:val="00095CD9"/>
    <w:rsid w:val="000A0CAF"/>
    <w:rsid w:val="000A4727"/>
    <w:rsid w:val="000A5FA2"/>
    <w:rsid w:val="000C2375"/>
    <w:rsid w:val="000C6BA3"/>
    <w:rsid w:val="000D0554"/>
    <w:rsid w:val="000E7C0E"/>
    <w:rsid w:val="000F3295"/>
    <w:rsid w:val="001061D2"/>
    <w:rsid w:val="00126E15"/>
    <w:rsid w:val="00175C4C"/>
    <w:rsid w:val="00185C70"/>
    <w:rsid w:val="001A5DEF"/>
    <w:rsid w:val="001A7A43"/>
    <w:rsid w:val="001E0E2C"/>
    <w:rsid w:val="002049FB"/>
    <w:rsid w:val="00204B4B"/>
    <w:rsid w:val="00212CB6"/>
    <w:rsid w:val="0021366A"/>
    <w:rsid w:val="00216A7B"/>
    <w:rsid w:val="002375C5"/>
    <w:rsid w:val="00247325"/>
    <w:rsid w:val="00292913"/>
    <w:rsid w:val="00297C74"/>
    <w:rsid w:val="002B26DF"/>
    <w:rsid w:val="002D2A33"/>
    <w:rsid w:val="002F661C"/>
    <w:rsid w:val="00303834"/>
    <w:rsid w:val="0032016D"/>
    <w:rsid w:val="00324433"/>
    <w:rsid w:val="00352264"/>
    <w:rsid w:val="003573F1"/>
    <w:rsid w:val="0036528E"/>
    <w:rsid w:val="00384A6A"/>
    <w:rsid w:val="003A30F3"/>
    <w:rsid w:val="003B118F"/>
    <w:rsid w:val="003D033D"/>
    <w:rsid w:val="003F454C"/>
    <w:rsid w:val="003F630C"/>
    <w:rsid w:val="0040408E"/>
    <w:rsid w:val="004067A0"/>
    <w:rsid w:val="004069E6"/>
    <w:rsid w:val="004404F5"/>
    <w:rsid w:val="0044383B"/>
    <w:rsid w:val="00452ADA"/>
    <w:rsid w:val="00466134"/>
    <w:rsid w:val="00492E76"/>
    <w:rsid w:val="00496617"/>
    <w:rsid w:val="004B1BCD"/>
    <w:rsid w:val="004C683B"/>
    <w:rsid w:val="004D04E4"/>
    <w:rsid w:val="004F0324"/>
    <w:rsid w:val="00501B76"/>
    <w:rsid w:val="00502194"/>
    <w:rsid w:val="00514266"/>
    <w:rsid w:val="00516C60"/>
    <w:rsid w:val="00520C03"/>
    <w:rsid w:val="00522D4F"/>
    <w:rsid w:val="00527FC3"/>
    <w:rsid w:val="00535E8E"/>
    <w:rsid w:val="00565989"/>
    <w:rsid w:val="005A2FF7"/>
    <w:rsid w:val="005B478B"/>
    <w:rsid w:val="005B50F7"/>
    <w:rsid w:val="005C07B5"/>
    <w:rsid w:val="005C5FDB"/>
    <w:rsid w:val="005E567F"/>
    <w:rsid w:val="005F27A9"/>
    <w:rsid w:val="005F4490"/>
    <w:rsid w:val="006002BF"/>
    <w:rsid w:val="0065240B"/>
    <w:rsid w:val="00664A95"/>
    <w:rsid w:val="0066644E"/>
    <w:rsid w:val="00682C97"/>
    <w:rsid w:val="00683F08"/>
    <w:rsid w:val="00685D12"/>
    <w:rsid w:val="006B2055"/>
    <w:rsid w:val="006D04DE"/>
    <w:rsid w:val="00726EA3"/>
    <w:rsid w:val="007272BC"/>
    <w:rsid w:val="007455B3"/>
    <w:rsid w:val="0074736C"/>
    <w:rsid w:val="007521D1"/>
    <w:rsid w:val="0075358C"/>
    <w:rsid w:val="00756A64"/>
    <w:rsid w:val="00765D69"/>
    <w:rsid w:val="00767F23"/>
    <w:rsid w:val="007A495F"/>
    <w:rsid w:val="007B16B1"/>
    <w:rsid w:val="007C0C0D"/>
    <w:rsid w:val="007C339D"/>
    <w:rsid w:val="007C7CC4"/>
    <w:rsid w:val="007D438D"/>
    <w:rsid w:val="007F6DB6"/>
    <w:rsid w:val="00800EF1"/>
    <w:rsid w:val="0083385A"/>
    <w:rsid w:val="00851133"/>
    <w:rsid w:val="008540C8"/>
    <w:rsid w:val="00880E1A"/>
    <w:rsid w:val="00886E4C"/>
    <w:rsid w:val="00886ED6"/>
    <w:rsid w:val="008937CF"/>
    <w:rsid w:val="008952DF"/>
    <w:rsid w:val="009255E9"/>
    <w:rsid w:val="009303B9"/>
    <w:rsid w:val="00943B8A"/>
    <w:rsid w:val="0095365B"/>
    <w:rsid w:val="00957B45"/>
    <w:rsid w:val="00963A29"/>
    <w:rsid w:val="00981F44"/>
    <w:rsid w:val="009966F2"/>
    <w:rsid w:val="009B41EF"/>
    <w:rsid w:val="009B7E0E"/>
    <w:rsid w:val="009C3119"/>
    <w:rsid w:val="009C55C9"/>
    <w:rsid w:val="009C643F"/>
    <w:rsid w:val="009E3147"/>
    <w:rsid w:val="00A01973"/>
    <w:rsid w:val="00A23E02"/>
    <w:rsid w:val="00A30956"/>
    <w:rsid w:val="00A3664D"/>
    <w:rsid w:val="00A529FF"/>
    <w:rsid w:val="00A679C9"/>
    <w:rsid w:val="00A71B53"/>
    <w:rsid w:val="00A73836"/>
    <w:rsid w:val="00A77B5D"/>
    <w:rsid w:val="00A91C04"/>
    <w:rsid w:val="00A93F90"/>
    <w:rsid w:val="00AA566B"/>
    <w:rsid w:val="00AD7AA6"/>
    <w:rsid w:val="00AE53F0"/>
    <w:rsid w:val="00AF592C"/>
    <w:rsid w:val="00AF7B3B"/>
    <w:rsid w:val="00B237C0"/>
    <w:rsid w:val="00B377FC"/>
    <w:rsid w:val="00B4576B"/>
    <w:rsid w:val="00B72C7A"/>
    <w:rsid w:val="00BB7AD5"/>
    <w:rsid w:val="00BC75F0"/>
    <w:rsid w:val="00BF316C"/>
    <w:rsid w:val="00C00AB0"/>
    <w:rsid w:val="00C12EFB"/>
    <w:rsid w:val="00C175A9"/>
    <w:rsid w:val="00C243F7"/>
    <w:rsid w:val="00C31F04"/>
    <w:rsid w:val="00C520E4"/>
    <w:rsid w:val="00C604CC"/>
    <w:rsid w:val="00C60EA7"/>
    <w:rsid w:val="00C65291"/>
    <w:rsid w:val="00C659BA"/>
    <w:rsid w:val="00C67CDF"/>
    <w:rsid w:val="00C70A73"/>
    <w:rsid w:val="00C821CE"/>
    <w:rsid w:val="00C8272C"/>
    <w:rsid w:val="00CA4213"/>
    <w:rsid w:val="00CB3654"/>
    <w:rsid w:val="00CD7C2B"/>
    <w:rsid w:val="00D030D5"/>
    <w:rsid w:val="00D44594"/>
    <w:rsid w:val="00D449D8"/>
    <w:rsid w:val="00D74227"/>
    <w:rsid w:val="00DE4869"/>
    <w:rsid w:val="00E078E6"/>
    <w:rsid w:val="00E320B2"/>
    <w:rsid w:val="00E45B4B"/>
    <w:rsid w:val="00E816BE"/>
    <w:rsid w:val="00E97074"/>
    <w:rsid w:val="00EB6BD0"/>
    <w:rsid w:val="00ED2C44"/>
    <w:rsid w:val="00ED5F29"/>
    <w:rsid w:val="00F0049F"/>
    <w:rsid w:val="00F26055"/>
    <w:rsid w:val="00F30DDB"/>
    <w:rsid w:val="00F46AA2"/>
    <w:rsid w:val="00F87B8D"/>
    <w:rsid w:val="00FA58AF"/>
    <w:rsid w:val="00FD41B8"/>
    <w:rsid w:val="02BB7E5E"/>
    <w:rsid w:val="1C95DB74"/>
    <w:rsid w:val="2EAB6931"/>
    <w:rsid w:val="34CE1070"/>
    <w:rsid w:val="532B5CF9"/>
    <w:rsid w:val="5BD6BDF5"/>
    <w:rsid w:val="5CF8E890"/>
    <w:rsid w:val="6DF4BD06"/>
    <w:rsid w:val="73F5D26B"/>
    <w:rsid w:val="7F8F2B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81A4F"/>
  <w15:chartTrackingRefBased/>
  <w15:docId w15:val="{150F2D0C-1734-45EF-92E1-E855BB961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GB" w:eastAsia="en-US" w:bidi="ar-SA"/>
      </w:rPr>
    </w:rPrDefault>
    <w:pPrDefault>
      <w:pPr>
        <w:spacing w:after="120" w:line="264"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lsdException w:name="FollowedHyperlink" w:locked="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locked="0"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locked="0"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qFormat/>
    <w:rsid w:val="00C175A9"/>
    <w:pPr>
      <w:spacing w:after="240" w:line="360" w:lineRule="auto"/>
    </w:pPr>
    <w:rPr>
      <w:sz w:val="24"/>
    </w:rPr>
  </w:style>
  <w:style w:type="paragraph" w:styleId="Heading1">
    <w:name w:val="heading 1"/>
    <w:basedOn w:val="Normal"/>
    <w:next w:val="Normal"/>
    <w:link w:val="Heading1Char"/>
    <w:uiPriority w:val="9"/>
    <w:qFormat/>
    <w:rsid w:val="00C175A9"/>
    <w:pPr>
      <w:keepNext/>
      <w:keepLines/>
      <w:pBdr>
        <w:bottom w:val="single" w:color="FFBF3F" w:themeColor="accent4" w:sz="12" w:space="1"/>
      </w:pBdr>
      <w:spacing w:before="480" w:after="120"/>
      <w:outlineLvl w:val="0"/>
    </w:pPr>
    <w:rPr>
      <w:rFonts w:asciiTheme="majorHAnsi" w:hAnsiTheme="majorHAnsi" w:eastAsiaTheme="majorEastAsia" w:cstheme="majorBidi"/>
      <w:color w:val="213563" w:themeColor="text1"/>
      <w:sz w:val="48"/>
      <w:szCs w:val="36"/>
    </w:rPr>
  </w:style>
  <w:style w:type="paragraph" w:styleId="Heading2">
    <w:name w:val="heading 2"/>
    <w:basedOn w:val="Normal"/>
    <w:next w:val="Normal"/>
    <w:link w:val="Heading2Char"/>
    <w:uiPriority w:val="9"/>
    <w:qFormat/>
    <w:rsid w:val="00C175A9"/>
    <w:pPr>
      <w:keepNext/>
      <w:keepLines/>
      <w:spacing w:before="480" w:after="60"/>
      <w:outlineLvl w:val="1"/>
    </w:pPr>
    <w:rPr>
      <w:rFonts w:asciiTheme="majorHAnsi" w:hAnsiTheme="majorHAnsi" w:eastAsiaTheme="majorEastAsia" w:cstheme="majorBidi"/>
      <w:color w:val="213563" w:themeColor="text1"/>
      <w:sz w:val="36"/>
      <w:szCs w:val="28"/>
    </w:rPr>
  </w:style>
  <w:style w:type="paragraph" w:styleId="Heading3">
    <w:name w:val="heading 3"/>
    <w:basedOn w:val="Normal"/>
    <w:next w:val="Normal"/>
    <w:link w:val="Heading3Char"/>
    <w:uiPriority w:val="9"/>
    <w:qFormat/>
    <w:rsid w:val="00C175A9"/>
    <w:pPr>
      <w:keepNext/>
      <w:keepLines/>
      <w:spacing w:before="360" w:after="60"/>
      <w:outlineLvl w:val="2"/>
    </w:pPr>
    <w:rPr>
      <w:rFonts w:asciiTheme="majorHAnsi" w:hAnsiTheme="majorHAnsi" w:eastAsiaTheme="majorEastAsia" w:cstheme="majorBidi"/>
      <w:b/>
      <w:color w:val="213563" w:themeColor="text1"/>
      <w:sz w:val="28"/>
      <w:szCs w:val="26"/>
    </w:rPr>
  </w:style>
  <w:style w:type="paragraph" w:styleId="Heading4">
    <w:name w:val="heading 4"/>
    <w:basedOn w:val="Normal"/>
    <w:next w:val="Normal"/>
    <w:link w:val="Heading4Char"/>
    <w:uiPriority w:val="9"/>
    <w:semiHidden/>
    <w:unhideWhenUsed/>
    <w:qFormat/>
    <w:rsid w:val="00204B4B"/>
    <w:pPr>
      <w:keepNext/>
      <w:keepLines/>
      <w:spacing w:before="120" w:after="60"/>
      <w:outlineLvl w:val="3"/>
    </w:pPr>
    <w:rPr>
      <w:rFonts w:asciiTheme="majorHAnsi" w:hAnsiTheme="majorHAnsi" w:eastAsiaTheme="majorEastAsia" w:cstheme="majorBidi"/>
      <w:color w:val="213563" w:themeColor="text1"/>
      <w:sz w:val="28"/>
      <w:szCs w:val="24"/>
    </w:rPr>
  </w:style>
  <w:style w:type="paragraph" w:styleId="Heading5">
    <w:name w:val="heading 5"/>
    <w:basedOn w:val="Normal"/>
    <w:next w:val="Normal"/>
    <w:link w:val="Heading5Char"/>
    <w:uiPriority w:val="9"/>
    <w:semiHidden/>
    <w:unhideWhenUsed/>
    <w:qFormat/>
    <w:locked/>
    <w:rsid w:val="008952DF"/>
    <w:pPr>
      <w:keepNext/>
      <w:keepLines/>
      <w:spacing w:before="80" w:after="0"/>
      <w:outlineLvl w:val="4"/>
    </w:pPr>
    <w:rPr>
      <w:rFonts w:asciiTheme="majorHAnsi" w:hAnsiTheme="majorHAnsi" w:eastAsiaTheme="majorEastAsia" w:cstheme="majorBidi"/>
      <w:i/>
      <w:iCs/>
      <w:sz w:val="22"/>
      <w:szCs w:val="22"/>
    </w:rPr>
  </w:style>
  <w:style w:type="paragraph" w:styleId="Heading6">
    <w:name w:val="heading 6"/>
    <w:basedOn w:val="Normal"/>
    <w:next w:val="Normal"/>
    <w:link w:val="Heading6Char"/>
    <w:uiPriority w:val="9"/>
    <w:semiHidden/>
    <w:unhideWhenUsed/>
    <w:qFormat/>
    <w:locked/>
    <w:rsid w:val="008952DF"/>
    <w:pPr>
      <w:keepNext/>
      <w:keepLines/>
      <w:spacing w:before="80" w:after="0"/>
      <w:outlineLvl w:val="5"/>
    </w:pPr>
    <w:rPr>
      <w:rFonts w:asciiTheme="majorHAnsi" w:hAnsiTheme="majorHAnsi" w:eastAsiaTheme="majorEastAsia" w:cstheme="majorBidi"/>
      <w:color w:val="466BC1" w:themeColor="text1" w:themeTint="A6"/>
    </w:rPr>
  </w:style>
  <w:style w:type="paragraph" w:styleId="Heading7">
    <w:name w:val="heading 7"/>
    <w:basedOn w:val="Normal"/>
    <w:next w:val="Normal"/>
    <w:link w:val="Heading7Char"/>
    <w:uiPriority w:val="9"/>
    <w:semiHidden/>
    <w:unhideWhenUsed/>
    <w:qFormat/>
    <w:locked/>
    <w:rsid w:val="008952DF"/>
    <w:pPr>
      <w:keepNext/>
      <w:keepLines/>
      <w:spacing w:before="80" w:after="0"/>
      <w:outlineLvl w:val="6"/>
    </w:pPr>
    <w:rPr>
      <w:rFonts w:asciiTheme="majorHAnsi" w:hAnsiTheme="majorHAnsi" w:eastAsiaTheme="majorEastAsia" w:cstheme="majorBidi"/>
      <w:i/>
      <w:iCs/>
      <w:color w:val="466BC1" w:themeColor="text1" w:themeTint="A6"/>
    </w:rPr>
  </w:style>
  <w:style w:type="paragraph" w:styleId="Heading8">
    <w:name w:val="heading 8"/>
    <w:basedOn w:val="Normal"/>
    <w:next w:val="Normal"/>
    <w:link w:val="Heading8Char"/>
    <w:uiPriority w:val="9"/>
    <w:semiHidden/>
    <w:unhideWhenUsed/>
    <w:qFormat/>
    <w:locked/>
    <w:rsid w:val="008952DF"/>
    <w:pPr>
      <w:keepNext/>
      <w:keepLines/>
      <w:spacing w:before="80" w:after="0"/>
      <w:outlineLvl w:val="7"/>
    </w:pPr>
    <w:rPr>
      <w:rFonts w:asciiTheme="majorHAnsi" w:hAnsiTheme="majorHAnsi" w:eastAsiaTheme="majorEastAsia" w:cstheme="majorBidi"/>
      <w:smallCaps/>
      <w:color w:val="466BC1" w:themeColor="text1" w:themeTint="A6"/>
    </w:rPr>
  </w:style>
  <w:style w:type="paragraph" w:styleId="Heading9">
    <w:name w:val="heading 9"/>
    <w:basedOn w:val="Normal"/>
    <w:next w:val="Normal"/>
    <w:link w:val="Heading9Char"/>
    <w:uiPriority w:val="9"/>
    <w:semiHidden/>
    <w:unhideWhenUsed/>
    <w:qFormat/>
    <w:locked/>
    <w:rsid w:val="008952DF"/>
    <w:pPr>
      <w:keepNext/>
      <w:keepLines/>
      <w:spacing w:before="80" w:after="0"/>
      <w:outlineLvl w:val="8"/>
    </w:pPr>
    <w:rPr>
      <w:rFonts w:asciiTheme="majorHAnsi" w:hAnsiTheme="majorHAnsi" w:eastAsiaTheme="majorEastAsia" w:cstheme="majorBidi"/>
      <w:i/>
      <w:iCs/>
      <w:smallCaps/>
      <w:color w:val="466BC1" w:themeColor="text1" w:themeTint="A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87B8D"/>
    <w:pPr>
      <w:ind w:left="720"/>
      <w:contextualSpacing/>
    </w:pPr>
  </w:style>
  <w:style w:type="paragraph" w:styleId="squarebullets" w:customStyle="1">
    <w:name w:val="square bullets"/>
    <w:basedOn w:val="ListParagraph"/>
    <w:qFormat/>
    <w:rsid w:val="00A30956"/>
    <w:pPr>
      <w:numPr>
        <w:numId w:val="12"/>
      </w:numPr>
      <w:contextualSpacing w:val="0"/>
    </w:pPr>
  </w:style>
  <w:style w:type="paragraph" w:styleId="numberedlist" w:customStyle="1">
    <w:name w:val="numbered list"/>
    <w:basedOn w:val="squarebullets"/>
    <w:qFormat/>
    <w:rsid w:val="00F87B8D"/>
    <w:pPr>
      <w:numPr>
        <w:numId w:val="6"/>
      </w:numPr>
    </w:pPr>
  </w:style>
  <w:style w:type="paragraph" w:styleId="footertext" w:customStyle="1">
    <w:name w:val="footer text"/>
    <w:basedOn w:val="Normal"/>
    <w:rsid w:val="00C00AB0"/>
    <w:rPr>
      <w:rFonts w:ascii="Helvetica" w:hAnsi="Helvetica" w:eastAsia="Times New Roman" w:cs="Helvetica"/>
      <w:color w:val="FFFFFF"/>
      <w:sz w:val="15"/>
      <w:szCs w:val="15"/>
    </w:rPr>
  </w:style>
  <w:style w:type="character" w:styleId="Heading1Char" w:customStyle="1">
    <w:name w:val="Heading 1 Char"/>
    <w:basedOn w:val="DefaultParagraphFont"/>
    <w:link w:val="Heading1"/>
    <w:uiPriority w:val="9"/>
    <w:rsid w:val="00C175A9"/>
    <w:rPr>
      <w:rFonts w:asciiTheme="majorHAnsi" w:hAnsiTheme="majorHAnsi" w:eastAsiaTheme="majorEastAsia" w:cstheme="majorBidi"/>
      <w:color w:val="213563" w:themeColor="text1"/>
      <w:sz w:val="48"/>
      <w:szCs w:val="36"/>
    </w:rPr>
  </w:style>
  <w:style w:type="character" w:styleId="Heading2Char" w:customStyle="1">
    <w:name w:val="Heading 2 Char"/>
    <w:basedOn w:val="DefaultParagraphFont"/>
    <w:link w:val="Heading2"/>
    <w:uiPriority w:val="9"/>
    <w:rsid w:val="00C175A9"/>
    <w:rPr>
      <w:rFonts w:asciiTheme="majorHAnsi" w:hAnsiTheme="majorHAnsi" w:eastAsiaTheme="majorEastAsia" w:cstheme="majorBidi"/>
      <w:color w:val="213563" w:themeColor="text1"/>
      <w:sz w:val="36"/>
      <w:szCs w:val="28"/>
    </w:rPr>
  </w:style>
  <w:style w:type="character" w:styleId="Heading3Char" w:customStyle="1">
    <w:name w:val="Heading 3 Char"/>
    <w:basedOn w:val="DefaultParagraphFont"/>
    <w:link w:val="Heading3"/>
    <w:uiPriority w:val="9"/>
    <w:rsid w:val="00C175A9"/>
    <w:rPr>
      <w:rFonts w:asciiTheme="majorHAnsi" w:hAnsiTheme="majorHAnsi" w:eastAsiaTheme="majorEastAsia" w:cstheme="majorBidi"/>
      <w:b/>
      <w:color w:val="213563" w:themeColor="text1"/>
      <w:sz w:val="28"/>
      <w:szCs w:val="26"/>
    </w:rPr>
  </w:style>
  <w:style w:type="character" w:styleId="Heading4Char" w:customStyle="1">
    <w:name w:val="Heading 4 Char"/>
    <w:basedOn w:val="DefaultParagraphFont"/>
    <w:link w:val="Heading4"/>
    <w:uiPriority w:val="9"/>
    <w:semiHidden/>
    <w:rsid w:val="00204B4B"/>
    <w:rPr>
      <w:rFonts w:asciiTheme="majorHAnsi" w:hAnsiTheme="majorHAnsi" w:eastAsiaTheme="majorEastAsia" w:cstheme="majorBidi"/>
      <w:color w:val="213563" w:themeColor="text1"/>
      <w:sz w:val="28"/>
      <w:szCs w:val="24"/>
    </w:rPr>
  </w:style>
  <w:style w:type="character" w:styleId="Heading5Char" w:customStyle="1">
    <w:name w:val="Heading 5 Char"/>
    <w:basedOn w:val="DefaultParagraphFont"/>
    <w:link w:val="Heading5"/>
    <w:uiPriority w:val="9"/>
    <w:semiHidden/>
    <w:rsid w:val="008952DF"/>
    <w:rPr>
      <w:rFonts w:asciiTheme="majorHAnsi" w:hAnsiTheme="majorHAnsi" w:eastAsiaTheme="majorEastAsia" w:cstheme="majorBidi"/>
      <w:i/>
      <w:iCs/>
      <w:sz w:val="22"/>
      <w:szCs w:val="22"/>
    </w:rPr>
  </w:style>
  <w:style w:type="character" w:styleId="Heading6Char" w:customStyle="1">
    <w:name w:val="Heading 6 Char"/>
    <w:basedOn w:val="DefaultParagraphFont"/>
    <w:link w:val="Heading6"/>
    <w:uiPriority w:val="9"/>
    <w:semiHidden/>
    <w:rsid w:val="008952DF"/>
    <w:rPr>
      <w:rFonts w:asciiTheme="majorHAnsi" w:hAnsiTheme="majorHAnsi" w:eastAsiaTheme="majorEastAsia" w:cstheme="majorBidi"/>
      <w:color w:val="466BC1" w:themeColor="text1" w:themeTint="A6"/>
    </w:rPr>
  </w:style>
  <w:style w:type="character" w:styleId="Heading7Char" w:customStyle="1">
    <w:name w:val="Heading 7 Char"/>
    <w:basedOn w:val="DefaultParagraphFont"/>
    <w:link w:val="Heading7"/>
    <w:uiPriority w:val="9"/>
    <w:semiHidden/>
    <w:rsid w:val="008952DF"/>
    <w:rPr>
      <w:rFonts w:asciiTheme="majorHAnsi" w:hAnsiTheme="majorHAnsi" w:eastAsiaTheme="majorEastAsia" w:cstheme="majorBidi"/>
      <w:i/>
      <w:iCs/>
      <w:color w:val="466BC1" w:themeColor="text1" w:themeTint="A6"/>
    </w:rPr>
  </w:style>
  <w:style w:type="character" w:styleId="Heading8Char" w:customStyle="1">
    <w:name w:val="Heading 8 Char"/>
    <w:basedOn w:val="DefaultParagraphFont"/>
    <w:link w:val="Heading8"/>
    <w:uiPriority w:val="9"/>
    <w:semiHidden/>
    <w:rsid w:val="008952DF"/>
    <w:rPr>
      <w:rFonts w:asciiTheme="majorHAnsi" w:hAnsiTheme="majorHAnsi" w:eastAsiaTheme="majorEastAsia" w:cstheme="majorBidi"/>
      <w:smallCaps/>
      <w:color w:val="466BC1" w:themeColor="text1" w:themeTint="A6"/>
    </w:rPr>
  </w:style>
  <w:style w:type="character" w:styleId="Heading9Char" w:customStyle="1">
    <w:name w:val="Heading 9 Char"/>
    <w:basedOn w:val="DefaultParagraphFont"/>
    <w:link w:val="Heading9"/>
    <w:uiPriority w:val="9"/>
    <w:semiHidden/>
    <w:rsid w:val="008952DF"/>
    <w:rPr>
      <w:rFonts w:asciiTheme="majorHAnsi" w:hAnsiTheme="majorHAnsi" w:eastAsiaTheme="majorEastAsia" w:cstheme="majorBidi"/>
      <w:i/>
      <w:iCs/>
      <w:smallCaps/>
      <w:color w:val="466BC1" w:themeColor="text1" w:themeTint="A6"/>
    </w:rPr>
  </w:style>
  <w:style w:type="paragraph" w:styleId="Caption">
    <w:name w:val="caption"/>
    <w:basedOn w:val="Normal"/>
    <w:next w:val="Normal"/>
    <w:uiPriority w:val="35"/>
    <w:semiHidden/>
    <w:unhideWhenUsed/>
    <w:qFormat/>
    <w:locked/>
    <w:rsid w:val="008952DF"/>
    <w:pPr>
      <w:spacing w:line="240" w:lineRule="auto"/>
    </w:pPr>
    <w:rPr>
      <w:b/>
      <w:bCs/>
      <w:color w:val="385AAA" w:themeColor="text1" w:themeTint="BF"/>
      <w:sz w:val="20"/>
      <w:szCs w:val="20"/>
    </w:rPr>
  </w:style>
  <w:style w:type="table" w:styleId="GridTable1Light-Accent2">
    <w:name w:val="Grid Table 1 Light Accent 2"/>
    <w:basedOn w:val="TableNormal"/>
    <w:uiPriority w:val="46"/>
    <w:locked/>
    <w:rsid w:val="00726EA3"/>
    <w:pPr>
      <w:spacing w:after="0" w:line="240" w:lineRule="auto"/>
    </w:pPr>
    <w:tblPr>
      <w:tblStyleRowBandSize w:val="1"/>
      <w:tblStyleColBandSize w:val="1"/>
      <w:tblBorders>
        <w:top w:val="single" w:color="EAB5B7" w:themeColor="accent2" w:themeTint="66" w:sz="4" w:space="0"/>
        <w:left w:val="single" w:color="EAB5B7" w:themeColor="accent2" w:themeTint="66" w:sz="4" w:space="0"/>
        <w:bottom w:val="single" w:color="EAB5B7" w:themeColor="accent2" w:themeTint="66" w:sz="4" w:space="0"/>
        <w:right w:val="single" w:color="EAB5B7" w:themeColor="accent2" w:themeTint="66" w:sz="4" w:space="0"/>
        <w:insideH w:val="single" w:color="EAB5B7" w:themeColor="accent2" w:themeTint="66" w:sz="4" w:space="0"/>
        <w:insideV w:val="single" w:color="EAB5B7" w:themeColor="accent2" w:themeTint="66" w:sz="4" w:space="0"/>
      </w:tblBorders>
    </w:tblPr>
    <w:tblStylePr w:type="firstRow">
      <w:rPr>
        <w:b/>
        <w:bCs/>
      </w:rPr>
      <w:tblPr/>
      <w:tcPr>
        <w:tcBorders>
          <w:bottom w:val="single" w:color="E09093" w:themeColor="accent2" w:themeTint="99" w:sz="12" w:space="0"/>
        </w:tcBorders>
      </w:tcPr>
    </w:tblStylePr>
    <w:tblStylePr w:type="lastRow">
      <w:rPr>
        <w:b/>
        <w:bCs/>
      </w:rPr>
      <w:tblPr/>
      <w:tcPr>
        <w:tcBorders>
          <w:top w:val="double" w:color="E09093" w:themeColor="accent2" w:themeTint="99" w:sz="2" w:space="0"/>
        </w:tcBorders>
      </w:tcPr>
    </w:tblStylePr>
    <w:tblStylePr w:type="firstCol">
      <w:rPr>
        <w:b/>
        <w:bCs/>
      </w:rPr>
    </w:tblStylePr>
    <w:tblStylePr w:type="lastCol">
      <w:rPr>
        <w:b/>
        <w:bCs/>
      </w:rPr>
    </w:tblStylePr>
  </w:style>
  <w:style w:type="table" w:styleId="GridTable4-Accent4">
    <w:name w:val="Grid Table 4 Accent 4"/>
    <w:basedOn w:val="TableNormal"/>
    <w:uiPriority w:val="49"/>
    <w:locked/>
    <w:rsid w:val="00B377FC"/>
    <w:pPr>
      <w:spacing w:after="0" w:line="240" w:lineRule="auto"/>
    </w:pPr>
    <w:tblPr>
      <w:tblStyleRowBandSize w:val="1"/>
      <w:tblStyleColBandSize w:val="1"/>
      <w:tblBorders>
        <w:top w:val="single" w:color="FFD88B" w:themeColor="accent4" w:themeTint="99" w:sz="4" w:space="0"/>
        <w:left w:val="single" w:color="FFD88B" w:themeColor="accent4" w:themeTint="99" w:sz="4" w:space="0"/>
        <w:bottom w:val="single" w:color="FFD88B" w:themeColor="accent4" w:themeTint="99" w:sz="4" w:space="0"/>
        <w:right w:val="single" w:color="FFD88B" w:themeColor="accent4" w:themeTint="99" w:sz="4" w:space="0"/>
        <w:insideH w:val="single" w:color="FFD88B" w:themeColor="accent4" w:themeTint="99" w:sz="4" w:space="0"/>
        <w:insideV w:val="single" w:color="FFD88B" w:themeColor="accent4" w:themeTint="99" w:sz="4" w:space="0"/>
      </w:tblBorders>
      <w:tblCellMar>
        <w:top w:w="113" w:type="dxa"/>
        <w:bottom w:w="113" w:type="dxa"/>
      </w:tblCellMar>
    </w:tblPr>
    <w:tblStylePr w:type="firstRow">
      <w:rPr>
        <w:b/>
        <w:bCs/>
        <w:color w:val="FFFFFF" w:themeColor="background1"/>
      </w:rPr>
      <w:tblPr/>
      <w:tcPr>
        <w:tcBorders>
          <w:top w:val="single" w:color="FFBF3F" w:themeColor="accent4" w:sz="24" w:space="0"/>
          <w:left w:val="single" w:color="FFBF3F" w:themeColor="accent4" w:sz="24" w:space="0"/>
          <w:bottom w:val="single" w:color="FFBF3F" w:themeColor="accent4" w:sz="24" w:space="0"/>
          <w:right w:val="single" w:color="FFBF3F" w:themeColor="accent4" w:sz="24" w:space="0"/>
          <w:insideH w:val="nil"/>
          <w:insideV w:val="nil"/>
        </w:tcBorders>
        <w:shd w:val="clear" w:color="auto" w:fill="FFBF3F" w:themeFill="accent4"/>
      </w:tcPr>
    </w:tblStylePr>
    <w:tblStylePr w:type="lastRow">
      <w:rPr>
        <w:b/>
        <w:bCs/>
      </w:rPr>
      <w:tblPr/>
      <w:tcPr>
        <w:tcBorders>
          <w:top w:val="double" w:color="FFBF3F" w:themeColor="accent4" w:sz="4" w:space="0"/>
        </w:tcBorders>
      </w:tcPr>
    </w:tblStylePr>
    <w:tblStylePr w:type="firstCol">
      <w:rPr>
        <w:b/>
        <w:bCs/>
      </w:rPr>
    </w:tblStylePr>
    <w:tblStylePr w:type="lastCol">
      <w:rPr>
        <w:b/>
        <w:bCs/>
      </w:rPr>
    </w:tblStylePr>
    <w:tblStylePr w:type="band1Vert">
      <w:tblPr/>
      <w:tcPr>
        <w:shd w:val="clear" w:color="auto" w:fill="FFF2D8" w:themeFill="accent4" w:themeFillTint="33"/>
      </w:tcPr>
    </w:tblStylePr>
    <w:tblStylePr w:type="band1Horz">
      <w:tblPr/>
      <w:tcPr>
        <w:shd w:val="clear" w:color="auto" w:fill="FFF2D8" w:themeFill="accent4" w:themeFillTint="33"/>
      </w:tcPr>
    </w:tblStylePr>
  </w:style>
  <w:style w:type="table" w:styleId="GridTable4-Accent2">
    <w:name w:val="Grid Table 4 Accent 2"/>
    <w:basedOn w:val="TableNormal"/>
    <w:uiPriority w:val="49"/>
    <w:locked/>
    <w:rsid w:val="00B377FC"/>
    <w:pPr>
      <w:spacing w:after="0" w:line="240" w:lineRule="auto"/>
    </w:pPr>
    <w:tblPr>
      <w:tblStyleRowBandSize w:val="1"/>
      <w:tblStyleColBandSize w:val="1"/>
      <w:tblBorders>
        <w:top w:val="single" w:color="E09093" w:themeColor="accent2" w:themeTint="99" w:sz="4" w:space="0"/>
        <w:left w:val="single" w:color="E09093" w:themeColor="accent2" w:themeTint="99" w:sz="4" w:space="0"/>
        <w:bottom w:val="single" w:color="E09093" w:themeColor="accent2" w:themeTint="99" w:sz="4" w:space="0"/>
        <w:right w:val="single" w:color="E09093" w:themeColor="accent2" w:themeTint="99" w:sz="4" w:space="0"/>
        <w:insideH w:val="single" w:color="E09093" w:themeColor="accent2" w:themeTint="99" w:sz="4" w:space="0"/>
        <w:insideV w:val="single" w:color="E09093" w:themeColor="accent2" w:themeTint="99" w:sz="4" w:space="0"/>
      </w:tblBorders>
      <w:tblCellMar>
        <w:top w:w="113" w:type="dxa"/>
        <w:bottom w:w="113" w:type="dxa"/>
      </w:tblCellMar>
    </w:tblPr>
    <w:tblStylePr w:type="firstRow">
      <w:rPr>
        <w:b/>
        <w:bCs/>
        <w:color w:val="FFFFFF" w:themeColor="background1"/>
      </w:rPr>
      <w:tblPr/>
      <w:tcPr>
        <w:tcBorders>
          <w:top w:val="single" w:color="CC484C" w:themeColor="accent2" w:sz="4" w:space="0"/>
          <w:left w:val="single" w:color="CC484C" w:themeColor="accent2" w:sz="4" w:space="0"/>
          <w:bottom w:val="single" w:color="CC484C" w:themeColor="accent2" w:sz="4" w:space="0"/>
          <w:right w:val="single" w:color="CC484C" w:themeColor="accent2" w:sz="4" w:space="0"/>
          <w:insideH w:val="nil"/>
          <w:insideV w:val="nil"/>
        </w:tcBorders>
        <w:shd w:val="clear" w:color="auto" w:fill="CC484C" w:themeFill="accent2"/>
      </w:tcPr>
    </w:tblStylePr>
    <w:tblStylePr w:type="lastRow">
      <w:rPr>
        <w:b/>
        <w:bCs/>
      </w:rPr>
      <w:tblPr/>
      <w:tcPr>
        <w:tcBorders>
          <w:top w:val="double" w:color="CC484C" w:themeColor="accent2" w:sz="4" w:space="0"/>
        </w:tcBorders>
      </w:tcPr>
    </w:tblStylePr>
    <w:tblStylePr w:type="firstCol">
      <w:rPr>
        <w:b/>
        <w:bCs/>
      </w:rPr>
    </w:tblStylePr>
    <w:tblStylePr w:type="lastCol">
      <w:rPr>
        <w:b/>
        <w:bCs/>
      </w:rPr>
    </w:tblStylePr>
    <w:tblStylePr w:type="band1Vert">
      <w:tblPr/>
      <w:tcPr>
        <w:shd w:val="clear" w:color="auto" w:fill="F4DADA" w:themeFill="accent2" w:themeFillTint="33"/>
      </w:tcPr>
    </w:tblStylePr>
    <w:tblStylePr w:type="band1Horz">
      <w:tblPr/>
      <w:tcPr>
        <w:shd w:val="clear" w:color="auto" w:fill="F4DADA" w:themeFill="accent2" w:themeFillTint="33"/>
      </w:tcPr>
    </w:tblStylePr>
  </w:style>
  <w:style w:type="table" w:styleId="GridTable4-Accent1">
    <w:name w:val="Grid Table 4 Accent 1"/>
    <w:basedOn w:val="TableNormal"/>
    <w:uiPriority w:val="49"/>
    <w:locked/>
    <w:rsid w:val="00B377FC"/>
    <w:pPr>
      <w:spacing w:after="0" w:line="240" w:lineRule="auto"/>
    </w:pPr>
    <w:tblPr>
      <w:tblStyleRowBandSize w:val="1"/>
      <w:tblStyleColBandSize w:val="1"/>
      <w:tblBorders>
        <w:top w:val="single" w:color="4ABDF4" w:themeColor="accent1" w:themeTint="99" w:sz="4" w:space="0"/>
        <w:left w:val="single" w:color="4ABDF4" w:themeColor="accent1" w:themeTint="99" w:sz="4" w:space="0"/>
        <w:bottom w:val="single" w:color="4ABDF4" w:themeColor="accent1" w:themeTint="99" w:sz="4" w:space="0"/>
        <w:right w:val="single" w:color="4ABDF4" w:themeColor="accent1" w:themeTint="99" w:sz="4" w:space="0"/>
        <w:insideH w:val="single" w:color="4ABDF4" w:themeColor="accent1" w:themeTint="99" w:sz="4" w:space="0"/>
        <w:insideV w:val="single" w:color="4ABDF4" w:themeColor="accent1" w:themeTint="99" w:sz="4" w:space="0"/>
      </w:tblBorders>
      <w:tblCellMar>
        <w:top w:w="113" w:type="dxa"/>
        <w:bottom w:w="113" w:type="dxa"/>
      </w:tblCellMar>
    </w:tblPr>
    <w:tblStylePr w:type="firstRow">
      <w:rPr>
        <w:rFonts w:ascii="Arial" w:hAnsi="Arial"/>
        <w:b/>
        <w:bCs/>
        <w:color w:val="213563" w:themeColor="text1"/>
      </w:rPr>
      <w:tblPr/>
      <w:tcPr>
        <w:tcBorders>
          <w:top w:val="single" w:color="0B7EB4" w:themeColor="accent1" w:sz="4" w:space="0"/>
          <w:left w:val="single" w:color="0B7EB4" w:themeColor="accent1" w:sz="4" w:space="0"/>
          <w:bottom w:val="single" w:color="0B7EB4" w:themeColor="accent1" w:sz="4" w:space="0"/>
          <w:right w:val="single" w:color="0B7EB4" w:themeColor="accent1" w:sz="4" w:space="0"/>
          <w:insideH w:val="nil"/>
          <w:insideV w:val="nil"/>
        </w:tcBorders>
        <w:shd w:val="clear" w:color="auto" w:fill="0B7EB4" w:themeFill="accent1"/>
      </w:tcPr>
    </w:tblStylePr>
    <w:tblStylePr w:type="lastRow">
      <w:rPr>
        <w:b/>
        <w:bCs/>
      </w:rPr>
      <w:tblPr/>
      <w:tcPr>
        <w:tcBorders>
          <w:top w:val="double" w:color="0B7EB4" w:themeColor="accent1" w:sz="4" w:space="0"/>
        </w:tcBorders>
      </w:tcPr>
    </w:tblStylePr>
    <w:tblStylePr w:type="firstCol">
      <w:rPr>
        <w:b/>
        <w:bCs/>
      </w:rPr>
    </w:tblStylePr>
    <w:tblStylePr w:type="lastCol">
      <w:rPr>
        <w:b/>
        <w:bCs/>
      </w:rPr>
    </w:tblStylePr>
    <w:tblStylePr w:type="band1Vert">
      <w:tblPr/>
      <w:tcPr>
        <w:shd w:val="clear" w:color="auto" w:fill="C2E9FB" w:themeFill="accent1" w:themeFillTint="33"/>
      </w:tcPr>
    </w:tblStylePr>
    <w:tblStylePr w:type="band1Horz">
      <w:tblPr/>
      <w:tcPr>
        <w:shd w:val="clear" w:color="auto" w:fill="C2E9FB" w:themeFill="accent1" w:themeFillTint="33"/>
      </w:tcPr>
    </w:tblStylePr>
  </w:style>
  <w:style w:type="paragraph" w:styleId="NoSpacing">
    <w:name w:val="No Spacing"/>
    <w:uiPriority w:val="1"/>
    <w:qFormat/>
    <w:rsid w:val="008952DF"/>
    <w:pPr>
      <w:spacing w:after="0" w:line="240" w:lineRule="auto"/>
    </w:pPr>
  </w:style>
  <w:style w:type="paragraph" w:styleId="Quote">
    <w:name w:val="Quote"/>
    <w:basedOn w:val="Normal"/>
    <w:next w:val="Normal"/>
    <w:link w:val="QuoteChar"/>
    <w:uiPriority w:val="29"/>
    <w:qFormat/>
    <w:rsid w:val="00F0049F"/>
    <w:pPr>
      <w:pBdr>
        <w:left w:val="single" w:color="213563" w:themeColor="text1" w:sz="36" w:space="12"/>
      </w:pBdr>
      <w:shd w:val="clear" w:color="FFBF3F" w:themeColor="accent4" w:fill="auto"/>
      <w:spacing w:before="240" w:after="120"/>
      <w:ind w:left="340" w:right="862"/>
    </w:pPr>
    <w:rPr>
      <w:b/>
      <w:iCs/>
      <w:color w:val="213563" w:themeColor="text1"/>
    </w:rPr>
  </w:style>
  <w:style w:type="character" w:styleId="QuoteChar" w:customStyle="1">
    <w:name w:val="Quote Char"/>
    <w:basedOn w:val="DefaultParagraphFont"/>
    <w:link w:val="Quote"/>
    <w:uiPriority w:val="29"/>
    <w:rsid w:val="00F0049F"/>
    <w:rPr>
      <w:b/>
      <w:iCs/>
      <w:color w:val="213563" w:themeColor="text1"/>
      <w:sz w:val="24"/>
      <w:shd w:val="clear" w:color="FFBF3F" w:themeColor="accent4" w:fill="auto"/>
    </w:rPr>
  </w:style>
  <w:style w:type="table" w:styleId="TableGridLight">
    <w:name w:val="Grid Table Light"/>
    <w:basedOn w:val="TableNormal"/>
    <w:uiPriority w:val="40"/>
    <w:rsid w:val="00B377FC"/>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113" w:type="dxa"/>
        <w:bottom w:w="113" w:type="dxa"/>
      </w:tblCellMar>
    </w:tblPr>
  </w:style>
  <w:style w:type="table" w:styleId="PlainTable1">
    <w:name w:val="Plain Table 1"/>
    <w:basedOn w:val="TableNormal"/>
    <w:uiPriority w:val="41"/>
    <w:rsid w:val="00B377FC"/>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113" w:type="dxa"/>
        <w:bottom w:w="113" w:type="dxa"/>
      </w:tblCellMar>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B377FC"/>
    <w:pPr>
      <w:spacing w:after="0" w:line="240" w:lineRule="auto"/>
    </w:pPr>
    <w:tblPr>
      <w:tblStyleRowBandSize w:val="1"/>
      <w:tblStyleColBandSize w:val="1"/>
      <w:tblBorders>
        <w:top w:val="single" w:color="708DCF" w:themeColor="text1" w:themeTint="80" w:sz="4" w:space="0"/>
        <w:bottom w:val="single" w:color="708DCF" w:themeColor="text1" w:themeTint="80" w:sz="4" w:space="0"/>
      </w:tblBorders>
      <w:tblCellMar>
        <w:top w:w="113" w:type="dxa"/>
        <w:bottom w:w="113" w:type="dxa"/>
      </w:tblCellMar>
    </w:tblPr>
    <w:tblStylePr w:type="firstRow">
      <w:rPr>
        <w:b/>
        <w:bCs/>
      </w:rPr>
      <w:tblPr/>
      <w:tcPr>
        <w:tcBorders>
          <w:bottom w:val="single" w:color="708DCF" w:themeColor="text1" w:themeTint="80" w:sz="4" w:space="0"/>
        </w:tcBorders>
      </w:tcPr>
    </w:tblStylePr>
    <w:tblStylePr w:type="lastRow">
      <w:rPr>
        <w:b/>
        <w:bCs/>
      </w:rPr>
      <w:tblPr/>
      <w:tcPr>
        <w:tcBorders>
          <w:top w:val="single" w:color="708DCF" w:themeColor="text1" w:themeTint="80" w:sz="4" w:space="0"/>
        </w:tcBorders>
      </w:tcPr>
    </w:tblStylePr>
    <w:tblStylePr w:type="firstCol">
      <w:rPr>
        <w:b/>
        <w:bCs/>
      </w:rPr>
    </w:tblStylePr>
    <w:tblStylePr w:type="lastCol">
      <w:rPr>
        <w:b/>
        <w:bCs/>
      </w:rPr>
    </w:tblStylePr>
    <w:tblStylePr w:type="band1Vert">
      <w:tblPr/>
      <w:tcPr>
        <w:tcBorders>
          <w:left w:val="single" w:color="708DCF" w:themeColor="text1" w:themeTint="80" w:sz="4" w:space="0"/>
          <w:right w:val="single" w:color="708DCF" w:themeColor="text1" w:themeTint="80" w:sz="4" w:space="0"/>
        </w:tcBorders>
      </w:tcPr>
    </w:tblStylePr>
    <w:tblStylePr w:type="band2Vert">
      <w:tblPr/>
      <w:tcPr>
        <w:tcBorders>
          <w:left w:val="single" w:color="708DCF" w:themeColor="text1" w:themeTint="80" w:sz="4" w:space="0"/>
          <w:right w:val="single" w:color="708DCF" w:themeColor="text1" w:themeTint="80" w:sz="4" w:space="0"/>
        </w:tcBorders>
      </w:tcPr>
    </w:tblStylePr>
    <w:tblStylePr w:type="band1Horz">
      <w:tblPr/>
      <w:tcPr>
        <w:tcBorders>
          <w:top w:val="single" w:color="708DCF" w:themeColor="text1" w:themeTint="80" w:sz="4" w:space="0"/>
          <w:bottom w:val="single" w:color="708DCF" w:themeColor="text1" w:themeTint="80" w:sz="4" w:space="0"/>
        </w:tcBorders>
      </w:tcPr>
    </w:tblStylePr>
  </w:style>
  <w:style w:type="table" w:styleId="GridTable3">
    <w:name w:val="Grid Table 3"/>
    <w:basedOn w:val="TableNormal"/>
    <w:uiPriority w:val="48"/>
    <w:locked/>
    <w:rsid w:val="00726EA3"/>
    <w:pPr>
      <w:spacing w:after="0" w:line="240" w:lineRule="auto"/>
    </w:pPr>
    <w:tblPr>
      <w:tblStyleRowBandSize w:val="1"/>
      <w:tblStyleColBandSize w:val="1"/>
      <w:tblBorders>
        <w:top w:val="single" w:color="5476C6" w:themeColor="text1" w:themeTint="99" w:sz="4" w:space="0"/>
        <w:left w:val="single" w:color="5476C6" w:themeColor="text1" w:themeTint="99" w:sz="4" w:space="0"/>
        <w:bottom w:val="single" w:color="5476C6" w:themeColor="text1" w:themeTint="99" w:sz="4" w:space="0"/>
        <w:right w:val="single" w:color="5476C6" w:themeColor="text1" w:themeTint="99" w:sz="4" w:space="0"/>
        <w:insideH w:val="single" w:color="5476C6" w:themeColor="text1" w:themeTint="99" w:sz="4" w:space="0"/>
        <w:insideV w:val="single" w:color="5476C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D1EC" w:themeFill="text1" w:themeFillTint="33"/>
      </w:tcPr>
    </w:tblStylePr>
    <w:tblStylePr w:type="band1Horz">
      <w:tblPr/>
      <w:tcPr>
        <w:shd w:val="clear" w:color="auto" w:fill="C6D1EC" w:themeFill="text1" w:themeFillTint="33"/>
      </w:tcPr>
    </w:tblStylePr>
    <w:tblStylePr w:type="neCell">
      <w:tblPr/>
      <w:tcPr>
        <w:tcBorders>
          <w:bottom w:val="single" w:color="5476C6" w:themeColor="text1" w:themeTint="99" w:sz="4" w:space="0"/>
        </w:tcBorders>
      </w:tcPr>
    </w:tblStylePr>
    <w:tblStylePr w:type="nwCell">
      <w:tblPr/>
      <w:tcPr>
        <w:tcBorders>
          <w:bottom w:val="single" w:color="5476C6" w:themeColor="text1" w:themeTint="99" w:sz="4" w:space="0"/>
        </w:tcBorders>
      </w:tcPr>
    </w:tblStylePr>
    <w:tblStylePr w:type="seCell">
      <w:tblPr/>
      <w:tcPr>
        <w:tcBorders>
          <w:top w:val="single" w:color="5476C6" w:themeColor="text1" w:themeTint="99" w:sz="4" w:space="0"/>
        </w:tcBorders>
      </w:tcPr>
    </w:tblStylePr>
    <w:tblStylePr w:type="swCell">
      <w:tblPr/>
      <w:tcPr>
        <w:tcBorders>
          <w:top w:val="single" w:color="5476C6" w:themeColor="text1" w:themeTint="99" w:sz="4" w:space="0"/>
        </w:tcBorders>
      </w:tcPr>
    </w:tblStylePr>
  </w:style>
  <w:style w:type="paragraph" w:styleId="Header">
    <w:name w:val="header"/>
    <w:basedOn w:val="Normal"/>
    <w:link w:val="HeaderChar"/>
    <w:uiPriority w:val="99"/>
    <w:unhideWhenUsed/>
    <w:locked/>
    <w:rsid w:val="0002446C"/>
    <w:pPr>
      <w:tabs>
        <w:tab w:val="center" w:pos="4513"/>
        <w:tab w:val="right" w:pos="9026"/>
      </w:tabs>
      <w:spacing w:after="0" w:line="240" w:lineRule="auto"/>
    </w:pPr>
  </w:style>
  <w:style w:type="character" w:styleId="HeaderChar" w:customStyle="1">
    <w:name w:val="Header Char"/>
    <w:basedOn w:val="DefaultParagraphFont"/>
    <w:link w:val="Header"/>
    <w:uiPriority w:val="99"/>
    <w:rsid w:val="0002446C"/>
    <w:rPr>
      <w:sz w:val="24"/>
    </w:rPr>
  </w:style>
  <w:style w:type="paragraph" w:styleId="Footer">
    <w:name w:val="footer"/>
    <w:basedOn w:val="Normal"/>
    <w:link w:val="FooterChar"/>
    <w:uiPriority w:val="99"/>
    <w:unhideWhenUsed/>
    <w:locked/>
    <w:rsid w:val="0002446C"/>
    <w:pPr>
      <w:tabs>
        <w:tab w:val="center" w:pos="4513"/>
        <w:tab w:val="right" w:pos="9026"/>
      </w:tabs>
      <w:spacing w:after="0" w:line="240" w:lineRule="auto"/>
    </w:pPr>
  </w:style>
  <w:style w:type="paragraph" w:styleId="TOCHeading">
    <w:name w:val="TOC Heading"/>
    <w:basedOn w:val="Heading1"/>
    <w:next w:val="Normal"/>
    <w:uiPriority w:val="39"/>
    <w:semiHidden/>
    <w:unhideWhenUsed/>
    <w:qFormat/>
    <w:locked/>
    <w:rsid w:val="008952DF"/>
    <w:pPr>
      <w:outlineLvl w:val="9"/>
    </w:pPr>
  </w:style>
  <w:style w:type="character" w:styleId="FooterChar" w:customStyle="1">
    <w:name w:val="Footer Char"/>
    <w:basedOn w:val="DefaultParagraphFont"/>
    <w:link w:val="Footer"/>
    <w:uiPriority w:val="99"/>
    <w:rsid w:val="0002446C"/>
    <w:rPr>
      <w:sz w:val="24"/>
    </w:rPr>
  </w:style>
  <w:style w:type="paragraph" w:styleId="Boldtext" w:customStyle="1">
    <w:name w:val="Bold text"/>
    <w:basedOn w:val="Normal"/>
    <w:qFormat/>
    <w:rsid w:val="0002446C"/>
    <w:rPr>
      <w:b/>
    </w:rPr>
  </w:style>
  <w:style w:type="table" w:styleId="TableGrid">
    <w:name w:val="Table Grid"/>
    <w:basedOn w:val="TableNormal"/>
    <w:uiPriority w:val="39"/>
    <w:rsid w:val="00B377F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bottom w:w="113" w:type="dxa"/>
      </w:tblCellMar>
    </w:tblPr>
  </w:style>
  <w:style w:type="character" w:styleId="Hyperlink">
    <w:name w:val="Hyperlink"/>
    <w:basedOn w:val="DefaultParagraphFont"/>
    <w:uiPriority w:val="99"/>
    <w:rsid w:val="004D04E4"/>
    <w:rPr>
      <w:b/>
      <w:color w:val="213563" w:themeColor="text1"/>
      <w:u w:val="single"/>
    </w:rPr>
  </w:style>
  <w:style w:type="table" w:styleId="ListTable4-Accent4">
    <w:name w:val="List Table 4 Accent 4"/>
    <w:basedOn w:val="TableNormal"/>
    <w:uiPriority w:val="49"/>
    <w:rsid w:val="004067A0"/>
    <w:pPr>
      <w:spacing w:after="0" w:line="240" w:lineRule="auto"/>
    </w:pPr>
    <w:rPr>
      <w:sz w:val="24"/>
    </w:rPr>
    <w:tblPr>
      <w:tblStyleRowBandSize w:val="1"/>
      <w:tblStyleColBandSize w:val="1"/>
      <w:tblBorders>
        <w:top w:val="single" w:color="FFD88B" w:themeColor="accent4" w:themeTint="99" w:sz="4" w:space="0"/>
        <w:left w:val="single" w:color="FFD88B" w:themeColor="accent4" w:themeTint="99" w:sz="4" w:space="0"/>
        <w:bottom w:val="single" w:color="FFD88B" w:themeColor="accent4" w:themeTint="99" w:sz="4" w:space="0"/>
        <w:right w:val="single" w:color="FFD88B" w:themeColor="accent4" w:themeTint="99" w:sz="4" w:space="0"/>
        <w:insideH w:val="single" w:color="FFD88B" w:themeColor="accent4" w:themeTint="99" w:sz="4" w:space="0"/>
      </w:tblBorders>
      <w:tblCellMar>
        <w:top w:w="113" w:type="dxa"/>
        <w:bottom w:w="113" w:type="dxa"/>
      </w:tblCellMar>
    </w:tblPr>
    <w:tblStylePr w:type="firstRow">
      <w:rPr>
        <w:rFonts w:ascii="Arial" w:hAnsi="Arial"/>
        <w:b/>
        <w:bCs/>
        <w:color w:val="FFFFFF" w:themeColor="background1"/>
        <w:sz w:val="24"/>
      </w:rPr>
      <w:tblPr/>
      <w:tcPr>
        <w:tcBorders>
          <w:top w:val="single" w:color="FFBF3F" w:themeColor="accent4" w:sz="4" w:space="0"/>
          <w:left w:val="single" w:color="FFBF3F" w:themeColor="accent4" w:sz="4" w:space="0"/>
          <w:bottom w:val="single" w:color="FFBF3F" w:themeColor="accent4" w:sz="4" w:space="0"/>
          <w:right w:val="single" w:color="FFBF3F" w:themeColor="accent4" w:sz="4" w:space="0"/>
          <w:insideH w:val="nil"/>
        </w:tcBorders>
        <w:shd w:val="clear" w:color="auto" w:fill="FFBF3F" w:themeFill="accent4"/>
      </w:tcPr>
    </w:tblStylePr>
    <w:tblStylePr w:type="lastRow">
      <w:rPr>
        <w:b/>
        <w:bCs/>
      </w:rPr>
      <w:tblPr/>
      <w:tcPr>
        <w:tcBorders>
          <w:top w:val="double" w:color="FFD88B" w:themeColor="accent4" w:themeTint="99" w:sz="4" w:space="0"/>
        </w:tcBorders>
      </w:tcPr>
    </w:tblStylePr>
    <w:tblStylePr w:type="firstCol">
      <w:rPr>
        <w:b w:val="0"/>
        <w:bCs/>
      </w:rPr>
    </w:tblStylePr>
    <w:tblStylePr w:type="lastCol">
      <w:rPr>
        <w:b w:val="0"/>
        <w:bCs/>
      </w:rPr>
    </w:tblStylePr>
    <w:tblStylePr w:type="band1Vert">
      <w:tblPr/>
      <w:tcPr>
        <w:shd w:val="clear" w:color="auto" w:fill="FFF2D8" w:themeFill="accent4" w:themeFillTint="33"/>
      </w:tcPr>
    </w:tblStylePr>
    <w:tblStylePr w:type="band1Horz">
      <w:tblPr/>
      <w:tcPr>
        <w:shd w:val="clear" w:color="auto" w:fill="FFF2D8" w:themeFill="accent4" w:themeFillTint="33"/>
      </w:tcPr>
    </w:tblStylePr>
  </w:style>
  <w:style w:type="table" w:styleId="ListTable4-Accent1">
    <w:name w:val="List Table 4 Accent 1"/>
    <w:basedOn w:val="TableNormal"/>
    <w:uiPriority w:val="49"/>
    <w:locked/>
    <w:rsid w:val="00C12EFB"/>
    <w:pPr>
      <w:spacing w:after="0" w:line="240" w:lineRule="auto"/>
    </w:pPr>
    <w:tblPr>
      <w:tblStyleRowBandSize w:val="1"/>
      <w:tblStyleColBandSize w:val="1"/>
      <w:tblBorders>
        <w:top w:val="single" w:color="4ABDF4" w:themeColor="accent1" w:themeTint="99" w:sz="4" w:space="0"/>
        <w:left w:val="single" w:color="4ABDF4" w:themeColor="accent1" w:themeTint="99" w:sz="4" w:space="0"/>
        <w:bottom w:val="single" w:color="4ABDF4" w:themeColor="accent1" w:themeTint="99" w:sz="4" w:space="0"/>
        <w:right w:val="single" w:color="4ABDF4" w:themeColor="accent1" w:themeTint="99" w:sz="4" w:space="0"/>
        <w:insideH w:val="single" w:color="4ABDF4" w:themeColor="accent1" w:themeTint="99" w:sz="4" w:space="0"/>
      </w:tblBorders>
      <w:tblCellMar>
        <w:top w:w="57" w:type="dxa"/>
        <w:bottom w:w="57" w:type="dxa"/>
      </w:tblCellMar>
    </w:tblPr>
    <w:tblStylePr w:type="firstRow">
      <w:rPr>
        <w:b/>
        <w:bCs/>
        <w:color w:val="FFFFFF" w:themeColor="background1"/>
      </w:rPr>
      <w:tblPr/>
      <w:tcPr>
        <w:tcBorders>
          <w:top w:val="single" w:color="0B7EB4" w:themeColor="accent1" w:sz="4" w:space="0"/>
          <w:left w:val="single" w:color="0B7EB4" w:themeColor="accent1" w:sz="4" w:space="0"/>
          <w:bottom w:val="single" w:color="0B7EB4" w:themeColor="accent1" w:sz="4" w:space="0"/>
          <w:right w:val="single" w:color="0B7EB4" w:themeColor="accent1" w:sz="4" w:space="0"/>
          <w:insideH w:val="nil"/>
        </w:tcBorders>
        <w:shd w:val="clear" w:color="auto" w:fill="0B7EB4" w:themeFill="accent1"/>
      </w:tcPr>
    </w:tblStylePr>
    <w:tblStylePr w:type="lastRow">
      <w:rPr>
        <w:b/>
        <w:bCs/>
      </w:rPr>
      <w:tblPr/>
      <w:tcPr>
        <w:tcBorders>
          <w:top w:val="double" w:color="4ABDF4" w:themeColor="accent1" w:themeTint="99" w:sz="4" w:space="0"/>
        </w:tcBorders>
      </w:tcPr>
    </w:tblStylePr>
    <w:tblStylePr w:type="firstCol">
      <w:rPr>
        <w:b/>
        <w:bCs/>
      </w:rPr>
    </w:tblStylePr>
    <w:tblStylePr w:type="lastCol">
      <w:rPr>
        <w:b/>
        <w:bCs/>
      </w:rPr>
    </w:tblStylePr>
    <w:tblStylePr w:type="band1Vert">
      <w:tblPr/>
      <w:tcPr>
        <w:shd w:val="clear" w:color="auto" w:fill="C2E9FB" w:themeFill="accent1" w:themeFillTint="33"/>
      </w:tcPr>
    </w:tblStylePr>
    <w:tblStylePr w:type="band1Horz">
      <w:tblPr/>
      <w:tcPr>
        <w:shd w:val="clear" w:color="auto" w:fill="C2E9FB" w:themeFill="accent1" w:themeFillTint="33"/>
      </w:tcPr>
    </w:tblStylePr>
  </w:style>
  <w:style w:type="table" w:styleId="PlainTable3">
    <w:name w:val="Plain Table 3"/>
    <w:basedOn w:val="TableNormal"/>
    <w:uiPriority w:val="43"/>
    <w:locked/>
    <w:rsid w:val="004D04E4"/>
    <w:pPr>
      <w:spacing w:after="0" w:line="240" w:lineRule="auto"/>
    </w:pPr>
    <w:tblPr>
      <w:tblStyleRowBandSize w:val="1"/>
      <w:tblStyleColBandSize w:val="1"/>
    </w:tblPr>
    <w:tblStylePr w:type="firstRow">
      <w:rPr>
        <w:b/>
        <w:bCs/>
        <w:caps/>
      </w:rPr>
      <w:tblPr/>
      <w:tcPr>
        <w:tcBorders>
          <w:bottom w:val="single" w:color="708DC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08DC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Accent5">
    <w:name w:val="Grid Table 4 Accent 5"/>
    <w:basedOn w:val="TableNormal"/>
    <w:uiPriority w:val="49"/>
    <w:locked/>
    <w:rsid w:val="004D04E4"/>
    <w:pPr>
      <w:spacing w:after="0" w:line="240" w:lineRule="auto"/>
    </w:pPr>
    <w:tblPr>
      <w:tblStyleRowBandSize w:val="1"/>
      <w:tblStyleColBandSize w:val="1"/>
      <w:tblBorders>
        <w:top w:val="single" w:color="1CFFED" w:themeColor="accent5" w:themeTint="99" w:sz="4" w:space="0"/>
        <w:left w:val="single" w:color="1CFFED" w:themeColor="accent5" w:themeTint="99" w:sz="4" w:space="0"/>
        <w:bottom w:val="single" w:color="1CFFED" w:themeColor="accent5" w:themeTint="99" w:sz="4" w:space="0"/>
        <w:right w:val="single" w:color="1CFFED" w:themeColor="accent5" w:themeTint="99" w:sz="4" w:space="0"/>
        <w:insideH w:val="single" w:color="1CFFED" w:themeColor="accent5" w:themeTint="99" w:sz="4" w:space="0"/>
        <w:insideV w:val="single" w:color="1CFFED" w:themeColor="accent5" w:themeTint="99" w:sz="4" w:space="0"/>
      </w:tblBorders>
    </w:tblPr>
    <w:tblStylePr w:type="firstRow">
      <w:rPr>
        <w:b/>
        <w:bCs/>
        <w:color w:val="FFFFFF" w:themeColor="background1"/>
      </w:rPr>
      <w:tblPr/>
      <w:tcPr>
        <w:tcBorders>
          <w:top w:val="single" w:color="00857B" w:themeColor="accent5" w:sz="4" w:space="0"/>
          <w:left w:val="single" w:color="00857B" w:themeColor="accent5" w:sz="4" w:space="0"/>
          <w:bottom w:val="single" w:color="00857B" w:themeColor="accent5" w:sz="4" w:space="0"/>
          <w:right w:val="single" w:color="00857B" w:themeColor="accent5" w:sz="4" w:space="0"/>
          <w:insideH w:val="nil"/>
          <w:insideV w:val="nil"/>
        </w:tcBorders>
        <w:shd w:val="clear" w:color="auto" w:fill="00857B" w:themeFill="accent5"/>
      </w:tcPr>
    </w:tblStylePr>
    <w:tblStylePr w:type="lastRow">
      <w:rPr>
        <w:b/>
        <w:bCs/>
      </w:rPr>
      <w:tblPr/>
      <w:tcPr>
        <w:tcBorders>
          <w:top w:val="double" w:color="00857B" w:themeColor="accent5" w:sz="4" w:space="0"/>
        </w:tcBorders>
      </w:tcPr>
    </w:tblStylePr>
    <w:tblStylePr w:type="firstCol">
      <w:rPr>
        <w:b/>
        <w:bCs/>
      </w:rPr>
    </w:tblStylePr>
    <w:tblStylePr w:type="lastCol">
      <w:rPr>
        <w:b/>
        <w:bCs/>
      </w:rPr>
    </w:tblStylePr>
    <w:tblStylePr w:type="band1Vert">
      <w:tblPr/>
      <w:tcPr>
        <w:shd w:val="clear" w:color="auto" w:fill="B3FFF9" w:themeFill="accent5" w:themeFillTint="33"/>
      </w:tcPr>
    </w:tblStylePr>
    <w:tblStylePr w:type="band1Horz">
      <w:tblPr/>
      <w:tcPr>
        <w:shd w:val="clear" w:color="auto" w:fill="B3FFF9" w:themeFill="accent5" w:themeFillTint="33"/>
      </w:tcPr>
    </w:tblStylePr>
  </w:style>
  <w:style w:type="paragraph" w:styleId="Highlightedtext" w:customStyle="1">
    <w:name w:val="Highlighted text"/>
    <w:basedOn w:val="Normal"/>
    <w:qFormat/>
    <w:rsid w:val="00C175A9"/>
    <w:pPr>
      <w:pBdr>
        <w:top w:val="single" w:color="213563" w:themeColor="text1" w:sz="4" w:space="8"/>
        <w:left w:val="single" w:color="213563" w:themeColor="text1" w:sz="4" w:space="4"/>
        <w:bottom w:val="single" w:color="213563" w:themeColor="text1" w:sz="4" w:space="8"/>
        <w:right w:val="single" w:color="213563" w:themeColor="text1" w:sz="4" w:space="4"/>
      </w:pBdr>
      <w:shd w:val="clear" w:color="auto" w:fill="FFE5B2" w:themeFill="accent4" w:themeFillTint="66"/>
      <w:ind w:left="170" w:right="170"/>
    </w:pPr>
    <w:rPr>
      <w:color w:val="213563" w:themeColor="text1"/>
    </w:rPr>
  </w:style>
  <w:style w:type="table" w:styleId="ListTable7Colorful-Accent3">
    <w:name w:val="List Table 7 Colorful Accent 3"/>
    <w:basedOn w:val="TableNormal"/>
    <w:uiPriority w:val="52"/>
    <w:locked/>
    <w:rsid w:val="004069E6"/>
    <w:pPr>
      <w:spacing w:after="0" w:line="240" w:lineRule="auto"/>
    </w:pPr>
    <w:rPr>
      <w:color w:val="016029"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28137"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28137"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28137"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28137" w:themeColor="accent3" w:sz="4" w:space="0"/>
        </w:tcBorders>
        <w:shd w:val="clear" w:color="auto" w:fill="FFFFFF" w:themeFill="background1"/>
      </w:tcPr>
    </w:tblStylePr>
    <w:tblStylePr w:type="band1Vert">
      <w:tblPr/>
      <w:tcPr>
        <w:shd w:val="clear" w:color="auto" w:fill="B4FDD2" w:themeFill="accent3" w:themeFillTint="33"/>
      </w:tcPr>
    </w:tblStylePr>
    <w:tblStylePr w:type="band1Horz">
      <w:tblPr/>
      <w:tcPr>
        <w:shd w:val="clear" w:color="auto" w:fill="B4FDD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4069E6"/>
    <w:pPr>
      <w:spacing w:after="0" w:line="240" w:lineRule="auto"/>
    </w:pPr>
    <w:tblPr>
      <w:tblStyleRowBandSize w:val="1"/>
      <w:tblStyleColBandSize w:val="1"/>
      <w:tblBorders>
        <w:top w:val="single" w:color="8DA4D9" w:themeColor="text1" w:themeTint="66" w:sz="4" w:space="0"/>
        <w:left w:val="single" w:color="8DA4D9" w:themeColor="text1" w:themeTint="66" w:sz="4" w:space="0"/>
        <w:bottom w:val="single" w:color="8DA4D9" w:themeColor="text1" w:themeTint="66" w:sz="4" w:space="0"/>
        <w:right w:val="single" w:color="8DA4D9" w:themeColor="text1" w:themeTint="66" w:sz="4" w:space="0"/>
        <w:insideH w:val="single" w:color="8DA4D9" w:themeColor="text1" w:themeTint="66" w:sz="4" w:space="0"/>
        <w:insideV w:val="single" w:color="8DA4D9" w:themeColor="text1" w:themeTint="66" w:sz="4" w:space="0"/>
      </w:tblBorders>
    </w:tblPr>
    <w:tblStylePr w:type="firstRow">
      <w:rPr>
        <w:b/>
        <w:bCs/>
      </w:rPr>
      <w:tblPr/>
      <w:tcPr>
        <w:tcBorders>
          <w:bottom w:val="single" w:color="5476C6" w:themeColor="text1" w:themeTint="99" w:sz="12" w:space="0"/>
        </w:tcBorders>
      </w:tcPr>
    </w:tblStylePr>
    <w:tblStylePr w:type="lastRow">
      <w:rPr>
        <w:b/>
        <w:bCs/>
      </w:rPr>
      <w:tblPr/>
      <w:tcPr>
        <w:tcBorders>
          <w:top w:val="double" w:color="5476C6" w:themeColor="text1" w:themeTint="99" w:sz="2" w:space="0"/>
        </w:tcBorders>
      </w:tcPr>
    </w:tblStylePr>
    <w:tblStylePr w:type="firstCol">
      <w:rPr>
        <w:b/>
        <w:bCs/>
      </w:rPr>
    </w:tblStylePr>
    <w:tblStylePr w:type="lastCol">
      <w:rPr>
        <w:b/>
        <w:bCs/>
      </w:rPr>
    </w:tblStylePr>
  </w:style>
  <w:style w:type="table" w:styleId="GridTable4-Accent3">
    <w:name w:val="Grid Table 4 Accent 3"/>
    <w:basedOn w:val="TableNormal"/>
    <w:uiPriority w:val="49"/>
    <w:locked/>
    <w:rsid w:val="004069E6"/>
    <w:pPr>
      <w:spacing w:after="0" w:line="240" w:lineRule="auto"/>
    </w:pPr>
    <w:tblPr>
      <w:tblStyleRowBandSize w:val="1"/>
      <w:tblStyleColBandSize w:val="1"/>
      <w:tblBorders>
        <w:top w:val="single" w:color="1EFB7A" w:themeColor="accent3" w:themeTint="99" w:sz="4" w:space="0"/>
        <w:left w:val="single" w:color="1EFB7A" w:themeColor="accent3" w:themeTint="99" w:sz="4" w:space="0"/>
        <w:bottom w:val="single" w:color="1EFB7A" w:themeColor="accent3" w:themeTint="99" w:sz="4" w:space="0"/>
        <w:right w:val="single" w:color="1EFB7A" w:themeColor="accent3" w:themeTint="99" w:sz="4" w:space="0"/>
        <w:insideH w:val="single" w:color="1EFB7A" w:themeColor="accent3" w:themeTint="99" w:sz="4" w:space="0"/>
        <w:insideV w:val="single" w:color="1EFB7A" w:themeColor="accent3" w:themeTint="99" w:sz="4" w:space="0"/>
      </w:tblBorders>
    </w:tblPr>
    <w:tblStylePr w:type="firstRow">
      <w:rPr>
        <w:b/>
        <w:bCs/>
        <w:color w:val="E7E6E6" w:themeColor="background2"/>
      </w:rPr>
      <w:tblPr/>
      <w:tcPr>
        <w:tcBorders>
          <w:top w:val="single" w:color="028137" w:themeColor="accent3" w:sz="4" w:space="0"/>
          <w:left w:val="single" w:color="028137" w:themeColor="accent3" w:sz="4" w:space="0"/>
          <w:bottom w:val="single" w:color="028137" w:themeColor="accent3" w:sz="4" w:space="0"/>
          <w:right w:val="single" w:color="028137" w:themeColor="accent3" w:sz="4" w:space="0"/>
          <w:insideH w:val="nil"/>
          <w:insideV w:val="nil"/>
        </w:tcBorders>
        <w:shd w:val="clear" w:color="auto" w:fill="028137" w:themeFill="accent3"/>
      </w:tcPr>
    </w:tblStylePr>
    <w:tblStylePr w:type="lastRow">
      <w:rPr>
        <w:b/>
        <w:bCs/>
      </w:rPr>
      <w:tblPr/>
      <w:tcPr>
        <w:tcBorders>
          <w:top w:val="double" w:color="028137" w:themeColor="accent3" w:sz="4" w:space="0"/>
        </w:tcBorders>
      </w:tcPr>
    </w:tblStylePr>
    <w:tblStylePr w:type="firstCol">
      <w:rPr>
        <w:b/>
        <w:bCs/>
      </w:rPr>
    </w:tblStylePr>
    <w:tblStylePr w:type="lastCol">
      <w:rPr>
        <w:b/>
        <w:bCs/>
      </w:rPr>
    </w:tblStylePr>
    <w:tblStylePr w:type="band1Vert">
      <w:tblPr/>
      <w:tcPr>
        <w:shd w:val="clear" w:color="auto" w:fill="B4FDD2" w:themeFill="accent3" w:themeFillTint="33"/>
      </w:tcPr>
    </w:tblStylePr>
    <w:tblStylePr w:type="band1Horz">
      <w:tblPr/>
      <w:tcPr>
        <w:shd w:val="clear" w:color="auto" w:fill="B4FDD2" w:themeFill="accent3" w:themeFillTint="33"/>
      </w:tcPr>
    </w:tblStylePr>
  </w:style>
  <w:style w:type="table" w:styleId="corptable" w:customStyle="1">
    <w:name w:val="corp table"/>
    <w:basedOn w:val="TableNormal"/>
    <w:uiPriority w:val="99"/>
    <w:rsid w:val="004069E6"/>
    <w:pPr>
      <w:spacing w:after="0" w:line="240" w:lineRule="auto"/>
    </w:pPr>
    <w:rPr>
      <w:color w:val="213563" w:themeColor="text1"/>
    </w:rPr>
    <w:tblPr>
      <w:tblStyleRowBandSize w:val="1"/>
      <w:tblBorders>
        <w:top w:val="single" w:color="213563" w:themeColor="text1" w:sz="4" w:space="0"/>
        <w:left w:val="single" w:color="213563" w:themeColor="text1" w:sz="4" w:space="0"/>
        <w:bottom w:val="single" w:color="213563" w:themeColor="text1" w:sz="4" w:space="0"/>
        <w:right w:val="single" w:color="213563" w:themeColor="text1" w:sz="4" w:space="0"/>
        <w:insideH w:val="single" w:color="213563" w:themeColor="text1" w:sz="4" w:space="0"/>
        <w:insideV w:val="single" w:color="213563" w:themeColor="text1" w:sz="4" w:space="0"/>
      </w:tblBorders>
      <w:tblCellMar>
        <w:top w:w="113" w:type="dxa"/>
        <w:bottom w:w="113" w:type="dxa"/>
      </w:tblCellMar>
    </w:tblPr>
    <w:tblStylePr w:type="firstRow">
      <w:pPr>
        <w:jc w:val="left"/>
      </w:pPr>
      <w:rPr>
        <w:rFonts w:asciiTheme="minorHAnsi" w:hAnsiTheme="minorHAnsi"/>
        <w:color w:val="213563" w:themeColor="text1"/>
        <w:sz w:val="24"/>
      </w:rPr>
      <w:tblPr/>
      <w:tcPr>
        <w:shd w:val="clear" w:color="auto" w:fill="213563" w:themeFill="text1"/>
        <w:vAlign w:val="center"/>
      </w:tcPr>
    </w:tblStylePr>
    <w:tblStylePr w:type="band1Horz">
      <w:tblPr/>
      <w:tcPr>
        <w:shd w:val="clear" w:color="auto" w:fill="FFE5B2"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ordsforlife.org.uk/activities/chat-play-read-interactive-activity-booklets/" TargetMode="External" Id="rId13" /><Relationship Type="http://schemas.openxmlformats.org/officeDocument/2006/relationships/hyperlink" Target="https://www.eyalliance.org.uk/news-events/blogs/eal-why-home-language-matters/" TargetMode="External" Id="rId18" /><Relationship Type="http://schemas.openxmlformats.org/officeDocument/2006/relationships/header" Target="header2.xml" Id="rId26" /><Relationship Type="http://schemas.openxmlformats.org/officeDocument/2006/relationships/customXml" Target="../customXml/item3.xml" Id="rId3" /><Relationship Type="http://schemas.openxmlformats.org/officeDocument/2006/relationships/hyperlink" Target="https://uk.mantralingua.com/" TargetMode="External" Id="rId21" /><Relationship Type="http://schemas.openxmlformats.org/officeDocument/2006/relationships/webSettings" Target="webSettings.xml" Id="rId7" /><Relationship Type="http://schemas.openxmlformats.org/officeDocument/2006/relationships/hyperlink" Target="https://literacytrust.org.uk/resources/chat-play-read-booklet/" TargetMode="External" Id="rId12" /><Relationship Type="http://schemas.openxmlformats.org/officeDocument/2006/relationships/hyperlink" Target="https://www.strongerpracticehubs.org.uk/hubs/sw/bristol-and-beyond-eysph/events/supporting-eal-ey-practitioners-ey" TargetMode="External"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hyperlink" Target="https://www.bell-foundation.org.uk/resources/detail/eal-in-early-years-settings-guidance-and-strategies/" TargetMode="External" Id="rId16" /><Relationship Type="http://schemas.openxmlformats.org/officeDocument/2006/relationships/hyperlink" Target="https://literacytrust.org.uk/resources/time-together-multilingual-families/" TargetMode="External" Id="rId20" /><Relationship Type="http://schemas.openxmlformats.org/officeDocument/2006/relationships/footer" Target="footer3.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torbayfamilyhub.org.uk/" TargetMode="External" Id="rId11" /><Relationship Type="http://schemas.openxmlformats.org/officeDocument/2006/relationships/hyperlink" Target="https://literacytrust.org.uk/early-years/" TargetMode="External" Id="rId24" /><Relationship Type="http://schemas.openxmlformats.org/officeDocument/2006/relationships/styles" Target="styles.xml" Id="rId5" /><Relationship Type="http://schemas.openxmlformats.org/officeDocument/2006/relationships/hyperlink" Target="https://help-for-early-years-providers.education.gov.uk/support-for-practitioners/english-as-an-additional-language-eal" TargetMode="External" Id="rId15" /><Relationship Type="http://schemas.openxmlformats.org/officeDocument/2006/relationships/hyperlink" Target="https://widgitonline.com/en/home" TargetMode="External" Id="rId23" /><Relationship Type="http://schemas.openxmlformats.org/officeDocument/2006/relationships/footer" Target="footer2.xml" Id="rId28" /><Relationship Type="http://schemas.openxmlformats.org/officeDocument/2006/relationships/image" Target="media/image1.png" Id="rId10" /><Relationship Type="http://schemas.openxmlformats.org/officeDocument/2006/relationships/hyperlink" Target="https://literacytrust.org.uk/resources/understanding-multilingualism-early-years/" TargetMode="External" Id="rId19" /><Relationship Type="http://schemas.openxmlformats.org/officeDocument/2006/relationships/theme" Target="theme/theme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soundcloud.com/user-617965064/sets" TargetMode="External" Id="rId14" /><Relationship Type="http://schemas.openxmlformats.org/officeDocument/2006/relationships/hyperlink" Target="https://torbayfamilyhub.org.uk/topic/objects-of-reference/" TargetMode="External" Id="rId22" /><Relationship Type="http://schemas.openxmlformats.org/officeDocument/2006/relationships/footer" Target="footer1.xml" Id="rId27" /><Relationship Type="http://schemas.openxmlformats.org/officeDocument/2006/relationships/fontTable" Target="fontTable.xml" Id="rId30" /></Relationships>
</file>

<file path=word/_rels/settings.xml.rels><?xml version="1.0" encoding="UTF-8" standalone="yes"?>
<Relationships xmlns="http://schemas.openxmlformats.org/package/2006/relationships"><Relationship Id="rId1" Type="http://schemas.openxmlformats.org/officeDocument/2006/relationships/attachedTemplate" Target="https://torbaycouncil1.sharepoint.com/sites/TC-Digital-Resources/Templates/Colour%20basic%20document.dotx" TargetMode="External"/></Relationships>
</file>

<file path=word/theme/theme1.xml><?xml version="1.0" encoding="utf-8"?>
<a:theme xmlns:a="http://schemas.openxmlformats.org/drawingml/2006/main" xmlns:thm15="http://schemas.microsoft.com/office/thememl/2012/main" name="council_2020">
  <a:themeElements>
    <a:clrScheme name="Accessible council">
      <a:dk1>
        <a:srgbClr val="213563"/>
      </a:dk1>
      <a:lt1>
        <a:sysClr val="window" lastClr="FFFFFF"/>
      </a:lt1>
      <a:dk2>
        <a:srgbClr val="673A8E"/>
      </a:dk2>
      <a:lt2>
        <a:srgbClr val="E7E6E6"/>
      </a:lt2>
      <a:accent1>
        <a:srgbClr val="0B7EB4"/>
      </a:accent1>
      <a:accent2>
        <a:srgbClr val="CC484C"/>
      </a:accent2>
      <a:accent3>
        <a:srgbClr val="028137"/>
      </a:accent3>
      <a:accent4>
        <a:srgbClr val="FFBF3F"/>
      </a:accent4>
      <a:accent5>
        <a:srgbClr val="00857B"/>
      </a:accent5>
      <a:accent6>
        <a:srgbClr val="B74492"/>
      </a:accent6>
      <a:hlink>
        <a:srgbClr val="002F6C"/>
      </a:hlink>
      <a:folHlink>
        <a:srgbClr val="002F6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ouncil_2020" id="{ACF5379F-5862-47AE-A443-4F862642E85B}" vid="{2995192D-550C-4411-BE3C-AE0C4C2F9C8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20" ma:contentTypeDescription="Create a new document." ma:contentTypeScope="" ma:versionID="885b7421d002ca2a8f9954b7907c2f38">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624b5b8cb07331da3a5224185de511b2"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bf0e76-9639-428a-b877-bea388b45306}" ma:internalName="TaxCatchAll" ma:readOnly="false"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27C40E-46B8-468A-AFBB-229B8CD4D0D2}">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customXml/itemProps2.xml><?xml version="1.0" encoding="utf-8"?>
<ds:datastoreItem xmlns:ds="http://schemas.openxmlformats.org/officeDocument/2006/customXml" ds:itemID="{3A6B4C5C-2170-488A-98DF-B14D5D23F58E}">
  <ds:schemaRefs>
    <ds:schemaRef ds:uri="http://schemas.microsoft.com/sharepoint/v3/contenttype/forms"/>
  </ds:schemaRefs>
</ds:datastoreItem>
</file>

<file path=customXml/itemProps3.xml><?xml version="1.0" encoding="utf-8"?>
<ds:datastoreItem xmlns:ds="http://schemas.openxmlformats.org/officeDocument/2006/customXml" ds:itemID="{6D1AA5B0-F02A-43A0-97AF-F9B4365F1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Colour%20basic%20document.dotx</ap:Template>
  <ap:Application>Microsoft Word for the web</ap:Application>
  <ap:DocSecurity>4</ap:DocSecurity>
  <ap:ScaleCrop>false</ap:ScaleCrop>
  <ap:Company>Torbay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Lethbridge, Laura</dc:creator>
  <keywords/>
  <dc:description/>
  <lastModifiedBy>Smith, Annette</lastModifiedBy>
  <revision>6</revision>
  <dcterms:created xsi:type="dcterms:W3CDTF">2026-04-22T16:36:00.0000000Z</dcterms:created>
  <dcterms:modified xsi:type="dcterms:W3CDTF">2026-06-23T13:14:41.7523774Z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0x010100FAE2F9E21189074F9C2F026F08F36625</vt:lpwstr>
  </property>
  <property fmtid="{D5CDD505-2E9C-101B-9397-08002B2CF9AE}" pid="3" name="Order">
    <vt:r8>31000</vt:r8>
  </property>
  <property fmtid="{D5CDD505-2E9C-101B-9397-08002B2CF9AE}" pid="4" name="MediaServiceImageTags">
    <vt:lpwstr/>
  </property>
</Properties>
</file>