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7FC0" w14:textId="5672EA9C" w:rsidR="00061FF3" w:rsidRPr="002D48AA" w:rsidRDefault="00061FF3">
      <w:pPr>
        <w:rPr>
          <w:rFonts w:ascii="Arial" w:hAnsi="Arial" w:cs="Arial"/>
          <w:sz w:val="28"/>
          <w:szCs w:val="28"/>
          <w:u w:val="single"/>
          <w:lang w:val="en-US"/>
        </w:rPr>
      </w:pPr>
      <w:r w:rsidRPr="002D48AA">
        <w:rPr>
          <w:rFonts w:ascii="Arial" w:hAnsi="Arial" w:cs="Arial"/>
          <w:b/>
          <w:bCs/>
          <w:sz w:val="28"/>
          <w:szCs w:val="28"/>
          <w:u w:val="single"/>
          <w:lang w:val="en-US"/>
        </w:rPr>
        <w:t>Heritage Impact</w:t>
      </w:r>
      <w:r w:rsidR="00086533" w:rsidRPr="002D48AA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Assessment: </w:t>
      </w:r>
      <w:r w:rsidR="00AD0393">
        <w:rPr>
          <w:rFonts w:ascii="Arial" w:hAnsi="Arial" w:cs="Arial"/>
          <w:sz w:val="24"/>
          <w:szCs w:val="24"/>
          <w:lang w:val="en-US"/>
        </w:rPr>
        <w:t xml:space="preserve">Field off </w:t>
      </w:r>
      <w:proofErr w:type="spellStart"/>
      <w:r w:rsidR="00AD0393">
        <w:rPr>
          <w:rFonts w:ascii="Arial" w:hAnsi="Arial" w:cs="Arial"/>
          <w:sz w:val="24"/>
          <w:szCs w:val="24"/>
          <w:lang w:val="en-US"/>
        </w:rPr>
        <w:t>Summercourt</w:t>
      </w:r>
      <w:proofErr w:type="spellEnd"/>
      <w:r w:rsidR="00AD0393">
        <w:rPr>
          <w:rFonts w:ascii="Arial" w:hAnsi="Arial" w:cs="Arial"/>
          <w:sz w:val="24"/>
          <w:szCs w:val="24"/>
          <w:lang w:val="en-US"/>
        </w:rPr>
        <w:t xml:space="preserve"> Way, Brixham</w:t>
      </w:r>
    </w:p>
    <w:tbl>
      <w:tblPr>
        <w:tblStyle w:val="TableGrid"/>
        <w:tblpPr w:leftFromText="180" w:rightFromText="180" w:vertAnchor="text" w:horzAnchor="margin" w:tblpY="940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061FF3" w:rsidRPr="002D48AA" w14:paraId="26A8C9F8" w14:textId="77777777" w:rsidTr="00086533">
        <w:tc>
          <w:tcPr>
            <w:tcW w:w="2547" w:type="dxa"/>
            <w:shd w:val="clear" w:color="auto" w:fill="A5C9EB" w:themeFill="text2" w:themeFillTint="40"/>
          </w:tcPr>
          <w:p w14:paraId="0C48389B" w14:textId="03F1DFDD" w:rsidR="00061FF3" w:rsidRPr="002D48AA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HELAA2021 Ref:</w:t>
            </w:r>
          </w:p>
        </w:tc>
        <w:tc>
          <w:tcPr>
            <w:tcW w:w="11401" w:type="dxa"/>
          </w:tcPr>
          <w:p w14:paraId="37327B16" w14:textId="00985278" w:rsidR="00061FF3" w:rsidRPr="002D48AA" w:rsidRDefault="00C40097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AE0BC2">
              <w:rPr>
                <w:rFonts w:ascii="Arial" w:hAnsi="Arial" w:cs="Arial"/>
                <w:sz w:val="24"/>
                <w:szCs w:val="24"/>
                <w:lang w:val="en-US"/>
              </w:rPr>
              <w:t>1B0</w:t>
            </w:r>
            <w:r w:rsidR="00AD0393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</w:p>
        </w:tc>
      </w:tr>
      <w:tr w:rsidR="00061FF3" w:rsidRPr="002D48AA" w14:paraId="538DEEF7" w14:textId="77777777" w:rsidTr="00086533">
        <w:tc>
          <w:tcPr>
            <w:tcW w:w="2547" w:type="dxa"/>
            <w:shd w:val="clear" w:color="auto" w:fill="A5C9EB" w:themeFill="text2" w:themeFillTint="40"/>
          </w:tcPr>
          <w:p w14:paraId="0DA53CD6" w14:textId="7125D369" w:rsidR="00061FF3" w:rsidRPr="002D48AA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Address:</w:t>
            </w:r>
          </w:p>
        </w:tc>
        <w:tc>
          <w:tcPr>
            <w:tcW w:w="11401" w:type="dxa"/>
          </w:tcPr>
          <w:p w14:paraId="3458F3CE" w14:textId="53D7D937" w:rsidR="00061FF3" w:rsidRPr="005774DD" w:rsidRDefault="00AD0393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Field off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Summercourt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Way, Brixham</w:t>
            </w:r>
          </w:p>
        </w:tc>
      </w:tr>
      <w:tr w:rsidR="00061FF3" w:rsidRPr="002D48AA" w14:paraId="59D1C716" w14:textId="77777777" w:rsidTr="00086533">
        <w:tc>
          <w:tcPr>
            <w:tcW w:w="2547" w:type="dxa"/>
            <w:shd w:val="clear" w:color="auto" w:fill="A5C9EB" w:themeFill="text2" w:themeFillTint="40"/>
          </w:tcPr>
          <w:p w14:paraId="19C3EA51" w14:textId="532C67D5" w:rsidR="00061FF3" w:rsidRPr="002D48AA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Area (ha):</w:t>
            </w:r>
          </w:p>
        </w:tc>
        <w:tc>
          <w:tcPr>
            <w:tcW w:w="11401" w:type="dxa"/>
          </w:tcPr>
          <w:p w14:paraId="07155E5D" w14:textId="342BA3EE" w:rsidR="00061FF3" w:rsidRPr="002D48AA" w:rsidRDefault="00AD0393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1.7</w:t>
            </w:r>
          </w:p>
        </w:tc>
      </w:tr>
      <w:tr w:rsidR="00061FF3" w:rsidRPr="002D48AA" w14:paraId="37250AA7" w14:textId="77777777" w:rsidTr="008E6187">
        <w:tc>
          <w:tcPr>
            <w:tcW w:w="2547" w:type="dxa"/>
            <w:shd w:val="clear" w:color="auto" w:fill="A5C9EB" w:themeFill="text2" w:themeFillTint="40"/>
          </w:tcPr>
          <w:p w14:paraId="1A42A86D" w14:textId="6C68F8A9" w:rsidR="00061FF3" w:rsidRPr="002D48AA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Site Yield:  </w:t>
            </w:r>
          </w:p>
        </w:tc>
        <w:tc>
          <w:tcPr>
            <w:tcW w:w="11401" w:type="dxa"/>
            <w:shd w:val="clear" w:color="auto" w:fill="auto"/>
          </w:tcPr>
          <w:p w14:paraId="5FCF84C3" w14:textId="2A7B09BB" w:rsidR="00061FF3" w:rsidRPr="002D48AA" w:rsidRDefault="00AD0393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580882" w:rsidRPr="002D48AA" w14:paraId="3E8309E7" w14:textId="77777777" w:rsidTr="00293330">
        <w:tc>
          <w:tcPr>
            <w:tcW w:w="2547" w:type="dxa"/>
            <w:shd w:val="clear" w:color="auto" w:fill="A5C9EB" w:themeFill="text2" w:themeFillTint="40"/>
          </w:tcPr>
          <w:p w14:paraId="0BF177C8" w14:textId="47A9E41C" w:rsidR="00580882" w:rsidRPr="002D48AA" w:rsidRDefault="00580882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HIA Assessment </w:t>
            </w:r>
          </w:p>
        </w:tc>
        <w:tc>
          <w:tcPr>
            <w:tcW w:w="11401" w:type="dxa"/>
            <w:shd w:val="clear" w:color="auto" w:fill="FFC000"/>
          </w:tcPr>
          <w:p w14:paraId="498CED93" w14:textId="77777777" w:rsidR="00580882" w:rsidRPr="002D48AA" w:rsidRDefault="00580882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90A4931" w14:textId="7637CF0E" w:rsidR="00CB5402" w:rsidRPr="002D48AA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5BDAC4C7" w14:textId="580001F3" w:rsidR="00CB5402" w:rsidRPr="002D48AA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26919C15" w14:textId="74A9E53B" w:rsidR="00CB5402" w:rsidRPr="002D48AA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7A0EC5DE" w14:textId="1EA44443" w:rsidR="00CB5402" w:rsidRPr="002D48AA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6029F86C" w14:textId="3581F76D" w:rsidR="00D22535" w:rsidRPr="002D48AA" w:rsidRDefault="00D22535" w:rsidP="00CB5402">
      <w:pPr>
        <w:rPr>
          <w:rFonts w:ascii="Arial" w:hAnsi="Arial" w:cs="Arial"/>
          <w:sz w:val="28"/>
          <w:szCs w:val="28"/>
          <w:lang w:val="en-US"/>
        </w:rPr>
      </w:pPr>
    </w:p>
    <w:p w14:paraId="134DE7F0" w14:textId="1A1B4885" w:rsidR="000C5E84" w:rsidRDefault="000C5E84" w:rsidP="00406F5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777F6F7" w14:textId="289AAB63" w:rsidR="007B4C8B" w:rsidRPr="002D48AA" w:rsidRDefault="00C8023A" w:rsidP="00406F5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C8023A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C8C0B1" wp14:editId="0C27F9B8">
            <wp:simplePos x="0" y="0"/>
            <wp:positionH relativeFrom="margin">
              <wp:posOffset>-25880</wp:posOffset>
            </wp:positionH>
            <wp:positionV relativeFrom="paragraph">
              <wp:posOffset>207573</wp:posOffset>
            </wp:positionV>
            <wp:extent cx="5619750" cy="2752725"/>
            <wp:effectExtent l="0" t="0" r="0" b="9525"/>
            <wp:wrapSquare wrapText="bothSides"/>
            <wp:docPr id="1152310185" name="Picture 4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1,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5E84" w:rsidRPr="000C5E84">
        <w:rPr>
          <w:rFonts w:ascii="Arial" w:hAnsi="Arial" w:cs="Arial"/>
          <w:b/>
          <w:bCs/>
          <w:noProof/>
          <w:sz w:val="24"/>
          <w:szCs w:val="24"/>
        </w:rPr>
        <w:br/>
      </w:r>
      <w:r w:rsidR="00CB5402" w:rsidRPr="002D48AA">
        <w:rPr>
          <w:rFonts w:ascii="Arial" w:hAnsi="Arial" w:cs="Arial"/>
          <w:b/>
          <w:bCs/>
          <w:sz w:val="24"/>
          <w:szCs w:val="24"/>
          <w:lang w:val="en-US"/>
        </w:rPr>
        <w:t xml:space="preserve">Site overview and heritage context: </w:t>
      </w:r>
    </w:p>
    <w:p w14:paraId="633DE761" w14:textId="77777777" w:rsidR="00791AE2" w:rsidRDefault="000535F4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site is a small, undeveloped piece of land set within an area of 20</w:t>
      </w:r>
      <w:r w:rsidRPr="000535F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century development</w:t>
      </w:r>
      <w:r w:rsidR="004D2EAE">
        <w:rPr>
          <w:rFonts w:ascii="Arial" w:hAnsi="Arial" w:cs="Arial"/>
          <w:sz w:val="24"/>
          <w:szCs w:val="24"/>
          <w:lang w:val="en-US"/>
        </w:rPr>
        <w:t xml:space="preserve">. It is currently in use as a public </w:t>
      </w:r>
      <w:r w:rsidR="001B570B">
        <w:rPr>
          <w:rFonts w:ascii="Arial" w:hAnsi="Arial" w:cs="Arial"/>
          <w:sz w:val="24"/>
          <w:szCs w:val="24"/>
          <w:lang w:val="en-US"/>
        </w:rPr>
        <w:t>open</w:t>
      </w:r>
      <w:r w:rsidR="004D2EAE">
        <w:rPr>
          <w:rFonts w:ascii="Arial" w:hAnsi="Arial" w:cs="Arial"/>
          <w:sz w:val="24"/>
          <w:szCs w:val="24"/>
          <w:lang w:val="en-US"/>
        </w:rPr>
        <w:t xml:space="preserve"> space.</w:t>
      </w:r>
      <w:r w:rsidR="00FB497E">
        <w:rPr>
          <w:rFonts w:ascii="Arial" w:hAnsi="Arial" w:cs="Arial"/>
          <w:sz w:val="24"/>
          <w:szCs w:val="24"/>
          <w:lang w:val="en-US"/>
        </w:rPr>
        <w:t xml:space="preserve"> The site is </w:t>
      </w:r>
      <w:proofErr w:type="gramStart"/>
      <w:r w:rsidR="00FB497E">
        <w:rPr>
          <w:rFonts w:ascii="Arial" w:hAnsi="Arial" w:cs="Arial"/>
          <w:sz w:val="24"/>
          <w:szCs w:val="24"/>
          <w:lang w:val="en-US"/>
        </w:rPr>
        <w:t>bounded</w:t>
      </w:r>
      <w:proofErr w:type="gramEnd"/>
      <w:r w:rsidR="00FB497E">
        <w:rPr>
          <w:rFonts w:ascii="Arial" w:hAnsi="Arial" w:cs="Arial"/>
          <w:sz w:val="24"/>
          <w:szCs w:val="24"/>
          <w:lang w:val="en-US"/>
        </w:rPr>
        <w:t xml:space="preserve"> by </w:t>
      </w:r>
      <w:proofErr w:type="spellStart"/>
      <w:r w:rsidR="00FB497E">
        <w:rPr>
          <w:rFonts w:ascii="Arial" w:hAnsi="Arial" w:cs="Arial"/>
          <w:sz w:val="24"/>
          <w:szCs w:val="24"/>
          <w:lang w:val="en-US"/>
        </w:rPr>
        <w:t>Summercourt</w:t>
      </w:r>
      <w:proofErr w:type="spellEnd"/>
      <w:r w:rsidR="00FB497E">
        <w:rPr>
          <w:rFonts w:ascii="Arial" w:hAnsi="Arial" w:cs="Arial"/>
          <w:sz w:val="24"/>
          <w:szCs w:val="24"/>
          <w:lang w:val="en-US"/>
        </w:rPr>
        <w:t xml:space="preserve"> Way on the north</w:t>
      </w:r>
      <w:r w:rsidR="00BF0D35">
        <w:rPr>
          <w:rFonts w:ascii="Arial" w:hAnsi="Arial" w:cs="Arial"/>
          <w:sz w:val="24"/>
          <w:szCs w:val="24"/>
          <w:lang w:val="en-US"/>
        </w:rPr>
        <w:t xml:space="preserve"> and</w:t>
      </w:r>
      <w:r w:rsidR="00FB497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B497E">
        <w:rPr>
          <w:rFonts w:ascii="Arial" w:hAnsi="Arial" w:cs="Arial"/>
          <w:sz w:val="24"/>
          <w:szCs w:val="24"/>
          <w:lang w:val="en-US"/>
        </w:rPr>
        <w:t>Bellever</w:t>
      </w:r>
      <w:proofErr w:type="spellEnd"/>
      <w:r w:rsidR="00FB497E">
        <w:rPr>
          <w:rFonts w:ascii="Arial" w:hAnsi="Arial" w:cs="Arial"/>
          <w:sz w:val="24"/>
          <w:szCs w:val="24"/>
          <w:lang w:val="en-US"/>
        </w:rPr>
        <w:t xml:space="preserve"> Tor Drive on the south</w:t>
      </w:r>
      <w:r w:rsidR="00BF0D35">
        <w:rPr>
          <w:rFonts w:ascii="Arial" w:hAnsi="Arial" w:cs="Arial"/>
          <w:sz w:val="24"/>
          <w:szCs w:val="24"/>
          <w:lang w:val="en-US"/>
        </w:rPr>
        <w:t xml:space="preserve">, with </w:t>
      </w:r>
      <w:r w:rsidR="00100D11">
        <w:rPr>
          <w:rFonts w:ascii="Arial" w:hAnsi="Arial" w:cs="Arial"/>
          <w:sz w:val="24"/>
          <w:szCs w:val="24"/>
          <w:lang w:val="en-US"/>
        </w:rPr>
        <w:t>hedging screening the view from the road in most places.</w:t>
      </w:r>
    </w:p>
    <w:p w14:paraId="358DAD36" w14:textId="77777777" w:rsidR="00791AE2" w:rsidRDefault="00791AE2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170m to the east is GII* Lupton Park, and development on this site is likely to affect its setting. </w:t>
      </w:r>
    </w:p>
    <w:p w14:paraId="55BAE5F1" w14:textId="4C8D2A4B" w:rsidR="00136EC7" w:rsidRPr="00494694" w:rsidRDefault="00C8023A" w:rsidP="00BC771A">
      <w:pPr>
        <w:rPr>
          <w:rFonts w:ascii="Arial" w:hAnsi="Arial" w:cs="Arial"/>
          <w:sz w:val="24"/>
          <w:szCs w:val="24"/>
          <w:lang w:val="en-US"/>
        </w:rPr>
      </w:pPr>
      <w:r w:rsidRPr="00C8023A">
        <w:rPr>
          <w:rFonts w:ascii="Arial" w:hAnsi="Arial" w:cs="Arial"/>
          <w:b/>
          <w:bCs/>
          <w:sz w:val="24"/>
          <w:szCs w:val="24"/>
          <w:lang w:val="en-US"/>
        </w:rPr>
        <w:br/>
      </w:r>
      <w:proofErr w:type="gramStart"/>
      <w:r w:rsidR="00F6694E">
        <w:rPr>
          <w:rFonts w:ascii="Arial" w:hAnsi="Arial" w:cs="Arial"/>
          <w:sz w:val="24"/>
          <w:szCs w:val="24"/>
          <w:lang w:val="en-US"/>
        </w:rPr>
        <w:t>Field-names</w:t>
      </w:r>
      <w:proofErr w:type="gramEnd"/>
      <w:r w:rsidR="00F6694E">
        <w:rPr>
          <w:rFonts w:ascii="Arial" w:hAnsi="Arial" w:cs="Arial"/>
          <w:sz w:val="24"/>
          <w:szCs w:val="24"/>
          <w:lang w:val="en-US"/>
        </w:rPr>
        <w:t xml:space="preserve"> recorded </w:t>
      </w:r>
      <w:r w:rsidR="00791AE2">
        <w:rPr>
          <w:rFonts w:ascii="Arial" w:hAnsi="Arial" w:cs="Arial"/>
          <w:sz w:val="24"/>
          <w:szCs w:val="24"/>
          <w:lang w:val="en-US"/>
        </w:rPr>
        <w:t xml:space="preserve">here </w:t>
      </w:r>
      <w:r w:rsidR="00F6694E">
        <w:rPr>
          <w:rFonts w:ascii="Arial" w:hAnsi="Arial" w:cs="Arial"/>
          <w:sz w:val="24"/>
          <w:szCs w:val="24"/>
          <w:lang w:val="en-US"/>
        </w:rPr>
        <w:t>in the 19</w:t>
      </w:r>
      <w:r w:rsidR="00F6694E" w:rsidRPr="00F6694E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F6694E">
        <w:rPr>
          <w:rFonts w:ascii="Arial" w:hAnsi="Arial" w:cs="Arial"/>
          <w:sz w:val="24"/>
          <w:szCs w:val="24"/>
          <w:lang w:val="en-US"/>
        </w:rPr>
        <w:t xml:space="preserve"> century tithe map </w:t>
      </w:r>
      <w:r w:rsidR="00494694">
        <w:rPr>
          <w:rFonts w:ascii="Arial" w:hAnsi="Arial" w:cs="Arial"/>
          <w:sz w:val="24"/>
          <w:szCs w:val="24"/>
          <w:lang w:val="en-US"/>
        </w:rPr>
        <w:t>contain the element ‘</w:t>
      </w:r>
      <w:proofErr w:type="spellStart"/>
      <w:r w:rsidR="00494694">
        <w:rPr>
          <w:rFonts w:ascii="Arial" w:hAnsi="Arial" w:cs="Arial"/>
          <w:sz w:val="24"/>
          <w:szCs w:val="24"/>
          <w:lang w:val="en-US"/>
        </w:rPr>
        <w:t>burrough</w:t>
      </w:r>
      <w:proofErr w:type="spellEnd"/>
      <w:r w:rsidR="00494694">
        <w:rPr>
          <w:rFonts w:ascii="Arial" w:hAnsi="Arial" w:cs="Arial"/>
          <w:sz w:val="24"/>
          <w:szCs w:val="24"/>
          <w:lang w:val="en-US"/>
        </w:rPr>
        <w:t xml:space="preserve">’ which may be derived from Old English </w:t>
      </w:r>
      <w:r w:rsidR="00494694">
        <w:rPr>
          <w:rFonts w:ascii="Arial" w:hAnsi="Arial" w:cs="Arial"/>
          <w:i/>
          <w:iCs/>
          <w:sz w:val="24"/>
          <w:szCs w:val="24"/>
          <w:lang w:val="en-US"/>
        </w:rPr>
        <w:t>burh</w:t>
      </w:r>
      <w:r w:rsidR="00494694">
        <w:rPr>
          <w:rFonts w:ascii="Arial" w:hAnsi="Arial" w:cs="Arial"/>
          <w:sz w:val="24"/>
          <w:szCs w:val="24"/>
          <w:lang w:val="en-US"/>
        </w:rPr>
        <w:t xml:space="preserve"> ‘fortification</w:t>
      </w:r>
      <w:r w:rsidR="00175BD1">
        <w:rPr>
          <w:rFonts w:ascii="Arial" w:hAnsi="Arial" w:cs="Arial"/>
          <w:sz w:val="24"/>
          <w:szCs w:val="24"/>
          <w:lang w:val="en-US"/>
        </w:rPr>
        <w:t>, earthwork</w:t>
      </w:r>
      <w:r w:rsidR="00494694">
        <w:rPr>
          <w:rFonts w:ascii="Arial" w:hAnsi="Arial" w:cs="Arial"/>
          <w:sz w:val="24"/>
          <w:szCs w:val="24"/>
          <w:lang w:val="en-US"/>
        </w:rPr>
        <w:t>’</w:t>
      </w:r>
      <w:r w:rsidR="00FE372A">
        <w:rPr>
          <w:rFonts w:ascii="Arial" w:hAnsi="Arial" w:cs="Arial"/>
          <w:sz w:val="24"/>
          <w:szCs w:val="24"/>
          <w:lang w:val="en-US"/>
        </w:rPr>
        <w:t xml:space="preserve">. As such, archeological investigation here would be appropriate. </w:t>
      </w:r>
    </w:p>
    <w:p w14:paraId="5E17DA57" w14:textId="7090EACF" w:rsidR="00B91CAD" w:rsidRDefault="00B91CAD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F7E9597" w14:textId="77777777" w:rsidR="00B91CAD" w:rsidRDefault="00B91CAD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82583D2" w14:textId="77777777" w:rsidR="00B91CAD" w:rsidRDefault="00B91CAD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56AE72A" w14:textId="77777777" w:rsidR="00B91CAD" w:rsidRDefault="00B91CAD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048B58E" w14:textId="77777777" w:rsidR="00B91CAD" w:rsidRDefault="00B91CAD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2C05BC4" w14:textId="77777777" w:rsidR="00AE0BC2" w:rsidRDefault="00AE0BC2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6F57A3B" w14:textId="77777777" w:rsidR="00B91CAD" w:rsidRDefault="00B91CAD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B7A66BC" w14:textId="77777777" w:rsidR="00C8023A" w:rsidRDefault="00C8023A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37D5CC7" w14:textId="77777777" w:rsidR="00C8023A" w:rsidRDefault="00C8023A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AA5B082" w14:textId="77777777" w:rsidR="00C8023A" w:rsidRDefault="00C8023A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14AFB2F" w14:textId="77777777" w:rsidR="00C8023A" w:rsidRDefault="00C8023A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E93A323" w14:textId="34E524A0" w:rsidR="00A76707" w:rsidRPr="002D48AA" w:rsidRDefault="00A76707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D48AA">
        <w:rPr>
          <w:rFonts w:ascii="Arial" w:hAnsi="Arial" w:cs="Arial"/>
          <w:b/>
          <w:bCs/>
          <w:sz w:val="24"/>
          <w:szCs w:val="24"/>
          <w:lang w:val="en-US"/>
        </w:rPr>
        <w:t xml:space="preserve">Planning History: </w:t>
      </w:r>
    </w:p>
    <w:p w14:paraId="5AE9EC26" w14:textId="77777777" w:rsidR="008C15DA" w:rsidRDefault="008C15DA" w:rsidP="00BC771A">
      <w:pPr>
        <w:rPr>
          <w:rFonts w:ascii="Arial" w:hAnsi="Arial" w:cs="Arial"/>
          <w:sz w:val="24"/>
          <w:szCs w:val="24"/>
          <w:lang w:val="en-US"/>
        </w:rPr>
      </w:pPr>
    </w:p>
    <w:p w14:paraId="598460F5" w14:textId="77777777" w:rsidR="008C15DA" w:rsidRDefault="008C15DA" w:rsidP="00BC771A">
      <w:pPr>
        <w:rPr>
          <w:rFonts w:ascii="Arial" w:hAnsi="Arial" w:cs="Arial"/>
          <w:sz w:val="24"/>
          <w:szCs w:val="24"/>
          <w:lang w:val="en-US"/>
        </w:rPr>
      </w:pPr>
    </w:p>
    <w:p w14:paraId="064FC8F0" w14:textId="77777777" w:rsidR="008C15DA" w:rsidRPr="002D48AA" w:rsidRDefault="008C15DA" w:rsidP="00BC771A">
      <w:pPr>
        <w:rPr>
          <w:rFonts w:ascii="Arial" w:hAnsi="Arial" w:cs="Arial"/>
          <w:sz w:val="24"/>
          <w:szCs w:val="24"/>
          <w:lang w:val="en-US"/>
        </w:rPr>
      </w:pPr>
    </w:p>
    <w:p w14:paraId="2A98BF5F" w14:textId="77777777" w:rsidR="00111833" w:rsidRPr="002D48AA" w:rsidRDefault="00111833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3969"/>
        <w:gridCol w:w="4111"/>
        <w:gridCol w:w="4111"/>
        <w:gridCol w:w="2835"/>
      </w:tblGrid>
      <w:tr w:rsidR="00CB5402" w:rsidRPr="002D48AA" w14:paraId="176ED509" w14:textId="77777777" w:rsidTr="003D21E3">
        <w:tc>
          <w:tcPr>
            <w:tcW w:w="2405" w:type="dxa"/>
            <w:shd w:val="clear" w:color="auto" w:fill="A5C9EB" w:themeFill="text2" w:themeFillTint="40"/>
          </w:tcPr>
          <w:p w14:paraId="244E2CE5" w14:textId="5E86A1C1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Heritage Asset Affected by Allocation 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661D10B3" w14:textId="1CAD9472" w:rsidR="00CB5402" w:rsidRPr="002D48AA" w:rsidRDefault="00E178E7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Designation </w:t>
            </w:r>
          </w:p>
        </w:tc>
        <w:tc>
          <w:tcPr>
            <w:tcW w:w="3969" w:type="dxa"/>
            <w:shd w:val="clear" w:color="auto" w:fill="A5C9EB" w:themeFill="text2" w:themeFillTint="40"/>
          </w:tcPr>
          <w:p w14:paraId="0416961F" w14:textId="6E390F1B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Contributing Elements to Significance </w:t>
            </w:r>
          </w:p>
        </w:tc>
        <w:tc>
          <w:tcPr>
            <w:tcW w:w="4111" w:type="dxa"/>
            <w:shd w:val="clear" w:color="auto" w:fill="A5C9EB" w:themeFill="text2" w:themeFillTint="40"/>
          </w:tcPr>
          <w:p w14:paraId="7189D6BC" w14:textId="346B4CE8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Impact of Development on Significance </w:t>
            </w:r>
          </w:p>
        </w:tc>
        <w:tc>
          <w:tcPr>
            <w:tcW w:w="4111" w:type="dxa"/>
            <w:shd w:val="clear" w:color="auto" w:fill="A5C9EB" w:themeFill="text2" w:themeFillTint="40"/>
          </w:tcPr>
          <w:p w14:paraId="4FFFE255" w14:textId="513CED0B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Mitigation Measures for any Identified Harm /Opportunities to Enhance Significance</w:t>
            </w:r>
          </w:p>
        </w:tc>
        <w:tc>
          <w:tcPr>
            <w:tcW w:w="2835" w:type="dxa"/>
            <w:shd w:val="clear" w:color="auto" w:fill="A5C9EB" w:themeFill="text2" w:themeFillTint="40"/>
          </w:tcPr>
          <w:p w14:paraId="269AB06C" w14:textId="685366DD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Impact on Significance with Mitigation in place</w:t>
            </w:r>
          </w:p>
        </w:tc>
      </w:tr>
      <w:tr w:rsidR="00CB5402" w:rsidRPr="002D48AA" w14:paraId="6D8064BB" w14:textId="77777777" w:rsidTr="003D21E3">
        <w:trPr>
          <w:trHeight w:val="5389"/>
        </w:trPr>
        <w:tc>
          <w:tcPr>
            <w:tcW w:w="2405" w:type="dxa"/>
          </w:tcPr>
          <w:p w14:paraId="13AABF1F" w14:textId="77777777" w:rsidR="005200BC" w:rsidRDefault="005200B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EF7DC8" w14:textId="10F1655C" w:rsidR="00104375" w:rsidRPr="002D48AA" w:rsidRDefault="0010437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Lupton Park</w:t>
            </w:r>
          </w:p>
        </w:tc>
        <w:tc>
          <w:tcPr>
            <w:tcW w:w="1701" w:type="dxa"/>
          </w:tcPr>
          <w:p w14:paraId="441B8D89" w14:textId="77777777" w:rsidR="00E20DA7" w:rsidRDefault="00E20DA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B92E62" w14:textId="765495A9" w:rsidR="00104375" w:rsidRPr="002D48AA" w:rsidRDefault="0010437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GII* Registered Park</w:t>
            </w:r>
          </w:p>
        </w:tc>
        <w:tc>
          <w:tcPr>
            <w:tcW w:w="3969" w:type="dxa"/>
          </w:tcPr>
          <w:p w14:paraId="3272ADB6" w14:textId="77777777" w:rsidR="00C1081B" w:rsidRDefault="00C1081B" w:rsidP="00C52A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45ECCD" w14:textId="77777777" w:rsidR="00316C1C" w:rsidRDefault="00F06ACC" w:rsidP="00C52A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Lupton Park is </w:t>
            </w:r>
            <w:r w:rsidR="009B5381">
              <w:rPr>
                <w:rFonts w:ascii="Arial" w:hAnsi="Arial" w:cs="Arial"/>
                <w:sz w:val="24"/>
                <w:szCs w:val="24"/>
                <w:lang w:val="en-US"/>
              </w:rPr>
              <w:t>an area of parkland dating back to Domesday (1086)</w:t>
            </w:r>
            <w:r w:rsidR="00C02590">
              <w:rPr>
                <w:rFonts w:ascii="Arial" w:hAnsi="Arial" w:cs="Arial"/>
                <w:sz w:val="24"/>
                <w:szCs w:val="24"/>
                <w:lang w:val="en-US"/>
              </w:rPr>
              <w:t xml:space="preserve"> when it was likely an area used for deer hunting. Development in the 19</w:t>
            </w:r>
            <w:r w:rsidR="00C02590" w:rsidRPr="00C02590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C02590">
              <w:rPr>
                <w:rFonts w:ascii="Arial" w:hAnsi="Arial" w:cs="Arial"/>
                <w:sz w:val="24"/>
                <w:szCs w:val="24"/>
                <w:lang w:val="en-US"/>
              </w:rPr>
              <w:t xml:space="preserve"> century saw the creation of formal gardens close to </w:t>
            </w:r>
            <w:r w:rsidR="00381A53">
              <w:rPr>
                <w:rFonts w:ascii="Arial" w:hAnsi="Arial" w:cs="Arial"/>
                <w:sz w:val="24"/>
                <w:szCs w:val="24"/>
                <w:lang w:val="en-US"/>
              </w:rPr>
              <w:t xml:space="preserve">Lupton House, and extensive tree planting on the edges of the parkland. </w:t>
            </w:r>
            <w:r w:rsidR="00316C1C">
              <w:rPr>
                <w:rFonts w:ascii="Arial" w:hAnsi="Arial" w:cs="Arial"/>
                <w:sz w:val="24"/>
                <w:szCs w:val="24"/>
                <w:lang w:val="en-US"/>
              </w:rPr>
              <w:t>The parkland retains its rural character</w:t>
            </w:r>
            <w:r w:rsidR="002707B2">
              <w:rPr>
                <w:rFonts w:ascii="Arial" w:hAnsi="Arial" w:cs="Arial"/>
                <w:sz w:val="24"/>
                <w:szCs w:val="24"/>
                <w:lang w:val="en-US"/>
              </w:rPr>
              <w:t>, with most areas remaining open land.</w:t>
            </w:r>
          </w:p>
          <w:p w14:paraId="1C41BC21" w14:textId="77777777" w:rsidR="002707B2" w:rsidRDefault="002707B2" w:rsidP="00C52A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353F70" w14:textId="4D6530CD" w:rsidR="002707B2" w:rsidRPr="001104C2" w:rsidRDefault="002707B2" w:rsidP="00C52A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site is within the wider setting of the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Park, and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A63A1">
              <w:rPr>
                <w:rFonts w:ascii="Arial" w:hAnsi="Arial" w:cs="Arial"/>
                <w:sz w:val="24"/>
                <w:szCs w:val="24"/>
                <w:lang w:val="en-US"/>
              </w:rPr>
              <w:t>has a neutral impact on its significance.</w:t>
            </w:r>
          </w:p>
        </w:tc>
        <w:tc>
          <w:tcPr>
            <w:tcW w:w="4111" w:type="dxa"/>
          </w:tcPr>
          <w:p w14:paraId="3D6CA6DA" w14:textId="77777777" w:rsidR="00C1081B" w:rsidRDefault="00C1081B" w:rsidP="00030E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CFA3B8" w14:textId="36B3059F" w:rsidR="003A63A1" w:rsidRPr="002D48AA" w:rsidRDefault="003A63A1" w:rsidP="00030E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Due to the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raised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elevation of the site, development to any quantum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likely to be visible from the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Park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1050DF">
              <w:rPr>
                <w:rFonts w:ascii="Arial" w:hAnsi="Arial" w:cs="Arial"/>
                <w:sz w:val="24"/>
                <w:szCs w:val="24"/>
                <w:lang w:val="en-US"/>
              </w:rPr>
              <w:t xml:space="preserve">The site is </w:t>
            </w:r>
            <w:proofErr w:type="gramStart"/>
            <w:r w:rsidR="001050DF">
              <w:rPr>
                <w:rFonts w:ascii="Arial" w:hAnsi="Arial" w:cs="Arial"/>
                <w:sz w:val="24"/>
                <w:szCs w:val="24"/>
                <w:lang w:val="en-US"/>
              </w:rPr>
              <w:t>set</w:t>
            </w:r>
            <w:proofErr w:type="gramEnd"/>
            <w:r w:rsidR="001050DF">
              <w:rPr>
                <w:rFonts w:ascii="Arial" w:hAnsi="Arial" w:cs="Arial"/>
                <w:sz w:val="24"/>
                <w:szCs w:val="24"/>
                <w:lang w:val="en-US"/>
              </w:rPr>
              <w:t xml:space="preserve"> within existing development, and further development is unlikely to have a </w:t>
            </w:r>
            <w:r w:rsidR="00293330">
              <w:rPr>
                <w:rFonts w:ascii="Arial" w:hAnsi="Arial" w:cs="Arial"/>
                <w:sz w:val="24"/>
                <w:szCs w:val="24"/>
                <w:lang w:val="en-US"/>
              </w:rPr>
              <w:t xml:space="preserve">high level of impact on the </w:t>
            </w:r>
            <w:proofErr w:type="gramStart"/>
            <w:r w:rsidR="00293330">
              <w:rPr>
                <w:rFonts w:ascii="Arial" w:hAnsi="Arial" w:cs="Arial"/>
                <w:sz w:val="24"/>
                <w:szCs w:val="24"/>
                <w:lang w:val="en-US"/>
              </w:rPr>
              <w:t>Park</w:t>
            </w:r>
            <w:proofErr w:type="gramEnd"/>
            <w:r w:rsidR="0029333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293330">
              <w:rPr>
                <w:rFonts w:ascii="Arial" w:hAnsi="Arial" w:cs="Arial"/>
                <w:sz w:val="24"/>
                <w:szCs w:val="24"/>
                <w:lang w:val="en-US"/>
              </w:rPr>
              <w:t>Development</w:t>
            </w:r>
            <w:proofErr w:type="gramEnd"/>
            <w:r w:rsidR="00293330">
              <w:rPr>
                <w:rFonts w:ascii="Arial" w:hAnsi="Arial" w:cs="Arial"/>
                <w:sz w:val="24"/>
                <w:szCs w:val="24"/>
                <w:lang w:val="en-US"/>
              </w:rPr>
              <w:t xml:space="preserve"> of the site is therefore considered to have a neutral impact on the </w:t>
            </w:r>
            <w:proofErr w:type="gramStart"/>
            <w:r w:rsidR="00293330">
              <w:rPr>
                <w:rFonts w:ascii="Arial" w:hAnsi="Arial" w:cs="Arial"/>
                <w:sz w:val="24"/>
                <w:szCs w:val="24"/>
                <w:lang w:val="en-US"/>
              </w:rPr>
              <w:t>Park</w:t>
            </w:r>
            <w:proofErr w:type="gramEnd"/>
            <w:r w:rsidR="0029333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</w:tcPr>
          <w:p w14:paraId="424D8124" w14:textId="77777777" w:rsidR="00333A93" w:rsidRDefault="00333A9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C8C9C0" w14:textId="15AAC551" w:rsidR="00293330" w:rsidRPr="002D48AA" w:rsidRDefault="00293330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</w:tc>
        <w:tc>
          <w:tcPr>
            <w:tcW w:w="2835" w:type="dxa"/>
          </w:tcPr>
          <w:p w14:paraId="354251CC" w14:textId="77777777" w:rsidR="00BD46CE" w:rsidRDefault="00BD46CE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F0808C" w14:textId="4D99D200" w:rsidR="00293330" w:rsidRPr="002D48AA" w:rsidRDefault="00293330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</w:tc>
      </w:tr>
    </w:tbl>
    <w:p w14:paraId="653E2F69" w14:textId="77777777" w:rsidR="00CB5402" w:rsidRPr="002D48AA" w:rsidRDefault="00CB5402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CB5402" w:rsidRPr="002D48AA" w:rsidSect="00CB540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F3"/>
    <w:rsid w:val="000015A3"/>
    <w:rsid w:val="00001B5A"/>
    <w:rsid w:val="0000376B"/>
    <w:rsid w:val="00005BBF"/>
    <w:rsid w:val="00011038"/>
    <w:rsid w:val="00012609"/>
    <w:rsid w:val="0002002E"/>
    <w:rsid w:val="00020198"/>
    <w:rsid w:val="00030242"/>
    <w:rsid w:val="00030CFB"/>
    <w:rsid w:val="00030E59"/>
    <w:rsid w:val="00032F60"/>
    <w:rsid w:val="00033A94"/>
    <w:rsid w:val="00033E58"/>
    <w:rsid w:val="0004268B"/>
    <w:rsid w:val="00043A9A"/>
    <w:rsid w:val="00044A44"/>
    <w:rsid w:val="00051BD0"/>
    <w:rsid w:val="00052219"/>
    <w:rsid w:val="0005304D"/>
    <w:rsid w:val="000535F4"/>
    <w:rsid w:val="000547BC"/>
    <w:rsid w:val="00057748"/>
    <w:rsid w:val="00061FF3"/>
    <w:rsid w:val="00065DC5"/>
    <w:rsid w:val="00066E9A"/>
    <w:rsid w:val="00067453"/>
    <w:rsid w:val="000674B9"/>
    <w:rsid w:val="00071483"/>
    <w:rsid w:val="0007497B"/>
    <w:rsid w:val="00074CFE"/>
    <w:rsid w:val="00075C8E"/>
    <w:rsid w:val="000771E5"/>
    <w:rsid w:val="00077A65"/>
    <w:rsid w:val="00080678"/>
    <w:rsid w:val="000834DE"/>
    <w:rsid w:val="00085458"/>
    <w:rsid w:val="00085526"/>
    <w:rsid w:val="00086533"/>
    <w:rsid w:val="0008714D"/>
    <w:rsid w:val="00091A63"/>
    <w:rsid w:val="00092E7F"/>
    <w:rsid w:val="00097385"/>
    <w:rsid w:val="000974C3"/>
    <w:rsid w:val="00097BE7"/>
    <w:rsid w:val="00097E2D"/>
    <w:rsid w:val="000A3AFB"/>
    <w:rsid w:val="000A61FA"/>
    <w:rsid w:val="000B2A78"/>
    <w:rsid w:val="000B7AC5"/>
    <w:rsid w:val="000C0FA8"/>
    <w:rsid w:val="000C37D7"/>
    <w:rsid w:val="000C3F04"/>
    <w:rsid w:val="000C44B5"/>
    <w:rsid w:val="000C5E84"/>
    <w:rsid w:val="000D1914"/>
    <w:rsid w:val="000D4FBA"/>
    <w:rsid w:val="000E0CAC"/>
    <w:rsid w:val="000E2C80"/>
    <w:rsid w:val="000E3404"/>
    <w:rsid w:val="000E35E5"/>
    <w:rsid w:val="000E3F3A"/>
    <w:rsid w:val="000E46C1"/>
    <w:rsid w:val="000E63A5"/>
    <w:rsid w:val="000F3678"/>
    <w:rsid w:val="000F5C30"/>
    <w:rsid w:val="000F65A3"/>
    <w:rsid w:val="00100041"/>
    <w:rsid w:val="00100D11"/>
    <w:rsid w:val="001019B6"/>
    <w:rsid w:val="00104375"/>
    <w:rsid w:val="001050DF"/>
    <w:rsid w:val="001104C2"/>
    <w:rsid w:val="00111833"/>
    <w:rsid w:val="001154BE"/>
    <w:rsid w:val="00116106"/>
    <w:rsid w:val="001221AC"/>
    <w:rsid w:val="00123717"/>
    <w:rsid w:val="0012420B"/>
    <w:rsid w:val="0012695A"/>
    <w:rsid w:val="0012798E"/>
    <w:rsid w:val="00130162"/>
    <w:rsid w:val="00132144"/>
    <w:rsid w:val="00133781"/>
    <w:rsid w:val="00133C14"/>
    <w:rsid w:val="00136CE0"/>
    <w:rsid w:val="00136EC7"/>
    <w:rsid w:val="00137400"/>
    <w:rsid w:val="001377EE"/>
    <w:rsid w:val="00137D51"/>
    <w:rsid w:val="00140877"/>
    <w:rsid w:val="0014101A"/>
    <w:rsid w:val="0014117D"/>
    <w:rsid w:val="00143050"/>
    <w:rsid w:val="00143A3D"/>
    <w:rsid w:val="00154229"/>
    <w:rsid w:val="00160D0B"/>
    <w:rsid w:val="00163A45"/>
    <w:rsid w:val="00164C11"/>
    <w:rsid w:val="00165886"/>
    <w:rsid w:val="00166F79"/>
    <w:rsid w:val="00167AA7"/>
    <w:rsid w:val="00170D01"/>
    <w:rsid w:val="00174AC6"/>
    <w:rsid w:val="00175BD1"/>
    <w:rsid w:val="0017774D"/>
    <w:rsid w:val="00182BFC"/>
    <w:rsid w:val="00184D5B"/>
    <w:rsid w:val="00185DDB"/>
    <w:rsid w:val="00190305"/>
    <w:rsid w:val="001903EC"/>
    <w:rsid w:val="0019096E"/>
    <w:rsid w:val="001930FB"/>
    <w:rsid w:val="0019378D"/>
    <w:rsid w:val="001966DE"/>
    <w:rsid w:val="001A37DA"/>
    <w:rsid w:val="001A4203"/>
    <w:rsid w:val="001A4958"/>
    <w:rsid w:val="001A4E9D"/>
    <w:rsid w:val="001A5D94"/>
    <w:rsid w:val="001A6B3D"/>
    <w:rsid w:val="001B0F86"/>
    <w:rsid w:val="001B56C8"/>
    <w:rsid w:val="001B570B"/>
    <w:rsid w:val="001B7C5F"/>
    <w:rsid w:val="001C1C5A"/>
    <w:rsid w:val="001C3256"/>
    <w:rsid w:val="001C7CD0"/>
    <w:rsid w:val="001D13BE"/>
    <w:rsid w:val="001D164B"/>
    <w:rsid w:val="001D7956"/>
    <w:rsid w:val="001E07B1"/>
    <w:rsid w:val="001E1D41"/>
    <w:rsid w:val="001E2048"/>
    <w:rsid w:val="001E7E75"/>
    <w:rsid w:val="001F152F"/>
    <w:rsid w:val="001F7753"/>
    <w:rsid w:val="001F7F37"/>
    <w:rsid w:val="00202DBC"/>
    <w:rsid w:val="00203AA9"/>
    <w:rsid w:val="0020658E"/>
    <w:rsid w:val="002078C4"/>
    <w:rsid w:val="002102BA"/>
    <w:rsid w:val="00216FD7"/>
    <w:rsid w:val="00220BA2"/>
    <w:rsid w:val="00224DD7"/>
    <w:rsid w:val="00226A9F"/>
    <w:rsid w:val="00227098"/>
    <w:rsid w:val="00227596"/>
    <w:rsid w:val="00240EFE"/>
    <w:rsid w:val="00242D13"/>
    <w:rsid w:val="00243C70"/>
    <w:rsid w:val="00244E1C"/>
    <w:rsid w:val="00245C71"/>
    <w:rsid w:val="0025043D"/>
    <w:rsid w:val="00250F0F"/>
    <w:rsid w:val="00253A27"/>
    <w:rsid w:val="00254BC1"/>
    <w:rsid w:val="00257D16"/>
    <w:rsid w:val="00261568"/>
    <w:rsid w:val="00262795"/>
    <w:rsid w:val="0026367D"/>
    <w:rsid w:val="002639A6"/>
    <w:rsid w:val="00263DEF"/>
    <w:rsid w:val="00263E79"/>
    <w:rsid w:val="002707B2"/>
    <w:rsid w:val="00271225"/>
    <w:rsid w:val="00271A70"/>
    <w:rsid w:val="0027443C"/>
    <w:rsid w:val="00277564"/>
    <w:rsid w:val="00280389"/>
    <w:rsid w:val="002865CC"/>
    <w:rsid w:val="00286765"/>
    <w:rsid w:val="00293330"/>
    <w:rsid w:val="0029351F"/>
    <w:rsid w:val="002947EB"/>
    <w:rsid w:val="002978A1"/>
    <w:rsid w:val="002A016C"/>
    <w:rsid w:val="002A2D59"/>
    <w:rsid w:val="002A4309"/>
    <w:rsid w:val="002A58F0"/>
    <w:rsid w:val="002B39B4"/>
    <w:rsid w:val="002B4B3B"/>
    <w:rsid w:val="002B6E67"/>
    <w:rsid w:val="002C3F62"/>
    <w:rsid w:val="002C44DA"/>
    <w:rsid w:val="002C49FA"/>
    <w:rsid w:val="002D0908"/>
    <w:rsid w:val="002D19E1"/>
    <w:rsid w:val="002D4123"/>
    <w:rsid w:val="002D48AA"/>
    <w:rsid w:val="002D5179"/>
    <w:rsid w:val="002D7EE1"/>
    <w:rsid w:val="002E0306"/>
    <w:rsid w:val="002E3C11"/>
    <w:rsid w:val="002E3D1C"/>
    <w:rsid w:val="002E7F52"/>
    <w:rsid w:val="002F2F3D"/>
    <w:rsid w:val="00301CED"/>
    <w:rsid w:val="0030215C"/>
    <w:rsid w:val="00305921"/>
    <w:rsid w:val="0030620B"/>
    <w:rsid w:val="00306FC6"/>
    <w:rsid w:val="00310FB4"/>
    <w:rsid w:val="00311909"/>
    <w:rsid w:val="00312319"/>
    <w:rsid w:val="00316C1C"/>
    <w:rsid w:val="003229F8"/>
    <w:rsid w:val="00323183"/>
    <w:rsid w:val="00325405"/>
    <w:rsid w:val="003254D6"/>
    <w:rsid w:val="00333A93"/>
    <w:rsid w:val="00342170"/>
    <w:rsid w:val="00343977"/>
    <w:rsid w:val="00343FAE"/>
    <w:rsid w:val="00351A00"/>
    <w:rsid w:val="00352D83"/>
    <w:rsid w:val="0035338E"/>
    <w:rsid w:val="00354607"/>
    <w:rsid w:val="00354E69"/>
    <w:rsid w:val="003557F2"/>
    <w:rsid w:val="00356828"/>
    <w:rsid w:val="00362139"/>
    <w:rsid w:val="00363700"/>
    <w:rsid w:val="003716F0"/>
    <w:rsid w:val="003728D2"/>
    <w:rsid w:val="003775EB"/>
    <w:rsid w:val="003776CA"/>
    <w:rsid w:val="003817F2"/>
    <w:rsid w:val="00381A53"/>
    <w:rsid w:val="0038262C"/>
    <w:rsid w:val="003839DF"/>
    <w:rsid w:val="00395BCE"/>
    <w:rsid w:val="003968AB"/>
    <w:rsid w:val="003A1CE2"/>
    <w:rsid w:val="003A63A1"/>
    <w:rsid w:val="003B251D"/>
    <w:rsid w:val="003B31FE"/>
    <w:rsid w:val="003B3964"/>
    <w:rsid w:val="003B5A2D"/>
    <w:rsid w:val="003B786E"/>
    <w:rsid w:val="003B7A96"/>
    <w:rsid w:val="003C0ACD"/>
    <w:rsid w:val="003C355E"/>
    <w:rsid w:val="003C52C6"/>
    <w:rsid w:val="003C6A3E"/>
    <w:rsid w:val="003C6C90"/>
    <w:rsid w:val="003C6FC1"/>
    <w:rsid w:val="003C78DB"/>
    <w:rsid w:val="003D0524"/>
    <w:rsid w:val="003D18CC"/>
    <w:rsid w:val="003D21E3"/>
    <w:rsid w:val="003D2A32"/>
    <w:rsid w:val="003D5631"/>
    <w:rsid w:val="003E2A12"/>
    <w:rsid w:val="003E5FE1"/>
    <w:rsid w:val="003F1964"/>
    <w:rsid w:val="003F1984"/>
    <w:rsid w:val="004001ED"/>
    <w:rsid w:val="00402452"/>
    <w:rsid w:val="0040370D"/>
    <w:rsid w:val="00406407"/>
    <w:rsid w:val="00406F52"/>
    <w:rsid w:val="0041134B"/>
    <w:rsid w:val="00417D35"/>
    <w:rsid w:val="00420731"/>
    <w:rsid w:val="00420C1E"/>
    <w:rsid w:val="004231A9"/>
    <w:rsid w:val="00427983"/>
    <w:rsid w:val="00430374"/>
    <w:rsid w:val="00430795"/>
    <w:rsid w:val="00430A4A"/>
    <w:rsid w:val="0043290F"/>
    <w:rsid w:val="0043417D"/>
    <w:rsid w:val="00434486"/>
    <w:rsid w:val="004359DD"/>
    <w:rsid w:val="00435D16"/>
    <w:rsid w:val="004363AD"/>
    <w:rsid w:val="00436845"/>
    <w:rsid w:val="00437A9C"/>
    <w:rsid w:val="00440617"/>
    <w:rsid w:val="00441AA2"/>
    <w:rsid w:val="004424CE"/>
    <w:rsid w:val="0044465C"/>
    <w:rsid w:val="00445AA7"/>
    <w:rsid w:val="0044790C"/>
    <w:rsid w:val="0045079B"/>
    <w:rsid w:val="00450C1E"/>
    <w:rsid w:val="004515D0"/>
    <w:rsid w:val="00454E7F"/>
    <w:rsid w:val="00456D3D"/>
    <w:rsid w:val="00460E02"/>
    <w:rsid w:val="00461554"/>
    <w:rsid w:val="00462096"/>
    <w:rsid w:val="00465669"/>
    <w:rsid w:val="004665BF"/>
    <w:rsid w:val="00467797"/>
    <w:rsid w:val="004705C3"/>
    <w:rsid w:val="00472EA0"/>
    <w:rsid w:val="0048167F"/>
    <w:rsid w:val="00481751"/>
    <w:rsid w:val="004835CF"/>
    <w:rsid w:val="00484F25"/>
    <w:rsid w:val="00487987"/>
    <w:rsid w:val="00491DEA"/>
    <w:rsid w:val="0049379F"/>
    <w:rsid w:val="00493B56"/>
    <w:rsid w:val="00494694"/>
    <w:rsid w:val="00496781"/>
    <w:rsid w:val="00497A4B"/>
    <w:rsid w:val="004A1218"/>
    <w:rsid w:val="004A15AC"/>
    <w:rsid w:val="004A5D2F"/>
    <w:rsid w:val="004A612F"/>
    <w:rsid w:val="004A6796"/>
    <w:rsid w:val="004B0D28"/>
    <w:rsid w:val="004B0F1E"/>
    <w:rsid w:val="004B7B5C"/>
    <w:rsid w:val="004C194F"/>
    <w:rsid w:val="004C20AB"/>
    <w:rsid w:val="004C26DB"/>
    <w:rsid w:val="004C2A1E"/>
    <w:rsid w:val="004C5468"/>
    <w:rsid w:val="004D2EAE"/>
    <w:rsid w:val="004E29D6"/>
    <w:rsid w:val="004E637B"/>
    <w:rsid w:val="004E728F"/>
    <w:rsid w:val="004E788D"/>
    <w:rsid w:val="004F120F"/>
    <w:rsid w:val="004F26D7"/>
    <w:rsid w:val="004F3907"/>
    <w:rsid w:val="004F4718"/>
    <w:rsid w:val="004F7230"/>
    <w:rsid w:val="0050099D"/>
    <w:rsid w:val="00502ECF"/>
    <w:rsid w:val="00503F80"/>
    <w:rsid w:val="00504722"/>
    <w:rsid w:val="00510328"/>
    <w:rsid w:val="00513197"/>
    <w:rsid w:val="005200BC"/>
    <w:rsid w:val="00520AE7"/>
    <w:rsid w:val="00521923"/>
    <w:rsid w:val="00537A8C"/>
    <w:rsid w:val="005406FE"/>
    <w:rsid w:val="005418FC"/>
    <w:rsid w:val="00542CAC"/>
    <w:rsid w:val="0054305B"/>
    <w:rsid w:val="00543A65"/>
    <w:rsid w:val="00543C94"/>
    <w:rsid w:val="00545A2C"/>
    <w:rsid w:val="00545A9F"/>
    <w:rsid w:val="00551ACF"/>
    <w:rsid w:val="00551C9B"/>
    <w:rsid w:val="005528FC"/>
    <w:rsid w:val="00553015"/>
    <w:rsid w:val="00553C2A"/>
    <w:rsid w:val="005570A0"/>
    <w:rsid w:val="00560FF7"/>
    <w:rsid w:val="005616F1"/>
    <w:rsid w:val="005644B0"/>
    <w:rsid w:val="00564559"/>
    <w:rsid w:val="00565DB1"/>
    <w:rsid w:val="00566466"/>
    <w:rsid w:val="00573727"/>
    <w:rsid w:val="0057563E"/>
    <w:rsid w:val="005758A1"/>
    <w:rsid w:val="005772CE"/>
    <w:rsid w:val="005774DD"/>
    <w:rsid w:val="00580882"/>
    <w:rsid w:val="00583E2F"/>
    <w:rsid w:val="00590213"/>
    <w:rsid w:val="005912B0"/>
    <w:rsid w:val="005924CE"/>
    <w:rsid w:val="00592CB2"/>
    <w:rsid w:val="0059511E"/>
    <w:rsid w:val="00596424"/>
    <w:rsid w:val="0059652B"/>
    <w:rsid w:val="0059729C"/>
    <w:rsid w:val="005A1033"/>
    <w:rsid w:val="005A5E69"/>
    <w:rsid w:val="005A7398"/>
    <w:rsid w:val="005A7A43"/>
    <w:rsid w:val="005B00D4"/>
    <w:rsid w:val="005B3A4B"/>
    <w:rsid w:val="005B7389"/>
    <w:rsid w:val="005B76BB"/>
    <w:rsid w:val="005B7782"/>
    <w:rsid w:val="005C14AE"/>
    <w:rsid w:val="005C3F8F"/>
    <w:rsid w:val="005C4874"/>
    <w:rsid w:val="005D19EA"/>
    <w:rsid w:val="005D2B4C"/>
    <w:rsid w:val="005D72C7"/>
    <w:rsid w:val="005E0E35"/>
    <w:rsid w:val="005E556E"/>
    <w:rsid w:val="005F056F"/>
    <w:rsid w:val="005F0CB3"/>
    <w:rsid w:val="005F2255"/>
    <w:rsid w:val="005F28A0"/>
    <w:rsid w:val="005F35A4"/>
    <w:rsid w:val="005F4954"/>
    <w:rsid w:val="005F6DF9"/>
    <w:rsid w:val="0060055D"/>
    <w:rsid w:val="00600E80"/>
    <w:rsid w:val="00601B1A"/>
    <w:rsid w:val="00602C73"/>
    <w:rsid w:val="006044AE"/>
    <w:rsid w:val="0060464A"/>
    <w:rsid w:val="00606257"/>
    <w:rsid w:val="00610AD8"/>
    <w:rsid w:val="00611204"/>
    <w:rsid w:val="00611CB9"/>
    <w:rsid w:val="006139AE"/>
    <w:rsid w:val="00614CAA"/>
    <w:rsid w:val="006162C1"/>
    <w:rsid w:val="0061653B"/>
    <w:rsid w:val="00617552"/>
    <w:rsid w:val="006202BA"/>
    <w:rsid w:val="00625F1C"/>
    <w:rsid w:val="00627ABE"/>
    <w:rsid w:val="00631F53"/>
    <w:rsid w:val="00632676"/>
    <w:rsid w:val="00633ED6"/>
    <w:rsid w:val="00634721"/>
    <w:rsid w:val="006350E6"/>
    <w:rsid w:val="00636B36"/>
    <w:rsid w:val="00640E8C"/>
    <w:rsid w:val="006420D3"/>
    <w:rsid w:val="00646777"/>
    <w:rsid w:val="00650AEC"/>
    <w:rsid w:val="006511FD"/>
    <w:rsid w:val="0065584B"/>
    <w:rsid w:val="00655F36"/>
    <w:rsid w:val="0065706D"/>
    <w:rsid w:val="0065783C"/>
    <w:rsid w:val="00660FF0"/>
    <w:rsid w:val="0066155B"/>
    <w:rsid w:val="00661A07"/>
    <w:rsid w:val="006729B5"/>
    <w:rsid w:val="0068064F"/>
    <w:rsid w:val="00683411"/>
    <w:rsid w:val="00683EF4"/>
    <w:rsid w:val="0069102B"/>
    <w:rsid w:val="00695D46"/>
    <w:rsid w:val="006A14B2"/>
    <w:rsid w:val="006A1848"/>
    <w:rsid w:val="006A53DC"/>
    <w:rsid w:val="006A5E33"/>
    <w:rsid w:val="006A7B3C"/>
    <w:rsid w:val="006B0C84"/>
    <w:rsid w:val="006B447F"/>
    <w:rsid w:val="006C0A59"/>
    <w:rsid w:val="006C1F5E"/>
    <w:rsid w:val="006C381C"/>
    <w:rsid w:val="006C52CE"/>
    <w:rsid w:val="006C7935"/>
    <w:rsid w:val="006C7DA2"/>
    <w:rsid w:val="006D4259"/>
    <w:rsid w:val="006D6AFD"/>
    <w:rsid w:val="006D75B9"/>
    <w:rsid w:val="006E0252"/>
    <w:rsid w:val="006E0374"/>
    <w:rsid w:val="006E0C55"/>
    <w:rsid w:val="006E1539"/>
    <w:rsid w:val="006E285A"/>
    <w:rsid w:val="006E6B2D"/>
    <w:rsid w:val="006F1E75"/>
    <w:rsid w:val="006F494C"/>
    <w:rsid w:val="006F6FB9"/>
    <w:rsid w:val="00700515"/>
    <w:rsid w:val="00701D82"/>
    <w:rsid w:val="0070338A"/>
    <w:rsid w:val="0070455C"/>
    <w:rsid w:val="00704C84"/>
    <w:rsid w:val="0070770D"/>
    <w:rsid w:val="00713A22"/>
    <w:rsid w:val="0071774D"/>
    <w:rsid w:val="00721FBA"/>
    <w:rsid w:val="007235E7"/>
    <w:rsid w:val="00724CA5"/>
    <w:rsid w:val="00725B38"/>
    <w:rsid w:val="007262A8"/>
    <w:rsid w:val="00726ECA"/>
    <w:rsid w:val="00727891"/>
    <w:rsid w:val="00727FAA"/>
    <w:rsid w:val="00732BBE"/>
    <w:rsid w:val="007356FA"/>
    <w:rsid w:val="007375C0"/>
    <w:rsid w:val="00742553"/>
    <w:rsid w:val="00742E35"/>
    <w:rsid w:val="00744533"/>
    <w:rsid w:val="00745150"/>
    <w:rsid w:val="00745734"/>
    <w:rsid w:val="0075025E"/>
    <w:rsid w:val="00752FF5"/>
    <w:rsid w:val="00753AB4"/>
    <w:rsid w:val="007541D9"/>
    <w:rsid w:val="007549CD"/>
    <w:rsid w:val="007562B6"/>
    <w:rsid w:val="007622EB"/>
    <w:rsid w:val="007659B5"/>
    <w:rsid w:val="00767599"/>
    <w:rsid w:val="00767AF9"/>
    <w:rsid w:val="00770E6D"/>
    <w:rsid w:val="0077745E"/>
    <w:rsid w:val="0078163D"/>
    <w:rsid w:val="00781F80"/>
    <w:rsid w:val="00791AE2"/>
    <w:rsid w:val="00791D7D"/>
    <w:rsid w:val="00794ED2"/>
    <w:rsid w:val="00796520"/>
    <w:rsid w:val="007969E9"/>
    <w:rsid w:val="00796FC9"/>
    <w:rsid w:val="00797BFC"/>
    <w:rsid w:val="007A6EB7"/>
    <w:rsid w:val="007A77E9"/>
    <w:rsid w:val="007B048A"/>
    <w:rsid w:val="007B1CF8"/>
    <w:rsid w:val="007B3F65"/>
    <w:rsid w:val="007B4C8B"/>
    <w:rsid w:val="007C0555"/>
    <w:rsid w:val="007C5CB1"/>
    <w:rsid w:val="007D3330"/>
    <w:rsid w:val="007D4342"/>
    <w:rsid w:val="007D639B"/>
    <w:rsid w:val="007D6CB3"/>
    <w:rsid w:val="007E4715"/>
    <w:rsid w:val="007E4B2C"/>
    <w:rsid w:val="007E55A5"/>
    <w:rsid w:val="007E5A82"/>
    <w:rsid w:val="007E6F9B"/>
    <w:rsid w:val="007F2681"/>
    <w:rsid w:val="007F4251"/>
    <w:rsid w:val="007F520B"/>
    <w:rsid w:val="007F75B8"/>
    <w:rsid w:val="007F7D65"/>
    <w:rsid w:val="008020B4"/>
    <w:rsid w:val="008061F1"/>
    <w:rsid w:val="008076DC"/>
    <w:rsid w:val="00807BF1"/>
    <w:rsid w:val="00807EBC"/>
    <w:rsid w:val="00807FD4"/>
    <w:rsid w:val="00814CA4"/>
    <w:rsid w:val="008235F6"/>
    <w:rsid w:val="00830ABB"/>
    <w:rsid w:val="00830E6A"/>
    <w:rsid w:val="00832174"/>
    <w:rsid w:val="00837A6E"/>
    <w:rsid w:val="00840ED1"/>
    <w:rsid w:val="00844662"/>
    <w:rsid w:val="00851A31"/>
    <w:rsid w:val="00851CF4"/>
    <w:rsid w:val="008573F1"/>
    <w:rsid w:val="008574C2"/>
    <w:rsid w:val="00860CC6"/>
    <w:rsid w:val="00861F4A"/>
    <w:rsid w:val="008638B4"/>
    <w:rsid w:val="0086424E"/>
    <w:rsid w:val="008642A2"/>
    <w:rsid w:val="0086603C"/>
    <w:rsid w:val="00876498"/>
    <w:rsid w:val="0087710C"/>
    <w:rsid w:val="008822F8"/>
    <w:rsid w:val="00884AFD"/>
    <w:rsid w:val="0089183A"/>
    <w:rsid w:val="00892F6D"/>
    <w:rsid w:val="008A015D"/>
    <w:rsid w:val="008A1CB0"/>
    <w:rsid w:val="008A2C11"/>
    <w:rsid w:val="008A34A1"/>
    <w:rsid w:val="008A4512"/>
    <w:rsid w:val="008A726C"/>
    <w:rsid w:val="008A7C1C"/>
    <w:rsid w:val="008B157E"/>
    <w:rsid w:val="008B4F3F"/>
    <w:rsid w:val="008B64DF"/>
    <w:rsid w:val="008C15DA"/>
    <w:rsid w:val="008C21DF"/>
    <w:rsid w:val="008C2741"/>
    <w:rsid w:val="008C2C02"/>
    <w:rsid w:val="008C7448"/>
    <w:rsid w:val="008D08E5"/>
    <w:rsid w:val="008D798A"/>
    <w:rsid w:val="008E1055"/>
    <w:rsid w:val="008E6187"/>
    <w:rsid w:val="008E62C7"/>
    <w:rsid w:val="008E6492"/>
    <w:rsid w:val="008E6E14"/>
    <w:rsid w:val="008F1455"/>
    <w:rsid w:val="008F2CF3"/>
    <w:rsid w:val="008F3400"/>
    <w:rsid w:val="008F3BED"/>
    <w:rsid w:val="008F3F53"/>
    <w:rsid w:val="008F4BE4"/>
    <w:rsid w:val="008F6387"/>
    <w:rsid w:val="008F6D32"/>
    <w:rsid w:val="008F74C2"/>
    <w:rsid w:val="009000C2"/>
    <w:rsid w:val="0090033A"/>
    <w:rsid w:val="009022F1"/>
    <w:rsid w:val="00904DAE"/>
    <w:rsid w:val="00911A65"/>
    <w:rsid w:val="00912C0D"/>
    <w:rsid w:val="00915FA4"/>
    <w:rsid w:val="0091625A"/>
    <w:rsid w:val="00916473"/>
    <w:rsid w:val="009223E2"/>
    <w:rsid w:val="0092270E"/>
    <w:rsid w:val="00922FBD"/>
    <w:rsid w:val="00924368"/>
    <w:rsid w:val="009260D1"/>
    <w:rsid w:val="00927DB8"/>
    <w:rsid w:val="00931F1E"/>
    <w:rsid w:val="009338B9"/>
    <w:rsid w:val="00937B17"/>
    <w:rsid w:val="00941F0F"/>
    <w:rsid w:val="00943C62"/>
    <w:rsid w:val="0094692D"/>
    <w:rsid w:val="0095090E"/>
    <w:rsid w:val="00953630"/>
    <w:rsid w:val="00957F98"/>
    <w:rsid w:val="0096347E"/>
    <w:rsid w:val="00964B35"/>
    <w:rsid w:val="00971776"/>
    <w:rsid w:val="00975438"/>
    <w:rsid w:val="00975568"/>
    <w:rsid w:val="00976068"/>
    <w:rsid w:val="00980006"/>
    <w:rsid w:val="0098462D"/>
    <w:rsid w:val="009943AA"/>
    <w:rsid w:val="00997ECA"/>
    <w:rsid w:val="00997F2E"/>
    <w:rsid w:val="009A0BD4"/>
    <w:rsid w:val="009A2D08"/>
    <w:rsid w:val="009A4911"/>
    <w:rsid w:val="009B19B0"/>
    <w:rsid w:val="009B2BF5"/>
    <w:rsid w:val="009B380C"/>
    <w:rsid w:val="009B521A"/>
    <w:rsid w:val="009B5381"/>
    <w:rsid w:val="009B70AE"/>
    <w:rsid w:val="009C018D"/>
    <w:rsid w:val="009C381B"/>
    <w:rsid w:val="009C60F9"/>
    <w:rsid w:val="009C7EEE"/>
    <w:rsid w:val="009D3D7F"/>
    <w:rsid w:val="009D3E17"/>
    <w:rsid w:val="009D5768"/>
    <w:rsid w:val="009D5DC3"/>
    <w:rsid w:val="009D6482"/>
    <w:rsid w:val="009E0F11"/>
    <w:rsid w:val="009E3CAC"/>
    <w:rsid w:val="009E478F"/>
    <w:rsid w:val="009E71A6"/>
    <w:rsid w:val="009F1E8A"/>
    <w:rsid w:val="009F2AC6"/>
    <w:rsid w:val="009F5152"/>
    <w:rsid w:val="009F6EBC"/>
    <w:rsid w:val="00A00169"/>
    <w:rsid w:val="00A10949"/>
    <w:rsid w:val="00A10E86"/>
    <w:rsid w:val="00A11152"/>
    <w:rsid w:val="00A135D0"/>
    <w:rsid w:val="00A157FD"/>
    <w:rsid w:val="00A21FC2"/>
    <w:rsid w:val="00A24BC1"/>
    <w:rsid w:val="00A3017C"/>
    <w:rsid w:val="00A37B60"/>
    <w:rsid w:val="00A41223"/>
    <w:rsid w:val="00A41EA3"/>
    <w:rsid w:val="00A44C10"/>
    <w:rsid w:val="00A47F43"/>
    <w:rsid w:val="00A54614"/>
    <w:rsid w:val="00A552A3"/>
    <w:rsid w:val="00A57392"/>
    <w:rsid w:val="00A63061"/>
    <w:rsid w:val="00A63949"/>
    <w:rsid w:val="00A66F02"/>
    <w:rsid w:val="00A67B31"/>
    <w:rsid w:val="00A72976"/>
    <w:rsid w:val="00A72D93"/>
    <w:rsid w:val="00A73C71"/>
    <w:rsid w:val="00A74B42"/>
    <w:rsid w:val="00A75BBC"/>
    <w:rsid w:val="00A76100"/>
    <w:rsid w:val="00A76707"/>
    <w:rsid w:val="00A776E3"/>
    <w:rsid w:val="00A81814"/>
    <w:rsid w:val="00A82B29"/>
    <w:rsid w:val="00A83113"/>
    <w:rsid w:val="00A83AC2"/>
    <w:rsid w:val="00A84AA5"/>
    <w:rsid w:val="00A85A66"/>
    <w:rsid w:val="00A8628B"/>
    <w:rsid w:val="00A92A4F"/>
    <w:rsid w:val="00A93A46"/>
    <w:rsid w:val="00A93B5A"/>
    <w:rsid w:val="00AA24D3"/>
    <w:rsid w:val="00AA262E"/>
    <w:rsid w:val="00AA2E68"/>
    <w:rsid w:val="00AA3214"/>
    <w:rsid w:val="00AA3305"/>
    <w:rsid w:val="00AA7C1B"/>
    <w:rsid w:val="00AB15CB"/>
    <w:rsid w:val="00AB43C2"/>
    <w:rsid w:val="00AB534A"/>
    <w:rsid w:val="00AB579F"/>
    <w:rsid w:val="00AB5BDB"/>
    <w:rsid w:val="00AB7BD9"/>
    <w:rsid w:val="00AC18D4"/>
    <w:rsid w:val="00AC31C8"/>
    <w:rsid w:val="00AC473E"/>
    <w:rsid w:val="00AC4DE9"/>
    <w:rsid w:val="00AD0301"/>
    <w:rsid w:val="00AD0393"/>
    <w:rsid w:val="00AD0644"/>
    <w:rsid w:val="00AD1B8A"/>
    <w:rsid w:val="00AD1E29"/>
    <w:rsid w:val="00AD4E03"/>
    <w:rsid w:val="00AD6413"/>
    <w:rsid w:val="00AD6DB2"/>
    <w:rsid w:val="00AD76DC"/>
    <w:rsid w:val="00AE0BC2"/>
    <w:rsid w:val="00AE7B38"/>
    <w:rsid w:val="00AF1B32"/>
    <w:rsid w:val="00AF1C5A"/>
    <w:rsid w:val="00AF59C1"/>
    <w:rsid w:val="00B008B7"/>
    <w:rsid w:val="00B03EE2"/>
    <w:rsid w:val="00B106A9"/>
    <w:rsid w:val="00B10804"/>
    <w:rsid w:val="00B11042"/>
    <w:rsid w:val="00B12AF9"/>
    <w:rsid w:val="00B1534A"/>
    <w:rsid w:val="00B153BC"/>
    <w:rsid w:val="00B227A4"/>
    <w:rsid w:val="00B2398D"/>
    <w:rsid w:val="00B248E7"/>
    <w:rsid w:val="00B251A9"/>
    <w:rsid w:val="00B265BA"/>
    <w:rsid w:val="00B306D5"/>
    <w:rsid w:val="00B41205"/>
    <w:rsid w:val="00B4197A"/>
    <w:rsid w:val="00B43021"/>
    <w:rsid w:val="00B4493D"/>
    <w:rsid w:val="00B4559E"/>
    <w:rsid w:val="00B46A38"/>
    <w:rsid w:val="00B47ED5"/>
    <w:rsid w:val="00B51468"/>
    <w:rsid w:val="00B53550"/>
    <w:rsid w:val="00B55C14"/>
    <w:rsid w:val="00B5672A"/>
    <w:rsid w:val="00B576FF"/>
    <w:rsid w:val="00B5784A"/>
    <w:rsid w:val="00B60A45"/>
    <w:rsid w:val="00B614BE"/>
    <w:rsid w:val="00B62C30"/>
    <w:rsid w:val="00B635F6"/>
    <w:rsid w:val="00B702FC"/>
    <w:rsid w:val="00B720A1"/>
    <w:rsid w:val="00B74464"/>
    <w:rsid w:val="00B765DE"/>
    <w:rsid w:val="00B7704B"/>
    <w:rsid w:val="00B81682"/>
    <w:rsid w:val="00B82517"/>
    <w:rsid w:val="00B83E14"/>
    <w:rsid w:val="00B91CAD"/>
    <w:rsid w:val="00B91DB0"/>
    <w:rsid w:val="00B96591"/>
    <w:rsid w:val="00BA3E1B"/>
    <w:rsid w:val="00BA7062"/>
    <w:rsid w:val="00BB2902"/>
    <w:rsid w:val="00BB2DF9"/>
    <w:rsid w:val="00BB3444"/>
    <w:rsid w:val="00BB40E8"/>
    <w:rsid w:val="00BB799D"/>
    <w:rsid w:val="00BC0713"/>
    <w:rsid w:val="00BC68D6"/>
    <w:rsid w:val="00BC771A"/>
    <w:rsid w:val="00BD0FBA"/>
    <w:rsid w:val="00BD2E41"/>
    <w:rsid w:val="00BD2E71"/>
    <w:rsid w:val="00BD3739"/>
    <w:rsid w:val="00BD458E"/>
    <w:rsid w:val="00BD46B9"/>
    <w:rsid w:val="00BD46CE"/>
    <w:rsid w:val="00BD4996"/>
    <w:rsid w:val="00BD4A59"/>
    <w:rsid w:val="00BD627B"/>
    <w:rsid w:val="00BE1292"/>
    <w:rsid w:val="00BF0C5C"/>
    <w:rsid w:val="00BF0D35"/>
    <w:rsid w:val="00BF4A47"/>
    <w:rsid w:val="00BF5C18"/>
    <w:rsid w:val="00BF5EDD"/>
    <w:rsid w:val="00C00E0D"/>
    <w:rsid w:val="00C023F7"/>
    <w:rsid w:val="00C02590"/>
    <w:rsid w:val="00C02E24"/>
    <w:rsid w:val="00C03309"/>
    <w:rsid w:val="00C04789"/>
    <w:rsid w:val="00C05BFD"/>
    <w:rsid w:val="00C10799"/>
    <w:rsid w:val="00C1081B"/>
    <w:rsid w:val="00C11383"/>
    <w:rsid w:val="00C14654"/>
    <w:rsid w:val="00C161D5"/>
    <w:rsid w:val="00C17872"/>
    <w:rsid w:val="00C2244B"/>
    <w:rsid w:val="00C24647"/>
    <w:rsid w:val="00C27BCB"/>
    <w:rsid w:val="00C32289"/>
    <w:rsid w:val="00C32C15"/>
    <w:rsid w:val="00C34F3F"/>
    <w:rsid w:val="00C40097"/>
    <w:rsid w:val="00C402CB"/>
    <w:rsid w:val="00C42425"/>
    <w:rsid w:val="00C4378D"/>
    <w:rsid w:val="00C43B21"/>
    <w:rsid w:val="00C47C27"/>
    <w:rsid w:val="00C50D4C"/>
    <w:rsid w:val="00C52A6B"/>
    <w:rsid w:val="00C52AA9"/>
    <w:rsid w:val="00C554CA"/>
    <w:rsid w:val="00C63A24"/>
    <w:rsid w:val="00C67168"/>
    <w:rsid w:val="00C74F59"/>
    <w:rsid w:val="00C75E9A"/>
    <w:rsid w:val="00C77546"/>
    <w:rsid w:val="00C8023A"/>
    <w:rsid w:val="00C839E9"/>
    <w:rsid w:val="00C85CAD"/>
    <w:rsid w:val="00C918FE"/>
    <w:rsid w:val="00C96E34"/>
    <w:rsid w:val="00CA1852"/>
    <w:rsid w:val="00CA3039"/>
    <w:rsid w:val="00CA6A72"/>
    <w:rsid w:val="00CB162C"/>
    <w:rsid w:val="00CB4F01"/>
    <w:rsid w:val="00CB5402"/>
    <w:rsid w:val="00CB5780"/>
    <w:rsid w:val="00CB5DA3"/>
    <w:rsid w:val="00CC0B1F"/>
    <w:rsid w:val="00CC14F5"/>
    <w:rsid w:val="00CC544F"/>
    <w:rsid w:val="00CC5FB0"/>
    <w:rsid w:val="00CC6DBF"/>
    <w:rsid w:val="00CD2F98"/>
    <w:rsid w:val="00CD7983"/>
    <w:rsid w:val="00CD7A4A"/>
    <w:rsid w:val="00CE21FF"/>
    <w:rsid w:val="00CE25D6"/>
    <w:rsid w:val="00CE2641"/>
    <w:rsid w:val="00CE35D6"/>
    <w:rsid w:val="00CE46A2"/>
    <w:rsid w:val="00CE4D0E"/>
    <w:rsid w:val="00CE53C4"/>
    <w:rsid w:val="00CE5E94"/>
    <w:rsid w:val="00CF3054"/>
    <w:rsid w:val="00CF4CC7"/>
    <w:rsid w:val="00CF55CE"/>
    <w:rsid w:val="00CF7B5B"/>
    <w:rsid w:val="00D0327E"/>
    <w:rsid w:val="00D038E4"/>
    <w:rsid w:val="00D05580"/>
    <w:rsid w:val="00D05918"/>
    <w:rsid w:val="00D062AE"/>
    <w:rsid w:val="00D10F29"/>
    <w:rsid w:val="00D10FEC"/>
    <w:rsid w:val="00D11ACC"/>
    <w:rsid w:val="00D11B3B"/>
    <w:rsid w:val="00D135B2"/>
    <w:rsid w:val="00D150DC"/>
    <w:rsid w:val="00D1597C"/>
    <w:rsid w:val="00D16081"/>
    <w:rsid w:val="00D1729F"/>
    <w:rsid w:val="00D1741C"/>
    <w:rsid w:val="00D22535"/>
    <w:rsid w:val="00D240E6"/>
    <w:rsid w:val="00D2454C"/>
    <w:rsid w:val="00D24AC2"/>
    <w:rsid w:val="00D24CCD"/>
    <w:rsid w:val="00D26B66"/>
    <w:rsid w:val="00D31912"/>
    <w:rsid w:val="00D31980"/>
    <w:rsid w:val="00D36497"/>
    <w:rsid w:val="00D40877"/>
    <w:rsid w:val="00D4258C"/>
    <w:rsid w:val="00D43D22"/>
    <w:rsid w:val="00D46530"/>
    <w:rsid w:val="00D54939"/>
    <w:rsid w:val="00D5575D"/>
    <w:rsid w:val="00D560A2"/>
    <w:rsid w:val="00D60E52"/>
    <w:rsid w:val="00D648CE"/>
    <w:rsid w:val="00D64AA8"/>
    <w:rsid w:val="00D655F6"/>
    <w:rsid w:val="00D65CFD"/>
    <w:rsid w:val="00D66737"/>
    <w:rsid w:val="00D675E6"/>
    <w:rsid w:val="00D71ED5"/>
    <w:rsid w:val="00D722AA"/>
    <w:rsid w:val="00D74B23"/>
    <w:rsid w:val="00D801A5"/>
    <w:rsid w:val="00D81DDE"/>
    <w:rsid w:val="00D826D0"/>
    <w:rsid w:val="00D87770"/>
    <w:rsid w:val="00D9002D"/>
    <w:rsid w:val="00D91B32"/>
    <w:rsid w:val="00D92BEF"/>
    <w:rsid w:val="00D936C0"/>
    <w:rsid w:val="00D937C4"/>
    <w:rsid w:val="00D9594E"/>
    <w:rsid w:val="00D96230"/>
    <w:rsid w:val="00DA0D4C"/>
    <w:rsid w:val="00DA0F1B"/>
    <w:rsid w:val="00DA4D73"/>
    <w:rsid w:val="00DA6D36"/>
    <w:rsid w:val="00DB1D8E"/>
    <w:rsid w:val="00DB2D01"/>
    <w:rsid w:val="00DB4083"/>
    <w:rsid w:val="00DB4311"/>
    <w:rsid w:val="00DB6A3D"/>
    <w:rsid w:val="00DB74E0"/>
    <w:rsid w:val="00DC04E1"/>
    <w:rsid w:val="00DC0F40"/>
    <w:rsid w:val="00DC62E2"/>
    <w:rsid w:val="00DC64D2"/>
    <w:rsid w:val="00DE1565"/>
    <w:rsid w:val="00DE4327"/>
    <w:rsid w:val="00DE7823"/>
    <w:rsid w:val="00DF1252"/>
    <w:rsid w:val="00DF2968"/>
    <w:rsid w:val="00DF348B"/>
    <w:rsid w:val="00E00EF4"/>
    <w:rsid w:val="00E04B4D"/>
    <w:rsid w:val="00E0619C"/>
    <w:rsid w:val="00E0717E"/>
    <w:rsid w:val="00E1004A"/>
    <w:rsid w:val="00E10754"/>
    <w:rsid w:val="00E108D3"/>
    <w:rsid w:val="00E140F8"/>
    <w:rsid w:val="00E16DA3"/>
    <w:rsid w:val="00E17790"/>
    <w:rsid w:val="00E178E7"/>
    <w:rsid w:val="00E17B90"/>
    <w:rsid w:val="00E20DA7"/>
    <w:rsid w:val="00E21498"/>
    <w:rsid w:val="00E22D7D"/>
    <w:rsid w:val="00E252E4"/>
    <w:rsid w:val="00E27932"/>
    <w:rsid w:val="00E32A84"/>
    <w:rsid w:val="00E3623D"/>
    <w:rsid w:val="00E36BA5"/>
    <w:rsid w:val="00E36C02"/>
    <w:rsid w:val="00E422AB"/>
    <w:rsid w:val="00E43630"/>
    <w:rsid w:val="00E4367F"/>
    <w:rsid w:val="00E43AF3"/>
    <w:rsid w:val="00E43BF2"/>
    <w:rsid w:val="00E47BE9"/>
    <w:rsid w:val="00E511E3"/>
    <w:rsid w:val="00E53126"/>
    <w:rsid w:val="00E53A02"/>
    <w:rsid w:val="00E54FBA"/>
    <w:rsid w:val="00E56DE0"/>
    <w:rsid w:val="00E61D69"/>
    <w:rsid w:val="00E62BE7"/>
    <w:rsid w:val="00E650A8"/>
    <w:rsid w:val="00E651EF"/>
    <w:rsid w:val="00E652E3"/>
    <w:rsid w:val="00E66C12"/>
    <w:rsid w:val="00E70F96"/>
    <w:rsid w:val="00E73B07"/>
    <w:rsid w:val="00E7537F"/>
    <w:rsid w:val="00E82254"/>
    <w:rsid w:val="00E824D2"/>
    <w:rsid w:val="00E87005"/>
    <w:rsid w:val="00E87DCA"/>
    <w:rsid w:val="00E95BE4"/>
    <w:rsid w:val="00E9601C"/>
    <w:rsid w:val="00E979E1"/>
    <w:rsid w:val="00EA2360"/>
    <w:rsid w:val="00EA332F"/>
    <w:rsid w:val="00EA3AA0"/>
    <w:rsid w:val="00EA5FDA"/>
    <w:rsid w:val="00EA67A4"/>
    <w:rsid w:val="00EB14E9"/>
    <w:rsid w:val="00EB3AE8"/>
    <w:rsid w:val="00EB604D"/>
    <w:rsid w:val="00EB6C6D"/>
    <w:rsid w:val="00EB7189"/>
    <w:rsid w:val="00EC4CA7"/>
    <w:rsid w:val="00ED0736"/>
    <w:rsid w:val="00ED1E05"/>
    <w:rsid w:val="00ED213C"/>
    <w:rsid w:val="00ED2D13"/>
    <w:rsid w:val="00ED5033"/>
    <w:rsid w:val="00ED56A8"/>
    <w:rsid w:val="00ED7F65"/>
    <w:rsid w:val="00EE3BD8"/>
    <w:rsid w:val="00EE56E3"/>
    <w:rsid w:val="00EE6169"/>
    <w:rsid w:val="00EE633F"/>
    <w:rsid w:val="00EF0AB3"/>
    <w:rsid w:val="00EF2E27"/>
    <w:rsid w:val="00EF4317"/>
    <w:rsid w:val="00F0014B"/>
    <w:rsid w:val="00F003BF"/>
    <w:rsid w:val="00F025CE"/>
    <w:rsid w:val="00F02C2E"/>
    <w:rsid w:val="00F0414F"/>
    <w:rsid w:val="00F0483C"/>
    <w:rsid w:val="00F052B7"/>
    <w:rsid w:val="00F06ACC"/>
    <w:rsid w:val="00F072DB"/>
    <w:rsid w:val="00F15411"/>
    <w:rsid w:val="00F15C4B"/>
    <w:rsid w:val="00F20077"/>
    <w:rsid w:val="00F20B1C"/>
    <w:rsid w:val="00F21353"/>
    <w:rsid w:val="00F24858"/>
    <w:rsid w:val="00F26574"/>
    <w:rsid w:val="00F26982"/>
    <w:rsid w:val="00F35BE1"/>
    <w:rsid w:val="00F36721"/>
    <w:rsid w:val="00F42FF6"/>
    <w:rsid w:val="00F4375F"/>
    <w:rsid w:val="00F44E32"/>
    <w:rsid w:val="00F46EE7"/>
    <w:rsid w:val="00F47023"/>
    <w:rsid w:val="00F50969"/>
    <w:rsid w:val="00F5479A"/>
    <w:rsid w:val="00F551DE"/>
    <w:rsid w:val="00F57BC2"/>
    <w:rsid w:val="00F60A8E"/>
    <w:rsid w:val="00F62893"/>
    <w:rsid w:val="00F65B61"/>
    <w:rsid w:val="00F6694E"/>
    <w:rsid w:val="00F70F94"/>
    <w:rsid w:val="00F71604"/>
    <w:rsid w:val="00F76CE8"/>
    <w:rsid w:val="00F8391E"/>
    <w:rsid w:val="00F87431"/>
    <w:rsid w:val="00F87B9D"/>
    <w:rsid w:val="00F917FF"/>
    <w:rsid w:val="00F91FFF"/>
    <w:rsid w:val="00F93B58"/>
    <w:rsid w:val="00F9510A"/>
    <w:rsid w:val="00F95535"/>
    <w:rsid w:val="00F97225"/>
    <w:rsid w:val="00FA0286"/>
    <w:rsid w:val="00FA0B5F"/>
    <w:rsid w:val="00FA1FF5"/>
    <w:rsid w:val="00FA26D0"/>
    <w:rsid w:val="00FA2C75"/>
    <w:rsid w:val="00FA4E6C"/>
    <w:rsid w:val="00FA5D1F"/>
    <w:rsid w:val="00FA7F32"/>
    <w:rsid w:val="00FB1280"/>
    <w:rsid w:val="00FB37A9"/>
    <w:rsid w:val="00FB3C15"/>
    <w:rsid w:val="00FB497E"/>
    <w:rsid w:val="00FB6366"/>
    <w:rsid w:val="00FC00A7"/>
    <w:rsid w:val="00FC04FB"/>
    <w:rsid w:val="00FC05DF"/>
    <w:rsid w:val="00FC210B"/>
    <w:rsid w:val="00FC5431"/>
    <w:rsid w:val="00FD75A6"/>
    <w:rsid w:val="00FE372A"/>
    <w:rsid w:val="00FE499B"/>
    <w:rsid w:val="00FE55B0"/>
    <w:rsid w:val="00FE5B55"/>
    <w:rsid w:val="00FE5D88"/>
    <w:rsid w:val="00FF2E56"/>
    <w:rsid w:val="00FF5E1B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A6AE"/>
  <w15:chartTrackingRefBased/>
  <w15:docId w15:val="{31FE4570-2258-4F89-BF12-35CAFBB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F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7d73f80ebc1289865e583d226b4a062c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633095098a50d51308d72984e49273e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4847B-B501-43A8-9EC8-BB1C32D35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C8473-B471-4A73-8DFD-ED26257C4D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5E7DAA-082A-447F-8301-E2DD75EB72DA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4.xml><?xml version="1.0" encoding="utf-8"?>
<ds:datastoreItem xmlns:ds="http://schemas.openxmlformats.org/officeDocument/2006/customXml" ds:itemID="{2B0D9325-B487-424F-9F51-EE52125767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2</cp:revision>
  <dcterms:created xsi:type="dcterms:W3CDTF">2025-05-13T13:25:00Z</dcterms:created>
  <dcterms:modified xsi:type="dcterms:W3CDTF">2025-05-13T13:25:00Z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