
<file path=[Content_Types].xml><?xml version="1.0" encoding="utf-8"?>
<Types xmlns="http://schemas.openxmlformats.org/package/2006/content-types">
  <Default Extension="070EF9D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381F" w14:textId="2B8C5D65" w:rsidR="00B377FC" w:rsidRDefault="00BE4AC5" w:rsidP="00B530D1">
      <w:pPr>
        <w:rPr>
          <w:b/>
          <w:bCs/>
        </w:rPr>
      </w:pPr>
      <w:r w:rsidRPr="00BE4AC5">
        <w:rPr>
          <w:b/>
          <w:bCs/>
        </w:rPr>
        <w:t>Enhanced Transition Timeline for Preschool Aged Children with SEND</w:t>
      </w:r>
    </w:p>
    <w:p w14:paraId="0A5F94E5" w14:textId="4011F07D" w:rsidR="00BE4AC5" w:rsidRPr="00BE4AC5" w:rsidRDefault="00BE4AC5" w:rsidP="00BE4AC5">
      <w:pPr>
        <w:jc w:val="both"/>
        <w:rPr>
          <w:b/>
          <w:bCs/>
          <w:sz w:val="20"/>
          <w:szCs w:val="20"/>
        </w:rPr>
      </w:pPr>
      <w:r w:rsidRPr="00BE4AC5">
        <w:rPr>
          <w:rFonts w:ascii="Arial" w:hAnsi="Arial" w:cs="Arial"/>
          <w:sz w:val="20"/>
          <w:szCs w:val="20"/>
        </w:rPr>
        <w:t>This transition planner recognises the Statutory framework for the early years foundation stage (EYFS) as an inclusive document which will be adhered to when assessing and monitoring the child’s needs.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128"/>
        <w:gridCol w:w="2564"/>
      </w:tblGrid>
      <w:tr w:rsidR="00BE4AC5" w14:paraId="34B4603E" w14:textId="77777777" w:rsidTr="00322C8A">
        <w:tc>
          <w:tcPr>
            <w:tcW w:w="1696" w:type="dxa"/>
            <w:shd w:val="clear" w:color="auto" w:fill="BFBFBF" w:themeFill="background1" w:themeFillShade="BF"/>
          </w:tcPr>
          <w:p w14:paraId="3D6EB568" w14:textId="20932C88" w:rsidR="00BE4AC5" w:rsidRDefault="00BE4AC5" w:rsidP="00B53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Month </w:t>
            </w:r>
          </w:p>
        </w:tc>
        <w:tc>
          <w:tcPr>
            <w:tcW w:w="11128" w:type="dxa"/>
            <w:shd w:val="clear" w:color="auto" w:fill="BFBFBF" w:themeFill="background1" w:themeFillShade="BF"/>
          </w:tcPr>
          <w:p w14:paraId="5B3225FB" w14:textId="254FF39E" w:rsidR="00BE4AC5" w:rsidRDefault="00BE4AC5" w:rsidP="00B53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Early Years Actions </w:t>
            </w:r>
          </w:p>
        </w:tc>
        <w:tc>
          <w:tcPr>
            <w:tcW w:w="2564" w:type="dxa"/>
            <w:shd w:val="clear" w:color="auto" w:fill="BFBFBF" w:themeFill="background1" w:themeFillShade="BF"/>
          </w:tcPr>
          <w:p w14:paraId="2DE7E7CD" w14:textId="47A3050B" w:rsidR="00BE4AC5" w:rsidRDefault="00BE4AC5" w:rsidP="00B530D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Progress/Comments </w:t>
            </w:r>
          </w:p>
        </w:tc>
      </w:tr>
      <w:tr w:rsidR="004C57B2" w:rsidRPr="00BE4AC5" w14:paraId="3271B574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4ACF78AE" w14:textId="3B212AE5" w:rsidR="004C57B2" w:rsidRDefault="004C57B2" w:rsidP="00B530D1">
            <w:pPr>
              <w:rPr>
                <w:sz w:val="18"/>
                <w:szCs w:val="18"/>
              </w:rPr>
            </w:pPr>
            <w:r w:rsidRPr="00BE4AC5">
              <w:rPr>
                <w:sz w:val="18"/>
                <w:szCs w:val="18"/>
              </w:rPr>
              <w:t xml:space="preserve">From </w:t>
            </w:r>
            <w:r>
              <w:rPr>
                <w:sz w:val="18"/>
                <w:szCs w:val="18"/>
              </w:rPr>
              <w:t>September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1455995C" w14:textId="77777777" w:rsidR="004C57B2" w:rsidRPr="00BE4AC5" w:rsidRDefault="004C57B2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32E91259" w14:textId="77777777" w:rsidR="004C57B2" w:rsidRPr="00BE4AC5" w:rsidRDefault="004C57B2" w:rsidP="00B530D1"/>
        </w:tc>
      </w:tr>
      <w:tr w:rsidR="004C57B2" w:rsidRPr="00BE4AC5" w14:paraId="666DA418" w14:textId="77777777" w:rsidTr="00322C8A">
        <w:tc>
          <w:tcPr>
            <w:tcW w:w="1696" w:type="dxa"/>
          </w:tcPr>
          <w:p w14:paraId="02051646" w14:textId="77777777" w:rsidR="004C57B2" w:rsidRPr="00BE4AC5" w:rsidRDefault="004C57B2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1834319B" w14:textId="116FDB01" w:rsidR="004C57B2" w:rsidRPr="004C57B2" w:rsidRDefault="004C57B2" w:rsidP="00B530D1">
            <w:pPr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  <w:t>On registering with the setting, if the child has an identified need (and is already known to support services) a team around the family meeting should be held so that an agreed plan of support is in place for when the child starts at the setting</w:t>
            </w:r>
          </w:p>
        </w:tc>
        <w:tc>
          <w:tcPr>
            <w:tcW w:w="2564" w:type="dxa"/>
          </w:tcPr>
          <w:p w14:paraId="255FC74D" w14:textId="77777777" w:rsidR="004C57B2" w:rsidRPr="00BE4AC5" w:rsidRDefault="004C57B2" w:rsidP="00B530D1"/>
        </w:tc>
      </w:tr>
      <w:tr w:rsidR="00BE4AC5" w:rsidRPr="00BE4AC5" w14:paraId="0C5361D8" w14:textId="77777777" w:rsidTr="00322C8A">
        <w:tc>
          <w:tcPr>
            <w:tcW w:w="1696" w:type="dxa"/>
          </w:tcPr>
          <w:p w14:paraId="06DCE9EB" w14:textId="7A1B28A1" w:rsidR="00BE4AC5" w:rsidRPr="00BE4AC5" w:rsidRDefault="00BE4AC5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6406831B" w14:textId="257F6CAB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rFonts w:ascii="Arial" w:hAnsi="Arial" w:cs="Arial"/>
                <w:sz w:val="18"/>
                <w:szCs w:val="18"/>
              </w:rPr>
              <w:t>On entering a setting, if children’s needs are assessed and identified as requiring enhanced support, leading to the Graduated Response Cycle of SEN Support</w:t>
            </w:r>
            <w:r w:rsidR="00D4401D">
              <w:rPr>
                <w:rFonts w:ascii="Arial" w:hAnsi="Arial" w:cs="Arial"/>
                <w:sz w:val="18"/>
                <w:szCs w:val="18"/>
              </w:rPr>
              <w:t xml:space="preserve"> (Assess, Plan, Do &amp; Review)</w:t>
            </w:r>
            <w:r w:rsidRPr="00BE4AC5">
              <w:rPr>
                <w:rFonts w:ascii="Arial" w:hAnsi="Arial" w:cs="Arial"/>
                <w:sz w:val="18"/>
                <w:szCs w:val="18"/>
              </w:rPr>
              <w:t>, a request for advice should be made for the appropriate support services (Early Years Advisory Teacher for SEND, Early Years and Childcare Advisory Service).</w:t>
            </w:r>
          </w:p>
        </w:tc>
        <w:tc>
          <w:tcPr>
            <w:tcW w:w="2564" w:type="dxa"/>
          </w:tcPr>
          <w:p w14:paraId="68E09F7D" w14:textId="77777777" w:rsidR="00BE4AC5" w:rsidRPr="00BE4AC5" w:rsidRDefault="00BE4AC5" w:rsidP="00B530D1"/>
        </w:tc>
      </w:tr>
      <w:tr w:rsidR="00BE4AC5" w:rsidRPr="00BE4AC5" w14:paraId="314FAA0D" w14:textId="77777777" w:rsidTr="00322C8A">
        <w:tc>
          <w:tcPr>
            <w:tcW w:w="1696" w:type="dxa"/>
          </w:tcPr>
          <w:p w14:paraId="75DD505D" w14:textId="2F3C49FE" w:rsidR="00BE4AC5" w:rsidRPr="00BE4AC5" w:rsidRDefault="00BE4AC5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46610921" w14:textId="70A0E86A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rFonts w:ascii="Arial" w:hAnsi="Arial" w:cs="Arial"/>
                <w:sz w:val="18"/>
                <w:szCs w:val="18"/>
              </w:rPr>
              <w:t>Children’s needs should be reviewed with parents/carers and relevant professionals and monitored through appropriate support plans (Individual Learning and Development Plans).</w:t>
            </w:r>
          </w:p>
        </w:tc>
        <w:tc>
          <w:tcPr>
            <w:tcW w:w="2564" w:type="dxa"/>
          </w:tcPr>
          <w:p w14:paraId="13A80EE2" w14:textId="77777777" w:rsidR="00BE4AC5" w:rsidRPr="00BE4AC5" w:rsidRDefault="00BE4AC5" w:rsidP="00B530D1"/>
        </w:tc>
      </w:tr>
      <w:tr w:rsidR="00BE4AC5" w:rsidRPr="00BE4AC5" w14:paraId="66046DC7" w14:textId="77777777" w:rsidTr="00322C8A">
        <w:tc>
          <w:tcPr>
            <w:tcW w:w="1696" w:type="dxa"/>
          </w:tcPr>
          <w:p w14:paraId="583B862B" w14:textId="77777777" w:rsidR="00BE4AC5" w:rsidRPr="00BE4AC5" w:rsidRDefault="00BE4AC5" w:rsidP="00B530D1"/>
        </w:tc>
        <w:tc>
          <w:tcPr>
            <w:tcW w:w="11128" w:type="dxa"/>
          </w:tcPr>
          <w:p w14:paraId="7E970A77" w14:textId="2D3FFAB6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rFonts w:ascii="Arial" w:hAnsi="Arial" w:cs="Arial"/>
                <w:sz w:val="18"/>
                <w:szCs w:val="18"/>
              </w:rPr>
              <w:t xml:space="preserve">This may lead to a referral to other educational services </w:t>
            </w:r>
            <w:proofErr w:type="gramStart"/>
            <w:r w:rsidRPr="00BE4AC5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BE4AC5">
              <w:rPr>
                <w:rFonts w:ascii="Arial" w:hAnsi="Arial" w:cs="Arial"/>
                <w:sz w:val="18"/>
                <w:szCs w:val="18"/>
              </w:rPr>
              <w:t xml:space="preserve"> Educational Psychology Services, if the child does not have a Portage Home Visitor already involved.</w:t>
            </w:r>
          </w:p>
        </w:tc>
        <w:tc>
          <w:tcPr>
            <w:tcW w:w="2564" w:type="dxa"/>
          </w:tcPr>
          <w:p w14:paraId="03797830" w14:textId="77777777" w:rsidR="00BE4AC5" w:rsidRPr="00BE4AC5" w:rsidRDefault="00BE4AC5" w:rsidP="00B530D1"/>
        </w:tc>
      </w:tr>
      <w:tr w:rsidR="00BE4AC5" w:rsidRPr="00BE4AC5" w14:paraId="72164463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6489FA34" w14:textId="0D769C40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sz w:val="18"/>
                <w:szCs w:val="18"/>
              </w:rPr>
              <w:t>From November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1C507C6D" w14:textId="77777777" w:rsidR="00BE4AC5" w:rsidRPr="00BE4AC5" w:rsidRDefault="00BE4AC5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56C22BC7" w14:textId="77777777" w:rsidR="00BE4AC5" w:rsidRPr="00BE4AC5" w:rsidRDefault="00BE4AC5" w:rsidP="00B530D1"/>
        </w:tc>
      </w:tr>
      <w:tr w:rsidR="00BE4AC5" w:rsidRPr="00BE4AC5" w14:paraId="7F967F33" w14:textId="77777777" w:rsidTr="00322C8A">
        <w:tc>
          <w:tcPr>
            <w:tcW w:w="1696" w:type="dxa"/>
          </w:tcPr>
          <w:p w14:paraId="52F448CD" w14:textId="57811104" w:rsidR="00BE4AC5" w:rsidRPr="00BE4AC5" w:rsidRDefault="00BE4AC5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099D4B1" w14:textId="25309890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rFonts w:ascii="Arial" w:hAnsi="Arial" w:cs="Arial"/>
                <w:sz w:val="18"/>
                <w:szCs w:val="18"/>
              </w:rPr>
              <w:t>Identify all the children needing an enhanced transition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ie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early information sharing with </w:t>
            </w:r>
            <w:r w:rsidR="00322C8A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>
              <w:rPr>
                <w:rFonts w:ascii="Arial" w:hAnsi="Arial" w:cs="Arial"/>
                <w:sz w:val="18"/>
                <w:szCs w:val="18"/>
              </w:rPr>
              <w:t xml:space="preserve">colleagues) </w:t>
            </w:r>
          </w:p>
        </w:tc>
        <w:tc>
          <w:tcPr>
            <w:tcW w:w="2564" w:type="dxa"/>
          </w:tcPr>
          <w:p w14:paraId="28813337" w14:textId="77777777" w:rsidR="00BE4AC5" w:rsidRPr="00BE4AC5" w:rsidRDefault="00BE4AC5" w:rsidP="00B530D1"/>
        </w:tc>
      </w:tr>
      <w:tr w:rsidR="00873F79" w:rsidRPr="00BE4AC5" w14:paraId="652709C0" w14:textId="77777777" w:rsidTr="00322C8A">
        <w:tc>
          <w:tcPr>
            <w:tcW w:w="1696" w:type="dxa"/>
          </w:tcPr>
          <w:p w14:paraId="39D6E875" w14:textId="77777777" w:rsidR="00873F79" w:rsidRPr="00BE4AC5" w:rsidRDefault="00873F79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4A0B416" w14:textId="5DEDD2E7" w:rsidR="00873F79" w:rsidRPr="00873F79" w:rsidRDefault="00873F79" w:rsidP="00B530D1">
            <w:pPr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  <w:t xml:space="preserve">For each relevant child with SEND, prepare to share your documentation and plan a parent/carer meeting for the educational psychology consultation </w:t>
            </w:r>
            <w:r w:rsidR="00D4401D"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  <w:t xml:space="preserve">in collaboration with the EP who </w:t>
            </w:r>
            <w:proofErr w:type="gramStart"/>
            <w:r w:rsidR="00D4401D"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  <w:t>makes contact with</w:t>
            </w:r>
            <w:proofErr w:type="gramEnd"/>
            <w:r w:rsidR="00D4401D">
              <w:rPr>
                <w:rFonts w:ascii="Arial" w:hAnsi="Arial" w:cs="Arial"/>
                <w:color w:val="007D36" w:themeColor="accent3" w:themeShade="BF"/>
                <w:sz w:val="18"/>
                <w:szCs w:val="18"/>
              </w:rPr>
              <w:t xml:space="preserve"> Setting SENCO</w:t>
            </w:r>
          </w:p>
        </w:tc>
        <w:tc>
          <w:tcPr>
            <w:tcW w:w="2564" w:type="dxa"/>
          </w:tcPr>
          <w:p w14:paraId="242972D5" w14:textId="77777777" w:rsidR="00873F79" w:rsidRPr="00BE4AC5" w:rsidRDefault="00873F79" w:rsidP="00B530D1"/>
        </w:tc>
      </w:tr>
      <w:tr w:rsidR="00BE4AC5" w:rsidRPr="00BE4AC5" w14:paraId="5BB4BC7F" w14:textId="77777777" w:rsidTr="00322C8A">
        <w:tc>
          <w:tcPr>
            <w:tcW w:w="1696" w:type="dxa"/>
          </w:tcPr>
          <w:p w14:paraId="4B9AB20A" w14:textId="77777777" w:rsidR="00BE4AC5" w:rsidRPr="00BE4AC5" w:rsidRDefault="00BE4AC5" w:rsidP="00B530D1"/>
        </w:tc>
        <w:tc>
          <w:tcPr>
            <w:tcW w:w="11128" w:type="dxa"/>
          </w:tcPr>
          <w:p w14:paraId="08ACF816" w14:textId="1197FF04" w:rsidR="00BE4AC5" w:rsidRPr="00BE4AC5" w:rsidRDefault="00BE4AC5" w:rsidP="00B530D1">
            <w:pPr>
              <w:rPr>
                <w:sz w:val="18"/>
                <w:szCs w:val="18"/>
              </w:rPr>
            </w:pPr>
            <w:r w:rsidRPr="00BE4AC5">
              <w:rPr>
                <w:rFonts w:ascii="Arial" w:hAnsi="Arial" w:cs="Arial"/>
                <w:sz w:val="18"/>
                <w:szCs w:val="18"/>
              </w:rPr>
              <w:t>Consider/ discuss any support their parents/carers need for Primary school visits / open events and meetings before the application deadline in the following January.</w:t>
            </w:r>
          </w:p>
        </w:tc>
        <w:tc>
          <w:tcPr>
            <w:tcW w:w="2564" w:type="dxa"/>
          </w:tcPr>
          <w:p w14:paraId="6EB61E49" w14:textId="77777777" w:rsidR="00BE4AC5" w:rsidRPr="00BE4AC5" w:rsidRDefault="00BE4AC5" w:rsidP="00B530D1"/>
        </w:tc>
      </w:tr>
      <w:tr w:rsidR="00BE4AC5" w:rsidRPr="00BE4AC5" w14:paraId="1977EE3A" w14:textId="77777777" w:rsidTr="00322C8A">
        <w:tc>
          <w:tcPr>
            <w:tcW w:w="1696" w:type="dxa"/>
          </w:tcPr>
          <w:p w14:paraId="35F314CC" w14:textId="77777777" w:rsidR="00BE4AC5" w:rsidRPr="00BE4AC5" w:rsidRDefault="00BE4AC5" w:rsidP="00B530D1"/>
        </w:tc>
        <w:tc>
          <w:tcPr>
            <w:tcW w:w="11128" w:type="dxa"/>
          </w:tcPr>
          <w:p w14:paraId="4971B9CD" w14:textId="6997FCB8" w:rsidR="00BE4AC5" w:rsidRPr="004C57B2" w:rsidRDefault="004C57B2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4C57B2">
              <w:rPr>
                <w:rFonts w:ascii="Arial" w:hAnsi="Arial" w:cs="Arial"/>
                <w:sz w:val="18"/>
                <w:szCs w:val="18"/>
              </w:rPr>
              <w:t xml:space="preserve">If you have not already done </w:t>
            </w:r>
            <w:proofErr w:type="gramStart"/>
            <w:r w:rsidRPr="004C57B2">
              <w:rPr>
                <w:rFonts w:ascii="Arial" w:hAnsi="Arial" w:cs="Arial"/>
                <w:sz w:val="18"/>
                <w:szCs w:val="18"/>
              </w:rPr>
              <w:t>so</w:t>
            </w:r>
            <w:proofErr w:type="gramEnd"/>
            <w:r w:rsidRPr="004C57B2">
              <w:rPr>
                <w:rFonts w:ascii="Arial" w:hAnsi="Arial" w:cs="Arial"/>
                <w:sz w:val="18"/>
                <w:szCs w:val="18"/>
              </w:rPr>
              <w:t xml:space="preserve"> consider requesting support for the children with complex needs from the Early Years Advisory Teacher for SEND and/or Educational Psychology or other appropriate support services.</w:t>
            </w:r>
          </w:p>
        </w:tc>
        <w:tc>
          <w:tcPr>
            <w:tcW w:w="2564" w:type="dxa"/>
          </w:tcPr>
          <w:p w14:paraId="2AF1CDFB" w14:textId="77777777" w:rsidR="00BE4AC5" w:rsidRPr="00BE4AC5" w:rsidRDefault="00BE4AC5" w:rsidP="00B530D1"/>
        </w:tc>
      </w:tr>
      <w:tr w:rsidR="00BE4AC5" w:rsidRPr="00873F79" w14:paraId="636081BE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217D7CBE" w14:textId="6D9EE5BD" w:rsidR="00BE4AC5" w:rsidRPr="00873F79" w:rsidRDefault="00873F79" w:rsidP="00B530D1">
            <w:pPr>
              <w:rPr>
                <w:sz w:val="18"/>
                <w:szCs w:val="18"/>
              </w:rPr>
            </w:pPr>
            <w:r w:rsidRPr="00873F79">
              <w:rPr>
                <w:sz w:val="18"/>
                <w:szCs w:val="18"/>
              </w:rPr>
              <w:t xml:space="preserve">By December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66274CCE" w14:textId="77777777" w:rsidR="00BE4AC5" w:rsidRPr="00873F79" w:rsidRDefault="00BE4AC5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CBA5521" w14:textId="77777777" w:rsidR="00BE4AC5" w:rsidRPr="00873F79" w:rsidRDefault="00BE4AC5" w:rsidP="00B530D1">
            <w:pPr>
              <w:rPr>
                <w:sz w:val="18"/>
                <w:szCs w:val="18"/>
              </w:rPr>
            </w:pPr>
          </w:p>
        </w:tc>
      </w:tr>
      <w:tr w:rsidR="00BE4AC5" w:rsidRPr="00BE4AC5" w14:paraId="1BFE6004" w14:textId="77777777" w:rsidTr="00322C8A">
        <w:tc>
          <w:tcPr>
            <w:tcW w:w="1696" w:type="dxa"/>
          </w:tcPr>
          <w:p w14:paraId="2906F69B" w14:textId="77777777" w:rsidR="00BE4AC5" w:rsidRPr="00BE4AC5" w:rsidRDefault="00BE4AC5" w:rsidP="00B530D1"/>
        </w:tc>
        <w:tc>
          <w:tcPr>
            <w:tcW w:w="11128" w:type="dxa"/>
          </w:tcPr>
          <w:p w14:paraId="3AC64C92" w14:textId="77777777" w:rsidR="00BE4AC5" w:rsidRDefault="00873F79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873F79">
              <w:rPr>
                <w:rFonts w:ascii="Arial" w:hAnsi="Arial" w:cs="Arial"/>
                <w:sz w:val="18"/>
                <w:szCs w:val="18"/>
              </w:rPr>
              <w:t>By this month, all Requests for Statutory Assessment</w:t>
            </w:r>
            <w:r>
              <w:rPr>
                <w:rFonts w:ascii="Arial" w:hAnsi="Arial" w:cs="Arial"/>
                <w:sz w:val="18"/>
                <w:szCs w:val="18"/>
              </w:rPr>
              <w:t xml:space="preserve"> (Education,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Health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and Care Needs Assessments)</w:t>
            </w:r>
            <w:r w:rsidRPr="00873F79">
              <w:rPr>
                <w:rFonts w:ascii="Arial" w:hAnsi="Arial" w:cs="Arial"/>
                <w:sz w:val="18"/>
                <w:szCs w:val="18"/>
              </w:rPr>
              <w:t xml:space="preserve"> should be submitted for children who may require a </w:t>
            </w:r>
            <w:r w:rsidRPr="00322C8A">
              <w:rPr>
                <w:rFonts w:ascii="Arial" w:hAnsi="Arial" w:cs="Arial"/>
                <w:b/>
                <w:bCs/>
                <w:sz w:val="18"/>
                <w:szCs w:val="18"/>
              </w:rPr>
              <w:t>specialist provision</w:t>
            </w:r>
            <w:r w:rsidRPr="00873F79">
              <w:rPr>
                <w:rFonts w:ascii="Arial" w:hAnsi="Arial" w:cs="Arial"/>
                <w:sz w:val="18"/>
                <w:szCs w:val="18"/>
              </w:rPr>
              <w:t xml:space="preserve"> when they start school the following September.</w:t>
            </w:r>
          </w:p>
          <w:p w14:paraId="5D55917F" w14:textId="77777777" w:rsid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EBFBFB" w14:textId="77777777" w:rsid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2F5E12" w14:textId="132DC4AE" w:rsidR="00322C8A" w:rsidRPr="00873F79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</w:tcPr>
          <w:p w14:paraId="33389023" w14:textId="77777777" w:rsidR="00BE4AC5" w:rsidRPr="00BE4AC5" w:rsidRDefault="00BE4AC5" w:rsidP="00B530D1"/>
        </w:tc>
      </w:tr>
      <w:tr w:rsidR="00BE4AC5" w:rsidRPr="00873F79" w14:paraId="41D0CE15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0C38E491" w14:textId="2DF1214E" w:rsidR="00BE4AC5" w:rsidRPr="00873F79" w:rsidRDefault="00873F79" w:rsidP="00B530D1">
            <w:pPr>
              <w:rPr>
                <w:sz w:val="18"/>
                <w:szCs w:val="18"/>
              </w:rPr>
            </w:pPr>
            <w:r w:rsidRPr="00873F79">
              <w:rPr>
                <w:sz w:val="18"/>
                <w:szCs w:val="18"/>
              </w:rPr>
              <w:lastRenderedPageBreak/>
              <w:t xml:space="preserve">From January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7DA53D21" w14:textId="77777777" w:rsidR="00BE4AC5" w:rsidRPr="00873F79" w:rsidRDefault="00BE4AC5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47271802" w14:textId="77777777" w:rsidR="00BE4AC5" w:rsidRPr="00873F79" w:rsidRDefault="00BE4AC5" w:rsidP="00B530D1">
            <w:pPr>
              <w:rPr>
                <w:sz w:val="18"/>
                <w:szCs w:val="18"/>
              </w:rPr>
            </w:pPr>
          </w:p>
        </w:tc>
      </w:tr>
      <w:tr w:rsidR="00873F79" w:rsidRPr="00BE4AC5" w14:paraId="1DAA1D34" w14:textId="77777777" w:rsidTr="00322C8A">
        <w:trPr>
          <w:trHeight w:val="162"/>
        </w:trPr>
        <w:tc>
          <w:tcPr>
            <w:tcW w:w="1696" w:type="dxa"/>
          </w:tcPr>
          <w:p w14:paraId="7E4058A2" w14:textId="77777777" w:rsidR="00873F79" w:rsidRPr="00BE4AC5" w:rsidRDefault="00873F79" w:rsidP="00B530D1"/>
        </w:tc>
        <w:tc>
          <w:tcPr>
            <w:tcW w:w="11128" w:type="dxa"/>
          </w:tcPr>
          <w:p w14:paraId="05953684" w14:textId="4B711BA5" w:rsidR="00873F79" w:rsidRPr="00873F79" w:rsidRDefault="00873F79" w:rsidP="00D4401D">
            <w:pPr>
              <w:rPr>
                <w:rFonts w:ascii="Arial" w:hAnsi="Arial" w:cs="Arial"/>
                <w:sz w:val="18"/>
                <w:szCs w:val="18"/>
              </w:rPr>
            </w:pPr>
            <w:r w:rsidRPr="00873F79">
              <w:rPr>
                <w:rFonts w:ascii="Arial" w:hAnsi="Arial" w:cs="Arial"/>
                <w:sz w:val="18"/>
                <w:szCs w:val="18"/>
              </w:rPr>
              <w:t>Ensure parents have applied for a school place before the January deadline</w:t>
            </w:r>
            <w:r>
              <w:rPr>
                <w:rFonts w:ascii="Arial" w:hAnsi="Arial" w:cs="Arial"/>
                <w:sz w:val="18"/>
                <w:szCs w:val="18"/>
              </w:rPr>
              <w:t xml:space="preserve"> using Torbay Council School Admissions process </w:t>
            </w:r>
          </w:p>
        </w:tc>
        <w:tc>
          <w:tcPr>
            <w:tcW w:w="2564" w:type="dxa"/>
          </w:tcPr>
          <w:p w14:paraId="48591C93" w14:textId="77777777" w:rsidR="00873F79" w:rsidRPr="00BE4AC5" w:rsidRDefault="00873F79" w:rsidP="00B530D1"/>
        </w:tc>
      </w:tr>
      <w:tr w:rsidR="00873F79" w:rsidRPr="00BE4AC5" w14:paraId="4AAEE794" w14:textId="77777777" w:rsidTr="00322C8A">
        <w:trPr>
          <w:trHeight w:val="353"/>
        </w:trPr>
        <w:tc>
          <w:tcPr>
            <w:tcW w:w="1696" w:type="dxa"/>
            <w:shd w:val="clear" w:color="auto" w:fill="D9D9D9" w:themeFill="background1" w:themeFillShade="D9"/>
          </w:tcPr>
          <w:p w14:paraId="2A206C1E" w14:textId="17492632" w:rsidR="00873F79" w:rsidRPr="00873F79" w:rsidRDefault="00D4401D" w:rsidP="00B5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</w:t>
            </w:r>
            <w:r w:rsidR="00873F79" w:rsidRPr="00873F79">
              <w:rPr>
                <w:sz w:val="18"/>
                <w:szCs w:val="18"/>
              </w:rPr>
              <w:t xml:space="preserve">February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38E093D7" w14:textId="77777777" w:rsidR="00873F79" w:rsidRPr="00873F79" w:rsidRDefault="00873F79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1A9469E3" w14:textId="77777777" w:rsidR="00873F79" w:rsidRPr="00BE4AC5" w:rsidRDefault="00873F79" w:rsidP="00B530D1"/>
        </w:tc>
      </w:tr>
      <w:tr w:rsidR="00873F79" w:rsidRPr="00BE4AC5" w14:paraId="1FEC074D" w14:textId="77777777" w:rsidTr="00322C8A">
        <w:tc>
          <w:tcPr>
            <w:tcW w:w="1696" w:type="dxa"/>
          </w:tcPr>
          <w:p w14:paraId="77F8B017" w14:textId="77777777" w:rsidR="00873F79" w:rsidRPr="00BE4AC5" w:rsidRDefault="00873F79" w:rsidP="00B530D1"/>
        </w:tc>
        <w:tc>
          <w:tcPr>
            <w:tcW w:w="11128" w:type="dxa"/>
          </w:tcPr>
          <w:p w14:paraId="1A8856B9" w14:textId="104CE50C" w:rsidR="00873F79" w:rsidRPr="00873F79" w:rsidRDefault="00873F79" w:rsidP="00B530D1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73F79">
              <w:rPr>
                <w:rFonts w:ascii="Arial" w:hAnsi="Arial" w:cs="Arial"/>
                <w:sz w:val="18"/>
                <w:szCs w:val="18"/>
              </w:rPr>
              <w:t>In order to</w:t>
            </w:r>
            <w:proofErr w:type="gramEnd"/>
            <w:r w:rsidRPr="00873F79">
              <w:rPr>
                <w:rFonts w:ascii="Arial" w:hAnsi="Arial" w:cs="Arial"/>
                <w:sz w:val="18"/>
                <w:szCs w:val="18"/>
              </w:rPr>
              <w:t xml:space="preserve"> complete the </w:t>
            </w:r>
            <w:r w:rsidR="00D4401D" w:rsidRPr="00873F79">
              <w:rPr>
                <w:rFonts w:ascii="Arial" w:hAnsi="Arial" w:cs="Arial"/>
                <w:sz w:val="18"/>
                <w:szCs w:val="18"/>
              </w:rPr>
              <w:t>20-week</w:t>
            </w:r>
            <w:r w:rsidRPr="00873F79">
              <w:rPr>
                <w:rFonts w:ascii="Arial" w:hAnsi="Arial" w:cs="Arial"/>
                <w:sz w:val="18"/>
                <w:szCs w:val="18"/>
              </w:rPr>
              <w:t xml:space="preserve"> time frame, this is the month that all Requests for Statutory Assessment </w:t>
            </w:r>
            <w:r>
              <w:rPr>
                <w:rFonts w:ascii="Arial" w:hAnsi="Arial" w:cs="Arial"/>
                <w:sz w:val="18"/>
                <w:szCs w:val="18"/>
              </w:rPr>
              <w:t xml:space="preserve">(Education, Health and Care Needs Assessments) </w:t>
            </w:r>
            <w:r w:rsidR="00D4401D" w:rsidRPr="00873F79">
              <w:rPr>
                <w:rFonts w:ascii="Arial" w:hAnsi="Arial" w:cs="Arial"/>
                <w:sz w:val="18"/>
                <w:szCs w:val="18"/>
              </w:rPr>
              <w:t>should</w:t>
            </w:r>
            <w:r w:rsidRPr="00873F79">
              <w:rPr>
                <w:rFonts w:ascii="Arial" w:hAnsi="Arial" w:cs="Arial"/>
                <w:sz w:val="18"/>
                <w:szCs w:val="18"/>
              </w:rPr>
              <w:t xml:space="preserve"> be submitted to the Torbay SEND Service for children who will be starting school the following September.</w:t>
            </w:r>
          </w:p>
        </w:tc>
        <w:tc>
          <w:tcPr>
            <w:tcW w:w="2564" w:type="dxa"/>
          </w:tcPr>
          <w:p w14:paraId="7B73AE20" w14:textId="77777777" w:rsidR="00873F79" w:rsidRPr="00BE4AC5" w:rsidRDefault="00873F79" w:rsidP="00B530D1"/>
        </w:tc>
      </w:tr>
      <w:tr w:rsidR="00873F79" w:rsidRPr="00D4401D" w14:paraId="12550F56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0D1B82B7" w14:textId="0050D5D2" w:rsidR="00873F79" w:rsidRPr="00D4401D" w:rsidRDefault="00D4401D" w:rsidP="00B530D1">
            <w:pPr>
              <w:rPr>
                <w:sz w:val="18"/>
                <w:szCs w:val="18"/>
              </w:rPr>
            </w:pPr>
            <w:r w:rsidRPr="00D4401D">
              <w:rPr>
                <w:sz w:val="18"/>
                <w:szCs w:val="18"/>
              </w:rPr>
              <w:t xml:space="preserve">From April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73726A70" w14:textId="77777777" w:rsidR="00873F79" w:rsidRPr="00D4401D" w:rsidRDefault="00873F79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76A413A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873F79" w:rsidRPr="00D4401D" w14:paraId="3BA7CBBE" w14:textId="77777777" w:rsidTr="00322C8A">
        <w:tc>
          <w:tcPr>
            <w:tcW w:w="1696" w:type="dxa"/>
          </w:tcPr>
          <w:p w14:paraId="2674B1E4" w14:textId="4C3C6B92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65D94A66" w14:textId="136951D3" w:rsidR="00873F79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Following the April school allocation, consider/discuss any support needed by parents/carers and agree liaison steps in collaboration with the child’s Portage Home Visitor (if involved) with the receiving school.</w:t>
            </w:r>
          </w:p>
        </w:tc>
        <w:tc>
          <w:tcPr>
            <w:tcW w:w="2564" w:type="dxa"/>
          </w:tcPr>
          <w:p w14:paraId="5C080B56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873F79" w:rsidRPr="00D4401D" w14:paraId="3109430F" w14:textId="77777777" w:rsidTr="00322C8A">
        <w:tc>
          <w:tcPr>
            <w:tcW w:w="1696" w:type="dxa"/>
          </w:tcPr>
          <w:p w14:paraId="3F6122F6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C871FE5" w14:textId="757A8D0A" w:rsidR="00873F79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 xml:space="preserve">The receiving Primary school lead and setting SENCO liaise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parent/carers &amp; </w:t>
            </w:r>
            <w:r w:rsidRPr="00D4401D">
              <w:rPr>
                <w:rFonts w:ascii="Arial" w:hAnsi="Arial" w:cs="Arial"/>
                <w:sz w:val="18"/>
                <w:szCs w:val="18"/>
              </w:rPr>
              <w:t xml:space="preserve">relevant professionals to plan al transition </w:t>
            </w:r>
            <w:r>
              <w:rPr>
                <w:rFonts w:ascii="Arial" w:hAnsi="Arial" w:cs="Arial"/>
                <w:sz w:val="18"/>
                <w:szCs w:val="18"/>
              </w:rPr>
              <w:t xml:space="preserve">planning </w:t>
            </w:r>
            <w:r w:rsidRPr="00D4401D">
              <w:rPr>
                <w:rFonts w:ascii="Arial" w:hAnsi="Arial" w:cs="Arial"/>
                <w:sz w:val="18"/>
                <w:szCs w:val="18"/>
              </w:rPr>
              <w:t>meeting, to discuss transition arrangements.</w:t>
            </w:r>
          </w:p>
        </w:tc>
        <w:tc>
          <w:tcPr>
            <w:tcW w:w="2564" w:type="dxa"/>
          </w:tcPr>
          <w:p w14:paraId="36DF5694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873F79" w:rsidRPr="00D4401D" w14:paraId="6B316123" w14:textId="77777777" w:rsidTr="00322C8A">
        <w:tc>
          <w:tcPr>
            <w:tcW w:w="1696" w:type="dxa"/>
          </w:tcPr>
          <w:p w14:paraId="0B6AE4D9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1EDA166D" w14:textId="0226D620" w:rsidR="00873F79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Together with the parents/carers, think about the information needed to add to the Enhanced Transition document and the One Page Profile for the specific children with identified SEND</w:t>
            </w:r>
          </w:p>
        </w:tc>
        <w:tc>
          <w:tcPr>
            <w:tcW w:w="2564" w:type="dxa"/>
          </w:tcPr>
          <w:p w14:paraId="2F9B12EA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873F79" w:rsidRPr="00D4401D" w14:paraId="40D95656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08612AB5" w14:textId="6009A91A" w:rsidR="00873F79" w:rsidRPr="00D4401D" w:rsidRDefault="00D4401D" w:rsidP="00B5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May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12B011B6" w14:textId="77777777" w:rsidR="00873F79" w:rsidRPr="00D4401D" w:rsidRDefault="00873F79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7A43030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873F79" w:rsidRPr="00D4401D" w14:paraId="3E224723" w14:textId="77777777" w:rsidTr="00322C8A">
        <w:tc>
          <w:tcPr>
            <w:tcW w:w="1696" w:type="dxa"/>
          </w:tcPr>
          <w:p w14:paraId="031CC3C0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18E60DD" w14:textId="43A585C7" w:rsidR="00873F79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If by the end of May enhanced transition meetings have not been arranged, check with the receiving Primary lead/SENCO that pupils are on their list and link with the lead professional.</w:t>
            </w:r>
          </w:p>
        </w:tc>
        <w:tc>
          <w:tcPr>
            <w:tcW w:w="2564" w:type="dxa"/>
          </w:tcPr>
          <w:p w14:paraId="4E26B609" w14:textId="77777777" w:rsidR="00873F79" w:rsidRPr="00D4401D" w:rsidRDefault="00873F79" w:rsidP="00B530D1">
            <w:pPr>
              <w:rPr>
                <w:sz w:val="18"/>
                <w:szCs w:val="18"/>
              </w:rPr>
            </w:pPr>
          </w:p>
        </w:tc>
      </w:tr>
      <w:tr w:rsidR="00D4401D" w:rsidRPr="00D4401D" w14:paraId="455D7DEE" w14:textId="77777777" w:rsidTr="00322C8A">
        <w:tc>
          <w:tcPr>
            <w:tcW w:w="1696" w:type="dxa"/>
          </w:tcPr>
          <w:p w14:paraId="709761A4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7A89C9F5" w14:textId="74200B71" w:rsidR="00D4401D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With the parents/carers and relevant professionals, complete the Enhanced Transition document and One Page Profile of the child, in readiness to share with the receiving Primary school lead.</w:t>
            </w:r>
          </w:p>
        </w:tc>
        <w:tc>
          <w:tcPr>
            <w:tcW w:w="2564" w:type="dxa"/>
          </w:tcPr>
          <w:p w14:paraId="1315C61A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</w:tr>
      <w:tr w:rsidR="00D4401D" w:rsidRPr="00D4401D" w14:paraId="682C6E08" w14:textId="77777777" w:rsidTr="00322C8A">
        <w:tc>
          <w:tcPr>
            <w:tcW w:w="1696" w:type="dxa"/>
          </w:tcPr>
          <w:p w14:paraId="3B137517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747FD0CA" w14:textId="22DF51C6" w:rsidR="00D4401D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Parents/carers may attend visits or specific parent meetings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64" w:type="dxa"/>
          </w:tcPr>
          <w:p w14:paraId="6679C2A0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</w:tr>
      <w:tr w:rsidR="00D4401D" w:rsidRPr="00D4401D" w14:paraId="1A5CA680" w14:textId="77777777" w:rsidTr="00322C8A">
        <w:tc>
          <w:tcPr>
            <w:tcW w:w="1696" w:type="dxa"/>
          </w:tcPr>
          <w:p w14:paraId="77266847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177B62A2" w14:textId="28988373" w:rsidR="00D4401D" w:rsidRPr="00D4401D" w:rsidRDefault="00D4401D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D4401D">
              <w:rPr>
                <w:rFonts w:ascii="Arial" w:hAnsi="Arial" w:cs="Arial"/>
                <w:sz w:val="18"/>
                <w:szCs w:val="18"/>
              </w:rPr>
              <w:t>Depending on individual needs and preferences of the family, the child with SEND may attend visits at the school.</w:t>
            </w:r>
          </w:p>
        </w:tc>
        <w:tc>
          <w:tcPr>
            <w:tcW w:w="2564" w:type="dxa"/>
          </w:tcPr>
          <w:p w14:paraId="7383979F" w14:textId="77777777" w:rsidR="00D4401D" w:rsidRPr="00D4401D" w:rsidRDefault="00D4401D" w:rsidP="00B530D1">
            <w:pPr>
              <w:rPr>
                <w:sz w:val="18"/>
                <w:szCs w:val="18"/>
              </w:rPr>
            </w:pPr>
          </w:p>
        </w:tc>
      </w:tr>
      <w:tr w:rsidR="00322C8A" w:rsidRPr="00D4401D" w14:paraId="4B8E32B8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20B0D6D6" w14:textId="124C579C" w:rsidR="00322C8A" w:rsidRPr="00D4401D" w:rsidRDefault="00322C8A" w:rsidP="00B5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June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3B2EA383" w14:textId="77777777" w:rsidR="00322C8A" w:rsidRPr="00D4401D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743B548" w14:textId="77777777" w:rsidR="00322C8A" w:rsidRPr="00D4401D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1632E7ED" w14:textId="77777777" w:rsidTr="00322C8A">
        <w:tc>
          <w:tcPr>
            <w:tcW w:w="1696" w:type="dxa"/>
          </w:tcPr>
          <w:p w14:paraId="4202DB49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2A35ADC" w14:textId="2F7493A5" w:rsidR="00322C8A" w:rsidRPr="00322C8A" w:rsidRDefault="00322C8A" w:rsidP="00730155">
            <w:pPr>
              <w:rPr>
                <w:rFonts w:ascii="Arial" w:hAnsi="Arial" w:cs="Arial"/>
                <w:sz w:val="18"/>
                <w:szCs w:val="18"/>
              </w:rPr>
            </w:pPr>
            <w:r w:rsidRPr="00322C8A">
              <w:rPr>
                <w:rFonts w:ascii="Arial" w:hAnsi="Arial" w:cs="Arial"/>
                <w:sz w:val="18"/>
                <w:szCs w:val="18"/>
              </w:rPr>
              <w:t xml:space="preserve">Monitor children’s progress, liaising with Primary colleagues and parents as needed.  </w:t>
            </w:r>
          </w:p>
        </w:tc>
        <w:tc>
          <w:tcPr>
            <w:tcW w:w="2564" w:type="dxa"/>
          </w:tcPr>
          <w:p w14:paraId="4FE16D82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7268BBB2" w14:textId="77777777" w:rsidTr="00322C8A">
        <w:tc>
          <w:tcPr>
            <w:tcW w:w="1696" w:type="dxa"/>
          </w:tcPr>
          <w:p w14:paraId="7550B391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3405C5B3" w14:textId="70AFB733" w:rsidR="00322C8A" w:rsidRPr="00322C8A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322C8A">
              <w:rPr>
                <w:rFonts w:ascii="Arial" w:hAnsi="Arial" w:cs="Arial"/>
                <w:sz w:val="18"/>
                <w:szCs w:val="18"/>
              </w:rPr>
              <w:t xml:space="preserve">Attend prearranged </w:t>
            </w:r>
            <w:r>
              <w:rPr>
                <w:rFonts w:ascii="Arial" w:hAnsi="Arial" w:cs="Arial"/>
                <w:sz w:val="18"/>
                <w:szCs w:val="18"/>
              </w:rPr>
              <w:t>Enhanced</w:t>
            </w:r>
            <w:r w:rsidRPr="00322C8A">
              <w:rPr>
                <w:rFonts w:ascii="Arial" w:hAnsi="Arial" w:cs="Arial"/>
                <w:sz w:val="18"/>
                <w:szCs w:val="18"/>
              </w:rPr>
              <w:t xml:space="preserve"> Transition meetings including all the relevant multi professionals and handover information to the school.  Share completed Enhanced Transition documents and final One Page Profiles.</w:t>
            </w:r>
          </w:p>
        </w:tc>
        <w:tc>
          <w:tcPr>
            <w:tcW w:w="2564" w:type="dxa"/>
          </w:tcPr>
          <w:p w14:paraId="5C7E3FF7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7A142B0D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41332FBA" w14:textId="58EF1F00" w:rsidR="00322C8A" w:rsidRPr="00322C8A" w:rsidRDefault="00322C8A" w:rsidP="00B5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From July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63BAD420" w14:textId="77777777" w:rsidR="00322C8A" w:rsidRPr="00322C8A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1168BC80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01B836DC" w14:textId="77777777" w:rsidTr="00322C8A">
        <w:tc>
          <w:tcPr>
            <w:tcW w:w="1696" w:type="dxa"/>
          </w:tcPr>
          <w:p w14:paraId="0155E840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57BB8610" w14:textId="646AEA7C" w:rsidR="00322C8A" w:rsidRPr="00322C8A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  <w:r w:rsidRPr="00322C8A">
              <w:rPr>
                <w:rFonts w:ascii="Arial" w:hAnsi="Arial" w:cs="Arial"/>
                <w:sz w:val="18"/>
                <w:szCs w:val="18"/>
              </w:rPr>
              <w:t xml:space="preserve">Parents/carers may attend </w:t>
            </w:r>
            <w:r w:rsidRPr="00322C8A">
              <w:rPr>
                <w:rFonts w:ascii="Arial" w:hAnsi="Arial" w:cs="Arial"/>
                <w:sz w:val="18"/>
                <w:szCs w:val="18"/>
              </w:rPr>
              <w:t xml:space="preserve">school </w:t>
            </w:r>
            <w:r w:rsidRPr="00322C8A">
              <w:rPr>
                <w:rFonts w:ascii="Arial" w:hAnsi="Arial" w:cs="Arial"/>
                <w:sz w:val="18"/>
                <w:szCs w:val="18"/>
              </w:rPr>
              <w:t>visits or specific parent meetings at the school</w:t>
            </w:r>
            <w:r w:rsidR="00575A6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30155">
              <w:rPr>
                <w:rFonts w:ascii="Arial" w:hAnsi="Arial" w:cs="Arial"/>
                <w:sz w:val="18"/>
                <w:szCs w:val="18"/>
              </w:rPr>
              <w:t xml:space="preserve">children may attend open days, discuss any further support needed </w:t>
            </w:r>
          </w:p>
        </w:tc>
        <w:tc>
          <w:tcPr>
            <w:tcW w:w="2564" w:type="dxa"/>
          </w:tcPr>
          <w:p w14:paraId="5012F119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0655753E" w14:textId="77777777" w:rsidTr="00322C8A">
        <w:tc>
          <w:tcPr>
            <w:tcW w:w="1696" w:type="dxa"/>
            <w:shd w:val="clear" w:color="auto" w:fill="D9D9D9" w:themeFill="background1" w:themeFillShade="D9"/>
          </w:tcPr>
          <w:p w14:paraId="00A6CFF9" w14:textId="159C2611" w:rsidR="00322C8A" w:rsidRPr="00322C8A" w:rsidRDefault="00322C8A" w:rsidP="00B530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From September </w:t>
            </w:r>
          </w:p>
        </w:tc>
        <w:tc>
          <w:tcPr>
            <w:tcW w:w="11128" w:type="dxa"/>
            <w:shd w:val="clear" w:color="auto" w:fill="D9D9D9" w:themeFill="background1" w:themeFillShade="D9"/>
          </w:tcPr>
          <w:p w14:paraId="1A85239B" w14:textId="77777777" w:rsidR="00322C8A" w:rsidRPr="00322C8A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</w:tcPr>
          <w:p w14:paraId="00B3A1DE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  <w:tr w:rsidR="00322C8A" w:rsidRPr="00322C8A" w14:paraId="5329B706" w14:textId="77777777" w:rsidTr="00322C8A">
        <w:tc>
          <w:tcPr>
            <w:tcW w:w="1696" w:type="dxa"/>
          </w:tcPr>
          <w:p w14:paraId="39834B3A" w14:textId="226D1512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  <w:tc>
          <w:tcPr>
            <w:tcW w:w="11128" w:type="dxa"/>
          </w:tcPr>
          <w:p w14:paraId="025F418B" w14:textId="77777777" w:rsidR="00322C8A" w:rsidRPr="00322C8A" w:rsidRDefault="00322C8A" w:rsidP="00322C8A">
            <w:pPr>
              <w:rPr>
                <w:rFonts w:ascii="Arial" w:hAnsi="Arial" w:cs="Arial"/>
                <w:sz w:val="18"/>
                <w:szCs w:val="18"/>
              </w:rPr>
            </w:pPr>
            <w:r w:rsidRPr="00322C8A">
              <w:rPr>
                <w:rFonts w:ascii="Arial" w:hAnsi="Arial" w:cs="Arial"/>
                <w:sz w:val="18"/>
                <w:szCs w:val="18"/>
              </w:rPr>
              <w:t>Start transition visits for the child as agreed and planned for with Primary colleagues and the parents/</w:t>
            </w:r>
            <w:proofErr w:type="gramStart"/>
            <w:r w:rsidRPr="00322C8A">
              <w:rPr>
                <w:rFonts w:ascii="Arial" w:hAnsi="Arial" w:cs="Arial"/>
                <w:sz w:val="18"/>
                <w:szCs w:val="18"/>
              </w:rPr>
              <w:t>carers</w:t>
            </w:r>
            <w:proofErr w:type="gramEnd"/>
          </w:p>
          <w:p w14:paraId="7CE9BCCB" w14:textId="77777777" w:rsidR="00322C8A" w:rsidRPr="00322C8A" w:rsidRDefault="00322C8A" w:rsidP="00B530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4" w:type="dxa"/>
          </w:tcPr>
          <w:p w14:paraId="2DFCB7F3" w14:textId="77777777" w:rsidR="00322C8A" w:rsidRPr="00322C8A" w:rsidRDefault="00322C8A" w:rsidP="00B530D1">
            <w:pPr>
              <w:rPr>
                <w:sz w:val="18"/>
                <w:szCs w:val="18"/>
              </w:rPr>
            </w:pPr>
          </w:p>
        </w:tc>
      </w:tr>
    </w:tbl>
    <w:p w14:paraId="4D530974" w14:textId="77777777" w:rsidR="00BE4AC5" w:rsidRPr="00BE4AC5" w:rsidRDefault="00BE4AC5" w:rsidP="00B530D1">
      <w:pPr>
        <w:rPr>
          <w:b/>
          <w:bCs/>
        </w:rPr>
      </w:pPr>
    </w:p>
    <w:sectPr w:rsidR="00BE4AC5" w:rsidRPr="00BE4AC5" w:rsidSect="00BE4A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6838" w:h="11906" w:orient="landscape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A75F" w14:textId="77777777" w:rsidR="0043326D" w:rsidRDefault="0043326D" w:rsidP="008952DF">
      <w:r>
        <w:separator/>
      </w:r>
    </w:p>
  </w:endnote>
  <w:endnote w:type="continuationSeparator" w:id="0">
    <w:p w14:paraId="6568EEEE" w14:textId="77777777" w:rsidR="0043326D" w:rsidRDefault="0043326D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F2D0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CBBC2F0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8388E65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3A32299C" w14:textId="77777777" w:rsidR="0002446C" w:rsidRDefault="0002446C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FAEC4" w14:textId="77777777" w:rsidR="0043326D" w:rsidRDefault="0043326D" w:rsidP="008952DF">
      <w:r>
        <w:separator/>
      </w:r>
    </w:p>
  </w:footnote>
  <w:footnote w:type="continuationSeparator" w:id="0">
    <w:p w14:paraId="7D1359AB" w14:textId="77777777" w:rsidR="0043326D" w:rsidRDefault="0043326D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80A8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5DD0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CBD9" w14:textId="2A818484" w:rsidR="00BE4AC5" w:rsidRDefault="00BE4A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1E9279" wp14:editId="2361DEC0">
          <wp:simplePos x="0" y="0"/>
          <wp:positionH relativeFrom="column">
            <wp:posOffset>-171450</wp:posOffset>
          </wp:positionH>
          <wp:positionV relativeFrom="paragraph">
            <wp:posOffset>-85725</wp:posOffset>
          </wp:positionV>
          <wp:extent cx="2280285" cy="371475"/>
          <wp:effectExtent l="0" t="0" r="5715" b="9525"/>
          <wp:wrapTight wrapText="bothSides">
            <wp:wrapPolygon edited="0">
              <wp:start x="0" y="0"/>
              <wp:lineTo x="0" y="21046"/>
              <wp:lineTo x="10827" y="21046"/>
              <wp:lineTo x="10827" y="18831"/>
              <wp:lineTo x="21474" y="14400"/>
              <wp:lineTo x="21474" y="11077"/>
              <wp:lineTo x="21113" y="0"/>
              <wp:lineTo x="0" y="0"/>
            </wp:wrapPolygon>
          </wp:wrapTight>
          <wp:docPr id="1" name="Picture 2" title="Torbay Counc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title="Torbay Council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28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422523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9169252">
    <w:abstractNumId w:val="6"/>
  </w:num>
  <w:num w:numId="2" w16cid:durableId="38474785">
    <w:abstractNumId w:val="1"/>
  </w:num>
  <w:num w:numId="3" w16cid:durableId="1516647306">
    <w:abstractNumId w:val="7"/>
  </w:num>
  <w:num w:numId="4" w16cid:durableId="1022978808">
    <w:abstractNumId w:val="4"/>
  </w:num>
  <w:num w:numId="5" w16cid:durableId="214247105">
    <w:abstractNumId w:val="5"/>
  </w:num>
  <w:num w:numId="6" w16cid:durableId="386877494">
    <w:abstractNumId w:val="3"/>
  </w:num>
  <w:num w:numId="7" w16cid:durableId="331834252">
    <w:abstractNumId w:val="0"/>
  </w:num>
  <w:num w:numId="8" w16cid:durableId="488912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C5"/>
    <w:rsid w:val="0002446C"/>
    <w:rsid w:val="00126E15"/>
    <w:rsid w:val="00322C8A"/>
    <w:rsid w:val="00324433"/>
    <w:rsid w:val="00363A16"/>
    <w:rsid w:val="003D033D"/>
    <w:rsid w:val="004067A0"/>
    <w:rsid w:val="0043326D"/>
    <w:rsid w:val="004404F5"/>
    <w:rsid w:val="00492E76"/>
    <w:rsid w:val="0049312B"/>
    <w:rsid w:val="004C57B2"/>
    <w:rsid w:val="00520C03"/>
    <w:rsid w:val="00535E8E"/>
    <w:rsid w:val="00575A69"/>
    <w:rsid w:val="0065240B"/>
    <w:rsid w:val="00682C97"/>
    <w:rsid w:val="00726EA3"/>
    <w:rsid w:val="00730155"/>
    <w:rsid w:val="00734C58"/>
    <w:rsid w:val="007455B3"/>
    <w:rsid w:val="007C339D"/>
    <w:rsid w:val="0083385A"/>
    <w:rsid w:val="00873F79"/>
    <w:rsid w:val="008952DF"/>
    <w:rsid w:val="009255E9"/>
    <w:rsid w:val="009B41EF"/>
    <w:rsid w:val="00A4553D"/>
    <w:rsid w:val="00AF592C"/>
    <w:rsid w:val="00B237C0"/>
    <w:rsid w:val="00B377FC"/>
    <w:rsid w:val="00B530D1"/>
    <w:rsid w:val="00BE4AC5"/>
    <w:rsid w:val="00C00AB0"/>
    <w:rsid w:val="00C520E4"/>
    <w:rsid w:val="00D4401D"/>
    <w:rsid w:val="00E078E6"/>
    <w:rsid w:val="00EB6BD0"/>
    <w:rsid w:val="00F65C5F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9081FE"/>
  <w15:chartTrackingRefBased/>
  <w15:docId w15:val="{F7B046B2-FA4D-499B-920F-0A6605B0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AF592C"/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070EF9D0"/></Relationships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Judith</dc:creator>
  <cp:keywords/>
  <dc:description/>
  <cp:lastModifiedBy>Thomas, Judith</cp:lastModifiedBy>
  <cp:revision>3</cp:revision>
  <dcterms:created xsi:type="dcterms:W3CDTF">2023-10-24T15:12:00Z</dcterms:created>
  <dcterms:modified xsi:type="dcterms:W3CDTF">2023-10-24T16:08:00Z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1735664469</vt:i4>
  </property>
  <property fmtid="{D5CDD505-2E9C-101B-9397-08002B2CF9AE}" pid="3" name="_NewReviewCycle">
    <vt:lpwstr/>
  </property>
  <property fmtid="{D5CDD505-2E9C-101B-9397-08002B2CF9AE}" pid="4" name="_EmailSubject">
    <vt:lpwstr>today if possible - change attached document to updated version</vt:lpwstr>
  </property>
  <property fmtid="{D5CDD505-2E9C-101B-9397-08002B2CF9AE}" pid="5" name="_AuthorEmail">
    <vt:lpwstr>Marianne.Lewis@torbay.gov.uk</vt:lpwstr>
  </property>
  <property fmtid="{D5CDD505-2E9C-101B-9397-08002B2CF9AE}" pid="6" name="_AuthorEmailDisplayName">
    <vt:lpwstr>Lewis, Marianne</vt:lpwstr>
  </property>
  <property fmtid="{D5CDD505-2E9C-101B-9397-08002B2CF9AE}" pid="7" name="_PreviousAdHocReviewCycleID">
    <vt:i4>1278178654</vt:i4>
  </property>
</Properties>
</file>